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adjustRightInd w:val="0"/>
        <w:snapToGrid w:val="0"/>
        <w:ind w:firstLine="0" w:firstLineChars="0"/>
        <w:jc w:val="center"/>
        <w:rPr>
          <w:rFonts w:eastAsiaTheme="minorEastAsia"/>
          <w:b/>
          <w:bCs/>
          <w:color w:val="000000" w:themeColor="text1"/>
          <w:sz w:val="48"/>
          <w:szCs w:val="48"/>
        </w:rPr>
      </w:pPr>
      <w:bookmarkStart w:id="947" w:name="_GoBack"/>
      <w:bookmarkEnd w:id="947"/>
    </w:p>
    <w:p>
      <w:pPr>
        <w:adjustRightInd w:val="0"/>
        <w:snapToGrid w:val="0"/>
        <w:ind w:firstLine="0" w:firstLineChars="0"/>
        <w:jc w:val="center"/>
        <w:rPr>
          <w:rFonts w:eastAsiaTheme="minorEastAsia"/>
          <w:b/>
          <w:bCs/>
          <w:color w:val="000000" w:themeColor="text1"/>
          <w:sz w:val="44"/>
          <w:szCs w:val="44"/>
        </w:rPr>
      </w:pPr>
      <w:r>
        <w:rPr>
          <w:rFonts w:eastAsiaTheme="minorEastAsia"/>
          <w:b/>
          <w:bCs/>
          <w:color w:val="000000" w:themeColor="text1"/>
          <w:sz w:val="44"/>
          <w:szCs w:val="44"/>
        </w:rPr>
        <w:t>新平县平安矿业开发有限</w:t>
      </w:r>
      <w:r>
        <w:rPr>
          <w:rFonts w:eastAsiaTheme="minorEastAsia"/>
          <w:b/>
          <w:bCs/>
          <w:iCs/>
          <w:color w:val="000000" w:themeColor="text1"/>
          <w:sz w:val="44"/>
          <w:szCs w:val="44"/>
        </w:rPr>
        <w:t>公司</w:t>
      </w:r>
    </w:p>
    <w:p>
      <w:pPr>
        <w:adjustRightInd w:val="0"/>
        <w:snapToGrid w:val="0"/>
        <w:ind w:firstLine="0" w:firstLineChars="0"/>
        <w:jc w:val="center"/>
        <w:rPr>
          <w:rFonts w:eastAsiaTheme="minorEastAsia"/>
          <w:b/>
          <w:bCs/>
          <w:color w:val="000000" w:themeColor="text1"/>
          <w:sz w:val="44"/>
          <w:szCs w:val="44"/>
        </w:rPr>
      </w:pPr>
      <w:r>
        <w:rPr>
          <w:rFonts w:eastAsiaTheme="minorEastAsia"/>
          <w:b/>
          <w:bCs/>
          <w:color w:val="000000" w:themeColor="text1"/>
          <w:sz w:val="44"/>
          <w:szCs w:val="44"/>
        </w:rPr>
        <w:t>年产10万吨铁精矿技改建设项目</w:t>
      </w:r>
    </w:p>
    <w:p>
      <w:pPr>
        <w:adjustRightInd w:val="0"/>
        <w:snapToGrid w:val="0"/>
        <w:ind w:firstLine="0" w:firstLineChars="0"/>
        <w:jc w:val="center"/>
        <w:rPr>
          <w:rFonts w:eastAsiaTheme="minorEastAsia"/>
          <w:b/>
          <w:color w:val="000000" w:themeColor="text1"/>
          <w:spacing w:val="38"/>
          <w:sz w:val="52"/>
          <w:szCs w:val="52"/>
        </w:rPr>
      </w:pPr>
      <w:r>
        <w:rPr>
          <w:rFonts w:eastAsia="黑体"/>
          <w:b/>
          <w:color w:val="000000" w:themeColor="text1"/>
          <w:spacing w:val="38"/>
          <w:sz w:val="52"/>
          <w:szCs w:val="52"/>
        </w:rPr>
        <w:t>环境影响报告书</w:t>
      </w:r>
      <w:bookmarkStart w:id="0" w:name="_Toc429550035"/>
      <w:bookmarkStart w:id="1" w:name="_Toc430201315"/>
      <w:bookmarkStart w:id="2" w:name="_Toc431666918"/>
      <w:bookmarkStart w:id="3" w:name="_Toc430962175"/>
      <w:bookmarkStart w:id="4" w:name="_Toc430953805"/>
      <w:bookmarkStart w:id="5" w:name="_Toc430953598"/>
      <w:bookmarkStart w:id="6" w:name="_Toc429549875"/>
      <w:bookmarkStart w:id="7" w:name="_Toc431665543"/>
    </w:p>
    <w:p>
      <w:pPr>
        <w:adjustRightInd w:val="0"/>
        <w:snapToGrid w:val="0"/>
        <w:ind w:firstLine="3213" w:firstLineChars="1000"/>
        <w:rPr>
          <w:rFonts w:eastAsiaTheme="minorEastAsia"/>
          <w:b/>
          <w:color w:val="000000" w:themeColor="text1"/>
          <w:sz w:val="32"/>
          <w:szCs w:val="36"/>
        </w:rPr>
      </w:pPr>
      <w:r>
        <w:rPr>
          <w:rFonts w:eastAsiaTheme="minorEastAsia"/>
          <w:b/>
          <w:color w:val="000000" w:themeColor="text1"/>
          <w:sz w:val="32"/>
          <w:szCs w:val="36"/>
        </w:rPr>
        <w:t>（</w:t>
      </w:r>
      <w:r>
        <w:rPr>
          <w:rFonts w:hint="eastAsia" w:eastAsiaTheme="minorEastAsia"/>
          <w:b/>
          <w:color w:val="000000" w:themeColor="text1"/>
          <w:sz w:val="32"/>
          <w:szCs w:val="36"/>
        </w:rPr>
        <w:t>报批</w:t>
      </w:r>
      <w:r>
        <w:rPr>
          <w:rFonts w:eastAsiaTheme="minorEastAsia"/>
          <w:b/>
          <w:color w:val="000000" w:themeColor="text1"/>
          <w:sz w:val="32"/>
          <w:szCs w:val="36"/>
        </w:rPr>
        <w:t>稿）</w:t>
      </w:r>
      <w:bookmarkEnd w:id="0"/>
      <w:bookmarkEnd w:id="1"/>
      <w:bookmarkEnd w:id="2"/>
      <w:bookmarkEnd w:id="3"/>
      <w:bookmarkEnd w:id="4"/>
      <w:bookmarkEnd w:id="5"/>
      <w:bookmarkEnd w:id="6"/>
      <w:bookmarkEnd w:id="7"/>
    </w:p>
    <w:p>
      <w:pPr>
        <w:adjustRightInd w:val="0"/>
        <w:snapToGrid w:val="0"/>
        <w:ind w:firstLine="482"/>
        <w:rPr>
          <w:rFonts w:eastAsiaTheme="minorEastAsia"/>
          <w:b/>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p>
      <w:pPr>
        <w:adjustRightInd w:val="0"/>
        <w:snapToGrid w:val="0"/>
        <w:ind w:firstLine="480"/>
        <w:rPr>
          <w:rFonts w:eastAsiaTheme="minorEastAsia"/>
          <w:color w:val="000000" w:themeColor="text1"/>
        </w:rPr>
      </w:pPr>
    </w:p>
    <w:tbl>
      <w:tblPr>
        <w:tblStyle w:val="62"/>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8528" w:type="dxa"/>
            <w:tcBorders>
              <w:top w:val="nil"/>
              <w:left w:val="nil"/>
              <w:bottom w:val="nil"/>
              <w:right w:val="nil"/>
            </w:tcBorders>
          </w:tcPr>
          <w:p>
            <w:pPr>
              <w:adjustRightInd w:val="0"/>
              <w:snapToGrid w:val="0"/>
              <w:ind w:firstLine="1928" w:firstLineChars="600"/>
              <w:rPr>
                <w:rFonts w:eastAsiaTheme="minorEastAsia"/>
                <w:color w:val="000000" w:themeColor="text1"/>
              </w:rPr>
            </w:pPr>
            <w:r>
              <w:rPr>
                <w:rFonts w:eastAsiaTheme="minorEastAsia"/>
                <w:b/>
                <w:color w:val="000000" w:themeColor="text1"/>
                <w:sz w:val="32"/>
                <w:szCs w:val="36"/>
              </w:rPr>
              <w:t>建设单位：新平县平安矿业开发有限公司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tcPr>
          <w:p>
            <w:pPr>
              <w:adjustRightInd w:val="0"/>
              <w:snapToGrid w:val="0"/>
              <w:ind w:firstLine="1928" w:firstLineChars="600"/>
              <w:rPr>
                <w:rFonts w:eastAsiaTheme="minorEastAsia"/>
                <w:color w:val="000000" w:themeColor="text1"/>
              </w:rPr>
            </w:pPr>
            <w:r>
              <w:rPr>
                <w:rFonts w:eastAsiaTheme="minorEastAsia"/>
                <w:b/>
                <w:color w:val="000000" w:themeColor="text1"/>
                <w:sz w:val="32"/>
                <w:szCs w:val="36"/>
              </w:rPr>
              <w:t>编制单位：云南绿诚环境科技有限公司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8" w:type="dxa"/>
            <w:tcBorders>
              <w:top w:val="nil"/>
              <w:left w:val="nil"/>
              <w:bottom w:val="nil"/>
              <w:right w:val="nil"/>
            </w:tcBorders>
          </w:tcPr>
          <w:p>
            <w:pPr>
              <w:pStyle w:val="78"/>
              <w:ind w:firstLine="1928" w:firstLineChars="600"/>
              <w:rPr>
                <w:rFonts w:eastAsiaTheme="minorEastAsia"/>
                <w:color w:val="000000" w:themeColor="text1"/>
              </w:rPr>
            </w:pPr>
            <w:r>
              <w:rPr>
                <w:rFonts w:eastAsiaTheme="minorEastAsia"/>
                <w:b/>
                <w:color w:val="000000" w:themeColor="text1"/>
                <w:sz w:val="32"/>
                <w:szCs w:val="36"/>
              </w:rPr>
              <w:t>编制时间：202</w:t>
            </w:r>
            <w:r>
              <w:rPr>
                <w:rFonts w:hint="eastAsia" w:eastAsiaTheme="minorEastAsia"/>
                <w:b/>
                <w:color w:val="000000" w:themeColor="text1"/>
                <w:sz w:val="32"/>
                <w:szCs w:val="36"/>
              </w:rPr>
              <w:t>2</w:t>
            </w:r>
            <w:r>
              <w:rPr>
                <w:rFonts w:eastAsiaTheme="minorEastAsia"/>
                <w:b/>
                <w:color w:val="000000" w:themeColor="text1"/>
                <w:sz w:val="32"/>
                <w:szCs w:val="36"/>
              </w:rPr>
              <w:t>年</w:t>
            </w:r>
            <w:r>
              <w:rPr>
                <w:rFonts w:hint="eastAsia" w:eastAsiaTheme="minorEastAsia"/>
                <w:b/>
                <w:color w:val="000000" w:themeColor="text1"/>
                <w:sz w:val="32"/>
                <w:szCs w:val="36"/>
              </w:rPr>
              <w:t>5</w:t>
            </w:r>
            <w:r>
              <w:rPr>
                <w:rFonts w:eastAsiaTheme="minorEastAsia"/>
                <w:b/>
                <w:color w:val="000000" w:themeColor="text1"/>
                <w:sz w:val="32"/>
                <w:szCs w:val="36"/>
              </w:rPr>
              <w:t>月</w:t>
            </w:r>
          </w:p>
        </w:tc>
      </w:tr>
    </w:tbl>
    <w:p>
      <w:pPr>
        <w:pStyle w:val="78"/>
        <w:ind w:firstLine="0" w:firstLineChars="0"/>
        <w:rPr>
          <w:rFonts w:eastAsiaTheme="minorEastAsia"/>
          <w:color w:val="000000" w:themeColor="text1"/>
        </w:rPr>
      </w:pPr>
    </w:p>
    <w:p>
      <w:pPr>
        <w:pStyle w:val="78"/>
        <w:ind w:firstLine="480"/>
        <w:rPr>
          <w:rFonts w:eastAsiaTheme="minorEastAsia"/>
          <w:color w:val="000000" w:themeColor="text1"/>
        </w:rPr>
      </w:pPr>
    </w:p>
    <w:p>
      <w:pPr>
        <w:adjustRightInd w:val="0"/>
        <w:snapToGrid w:val="0"/>
        <w:ind w:firstLine="643"/>
        <w:jc w:val="center"/>
        <w:rPr>
          <w:rFonts w:eastAsiaTheme="minorEastAsia"/>
          <w:b/>
          <w:color w:val="000000" w:themeColor="text1"/>
          <w:sz w:val="32"/>
          <w:szCs w:val="36"/>
        </w:rPr>
      </w:pPr>
    </w:p>
    <w:p>
      <w:pPr>
        <w:pStyle w:val="51"/>
        <w:ind w:left="0" w:firstLine="0" w:firstLineChars="0"/>
        <w:rPr>
          <w:color w:val="000000" w:themeColor="text1"/>
        </w:rPr>
        <w:sectPr>
          <w:headerReference r:id="rId5" w:type="first"/>
          <w:footerReference r:id="rId8" w:type="first"/>
          <w:headerReference r:id="rId3" w:type="default"/>
          <w:footerReference r:id="rId6" w:type="default"/>
          <w:headerReference r:id="rId4" w:type="even"/>
          <w:footerReference r:id="rId7" w:type="even"/>
          <w:pgSz w:w="11906" w:h="16838"/>
          <w:pgMar w:top="1440" w:right="1797" w:bottom="1440" w:left="1797" w:header="850" w:footer="992" w:gutter="0"/>
          <w:cols w:space="425" w:num="1"/>
          <w:docGrid w:type="lines" w:linePitch="326" w:charSpace="0"/>
        </w:sectPr>
      </w:pPr>
    </w:p>
    <w:p>
      <w:pPr>
        <w:ind w:firstLine="643"/>
        <w:jc w:val="center"/>
        <w:rPr>
          <w:rFonts w:eastAsiaTheme="minorEastAsia"/>
          <w:b/>
          <w:bCs/>
          <w:color w:val="000000" w:themeColor="text1"/>
          <w:sz w:val="32"/>
          <w:szCs w:val="32"/>
        </w:rPr>
      </w:pPr>
      <w:r>
        <w:rPr>
          <w:rFonts w:eastAsiaTheme="minorEastAsia"/>
          <w:b/>
          <w:bCs/>
          <w:color w:val="000000" w:themeColor="text1"/>
          <w:sz w:val="32"/>
          <w:szCs w:val="32"/>
        </w:rPr>
        <w:t>目录</w:t>
      </w:r>
    </w:p>
    <w:p>
      <w:pPr>
        <w:pStyle w:val="44"/>
        <w:tabs>
          <w:tab w:val="right" w:leader="dot" w:pos="8312"/>
          <w:tab w:val="clear" w:pos="8296"/>
        </w:tabs>
        <w:spacing w:before="65"/>
        <w:ind w:firstLine="482"/>
        <w:rPr>
          <w:color w:val="000000" w:themeColor="text1"/>
          <w:sz w:val="24"/>
          <w:szCs w:val="24"/>
        </w:rPr>
      </w:pPr>
      <w:r>
        <w:rPr>
          <w:color w:val="000000" w:themeColor="text1"/>
          <w:sz w:val="24"/>
          <w:szCs w:val="24"/>
        </w:rPr>
        <w:fldChar w:fldCharType="begin"/>
      </w:r>
      <w:r>
        <w:rPr>
          <w:color w:val="000000" w:themeColor="text1"/>
          <w:sz w:val="24"/>
          <w:szCs w:val="24"/>
        </w:rPr>
        <w:instrText xml:space="preserve"> TOC \o "1-3" \h \z \u </w:instrText>
      </w:r>
      <w:r>
        <w:rPr>
          <w:color w:val="000000" w:themeColor="text1"/>
          <w:sz w:val="24"/>
          <w:szCs w:val="24"/>
        </w:rPr>
        <w:fldChar w:fldCharType="separate"/>
      </w:r>
      <w:r>
        <w:rPr>
          <w:color w:val="000000" w:themeColor="text1"/>
        </w:rPr>
        <w:fldChar w:fldCharType="begin"/>
      </w:r>
      <w:r>
        <w:rPr>
          <w:color w:val="000000" w:themeColor="text1"/>
        </w:rPr>
        <w:instrText xml:space="preserve"> HYPERLINK \l "_Toc1623" </w:instrText>
      </w:r>
      <w:r>
        <w:rPr>
          <w:color w:val="000000" w:themeColor="text1"/>
        </w:rPr>
        <w:fldChar w:fldCharType="separate"/>
      </w:r>
      <w:r>
        <w:rPr>
          <w:color w:val="000000" w:themeColor="text1"/>
          <w:kern w:val="32"/>
          <w:sz w:val="24"/>
          <w:szCs w:val="24"/>
        </w:rPr>
        <w:t>概述</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_Toc1623 \h </w:instrText>
      </w:r>
      <w:r>
        <w:rPr>
          <w:color w:val="000000" w:themeColor="text1"/>
          <w:sz w:val="24"/>
          <w:szCs w:val="24"/>
        </w:rPr>
        <w:fldChar w:fldCharType="separate"/>
      </w:r>
      <w:r>
        <w:rPr>
          <w:color w:val="000000" w:themeColor="text1"/>
          <w:sz w:val="24"/>
          <w:szCs w:val="24"/>
        </w:rPr>
        <w:t>- 1 -</w:t>
      </w:r>
      <w:r>
        <w:rPr>
          <w:color w:val="000000" w:themeColor="text1"/>
          <w:sz w:val="24"/>
          <w:szCs w:val="24"/>
        </w:rPr>
        <w:fldChar w:fldCharType="end"/>
      </w:r>
      <w:r>
        <w:rPr>
          <w:color w:val="000000" w:themeColor="text1"/>
          <w:sz w:val="24"/>
          <w:szCs w:val="24"/>
        </w:rPr>
        <w:fldChar w:fldCharType="end"/>
      </w:r>
    </w:p>
    <w:p>
      <w:pPr>
        <w:pStyle w:val="44"/>
        <w:tabs>
          <w:tab w:val="right" w:leader="dot" w:pos="8312"/>
          <w:tab w:val="clear" w:pos="8296"/>
        </w:tabs>
        <w:spacing w:before="65"/>
        <w:ind w:firstLine="482"/>
        <w:rPr>
          <w:color w:val="000000" w:themeColor="text1"/>
          <w:sz w:val="24"/>
          <w:szCs w:val="24"/>
        </w:rPr>
      </w:pPr>
      <w:r>
        <w:rPr>
          <w:color w:val="000000" w:themeColor="text1"/>
        </w:rPr>
        <w:fldChar w:fldCharType="begin"/>
      </w:r>
      <w:r>
        <w:rPr>
          <w:color w:val="000000" w:themeColor="text1"/>
        </w:rPr>
        <w:instrText xml:space="preserve"> HYPERLINK \l "_Toc24698" </w:instrText>
      </w:r>
      <w:r>
        <w:rPr>
          <w:color w:val="000000" w:themeColor="text1"/>
        </w:rPr>
        <w:fldChar w:fldCharType="separate"/>
      </w:r>
      <w:r>
        <w:rPr>
          <w:color w:val="000000" w:themeColor="text1"/>
          <w:kern w:val="32"/>
          <w:sz w:val="24"/>
          <w:szCs w:val="24"/>
        </w:rPr>
        <w:t>1总则</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_Toc24698 \h </w:instrText>
      </w:r>
      <w:r>
        <w:rPr>
          <w:color w:val="000000" w:themeColor="text1"/>
          <w:sz w:val="24"/>
          <w:szCs w:val="24"/>
        </w:rPr>
        <w:fldChar w:fldCharType="separate"/>
      </w:r>
      <w:r>
        <w:rPr>
          <w:color w:val="000000" w:themeColor="text1"/>
          <w:sz w:val="24"/>
          <w:szCs w:val="24"/>
        </w:rPr>
        <w:t>- 30 -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"_Toc23462" </w:instrText>
      </w:r>
      <w:r>
        <w:rPr>
          <w:color w:val="000000" w:themeColor="text1"/>
        </w:rPr>
        <w:fldChar w:fldCharType="separate"/>
      </w:r>
      <w:r>
        <w:rPr>
          <w:color w:val="000000" w:themeColor="text1"/>
          <w:sz w:val="24"/>
          <w:szCs w:val="24"/>
        </w:rPr>
        <w:t>1.1编制依据</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_Toc23462 \h </w:instrText>
      </w:r>
      <w:r>
        <w:rPr>
          <w:color w:val="000000" w:themeColor="text1"/>
          <w:sz w:val="24"/>
          <w:szCs w:val="24"/>
        </w:rPr>
        <w:fldChar w:fldCharType="separate"/>
      </w:r>
      <w:r>
        <w:rPr>
          <w:color w:val="000000" w:themeColor="text1"/>
          <w:sz w:val="24"/>
          <w:szCs w:val="24"/>
        </w:rPr>
        <w:t>- 30 -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"_Toc23694" </w:instrText>
      </w:r>
      <w:r>
        <w:rPr>
          <w:color w:val="000000" w:themeColor="text1"/>
        </w:rPr>
        <w:fldChar w:fldCharType="separate"/>
      </w:r>
      <w:r>
        <w:rPr>
          <w:color w:val="000000" w:themeColor="text1"/>
          <w:sz w:val="24"/>
          <w:szCs w:val="24"/>
        </w:rPr>
        <w:t>1.1.1相关法律法规</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_Toc23694 \h </w:instrText>
      </w:r>
      <w:r>
        <w:rPr>
          <w:color w:val="000000" w:themeColor="text1"/>
          <w:sz w:val="24"/>
          <w:szCs w:val="24"/>
        </w:rPr>
        <w:fldChar w:fldCharType="separate"/>
      </w:r>
      <w:r>
        <w:rPr>
          <w:color w:val="000000" w:themeColor="text1"/>
          <w:sz w:val="24"/>
          <w:szCs w:val="24"/>
        </w:rPr>
        <w:t>- 30 -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"_Toc3586" </w:instrText>
      </w:r>
      <w:r>
        <w:rPr>
          <w:color w:val="000000" w:themeColor="text1"/>
        </w:rPr>
        <w:fldChar w:fldCharType="separate"/>
      </w:r>
      <w:r>
        <w:rPr>
          <w:color w:val="000000" w:themeColor="text1"/>
          <w:sz w:val="24"/>
          <w:szCs w:val="24"/>
        </w:rPr>
        <w:t>1.1.2部门规章</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_Toc3586 \h </w:instrText>
      </w:r>
      <w:r>
        <w:rPr>
          <w:color w:val="000000" w:themeColor="text1"/>
          <w:sz w:val="24"/>
          <w:szCs w:val="24"/>
        </w:rPr>
        <w:fldChar w:fldCharType="separate"/>
      </w:r>
      <w:r>
        <w:rPr>
          <w:color w:val="000000" w:themeColor="text1"/>
          <w:sz w:val="24"/>
          <w:szCs w:val="24"/>
        </w:rPr>
        <w:t>- 30 -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"_Toc31442" </w:instrText>
      </w:r>
      <w:r>
        <w:rPr>
          <w:color w:val="000000" w:themeColor="text1"/>
        </w:rPr>
        <w:fldChar w:fldCharType="separate"/>
      </w:r>
      <w:r>
        <w:rPr>
          <w:color w:val="000000" w:themeColor="text1"/>
          <w:sz w:val="24"/>
          <w:szCs w:val="24"/>
        </w:rPr>
        <w:t>1.1.3相关规划与地方</w:t>
      </w:r>
      <w:r>
        <w:rPr>
          <w:rFonts w:hint="eastAsia"/>
          <w:color w:val="000000" w:themeColor="text1"/>
          <w:sz w:val="24"/>
          <w:szCs w:val="24"/>
          <w:lang w:eastAsia="zh-CN"/>
        </w:rPr>
        <w:t>规章</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_Toc31442 \h </w:instrText>
      </w:r>
      <w:r>
        <w:rPr>
          <w:color w:val="000000" w:themeColor="text1"/>
          <w:sz w:val="24"/>
          <w:szCs w:val="24"/>
        </w:rPr>
        <w:fldChar w:fldCharType="separate"/>
      </w:r>
      <w:r>
        <w:rPr>
          <w:color w:val="000000" w:themeColor="text1"/>
          <w:sz w:val="24"/>
          <w:szCs w:val="24"/>
        </w:rPr>
        <w:t>- 31 -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"_Toc6089" </w:instrText>
      </w:r>
      <w:r>
        <w:rPr>
          <w:color w:val="000000" w:themeColor="text1"/>
        </w:rPr>
        <w:fldChar w:fldCharType="separate"/>
      </w:r>
      <w:r>
        <w:rPr>
          <w:color w:val="000000" w:themeColor="text1"/>
          <w:sz w:val="24"/>
          <w:szCs w:val="24"/>
        </w:rPr>
        <w:t>1.1.4相关导则与技术规范</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_Toc6089 \h </w:instrText>
      </w:r>
      <w:r>
        <w:rPr>
          <w:color w:val="000000" w:themeColor="text1"/>
          <w:sz w:val="24"/>
          <w:szCs w:val="24"/>
        </w:rPr>
        <w:fldChar w:fldCharType="separate"/>
      </w:r>
      <w:r>
        <w:rPr>
          <w:color w:val="000000" w:themeColor="text1"/>
          <w:sz w:val="24"/>
          <w:szCs w:val="24"/>
        </w:rPr>
        <w:t>- 32 -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"_Toc8666" </w:instrText>
      </w:r>
      <w:r>
        <w:rPr>
          <w:color w:val="000000" w:themeColor="text1"/>
        </w:rPr>
        <w:fldChar w:fldCharType="separate"/>
      </w:r>
      <w:r>
        <w:rPr>
          <w:color w:val="000000" w:themeColor="text1"/>
          <w:sz w:val="24"/>
          <w:szCs w:val="24"/>
        </w:rPr>
        <w:t>1.1.5有关技术文件和工作文件</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_Toc8666 \h </w:instrText>
      </w:r>
      <w:r>
        <w:rPr>
          <w:color w:val="000000" w:themeColor="text1"/>
          <w:sz w:val="24"/>
          <w:szCs w:val="24"/>
        </w:rPr>
        <w:fldChar w:fldCharType="separate"/>
      </w:r>
      <w:r>
        <w:rPr>
          <w:color w:val="000000" w:themeColor="text1"/>
          <w:sz w:val="24"/>
          <w:szCs w:val="24"/>
        </w:rPr>
        <w:t>- 33 -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"_Toc32569" </w:instrText>
      </w:r>
      <w:r>
        <w:rPr>
          <w:color w:val="000000" w:themeColor="text1"/>
        </w:rPr>
        <w:fldChar w:fldCharType="separate"/>
      </w:r>
      <w:r>
        <w:rPr>
          <w:color w:val="000000" w:themeColor="text1"/>
          <w:sz w:val="24"/>
          <w:szCs w:val="24"/>
        </w:rPr>
        <w:t>1.2评价目的与评价原则</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_Toc32569 \h </w:instrText>
      </w:r>
      <w:r>
        <w:rPr>
          <w:color w:val="000000" w:themeColor="text1"/>
          <w:sz w:val="24"/>
          <w:szCs w:val="24"/>
        </w:rPr>
        <w:fldChar w:fldCharType="separate"/>
      </w:r>
      <w:r>
        <w:rPr>
          <w:color w:val="000000" w:themeColor="text1"/>
          <w:sz w:val="24"/>
          <w:szCs w:val="24"/>
        </w:rPr>
        <w:t>- 35 -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"_Toc22809" </w:instrText>
      </w:r>
      <w:r>
        <w:rPr>
          <w:color w:val="000000" w:themeColor="text1"/>
        </w:rPr>
        <w:fldChar w:fldCharType="separate"/>
      </w:r>
      <w:r>
        <w:rPr>
          <w:color w:val="000000" w:themeColor="text1"/>
          <w:sz w:val="24"/>
          <w:szCs w:val="24"/>
        </w:rPr>
        <w:t>1.2.1评价目的</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_Toc22809 \h </w:instrText>
      </w:r>
      <w:r>
        <w:rPr>
          <w:color w:val="000000" w:themeColor="text1"/>
          <w:sz w:val="24"/>
          <w:szCs w:val="24"/>
        </w:rPr>
        <w:fldChar w:fldCharType="separate"/>
      </w:r>
      <w:r>
        <w:rPr>
          <w:color w:val="000000" w:themeColor="text1"/>
          <w:sz w:val="24"/>
          <w:szCs w:val="24"/>
        </w:rPr>
        <w:t>- 35 -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"_Toc1909" </w:instrText>
      </w:r>
      <w:r>
        <w:rPr>
          <w:color w:val="000000" w:themeColor="text1"/>
        </w:rPr>
        <w:fldChar w:fldCharType="separate"/>
      </w:r>
      <w:r>
        <w:rPr>
          <w:color w:val="000000" w:themeColor="text1"/>
          <w:sz w:val="24"/>
          <w:szCs w:val="24"/>
        </w:rPr>
        <w:t>1.2.2评价原则</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_Toc1909 \h </w:instrText>
      </w:r>
      <w:r>
        <w:rPr>
          <w:color w:val="000000" w:themeColor="text1"/>
          <w:sz w:val="24"/>
          <w:szCs w:val="24"/>
        </w:rPr>
        <w:fldChar w:fldCharType="separate"/>
      </w:r>
      <w:r>
        <w:rPr>
          <w:color w:val="000000" w:themeColor="text1"/>
          <w:sz w:val="24"/>
          <w:szCs w:val="24"/>
        </w:rPr>
        <w:t>- 35 -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"_Toc21147" </w:instrText>
      </w:r>
      <w:r>
        <w:rPr>
          <w:color w:val="000000" w:themeColor="text1"/>
        </w:rPr>
        <w:fldChar w:fldCharType="separate"/>
      </w:r>
      <w:r>
        <w:rPr>
          <w:color w:val="000000" w:themeColor="text1"/>
          <w:sz w:val="24"/>
          <w:szCs w:val="24"/>
        </w:rPr>
        <w:t>1.3评价因子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_Toc21147 \h </w:instrText>
      </w:r>
      <w:r>
        <w:rPr>
          <w:color w:val="000000" w:themeColor="text1"/>
          <w:sz w:val="24"/>
          <w:szCs w:val="24"/>
        </w:rPr>
        <w:fldChar w:fldCharType="separate"/>
      </w:r>
      <w:r>
        <w:rPr>
          <w:color w:val="000000" w:themeColor="text1"/>
          <w:sz w:val="24"/>
          <w:szCs w:val="24"/>
        </w:rPr>
        <w:t>- 36 -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"_Toc4075" </w:instrText>
      </w:r>
      <w:r>
        <w:rPr>
          <w:color w:val="000000" w:themeColor="text1"/>
        </w:rPr>
        <w:fldChar w:fldCharType="separate"/>
      </w:r>
      <w:r>
        <w:rPr>
          <w:color w:val="000000" w:themeColor="text1"/>
          <w:sz w:val="24"/>
          <w:szCs w:val="24"/>
        </w:rPr>
        <w:t>1.4环境功能区域及评价标准</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_Toc4075 \h </w:instrText>
      </w:r>
      <w:r>
        <w:rPr>
          <w:color w:val="000000" w:themeColor="text1"/>
          <w:sz w:val="24"/>
          <w:szCs w:val="24"/>
        </w:rPr>
        <w:fldChar w:fldCharType="separate"/>
      </w:r>
      <w:r>
        <w:rPr>
          <w:color w:val="000000" w:themeColor="text1"/>
          <w:sz w:val="24"/>
          <w:szCs w:val="24"/>
        </w:rPr>
        <w:t>- 37 -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"_Toc22371" </w:instrText>
      </w:r>
      <w:r>
        <w:rPr>
          <w:color w:val="000000" w:themeColor="text1"/>
        </w:rPr>
        <w:fldChar w:fldCharType="separate"/>
      </w:r>
      <w:r>
        <w:rPr>
          <w:color w:val="000000" w:themeColor="text1"/>
          <w:sz w:val="24"/>
          <w:szCs w:val="24"/>
        </w:rPr>
        <w:t>1.4.1相关规划及环境功能区划</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_Toc22371 \h </w:instrText>
      </w:r>
      <w:r>
        <w:rPr>
          <w:color w:val="000000" w:themeColor="text1"/>
          <w:sz w:val="24"/>
          <w:szCs w:val="24"/>
        </w:rPr>
        <w:fldChar w:fldCharType="separate"/>
      </w:r>
      <w:r>
        <w:rPr>
          <w:color w:val="000000" w:themeColor="text1"/>
          <w:sz w:val="24"/>
          <w:szCs w:val="24"/>
        </w:rPr>
        <w:t>- 37 -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"_Toc12214" </w:instrText>
      </w:r>
      <w:r>
        <w:rPr>
          <w:color w:val="000000" w:themeColor="text1"/>
        </w:rPr>
        <w:fldChar w:fldCharType="separate"/>
      </w:r>
      <w:r>
        <w:rPr>
          <w:color w:val="000000" w:themeColor="text1"/>
          <w:sz w:val="24"/>
          <w:szCs w:val="24"/>
        </w:rPr>
        <w:t>1.4.2环境质量标准</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_Toc12214 \h </w:instrText>
      </w:r>
      <w:r>
        <w:rPr>
          <w:color w:val="000000" w:themeColor="text1"/>
          <w:sz w:val="24"/>
          <w:szCs w:val="24"/>
        </w:rPr>
        <w:fldChar w:fldCharType="separate"/>
      </w:r>
      <w:r>
        <w:rPr>
          <w:color w:val="000000" w:themeColor="text1"/>
          <w:sz w:val="24"/>
          <w:szCs w:val="24"/>
        </w:rPr>
        <w:t>- 39 -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"_Toc21432" </w:instrText>
      </w:r>
      <w:r>
        <w:rPr>
          <w:color w:val="000000" w:themeColor="text1"/>
        </w:rPr>
        <w:fldChar w:fldCharType="separate"/>
      </w:r>
      <w:r>
        <w:rPr>
          <w:color w:val="000000" w:themeColor="text1"/>
          <w:sz w:val="24"/>
          <w:szCs w:val="24"/>
        </w:rPr>
        <w:t>1.4.3污染物排放标准</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_Toc21432 \h </w:instrText>
      </w:r>
      <w:r>
        <w:rPr>
          <w:color w:val="000000" w:themeColor="text1"/>
          <w:sz w:val="24"/>
          <w:szCs w:val="24"/>
        </w:rPr>
        <w:fldChar w:fldCharType="separate"/>
      </w:r>
      <w:r>
        <w:rPr>
          <w:color w:val="000000" w:themeColor="text1"/>
          <w:sz w:val="24"/>
          <w:szCs w:val="24"/>
        </w:rPr>
        <w:t>- 43 -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"_Toc30003" </w:instrText>
      </w:r>
      <w:r>
        <w:rPr>
          <w:color w:val="000000" w:themeColor="text1"/>
        </w:rPr>
        <w:fldChar w:fldCharType="separate"/>
      </w:r>
      <w:r>
        <w:rPr>
          <w:color w:val="000000" w:themeColor="text1"/>
          <w:sz w:val="24"/>
          <w:szCs w:val="24"/>
        </w:rPr>
        <w:t>1.5评价工作等级与范围</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_Toc30003 \h </w:instrText>
      </w:r>
      <w:r>
        <w:rPr>
          <w:color w:val="000000" w:themeColor="text1"/>
          <w:sz w:val="24"/>
          <w:szCs w:val="24"/>
        </w:rPr>
        <w:fldChar w:fldCharType="separate"/>
      </w:r>
      <w:r>
        <w:rPr>
          <w:color w:val="000000" w:themeColor="text1"/>
          <w:sz w:val="24"/>
          <w:szCs w:val="24"/>
        </w:rPr>
        <w:t>- 45 -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"_Toc27373" </w:instrText>
      </w:r>
      <w:r>
        <w:rPr>
          <w:color w:val="000000" w:themeColor="text1"/>
        </w:rPr>
        <w:fldChar w:fldCharType="separate"/>
      </w:r>
      <w:r>
        <w:rPr>
          <w:color w:val="000000" w:themeColor="text1"/>
          <w:sz w:val="24"/>
          <w:szCs w:val="24"/>
        </w:rPr>
        <w:t>1.5.1评价工作等级</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_Toc27373 \h </w:instrText>
      </w:r>
      <w:r>
        <w:rPr>
          <w:color w:val="000000" w:themeColor="text1"/>
          <w:sz w:val="24"/>
          <w:szCs w:val="24"/>
        </w:rPr>
        <w:fldChar w:fldCharType="separate"/>
      </w:r>
      <w:r>
        <w:rPr>
          <w:color w:val="000000" w:themeColor="text1"/>
          <w:sz w:val="24"/>
          <w:szCs w:val="24"/>
        </w:rPr>
        <w:t>- 45 -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"_Toc13096" </w:instrText>
      </w:r>
      <w:r>
        <w:rPr>
          <w:color w:val="000000" w:themeColor="text1"/>
        </w:rPr>
        <w:fldChar w:fldCharType="separate"/>
      </w:r>
      <w:r>
        <w:rPr>
          <w:color w:val="000000" w:themeColor="text1"/>
          <w:sz w:val="24"/>
          <w:szCs w:val="24"/>
        </w:rPr>
        <w:t>1.5.2评价范围</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_Toc13096 \h </w:instrText>
      </w:r>
      <w:r>
        <w:rPr>
          <w:color w:val="000000" w:themeColor="text1"/>
          <w:sz w:val="24"/>
          <w:szCs w:val="24"/>
        </w:rPr>
        <w:fldChar w:fldCharType="separate"/>
      </w:r>
      <w:r>
        <w:rPr>
          <w:color w:val="000000" w:themeColor="text1"/>
          <w:sz w:val="24"/>
          <w:szCs w:val="24"/>
        </w:rPr>
        <w:t>- 55 -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"_Toc30318" </w:instrText>
      </w:r>
      <w:r>
        <w:rPr>
          <w:color w:val="000000" w:themeColor="text1"/>
        </w:rPr>
        <w:fldChar w:fldCharType="separate"/>
      </w:r>
      <w:r>
        <w:rPr>
          <w:color w:val="000000" w:themeColor="text1"/>
          <w:sz w:val="24"/>
          <w:szCs w:val="24"/>
        </w:rPr>
        <w:t>1.6评价内容及评价重点</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_Toc30318 \h </w:instrText>
      </w:r>
      <w:r>
        <w:rPr>
          <w:color w:val="000000" w:themeColor="text1"/>
          <w:sz w:val="24"/>
          <w:szCs w:val="24"/>
        </w:rPr>
        <w:fldChar w:fldCharType="separate"/>
      </w:r>
      <w:r>
        <w:rPr>
          <w:color w:val="000000" w:themeColor="text1"/>
          <w:sz w:val="24"/>
          <w:szCs w:val="24"/>
        </w:rPr>
        <w:t>- 56 -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"_Toc20519" </w:instrText>
      </w:r>
      <w:r>
        <w:rPr>
          <w:color w:val="000000" w:themeColor="text1"/>
        </w:rPr>
        <w:fldChar w:fldCharType="separate"/>
      </w:r>
      <w:r>
        <w:rPr>
          <w:color w:val="000000" w:themeColor="text1"/>
          <w:sz w:val="24"/>
          <w:szCs w:val="24"/>
        </w:rPr>
        <w:t>1.6.1评价内容</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_Toc20519 \h </w:instrText>
      </w:r>
      <w:r>
        <w:rPr>
          <w:color w:val="000000" w:themeColor="text1"/>
          <w:sz w:val="24"/>
          <w:szCs w:val="24"/>
        </w:rPr>
        <w:fldChar w:fldCharType="separate"/>
      </w:r>
      <w:r>
        <w:rPr>
          <w:color w:val="000000" w:themeColor="text1"/>
          <w:sz w:val="24"/>
          <w:szCs w:val="24"/>
        </w:rPr>
        <w:t>- 56 -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"_Toc12814" </w:instrText>
      </w:r>
      <w:r>
        <w:rPr>
          <w:color w:val="000000" w:themeColor="text1"/>
        </w:rPr>
        <w:fldChar w:fldCharType="separate"/>
      </w:r>
      <w:r>
        <w:rPr>
          <w:color w:val="000000" w:themeColor="text1"/>
          <w:sz w:val="24"/>
          <w:szCs w:val="24"/>
        </w:rPr>
        <w:t>1.6.2评价重点</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_Toc12814 \h </w:instrText>
      </w:r>
      <w:r>
        <w:rPr>
          <w:color w:val="000000" w:themeColor="text1"/>
          <w:sz w:val="24"/>
          <w:szCs w:val="24"/>
        </w:rPr>
        <w:fldChar w:fldCharType="separate"/>
      </w:r>
      <w:r>
        <w:rPr>
          <w:color w:val="000000" w:themeColor="text1"/>
          <w:sz w:val="24"/>
          <w:szCs w:val="24"/>
        </w:rPr>
        <w:t>- 57 -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"_Toc29208" </w:instrText>
      </w:r>
      <w:r>
        <w:rPr>
          <w:color w:val="000000" w:themeColor="text1"/>
        </w:rPr>
        <w:fldChar w:fldCharType="separate"/>
      </w:r>
      <w:r>
        <w:rPr>
          <w:color w:val="000000" w:themeColor="text1"/>
          <w:sz w:val="24"/>
          <w:szCs w:val="24"/>
        </w:rPr>
        <w:t>1.7主要环境保护目标</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_Toc29208 \h </w:instrText>
      </w:r>
      <w:r>
        <w:rPr>
          <w:color w:val="000000" w:themeColor="text1"/>
          <w:sz w:val="24"/>
          <w:szCs w:val="24"/>
        </w:rPr>
        <w:fldChar w:fldCharType="separate"/>
      </w:r>
      <w:r>
        <w:rPr>
          <w:color w:val="000000" w:themeColor="text1"/>
          <w:sz w:val="24"/>
          <w:szCs w:val="24"/>
        </w:rPr>
        <w:t>- 57 -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"_Toc10219" </w:instrText>
      </w:r>
      <w:r>
        <w:rPr>
          <w:color w:val="000000" w:themeColor="text1"/>
        </w:rPr>
        <w:fldChar w:fldCharType="separate"/>
      </w:r>
      <w:r>
        <w:rPr>
          <w:color w:val="000000" w:themeColor="text1"/>
          <w:sz w:val="24"/>
          <w:szCs w:val="24"/>
        </w:rPr>
        <w:t>1.8评价时段和工作程序</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_Toc10219 \h </w:instrText>
      </w:r>
      <w:r>
        <w:rPr>
          <w:color w:val="000000" w:themeColor="text1"/>
          <w:sz w:val="24"/>
          <w:szCs w:val="24"/>
        </w:rPr>
        <w:fldChar w:fldCharType="separate"/>
      </w:r>
      <w:r>
        <w:rPr>
          <w:color w:val="000000" w:themeColor="text1"/>
          <w:sz w:val="24"/>
          <w:szCs w:val="24"/>
        </w:rPr>
        <w:t>- 58 -</w:t>
      </w:r>
      <w:r>
        <w:rPr>
          <w:color w:val="000000" w:themeColor="text1"/>
          <w:sz w:val="24"/>
          <w:szCs w:val="24"/>
        </w:rPr>
        <w:fldChar w:fldCharType="end"/>
      </w:r>
      <w:r>
        <w:rPr>
          <w:color w:val="000000" w:themeColor="text1"/>
          <w:sz w:val="24"/>
          <w:szCs w:val="24"/>
        </w:rPr>
        <w:fldChar w:fldCharType="end"/>
      </w:r>
    </w:p>
    <w:p>
      <w:pPr>
        <w:pStyle w:val="44"/>
        <w:tabs>
          <w:tab w:val="right" w:leader="dot" w:pos="8312"/>
          <w:tab w:val="clear" w:pos="8296"/>
        </w:tabs>
        <w:spacing w:before="65"/>
        <w:ind w:firstLine="482"/>
        <w:rPr>
          <w:color w:val="000000" w:themeColor="text1"/>
          <w:sz w:val="24"/>
          <w:szCs w:val="24"/>
        </w:rPr>
      </w:pPr>
      <w:r>
        <w:rPr>
          <w:color w:val="000000" w:themeColor="text1"/>
        </w:rPr>
        <w:fldChar w:fldCharType="begin"/>
      </w:r>
      <w:r>
        <w:rPr>
          <w:color w:val="000000" w:themeColor="text1"/>
        </w:rPr>
        <w:instrText xml:space="preserve"> HYPERLINK \l "_Toc28434" </w:instrText>
      </w:r>
      <w:r>
        <w:rPr>
          <w:color w:val="000000" w:themeColor="text1"/>
        </w:rPr>
        <w:fldChar w:fldCharType="separate"/>
      </w:r>
      <w:r>
        <w:rPr>
          <w:color w:val="000000" w:themeColor="text1"/>
          <w:kern w:val="32"/>
          <w:sz w:val="24"/>
          <w:szCs w:val="24"/>
        </w:rPr>
        <w:t>2</w:t>
      </w:r>
      <w:r>
        <w:rPr>
          <w:rFonts w:hint="eastAsia"/>
          <w:color w:val="000000" w:themeColor="text1"/>
          <w:kern w:val="32"/>
          <w:sz w:val="24"/>
          <w:szCs w:val="24"/>
        </w:rPr>
        <w:t>原</w:t>
      </w:r>
      <w:r>
        <w:rPr>
          <w:color w:val="000000" w:themeColor="text1"/>
          <w:kern w:val="32"/>
          <w:sz w:val="24"/>
          <w:szCs w:val="24"/>
        </w:rPr>
        <w:t>有工程概况及污染物排放情况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_Toc28434 \h </w:instrText>
      </w:r>
      <w:r>
        <w:rPr>
          <w:color w:val="000000" w:themeColor="text1"/>
          <w:sz w:val="24"/>
          <w:szCs w:val="24"/>
        </w:rPr>
        <w:fldChar w:fldCharType="separate"/>
      </w:r>
      <w:r>
        <w:rPr>
          <w:color w:val="000000" w:themeColor="text1"/>
          <w:sz w:val="24"/>
          <w:szCs w:val="24"/>
        </w:rPr>
        <w:t>- 60 -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"_Toc16490" </w:instrText>
      </w:r>
      <w:r>
        <w:rPr>
          <w:color w:val="000000" w:themeColor="text1"/>
        </w:rPr>
        <w:fldChar w:fldCharType="separate"/>
      </w:r>
      <w:r>
        <w:rPr>
          <w:color w:val="000000" w:themeColor="text1"/>
          <w:sz w:val="24"/>
          <w:szCs w:val="24"/>
        </w:rPr>
        <w:t>2.1原有项目建设历史及工程内容</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_Toc16490 \h </w:instrText>
      </w:r>
      <w:r>
        <w:rPr>
          <w:color w:val="000000" w:themeColor="text1"/>
          <w:sz w:val="24"/>
          <w:szCs w:val="24"/>
        </w:rPr>
        <w:fldChar w:fldCharType="separate"/>
      </w:r>
      <w:r>
        <w:rPr>
          <w:color w:val="000000" w:themeColor="text1"/>
          <w:sz w:val="24"/>
          <w:szCs w:val="24"/>
        </w:rPr>
        <w:t>- 60 -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"_Toc16287" </w:instrText>
      </w:r>
      <w:r>
        <w:rPr>
          <w:color w:val="000000" w:themeColor="text1"/>
        </w:rPr>
        <w:fldChar w:fldCharType="separate"/>
      </w:r>
      <w:r>
        <w:rPr>
          <w:color w:val="000000" w:themeColor="text1"/>
          <w:sz w:val="24"/>
          <w:szCs w:val="24"/>
        </w:rPr>
        <w:t>2.2原有项目</w:t>
      </w:r>
      <w:r>
        <w:rPr>
          <w:rFonts w:hint="eastAsia"/>
          <w:color w:val="000000" w:themeColor="text1"/>
          <w:sz w:val="24"/>
          <w:szCs w:val="24"/>
        </w:rPr>
        <w:t>（东磨选厂）</w:t>
      </w:r>
      <w:r>
        <w:rPr>
          <w:color w:val="000000" w:themeColor="text1"/>
          <w:sz w:val="24"/>
          <w:szCs w:val="24"/>
        </w:rPr>
        <w:t>概况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_Toc16287 \h </w:instrText>
      </w:r>
      <w:r>
        <w:rPr>
          <w:color w:val="000000" w:themeColor="text1"/>
          <w:sz w:val="24"/>
          <w:szCs w:val="24"/>
        </w:rPr>
        <w:fldChar w:fldCharType="separate"/>
      </w:r>
      <w:r>
        <w:rPr>
          <w:color w:val="000000" w:themeColor="text1"/>
          <w:sz w:val="24"/>
          <w:szCs w:val="24"/>
        </w:rPr>
        <w:t>- 62 -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"_Toc12175" </w:instrText>
      </w:r>
      <w:r>
        <w:rPr>
          <w:color w:val="000000" w:themeColor="text1"/>
        </w:rPr>
        <w:fldChar w:fldCharType="separate"/>
      </w:r>
      <w:r>
        <w:rPr>
          <w:color w:val="000000" w:themeColor="text1"/>
          <w:sz w:val="24"/>
          <w:szCs w:val="24"/>
        </w:rPr>
        <w:t>2.2.1</w:t>
      </w:r>
      <w:r>
        <w:rPr>
          <w:rFonts w:hint="eastAsia"/>
          <w:color w:val="000000" w:themeColor="text1"/>
          <w:sz w:val="24"/>
          <w:szCs w:val="24"/>
          <w:lang w:eastAsia="zh-CN"/>
        </w:rPr>
        <w:t>原有项目排污许可及执行情况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_Toc12175 \h </w:instrText>
      </w:r>
      <w:r>
        <w:rPr>
          <w:color w:val="000000" w:themeColor="text1"/>
          <w:sz w:val="24"/>
          <w:szCs w:val="24"/>
        </w:rPr>
        <w:fldChar w:fldCharType="separate"/>
      </w:r>
      <w:r>
        <w:rPr>
          <w:color w:val="000000" w:themeColor="text1"/>
          <w:sz w:val="24"/>
          <w:szCs w:val="24"/>
        </w:rPr>
        <w:t>- 62 -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"_Toc25889" </w:instrText>
      </w:r>
      <w:r>
        <w:rPr>
          <w:color w:val="000000" w:themeColor="text1"/>
        </w:rPr>
        <w:fldChar w:fldCharType="separate"/>
      </w:r>
      <w:r>
        <w:rPr>
          <w:color w:val="000000" w:themeColor="text1"/>
          <w:sz w:val="24"/>
          <w:szCs w:val="24"/>
        </w:rPr>
        <w:t>2.2.</w:t>
      </w:r>
      <w:r>
        <w:rPr>
          <w:rFonts w:hint="eastAsia"/>
          <w:color w:val="000000" w:themeColor="text1"/>
          <w:sz w:val="24"/>
          <w:szCs w:val="24"/>
          <w:lang w:eastAsia="zh-CN"/>
        </w:rPr>
        <w:t>2</w:t>
      </w:r>
      <w:r>
        <w:rPr>
          <w:color w:val="000000" w:themeColor="text1"/>
          <w:sz w:val="24"/>
          <w:szCs w:val="24"/>
        </w:rPr>
        <w:t>生产规模及主要生产设备</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_Toc25889 \h </w:instrText>
      </w:r>
      <w:r>
        <w:rPr>
          <w:color w:val="000000" w:themeColor="text1"/>
          <w:sz w:val="24"/>
          <w:szCs w:val="24"/>
        </w:rPr>
        <w:fldChar w:fldCharType="separate"/>
      </w:r>
      <w:r>
        <w:rPr>
          <w:color w:val="000000" w:themeColor="text1"/>
          <w:sz w:val="24"/>
          <w:szCs w:val="24"/>
        </w:rPr>
        <w:t>- 63 -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"_Toc24119" </w:instrText>
      </w:r>
      <w:r>
        <w:rPr>
          <w:color w:val="000000" w:themeColor="text1"/>
        </w:rPr>
        <w:fldChar w:fldCharType="separate"/>
      </w:r>
      <w:r>
        <w:rPr>
          <w:color w:val="000000" w:themeColor="text1"/>
          <w:sz w:val="24"/>
          <w:szCs w:val="24"/>
        </w:rPr>
        <w:t>2.2.</w:t>
      </w:r>
      <w:r>
        <w:rPr>
          <w:rFonts w:hint="eastAsia"/>
          <w:color w:val="000000" w:themeColor="text1"/>
          <w:sz w:val="24"/>
          <w:szCs w:val="24"/>
          <w:lang w:eastAsia="zh-CN"/>
        </w:rPr>
        <w:t>3</w:t>
      </w:r>
      <w:r>
        <w:rPr>
          <w:color w:val="000000" w:themeColor="text1"/>
          <w:sz w:val="24"/>
          <w:szCs w:val="24"/>
        </w:rPr>
        <w:t>原矿成分及能源消耗</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_Toc24119 \h </w:instrText>
      </w:r>
      <w:r>
        <w:rPr>
          <w:color w:val="000000" w:themeColor="text1"/>
          <w:sz w:val="24"/>
          <w:szCs w:val="24"/>
        </w:rPr>
        <w:fldChar w:fldCharType="separate"/>
      </w:r>
      <w:r>
        <w:rPr>
          <w:color w:val="000000" w:themeColor="text1"/>
          <w:sz w:val="24"/>
          <w:szCs w:val="24"/>
        </w:rPr>
        <w:t>- 63 -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"_Toc26564" </w:instrText>
      </w:r>
      <w:r>
        <w:rPr>
          <w:color w:val="000000" w:themeColor="text1"/>
        </w:rPr>
        <w:fldChar w:fldCharType="separate"/>
      </w:r>
      <w:r>
        <w:rPr>
          <w:color w:val="000000" w:themeColor="text1"/>
          <w:sz w:val="24"/>
          <w:szCs w:val="24"/>
        </w:rPr>
        <w:t>2.2.</w:t>
      </w:r>
      <w:r>
        <w:rPr>
          <w:rFonts w:hint="eastAsia"/>
          <w:color w:val="000000" w:themeColor="text1"/>
          <w:sz w:val="24"/>
          <w:szCs w:val="24"/>
          <w:lang w:eastAsia="zh-CN"/>
        </w:rPr>
        <w:t>4</w:t>
      </w:r>
      <w:r>
        <w:rPr>
          <w:color w:val="000000" w:themeColor="text1"/>
          <w:sz w:val="24"/>
          <w:szCs w:val="24"/>
        </w:rPr>
        <w:t>原有项目组成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_Toc26564 \h </w:instrText>
      </w:r>
      <w:r>
        <w:rPr>
          <w:color w:val="000000" w:themeColor="text1"/>
          <w:sz w:val="24"/>
          <w:szCs w:val="24"/>
        </w:rPr>
        <w:fldChar w:fldCharType="separate"/>
      </w:r>
      <w:r>
        <w:rPr>
          <w:color w:val="000000" w:themeColor="text1"/>
          <w:sz w:val="24"/>
          <w:szCs w:val="24"/>
        </w:rPr>
        <w:t>- 64 -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"_Toc26143" </w:instrText>
      </w:r>
      <w:r>
        <w:rPr>
          <w:color w:val="000000" w:themeColor="text1"/>
        </w:rPr>
        <w:fldChar w:fldCharType="separate"/>
      </w:r>
      <w:r>
        <w:rPr>
          <w:color w:val="000000" w:themeColor="text1"/>
          <w:sz w:val="24"/>
          <w:szCs w:val="24"/>
        </w:rPr>
        <w:t>2.3原有项目总平面布置</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_Toc26143 \h </w:instrText>
      </w:r>
      <w:r>
        <w:rPr>
          <w:color w:val="000000" w:themeColor="text1"/>
          <w:sz w:val="24"/>
          <w:szCs w:val="24"/>
        </w:rPr>
        <w:fldChar w:fldCharType="separate"/>
      </w:r>
      <w:r>
        <w:rPr>
          <w:color w:val="000000" w:themeColor="text1"/>
          <w:sz w:val="24"/>
          <w:szCs w:val="24"/>
        </w:rPr>
        <w:t>- 66 -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"_Toc28089" </w:instrText>
      </w:r>
      <w:r>
        <w:rPr>
          <w:color w:val="000000" w:themeColor="text1"/>
        </w:rPr>
        <w:fldChar w:fldCharType="separate"/>
      </w:r>
      <w:r>
        <w:rPr>
          <w:color w:val="000000" w:themeColor="text1"/>
          <w:sz w:val="24"/>
          <w:szCs w:val="24"/>
        </w:rPr>
        <w:t>2.4劳动定员及工作制度</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_Toc28089 \h </w:instrText>
      </w:r>
      <w:r>
        <w:rPr>
          <w:color w:val="000000" w:themeColor="text1"/>
          <w:sz w:val="24"/>
          <w:szCs w:val="24"/>
        </w:rPr>
        <w:fldChar w:fldCharType="separate"/>
      </w:r>
      <w:r>
        <w:rPr>
          <w:color w:val="000000" w:themeColor="text1"/>
          <w:sz w:val="24"/>
          <w:szCs w:val="24"/>
        </w:rPr>
        <w:t>- 66 -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"_Toc5077" </w:instrText>
      </w:r>
      <w:r>
        <w:rPr>
          <w:color w:val="000000" w:themeColor="text1"/>
        </w:rPr>
        <w:fldChar w:fldCharType="separate"/>
      </w:r>
      <w:r>
        <w:rPr>
          <w:color w:val="000000" w:themeColor="text1"/>
          <w:sz w:val="24"/>
          <w:szCs w:val="24"/>
        </w:rPr>
        <w:t>2.5选矿工艺及产污节点</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_Toc5077 \h </w:instrText>
      </w:r>
      <w:r>
        <w:rPr>
          <w:color w:val="000000" w:themeColor="text1"/>
          <w:sz w:val="24"/>
          <w:szCs w:val="24"/>
        </w:rPr>
        <w:fldChar w:fldCharType="separate"/>
      </w:r>
      <w:r>
        <w:rPr>
          <w:color w:val="000000" w:themeColor="text1"/>
          <w:sz w:val="24"/>
          <w:szCs w:val="24"/>
        </w:rPr>
        <w:t>- 67 -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"_Toc23538" </w:instrText>
      </w:r>
      <w:r>
        <w:rPr>
          <w:color w:val="000000" w:themeColor="text1"/>
        </w:rPr>
        <w:fldChar w:fldCharType="separate"/>
      </w:r>
      <w:r>
        <w:rPr>
          <w:color w:val="000000" w:themeColor="text1"/>
          <w:sz w:val="24"/>
          <w:szCs w:val="24"/>
        </w:rPr>
        <w:t>2.6辣子箐尾矿库</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_Toc23538 \h </w:instrText>
      </w:r>
      <w:r>
        <w:rPr>
          <w:color w:val="000000" w:themeColor="text1"/>
          <w:sz w:val="24"/>
          <w:szCs w:val="24"/>
        </w:rPr>
        <w:fldChar w:fldCharType="separate"/>
      </w:r>
      <w:r>
        <w:rPr>
          <w:color w:val="000000" w:themeColor="text1"/>
          <w:sz w:val="24"/>
          <w:szCs w:val="24"/>
        </w:rPr>
        <w:t>- 69 -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"_Toc16570" </w:instrText>
      </w:r>
      <w:r>
        <w:rPr>
          <w:color w:val="000000" w:themeColor="text1"/>
        </w:rPr>
        <w:fldChar w:fldCharType="separate"/>
      </w:r>
      <w:r>
        <w:rPr>
          <w:color w:val="000000" w:themeColor="text1"/>
          <w:sz w:val="24"/>
          <w:szCs w:val="24"/>
        </w:rPr>
        <w:t>2.6.1辣子箐尾矿库主要技术指标</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_Toc16570 \h </w:instrText>
      </w:r>
      <w:r>
        <w:rPr>
          <w:color w:val="000000" w:themeColor="text1"/>
          <w:sz w:val="24"/>
          <w:szCs w:val="24"/>
        </w:rPr>
        <w:fldChar w:fldCharType="separate"/>
      </w:r>
      <w:r>
        <w:rPr>
          <w:color w:val="000000" w:themeColor="text1"/>
          <w:sz w:val="24"/>
          <w:szCs w:val="24"/>
        </w:rPr>
        <w:t>- 69 -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"_Toc21942" </w:instrText>
      </w:r>
      <w:r>
        <w:rPr>
          <w:color w:val="000000" w:themeColor="text1"/>
        </w:rPr>
        <w:fldChar w:fldCharType="separate"/>
      </w:r>
      <w:r>
        <w:rPr>
          <w:color w:val="000000" w:themeColor="text1"/>
          <w:sz w:val="24"/>
          <w:szCs w:val="24"/>
        </w:rPr>
        <w:t>2.6.2尾矿输送系统</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_Toc21942 \h </w:instrText>
      </w:r>
      <w:r>
        <w:rPr>
          <w:color w:val="000000" w:themeColor="text1"/>
          <w:sz w:val="24"/>
          <w:szCs w:val="24"/>
        </w:rPr>
        <w:fldChar w:fldCharType="separate"/>
      </w:r>
      <w:r>
        <w:rPr>
          <w:color w:val="000000" w:themeColor="text1"/>
          <w:sz w:val="24"/>
          <w:szCs w:val="24"/>
        </w:rPr>
        <w:t>- 69 -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"_Toc7353" </w:instrText>
      </w:r>
      <w:r>
        <w:rPr>
          <w:color w:val="000000" w:themeColor="text1"/>
        </w:rPr>
        <w:fldChar w:fldCharType="separate"/>
      </w:r>
      <w:r>
        <w:rPr>
          <w:color w:val="000000" w:themeColor="text1"/>
          <w:sz w:val="24"/>
          <w:szCs w:val="24"/>
        </w:rPr>
        <w:t>2.6.3辣子箐尾矿库初期坝及堆坝</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_Toc7353 \h </w:instrText>
      </w:r>
      <w:r>
        <w:rPr>
          <w:color w:val="000000" w:themeColor="text1"/>
          <w:sz w:val="24"/>
          <w:szCs w:val="24"/>
        </w:rPr>
        <w:fldChar w:fldCharType="separate"/>
      </w:r>
      <w:r>
        <w:rPr>
          <w:color w:val="000000" w:themeColor="text1"/>
          <w:sz w:val="24"/>
          <w:szCs w:val="24"/>
        </w:rPr>
        <w:t>- 70 -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"_Toc1532" </w:instrText>
      </w:r>
      <w:r>
        <w:rPr>
          <w:color w:val="000000" w:themeColor="text1"/>
        </w:rPr>
        <w:fldChar w:fldCharType="separate"/>
      </w:r>
      <w:r>
        <w:rPr>
          <w:color w:val="000000" w:themeColor="text1"/>
          <w:sz w:val="24"/>
          <w:szCs w:val="24"/>
        </w:rPr>
        <w:t>2.6.4排洪设施</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_Toc1532 \h </w:instrText>
      </w:r>
      <w:r>
        <w:rPr>
          <w:color w:val="000000" w:themeColor="text1"/>
          <w:sz w:val="24"/>
          <w:szCs w:val="24"/>
        </w:rPr>
        <w:fldChar w:fldCharType="separate"/>
      </w:r>
      <w:r>
        <w:rPr>
          <w:color w:val="000000" w:themeColor="text1"/>
          <w:sz w:val="24"/>
          <w:szCs w:val="24"/>
        </w:rPr>
        <w:t>- 70 -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"_Toc24253" </w:instrText>
      </w:r>
      <w:r>
        <w:rPr>
          <w:color w:val="000000" w:themeColor="text1"/>
        </w:rPr>
        <w:fldChar w:fldCharType="separate"/>
      </w:r>
      <w:r>
        <w:rPr>
          <w:color w:val="000000" w:themeColor="text1"/>
          <w:sz w:val="24"/>
          <w:szCs w:val="24"/>
        </w:rPr>
        <w:t>2.6.5回水池</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_Toc24253 \h </w:instrText>
      </w:r>
      <w:r>
        <w:rPr>
          <w:color w:val="000000" w:themeColor="text1"/>
          <w:sz w:val="24"/>
          <w:szCs w:val="24"/>
        </w:rPr>
        <w:fldChar w:fldCharType="separate"/>
      </w:r>
      <w:r>
        <w:rPr>
          <w:color w:val="000000" w:themeColor="text1"/>
          <w:sz w:val="24"/>
          <w:szCs w:val="24"/>
        </w:rPr>
        <w:t>- 71 -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"_Toc26766" </w:instrText>
      </w:r>
      <w:r>
        <w:rPr>
          <w:color w:val="000000" w:themeColor="text1"/>
        </w:rPr>
        <w:fldChar w:fldCharType="separate"/>
      </w:r>
      <w:r>
        <w:rPr>
          <w:color w:val="000000" w:themeColor="text1"/>
          <w:sz w:val="24"/>
          <w:szCs w:val="24"/>
        </w:rPr>
        <w:t>2.7</w:t>
      </w:r>
      <w:r>
        <w:rPr>
          <w:rFonts w:hint="eastAsia"/>
          <w:color w:val="000000" w:themeColor="text1"/>
          <w:sz w:val="24"/>
          <w:szCs w:val="24"/>
        </w:rPr>
        <w:t>水量平衡分析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_Toc26766 \h </w:instrText>
      </w:r>
      <w:r>
        <w:rPr>
          <w:color w:val="000000" w:themeColor="text1"/>
          <w:sz w:val="24"/>
          <w:szCs w:val="24"/>
        </w:rPr>
        <w:fldChar w:fldCharType="separate"/>
      </w:r>
      <w:r>
        <w:rPr>
          <w:color w:val="000000" w:themeColor="text1"/>
          <w:sz w:val="24"/>
          <w:szCs w:val="24"/>
        </w:rPr>
        <w:t>- 71 -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"_Toc22986" </w:instrText>
      </w:r>
      <w:r>
        <w:rPr>
          <w:color w:val="000000" w:themeColor="text1"/>
        </w:rPr>
        <w:fldChar w:fldCharType="separate"/>
      </w:r>
      <w:r>
        <w:rPr>
          <w:color w:val="000000" w:themeColor="text1"/>
          <w:sz w:val="24"/>
          <w:szCs w:val="24"/>
        </w:rPr>
        <w:t>2.7.</w:t>
      </w:r>
      <w:r>
        <w:rPr>
          <w:rFonts w:hint="eastAsia"/>
          <w:color w:val="000000" w:themeColor="text1"/>
          <w:sz w:val="24"/>
          <w:szCs w:val="24"/>
        </w:rPr>
        <w:t>1</w:t>
      </w:r>
      <w:r>
        <w:rPr>
          <w:color w:val="000000" w:themeColor="text1"/>
          <w:sz w:val="24"/>
          <w:szCs w:val="24"/>
        </w:rPr>
        <w:t>给水系统</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_Toc22986 \h </w:instrText>
      </w:r>
      <w:r>
        <w:rPr>
          <w:color w:val="000000" w:themeColor="text1"/>
          <w:sz w:val="24"/>
          <w:szCs w:val="24"/>
        </w:rPr>
        <w:fldChar w:fldCharType="separate"/>
      </w:r>
      <w:r>
        <w:rPr>
          <w:color w:val="000000" w:themeColor="text1"/>
          <w:sz w:val="24"/>
          <w:szCs w:val="24"/>
        </w:rPr>
        <w:t>- 71 -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"_Toc14653" </w:instrText>
      </w:r>
      <w:r>
        <w:rPr>
          <w:color w:val="000000" w:themeColor="text1"/>
        </w:rPr>
        <w:fldChar w:fldCharType="separate"/>
      </w:r>
      <w:r>
        <w:rPr>
          <w:color w:val="000000" w:themeColor="text1"/>
          <w:sz w:val="24"/>
          <w:szCs w:val="24"/>
        </w:rPr>
        <w:t>2.7.</w:t>
      </w:r>
      <w:r>
        <w:rPr>
          <w:rFonts w:hint="eastAsia"/>
          <w:color w:val="000000" w:themeColor="text1"/>
          <w:sz w:val="24"/>
          <w:szCs w:val="24"/>
        </w:rPr>
        <w:t>2</w:t>
      </w:r>
      <w:r>
        <w:rPr>
          <w:color w:val="000000" w:themeColor="text1"/>
          <w:sz w:val="24"/>
          <w:szCs w:val="24"/>
        </w:rPr>
        <w:t>排水系统</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_Toc14653 \h </w:instrText>
      </w:r>
      <w:r>
        <w:rPr>
          <w:color w:val="000000" w:themeColor="text1"/>
          <w:sz w:val="24"/>
          <w:szCs w:val="24"/>
        </w:rPr>
        <w:fldChar w:fldCharType="separate"/>
      </w:r>
      <w:r>
        <w:rPr>
          <w:color w:val="000000" w:themeColor="text1"/>
          <w:sz w:val="24"/>
          <w:szCs w:val="24"/>
        </w:rPr>
        <w:t>- 72 -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"_Toc9185" </w:instrText>
      </w:r>
      <w:r>
        <w:rPr>
          <w:color w:val="000000" w:themeColor="text1"/>
        </w:rPr>
        <w:fldChar w:fldCharType="separate"/>
      </w:r>
      <w:r>
        <w:rPr>
          <w:color w:val="000000" w:themeColor="text1"/>
          <w:sz w:val="24"/>
          <w:szCs w:val="24"/>
        </w:rPr>
        <w:t>2.7.3项目水量平衡</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_Toc9185 \h </w:instrText>
      </w:r>
      <w:r>
        <w:rPr>
          <w:color w:val="000000" w:themeColor="text1"/>
          <w:sz w:val="24"/>
          <w:szCs w:val="24"/>
        </w:rPr>
        <w:fldChar w:fldCharType="separate"/>
      </w:r>
      <w:r>
        <w:rPr>
          <w:color w:val="000000" w:themeColor="text1"/>
          <w:sz w:val="24"/>
          <w:szCs w:val="24"/>
        </w:rPr>
        <w:t>- 74 -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"_Toc8618" </w:instrText>
      </w:r>
      <w:r>
        <w:rPr>
          <w:color w:val="000000" w:themeColor="text1"/>
        </w:rPr>
        <w:fldChar w:fldCharType="separate"/>
      </w:r>
      <w:r>
        <w:rPr>
          <w:color w:val="000000" w:themeColor="text1"/>
          <w:sz w:val="24"/>
          <w:szCs w:val="24"/>
        </w:rPr>
        <w:t>2.8现有污染物排放</w:t>
      </w:r>
      <w:r>
        <w:rPr>
          <w:rFonts w:hint="eastAsia"/>
          <w:color w:val="000000" w:themeColor="text1"/>
          <w:sz w:val="24"/>
          <w:szCs w:val="24"/>
        </w:rPr>
        <w:t>及污染治理设施</w:t>
      </w:r>
      <w:r>
        <w:rPr>
          <w:color w:val="000000" w:themeColor="text1"/>
          <w:sz w:val="24"/>
          <w:szCs w:val="24"/>
        </w:rPr>
        <w:t>调查</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_Toc8618 \h </w:instrText>
      </w:r>
      <w:r>
        <w:rPr>
          <w:color w:val="000000" w:themeColor="text1"/>
          <w:sz w:val="24"/>
          <w:szCs w:val="24"/>
        </w:rPr>
        <w:fldChar w:fldCharType="separate"/>
      </w:r>
      <w:r>
        <w:rPr>
          <w:color w:val="000000" w:themeColor="text1"/>
          <w:sz w:val="24"/>
          <w:szCs w:val="24"/>
        </w:rPr>
        <w:t>- 76 -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"_Toc9506" </w:instrText>
      </w:r>
      <w:r>
        <w:rPr>
          <w:color w:val="000000" w:themeColor="text1"/>
        </w:rPr>
        <w:fldChar w:fldCharType="separate"/>
      </w:r>
      <w:r>
        <w:rPr>
          <w:color w:val="000000" w:themeColor="text1"/>
          <w:sz w:val="24"/>
          <w:szCs w:val="24"/>
        </w:rPr>
        <w:t>2.8.1废水</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_Toc9506 \h </w:instrText>
      </w:r>
      <w:r>
        <w:rPr>
          <w:color w:val="000000" w:themeColor="text1"/>
          <w:sz w:val="24"/>
          <w:szCs w:val="24"/>
        </w:rPr>
        <w:fldChar w:fldCharType="separate"/>
      </w:r>
      <w:r>
        <w:rPr>
          <w:color w:val="000000" w:themeColor="text1"/>
          <w:sz w:val="24"/>
          <w:szCs w:val="24"/>
        </w:rPr>
        <w:t>- 76 -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"_Toc17012" </w:instrText>
      </w:r>
      <w:r>
        <w:rPr>
          <w:color w:val="000000" w:themeColor="text1"/>
        </w:rPr>
        <w:fldChar w:fldCharType="separate"/>
      </w:r>
      <w:r>
        <w:rPr>
          <w:color w:val="000000" w:themeColor="text1"/>
          <w:sz w:val="24"/>
          <w:szCs w:val="24"/>
        </w:rPr>
        <w:t>2.8.2</w:t>
      </w:r>
      <w:r>
        <w:rPr>
          <w:rFonts w:hint="eastAsia"/>
          <w:color w:val="000000" w:themeColor="text1"/>
          <w:sz w:val="24"/>
          <w:szCs w:val="24"/>
        </w:rPr>
        <w:t>地下水</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_Toc17012 \h </w:instrText>
      </w:r>
      <w:r>
        <w:rPr>
          <w:color w:val="000000" w:themeColor="text1"/>
          <w:sz w:val="24"/>
          <w:szCs w:val="24"/>
        </w:rPr>
        <w:fldChar w:fldCharType="separate"/>
      </w:r>
      <w:r>
        <w:rPr>
          <w:color w:val="000000" w:themeColor="text1"/>
          <w:sz w:val="24"/>
          <w:szCs w:val="24"/>
        </w:rPr>
        <w:t>- 77 -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"_Toc22717" </w:instrText>
      </w:r>
      <w:r>
        <w:rPr>
          <w:color w:val="000000" w:themeColor="text1"/>
        </w:rPr>
        <w:fldChar w:fldCharType="separate"/>
      </w:r>
      <w:r>
        <w:rPr>
          <w:color w:val="000000" w:themeColor="text1"/>
          <w:sz w:val="24"/>
          <w:szCs w:val="24"/>
        </w:rPr>
        <w:t>2.8.</w:t>
      </w:r>
      <w:r>
        <w:rPr>
          <w:rFonts w:hint="eastAsia"/>
          <w:color w:val="000000" w:themeColor="text1"/>
          <w:sz w:val="24"/>
          <w:szCs w:val="24"/>
        </w:rPr>
        <w:t>3</w:t>
      </w:r>
      <w:r>
        <w:rPr>
          <w:color w:val="000000" w:themeColor="text1"/>
          <w:sz w:val="24"/>
          <w:szCs w:val="24"/>
        </w:rPr>
        <w:t>废气</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_Toc22717 \h </w:instrText>
      </w:r>
      <w:r>
        <w:rPr>
          <w:color w:val="000000" w:themeColor="text1"/>
          <w:sz w:val="24"/>
          <w:szCs w:val="24"/>
        </w:rPr>
        <w:fldChar w:fldCharType="separate"/>
      </w:r>
      <w:r>
        <w:rPr>
          <w:color w:val="000000" w:themeColor="text1"/>
          <w:sz w:val="24"/>
          <w:szCs w:val="24"/>
        </w:rPr>
        <w:t>- 78 -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"_Toc23249" </w:instrText>
      </w:r>
      <w:r>
        <w:rPr>
          <w:color w:val="000000" w:themeColor="text1"/>
        </w:rPr>
        <w:fldChar w:fldCharType="separate"/>
      </w:r>
      <w:r>
        <w:rPr>
          <w:color w:val="000000" w:themeColor="text1"/>
          <w:sz w:val="24"/>
          <w:szCs w:val="24"/>
        </w:rPr>
        <w:t>2.8.</w:t>
      </w:r>
      <w:r>
        <w:rPr>
          <w:rFonts w:hint="eastAsia"/>
          <w:color w:val="000000" w:themeColor="text1"/>
          <w:sz w:val="24"/>
          <w:szCs w:val="24"/>
        </w:rPr>
        <w:t>4</w:t>
      </w:r>
      <w:r>
        <w:rPr>
          <w:color w:val="000000" w:themeColor="text1"/>
          <w:sz w:val="24"/>
          <w:szCs w:val="24"/>
        </w:rPr>
        <w:t>固废</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_Toc23249 \h </w:instrText>
      </w:r>
      <w:r>
        <w:rPr>
          <w:color w:val="000000" w:themeColor="text1"/>
          <w:sz w:val="24"/>
          <w:szCs w:val="24"/>
        </w:rPr>
        <w:fldChar w:fldCharType="separate"/>
      </w:r>
      <w:r>
        <w:rPr>
          <w:color w:val="000000" w:themeColor="text1"/>
          <w:sz w:val="24"/>
          <w:szCs w:val="24"/>
        </w:rPr>
        <w:t>- 83 -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"_Toc5815" </w:instrText>
      </w:r>
      <w:r>
        <w:rPr>
          <w:color w:val="000000" w:themeColor="text1"/>
        </w:rPr>
        <w:fldChar w:fldCharType="separate"/>
      </w:r>
      <w:r>
        <w:rPr>
          <w:color w:val="000000" w:themeColor="text1"/>
          <w:sz w:val="24"/>
          <w:szCs w:val="24"/>
        </w:rPr>
        <w:t>2.8.</w:t>
      </w:r>
      <w:r>
        <w:rPr>
          <w:rFonts w:hint="eastAsia"/>
          <w:color w:val="000000" w:themeColor="text1"/>
          <w:sz w:val="24"/>
          <w:szCs w:val="24"/>
        </w:rPr>
        <w:t>5</w:t>
      </w:r>
      <w:r>
        <w:rPr>
          <w:color w:val="000000" w:themeColor="text1"/>
          <w:sz w:val="24"/>
          <w:szCs w:val="24"/>
        </w:rPr>
        <w:t>噪声</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_Toc5815 \h </w:instrText>
      </w:r>
      <w:r>
        <w:rPr>
          <w:color w:val="000000" w:themeColor="text1"/>
          <w:sz w:val="24"/>
          <w:szCs w:val="24"/>
        </w:rPr>
        <w:fldChar w:fldCharType="separate"/>
      </w:r>
      <w:r>
        <w:rPr>
          <w:color w:val="000000" w:themeColor="text1"/>
          <w:sz w:val="24"/>
          <w:szCs w:val="24"/>
        </w:rPr>
        <w:t>- 84 -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"_Toc10707" </w:instrText>
      </w:r>
      <w:r>
        <w:rPr>
          <w:color w:val="000000" w:themeColor="text1"/>
        </w:rPr>
        <w:fldChar w:fldCharType="separate"/>
      </w:r>
      <w:r>
        <w:rPr>
          <w:color w:val="000000" w:themeColor="text1"/>
          <w:sz w:val="24"/>
          <w:szCs w:val="24"/>
        </w:rPr>
        <w:t>2.9原有项目污染物产生和排放情况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_Toc10707 \h </w:instrText>
      </w:r>
      <w:r>
        <w:rPr>
          <w:color w:val="000000" w:themeColor="text1"/>
          <w:sz w:val="24"/>
          <w:szCs w:val="24"/>
        </w:rPr>
        <w:fldChar w:fldCharType="separate"/>
      </w:r>
      <w:r>
        <w:rPr>
          <w:color w:val="000000" w:themeColor="text1"/>
          <w:sz w:val="24"/>
          <w:szCs w:val="24"/>
        </w:rPr>
        <w:t>- 85 -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"_Toc13453" </w:instrText>
      </w:r>
      <w:r>
        <w:rPr>
          <w:color w:val="000000" w:themeColor="text1"/>
        </w:rPr>
        <w:fldChar w:fldCharType="separate"/>
      </w:r>
      <w:r>
        <w:rPr>
          <w:color w:val="000000" w:themeColor="text1"/>
          <w:sz w:val="24"/>
          <w:szCs w:val="24"/>
        </w:rPr>
        <w:t>2.10原有项目环境问题分析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_Toc13453 \h </w:instrText>
      </w:r>
      <w:r>
        <w:rPr>
          <w:color w:val="000000" w:themeColor="text1"/>
          <w:sz w:val="24"/>
          <w:szCs w:val="24"/>
        </w:rPr>
        <w:fldChar w:fldCharType="separate"/>
      </w:r>
      <w:r>
        <w:rPr>
          <w:color w:val="000000" w:themeColor="text1"/>
          <w:sz w:val="24"/>
          <w:szCs w:val="24"/>
        </w:rPr>
        <w:t>- 86 -</w:t>
      </w:r>
      <w:r>
        <w:rPr>
          <w:color w:val="000000" w:themeColor="text1"/>
          <w:sz w:val="24"/>
          <w:szCs w:val="24"/>
        </w:rPr>
        <w:fldChar w:fldCharType="end"/>
      </w:r>
      <w:r>
        <w:rPr>
          <w:color w:val="000000" w:themeColor="text1"/>
          <w:sz w:val="24"/>
          <w:szCs w:val="24"/>
        </w:rPr>
        <w:fldChar w:fldCharType="end"/>
      </w:r>
    </w:p>
    <w:p>
      <w:pPr>
        <w:pStyle w:val="44"/>
        <w:tabs>
          <w:tab w:val="right" w:leader="dot" w:pos="8312"/>
          <w:tab w:val="clear" w:pos="8296"/>
        </w:tabs>
        <w:spacing w:before="65"/>
        <w:ind w:firstLine="482"/>
        <w:rPr>
          <w:color w:val="000000" w:themeColor="text1"/>
          <w:sz w:val="24"/>
          <w:szCs w:val="24"/>
        </w:rPr>
      </w:pPr>
      <w:r>
        <w:rPr>
          <w:color w:val="000000" w:themeColor="text1"/>
        </w:rPr>
        <w:fldChar w:fldCharType="begin"/>
      </w:r>
      <w:r>
        <w:rPr>
          <w:color w:val="000000" w:themeColor="text1"/>
        </w:rPr>
        <w:instrText xml:space="preserve"> HYPERLINK \l "_Toc16101" </w:instrText>
      </w:r>
      <w:r>
        <w:rPr>
          <w:color w:val="000000" w:themeColor="text1"/>
        </w:rPr>
        <w:fldChar w:fldCharType="separate"/>
      </w:r>
      <w:r>
        <w:rPr>
          <w:color w:val="000000" w:themeColor="text1"/>
          <w:kern w:val="32"/>
          <w:sz w:val="24"/>
          <w:szCs w:val="24"/>
        </w:rPr>
        <w:t>3项目概况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_Toc16101 \h </w:instrText>
      </w:r>
      <w:r>
        <w:rPr>
          <w:color w:val="000000" w:themeColor="text1"/>
          <w:sz w:val="24"/>
          <w:szCs w:val="24"/>
        </w:rPr>
        <w:fldChar w:fldCharType="separate"/>
      </w:r>
      <w:r>
        <w:rPr>
          <w:color w:val="000000" w:themeColor="text1"/>
          <w:sz w:val="24"/>
          <w:szCs w:val="24"/>
        </w:rPr>
        <w:t>- 87 -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"_Toc31802" </w:instrText>
      </w:r>
      <w:r>
        <w:rPr>
          <w:color w:val="000000" w:themeColor="text1"/>
        </w:rPr>
        <w:fldChar w:fldCharType="separate"/>
      </w:r>
      <w:r>
        <w:rPr>
          <w:color w:val="000000" w:themeColor="text1"/>
          <w:sz w:val="24"/>
          <w:szCs w:val="24"/>
        </w:rPr>
        <w:t>3.1</w:t>
      </w:r>
      <w:r>
        <w:rPr>
          <w:rFonts w:hint="eastAsia"/>
          <w:color w:val="000000" w:themeColor="text1"/>
          <w:sz w:val="24"/>
          <w:szCs w:val="24"/>
        </w:rPr>
        <w:t>技改</w:t>
      </w:r>
      <w:r>
        <w:rPr>
          <w:color w:val="000000" w:themeColor="text1"/>
          <w:sz w:val="24"/>
          <w:szCs w:val="24"/>
        </w:rPr>
        <w:t>项目概况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_Toc31802 \h </w:instrText>
      </w:r>
      <w:r>
        <w:rPr>
          <w:color w:val="000000" w:themeColor="text1"/>
          <w:sz w:val="24"/>
          <w:szCs w:val="24"/>
        </w:rPr>
        <w:fldChar w:fldCharType="separate"/>
      </w:r>
      <w:r>
        <w:rPr>
          <w:color w:val="000000" w:themeColor="text1"/>
          <w:sz w:val="24"/>
          <w:szCs w:val="24"/>
        </w:rPr>
        <w:t>- 87 -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"_Toc23378" </w:instrText>
      </w:r>
      <w:r>
        <w:rPr>
          <w:color w:val="000000" w:themeColor="text1"/>
        </w:rPr>
        <w:fldChar w:fldCharType="separate"/>
      </w:r>
      <w:r>
        <w:rPr>
          <w:color w:val="000000" w:themeColor="text1"/>
          <w:sz w:val="24"/>
          <w:szCs w:val="24"/>
        </w:rPr>
        <w:t>3.2建设内容及占地</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_Toc23378 \h </w:instrText>
      </w:r>
      <w:r>
        <w:rPr>
          <w:color w:val="000000" w:themeColor="text1"/>
          <w:sz w:val="24"/>
          <w:szCs w:val="24"/>
        </w:rPr>
        <w:fldChar w:fldCharType="separate"/>
      </w:r>
      <w:r>
        <w:rPr>
          <w:color w:val="000000" w:themeColor="text1"/>
          <w:sz w:val="24"/>
          <w:szCs w:val="24"/>
        </w:rPr>
        <w:t>- 87 -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"_Toc13361" </w:instrText>
      </w:r>
      <w:r>
        <w:rPr>
          <w:color w:val="000000" w:themeColor="text1"/>
        </w:rPr>
        <w:fldChar w:fldCharType="separate"/>
      </w:r>
      <w:r>
        <w:rPr>
          <w:color w:val="000000" w:themeColor="text1"/>
          <w:sz w:val="24"/>
          <w:szCs w:val="24"/>
        </w:rPr>
        <w:t>3.3总平面布置</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_Toc13361 \h </w:instrText>
      </w:r>
      <w:r>
        <w:rPr>
          <w:color w:val="000000" w:themeColor="text1"/>
          <w:sz w:val="24"/>
          <w:szCs w:val="24"/>
        </w:rPr>
        <w:fldChar w:fldCharType="separate"/>
      </w:r>
      <w:r>
        <w:rPr>
          <w:color w:val="000000" w:themeColor="text1"/>
          <w:sz w:val="24"/>
          <w:szCs w:val="24"/>
        </w:rPr>
        <w:t>- 94 -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"_Toc21709" </w:instrText>
      </w:r>
      <w:r>
        <w:rPr>
          <w:color w:val="000000" w:themeColor="text1"/>
        </w:rPr>
        <w:fldChar w:fldCharType="separate"/>
      </w:r>
      <w:r>
        <w:rPr>
          <w:color w:val="000000" w:themeColor="text1"/>
          <w:sz w:val="24"/>
          <w:szCs w:val="24"/>
        </w:rPr>
        <w:t>3.</w:t>
      </w:r>
      <w:r>
        <w:rPr>
          <w:rFonts w:hint="eastAsia"/>
          <w:color w:val="000000" w:themeColor="text1"/>
          <w:sz w:val="24"/>
          <w:szCs w:val="24"/>
        </w:rPr>
        <w:t>4</w:t>
      </w:r>
      <w:r>
        <w:rPr>
          <w:color w:val="000000" w:themeColor="text1"/>
          <w:sz w:val="24"/>
          <w:szCs w:val="24"/>
        </w:rPr>
        <w:t>生产规模及产品方案</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_Toc21709 \h </w:instrText>
      </w:r>
      <w:r>
        <w:rPr>
          <w:color w:val="000000" w:themeColor="text1"/>
          <w:sz w:val="24"/>
          <w:szCs w:val="24"/>
        </w:rPr>
        <w:fldChar w:fldCharType="separate"/>
      </w:r>
      <w:r>
        <w:rPr>
          <w:color w:val="000000" w:themeColor="text1"/>
          <w:sz w:val="24"/>
          <w:szCs w:val="24"/>
        </w:rPr>
        <w:t>- 96 -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"_Toc2111" </w:instrText>
      </w:r>
      <w:r>
        <w:rPr>
          <w:color w:val="000000" w:themeColor="text1"/>
        </w:rPr>
        <w:fldChar w:fldCharType="separate"/>
      </w:r>
      <w:r>
        <w:rPr>
          <w:color w:val="000000" w:themeColor="text1"/>
          <w:sz w:val="24"/>
          <w:szCs w:val="24"/>
        </w:rPr>
        <w:t>3.</w:t>
      </w:r>
      <w:r>
        <w:rPr>
          <w:rFonts w:hint="eastAsia"/>
          <w:color w:val="000000" w:themeColor="text1"/>
          <w:sz w:val="24"/>
          <w:szCs w:val="24"/>
        </w:rPr>
        <w:t>5</w:t>
      </w:r>
      <w:r>
        <w:rPr>
          <w:color w:val="000000" w:themeColor="text1"/>
          <w:sz w:val="24"/>
          <w:szCs w:val="24"/>
        </w:rPr>
        <w:t>主要原辅材料及能源消耗</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_Toc2111 \h </w:instrText>
      </w:r>
      <w:r>
        <w:rPr>
          <w:color w:val="000000" w:themeColor="text1"/>
          <w:sz w:val="24"/>
          <w:szCs w:val="24"/>
        </w:rPr>
        <w:fldChar w:fldCharType="separate"/>
      </w:r>
      <w:r>
        <w:rPr>
          <w:color w:val="000000" w:themeColor="text1"/>
          <w:sz w:val="24"/>
          <w:szCs w:val="24"/>
        </w:rPr>
        <w:t>- 97 -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"_Toc10569" </w:instrText>
      </w:r>
      <w:r>
        <w:rPr>
          <w:color w:val="000000" w:themeColor="text1"/>
        </w:rPr>
        <w:fldChar w:fldCharType="separate"/>
      </w:r>
      <w:r>
        <w:rPr>
          <w:color w:val="000000" w:themeColor="text1"/>
          <w:sz w:val="24"/>
          <w:szCs w:val="24"/>
        </w:rPr>
        <w:t>3.</w:t>
      </w:r>
      <w:r>
        <w:rPr>
          <w:rFonts w:hint="eastAsia"/>
          <w:color w:val="000000" w:themeColor="text1"/>
          <w:sz w:val="24"/>
          <w:szCs w:val="24"/>
        </w:rPr>
        <w:t>5</w:t>
      </w:r>
      <w:r>
        <w:rPr>
          <w:color w:val="000000" w:themeColor="text1"/>
          <w:sz w:val="24"/>
          <w:szCs w:val="24"/>
        </w:rPr>
        <w:t>.1技改后入选的低品位矿</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_Toc10569 \h </w:instrText>
      </w:r>
      <w:r>
        <w:rPr>
          <w:color w:val="000000" w:themeColor="text1"/>
          <w:sz w:val="24"/>
          <w:szCs w:val="24"/>
        </w:rPr>
        <w:fldChar w:fldCharType="separate"/>
      </w:r>
      <w:r>
        <w:rPr>
          <w:color w:val="000000" w:themeColor="text1"/>
          <w:sz w:val="24"/>
          <w:szCs w:val="24"/>
        </w:rPr>
        <w:t>- 97 -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"_Toc25209" </w:instrText>
      </w:r>
      <w:r>
        <w:rPr>
          <w:color w:val="000000" w:themeColor="text1"/>
        </w:rPr>
        <w:fldChar w:fldCharType="separate"/>
      </w:r>
      <w:r>
        <w:rPr>
          <w:color w:val="000000" w:themeColor="text1"/>
          <w:sz w:val="24"/>
          <w:szCs w:val="24"/>
        </w:rPr>
        <w:t>3.</w:t>
      </w:r>
      <w:r>
        <w:rPr>
          <w:rFonts w:hint="eastAsia"/>
          <w:color w:val="000000" w:themeColor="text1"/>
          <w:sz w:val="24"/>
          <w:szCs w:val="24"/>
        </w:rPr>
        <w:t>5</w:t>
      </w:r>
      <w:r>
        <w:rPr>
          <w:color w:val="000000" w:themeColor="text1"/>
          <w:sz w:val="24"/>
          <w:szCs w:val="24"/>
        </w:rPr>
        <w:t>.2三级精铁矿成分分析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_Toc25209 \h </w:instrText>
      </w:r>
      <w:r>
        <w:rPr>
          <w:color w:val="000000" w:themeColor="text1"/>
          <w:sz w:val="24"/>
          <w:szCs w:val="24"/>
        </w:rPr>
        <w:fldChar w:fldCharType="separate"/>
      </w:r>
      <w:r>
        <w:rPr>
          <w:color w:val="000000" w:themeColor="text1"/>
          <w:sz w:val="24"/>
          <w:szCs w:val="24"/>
        </w:rPr>
        <w:t>- 97 -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"_Toc14002" </w:instrText>
      </w:r>
      <w:r>
        <w:rPr>
          <w:color w:val="000000" w:themeColor="text1"/>
        </w:rPr>
        <w:fldChar w:fldCharType="separate"/>
      </w:r>
      <w:r>
        <w:rPr>
          <w:color w:val="000000" w:themeColor="text1"/>
          <w:sz w:val="24"/>
          <w:szCs w:val="24"/>
        </w:rPr>
        <w:t>3.</w:t>
      </w:r>
      <w:r>
        <w:rPr>
          <w:rFonts w:hint="eastAsia"/>
          <w:color w:val="000000" w:themeColor="text1"/>
          <w:sz w:val="24"/>
          <w:szCs w:val="24"/>
        </w:rPr>
        <w:t>5</w:t>
      </w:r>
      <w:r>
        <w:rPr>
          <w:color w:val="000000" w:themeColor="text1"/>
          <w:sz w:val="24"/>
          <w:szCs w:val="24"/>
        </w:rPr>
        <w:t>.3主要原、辅料及能源消耗情况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_Toc14002 \h </w:instrText>
      </w:r>
      <w:r>
        <w:rPr>
          <w:color w:val="000000" w:themeColor="text1"/>
          <w:sz w:val="24"/>
          <w:szCs w:val="24"/>
        </w:rPr>
        <w:fldChar w:fldCharType="separate"/>
      </w:r>
      <w:r>
        <w:rPr>
          <w:color w:val="000000" w:themeColor="text1"/>
          <w:sz w:val="24"/>
          <w:szCs w:val="24"/>
        </w:rPr>
        <w:t>- 98 -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"_Toc31903" </w:instrText>
      </w:r>
      <w:r>
        <w:rPr>
          <w:color w:val="000000" w:themeColor="text1"/>
        </w:rPr>
        <w:fldChar w:fldCharType="separate"/>
      </w:r>
      <w:r>
        <w:rPr>
          <w:color w:val="000000" w:themeColor="text1"/>
          <w:sz w:val="24"/>
          <w:szCs w:val="24"/>
        </w:rPr>
        <w:t>3.</w:t>
      </w:r>
      <w:r>
        <w:rPr>
          <w:rFonts w:hint="eastAsia"/>
          <w:color w:val="000000" w:themeColor="text1"/>
          <w:sz w:val="24"/>
          <w:szCs w:val="24"/>
        </w:rPr>
        <w:t>6</w:t>
      </w:r>
      <w:r>
        <w:rPr>
          <w:color w:val="000000" w:themeColor="text1"/>
          <w:sz w:val="24"/>
          <w:szCs w:val="24"/>
        </w:rPr>
        <w:t>主要生产设备</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_Toc31903 \h </w:instrText>
      </w:r>
      <w:r>
        <w:rPr>
          <w:color w:val="000000" w:themeColor="text1"/>
          <w:sz w:val="24"/>
          <w:szCs w:val="24"/>
        </w:rPr>
        <w:fldChar w:fldCharType="separate"/>
      </w:r>
      <w:r>
        <w:rPr>
          <w:color w:val="000000" w:themeColor="text1"/>
          <w:sz w:val="24"/>
          <w:szCs w:val="24"/>
        </w:rPr>
        <w:t>- 99 -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"_Toc23870" </w:instrText>
      </w:r>
      <w:r>
        <w:rPr>
          <w:color w:val="000000" w:themeColor="text1"/>
        </w:rPr>
        <w:fldChar w:fldCharType="separate"/>
      </w:r>
      <w:r>
        <w:rPr>
          <w:rFonts w:hint="eastAsia"/>
          <w:color w:val="000000" w:themeColor="text1"/>
          <w:sz w:val="24"/>
          <w:szCs w:val="24"/>
        </w:rPr>
        <w:t>3</w:t>
      </w:r>
      <w:r>
        <w:rPr>
          <w:color w:val="000000" w:themeColor="text1"/>
          <w:sz w:val="24"/>
          <w:szCs w:val="24"/>
        </w:rPr>
        <w:t>.</w:t>
      </w:r>
      <w:r>
        <w:rPr>
          <w:rFonts w:hint="eastAsia"/>
          <w:color w:val="000000" w:themeColor="text1"/>
          <w:sz w:val="24"/>
          <w:szCs w:val="24"/>
        </w:rPr>
        <w:t>7</w:t>
      </w:r>
      <w:r>
        <w:rPr>
          <w:color w:val="000000" w:themeColor="text1"/>
          <w:sz w:val="24"/>
          <w:szCs w:val="24"/>
        </w:rPr>
        <w:t>项目所依托的龙都尾矿库</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_Toc23870 \h </w:instrText>
      </w:r>
      <w:r>
        <w:rPr>
          <w:color w:val="000000" w:themeColor="text1"/>
          <w:sz w:val="24"/>
          <w:szCs w:val="24"/>
        </w:rPr>
        <w:fldChar w:fldCharType="separate"/>
      </w:r>
      <w:r>
        <w:rPr>
          <w:color w:val="000000" w:themeColor="text1"/>
          <w:sz w:val="24"/>
          <w:szCs w:val="24"/>
        </w:rPr>
        <w:t>- 102 -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"_Toc30111" </w:instrText>
      </w:r>
      <w:r>
        <w:rPr>
          <w:color w:val="000000" w:themeColor="text1"/>
        </w:rPr>
        <w:fldChar w:fldCharType="separate"/>
      </w:r>
      <w:r>
        <w:rPr>
          <w:color w:val="000000" w:themeColor="text1"/>
          <w:sz w:val="24"/>
          <w:szCs w:val="24"/>
        </w:rPr>
        <w:t>3.</w:t>
      </w:r>
      <w:r>
        <w:rPr>
          <w:rFonts w:hint="eastAsia"/>
          <w:color w:val="000000" w:themeColor="text1"/>
          <w:sz w:val="24"/>
          <w:szCs w:val="24"/>
        </w:rPr>
        <w:t>7</w:t>
      </w:r>
      <w:r>
        <w:rPr>
          <w:color w:val="000000" w:themeColor="text1"/>
          <w:sz w:val="24"/>
          <w:szCs w:val="24"/>
        </w:rPr>
        <w:t>.1龙都尾矿库</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_Toc30111 \h </w:instrText>
      </w:r>
      <w:r>
        <w:rPr>
          <w:color w:val="000000" w:themeColor="text1"/>
          <w:sz w:val="24"/>
          <w:szCs w:val="24"/>
        </w:rPr>
        <w:fldChar w:fldCharType="separate"/>
      </w:r>
      <w:r>
        <w:rPr>
          <w:color w:val="000000" w:themeColor="text1"/>
          <w:sz w:val="24"/>
          <w:szCs w:val="24"/>
        </w:rPr>
        <w:t>- 102 -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"_Toc18798" </w:instrText>
      </w:r>
      <w:r>
        <w:rPr>
          <w:color w:val="000000" w:themeColor="text1"/>
        </w:rPr>
        <w:fldChar w:fldCharType="separate"/>
      </w:r>
      <w:r>
        <w:rPr>
          <w:color w:val="000000" w:themeColor="text1"/>
          <w:sz w:val="24"/>
          <w:szCs w:val="24"/>
        </w:rPr>
        <w:t>3.</w:t>
      </w:r>
      <w:r>
        <w:rPr>
          <w:rFonts w:hint="eastAsia"/>
          <w:color w:val="000000" w:themeColor="text1"/>
          <w:sz w:val="24"/>
          <w:szCs w:val="24"/>
        </w:rPr>
        <w:t>7</w:t>
      </w:r>
      <w:r>
        <w:rPr>
          <w:color w:val="000000" w:themeColor="text1"/>
          <w:sz w:val="24"/>
          <w:szCs w:val="24"/>
        </w:rPr>
        <w:t>.2大红山选矿工程</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_Toc18798 \h </w:instrText>
      </w:r>
      <w:r>
        <w:rPr>
          <w:color w:val="000000" w:themeColor="text1"/>
          <w:sz w:val="24"/>
          <w:szCs w:val="24"/>
        </w:rPr>
        <w:fldChar w:fldCharType="separate"/>
      </w:r>
      <w:r>
        <w:rPr>
          <w:color w:val="000000" w:themeColor="text1"/>
          <w:sz w:val="24"/>
          <w:szCs w:val="24"/>
        </w:rPr>
        <w:t>- 104 -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"_Toc21530" </w:instrText>
      </w:r>
      <w:r>
        <w:rPr>
          <w:color w:val="000000" w:themeColor="text1"/>
        </w:rPr>
        <w:fldChar w:fldCharType="separate"/>
      </w:r>
      <w:r>
        <w:rPr>
          <w:color w:val="000000" w:themeColor="text1"/>
          <w:sz w:val="24"/>
          <w:szCs w:val="24"/>
        </w:rPr>
        <w:t>3.</w:t>
      </w:r>
      <w:r>
        <w:rPr>
          <w:rFonts w:hint="eastAsia"/>
          <w:color w:val="000000" w:themeColor="text1"/>
          <w:sz w:val="24"/>
          <w:szCs w:val="24"/>
        </w:rPr>
        <w:t>7</w:t>
      </w:r>
      <w:r>
        <w:rPr>
          <w:color w:val="000000" w:themeColor="text1"/>
          <w:sz w:val="24"/>
          <w:szCs w:val="24"/>
        </w:rPr>
        <w:t>.3</w:t>
      </w:r>
      <w:r>
        <w:rPr>
          <w:rFonts w:hint="eastAsia"/>
          <w:color w:val="000000" w:themeColor="text1"/>
          <w:sz w:val="24"/>
          <w:szCs w:val="24"/>
        </w:rPr>
        <w:t>龙都尾矿库回水及排水系统</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_Toc21530 \h </w:instrText>
      </w:r>
      <w:r>
        <w:rPr>
          <w:color w:val="000000" w:themeColor="text1"/>
          <w:sz w:val="24"/>
          <w:szCs w:val="24"/>
        </w:rPr>
        <w:fldChar w:fldCharType="separate"/>
      </w:r>
      <w:r>
        <w:rPr>
          <w:color w:val="000000" w:themeColor="text1"/>
          <w:sz w:val="24"/>
          <w:szCs w:val="24"/>
        </w:rPr>
        <w:t>- 105 -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"_Toc19195" </w:instrText>
      </w:r>
      <w:r>
        <w:rPr>
          <w:color w:val="000000" w:themeColor="text1"/>
        </w:rPr>
        <w:fldChar w:fldCharType="separate"/>
      </w:r>
      <w:r>
        <w:rPr>
          <w:color w:val="000000" w:themeColor="text1"/>
          <w:sz w:val="24"/>
          <w:szCs w:val="24"/>
        </w:rPr>
        <w:t>3.</w:t>
      </w:r>
      <w:r>
        <w:rPr>
          <w:rFonts w:hint="eastAsia"/>
          <w:color w:val="000000" w:themeColor="text1"/>
          <w:sz w:val="24"/>
          <w:szCs w:val="24"/>
        </w:rPr>
        <w:t>7</w:t>
      </w:r>
      <w:r>
        <w:rPr>
          <w:color w:val="000000" w:themeColor="text1"/>
          <w:sz w:val="24"/>
          <w:szCs w:val="24"/>
        </w:rPr>
        <w:t>.</w:t>
      </w:r>
      <w:r>
        <w:rPr>
          <w:rFonts w:hint="eastAsia"/>
          <w:color w:val="000000" w:themeColor="text1"/>
          <w:sz w:val="24"/>
          <w:szCs w:val="24"/>
        </w:rPr>
        <w:t>4入库尾矿所属类别</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_Toc19195 \h </w:instrText>
      </w:r>
      <w:r>
        <w:rPr>
          <w:color w:val="000000" w:themeColor="text1"/>
          <w:sz w:val="24"/>
          <w:szCs w:val="24"/>
        </w:rPr>
        <w:fldChar w:fldCharType="separate"/>
      </w:r>
      <w:r>
        <w:rPr>
          <w:color w:val="000000" w:themeColor="text1"/>
          <w:sz w:val="24"/>
          <w:szCs w:val="24"/>
        </w:rPr>
        <w:t>- 106 -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"_Toc26133" </w:instrText>
      </w:r>
      <w:r>
        <w:rPr>
          <w:color w:val="000000" w:themeColor="text1"/>
        </w:rPr>
        <w:fldChar w:fldCharType="separate"/>
      </w:r>
      <w:r>
        <w:rPr>
          <w:color w:val="000000" w:themeColor="text1"/>
          <w:sz w:val="24"/>
          <w:szCs w:val="24"/>
        </w:rPr>
        <w:t>3.</w:t>
      </w:r>
      <w:r>
        <w:rPr>
          <w:rFonts w:hint="eastAsia"/>
          <w:color w:val="000000" w:themeColor="text1"/>
          <w:sz w:val="24"/>
          <w:szCs w:val="24"/>
        </w:rPr>
        <w:t>7</w:t>
      </w:r>
      <w:r>
        <w:rPr>
          <w:color w:val="000000" w:themeColor="text1"/>
          <w:sz w:val="24"/>
          <w:szCs w:val="24"/>
        </w:rPr>
        <w:t>.</w:t>
      </w:r>
      <w:r>
        <w:rPr>
          <w:rFonts w:hint="eastAsia"/>
          <w:color w:val="000000" w:themeColor="text1"/>
          <w:sz w:val="24"/>
          <w:szCs w:val="24"/>
        </w:rPr>
        <w:t>5本次技改项目</w:t>
      </w:r>
      <w:r>
        <w:rPr>
          <w:color w:val="000000" w:themeColor="text1"/>
          <w:sz w:val="24"/>
          <w:szCs w:val="24"/>
        </w:rPr>
        <w:t>尾矿输送管线工程</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_Toc26133 \h </w:instrText>
      </w:r>
      <w:r>
        <w:rPr>
          <w:color w:val="000000" w:themeColor="text1"/>
          <w:sz w:val="24"/>
          <w:szCs w:val="24"/>
        </w:rPr>
        <w:fldChar w:fldCharType="separate"/>
      </w:r>
      <w:r>
        <w:rPr>
          <w:color w:val="000000" w:themeColor="text1"/>
          <w:sz w:val="24"/>
          <w:szCs w:val="24"/>
        </w:rPr>
        <w:t>- 106 -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"_Toc2113" </w:instrText>
      </w:r>
      <w:r>
        <w:rPr>
          <w:color w:val="000000" w:themeColor="text1"/>
        </w:rPr>
        <w:fldChar w:fldCharType="separate"/>
      </w:r>
      <w:r>
        <w:rPr>
          <w:color w:val="000000" w:themeColor="text1"/>
          <w:sz w:val="24"/>
          <w:szCs w:val="24"/>
        </w:rPr>
        <w:t>3.</w:t>
      </w:r>
      <w:r>
        <w:rPr>
          <w:rFonts w:hint="eastAsia"/>
          <w:color w:val="000000" w:themeColor="text1"/>
          <w:sz w:val="24"/>
          <w:szCs w:val="24"/>
        </w:rPr>
        <w:t>8</w:t>
      </w:r>
      <w:r>
        <w:rPr>
          <w:color w:val="000000" w:themeColor="text1"/>
          <w:sz w:val="24"/>
          <w:szCs w:val="24"/>
        </w:rPr>
        <w:t>公用工程</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_Toc2113 \h </w:instrText>
      </w:r>
      <w:r>
        <w:rPr>
          <w:color w:val="000000" w:themeColor="text1"/>
          <w:sz w:val="24"/>
          <w:szCs w:val="24"/>
        </w:rPr>
        <w:fldChar w:fldCharType="separate"/>
      </w:r>
      <w:r>
        <w:rPr>
          <w:color w:val="000000" w:themeColor="text1"/>
          <w:sz w:val="24"/>
          <w:szCs w:val="24"/>
        </w:rPr>
        <w:t>- 106 -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"_Toc12097" </w:instrText>
      </w:r>
      <w:r>
        <w:rPr>
          <w:color w:val="000000" w:themeColor="text1"/>
        </w:rPr>
        <w:fldChar w:fldCharType="separate"/>
      </w:r>
      <w:r>
        <w:rPr>
          <w:color w:val="000000" w:themeColor="text1"/>
          <w:sz w:val="24"/>
          <w:szCs w:val="24"/>
        </w:rPr>
        <w:t>3.</w:t>
      </w:r>
      <w:r>
        <w:rPr>
          <w:rFonts w:hint="eastAsia"/>
          <w:color w:val="000000" w:themeColor="text1"/>
          <w:sz w:val="24"/>
          <w:szCs w:val="24"/>
        </w:rPr>
        <w:t>8</w:t>
      </w:r>
      <w:r>
        <w:rPr>
          <w:color w:val="000000" w:themeColor="text1"/>
          <w:sz w:val="24"/>
          <w:szCs w:val="24"/>
        </w:rPr>
        <w:t>.1水源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_Toc12097 \h </w:instrText>
      </w:r>
      <w:r>
        <w:rPr>
          <w:color w:val="000000" w:themeColor="text1"/>
          <w:sz w:val="24"/>
          <w:szCs w:val="24"/>
        </w:rPr>
        <w:fldChar w:fldCharType="separate"/>
      </w:r>
      <w:r>
        <w:rPr>
          <w:color w:val="000000" w:themeColor="text1"/>
          <w:sz w:val="24"/>
          <w:szCs w:val="24"/>
        </w:rPr>
        <w:t>- 106 -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"_Toc6628" </w:instrText>
      </w:r>
      <w:r>
        <w:rPr>
          <w:color w:val="000000" w:themeColor="text1"/>
        </w:rPr>
        <w:fldChar w:fldCharType="separate"/>
      </w:r>
      <w:r>
        <w:rPr>
          <w:color w:val="000000" w:themeColor="text1"/>
          <w:sz w:val="24"/>
          <w:szCs w:val="24"/>
        </w:rPr>
        <w:t>3.</w:t>
      </w:r>
      <w:r>
        <w:rPr>
          <w:rFonts w:hint="eastAsia"/>
          <w:color w:val="000000" w:themeColor="text1"/>
          <w:sz w:val="24"/>
          <w:szCs w:val="24"/>
        </w:rPr>
        <w:t>8</w:t>
      </w:r>
      <w:r>
        <w:rPr>
          <w:color w:val="000000" w:themeColor="text1"/>
          <w:sz w:val="24"/>
          <w:szCs w:val="24"/>
        </w:rPr>
        <w:t>.2排水方案</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_Toc6628 \h </w:instrText>
      </w:r>
      <w:r>
        <w:rPr>
          <w:color w:val="000000" w:themeColor="text1"/>
          <w:sz w:val="24"/>
          <w:szCs w:val="24"/>
        </w:rPr>
        <w:fldChar w:fldCharType="separate"/>
      </w:r>
      <w:r>
        <w:rPr>
          <w:color w:val="000000" w:themeColor="text1"/>
          <w:sz w:val="24"/>
          <w:szCs w:val="24"/>
        </w:rPr>
        <w:t>- 106 -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"_Toc25217" </w:instrText>
      </w:r>
      <w:r>
        <w:rPr>
          <w:color w:val="000000" w:themeColor="text1"/>
        </w:rPr>
        <w:fldChar w:fldCharType="separate"/>
      </w:r>
      <w:r>
        <w:rPr>
          <w:color w:val="000000" w:themeColor="text1"/>
          <w:sz w:val="24"/>
          <w:szCs w:val="24"/>
        </w:rPr>
        <w:t>3.</w:t>
      </w:r>
      <w:r>
        <w:rPr>
          <w:rFonts w:hint="eastAsia"/>
          <w:color w:val="000000" w:themeColor="text1"/>
          <w:sz w:val="24"/>
          <w:szCs w:val="24"/>
        </w:rPr>
        <w:t>8</w:t>
      </w:r>
      <w:r>
        <w:rPr>
          <w:color w:val="000000" w:themeColor="text1"/>
          <w:sz w:val="24"/>
          <w:szCs w:val="24"/>
        </w:rPr>
        <w:t>.3供电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_Toc25217 \h </w:instrText>
      </w:r>
      <w:r>
        <w:rPr>
          <w:color w:val="000000" w:themeColor="text1"/>
          <w:sz w:val="24"/>
          <w:szCs w:val="24"/>
        </w:rPr>
        <w:fldChar w:fldCharType="separate"/>
      </w:r>
      <w:r>
        <w:rPr>
          <w:color w:val="000000" w:themeColor="text1"/>
          <w:sz w:val="24"/>
          <w:szCs w:val="24"/>
        </w:rPr>
        <w:t>- 107 -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"_Toc14534" </w:instrText>
      </w:r>
      <w:r>
        <w:rPr>
          <w:color w:val="000000" w:themeColor="text1"/>
        </w:rPr>
        <w:fldChar w:fldCharType="separate"/>
      </w:r>
      <w:r>
        <w:rPr>
          <w:color w:val="000000" w:themeColor="text1"/>
          <w:sz w:val="24"/>
          <w:szCs w:val="24"/>
        </w:rPr>
        <w:t>3.</w:t>
      </w:r>
      <w:r>
        <w:rPr>
          <w:rFonts w:hint="eastAsia"/>
          <w:color w:val="000000" w:themeColor="text1"/>
          <w:sz w:val="24"/>
          <w:szCs w:val="24"/>
        </w:rPr>
        <w:t>8</w:t>
      </w:r>
      <w:r>
        <w:rPr>
          <w:color w:val="000000" w:themeColor="text1"/>
          <w:sz w:val="24"/>
          <w:szCs w:val="24"/>
        </w:rPr>
        <w:t>.4供热</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_Toc14534 \h </w:instrText>
      </w:r>
      <w:r>
        <w:rPr>
          <w:color w:val="000000" w:themeColor="text1"/>
          <w:sz w:val="24"/>
          <w:szCs w:val="24"/>
        </w:rPr>
        <w:fldChar w:fldCharType="separate"/>
      </w:r>
      <w:r>
        <w:rPr>
          <w:color w:val="000000" w:themeColor="text1"/>
          <w:sz w:val="24"/>
          <w:szCs w:val="24"/>
        </w:rPr>
        <w:t>- 107 -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"_Toc2196" </w:instrText>
      </w:r>
      <w:r>
        <w:rPr>
          <w:color w:val="000000" w:themeColor="text1"/>
        </w:rPr>
        <w:fldChar w:fldCharType="separate"/>
      </w:r>
      <w:r>
        <w:rPr>
          <w:color w:val="000000" w:themeColor="text1"/>
          <w:sz w:val="24"/>
          <w:szCs w:val="24"/>
        </w:rPr>
        <w:t>3.</w:t>
      </w:r>
      <w:r>
        <w:rPr>
          <w:rFonts w:hint="eastAsia"/>
          <w:color w:val="000000" w:themeColor="text1"/>
          <w:sz w:val="24"/>
          <w:szCs w:val="24"/>
        </w:rPr>
        <w:t>9</w:t>
      </w:r>
      <w:r>
        <w:rPr>
          <w:color w:val="000000" w:themeColor="text1"/>
          <w:sz w:val="24"/>
          <w:szCs w:val="24"/>
        </w:rPr>
        <w:t>工作制度及劳动定员</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_Toc2196 \h </w:instrText>
      </w:r>
      <w:r>
        <w:rPr>
          <w:color w:val="000000" w:themeColor="text1"/>
          <w:sz w:val="24"/>
          <w:szCs w:val="24"/>
        </w:rPr>
        <w:fldChar w:fldCharType="separate"/>
      </w:r>
      <w:r>
        <w:rPr>
          <w:color w:val="000000" w:themeColor="text1"/>
          <w:sz w:val="24"/>
          <w:szCs w:val="24"/>
        </w:rPr>
        <w:t>- 107 -</w:t>
      </w:r>
      <w:r>
        <w:rPr>
          <w:color w:val="000000" w:themeColor="text1"/>
          <w:sz w:val="24"/>
          <w:szCs w:val="24"/>
        </w:rPr>
        <w:fldChar w:fldCharType="end"/>
      </w:r>
      <w:r>
        <w:rPr>
          <w:color w:val="000000" w:themeColor="text1"/>
          <w:sz w:val="24"/>
          <w:szCs w:val="24"/>
        </w:rPr>
        <w:fldChar w:fldCharType="end"/>
      </w:r>
    </w:p>
    <w:p>
      <w:pPr>
        <w:pStyle w:val="44"/>
        <w:tabs>
          <w:tab w:val="right" w:leader="dot" w:pos="8312"/>
          <w:tab w:val="clear" w:pos="8296"/>
        </w:tabs>
        <w:spacing w:before="65"/>
        <w:ind w:firstLine="482"/>
        <w:rPr>
          <w:color w:val="000000" w:themeColor="text1"/>
          <w:sz w:val="24"/>
          <w:szCs w:val="24"/>
        </w:rPr>
      </w:pPr>
      <w:r>
        <w:rPr>
          <w:color w:val="000000" w:themeColor="text1"/>
        </w:rPr>
        <w:fldChar w:fldCharType="begin"/>
      </w:r>
      <w:r>
        <w:rPr>
          <w:color w:val="000000" w:themeColor="text1"/>
        </w:rPr>
        <w:instrText xml:space="preserve"> HYPERLINK \l "_Toc14472" </w:instrText>
      </w:r>
      <w:r>
        <w:rPr>
          <w:color w:val="000000" w:themeColor="text1"/>
        </w:rPr>
        <w:fldChar w:fldCharType="separate"/>
      </w:r>
      <w:r>
        <w:rPr>
          <w:color w:val="000000" w:themeColor="text1"/>
          <w:kern w:val="32"/>
          <w:sz w:val="24"/>
          <w:szCs w:val="24"/>
        </w:rPr>
        <w:t>4工程分析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_Toc14472 \h </w:instrText>
      </w:r>
      <w:r>
        <w:rPr>
          <w:color w:val="000000" w:themeColor="text1"/>
          <w:sz w:val="24"/>
          <w:szCs w:val="24"/>
        </w:rPr>
        <w:fldChar w:fldCharType="separate"/>
      </w:r>
      <w:r>
        <w:rPr>
          <w:color w:val="000000" w:themeColor="text1"/>
          <w:sz w:val="24"/>
          <w:szCs w:val="24"/>
        </w:rPr>
        <w:t>- 108 -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"_Toc6950" </w:instrText>
      </w:r>
      <w:r>
        <w:rPr>
          <w:color w:val="000000" w:themeColor="text1"/>
        </w:rPr>
        <w:fldChar w:fldCharType="separate"/>
      </w:r>
      <w:r>
        <w:rPr>
          <w:color w:val="000000" w:themeColor="text1"/>
          <w:sz w:val="24"/>
          <w:szCs w:val="24"/>
        </w:rPr>
        <w:t>4.1</w:t>
      </w:r>
      <w:r>
        <w:rPr>
          <w:rFonts w:hint="eastAsia"/>
          <w:color w:val="000000" w:themeColor="text1"/>
          <w:sz w:val="24"/>
          <w:szCs w:val="24"/>
        </w:rPr>
        <w:t>技改项目</w:t>
      </w:r>
      <w:r>
        <w:rPr>
          <w:color w:val="000000" w:themeColor="text1"/>
          <w:sz w:val="24"/>
          <w:szCs w:val="24"/>
        </w:rPr>
        <w:t>工艺流程及产污染环节</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_Toc6950 \h </w:instrText>
      </w:r>
      <w:r>
        <w:rPr>
          <w:color w:val="000000" w:themeColor="text1"/>
          <w:sz w:val="24"/>
          <w:szCs w:val="24"/>
        </w:rPr>
        <w:fldChar w:fldCharType="separate"/>
      </w:r>
      <w:r>
        <w:rPr>
          <w:color w:val="000000" w:themeColor="text1"/>
          <w:sz w:val="24"/>
          <w:szCs w:val="24"/>
        </w:rPr>
        <w:t>- 108 -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"_Toc29671" </w:instrText>
      </w:r>
      <w:r>
        <w:rPr>
          <w:color w:val="000000" w:themeColor="text1"/>
        </w:rPr>
        <w:fldChar w:fldCharType="separate"/>
      </w:r>
      <w:r>
        <w:rPr>
          <w:color w:val="000000" w:themeColor="text1"/>
          <w:sz w:val="24"/>
          <w:szCs w:val="24"/>
        </w:rPr>
        <w:t>4.2项目用排水情况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_Toc29671 \h </w:instrText>
      </w:r>
      <w:r>
        <w:rPr>
          <w:color w:val="000000" w:themeColor="text1"/>
          <w:sz w:val="24"/>
          <w:szCs w:val="24"/>
        </w:rPr>
        <w:fldChar w:fldCharType="separate"/>
      </w:r>
      <w:r>
        <w:rPr>
          <w:color w:val="000000" w:themeColor="text1"/>
          <w:sz w:val="24"/>
          <w:szCs w:val="24"/>
        </w:rPr>
        <w:t>- 113 -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"_Toc11894" </w:instrText>
      </w:r>
      <w:r>
        <w:rPr>
          <w:color w:val="000000" w:themeColor="text1"/>
        </w:rPr>
        <w:fldChar w:fldCharType="separate"/>
      </w:r>
      <w:r>
        <w:rPr>
          <w:color w:val="000000" w:themeColor="text1"/>
          <w:sz w:val="24"/>
          <w:szCs w:val="24"/>
        </w:rPr>
        <w:t>4.2.1技改项目用水情况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_Toc11894 \h </w:instrText>
      </w:r>
      <w:r>
        <w:rPr>
          <w:color w:val="000000" w:themeColor="text1"/>
          <w:sz w:val="24"/>
          <w:szCs w:val="24"/>
        </w:rPr>
        <w:fldChar w:fldCharType="separate"/>
      </w:r>
      <w:r>
        <w:rPr>
          <w:color w:val="000000" w:themeColor="text1"/>
          <w:sz w:val="24"/>
          <w:szCs w:val="24"/>
        </w:rPr>
        <w:t>- 113 -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"_Toc28102" </w:instrText>
      </w:r>
      <w:r>
        <w:rPr>
          <w:color w:val="000000" w:themeColor="text1"/>
        </w:rPr>
        <w:fldChar w:fldCharType="separate"/>
      </w:r>
      <w:r>
        <w:rPr>
          <w:color w:val="000000" w:themeColor="text1"/>
          <w:sz w:val="24"/>
          <w:szCs w:val="24"/>
        </w:rPr>
        <w:t>4.2.2技改后原项目用水情况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_Toc28102 \h </w:instrText>
      </w:r>
      <w:r>
        <w:rPr>
          <w:color w:val="000000" w:themeColor="text1"/>
          <w:sz w:val="24"/>
          <w:szCs w:val="24"/>
        </w:rPr>
        <w:fldChar w:fldCharType="separate"/>
      </w:r>
      <w:r>
        <w:rPr>
          <w:color w:val="000000" w:themeColor="text1"/>
          <w:sz w:val="24"/>
          <w:szCs w:val="24"/>
        </w:rPr>
        <w:t>- 114 -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"_Toc27276" </w:instrText>
      </w:r>
      <w:r>
        <w:rPr>
          <w:color w:val="000000" w:themeColor="text1"/>
        </w:rPr>
        <w:fldChar w:fldCharType="separate"/>
      </w:r>
      <w:r>
        <w:rPr>
          <w:color w:val="000000" w:themeColor="text1"/>
          <w:sz w:val="24"/>
          <w:szCs w:val="24"/>
        </w:rPr>
        <w:t>4.2.3</w:t>
      </w:r>
      <w:r>
        <w:rPr>
          <w:rFonts w:hint="eastAsia"/>
          <w:color w:val="000000" w:themeColor="text1"/>
          <w:sz w:val="24"/>
          <w:szCs w:val="24"/>
        </w:rPr>
        <w:t>技改后</w:t>
      </w:r>
      <w:r>
        <w:rPr>
          <w:color w:val="000000" w:themeColor="text1"/>
          <w:sz w:val="24"/>
          <w:szCs w:val="24"/>
        </w:rPr>
        <w:t>全厂项目用水情况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_Toc27276 \h </w:instrText>
      </w:r>
      <w:r>
        <w:rPr>
          <w:color w:val="000000" w:themeColor="text1"/>
          <w:sz w:val="24"/>
          <w:szCs w:val="24"/>
        </w:rPr>
        <w:fldChar w:fldCharType="separate"/>
      </w:r>
      <w:r>
        <w:rPr>
          <w:color w:val="000000" w:themeColor="text1"/>
          <w:sz w:val="24"/>
          <w:szCs w:val="24"/>
        </w:rPr>
        <w:t>- 115 -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"_Toc27914" </w:instrText>
      </w:r>
      <w:r>
        <w:rPr>
          <w:color w:val="000000" w:themeColor="text1"/>
        </w:rPr>
        <w:fldChar w:fldCharType="separate"/>
      </w:r>
      <w:r>
        <w:rPr>
          <w:color w:val="000000" w:themeColor="text1"/>
          <w:sz w:val="24"/>
          <w:szCs w:val="24"/>
        </w:rPr>
        <w:t>4.2.</w:t>
      </w:r>
      <w:r>
        <w:rPr>
          <w:rFonts w:hint="eastAsia"/>
          <w:color w:val="000000" w:themeColor="text1"/>
          <w:sz w:val="24"/>
          <w:szCs w:val="24"/>
        </w:rPr>
        <w:t>4</w:t>
      </w:r>
      <w:r>
        <w:rPr>
          <w:color w:val="000000" w:themeColor="text1"/>
          <w:sz w:val="24"/>
          <w:szCs w:val="24"/>
        </w:rPr>
        <w:t>技改项目排水情况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_Toc27914 \h </w:instrText>
      </w:r>
      <w:r>
        <w:rPr>
          <w:color w:val="000000" w:themeColor="text1"/>
          <w:sz w:val="24"/>
          <w:szCs w:val="24"/>
        </w:rPr>
        <w:fldChar w:fldCharType="separate"/>
      </w:r>
      <w:r>
        <w:rPr>
          <w:color w:val="000000" w:themeColor="text1"/>
          <w:sz w:val="24"/>
          <w:szCs w:val="24"/>
        </w:rPr>
        <w:t>- 116 -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"_Toc16466" </w:instrText>
      </w:r>
      <w:r>
        <w:rPr>
          <w:color w:val="000000" w:themeColor="text1"/>
        </w:rPr>
        <w:fldChar w:fldCharType="separate"/>
      </w:r>
      <w:r>
        <w:rPr>
          <w:color w:val="000000" w:themeColor="text1"/>
          <w:sz w:val="24"/>
          <w:szCs w:val="24"/>
        </w:rPr>
        <w:t>4.2.</w:t>
      </w:r>
      <w:r>
        <w:rPr>
          <w:rFonts w:hint="eastAsia"/>
          <w:color w:val="000000" w:themeColor="text1"/>
          <w:sz w:val="24"/>
          <w:szCs w:val="24"/>
        </w:rPr>
        <w:t>5</w:t>
      </w:r>
      <w:r>
        <w:rPr>
          <w:color w:val="000000" w:themeColor="text1"/>
          <w:sz w:val="24"/>
          <w:szCs w:val="24"/>
        </w:rPr>
        <w:t>技改后原项目排水情况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_Toc16466 \h </w:instrText>
      </w:r>
      <w:r>
        <w:rPr>
          <w:color w:val="000000" w:themeColor="text1"/>
          <w:sz w:val="24"/>
          <w:szCs w:val="24"/>
        </w:rPr>
        <w:fldChar w:fldCharType="separate"/>
      </w:r>
      <w:r>
        <w:rPr>
          <w:color w:val="000000" w:themeColor="text1"/>
          <w:sz w:val="24"/>
          <w:szCs w:val="24"/>
        </w:rPr>
        <w:t>- 118 -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"_Toc9893" </w:instrText>
      </w:r>
      <w:r>
        <w:rPr>
          <w:color w:val="000000" w:themeColor="text1"/>
        </w:rPr>
        <w:fldChar w:fldCharType="separate"/>
      </w:r>
      <w:r>
        <w:rPr>
          <w:color w:val="000000" w:themeColor="text1"/>
          <w:sz w:val="24"/>
          <w:szCs w:val="24"/>
        </w:rPr>
        <w:t>4.2.</w:t>
      </w:r>
      <w:r>
        <w:rPr>
          <w:rFonts w:hint="eastAsia"/>
          <w:color w:val="000000" w:themeColor="text1"/>
          <w:sz w:val="24"/>
          <w:szCs w:val="24"/>
        </w:rPr>
        <w:t>6技改后</w:t>
      </w:r>
      <w:r>
        <w:rPr>
          <w:color w:val="000000" w:themeColor="text1"/>
          <w:sz w:val="24"/>
          <w:szCs w:val="24"/>
        </w:rPr>
        <w:t>全厂项目排水情况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_Toc9893 \h </w:instrText>
      </w:r>
      <w:r>
        <w:rPr>
          <w:color w:val="000000" w:themeColor="text1"/>
          <w:sz w:val="24"/>
          <w:szCs w:val="24"/>
        </w:rPr>
        <w:fldChar w:fldCharType="separate"/>
      </w:r>
      <w:r>
        <w:rPr>
          <w:color w:val="000000" w:themeColor="text1"/>
          <w:sz w:val="24"/>
          <w:szCs w:val="24"/>
        </w:rPr>
        <w:t>- 118 -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"_Toc16857" </w:instrText>
      </w:r>
      <w:r>
        <w:rPr>
          <w:color w:val="000000" w:themeColor="text1"/>
        </w:rPr>
        <w:fldChar w:fldCharType="separate"/>
      </w:r>
      <w:r>
        <w:rPr>
          <w:color w:val="000000" w:themeColor="text1"/>
          <w:sz w:val="24"/>
          <w:szCs w:val="24"/>
        </w:rPr>
        <w:t>4.3项目关心平衡</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_Toc16857 \h </w:instrText>
      </w:r>
      <w:r>
        <w:rPr>
          <w:color w:val="000000" w:themeColor="text1"/>
          <w:sz w:val="24"/>
          <w:szCs w:val="24"/>
        </w:rPr>
        <w:fldChar w:fldCharType="separate"/>
      </w:r>
      <w:r>
        <w:rPr>
          <w:color w:val="000000" w:themeColor="text1"/>
          <w:sz w:val="24"/>
          <w:szCs w:val="24"/>
        </w:rPr>
        <w:t>- 120 -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"_Toc31144" </w:instrText>
      </w:r>
      <w:r>
        <w:rPr>
          <w:color w:val="000000" w:themeColor="text1"/>
        </w:rPr>
        <w:fldChar w:fldCharType="separate"/>
      </w:r>
      <w:r>
        <w:rPr>
          <w:color w:val="000000" w:themeColor="text1"/>
          <w:sz w:val="24"/>
          <w:szCs w:val="24"/>
        </w:rPr>
        <w:t>4.3.1技改项目水量平衡</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_Toc31144 \h </w:instrText>
      </w:r>
      <w:r>
        <w:rPr>
          <w:color w:val="000000" w:themeColor="text1"/>
          <w:sz w:val="24"/>
          <w:szCs w:val="24"/>
        </w:rPr>
        <w:fldChar w:fldCharType="separate"/>
      </w:r>
      <w:r>
        <w:rPr>
          <w:color w:val="000000" w:themeColor="text1"/>
          <w:sz w:val="24"/>
          <w:szCs w:val="24"/>
        </w:rPr>
        <w:t>- 120 -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"_Toc6696" </w:instrText>
      </w:r>
      <w:r>
        <w:rPr>
          <w:color w:val="000000" w:themeColor="text1"/>
        </w:rPr>
        <w:fldChar w:fldCharType="separate"/>
      </w:r>
      <w:r>
        <w:rPr>
          <w:color w:val="000000" w:themeColor="text1"/>
          <w:sz w:val="24"/>
          <w:szCs w:val="24"/>
        </w:rPr>
        <w:t>4.3.</w:t>
      </w:r>
      <w:r>
        <w:rPr>
          <w:rFonts w:hint="eastAsia"/>
          <w:color w:val="000000" w:themeColor="text1"/>
          <w:sz w:val="24"/>
          <w:szCs w:val="24"/>
        </w:rPr>
        <w:t>2</w:t>
      </w:r>
      <w:r>
        <w:rPr>
          <w:color w:val="000000" w:themeColor="text1"/>
          <w:sz w:val="24"/>
          <w:szCs w:val="24"/>
        </w:rPr>
        <w:t>技改后原项目水量平衡</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_Toc6696 \h </w:instrText>
      </w:r>
      <w:r>
        <w:rPr>
          <w:color w:val="000000" w:themeColor="text1"/>
          <w:sz w:val="24"/>
          <w:szCs w:val="24"/>
        </w:rPr>
        <w:fldChar w:fldCharType="separate"/>
      </w:r>
      <w:r>
        <w:rPr>
          <w:color w:val="000000" w:themeColor="text1"/>
          <w:sz w:val="24"/>
          <w:szCs w:val="24"/>
        </w:rPr>
        <w:t>- 122 -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"_Toc29775" </w:instrText>
      </w:r>
      <w:r>
        <w:rPr>
          <w:color w:val="000000" w:themeColor="text1"/>
        </w:rPr>
        <w:fldChar w:fldCharType="separate"/>
      </w:r>
      <w:r>
        <w:rPr>
          <w:color w:val="000000" w:themeColor="text1"/>
          <w:sz w:val="24"/>
          <w:szCs w:val="24"/>
        </w:rPr>
        <w:t>4.3.</w:t>
      </w:r>
      <w:r>
        <w:rPr>
          <w:rFonts w:hint="eastAsia"/>
          <w:color w:val="000000" w:themeColor="text1"/>
          <w:sz w:val="24"/>
          <w:szCs w:val="24"/>
        </w:rPr>
        <w:t>3</w:t>
      </w:r>
      <w:r>
        <w:rPr>
          <w:color w:val="000000" w:themeColor="text1"/>
          <w:sz w:val="24"/>
          <w:szCs w:val="24"/>
        </w:rPr>
        <w:t>全厂水量平衡</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_Toc29775 \h </w:instrText>
      </w:r>
      <w:r>
        <w:rPr>
          <w:color w:val="000000" w:themeColor="text1"/>
          <w:sz w:val="24"/>
          <w:szCs w:val="24"/>
        </w:rPr>
        <w:fldChar w:fldCharType="separate"/>
      </w:r>
      <w:r>
        <w:rPr>
          <w:color w:val="000000" w:themeColor="text1"/>
          <w:sz w:val="24"/>
          <w:szCs w:val="24"/>
        </w:rPr>
        <w:t>- 125 -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"_Toc14488" </w:instrText>
      </w:r>
      <w:r>
        <w:rPr>
          <w:color w:val="000000" w:themeColor="text1"/>
        </w:rPr>
        <w:fldChar w:fldCharType="separate"/>
      </w:r>
      <w:r>
        <w:rPr>
          <w:color w:val="000000" w:themeColor="text1"/>
          <w:sz w:val="24"/>
          <w:szCs w:val="24"/>
        </w:rPr>
        <w:t>4.3.</w:t>
      </w:r>
      <w:r>
        <w:rPr>
          <w:rFonts w:hint="eastAsia"/>
          <w:color w:val="000000" w:themeColor="text1"/>
          <w:sz w:val="24"/>
          <w:szCs w:val="24"/>
        </w:rPr>
        <w:t>4</w:t>
      </w:r>
      <w:r>
        <w:rPr>
          <w:color w:val="000000" w:themeColor="text1"/>
          <w:sz w:val="24"/>
          <w:szCs w:val="24"/>
        </w:rPr>
        <w:t>物料及元素平衡</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_Toc14488 \h </w:instrText>
      </w:r>
      <w:r>
        <w:rPr>
          <w:color w:val="000000" w:themeColor="text1"/>
          <w:sz w:val="24"/>
          <w:szCs w:val="24"/>
        </w:rPr>
        <w:fldChar w:fldCharType="separate"/>
      </w:r>
      <w:r>
        <w:rPr>
          <w:color w:val="000000" w:themeColor="text1"/>
          <w:sz w:val="24"/>
          <w:szCs w:val="24"/>
        </w:rPr>
        <w:t>- 126 -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"_Toc8816" </w:instrText>
      </w:r>
      <w:r>
        <w:rPr>
          <w:color w:val="000000" w:themeColor="text1"/>
        </w:rPr>
        <w:fldChar w:fldCharType="separate"/>
      </w:r>
      <w:r>
        <w:rPr>
          <w:color w:val="000000" w:themeColor="text1"/>
          <w:sz w:val="24"/>
          <w:szCs w:val="24"/>
        </w:rPr>
        <w:t>4.4污染源分析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_Toc8816 \h </w:instrText>
      </w:r>
      <w:r>
        <w:rPr>
          <w:color w:val="000000" w:themeColor="text1"/>
          <w:sz w:val="24"/>
          <w:szCs w:val="24"/>
        </w:rPr>
        <w:fldChar w:fldCharType="separate"/>
      </w:r>
      <w:r>
        <w:rPr>
          <w:color w:val="000000" w:themeColor="text1"/>
          <w:sz w:val="24"/>
          <w:szCs w:val="24"/>
        </w:rPr>
        <w:t>- 129 -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"_Toc29695" </w:instrText>
      </w:r>
      <w:r>
        <w:rPr>
          <w:color w:val="000000" w:themeColor="text1"/>
        </w:rPr>
        <w:fldChar w:fldCharType="separate"/>
      </w:r>
      <w:r>
        <w:rPr>
          <w:color w:val="000000" w:themeColor="text1"/>
          <w:sz w:val="24"/>
          <w:szCs w:val="24"/>
        </w:rPr>
        <w:t>4.4.1施工期污染物治理和排放情况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_Toc29695 \h </w:instrText>
      </w:r>
      <w:r>
        <w:rPr>
          <w:color w:val="000000" w:themeColor="text1"/>
          <w:sz w:val="24"/>
          <w:szCs w:val="24"/>
        </w:rPr>
        <w:fldChar w:fldCharType="separate"/>
      </w:r>
      <w:r>
        <w:rPr>
          <w:color w:val="000000" w:themeColor="text1"/>
          <w:sz w:val="24"/>
          <w:szCs w:val="24"/>
        </w:rPr>
        <w:t>- 129 -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"_Toc30844" </w:instrText>
      </w:r>
      <w:r>
        <w:rPr>
          <w:color w:val="000000" w:themeColor="text1"/>
        </w:rPr>
        <w:fldChar w:fldCharType="separate"/>
      </w:r>
      <w:r>
        <w:rPr>
          <w:color w:val="000000" w:themeColor="text1"/>
          <w:sz w:val="24"/>
          <w:szCs w:val="24"/>
        </w:rPr>
        <w:t>4.4.2营运期污染物治理和排放情况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_Toc30844 \h </w:instrText>
      </w:r>
      <w:r>
        <w:rPr>
          <w:color w:val="000000" w:themeColor="text1"/>
          <w:sz w:val="24"/>
          <w:szCs w:val="24"/>
        </w:rPr>
        <w:fldChar w:fldCharType="separate"/>
      </w:r>
      <w:r>
        <w:rPr>
          <w:color w:val="000000" w:themeColor="text1"/>
          <w:sz w:val="24"/>
          <w:szCs w:val="24"/>
        </w:rPr>
        <w:t>- 132 -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"_Toc1907" </w:instrText>
      </w:r>
      <w:r>
        <w:rPr>
          <w:color w:val="000000" w:themeColor="text1"/>
        </w:rPr>
        <w:fldChar w:fldCharType="separate"/>
      </w:r>
      <w:r>
        <w:rPr>
          <w:color w:val="000000" w:themeColor="text1"/>
          <w:sz w:val="24"/>
          <w:szCs w:val="24"/>
        </w:rPr>
        <w:t>4.5运营期污染物产排放情况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_Toc1907 \h </w:instrText>
      </w:r>
      <w:r>
        <w:rPr>
          <w:color w:val="000000" w:themeColor="text1"/>
          <w:sz w:val="24"/>
          <w:szCs w:val="24"/>
        </w:rPr>
        <w:fldChar w:fldCharType="separate"/>
      </w:r>
      <w:r>
        <w:rPr>
          <w:color w:val="000000" w:themeColor="text1"/>
          <w:sz w:val="24"/>
          <w:szCs w:val="24"/>
        </w:rPr>
        <w:t>- 148 -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"_Toc25778" </w:instrText>
      </w:r>
      <w:r>
        <w:rPr>
          <w:color w:val="000000" w:themeColor="text1"/>
        </w:rPr>
        <w:fldChar w:fldCharType="separate"/>
      </w:r>
      <w:r>
        <w:rPr>
          <w:rFonts w:hint="eastAsia"/>
          <w:color w:val="000000" w:themeColor="text1"/>
          <w:sz w:val="24"/>
          <w:szCs w:val="24"/>
        </w:rPr>
        <w:t>4.6</w:t>
      </w:r>
      <w:r>
        <w:rPr>
          <w:color w:val="000000" w:themeColor="text1"/>
          <w:sz w:val="24"/>
          <w:szCs w:val="24"/>
        </w:rPr>
        <w:t>“以新带老”措施</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_Toc25778 \h </w:instrText>
      </w:r>
      <w:r>
        <w:rPr>
          <w:color w:val="000000" w:themeColor="text1"/>
          <w:sz w:val="24"/>
          <w:szCs w:val="24"/>
        </w:rPr>
        <w:fldChar w:fldCharType="separate"/>
      </w:r>
      <w:r>
        <w:rPr>
          <w:color w:val="000000" w:themeColor="text1"/>
          <w:sz w:val="24"/>
          <w:szCs w:val="24"/>
        </w:rPr>
        <w:t>- 154 -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"_Toc18803" </w:instrText>
      </w:r>
      <w:r>
        <w:rPr>
          <w:color w:val="000000" w:themeColor="text1"/>
        </w:rPr>
        <w:fldChar w:fldCharType="separate"/>
      </w:r>
      <w:r>
        <w:rPr>
          <w:color w:val="000000" w:themeColor="text1"/>
          <w:sz w:val="24"/>
          <w:szCs w:val="24"/>
        </w:rPr>
        <w:t>4.</w:t>
      </w:r>
      <w:r>
        <w:rPr>
          <w:rFonts w:hint="eastAsia"/>
          <w:color w:val="000000" w:themeColor="text1"/>
          <w:sz w:val="24"/>
          <w:szCs w:val="24"/>
        </w:rPr>
        <w:t>7</w:t>
      </w:r>
      <w:r>
        <w:rPr>
          <w:color w:val="000000" w:themeColor="text1"/>
          <w:sz w:val="24"/>
          <w:szCs w:val="24"/>
        </w:rPr>
        <w:t>“三本帐”核算</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_Toc18803 \h </w:instrText>
      </w:r>
      <w:r>
        <w:rPr>
          <w:color w:val="000000" w:themeColor="text1"/>
          <w:sz w:val="24"/>
          <w:szCs w:val="24"/>
        </w:rPr>
        <w:fldChar w:fldCharType="separate"/>
      </w:r>
      <w:r>
        <w:rPr>
          <w:color w:val="000000" w:themeColor="text1"/>
          <w:sz w:val="24"/>
          <w:szCs w:val="24"/>
        </w:rPr>
        <w:t>- 155 -</w:t>
      </w:r>
      <w:r>
        <w:rPr>
          <w:color w:val="000000" w:themeColor="text1"/>
          <w:sz w:val="24"/>
          <w:szCs w:val="24"/>
        </w:rPr>
        <w:fldChar w:fldCharType="end"/>
      </w:r>
      <w:r>
        <w:rPr>
          <w:color w:val="000000" w:themeColor="text1"/>
          <w:sz w:val="24"/>
          <w:szCs w:val="24"/>
        </w:rPr>
        <w:fldChar w:fldCharType="end"/>
      </w:r>
    </w:p>
    <w:p>
      <w:pPr>
        <w:pStyle w:val="44"/>
        <w:tabs>
          <w:tab w:val="right" w:leader="dot" w:pos="8312"/>
          <w:tab w:val="clear" w:pos="8296"/>
        </w:tabs>
        <w:spacing w:before="65"/>
        <w:ind w:firstLine="482"/>
        <w:rPr>
          <w:color w:val="000000" w:themeColor="text1"/>
          <w:sz w:val="24"/>
          <w:szCs w:val="24"/>
        </w:rPr>
      </w:pPr>
      <w:r>
        <w:rPr>
          <w:color w:val="000000" w:themeColor="text1"/>
        </w:rPr>
        <w:fldChar w:fldCharType="begin"/>
      </w:r>
      <w:r>
        <w:rPr>
          <w:color w:val="000000" w:themeColor="text1"/>
        </w:rPr>
        <w:instrText xml:space="preserve"> HYPERLINK \l "_Toc26984" </w:instrText>
      </w:r>
      <w:r>
        <w:rPr>
          <w:color w:val="000000" w:themeColor="text1"/>
        </w:rPr>
        <w:fldChar w:fldCharType="separate"/>
      </w:r>
      <w:r>
        <w:rPr>
          <w:color w:val="000000" w:themeColor="text1"/>
          <w:kern w:val="32"/>
          <w:sz w:val="24"/>
          <w:szCs w:val="24"/>
        </w:rPr>
        <w:t>5区域环境现状调查与评价</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_Toc26984 \h </w:instrText>
      </w:r>
      <w:r>
        <w:rPr>
          <w:color w:val="000000" w:themeColor="text1"/>
          <w:sz w:val="24"/>
          <w:szCs w:val="24"/>
        </w:rPr>
        <w:fldChar w:fldCharType="separate"/>
      </w:r>
      <w:r>
        <w:rPr>
          <w:color w:val="000000" w:themeColor="text1"/>
          <w:sz w:val="24"/>
          <w:szCs w:val="24"/>
        </w:rPr>
        <w:t>- 157 -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"_Toc5069" </w:instrText>
      </w:r>
      <w:r>
        <w:rPr>
          <w:color w:val="000000" w:themeColor="text1"/>
        </w:rPr>
        <w:fldChar w:fldCharType="separate"/>
      </w:r>
      <w:r>
        <w:rPr>
          <w:color w:val="000000" w:themeColor="text1"/>
          <w:sz w:val="24"/>
          <w:szCs w:val="24"/>
        </w:rPr>
        <w:t>5.1区域环境概况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_Toc5069 \h </w:instrText>
      </w:r>
      <w:r>
        <w:rPr>
          <w:color w:val="000000" w:themeColor="text1"/>
          <w:sz w:val="24"/>
          <w:szCs w:val="24"/>
        </w:rPr>
        <w:fldChar w:fldCharType="separate"/>
      </w:r>
      <w:r>
        <w:rPr>
          <w:color w:val="000000" w:themeColor="text1"/>
          <w:sz w:val="24"/>
          <w:szCs w:val="24"/>
        </w:rPr>
        <w:t>- 157 -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"_Toc22267" </w:instrText>
      </w:r>
      <w:r>
        <w:rPr>
          <w:color w:val="000000" w:themeColor="text1"/>
        </w:rPr>
        <w:fldChar w:fldCharType="separate"/>
      </w:r>
      <w:r>
        <w:rPr>
          <w:color w:val="000000" w:themeColor="text1"/>
          <w:sz w:val="24"/>
          <w:szCs w:val="24"/>
        </w:rPr>
        <w:t>5.1.1地理位置</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_Toc22267 \h </w:instrText>
      </w:r>
      <w:r>
        <w:rPr>
          <w:color w:val="000000" w:themeColor="text1"/>
          <w:sz w:val="24"/>
          <w:szCs w:val="24"/>
        </w:rPr>
        <w:fldChar w:fldCharType="separate"/>
      </w:r>
      <w:r>
        <w:rPr>
          <w:color w:val="000000" w:themeColor="text1"/>
          <w:sz w:val="24"/>
          <w:szCs w:val="24"/>
        </w:rPr>
        <w:t>- 157 -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"_Toc25292" </w:instrText>
      </w:r>
      <w:r>
        <w:rPr>
          <w:color w:val="000000" w:themeColor="text1"/>
        </w:rPr>
        <w:fldChar w:fldCharType="separate"/>
      </w:r>
      <w:r>
        <w:rPr>
          <w:color w:val="000000" w:themeColor="text1"/>
          <w:sz w:val="24"/>
          <w:szCs w:val="24"/>
        </w:rPr>
        <w:t>5.1.2地形地貌</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_Toc25292 \h </w:instrText>
      </w:r>
      <w:r>
        <w:rPr>
          <w:color w:val="000000" w:themeColor="text1"/>
          <w:sz w:val="24"/>
          <w:szCs w:val="24"/>
        </w:rPr>
        <w:fldChar w:fldCharType="separate"/>
      </w:r>
      <w:r>
        <w:rPr>
          <w:color w:val="000000" w:themeColor="text1"/>
          <w:sz w:val="24"/>
          <w:szCs w:val="24"/>
        </w:rPr>
        <w:t>- 157 -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"_Toc10744" </w:instrText>
      </w:r>
      <w:r>
        <w:rPr>
          <w:color w:val="000000" w:themeColor="text1"/>
        </w:rPr>
        <w:fldChar w:fldCharType="separate"/>
      </w:r>
      <w:r>
        <w:rPr>
          <w:color w:val="000000" w:themeColor="text1"/>
          <w:sz w:val="24"/>
          <w:szCs w:val="24"/>
        </w:rPr>
        <w:t>5.1.3气候气象</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_Toc10744 \h </w:instrText>
      </w:r>
      <w:r>
        <w:rPr>
          <w:color w:val="000000" w:themeColor="text1"/>
          <w:sz w:val="24"/>
          <w:szCs w:val="24"/>
        </w:rPr>
        <w:fldChar w:fldCharType="separate"/>
      </w:r>
      <w:r>
        <w:rPr>
          <w:color w:val="000000" w:themeColor="text1"/>
          <w:sz w:val="24"/>
          <w:szCs w:val="24"/>
        </w:rPr>
        <w:t>- 157 -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"_Toc5256" </w:instrText>
      </w:r>
      <w:r>
        <w:rPr>
          <w:color w:val="000000" w:themeColor="text1"/>
        </w:rPr>
        <w:fldChar w:fldCharType="separate"/>
      </w:r>
      <w:r>
        <w:rPr>
          <w:color w:val="000000" w:themeColor="text1"/>
          <w:sz w:val="24"/>
          <w:szCs w:val="24"/>
        </w:rPr>
        <w:t>5.1.4水文水系</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_Toc5256 \h </w:instrText>
      </w:r>
      <w:r>
        <w:rPr>
          <w:color w:val="000000" w:themeColor="text1"/>
          <w:sz w:val="24"/>
          <w:szCs w:val="24"/>
        </w:rPr>
        <w:fldChar w:fldCharType="separate"/>
      </w:r>
      <w:r>
        <w:rPr>
          <w:color w:val="000000" w:themeColor="text1"/>
          <w:sz w:val="24"/>
          <w:szCs w:val="24"/>
        </w:rPr>
        <w:t>- 158 -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"_Toc21713" </w:instrText>
      </w:r>
      <w:r>
        <w:rPr>
          <w:color w:val="000000" w:themeColor="text1"/>
        </w:rPr>
        <w:fldChar w:fldCharType="separate"/>
      </w:r>
      <w:r>
        <w:rPr>
          <w:color w:val="000000" w:themeColor="text1"/>
          <w:sz w:val="24"/>
          <w:szCs w:val="24"/>
        </w:rPr>
        <w:t>5.1.5地质构造</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_Toc21713 \h </w:instrText>
      </w:r>
      <w:r>
        <w:rPr>
          <w:color w:val="000000" w:themeColor="text1"/>
          <w:sz w:val="24"/>
          <w:szCs w:val="24"/>
        </w:rPr>
        <w:fldChar w:fldCharType="separate"/>
      </w:r>
      <w:r>
        <w:rPr>
          <w:color w:val="000000" w:themeColor="text1"/>
          <w:sz w:val="24"/>
          <w:szCs w:val="24"/>
        </w:rPr>
        <w:t>- 158 -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"_Toc4987" </w:instrText>
      </w:r>
      <w:r>
        <w:rPr>
          <w:color w:val="000000" w:themeColor="text1"/>
        </w:rPr>
        <w:fldChar w:fldCharType="separate"/>
      </w:r>
      <w:r>
        <w:rPr>
          <w:color w:val="000000" w:themeColor="text1"/>
          <w:sz w:val="24"/>
          <w:szCs w:val="24"/>
        </w:rPr>
        <w:t>5.1.6风景名胜区、自然保护区、历史文化遗产</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_Toc4987 \h </w:instrText>
      </w:r>
      <w:r>
        <w:rPr>
          <w:color w:val="000000" w:themeColor="text1"/>
          <w:sz w:val="24"/>
          <w:szCs w:val="24"/>
        </w:rPr>
        <w:fldChar w:fldCharType="separate"/>
      </w:r>
      <w:r>
        <w:rPr>
          <w:color w:val="000000" w:themeColor="text1"/>
          <w:sz w:val="24"/>
          <w:szCs w:val="24"/>
        </w:rPr>
        <w:t>- 158 -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"_Toc6815" </w:instrText>
      </w:r>
      <w:r>
        <w:rPr>
          <w:color w:val="000000" w:themeColor="text1"/>
        </w:rPr>
        <w:fldChar w:fldCharType="separate"/>
      </w:r>
      <w:r>
        <w:rPr>
          <w:color w:val="000000" w:themeColor="text1"/>
          <w:sz w:val="24"/>
          <w:szCs w:val="24"/>
        </w:rPr>
        <w:t>5.2环境质量现状调查与评价</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_Toc6815 \h </w:instrText>
      </w:r>
      <w:r>
        <w:rPr>
          <w:color w:val="000000" w:themeColor="text1"/>
          <w:sz w:val="24"/>
          <w:szCs w:val="24"/>
        </w:rPr>
        <w:fldChar w:fldCharType="separate"/>
      </w:r>
      <w:r>
        <w:rPr>
          <w:color w:val="000000" w:themeColor="text1"/>
          <w:sz w:val="24"/>
          <w:szCs w:val="24"/>
        </w:rPr>
        <w:t>- 159 -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"_Toc14013" </w:instrText>
      </w:r>
      <w:r>
        <w:rPr>
          <w:color w:val="000000" w:themeColor="text1"/>
        </w:rPr>
        <w:fldChar w:fldCharType="separate"/>
      </w:r>
      <w:r>
        <w:rPr>
          <w:color w:val="000000" w:themeColor="text1"/>
          <w:sz w:val="24"/>
          <w:szCs w:val="24"/>
        </w:rPr>
        <w:t>5.2.1环境空气质量现状与评价</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_Toc14013 \h </w:instrText>
      </w:r>
      <w:r>
        <w:rPr>
          <w:color w:val="000000" w:themeColor="text1"/>
          <w:sz w:val="24"/>
          <w:szCs w:val="24"/>
        </w:rPr>
        <w:fldChar w:fldCharType="separate"/>
      </w:r>
      <w:r>
        <w:rPr>
          <w:color w:val="000000" w:themeColor="text1"/>
          <w:sz w:val="24"/>
          <w:szCs w:val="24"/>
        </w:rPr>
        <w:t>- 159 -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"_Toc7412" </w:instrText>
      </w:r>
      <w:r>
        <w:rPr>
          <w:color w:val="000000" w:themeColor="text1"/>
        </w:rPr>
        <w:fldChar w:fldCharType="separate"/>
      </w:r>
      <w:r>
        <w:rPr>
          <w:color w:val="000000" w:themeColor="text1"/>
          <w:sz w:val="24"/>
          <w:szCs w:val="24"/>
        </w:rPr>
        <w:t>5.2.2地表水环境</w:t>
      </w:r>
      <w:r>
        <w:rPr>
          <w:rFonts w:hint="eastAsia"/>
          <w:color w:val="000000" w:themeColor="text1"/>
          <w:sz w:val="24"/>
          <w:szCs w:val="24"/>
          <w:lang w:eastAsia="zh-CN"/>
        </w:rPr>
        <w:t>质量现状</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_Toc7412 \h </w:instrText>
      </w:r>
      <w:r>
        <w:rPr>
          <w:color w:val="000000" w:themeColor="text1"/>
          <w:sz w:val="24"/>
          <w:szCs w:val="24"/>
        </w:rPr>
        <w:fldChar w:fldCharType="separate"/>
      </w:r>
      <w:r>
        <w:rPr>
          <w:color w:val="000000" w:themeColor="text1"/>
          <w:sz w:val="24"/>
          <w:szCs w:val="24"/>
        </w:rPr>
        <w:t>- 162 -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"_Toc3338" </w:instrText>
      </w:r>
      <w:r>
        <w:rPr>
          <w:color w:val="000000" w:themeColor="text1"/>
        </w:rPr>
        <w:fldChar w:fldCharType="separate"/>
      </w:r>
      <w:r>
        <w:rPr>
          <w:color w:val="000000" w:themeColor="text1"/>
          <w:sz w:val="24"/>
          <w:szCs w:val="24"/>
        </w:rPr>
        <w:t>5.2.3地下水环境现状调查</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_Toc3338 \h </w:instrText>
      </w:r>
      <w:r>
        <w:rPr>
          <w:color w:val="000000" w:themeColor="text1"/>
          <w:sz w:val="24"/>
          <w:szCs w:val="24"/>
        </w:rPr>
        <w:fldChar w:fldCharType="separate"/>
      </w:r>
      <w:r>
        <w:rPr>
          <w:color w:val="000000" w:themeColor="text1"/>
          <w:sz w:val="24"/>
          <w:szCs w:val="24"/>
        </w:rPr>
        <w:t>- 167 -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"_Toc7496" </w:instrText>
      </w:r>
      <w:r>
        <w:rPr>
          <w:color w:val="000000" w:themeColor="text1"/>
        </w:rPr>
        <w:fldChar w:fldCharType="separate"/>
      </w:r>
      <w:r>
        <w:rPr>
          <w:color w:val="000000" w:themeColor="text1"/>
          <w:sz w:val="24"/>
          <w:szCs w:val="24"/>
        </w:rPr>
        <w:t>5.2.4声环境质量现状监测</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_Toc7496 \h </w:instrText>
      </w:r>
      <w:r>
        <w:rPr>
          <w:color w:val="000000" w:themeColor="text1"/>
          <w:sz w:val="24"/>
          <w:szCs w:val="24"/>
        </w:rPr>
        <w:fldChar w:fldCharType="separate"/>
      </w:r>
      <w:r>
        <w:rPr>
          <w:color w:val="000000" w:themeColor="text1"/>
          <w:sz w:val="24"/>
          <w:szCs w:val="24"/>
        </w:rPr>
        <w:t>- 174 -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"_Toc12540" </w:instrText>
      </w:r>
      <w:r>
        <w:rPr>
          <w:color w:val="000000" w:themeColor="text1"/>
        </w:rPr>
        <w:fldChar w:fldCharType="separate"/>
      </w:r>
      <w:r>
        <w:rPr>
          <w:color w:val="000000" w:themeColor="text1"/>
          <w:sz w:val="24"/>
          <w:szCs w:val="24"/>
        </w:rPr>
        <w:t>5.2.5土壤环境现状</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_Toc12540 \h </w:instrText>
      </w:r>
      <w:r>
        <w:rPr>
          <w:color w:val="000000" w:themeColor="text1"/>
          <w:sz w:val="24"/>
          <w:szCs w:val="24"/>
        </w:rPr>
        <w:fldChar w:fldCharType="separate"/>
      </w:r>
      <w:r>
        <w:rPr>
          <w:color w:val="000000" w:themeColor="text1"/>
          <w:sz w:val="24"/>
          <w:szCs w:val="24"/>
        </w:rPr>
        <w:t>- 175 -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"_Toc14022" </w:instrText>
      </w:r>
      <w:r>
        <w:rPr>
          <w:color w:val="000000" w:themeColor="text1"/>
        </w:rPr>
        <w:fldChar w:fldCharType="separate"/>
      </w:r>
      <w:r>
        <w:rPr>
          <w:color w:val="000000" w:themeColor="text1"/>
          <w:sz w:val="24"/>
          <w:szCs w:val="24"/>
        </w:rPr>
        <w:t>5.2.6生态环境现状</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_Toc14022 \h </w:instrText>
      </w:r>
      <w:r>
        <w:rPr>
          <w:color w:val="000000" w:themeColor="text1"/>
          <w:sz w:val="24"/>
          <w:szCs w:val="24"/>
        </w:rPr>
        <w:fldChar w:fldCharType="separate"/>
      </w:r>
      <w:r>
        <w:rPr>
          <w:color w:val="000000" w:themeColor="text1"/>
          <w:sz w:val="24"/>
          <w:szCs w:val="24"/>
        </w:rPr>
        <w:t>- 177 -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"_Toc30758" </w:instrText>
      </w:r>
      <w:r>
        <w:rPr>
          <w:color w:val="000000" w:themeColor="text1"/>
        </w:rPr>
        <w:fldChar w:fldCharType="separate"/>
      </w:r>
      <w:r>
        <w:rPr>
          <w:color w:val="000000" w:themeColor="text1"/>
          <w:sz w:val="24"/>
          <w:szCs w:val="24"/>
        </w:rPr>
        <w:t>5.3区域污染源调查</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_Toc30758 \h </w:instrText>
      </w:r>
      <w:r>
        <w:rPr>
          <w:color w:val="000000" w:themeColor="text1"/>
          <w:sz w:val="24"/>
          <w:szCs w:val="24"/>
        </w:rPr>
        <w:fldChar w:fldCharType="separate"/>
      </w:r>
      <w:r>
        <w:rPr>
          <w:color w:val="000000" w:themeColor="text1"/>
          <w:sz w:val="24"/>
          <w:szCs w:val="24"/>
        </w:rPr>
        <w:t>- 178 -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"_Toc15233" </w:instrText>
      </w:r>
      <w:r>
        <w:rPr>
          <w:color w:val="000000" w:themeColor="text1"/>
        </w:rPr>
        <w:fldChar w:fldCharType="separate"/>
      </w:r>
      <w:r>
        <w:rPr>
          <w:color w:val="000000" w:themeColor="text1"/>
          <w:sz w:val="24"/>
          <w:szCs w:val="24"/>
        </w:rPr>
        <w:t>5.4工业园区概况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_Toc15233 \h </w:instrText>
      </w:r>
      <w:r>
        <w:rPr>
          <w:color w:val="000000" w:themeColor="text1"/>
          <w:sz w:val="24"/>
          <w:szCs w:val="24"/>
        </w:rPr>
        <w:fldChar w:fldCharType="separate"/>
      </w:r>
      <w:r>
        <w:rPr>
          <w:color w:val="000000" w:themeColor="text1"/>
          <w:sz w:val="24"/>
          <w:szCs w:val="24"/>
        </w:rPr>
        <w:t>- 178 -</w:t>
      </w:r>
      <w:r>
        <w:rPr>
          <w:color w:val="000000" w:themeColor="text1"/>
          <w:sz w:val="24"/>
          <w:szCs w:val="24"/>
        </w:rPr>
        <w:fldChar w:fldCharType="end"/>
      </w:r>
      <w:r>
        <w:rPr>
          <w:color w:val="000000" w:themeColor="text1"/>
          <w:sz w:val="24"/>
          <w:szCs w:val="24"/>
        </w:rPr>
        <w:fldChar w:fldCharType="end"/>
      </w:r>
    </w:p>
    <w:p>
      <w:pPr>
        <w:pStyle w:val="44"/>
        <w:tabs>
          <w:tab w:val="right" w:leader="dot" w:pos="8312"/>
          <w:tab w:val="clear" w:pos="8296"/>
        </w:tabs>
        <w:spacing w:before="65"/>
        <w:ind w:firstLine="482"/>
        <w:rPr>
          <w:color w:val="000000" w:themeColor="text1"/>
          <w:sz w:val="24"/>
          <w:szCs w:val="24"/>
        </w:rPr>
      </w:pPr>
      <w:r>
        <w:rPr>
          <w:color w:val="000000" w:themeColor="text1"/>
        </w:rPr>
        <w:fldChar w:fldCharType="begin"/>
      </w:r>
      <w:r>
        <w:rPr>
          <w:color w:val="000000" w:themeColor="text1"/>
        </w:rPr>
        <w:instrText xml:space="preserve"> HYPERLINK \l "_Toc7150" </w:instrText>
      </w:r>
      <w:r>
        <w:rPr>
          <w:color w:val="000000" w:themeColor="text1"/>
        </w:rPr>
        <w:fldChar w:fldCharType="separate"/>
      </w:r>
      <w:r>
        <w:rPr>
          <w:color w:val="000000" w:themeColor="text1"/>
          <w:kern w:val="32"/>
          <w:sz w:val="24"/>
          <w:szCs w:val="24"/>
        </w:rPr>
        <w:t>6环境影响预测分析与评价</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_Toc7150 \h </w:instrText>
      </w:r>
      <w:r>
        <w:rPr>
          <w:color w:val="000000" w:themeColor="text1"/>
          <w:sz w:val="24"/>
          <w:szCs w:val="24"/>
        </w:rPr>
        <w:fldChar w:fldCharType="separate"/>
      </w:r>
      <w:r>
        <w:rPr>
          <w:color w:val="000000" w:themeColor="text1"/>
          <w:sz w:val="24"/>
          <w:szCs w:val="24"/>
        </w:rPr>
        <w:t>180</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"_Toc30812" </w:instrText>
      </w:r>
      <w:r>
        <w:rPr>
          <w:color w:val="000000" w:themeColor="text1"/>
        </w:rPr>
        <w:fldChar w:fldCharType="separate"/>
      </w:r>
      <w:r>
        <w:rPr>
          <w:color w:val="000000" w:themeColor="text1"/>
          <w:sz w:val="24"/>
          <w:szCs w:val="24"/>
        </w:rPr>
        <w:t>6.1施工期环境影响分析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_Toc30812 \h </w:instrText>
      </w:r>
      <w:r>
        <w:rPr>
          <w:color w:val="000000" w:themeColor="text1"/>
          <w:sz w:val="24"/>
          <w:szCs w:val="24"/>
        </w:rPr>
        <w:fldChar w:fldCharType="separate"/>
      </w:r>
      <w:r>
        <w:rPr>
          <w:color w:val="000000" w:themeColor="text1"/>
          <w:sz w:val="24"/>
          <w:szCs w:val="24"/>
        </w:rPr>
        <w:t>180</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"_Toc12893" </w:instrText>
      </w:r>
      <w:r>
        <w:rPr>
          <w:color w:val="000000" w:themeColor="text1"/>
        </w:rPr>
        <w:fldChar w:fldCharType="separate"/>
      </w:r>
      <w:r>
        <w:rPr>
          <w:color w:val="000000" w:themeColor="text1"/>
          <w:sz w:val="24"/>
          <w:szCs w:val="24"/>
        </w:rPr>
        <w:t>6.1.1施工期环境空气影响分析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_Toc12893 \h </w:instrText>
      </w:r>
      <w:r>
        <w:rPr>
          <w:color w:val="000000" w:themeColor="text1"/>
          <w:sz w:val="24"/>
          <w:szCs w:val="24"/>
        </w:rPr>
        <w:fldChar w:fldCharType="separate"/>
      </w:r>
      <w:r>
        <w:rPr>
          <w:color w:val="000000" w:themeColor="text1"/>
          <w:sz w:val="24"/>
          <w:szCs w:val="24"/>
        </w:rPr>
        <w:t>180</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"_Toc32044" </w:instrText>
      </w:r>
      <w:r>
        <w:rPr>
          <w:color w:val="000000" w:themeColor="text1"/>
        </w:rPr>
        <w:fldChar w:fldCharType="separate"/>
      </w:r>
      <w:r>
        <w:rPr>
          <w:color w:val="000000" w:themeColor="text1"/>
          <w:sz w:val="24"/>
          <w:szCs w:val="24"/>
        </w:rPr>
        <w:t>6.1.2施工期地表水环境影响分析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_Toc32044 \h </w:instrText>
      </w:r>
      <w:r>
        <w:rPr>
          <w:color w:val="000000" w:themeColor="text1"/>
          <w:sz w:val="24"/>
          <w:szCs w:val="24"/>
        </w:rPr>
        <w:fldChar w:fldCharType="separate"/>
      </w:r>
      <w:r>
        <w:rPr>
          <w:color w:val="000000" w:themeColor="text1"/>
          <w:sz w:val="24"/>
          <w:szCs w:val="24"/>
        </w:rPr>
        <w:t>183</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"_Toc15929" </w:instrText>
      </w:r>
      <w:r>
        <w:rPr>
          <w:color w:val="000000" w:themeColor="text1"/>
        </w:rPr>
        <w:fldChar w:fldCharType="separate"/>
      </w:r>
      <w:r>
        <w:rPr>
          <w:color w:val="000000" w:themeColor="text1"/>
          <w:sz w:val="24"/>
          <w:szCs w:val="24"/>
        </w:rPr>
        <w:t>6.1.3施工期声环境影响预测与评价</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_Toc15929 \h </w:instrText>
      </w:r>
      <w:r>
        <w:rPr>
          <w:color w:val="000000" w:themeColor="text1"/>
          <w:sz w:val="24"/>
          <w:szCs w:val="24"/>
        </w:rPr>
        <w:fldChar w:fldCharType="separate"/>
      </w:r>
      <w:r>
        <w:rPr>
          <w:color w:val="000000" w:themeColor="text1"/>
          <w:sz w:val="24"/>
          <w:szCs w:val="24"/>
        </w:rPr>
        <w:t>184</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"_Toc13013" </w:instrText>
      </w:r>
      <w:r>
        <w:rPr>
          <w:color w:val="000000" w:themeColor="text1"/>
        </w:rPr>
        <w:fldChar w:fldCharType="separate"/>
      </w:r>
      <w:r>
        <w:rPr>
          <w:color w:val="000000" w:themeColor="text1"/>
          <w:sz w:val="24"/>
          <w:szCs w:val="24"/>
        </w:rPr>
        <w:t>6.1.4施工期固废影响分析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_Toc13013 \h </w:instrText>
      </w:r>
      <w:r>
        <w:rPr>
          <w:color w:val="000000" w:themeColor="text1"/>
          <w:sz w:val="24"/>
          <w:szCs w:val="24"/>
        </w:rPr>
        <w:fldChar w:fldCharType="separate"/>
      </w:r>
      <w:r>
        <w:rPr>
          <w:color w:val="000000" w:themeColor="text1"/>
          <w:sz w:val="24"/>
          <w:szCs w:val="24"/>
        </w:rPr>
        <w:t>186</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"_Toc6438" </w:instrText>
      </w:r>
      <w:r>
        <w:rPr>
          <w:color w:val="000000" w:themeColor="text1"/>
        </w:rPr>
        <w:fldChar w:fldCharType="separate"/>
      </w:r>
      <w:r>
        <w:rPr>
          <w:color w:val="000000" w:themeColor="text1"/>
          <w:sz w:val="24"/>
          <w:szCs w:val="24"/>
        </w:rPr>
        <w:t>6.1.</w:t>
      </w:r>
      <w:r>
        <w:rPr>
          <w:rFonts w:hint="eastAsia"/>
          <w:color w:val="000000" w:themeColor="text1"/>
          <w:sz w:val="24"/>
          <w:szCs w:val="24"/>
          <w:lang w:eastAsia="zh-CN"/>
        </w:rPr>
        <w:t>5</w:t>
      </w:r>
      <w:r>
        <w:rPr>
          <w:color w:val="000000" w:themeColor="text1"/>
          <w:sz w:val="24"/>
          <w:szCs w:val="24"/>
        </w:rPr>
        <w:t>施工</w:t>
      </w:r>
      <w:r>
        <w:rPr>
          <w:rFonts w:hint="eastAsia"/>
          <w:color w:val="000000" w:themeColor="text1"/>
          <w:sz w:val="24"/>
          <w:szCs w:val="24"/>
          <w:lang w:eastAsia="zh-CN"/>
        </w:rPr>
        <w:t>水土流失</w:t>
      </w:r>
      <w:r>
        <w:rPr>
          <w:color w:val="000000" w:themeColor="text1"/>
          <w:sz w:val="24"/>
          <w:szCs w:val="24"/>
        </w:rPr>
        <w:t>影响分析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_Toc6438 \h </w:instrText>
      </w:r>
      <w:r>
        <w:rPr>
          <w:color w:val="000000" w:themeColor="text1"/>
          <w:sz w:val="24"/>
          <w:szCs w:val="24"/>
        </w:rPr>
        <w:fldChar w:fldCharType="separate"/>
      </w:r>
      <w:r>
        <w:rPr>
          <w:color w:val="000000" w:themeColor="text1"/>
          <w:sz w:val="24"/>
          <w:szCs w:val="24"/>
        </w:rPr>
        <w:t>186</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"_Toc6007" </w:instrText>
      </w:r>
      <w:r>
        <w:rPr>
          <w:color w:val="000000" w:themeColor="text1"/>
        </w:rPr>
        <w:fldChar w:fldCharType="separate"/>
      </w:r>
      <w:r>
        <w:rPr>
          <w:color w:val="000000" w:themeColor="text1"/>
          <w:sz w:val="24"/>
          <w:szCs w:val="24"/>
        </w:rPr>
        <w:t>6.1.</w:t>
      </w:r>
      <w:r>
        <w:rPr>
          <w:rFonts w:hint="eastAsia"/>
          <w:color w:val="000000" w:themeColor="text1"/>
          <w:sz w:val="24"/>
          <w:szCs w:val="24"/>
          <w:lang w:eastAsia="zh-CN"/>
        </w:rPr>
        <w:t>6</w:t>
      </w:r>
      <w:r>
        <w:rPr>
          <w:color w:val="000000" w:themeColor="text1"/>
          <w:sz w:val="24"/>
          <w:szCs w:val="24"/>
        </w:rPr>
        <w:t>小结</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_Toc6007 \h </w:instrText>
      </w:r>
      <w:r>
        <w:rPr>
          <w:color w:val="000000" w:themeColor="text1"/>
          <w:sz w:val="24"/>
          <w:szCs w:val="24"/>
        </w:rPr>
        <w:fldChar w:fldCharType="separate"/>
      </w:r>
      <w:r>
        <w:rPr>
          <w:color w:val="000000" w:themeColor="text1"/>
          <w:sz w:val="24"/>
          <w:szCs w:val="24"/>
        </w:rPr>
        <w:t>186</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"_Toc20388" </w:instrText>
      </w:r>
      <w:r>
        <w:rPr>
          <w:color w:val="000000" w:themeColor="text1"/>
        </w:rPr>
        <w:fldChar w:fldCharType="separate"/>
      </w:r>
      <w:r>
        <w:rPr>
          <w:color w:val="000000" w:themeColor="text1"/>
          <w:sz w:val="24"/>
          <w:szCs w:val="24"/>
        </w:rPr>
        <w:t>6.2运营期环境空气影响分析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_Toc20388 \h </w:instrText>
      </w:r>
      <w:r>
        <w:rPr>
          <w:color w:val="000000" w:themeColor="text1"/>
          <w:sz w:val="24"/>
          <w:szCs w:val="24"/>
        </w:rPr>
        <w:fldChar w:fldCharType="separate"/>
      </w:r>
      <w:r>
        <w:rPr>
          <w:color w:val="000000" w:themeColor="text1"/>
          <w:sz w:val="24"/>
          <w:szCs w:val="24"/>
        </w:rPr>
        <w:t>187</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"_Toc30954" </w:instrText>
      </w:r>
      <w:r>
        <w:rPr>
          <w:color w:val="000000" w:themeColor="text1"/>
        </w:rPr>
        <w:fldChar w:fldCharType="separate"/>
      </w:r>
      <w:r>
        <w:rPr>
          <w:color w:val="000000" w:themeColor="text1"/>
          <w:sz w:val="24"/>
          <w:szCs w:val="24"/>
        </w:rPr>
        <w:t>6.2.1大气环境影响分析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_Toc30954 \h </w:instrText>
      </w:r>
      <w:r>
        <w:rPr>
          <w:color w:val="000000" w:themeColor="text1"/>
          <w:sz w:val="24"/>
          <w:szCs w:val="24"/>
        </w:rPr>
        <w:fldChar w:fldCharType="separate"/>
      </w:r>
      <w:r>
        <w:rPr>
          <w:color w:val="000000" w:themeColor="text1"/>
          <w:sz w:val="24"/>
          <w:szCs w:val="24"/>
        </w:rPr>
        <w:t>187</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"_Toc1570" </w:instrText>
      </w:r>
      <w:r>
        <w:rPr>
          <w:color w:val="000000" w:themeColor="text1"/>
        </w:rPr>
        <w:fldChar w:fldCharType="separate"/>
      </w:r>
      <w:r>
        <w:rPr>
          <w:color w:val="000000" w:themeColor="text1"/>
          <w:sz w:val="24"/>
          <w:szCs w:val="24"/>
        </w:rPr>
        <w:t>6.2.2地表水环境影响评价</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_Toc1570 \h </w:instrText>
      </w:r>
      <w:r>
        <w:rPr>
          <w:color w:val="000000" w:themeColor="text1"/>
          <w:sz w:val="24"/>
          <w:szCs w:val="24"/>
        </w:rPr>
        <w:fldChar w:fldCharType="separate"/>
      </w:r>
      <w:r>
        <w:rPr>
          <w:color w:val="000000" w:themeColor="text1"/>
          <w:sz w:val="24"/>
          <w:szCs w:val="24"/>
        </w:rPr>
        <w:t>- 219 -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"_Toc2063" </w:instrText>
      </w:r>
      <w:r>
        <w:rPr>
          <w:color w:val="000000" w:themeColor="text1"/>
        </w:rPr>
        <w:fldChar w:fldCharType="separate"/>
      </w:r>
      <w:r>
        <w:rPr>
          <w:color w:val="000000" w:themeColor="text1"/>
          <w:sz w:val="24"/>
          <w:szCs w:val="24"/>
        </w:rPr>
        <w:t>6.2.3地下水环境影响分析与评价</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_Toc2063 \h </w:instrText>
      </w:r>
      <w:r>
        <w:rPr>
          <w:color w:val="000000" w:themeColor="text1"/>
          <w:sz w:val="24"/>
          <w:szCs w:val="24"/>
        </w:rPr>
        <w:fldChar w:fldCharType="separate"/>
      </w:r>
      <w:r>
        <w:rPr>
          <w:color w:val="000000" w:themeColor="text1"/>
          <w:sz w:val="24"/>
          <w:szCs w:val="24"/>
        </w:rPr>
        <w:t>- 224 -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"_Toc30588" </w:instrText>
      </w:r>
      <w:r>
        <w:rPr>
          <w:color w:val="000000" w:themeColor="text1"/>
        </w:rPr>
        <w:fldChar w:fldCharType="separate"/>
      </w:r>
      <w:r>
        <w:rPr>
          <w:color w:val="000000" w:themeColor="text1"/>
          <w:sz w:val="24"/>
          <w:szCs w:val="24"/>
        </w:rPr>
        <w:t>6.2.4噪声环境影响预测分析与评价</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_Toc30588 \h </w:instrText>
      </w:r>
      <w:r>
        <w:rPr>
          <w:color w:val="000000" w:themeColor="text1"/>
          <w:sz w:val="24"/>
          <w:szCs w:val="24"/>
        </w:rPr>
        <w:fldChar w:fldCharType="separate"/>
      </w:r>
      <w:r>
        <w:rPr>
          <w:color w:val="000000" w:themeColor="text1"/>
          <w:sz w:val="24"/>
          <w:szCs w:val="24"/>
        </w:rPr>
        <w:t>- 237 -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"_Toc13255" </w:instrText>
      </w:r>
      <w:r>
        <w:rPr>
          <w:color w:val="000000" w:themeColor="text1"/>
        </w:rPr>
        <w:fldChar w:fldCharType="separate"/>
      </w:r>
      <w:r>
        <w:rPr>
          <w:color w:val="000000" w:themeColor="text1"/>
          <w:sz w:val="24"/>
          <w:szCs w:val="24"/>
        </w:rPr>
        <w:t>6.2.5固体废物影响分析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_Toc13255 \h </w:instrText>
      </w:r>
      <w:r>
        <w:rPr>
          <w:color w:val="000000" w:themeColor="text1"/>
          <w:sz w:val="24"/>
          <w:szCs w:val="24"/>
        </w:rPr>
        <w:fldChar w:fldCharType="separate"/>
      </w:r>
      <w:r>
        <w:rPr>
          <w:color w:val="000000" w:themeColor="text1"/>
          <w:sz w:val="24"/>
          <w:szCs w:val="24"/>
        </w:rPr>
        <w:t>- 241 -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"_Toc24737" </w:instrText>
      </w:r>
      <w:r>
        <w:rPr>
          <w:color w:val="000000" w:themeColor="text1"/>
        </w:rPr>
        <w:fldChar w:fldCharType="separate"/>
      </w:r>
      <w:r>
        <w:rPr>
          <w:color w:val="000000" w:themeColor="text1"/>
          <w:sz w:val="24"/>
          <w:szCs w:val="24"/>
        </w:rPr>
        <w:t>6.2.6土壤环境影响分析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_Toc24737 \h </w:instrText>
      </w:r>
      <w:r>
        <w:rPr>
          <w:color w:val="000000" w:themeColor="text1"/>
          <w:sz w:val="24"/>
          <w:szCs w:val="24"/>
        </w:rPr>
        <w:fldChar w:fldCharType="separate"/>
      </w:r>
      <w:r>
        <w:rPr>
          <w:color w:val="000000" w:themeColor="text1"/>
          <w:sz w:val="24"/>
          <w:szCs w:val="24"/>
        </w:rPr>
        <w:t>- 247 -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"_Toc28817" </w:instrText>
      </w:r>
      <w:r>
        <w:rPr>
          <w:color w:val="000000" w:themeColor="text1"/>
        </w:rPr>
        <w:fldChar w:fldCharType="separate"/>
      </w:r>
      <w:r>
        <w:rPr>
          <w:color w:val="000000" w:themeColor="text1"/>
          <w:sz w:val="24"/>
          <w:szCs w:val="24"/>
        </w:rPr>
        <w:t>6.3生态环境影响分析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_Toc28817 \h </w:instrText>
      </w:r>
      <w:r>
        <w:rPr>
          <w:color w:val="000000" w:themeColor="text1"/>
          <w:sz w:val="24"/>
          <w:szCs w:val="24"/>
        </w:rPr>
        <w:fldChar w:fldCharType="separate"/>
      </w:r>
      <w:r>
        <w:rPr>
          <w:color w:val="000000" w:themeColor="text1"/>
          <w:sz w:val="24"/>
          <w:szCs w:val="24"/>
        </w:rPr>
        <w:t>- 249 -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"_Toc2614" </w:instrText>
      </w:r>
      <w:r>
        <w:rPr>
          <w:color w:val="000000" w:themeColor="text1"/>
        </w:rPr>
        <w:fldChar w:fldCharType="separate"/>
      </w:r>
      <w:r>
        <w:rPr>
          <w:color w:val="000000" w:themeColor="text1"/>
          <w:sz w:val="24"/>
          <w:szCs w:val="24"/>
        </w:rPr>
        <w:t>6.4环境风险影响分析与评价</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_Toc2614 \h </w:instrText>
      </w:r>
      <w:r>
        <w:rPr>
          <w:color w:val="000000" w:themeColor="text1"/>
          <w:sz w:val="24"/>
          <w:szCs w:val="24"/>
        </w:rPr>
        <w:fldChar w:fldCharType="separate"/>
      </w:r>
      <w:r>
        <w:rPr>
          <w:color w:val="000000" w:themeColor="text1"/>
          <w:sz w:val="24"/>
          <w:szCs w:val="24"/>
        </w:rPr>
        <w:t>- 249 -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"_Toc31257" </w:instrText>
      </w:r>
      <w:r>
        <w:rPr>
          <w:color w:val="000000" w:themeColor="text1"/>
        </w:rPr>
        <w:fldChar w:fldCharType="separate"/>
      </w:r>
      <w:r>
        <w:rPr>
          <w:color w:val="000000" w:themeColor="text1"/>
          <w:sz w:val="24"/>
          <w:szCs w:val="24"/>
        </w:rPr>
        <w:t>6.4.1评价目的</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_Toc31257 \h </w:instrText>
      </w:r>
      <w:r>
        <w:rPr>
          <w:color w:val="000000" w:themeColor="text1"/>
          <w:sz w:val="24"/>
          <w:szCs w:val="24"/>
        </w:rPr>
        <w:fldChar w:fldCharType="separate"/>
      </w:r>
      <w:r>
        <w:rPr>
          <w:color w:val="000000" w:themeColor="text1"/>
          <w:sz w:val="24"/>
          <w:szCs w:val="24"/>
        </w:rPr>
        <w:t>- 249 -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"_Toc26728" </w:instrText>
      </w:r>
      <w:r>
        <w:rPr>
          <w:color w:val="000000" w:themeColor="text1"/>
        </w:rPr>
        <w:fldChar w:fldCharType="separate"/>
      </w:r>
      <w:r>
        <w:rPr>
          <w:color w:val="000000" w:themeColor="text1"/>
          <w:sz w:val="24"/>
          <w:szCs w:val="24"/>
        </w:rPr>
        <w:t>6.4.2评价依据</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_Toc26728 \h </w:instrText>
      </w:r>
      <w:r>
        <w:rPr>
          <w:color w:val="000000" w:themeColor="text1"/>
          <w:sz w:val="24"/>
          <w:szCs w:val="24"/>
        </w:rPr>
        <w:fldChar w:fldCharType="separate"/>
      </w:r>
      <w:r>
        <w:rPr>
          <w:color w:val="000000" w:themeColor="text1"/>
          <w:sz w:val="24"/>
          <w:szCs w:val="24"/>
        </w:rPr>
        <w:t>- 250 -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"_Toc17986" </w:instrText>
      </w:r>
      <w:r>
        <w:rPr>
          <w:color w:val="000000" w:themeColor="text1"/>
        </w:rPr>
        <w:fldChar w:fldCharType="separate"/>
      </w:r>
      <w:r>
        <w:rPr>
          <w:color w:val="000000" w:themeColor="text1"/>
          <w:sz w:val="24"/>
          <w:szCs w:val="24"/>
        </w:rPr>
        <w:t>6.4.3环境风险识别</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_Toc17986 \h </w:instrText>
      </w:r>
      <w:r>
        <w:rPr>
          <w:color w:val="000000" w:themeColor="text1"/>
          <w:sz w:val="24"/>
          <w:szCs w:val="24"/>
        </w:rPr>
        <w:fldChar w:fldCharType="separate"/>
      </w:r>
      <w:r>
        <w:rPr>
          <w:color w:val="000000" w:themeColor="text1"/>
          <w:sz w:val="24"/>
          <w:szCs w:val="24"/>
        </w:rPr>
        <w:t>- 252 -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"_Toc19029" </w:instrText>
      </w:r>
      <w:r>
        <w:rPr>
          <w:color w:val="000000" w:themeColor="text1"/>
        </w:rPr>
        <w:fldChar w:fldCharType="separate"/>
      </w:r>
      <w:r>
        <w:rPr>
          <w:color w:val="000000" w:themeColor="text1"/>
          <w:sz w:val="24"/>
          <w:szCs w:val="24"/>
        </w:rPr>
        <w:t>6.4.4重大危险源识别</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_Toc19029 \h </w:instrText>
      </w:r>
      <w:r>
        <w:rPr>
          <w:color w:val="000000" w:themeColor="text1"/>
          <w:sz w:val="24"/>
          <w:szCs w:val="24"/>
        </w:rPr>
        <w:fldChar w:fldCharType="separate"/>
      </w:r>
      <w:r>
        <w:rPr>
          <w:color w:val="000000" w:themeColor="text1"/>
          <w:sz w:val="24"/>
          <w:szCs w:val="24"/>
        </w:rPr>
        <w:t>- 255 -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"_Toc23913" </w:instrText>
      </w:r>
      <w:r>
        <w:rPr>
          <w:color w:val="000000" w:themeColor="text1"/>
        </w:rPr>
        <w:fldChar w:fldCharType="separate"/>
      </w:r>
      <w:r>
        <w:rPr>
          <w:color w:val="000000" w:themeColor="text1"/>
          <w:sz w:val="24"/>
          <w:szCs w:val="24"/>
        </w:rPr>
        <w:t>6.4.5环境风险防范措施及应急要求</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_Toc23913 \h </w:instrText>
      </w:r>
      <w:r>
        <w:rPr>
          <w:color w:val="000000" w:themeColor="text1"/>
          <w:sz w:val="24"/>
          <w:szCs w:val="24"/>
        </w:rPr>
        <w:fldChar w:fldCharType="separate"/>
      </w:r>
      <w:r>
        <w:rPr>
          <w:color w:val="000000" w:themeColor="text1"/>
          <w:sz w:val="24"/>
          <w:szCs w:val="24"/>
        </w:rPr>
        <w:t>- 257 -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"_Toc7602" </w:instrText>
      </w:r>
      <w:r>
        <w:rPr>
          <w:color w:val="000000" w:themeColor="text1"/>
        </w:rPr>
        <w:fldChar w:fldCharType="separate"/>
      </w:r>
      <w:r>
        <w:rPr>
          <w:color w:val="000000" w:themeColor="text1"/>
          <w:sz w:val="24"/>
          <w:szCs w:val="24"/>
        </w:rPr>
        <w:t>6.4.6结论</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_Toc7602 \h </w:instrText>
      </w:r>
      <w:r>
        <w:rPr>
          <w:color w:val="000000" w:themeColor="text1"/>
          <w:sz w:val="24"/>
          <w:szCs w:val="24"/>
        </w:rPr>
        <w:fldChar w:fldCharType="separate"/>
      </w:r>
      <w:r>
        <w:rPr>
          <w:color w:val="000000" w:themeColor="text1"/>
          <w:sz w:val="24"/>
          <w:szCs w:val="24"/>
        </w:rPr>
        <w:t>- 262 -</w:t>
      </w:r>
      <w:r>
        <w:rPr>
          <w:color w:val="000000" w:themeColor="text1"/>
          <w:sz w:val="24"/>
          <w:szCs w:val="24"/>
        </w:rPr>
        <w:fldChar w:fldCharType="end"/>
      </w:r>
      <w:r>
        <w:rPr>
          <w:color w:val="000000" w:themeColor="text1"/>
          <w:sz w:val="24"/>
          <w:szCs w:val="24"/>
        </w:rPr>
        <w:fldChar w:fldCharType="end"/>
      </w:r>
    </w:p>
    <w:p>
      <w:pPr>
        <w:pStyle w:val="44"/>
        <w:tabs>
          <w:tab w:val="right" w:leader="dot" w:pos="8312"/>
          <w:tab w:val="clear" w:pos="8296"/>
        </w:tabs>
        <w:spacing w:before="65"/>
        <w:ind w:firstLine="482"/>
        <w:rPr>
          <w:color w:val="000000" w:themeColor="text1"/>
          <w:sz w:val="24"/>
          <w:szCs w:val="24"/>
        </w:rPr>
      </w:pPr>
      <w:r>
        <w:rPr>
          <w:color w:val="000000" w:themeColor="text1"/>
        </w:rPr>
        <w:fldChar w:fldCharType="begin"/>
      </w:r>
      <w:r>
        <w:rPr>
          <w:color w:val="000000" w:themeColor="text1"/>
        </w:rPr>
        <w:instrText xml:space="preserve"> HYPERLINK \l "_Toc10751" </w:instrText>
      </w:r>
      <w:r>
        <w:rPr>
          <w:color w:val="000000" w:themeColor="text1"/>
        </w:rPr>
        <w:fldChar w:fldCharType="separate"/>
      </w:r>
      <w:r>
        <w:rPr>
          <w:color w:val="000000" w:themeColor="text1"/>
          <w:kern w:val="32"/>
          <w:sz w:val="24"/>
          <w:szCs w:val="24"/>
        </w:rPr>
        <w:t>7环境保护措施及可行性分析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_Toc10751 \h </w:instrText>
      </w:r>
      <w:r>
        <w:rPr>
          <w:color w:val="000000" w:themeColor="text1"/>
          <w:sz w:val="24"/>
          <w:szCs w:val="24"/>
        </w:rPr>
        <w:fldChar w:fldCharType="separate"/>
      </w:r>
      <w:r>
        <w:rPr>
          <w:color w:val="000000" w:themeColor="text1"/>
          <w:sz w:val="24"/>
          <w:szCs w:val="24"/>
        </w:rPr>
        <w:t>- 263 -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"_Toc12431" </w:instrText>
      </w:r>
      <w:r>
        <w:rPr>
          <w:color w:val="000000" w:themeColor="text1"/>
        </w:rPr>
        <w:fldChar w:fldCharType="separate"/>
      </w:r>
      <w:r>
        <w:rPr>
          <w:color w:val="000000" w:themeColor="text1"/>
          <w:sz w:val="24"/>
          <w:szCs w:val="24"/>
        </w:rPr>
        <w:t>7.1施工期污染防治措施及可行性分析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_Toc12431 \h </w:instrText>
      </w:r>
      <w:r>
        <w:rPr>
          <w:color w:val="000000" w:themeColor="text1"/>
          <w:sz w:val="24"/>
          <w:szCs w:val="24"/>
        </w:rPr>
        <w:fldChar w:fldCharType="separate"/>
      </w:r>
      <w:r>
        <w:rPr>
          <w:color w:val="000000" w:themeColor="text1"/>
          <w:sz w:val="24"/>
          <w:szCs w:val="24"/>
        </w:rPr>
        <w:t>- 263 -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"_Toc8616" </w:instrText>
      </w:r>
      <w:r>
        <w:rPr>
          <w:color w:val="000000" w:themeColor="text1"/>
        </w:rPr>
        <w:fldChar w:fldCharType="separate"/>
      </w:r>
      <w:r>
        <w:rPr>
          <w:color w:val="000000" w:themeColor="text1"/>
          <w:sz w:val="24"/>
          <w:szCs w:val="24"/>
        </w:rPr>
        <w:t>7.1.1施工废气污染防治措施及可行性分析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_Toc8616 \h </w:instrText>
      </w:r>
      <w:r>
        <w:rPr>
          <w:color w:val="000000" w:themeColor="text1"/>
          <w:sz w:val="24"/>
          <w:szCs w:val="24"/>
        </w:rPr>
        <w:fldChar w:fldCharType="separate"/>
      </w:r>
      <w:r>
        <w:rPr>
          <w:color w:val="000000" w:themeColor="text1"/>
          <w:sz w:val="24"/>
          <w:szCs w:val="24"/>
        </w:rPr>
        <w:t>- 263 -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"_Toc27252" </w:instrText>
      </w:r>
      <w:r>
        <w:rPr>
          <w:color w:val="000000" w:themeColor="text1"/>
        </w:rPr>
        <w:fldChar w:fldCharType="separate"/>
      </w:r>
      <w:r>
        <w:rPr>
          <w:color w:val="000000" w:themeColor="text1"/>
          <w:sz w:val="24"/>
          <w:szCs w:val="24"/>
        </w:rPr>
        <w:t>7.1.2施工期地表水防治措施及可行性分析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_Toc27252 \h </w:instrText>
      </w:r>
      <w:r>
        <w:rPr>
          <w:color w:val="000000" w:themeColor="text1"/>
          <w:sz w:val="24"/>
          <w:szCs w:val="24"/>
        </w:rPr>
        <w:fldChar w:fldCharType="separate"/>
      </w:r>
      <w:r>
        <w:rPr>
          <w:color w:val="000000" w:themeColor="text1"/>
          <w:sz w:val="24"/>
          <w:szCs w:val="24"/>
        </w:rPr>
        <w:t>- 263 -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"_Toc31863" </w:instrText>
      </w:r>
      <w:r>
        <w:rPr>
          <w:color w:val="000000" w:themeColor="text1"/>
        </w:rPr>
        <w:fldChar w:fldCharType="separate"/>
      </w:r>
      <w:r>
        <w:rPr>
          <w:color w:val="000000" w:themeColor="text1"/>
          <w:sz w:val="24"/>
          <w:szCs w:val="24"/>
        </w:rPr>
        <w:t>7.1.3施工噪声污染防治措施及可行性分析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_Toc31863 \h </w:instrText>
      </w:r>
      <w:r>
        <w:rPr>
          <w:color w:val="000000" w:themeColor="text1"/>
          <w:sz w:val="24"/>
          <w:szCs w:val="24"/>
        </w:rPr>
        <w:fldChar w:fldCharType="separate"/>
      </w:r>
      <w:r>
        <w:rPr>
          <w:color w:val="000000" w:themeColor="text1"/>
          <w:sz w:val="24"/>
          <w:szCs w:val="24"/>
        </w:rPr>
        <w:t>- 264 -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"_Toc32555" </w:instrText>
      </w:r>
      <w:r>
        <w:rPr>
          <w:color w:val="000000" w:themeColor="text1"/>
        </w:rPr>
        <w:fldChar w:fldCharType="separate"/>
      </w:r>
      <w:r>
        <w:rPr>
          <w:color w:val="000000" w:themeColor="text1"/>
          <w:sz w:val="24"/>
          <w:szCs w:val="24"/>
        </w:rPr>
        <w:t>7.1.4施工固废的处置措施及可行性分析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_Toc32555 \h </w:instrText>
      </w:r>
      <w:r>
        <w:rPr>
          <w:color w:val="000000" w:themeColor="text1"/>
          <w:sz w:val="24"/>
          <w:szCs w:val="24"/>
        </w:rPr>
        <w:fldChar w:fldCharType="separate"/>
      </w:r>
      <w:r>
        <w:rPr>
          <w:color w:val="000000" w:themeColor="text1"/>
          <w:sz w:val="24"/>
          <w:szCs w:val="24"/>
        </w:rPr>
        <w:t>- 264 -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"_Toc4875" </w:instrText>
      </w:r>
      <w:r>
        <w:rPr>
          <w:color w:val="000000" w:themeColor="text1"/>
        </w:rPr>
        <w:fldChar w:fldCharType="separate"/>
      </w:r>
      <w:r>
        <w:rPr>
          <w:color w:val="000000" w:themeColor="text1"/>
          <w:sz w:val="24"/>
          <w:szCs w:val="24"/>
        </w:rPr>
        <w:t>7.1.5生态影响防治措施及可行性分析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_Toc4875 \h </w:instrText>
      </w:r>
      <w:r>
        <w:rPr>
          <w:color w:val="000000" w:themeColor="text1"/>
          <w:sz w:val="24"/>
          <w:szCs w:val="24"/>
        </w:rPr>
        <w:fldChar w:fldCharType="separate"/>
      </w:r>
      <w:r>
        <w:rPr>
          <w:color w:val="000000" w:themeColor="text1"/>
          <w:sz w:val="24"/>
          <w:szCs w:val="24"/>
        </w:rPr>
        <w:t>- 265 -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"_Toc28901" </w:instrText>
      </w:r>
      <w:r>
        <w:rPr>
          <w:color w:val="000000" w:themeColor="text1"/>
        </w:rPr>
        <w:fldChar w:fldCharType="separate"/>
      </w:r>
      <w:r>
        <w:rPr>
          <w:color w:val="000000" w:themeColor="text1"/>
          <w:sz w:val="24"/>
          <w:szCs w:val="24"/>
        </w:rPr>
        <w:t>7.2运营期污染防治措施及可行性分析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_Toc28901 \h </w:instrText>
      </w:r>
      <w:r>
        <w:rPr>
          <w:color w:val="000000" w:themeColor="text1"/>
          <w:sz w:val="24"/>
          <w:szCs w:val="24"/>
        </w:rPr>
        <w:fldChar w:fldCharType="separate"/>
      </w:r>
      <w:r>
        <w:rPr>
          <w:color w:val="000000" w:themeColor="text1"/>
          <w:sz w:val="24"/>
          <w:szCs w:val="24"/>
        </w:rPr>
        <w:t>- 265 -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"_Toc663" </w:instrText>
      </w:r>
      <w:r>
        <w:rPr>
          <w:color w:val="000000" w:themeColor="text1"/>
        </w:rPr>
        <w:fldChar w:fldCharType="separate"/>
      </w:r>
      <w:r>
        <w:rPr>
          <w:color w:val="000000" w:themeColor="text1"/>
          <w:sz w:val="24"/>
          <w:szCs w:val="24"/>
        </w:rPr>
        <w:t>7.2.1废气污染防治措施及可行性分析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_Toc663 \h </w:instrText>
      </w:r>
      <w:r>
        <w:rPr>
          <w:color w:val="000000" w:themeColor="text1"/>
          <w:sz w:val="24"/>
          <w:szCs w:val="24"/>
        </w:rPr>
        <w:fldChar w:fldCharType="separate"/>
      </w:r>
      <w:r>
        <w:rPr>
          <w:color w:val="000000" w:themeColor="text1"/>
          <w:sz w:val="24"/>
          <w:szCs w:val="24"/>
        </w:rPr>
        <w:t>- 265 -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"_Toc9389" </w:instrText>
      </w:r>
      <w:r>
        <w:rPr>
          <w:color w:val="000000" w:themeColor="text1"/>
        </w:rPr>
        <w:fldChar w:fldCharType="separate"/>
      </w:r>
      <w:r>
        <w:rPr>
          <w:color w:val="000000" w:themeColor="text1"/>
          <w:sz w:val="24"/>
          <w:szCs w:val="24"/>
        </w:rPr>
        <w:t>7.2.2废水污染防治措施及可行性分析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_Toc9389 \h </w:instrText>
      </w:r>
      <w:r>
        <w:rPr>
          <w:color w:val="000000" w:themeColor="text1"/>
          <w:sz w:val="24"/>
          <w:szCs w:val="24"/>
        </w:rPr>
        <w:fldChar w:fldCharType="separate"/>
      </w:r>
      <w:r>
        <w:rPr>
          <w:color w:val="000000" w:themeColor="text1"/>
          <w:sz w:val="24"/>
          <w:szCs w:val="24"/>
        </w:rPr>
        <w:t>- 266 -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"_Toc28185" </w:instrText>
      </w:r>
      <w:r>
        <w:rPr>
          <w:color w:val="000000" w:themeColor="text1"/>
        </w:rPr>
        <w:fldChar w:fldCharType="separate"/>
      </w:r>
      <w:r>
        <w:rPr>
          <w:color w:val="000000" w:themeColor="text1"/>
          <w:sz w:val="24"/>
          <w:szCs w:val="24"/>
        </w:rPr>
        <w:t>7.2.3地下水污染防治措施及可行性分析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_Toc28185 \h </w:instrText>
      </w:r>
      <w:r>
        <w:rPr>
          <w:color w:val="000000" w:themeColor="text1"/>
          <w:sz w:val="24"/>
          <w:szCs w:val="24"/>
        </w:rPr>
        <w:fldChar w:fldCharType="separate"/>
      </w:r>
      <w:r>
        <w:rPr>
          <w:color w:val="000000" w:themeColor="text1"/>
          <w:sz w:val="24"/>
          <w:szCs w:val="24"/>
        </w:rPr>
        <w:t>- 268 -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"_Toc9022" </w:instrText>
      </w:r>
      <w:r>
        <w:rPr>
          <w:color w:val="000000" w:themeColor="text1"/>
        </w:rPr>
        <w:fldChar w:fldCharType="separate"/>
      </w:r>
      <w:r>
        <w:rPr>
          <w:color w:val="000000" w:themeColor="text1"/>
          <w:sz w:val="24"/>
          <w:szCs w:val="24"/>
        </w:rPr>
        <w:t>7.2.4噪声污染防治措施及可行性分析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_Toc9022 \h </w:instrText>
      </w:r>
      <w:r>
        <w:rPr>
          <w:color w:val="000000" w:themeColor="text1"/>
          <w:sz w:val="24"/>
          <w:szCs w:val="24"/>
        </w:rPr>
        <w:fldChar w:fldCharType="separate"/>
      </w:r>
      <w:r>
        <w:rPr>
          <w:color w:val="000000" w:themeColor="text1"/>
          <w:sz w:val="24"/>
          <w:szCs w:val="24"/>
        </w:rPr>
        <w:t>- 269 -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"_Toc11846" </w:instrText>
      </w:r>
      <w:r>
        <w:rPr>
          <w:color w:val="000000" w:themeColor="text1"/>
        </w:rPr>
        <w:fldChar w:fldCharType="separate"/>
      </w:r>
      <w:r>
        <w:rPr>
          <w:color w:val="000000" w:themeColor="text1"/>
          <w:sz w:val="24"/>
          <w:szCs w:val="24"/>
        </w:rPr>
        <w:t>7.2.5固体废物处理处置措施及效果及可行性分析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_Toc11846 \h </w:instrText>
      </w:r>
      <w:r>
        <w:rPr>
          <w:color w:val="000000" w:themeColor="text1"/>
          <w:sz w:val="24"/>
          <w:szCs w:val="24"/>
        </w:rPr>
        <w:fldChar w:fldCharType="separate"/>
      </w:r>
      <w:r>
        <w:rPr>
          <w:color w:val="000000" w:themeColor="text1"/>
          <w:sz w:val="24"/>
          <w:szCs w:val="24"/>
        </w:rPr>
        <w:t>- 270 -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"_Toc12725" </w:instrText>
      </w:r>
      <w:r>
        <w:rPr>
          <w:color w:val="000000" w:themeColor="text1"/>
        </w:rPr>
        <w:fldChar w:fldCharType="separate"/>
      </w:r>
      <w:r>
        <w:rPr>
          <w:color w:val="000000" w:themeColor="text1"/>
          <w:sz w:val="24"/>
          <w:szCs w:val="24"/>
        </w:rPr>
        <w:t>7.2.6土壤污染防治措施及可行性分析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_Toc12725 \h </w:instrText>
      </w:r>
      <w:r>
        <w:rPr>
          <w:color w:val="000000" w:themeColor="text1"/>
          <w:sz w:val="24"/>
          <w:szCs w:val="24"/>
        </w:rPr>
        <w:fldChar w:fldCharType="separate"/>
      </w:r>
      <w:r>
        <w:rPr>
          <w:color w:val="000000" w:themeColor="text1"/>
          <w:sz w:val="24"/>
          <w:szCs w:val="24"/>
        </w:rPr>
        <w:t>- 271 -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"_Toc2238" </w:instrText>
      </w:r>
      <w:r>
        <w:rPr>
          <w:color w:val="000000" w:themeColor="text1"/>
        </w:rPr>
        <w:fldChar w:fldCharType="separate"/>
      </w:r>
      <w:r>
        <w:rPr>
          <w:color w:val="000000" w:themeColor="text1"/>
          <w:sz w:val="24"/>
          <w:szCs w:val="24"/>
        </w:rPr>
        <w:t>7.2.7环境风险防范措施及可行性分析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_Toc2238 \h </w:instrText>
      </w:r>
      <w:r>
        <w:rPr>
          <w:color w:val="000000" w:themeColor="text1"/>
          <w:sz w:val="24"/>
          <w:szCs w:val="24"/>
        </w:rPr>
        <w:fldChar w:fldCharType="separate"/>
      </w:r>
      <w:r>
        <w:rPr>
          <w:color w:val="000000" w:themeColor="text1"/>
          <w:sz w:val="24"/>
          <w:szCs w:val="24"/>
        </w:rPr>
        <w:t>- 271 -</w:t>
      </w:r>
      <w:r>
        <w:rPr>
          <w:color w:val="000000" w:themeColor="text1"/>
          <w:sz w:val="24"/>
          <w:szCs w:val="24"/>
        </w:rPr>
        <w:fldChar w:fldCharType="end"/>
      </w:r>
      <w:r>
        <w:rPr>
          <w:color w:val="000000" w:themeColor="text1"/>
          <w:sz w:val="24"/>
          <w:szCs w:val="24"/>
        </w:rPr>
        <w:fldChar w:fldCharType="end"/>
      </w:r>
    </w:p>
    <w:p>
      <w:pPr>
        <w:pStyle w:val="44"/>
        <w:tabs>
          <w:tab w:val="right" w:leader="dot" w:pos="8312"/>
          <w:tab w:val="clear" w:pos="8296"/>
        </w:tabs>
        <w:spacing w:before="65"/>
        <w:ind w:firstLine="482"/>
        <w:rPr>
          <w:color w:val="000000" w:themeColor="text1"/>
          <w:sz w:val="24"/>
          <w:szCs w:val="24"/>
        </w:rPr>
      </w:pPr>
      <w:r>
        <w:rPr>
          <w:color w:val="000000" w:themeColor="text1"/>
        </w:rPr>
        <w:fldChar w:fldCharType="begin"/>
      </w:r>
      <w:r>
        <w:rPr>
          <w:color w:val="000000" w:themeColor="text1"/>
        </w:rPr>
        <w:instrText xml:space="preserve"> HYPERLINK \l "_Toc24403" </w:instrText>
      </w:r>
      <w:r>
        <w:rPr>
          <w:color w:val="000000" w:themeColor="text1"/>
        </w:rPr>
        <w:fldChar w:fldCharType="separate"/>
      </w:r>
      <w:r>
        <w:rPr>
          <w:color w:val="000000" w:themeColor="text1"/>
          <w:kern w:val="32"/>
          <w:sz w:val="24"/>
          <w:szCs w:val="24"/>
        </w:rPr>
        <w:t>8环境经济损益分析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_Toc24403 \h </w:instrText>
      </w:r>
      <w:r>
        <w:rPr>
          <w:color w:val="000000" w:themeColor="text1"/>
          <w:sz w:val="24"/>
          <w:szCs w:val="24"/>
        </w:rPr>
        <w:fldChar w:fldCharType="separate"/>
      </w:r>
      <w:r>
        <w:rPr>
          <w:color w:val="000000" w:themeColor="text1"/>
          <w:sz w:val="24"/>
          <w:szCs w:val="24"/>
        </w:rPr>
        <w:t>- 273 -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"_Toc26149" </w:instrText>
      </w:r>
      <w:r>
        <w:rPr>
          <w:color w:val="000000" w:themeColor="text1"/>
        </w:rPr>
        <w:fldChar w:fldCharType="separate"/>
      </w:r>
      <w:r>
        <w:rPr>
          <w:color w:val="000000" w:themeColor="text1"/>
          <w:sz w:val="24"/>
          <w:szCs w:val="24"/>
        </w:rPr>
        <w:t>8.1经济效益</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_Toc26149 \h </w:instrText>
      </w:r>
      <w:r>
        <w:rPr>
          <w:color w:val="000000" w:themeColor="text1"/>
          <w:sz w:val="24"/>
          <w:szCs w:val="24"/>
        </w:rPr>
        <w:fldChar w:fldCharType="separate"/>
      </w:r>
      <w:r>
        <w:rPr>
          <w:color w:val="000000" w:themeColor="text1"/>
          <w:sz w:val="24"/>
          <w:szCs w:val="24"/>
        </w:rPr>
        <w:t>- 273 -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"_Toc21810" </w:instrText>
      </w:r>
      <w:r>
        <w:rPr>
          <w:color w:val="000000" w:themeColor="text1"/>
        </w:rPr>
        <w:fldChar w:fldCharType="separate"/>
      </w:r>
      <w:r>
        <w:rPr>
          <w:color w:val="000000" w:themeColor="text1"/>
          <w:sz w:val="24"/>
          <w:szCs w:val="24"/>
        </w:rPr>
        <w:t>8.2环境经济效益分析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_Toc21810 \h </w:instrText>
      </w:r>
      <w:r>
        <w:rPr>
          <w:color w:val="000000" w:themeColor="text1"/>
          <w:sz w:val="24"/>
          <w:szCs w:val="24"/>
        </w:rPr>
        <w:fldChar w:fldCharType="separate"/>
      </w:r>
      <w:r>
        <w:rPr>
          <w:color w:val="000000" w:themeColor="text1"/>
          <w:sz w:val="24"/>
          <w:szCs w:val="24"/>
        </w:rPr>
        <w:t>- 274 -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"_Toc21490" </w:instrText>
      </w:r>
      <w:r>
        <w:rPr>
          <w:color w:val="000000" w:themeColor="text1"/>
        </w:rPr>
        <w:fldChar w:fldCharType="separate"/>
      </w:r>
      <w:r>
        <w:rPr>
          <w:color w:val="000000" w:themeColor="text1"/>
          <w:sz w:val="24"/>
          <w:szCs w:val="24"/>
        </w:rPr>
        <w:t>8.2.1环保投资</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_Toc21490 \h </w:instrText>
      </w:r>
      <w:r>
        <w:rPr>
          <w:color w:val="000000" w:themeColor="text1"/>
          <w:sz w:val="24"/>
          <w:szCs w:val="24"/>
        </w:rPr>
        <w:fldChar w:fldCharType="separate"/>
      </w:r>
      <w:r>
        <w:rPr>
          <w:color w:val="000000" w:themeColor="text1"/>
          <w:sz w:val="24"/>
          <w:szCs w:val="24"/>
        </w:rPr>
        <w:t>- 274 -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"_Toc6530" </w:instrText>
      </w:r>
      <w:r>
        <w:rPr>
          <w:color w:val="000000" w:themeColor="text1"/>
        </w:rPr>
        <w:fldChar w:fldCharType="separate"/>
      </w:r>
      <w:r>
        <w:rPr>
          <w:color w:val="000000" w:themeColor="text1"/>
          <w:sz w:val="24"/>
          <w:szCs w:val="24"/>
        </w:rPr>
        <w:t>8.3环境经济损益分析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_Toc6530 \h </w:instrText>
      </w:r>
      <w:r>
        <w:rPr>
          <w:color w:val="000000" w:themeColor="text1"/>
          <w:sz w:val="24"/>
          <w:szCs w:val="24"/>
        </w:rPr>
        <w:fldChar w:fldCharType="separate"/>
      </w:r>
      <w:r>
        <w:rPr>
          <w:color w:val="000000" w:themeColor="text1"/>
          <w:sz w:val="24"/>
          <w:szCs w:val="24"/>
        </w:rPr>
        <w:t>- 275 -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"_Toc1062" </w:instrText>
      </w:r>
      <w:r>
        <w:rPr>
          <w:color w:val="000000" w:themeColor="text1"/>
        </w:rPr>
        <w:fldChar w:fldCharType="separate"/>
      </w:r>
      <w:r>
        <w:rPr>
          <w:color w:val="000000" w:themeColor="text1"/>
          <w:sz w:val="24"/>
          <w:szCs w:val="24"/>
        </w:rPr>
        <w:t>8.4环境影响经济损益综合分析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_Toc1062 \h </w:instrText>
      </w:r>
      <w:r>
        <w:rPr>
          <w:color w:val="000000" w:themeColor="text1"/>
          <w:sz w:val="24"/>
          <w:szCs w:val="24"/>
        </w:rPr>
        <w:fldChar w:fldCharType="separate"/>
      </w:r>
      <w:r>
        <w:rPr>
          <w:color w:val="000000" w:themeColor="text1"/>
          <w:sz w:val="24"/>
          <w:szCs w:val="24"/>
        </w:rPr>
        <w:t>- 276 -</w:t>
      </w:r>
      <w:r>
        <w:rPr>
          <w:color w:val="000000" w:themeColor="text1"/>
          <w:sz w:val="24"/>
          <w:szCs w:val="24"/>
        </w:rPr>
        <w:fldChar w:fldCharType="end"/>
      </w:r>
      <w:r>
        <w:rPr>
          <w:color w:val="000000" w:themeColor="text1"/>
          <w:sz w:val="24"/>
          <w:szCs w:val="24"/>
        </w:rPr>
        <w:fldChar w:fldCharType="end"/>
      </w:r>
    </w:p>
    <w:p>
      <w:pPr>
        <w:pStyle w:val="44"/>
        <w:tabs>
          <w:tab w:val="right" w:leader="dot" w:pos="8312"/>
          <w:tab w:val="clear" w:pos="8296"/>
        </w:tabs>
        <w:spacing w:before="65"/>
        <w:ind w:firstLine="482"/>
        <w:rPr>
          <w:color w:val="000000" w:themeColor="text1"/>
          <w:sz w:val="24"/>
          <w:szCs w:val="24"/>
        </w:rPr>
      </w:pPr>
      <w:r>
        <w:rPr>
          <w:color w:val="000000" w:themeColor="text1"/>
        </w:rPr>
        <w:fldChar w:fldCharType="begin"/>
      </w:r>
      <w:r>
        <w:rPr>
          <w:color w:val="000000" w:themeColor="text1"/>
        </w:rPr>
        <w:instrText xml:space="preserve"> HYPERLINK \l "_Toc11827" </w:instrText>
      </w:r>
      <w:r>
        <w:rPr>
          <w:color w:val="000000" w:themeColor="text1"/>
        </w:rPr>
        <w:fldChar w:fldCharType="separate"/>
      </w:r>
      <w:r>
        <w:rPr>
          <w:color w:val="000000" w:themeColor="text1"/>
          <w:kern w:val="32"/>
          <w:sz w:val="24"/>
          <w:szCs w:val="24"/>
        </w:rPr>
        <w:t>9环境管理与环境监测</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_Toc11827 \h </w:instrText>
      </w:r>
      <w:r>
        <w:rPr>
          <w:color w:val="000000" w:themeColor="text1"/>
          <w:sz w:val="24"/>
          <w:szCs w:val="24"/>
        </w:rPr>
        <w:fldChar w:fldCharType="separate"/>
      </w:r>
      <w:r>
        <w:rPr>
          <w:color w:val="000000" w:themeColor="text1"/>
          <w:sz w:val="24"/>
          <w:szCs w:val="24"/>
        </w:rPr>
        <w:t>- 277 -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"_Toc9680" </w:instrText>
      </w:r>
      <w:r>
        <w:rPr>
          <w:color w:val="000000" w:themeColor="text1"/>
        </w:rPr>
        <w:fldChar w:fldCharType="separate"/>
      </w:r>
      <w:r>
        <w:rPr>
          <w:color w:val="000000" w:themeColor="text1"/>
          <w:sz w:val="24"/>
          <w:szCs w:val="24"/>
        </w:rPr>
        <w:t>9.1</w:t>
      </w:r>
      <w:r>
        <w:rPr>
          <w:rFonts w:hint="eastAsia"/>
          <w:color w:val="000000" w:themeColor="text1"/>
          <w:sz w:val="24"/>
          <w:szCs w:val="24"/>
        </w:rPr>
        <w:t>环境管理</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_Toc9680 \h </w:instrText>
      </w:r>
      <w:r>
        <w:rPr>
          <w:color w:val="000000" w:themeColor="text1"/>
          <w:sz w:val="24"/>
          <w:szCs w:val="24"/>
        </w:rPr>
        <w:fldChar w:fldCharType="separate"/>
      </w:r>
      <w:r>
        <w:rPr>
          <w:color w:val="000000" w:themeColor="text1"/>
          <w:sz w:val="24"/>
          <w:szCs w:val="24"/>
        </w:rPr>
        <w:t>- 277 -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"_Toc669" </w:instrText>
      </w:r>
      <w:r>
        <w:rPr>
          <w:color w:val="000000" w:themeColor="text1"/>
        </w:rPr>
        <w:fldChar w:fldCharType="separate"/>
      </w:r>
      <w:r>
        <w:rPr>
          <w:rFonts w:hint="eastAsia"/>
          <w:color w:val="000000" w:themeColor="text1"/>
          <w:sz w:val="24"/>
          <w:szCs w:val="24"/>
        </w:rPr>
        <w:t>9.1.1环境管理目的</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_Toc669 \h </w:instrText>
      </w:r>
      <w:r>
        <w:rPr>
          <w:color w:val="000000" w:themeColor="text1"/>
          <w:sz w:val="24"/>
          <w:szCs w:val="24"/>
        </w:rPr>
        <w:fldChar w:fldCharType="separate"/>
      </w:r>
      <w:r>
        <w:rPr>
          <w:color w:val="000000" w:themeColor="text1"/>
          <w:sz w:val="24"/>
          <w:szCs w:val="24"/>
        </w:rPr>
        <w:t>- 277 -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"_Toc29310" </w:instrText>
      </w:r>
      <w:r>
        <w:rPr>
          <w:color w:val="000000" w:themeColor="text1"/>
        </w:rPr>
        <w:fldChar w:fldCharType="separate"/>
      </w:r>
      <w:r>
        <w:rPr>
          <w:rFonts w:hint="eastAsia"/>
          <w:color w:val="000000" w:themeColor="text1"/>
          <w:sz w:val="24"/>
          <w:szCs w:val="24"/>
        </w:rPr>
        <w:t>9.1.2环境管理制度</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_Toc29310 \h </w:instrText>
      </w:r>
      <w:r>
        <w:rPr>
          <w:color w:val="000000" w:themeColor="text1"/>
          <w:sz w:val="24"/>
          <w:szCs w:val="24"/>
        </w:rPr>
        <w:fldChar w:fldCharType="separate"/>
      </w:r>
      <w:r>
        <w:rPr>
          <w:color w:val="000000" w:themeColor="text1"/>
          <w:sz w:val="24"/>
          <w:szCs w:val="24"/>
        </w:rPr>
        <w:t>- 277 -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"_Toc23664" </w:instrText>
      </w:r>
      <w:r>
        <w:rPr>
          <w:color w:val="000000" w:themeColor="text1"/>
        </w:rPr>
        <w:fldChar w:fldCharType="separate"/>
      </w:r>
      <w:r>
        <w:rPr>
          <w:rFonts w:hint="eastAsia"/>
          <w:color w:val="000000" w:themeColor="text1"/>
          <w:sz w:val="24"/>
          <w:szCs w:val="24"/>
        </w:rPr>
        <w:t>9.1.3环境管理机构和职责</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_Toc23664 \h </w:instrText>
      </w:r>
      <w:r>
        <w:rPr>
          <w:color w:val="000000" w:themeColor="text1"/>
          <w:sz w:val="24"/>
          <w:szCs w:val="24"/>
        </w:rPr>
        <w:fldChar w:fldCharType="separate"/>
      </w:r>
      <w:r>
        <w:rPr>
          <w:color w:val="000000" w:themeColor="text1"/>
          <w:sz w:val="24"/>
          <w:szCs w:val="24"/>
        </w:rPr>
        <w:t>- 277 -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"_Toc19590" </w:instrText>
      </w:r>
      <w:r>
        <w:rPr>
          <w:color w:val="000000" w:themeColor="text1"/>
        </w:rPr>
        <w:fldChar w:fldCharType="separate"/>
      </w:r>
      <w:r>
        <w:rPr>
          <w:rFonts w:hint="eastAsia"/>
          <w:color w:val="000000" w:themeColor="text1"/>
          <w:sz w:val="24"/>
          <w:szCs w:val="24"/>
        </w:rPr>
        <w:t>9.1.4环境管理监察计划</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_Toc19590 \h </w:instrText>
      </w:r>
      <w:r>
        <w:rPr>
          <w:color w:val="000000" w:themeColor="text1"/>
          <w:sz w:val="24"/>
          <w:szCs w:val="24"/>
        </w:rPr>
        <w:fldChar w:fldCharType="separate"/>
      </w:r>
      <w:r>
        <w:rPr>
          <w:color w:val="000000" w:themeColor="text1"/>
          <w:sz w:val="24"/>
          <w:szCs w:val="24"/>
        </w:rPr>
        <w:t>- 278 -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"_Toc8818" </w:instrText>
      </w:r>
      <w:r>
        <w:rPr>
          <w:color w:val="000000" w:themeColor="text1"/>
        </w:rPr>
        <w:fldChar w:fldCharType="separate"/>
      </w:r>
      <w:r>
        <w:rPr>
          <w:color w:val="000000" w:themeColor="text1"/>
          <w:sz w:val="24"/>
          <w:szCs w:val="24"/>
        </w:rPr>
        <w:t>9.1.3</w:t>
      </w:r>
      <w:r>
        <w:rPr>
          <w:rFonts w:hint="eastAsia"/>
          <w:color w:val="000000" w:themeColor="text1"/>
          <w:sz w:val="24"/>
          <w:szCs w:val="24"/>
        </w:rPr>
        <w:t>污染物排放清单及排污口设置</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_Toc8818 \h </w:instrText>
      </w:r>
      <w:r>
        <w:rPr>
          <w:color w:val="000000" w:themeColor="text1"/>
          <w:sz w:val="24"/>
          <w:szCs w:val="24"/>
        </w:rPr>
        <w:fldChar w:fldCharType="separate"/>
      </w:r>
      <w:r>
        <w:rPr>
          <w:color w:val="000000" w:themeColor="text1"/>
          <w:sz w:val="24"/>
          <w:szCs w:val="24"/>
        </w:rPr>
        <w:t>- 279 -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"_Toc24148" </w:instrText>
      </w:r>
      <w:r>
        <w:rPr>
          <w:color w:val="000000" w:themeColor="text1"/>
        </w:rPr>
        <w:fldChar w:fldCharType="separate"/>
      </w:r>
      <w:r>
        <w:rPr>
          <w:color w:val="000000" w:themeColor="text1"/>
          <w:sz w:val="24"/>
          <w:szCs w:val="24"/>
        </w:rPr>
        <w:t>9.1.4信息公开</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_Toc24148 \h </w:instrText>
      </w:r>
      <w:r>
        <w:rPr>
          <w:color w:val="000000" w:themeColor="text1"/>
          <w:sz w:val="24"/>
          <w:szCs w:val="24"/>
        </w:rPr>
        <w:fldChar w:fldCharType="separate"/>
      </w:r>
      <w:r>
        <w:rPr>
          <w:color w:val="000000" w:themeColor="text1"/>
          <w:sz w:val="24"/>
          <w:szCs w:val="24"/>
        </w:rPr>
        <w:t>- 282 -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"_Toc8494" </w:instrText>
      </w:r>
      <w:r>
        <w:rPr>
          <w:color w:val="000000" w:themeColor="text1"/>
        </w:rPr>
        <w:fldChar w:fldCharType="separate"/>
      </w:r>
      <w:r>
        <w:rPr>
          <w:color w:val="000000" w:themeColor="text1"/>
          <w:sz w:val="24"/>
          <w:szCs w:val="24"/>
        </w:rPr>
        <w:t>9.2环境监测</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_Toc8494 \h </w:instrText>
      </w:r>
      <w:r>
        <w:rPr>
          <w:color w:val="000000" w:themeColor="text1"/>
          <w:sz w:val="24"/>
          <w:szCs w:val="24"/>
        </w:rPr>
        <w:fldChar w:fldCharType="separate"/>
      </w:r>
      <w:r>
        <w:rPr>
          <w:color w:val="000000" w:themeColor="text1"/>
          <w:sz w:val="24"/>
          <w:szCs w:val="24"/>
        </w:rPr>
        <w:t>- 283 -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"_Toc9936" </w:instrText>
      </w:r>
      <w:r>
        <w:rPr>
          <w:color w:val="000000" w:themeColor="text1"/>
        </w:rPr>
        <w:fldChar w:fldCharType="separate"/>
      </w:r>
      <w:r>
        <w:rPr>
          <w:color w:val="000000" w:themeColor="text1"/>
          <w:sz w:val="24"/>
          <w:szCs w:val="24"/>
        </w:rPr>
        <w:t>9.2.1施工期环境监测计划</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_Toc9936 \h </w:instrText>
      </w:r>
      <w:r>
        <w:rPr>
          <w:color w:val="000000" w:themeColor="text1"/>
          <w:sz w:val="24"/>
          <w:szCs w:val="24"/>
        </w:rPr>
        <w:fldChar w:fldCharType="separate"/>
      </w:r>
      <w:r>
        <w:rPr>
          <w:color w:val="000000" w:themeColor="text1"/>
          <w:sz w:val="24"/>
          <w:szCs w:val="24"/>
        </w:rPr>
        <w:t>- 283 -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"_Toc22096" </w:instrText>
      </w:r>
      <w:r>
        <w:rPr>
          <w:color w:val="000000" w:themeColor="text1"/>
        </w:rPr>
        <w:fldChar w:fldCharType="separate"/>
      </w:r>
      <w:r>
        <w:rPr>
          <w:color w:val="000000" w:themeColor="text1"/>
          <w:sz w:val="24"/>
          <w:szCs w:val="24"/>
        </w:rPr>
        <w:t>9.2.2运营期监测计划</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_Toc22096 \h </w:instrText>
      </w:r>
      <w:r>
        <w:rPr>
          <w:color w:val="000000" w:themeColor="text1"/>
          <w:sz w:val="24"/>
          <w:szCs w:val="24"/>
        </w:rPr>
        <w:fldChar w:fldCharType="separate"/>
      </w:r>
      <w:r>
        <w:rPr>
          <w:color w:val="000000" w:themeColor="text1"/>
          <w:sz w:val="24"/>
          <w:szCs w:val="24"/>
        </w:rPr>
        <w:t>- 283 -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"_Toc17869" </w:instrText>
      </w:r>
      <w:r>
        <w:rPr>
          <w:color w:val="000000" w:themeColor="text1"/>
        </w:rPr>
        <w:fldChar w:fldCharType="separate"/>
      </w:r>
      <w:r>
        <w:rPr>
          <w:color w:val="000000" w:themeColor="text1"/>
          <w:sz w:val="24"/>
          <w:szCs w:val="24"/>
        </w:rPr>
        <w:t>9.3排污许可证制度</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_Toc17869 \h </w:instrText>
      </w:r>
      <w:r>
        <w:rPr>
          <w:color w:val="000000" w:themeColor="text1"/>
          <w:sz w:val="24"/>
          <w:szCs w:val="24"/>
        </w:rPr>
        <w:fldChar w:fldCharType="separate"/>
      </w:r>
      <w:r>
        <w:rPr>
          <w:color w:val="000000" w:themeColor="text1"/>
          <w:sz w:val="24"/>
          <w:szCs w:val="24"/>
        </w:rPr>
        <w:t>- 285 -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"_Toc32716" </w:instrText>
      </w:r>
      <w:r>
        <w:rPr>
          <w:color w:val="000000" w:themeColor="text1"/>
        </w:rPr>
        <w:fldChar w:fldCharType="separate"/>
      </w:r>
      <w:r>
        <w:rPr>
          <w:rFonts w:eastAsiaTheme="majorEastAsia"/>
          <w:color w:val="000000" w:themeColor="text1"/>
          <w:sz w:val="24"/>
          <w:szCs w:val="24"/>
        </w:rPr>
        <w:t>9.4总量控制指标</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_Toc32716 \h </w:instrText>
      </w:r>
      <w:r>
        <w:rPr>
          <w:color w:val="000000" w:themeColor="text1"/>
          <w:sz w:val="24"/>
          <w:szCs w:val="24"/>
        </w:rPr>
        <w:fldChar w:fldCharType="separate"/>
      </w:r>
      <w:r>
        <w:rPr>
          <w:color w:val="000000" w:themeColor="text1"/>
          <w:sz w:val="24"/>
          <w:szCs w:val="24"/>
        </w:rPr>
        <w:t>- 285 -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"_Toc28954" </w:instrText>
      </w:r>
      <w:r>
        <w:rPr>
          <w:color w:val="000000" w:themeColor="text1"/>
        </w:rPr>
        <w:fldChar w:fldCharType="separate"/>
      </w:r>
      <w:r>
        <w:rPr>
          <w:rFonts w:eastAsiaTheme="majorEastAsia"/>
          <w:color w:val="000000" w:themeColor="text1"/>
          <w:sz w:val="24"/>
          <w:szCs w:val="24"/>
        </w:rPr>
        <w:t>9.5项目竣工环境保护验收</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_Toc28954 \h </w:instrText>
      </w:r>
      <w:r>
        <w:rPr>
          <w:color w:val="000000" w:themeColor="text1"/>
          <w:sz w:val="24"/>
          <w:szCs w:val="24"/>
        </w:rPr>
        <w:fldChar w:fldCharType="separate"/>
      </w:r>
      <w:r>
        <w:rPr>
          <w:color w:val="000000" w:themeColor="text1"/>
          <w:sz w:val="24"/>
          <w:szCs w:val="24"/>
        </w:rPr>
        <w:t>- 286 -</w:t>
      </w:r>
      <w:r>
        <w:rPr>
          <w:color w:val="000000" w:themeColor="text1"/>
          <w:sz w:val="24"/>
          <w:szCs w:val="24"/>
        </w:rPr>
        <w:fldChar w:fldCharType="end"/>
      </w:r>
      <w:r>
        <w:rPr>
          <w:color w:val="000000" w:themeColor="text1"/>
          <w:sz w:val="24"/>
          <w:szCs w:val="24"/>
        </w:rPr>
        <w:fldChar w:fldCharType="end"/>
      </w:r>
    </w:p>
    <w:p>
      <w:pPr>
        <w:pStyle w:val="44"/>
        <w:tabs>
          <w:tab w:val="right" w:leader="dot" w:pos="8312"/>
          <w:tab w:val="clear" w:pos="8296"/>
        </w:tabs>
        <w:spacing w:before="65"/>
        <w:ind w:firstLine="482"/>
        <w:rPr>
          <w:color w:val="000000" w:themeColor="text1"/>
          <w:sz w:val="24"/>
          <w:szCs w:val="24"/>
        </w:rPr>
      </w:pPr>
      <w:r>
        <w:rPr>
          <w:color w:val="000000" w:themeColor="text1"/>
        </w:rPr>
        <w:fldChar w:fldCharType="begin"/>
      </w:r>
      <w:r>
        <w:rPr>
          <w:color w:val="000000" w:themeColor="text1"/>
        </w:rPr>
        <w:instrText xml:space="preserve"> HYPERLINK \l "_Toc21818" </w:instrText>
      </w:r>
      <w:r>
        <w:rPr>
          <w:color w:val="000000" w:themeColor="text1"/>
        </w:rPr>
        <w:fldChar w:fldCharType="separate"/>
      </w:r>
      <w:r>
        <w:rPr>
          <w:color w:val="000000" w:themeColor="text1"/>
          <w:kern w:val="32"/>
          <w:sz w:val="24"/>
          <w:szCs w:val="24"/>
        </w:rPr>
        <w:t>10评价结论与建议</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_Toc21818 \h </w:instrText>
      </w:r>
      <w:r>
        <w:rPr>
          <w:color w:val="000000" w:themeColor="text1"/>
          <w:sz w:val="24"/>
          <w:szCs w:val="24"/>
        </w:rPr>
        <w:fldChar w:fldCharType="separate"/>
      </w:r>
      <w:r>
        <w:rPr>
          <w:color w:val="000000" w:themeColor="text1"/>
          <w:sz w:val="24"/>
          <w:szCs w:val="24"/>
        </w:rPr>
        <w:t>- 289 -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"_Toc32493" </w:instrText>
      </w:r>
      <w:r>
        <w:rPr>
          <w:color w:val="000000" w:themeColor="text1"/>
        </w:rPr>
        <w:fldChar w:fldCharType="separate"/>
      </w:r>
      <w:r>
        <w:rPr>
          <w:color w:val="000000" w:themeColor="text1"/>
          <w:sz w:val="24"/>
          <w:szCs w:val="24"/>
        </w:rPr>
        <w:t>10.1项目概况</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_Toc32493 \h </w:instrText>
      </w:r>
      <w:r>
        <w:rPr>
          <w:color w:val="000000" w:themeColor="text1"/>
          <w:sz w:val="24"/>
          <w:szCs w:val="24"/>
        </w:rPr>
        <w:fldChar w:fldCharType="separate"/>
      </w:r>
      <w:r>
        <w:rPr>
          <w:color w:val="000000" w:themeColor="text1"/>
          <w:sz w:val="24"/>
          <w:szCs w:val="24"/>
        </w:rPr>
        <w:t>- 289 -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"_Toc17676" </w:instrText>
      </w:r>
      <w:r>
        <w:rPr>
          <w:color w:val="000000" w:themeColor="text1"/>
        </w:rPr>
        <w:fldChar w:fldCharType="separate"/>
      </w:r>
      <w:r>
        <w:rPr>
          <w:color w:val="000000" w:themeColor="text1"/>
          <w:sz w:val="24"/>
          <w:szCs w:val="24"/>
        </w:rPr>
        <w:t>10.2环境质量现状结论</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_Toc17676 \h </w:instrText>
      </w:r>
      <w:r>
        <w:rPr>
          <w:color w:val="000000" w:themeColor="text1"/>
          <w:sz w:val="24"/>
          <w:szCs w:val="24"/>
        </w:rPr>
        <w:fldChar w:fldCharType="separate"/>
      </w:r>
      <w:r>
        <w:rPr>
          <w:color w:val="000000" w:themeColor="text1"/>
          <w:sz w:val="24"/>
          <w:szCs w:val="24"/>
        </w:rPr>
        <w:t>- 289 -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"_Toc6328" </w:instrText>
      </w:r>
      <w:r>
        <w:rPr>
          <w:color w:val="000000" w:themeColor="text1"/>
        </w:rPr>
        <w:fldChar w:fldCharType="separate"/>
      </w:r>
      <w:r>
        <w:rPr>
          <w:color w:val="000000" w:themeColor="text1"/>
          <w:sz w:val="24"/>
          <w:szCs w:val="24"/>
        </w:rPr>
        <w:t>10.2.1环境空气质量现状</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_Toc6328 \h </w:instrText>
      </w:r>
      <w:r>
        <w:rPr>
          <w:color w:val="000000" w:themeColor="text1"/>
          <w:sz w:val="24"/>
          <w:szCs w:val="24"/>
        </w:rPr>
        <w:fldChar w:fldCharType="separate"/>
      </w:r>
      <w:r>
        <w:rPr>
          <w:color w:val="000000" w:themeColor="text1"/>
          <w:sz w:val="24"/>
          <w:szCs w:val="24"/>
        </w:rPr>
        <w:t>- 289 -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"_Toc7310" </w:instrText>
      </w:r>
      <w:r>
        <w:rPr>
          <w:color w:val="000000" w:themeColor="text1"/>
        </w:rPr>
        <w:fldChar w:fldCharType="separate"/>
      </w:r>
      <w:r>
        <w:rPr>
          <w:color w:val="000000" w:themeColor="text1"/>
          <w:sz w:val="24"/>
          <w:szCs w:val="24"/>
        </w:rPr>
        <w:t>10.2.2水环境质量现状</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_Toc7310 \h </w:instrText>
      </w:r>
      <w:r>
        <w:rPr>
          <w:color w:val="000000" w:themeColor="text1"/>
          <w:sz w:val="24"/>
          <w:szCs w:val="24"/>
        </w:rPr>
        <w:fldChar w:fldCharType="separate"/>
      </w:r>
      <w:r>
        <w:rPr>
          <w:color w:val="000000" w:themeColor="text1"/>
          <w:sz w:val="24"/>
          <w:szCs w:val="24"/>
        </w:rPr>
        <w:t>- 289 -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"_Toc432" </w:instrText>
      </w:r>
      <w:r>
        <w:rPr>
          <w:color w:val="000000" w:themeColor="text1"/>
        </w:rPr>
        <w:fldChar w:fldCharType="separate"/>
      </w:r>
      <w:r>
        <w:rPr>
          <w:color w:val="000000" w:themeColor="text1"/>
          <w:sz w:val="24"/>
          <w:szCs w:val="24"/>
        </w:rPr>
        <w:t>10.2.3地下水环境质量现状</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_Toc432 \h </w:instrText>
      </w:r>
      <w:r>
        <w:rPr>
          <w:color w:val="000000" w:themeColor="text1"/>
          <w:sz w:val="24"/>
          <w:szCs w:val="24"/>
        </w:rPr>
        <w:fldChar w:fldCharType="separate"/>
      </w:r>
      <w:r>
        <w:rPr>
          <w:color w:val="000000" w:themeColor="text1"/>
          <w:sz w:val="24"/>
          <w:szCs w:val="24"/>
        </w:rPr>
        <w:t>- 289 -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"_Toc30927" </w:instrText>
      </w:r>
      <w:r>
        <w:rPr>
          <w:color w:val="000000" w:themeColor="text1"/>
        </w:rPr>
        <w:fldChar w:fldCharType="separate"/>
      </w:r>
      <w:r>
        <w:rPr>
          <w:color w:val="000000" w:themeColor="text1"/>
          <w:sz w:val="24"/>
          <w:szCs w:val="24"/>
        </w:rPr>
        <w:t>10.2.4声环境质量现状</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_Toc30927 \h </w:instrText>
      </w:r>
      <w:r>
        <w:rPr>
          <w:color w:val="000000" w:themeColor="text1"/>
          <w:sz w:val="24"/>
          <w:szCs w:val="24"/>
        </w:rPr>
        <w:fldChar w:fldCharType="separate"/>
      </w:r>
      <w:r>
        <w:rPr>
          <w:color w:val="000000" w:themeColor="text1"/>
          <w:sz w:val="24"/>
          <w:szCs w:val="24"/>
        </w:rPr>
        <w:t>- 290 -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"_Toc30351" </w:instrText>
      </w:r>
      <w:r>
        <w:rPr>
          <w:color w:val="000000" w:themeColor="text1"/>
        </w:rPr>
        <w:fldChar w:fldCharType="separate"/>
      </w:r>
      <w:r>
        <w:rPr>
          <w:color w:val="000000" w:themeColor="text1"/>
          <w:sz w:val="24"/>
          <w:szCs w:val="24"/>
        </w:rPr>
        <w:t>10.2.5土壤环境质量现状</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_Toc30351 \h </w:instrText>
      </w:r>
      <w:r>
        <w:rPr>
          <w:color w:val="000000" w:themeColor="text1"/>
          <w:sz w:val="24"/>
          <w:szCs w:val="24"/>
        </w:rPr>
        <w:fldChar w:fldCharType="separate"/>
      </w:r>
      <w:r>
        <w:rPr>
          <w:color w:val="000000" w:themeColor="text1"/>
          <w:sz w:val="24"/>
          <w:szCs w:val="24"/>
        </w:rPr>
        <w:t>- 290 -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"_Toc4068" </w:instrText>
      </w:r>
      <w:r>
        <w:rPr>
          <w:color w:val="000000" w:themeColor="text1"/>
        </w:rPr>
        <w:fldChar w:fldCharType="separate"/>
      </w:r>
      <w:r>
        <w:rPr>
          <w:color w:val="000000" w:themeColor="text1"/>
          <w:sz w:val="24"/>
          <w:szCs w:val="24"/>
        </w:rPr>
        <w:t>10.2.6生态环境质量现状</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_Toc4068 \h </w:instrText>
      </w:r>
      <w:r>
        <w:rPr>
          <w:color w:val="000000" w:themeColor="text1"/>
          <w:sz w:val="24"/>
          <w:szCs w:val="24"/>
        </w:rPr>
        <w:fldChar w:fldCharType="separate"/>
      </w:r>
      <w:r>
        <w:rPr>
          <w:color w:val="000000" w:themeColor="text1"/>
          <w:sz w:val="24"/>
          <w:szCs w:val="24"/>
        </w:rPr>
        <w:t>- 290 -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"_Toc6230" </w:instrText>
      </w:r>
      <w:r>
        <w:rPr>
          <w:color w:val="000000" w:themeColor="text1"/>
        </w:rPr>
        <w:fldChar w:fldCharType="separate"/>
      </w:r>
      <w:r>
        <w:rPr>
          <w:color w:val="000000" w:themeColor="text1"/>
          <w:sz w:val="24"/>
          <w:szCs w:val="24"/>
        </w:rPr>
        <w:t>10.3</w:t>
      </w:r>
      <w:r>
        <w:rPr>
          <w:rFonts w:hint="eastAsia"/>
          <w:color w:val="000000" w:themeColor="text1"/>
          <w:sz w:val="24"/>
          <w:szCs w:val="24"/>
        </w:rPr>
        <w:t>相关符合性分析结论</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_Toc6230 \h </w:instrText>
      </w:r>
      <w:r>
        <w:rPr>
          <w:color w:val="000000" w:themeColor="text1"/>
          <w:sz w:val="24"/>
          <w:szCs w:val="24"/>
        </w:rPr>
        <w:fldChar w:fldCharType="separate"/>
      </w:r>
      <w:r>
        <w:rPr>
          <w:color w:val="000000" w:themeColor="text1"/>
          <w:sz w:val="24"/>
          <w:szCs w:val="24"/>
        </w:rPr>
        <w:t>- 290 -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"_Toc7456" </w:instrText>
      </w:r>
      <w:r>
        <w:rPr>
          <w:color w:val="000000" w:themeColor="text1"/>
        </w:rPr>
        <w:fldChar w:fldCharType="separate"/>
      </w:r>
      <w:r>
        <w:rPr>
          <w:rFonts w:hint="eastAsia"/>
          <w:color w:val="000000" w:themeColor="text1"/>
          <w:sz w:val="24"/>
          <w:szCs w:val="24"/>
        </w:rPr>
        <w:t>10.3.1</w:t>
      </w:r>
      <w:r>
        <w:rPr>
          <w:color w:val="000000" w:themeColor="text1"/>
          <w:sz w:val="24"/>
          <w:szCs w:val="24"/>
        </w:rPr>
        <w:t>产业政策符合性分析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_Toc7456 \h </w:instrText>
      </w:r>
      <w:r>
        <w:rPr>
          <w:color w:val="000000" w:themeColor="text1"/>
          <w:sz w:val="24"/>
          <w:szCs w:val="24"/>
        </w:rPr>
        <w:fldChar w:fldCharType="separate"/>
      </w:r>
      <w:r>
        <w:rPr>
          <w:color w:val="000000" w:themeColor="text1"/>
          <w:sz w:val="24"/>
          <w:szCs w:val="24"/>
        </w:rPr>
        <w:t>- 290 -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"_Toc8722" </w:instrText>
      </w:r>
      <w:r>
        <w:rPr>
          <w:color w:val="000000" w:themeColor="text1"/>
        </w:rPr>
        <w:fldChar w:fldCharType="separate"/>
      </w:r>
      <w:r>
        <w:rPr>
          <w:color w:val="000000" w:themeColor="text1"/>
          <w:sz w:val="24"/>
          <w:szCs w:val="24"/>
        </w:rPr>
        <w:t>10.</w:t>
      </w:r>
      <w:r>
        <w:rPr>
          <w:rFonts w:hint="eastAsia"/>
          <w:color w:val="000000" w:themeColor="text1"/>
          <w:sz w:val="24"/>
          <w:szCs w:val="24"/>
        </w:rPr>
        <w:t>3.2</w:t>
      </w:r>
      <w:r>
        <w:rPr>
          <w:color w:val="000000" w:themeColor="text1"/>
          <w:sz w:val="24"/>
          <w:szCs w:val="24"/>
        </w:rPr>
        <w:t>规划相符性分析结论</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_Toc8722 \h </w:instrText>
      </w:r>
      <w:r>
        <w:rPr>
          <w:color w:val="000000" w:themeColor="text1"/>
          <w:sz w:val="24"/>
          <w:szCs w:val="24"/>
        </w:rPr>
        <w:fldChar w:fldCharType="separate"/>
      </w:r>
      <w:r>
        <w:rPr>
          <w:color w:val="000000" w:themeColor="text1"/>
          <w:sz w:val="24"/>
          <w:szCs w:val="24"/>
        </w:rPr>
        <w:t>- 290 -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"_Toc20537" </w:instrText>
      </w:r>
      <w:r>
        <w:rPr>
          <w:color w:val="000000" w:themeColor="text1"/>
        </w:rPr>
        <w:fldChar w:fldCharType="separate"/>
      </w:r>
      <w:r>
        <w:rPr>
          <w:rFonts w:hint="eastAsia"/>
          <w:color w:val="000000" w:themeColor="text1"/>
          <w:sz w:val="24"/>
          <w:szCs w:val="24"/>
        </w:rPr>
        <w:t>10.3.3选址合理性分析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_Toc20537 \h </w:instrText>
      </w:r>
      <w:r>
        <w:rPr>
          <w:color w:val="000000" w:themeColor="text1"/>
          <w:sz w:val="24"/>
          <w:szCs w:val="24"/>
        </w:rPr>
        <w:fldChar w:fldCharType="separate"/>
      </w:r>
      <w:r>
        <w:rPr>
          <w:color w:val="000000" w:themeColor="text1"/>
          <w:sz w:val="24"/>
          <w:szCs w:val="24"/>
        </w:rPr>
        <w:t>- 291 -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"_Toc27134" </w:instrText>
      </w:r>
      <w:r>
        <w:rPr>
          <w:color w:val="000000" w:themeColor="text1"/>
        </w:rPr>
        <w:fldChar w:fldCharType="separate"/>
      </w:r>
      <w:r>
        <w:rPr>
          <w:rFonts w:hint="eastAsia"/>
          <w:color w:val="000000" w:themeColor="text1"/>
          <w:sz w:val="24"/>
          <w:szCs w:val="24"/>
        </w:rPr>
        <w:t>10.3.4平面布置合理性分析</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_Toc27134 \h </w:instrText>
      </w:r>
      <w:r>
        <w:rPr>
          <w:color w:val="000000" w:themeColor="text1"/>
          <w:sz w:val="24"/>
          <w:szCs w:val="24"/>
        </w:rPr>
        <w:fldChar w:fldCharType="separate"/>
      </w:r>
      <w:r>
        <w:rPr>
          <w:color w:val="000000" w:themeColor="text1"/>
          <w:sz w:val="24"/>
          <w:szCs w:val="24"/>
        </w:rPr>
        <w:t>- 291 -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"_Toc24180" </w:instrText>
      </w:r>
      <w:r>
        <w:rPr>
          <w:color w:val="000000" w:themeColor="text1"/>
        </w:rPr>
        <w:fldChar w:fldCharType="separate"/>
      </w:r>
      <w:r>
        <w:rPr>
          <w:color w:val="000000" w:themeColor="text1"/>
          <w:sz w:val="24"/>
          <w:szCs w:val="24"/>
        </w:rPr>
        <w:t>10.</w:t>
      </w:r>
      <w:r>
        <w:rPr>
          <w:rFonts w:hint="eastAsia"/>
          <w:color w:val="000000" w:themeColor="text1"/>
          <w:sz w:val="24"/>
          <w:szCs w:val="24"/>
        </w:rPr>
        <w:t>4</w:t>
      </w:r>
      <w:r>
        <w:rPr>
          <w:color w:val="000000" w:themeColor="text1"/>
          <w:sz w:val="24"/>
          <w:szCs w:val="24"/>
        </w:rPr>
        <w:t>环境影响分析结论</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_Toc24180 \h </w:instrText>
      </w:r>
      <w:r>
        <w:rPr>
          <w:color w:val="000000" w:themeColor="text1"/>
          <w:sz w:val="24"/>
          <w:szCs w:val="24"/>
        </w:rPr>
        <w:fldChar w:fldCharType="separate"/>
      </w:r>
      <w:r>
        <w:rPr>
          <w:color w:val="000000" w:themeColor="text1"/>
          <w:sz w:val="24"/>
          <w:szCs w:val="24"/>
        </w:rPr>
        <w:t>- 291 -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"_Toc28785" </w:instrText>
      </w:r>
      <w:r>
        <w:rPr>
          <w:color w:val="000000" w:themeColor="text1"/>
        </w:rPr>
        <w:fldChar w:fldCharType="separate"/>
      </w:r>
      <w:r>
        <w:rPr>
          <w:color w:val="000000" w:themeColor="text1"/>
          <w:sz w:val="24"/>
          <w:szCs w:val="24"/>
        </w:rPr>
        <w:t>10.</w:t>
      </w:r>
      <w:r>
        <w:rPr>
          <w:rFonts w:hint="eastAsia"/>
          <w:color w:val="000000" w:themeColor="text1"/>
          <w:sz w:val="24"/>
          <w:szCs w:val="24"/>
        </w:rPr>
        <w:t>4</w:t>
      </w:r>
      <w:r>
        <w:rPr>
          <w:color w:val="000000" w:themeColor="text1"/>
          <w:sz w:val="24"/>
          <w:szCs w:val="24"/>
        </w:rPr>
        <w:t>.1施工期环境影响分析结论</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_Toc28785 \h </w:instrText>
      </w:r>
      <w:r>
        <w:rPr>
          <w:color w:val="000000" w:themeColor="text1"/>
          <w:sz w:val="24"/>
          <w:szCs w:val="24"/>
        </w:rPr>
        <w:fldChar w:fldCharType="separate"/>
      </w:r>
      <w:r>
        <w:rPr>
          <w:color w:val="000000" w:themeColor="text1"/>
          <w:sz w:val="24"/>
          <w:szCs w:val="24"/>
        </w:rPr>
        <w:t>- 291 -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"_Toc3661" </w:instrText>
      </w:r>
      <w:r>
        <w:rPr>
          <w:color w:val="000000" w:themeColor="text1"/>
        </w:rPr>
        <w:fldChar w:fldCharType="separate"/>
      </w:r>
      <w:r>
        <w:rPr>
          <w:color w:val="000000" w:themeColor="text1"/>
          <w:sz w:val="24"/>
          <w:szCs w:val="24"/>
        </w:rPr>
        <w:t>10.</w:t>
      </w:r>
      <w:r>
        <w:rPr>
          <w:rFonts w:hint="eastAsia"/>
          <w:color w:val="000000" w:themeColor="text1"/>
          <w:sz w:val="24"/>
          <w:szCs w:val="24"/>
        </w:rPr>
        <w:t>4</w:t>
      </w:r>
      <w:r>
        <w:rPr>
          <w:color w:val="000000" w:themeColor="text1"/>
          <w:sz w:val="24"/>
          <w:szCs w:val="24"/>
        </w:rPr>
        <w:t>.2运营期影响分析结论</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_Toc3661 \h </w:instrText>
      </w:r>
      <w:r>
        <w:rPr>
          <w:color w:val="000000" w:themeColor="text1"/>
          <w:sz w:val="24"/>
          <w:szCs w:val="24"/>
        </w:rPr>
        <w:fldChar w:fldCharType="separate"/>
      </w:r>
      <w:r>
        <w:rPr>
          <w:color w:val="000000" w:themeColor="text1"/>
          <w:sz w:val="24"/>
          <w:szCs w:val="24"/>
        </w:rPr>
        <w:t>- 292 -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"_Toc4982" </w:instrText>
      </w:r>
      <w:r>
        <w:rPr>
          <w:color w:val="000000" w:themeColor="text1"/>
        </w:rPr>
        <w:fldChar w:fldCharType="separate"/>
      </w:r>
      <w:r>
        <w:rPr>
          <w:color w:val="000000" w:themeColor="text1"/>
          <w:sz w:val="24"/>
          <w:szCs w:val="24"/>
        </w:rPr>
        <w:t>10.</w:t>
      </w:r>
      <w:r>
        <w:rPr>
          <w:rFonts w:hint="eastAsia"/>
          <w:color w:val="000000" w:themeColor="text1"/>
          <w:sz w:val="24"/>
          <w:szCs w:val="24"/>
        </w:rPr>
        <w:t>5</w:t>
      </w:r>
      <w:r>
        <w:rPr>
          <w:color w:val="000000" w:themeColor="text1"/>
          <w:sz w:val="24"/>
          <w:szCs w:val="24"/>
        </w:rPr>
        <w:t>环境风险评价结论</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_Toc4982 \h </w:instrText>
      </w:r>
      <w:r>
        <w:rPr>
          <w:color w:val="000000" w:themeColor="text1"/>
          <w:sz w:val="24"/>
          <w:szCs w:val="24"/>
        </w:rPr>
        <w:fldChar w:fldCharType="separate"/>
      </w:r>
      <w:r>
        <w:rPr>
          <w:color w:val="000000" w:themeColor="text1"/>
          <w:sz w:val="24"/>
          <w:szCs w:val="24"/>
        </w:rPr>
        <w:t>- 294 -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"_Toc6448" </w:instrText>
      </w:r>
      <w:r>
        <w:rPr>
          <w:color w:val="000000" w:themeColor="text1"/>
        </w:rPr>
        <w:fldChar w:fldCharType="separate"/>
      </w:r>
      <w:r>
        <w:rPr>
          <w:color w:val="000000" w:themeColor="text1"/>
          <w:sz w:val="24"/>
          <w:szCs w:val="24"/>
        </w:rPr>
        <w:t>10.</w:t>
      </w:r>
      <w:r>
        <w:rPr>
          <w:rFonts w:hint="eastAsia"/>
          <w:color w:val="000000" w:themeColor="text1"/>
          <w:sz w:val="24"/>
          <w:szCs w:val="24"/>
        </w:rPr>
        <w:t>6</w:t>
      </w:r>
      <w:r>
        <w:rPr>
          <w:color w:val="000000" w:themeColor="text1"/>
          <w:sz w:val="24"/>
          <w:szCs w:val="24"/>
        </w:rPr>
        <w:t>环境保护措施</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_Toc6448 \h </w:instrText>
      </w:r>
      <w:r>
        <w:rPr>
          <w:color w:val="000000" w:themeColor="text1"/>
          <w:sz w:val="24"/>
          <w:szCs w:val="24"/>
        </w:rPr>
        <w:fldChar w:fldCharType="separate"/>
      </w:r>
      <w:r>
        <w:rPr>
          <w:color w:val="000000" w:themeColor="text1"/>
          <w:sz w:val="24"/>
          <w:szCs w:val="24"/>
        </w:rPr>
        <w:t>- 294 -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"_Toc29708" </w:instrText>
      </w:r>
      <w:r>
        <w:rPr>
          <w:color w:val="000000" w:themeColor="text1"/>
        </w:rPr>
        <w:fldChar w:fldCharType="separate"/>
      </w:r>
      <w:r>
        <w:rPr>
          <w:color w:val="000000" w:themeColor="text1"/>
          <w:sz w:val="24"/>
          <w:szCs w:val="24"/>
        </w:rPr>
        <w:t>10.</w:t>
      </w:r>
      <w:r>
        <w:rPr>
          <w:rFonts w:hint="eastAsia"/>
          <w:color w:val="000000" w:themeColor="text1"/>
          <w:sz w:val="24"/>
          <w:szCs w:val="24"/>
        </w:rPr>
        <w:t>6</w:t>
      </w:r>
      <w:r>
        <w:rPr>
          <w:color w:val="000000" w:themeColor="text1"/>
          <w:sz w:val="24"/>
          <w:szCs w:val="24"/>
        </w:rPr>
        <w:t>.1施工期环境保护措施</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_Toc29708 \h </w:instrText>
      </w:r>
      <w:r>
        <w:rPr>
          <w:color w:val="000000" w:themeColor="text1"/>
          <w:sz w:val="24"/>
          <w:szCs w:val="24"/>
        </w:rPr>
        <w:fldChar w:fldCharType="separate"/>
      </w:r>
      <w:r>
        <w:rPr>
          <w:color w:val="000000" w:themeColor="text1"/>
          <w:sz w:val="24"/>
          <w:szCs w:val="24"/>
        </w:rPr>
        <w:t>- 294 -</w:t>
      </w:r>
      <w:r>
        <w:rPr>
          <w:color w:val="000000" w:themeColor="text1"/>
          <w:sz w:val="24"/>
          <w:szCs w:val="24"/>
        </w:rPr>
        <w:fldChar w:fldCharType="end"/>
      </w:r>
      <w:r>
        <w:rPr>
          <w:color w:val="000000" w:themeColor="text1"/>
          <w:sz w:val="24"/>
          <w:szCs w:val="24"/>
        </w:rPr>
        <w:fldChar w:fldCharType="end"/>
      </w:r>
    </w:p>
    <w:p>
      <w:pPr>
        <w:pStyle w:val="33"/>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"_Toc23625" </w:instrText>
      </w:r>
      <w:r>
        <w:rPr>
          <w:color w:val="000000" w:themeColor="text1"/>
        </w:rPr>
        <w:fldChar w:fldCharType="separate"/>
      </w:r>
      <w:r>
        <w:rPr>
          <w:color w:val="000000" w:themeColor="text1"/>
          <w:sz w:val="24"/>
          <w:szCs w:val="24"/>
        </w:rPr>
        <w:t>10.</w:t>
      </w:r>
      <w:r>
        <w:rPr>
          <w:rFonts w:hint="eastAsia"/>
          <w:color w:val="000000" w:themeColor="text1"/>
          <w:sz w:val="24"/>
          <w:szCs w:val="24"/>
        </w:rPr>
        <w:t>6</w:t>
      </w:r>
      <w:r>
        <w:rPr>
          <w:color w:val="000000" w:themeColor="text1"/>
          <w:sz w:val="24"/>
          <w:szCs w:val="24"/>
        </w:rPr>
        <w:t>.2营运期环境保护措施</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_Toc23625 \h </w:instrText>
      </w:r>
      <w:r>
        <w:rPr>
          <w:color w:val="000000" w:themeColor="text1"/>
          <w:sz w:val="24"/>
          <w:szCs w:val="24"/>
        </w:rPr>
        <w:fldChar w:fldCharType="separate"/>
      </w:r>
      <w:r>
        <w:rPr>
          <w:color w:val="000000" w:themeColor="text1"/>
          <w:sz w:val="24"/>
          <w:szCs w:val="24"/>
        </w:rPr>
        <w:t>- 295 -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"_Toc16978" </w:instrText>
      </w:r>
      <w:r>
        <w:rPr>
          <w:color w:val="000000" w:themeColor="text1"/>
        </w:rPr>
        <w:fldChar w:fldCharType="separate"/>
      </w:r>
      <w:r>
        <w:rPr>
          <w:color w:val="000000" w:themeColor="text1"/>
          <w:sz w:val="24"/>
          <w:szCs w:val="24"/>
        </w:rPr>
        <w:t>10.</w:t>
      </w:r>
      <w:r>
        <w:rPr>
          <w:rFonts w:hint="eastAsia"/>
          <w:color w:val="000000" w:themeColor="text1"/>
          <w:sz w:val="24"/>
          <w:szCs w:val="24"/>
        </w:rPr>
        <w:t>7</w:t>
      </w:r>
      <w:r>
        <w:rPr>
          <w:color w:val="000000" w:themeColor="text1"/>
          <w:sz w:val="24"/>
          <w:szCs w:val="24"/>
        </w:rPr>
        <w:t>总量控制指标</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_Toc16978 \h </w:instrText>
      </w:r>
      <w:r>
        <w:rPr>
          <w:color w:val="000000" w:themeColor="text1"/>
          <w:sz w:val="24"/>
          <w:szCs w:val="24"/>
        </w:rPr>
        <w:fldChar w:fldCharType="separate"/>
      </w:r>
      <w:r>
        <w:rPr>
          <w:color w:val="000000" w:themeColor="text1"/>
          <w:sz w:val="24"/>
          <w:szCs w:val="24"/>
        </w:rPr>
        <w:t>- 297 -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"_Toc22636" </w:instrText>
      </w:r>
      <w:r>
        <w:rPr>
          <w:color w:val="000000" w:themeColor="text1"/>
        </w:rPr>
        <w:fldChar w:fldCharType="separate"/>
      </w:r>
      <w:r>
        <w:rPr>
          <w:color w:val="000000" w:themeColor="text1"/>
          <w:sz w:val="24"/>
          <w:szCs w:val="24"/>
        </w:rPr>
        <w:t>10.</w:t>
      </w:r>
      <w:r>
        <w:rPr>
          <w:rFonts w:hint="eastAsia"/>
          <w:color w:val="000000" w:themeColor="text1"/>
          <w:sz w:val="24"/>
          <w:szCs w:val="24"/>
        </w:rPr>
        <w:t>8</w:t>
      </w:r>
      <w:r>
        <w:rPr>
          <w:color w:val="000000" w:themeColor="text1"/>
          <w:sz w:val="24"/>
          <w:szCs w:val="24"/>
        </w:rPr>
        <w:t>公众参与</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_Toc22636 \h </w:instrText>
      </w:r>
      <w:r>
        <w:rPr>
          <w:color w:val="000000" w:themeColor="text1"/>
          <w:sz w:val="24"/>
          <w:szCs w:val="24"/>
        </w:rPr>
        <w:fldChar w:fldCharType="separate"/>
      </w:r>
      <w:r>
        <w:rPr>
          <w:color w:val="000000" w:themeColor="text1"/>
          <w:sz w:val="24"/>
          <w:szCs w:val="24"/>
        </w:rPr>
        <w:t>- 297 -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"_Toc4142" </w:instrText>
      </w:r>
      <w:r>
        <w:rPr>
          <w:color w:val="000000" w:themeColor="text1"/>
        </w:rPr>
        <w:fldChar w:fldCharType="separate"/>
      </w:r>
      <w:r>
        <w:rPr>
          <w:color w:val="000000" w:themeColor="text1"/>
          <w:sz w:val="24"/>
          <w:szCs w:val="24"/>
        </w:rPr>
        <w:t>10.</w:t>
      </w:r>
      <w:r>
        <w:rPr>
          <w:rFonts w:hint="eastAsia"/>
          <w:color w:val="000000" w:themeColor="text1"/>
          <w:sz w:val="24"/>
          <w:szCs w:val="24"/>
        </w:rPr>
        <w:t>9</w:t>
      </w:r>
      <w:r>
        <w:rPr>
          <w:color w:val="000000" w:themeColor="text1"/>
          <w:sz w:val="24"/>
          <w:szCs w:val="24"/>
        </w:rPr>
        <w:t>评价总结论</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_Toc4142 \h </w:instrText>
      </w:r>
      <w:r>
        <w:rPr>
          <w:color w:val="000000" w:themeColor="text1"/>
          <w:sz w:val="24"/>
          <w:szCs w:val="24"/>
        </w:rPr>
        <w:fldChar w:fldCharType="separate"/>
      </w:r>
      <w:r>
        <w:rPr>
          <w:color w:val="000000" w:themeColor="text1"/>
          <w:sz w:val="24"/>
          <w:szCs w:val="24"/>
        </w:rPr>
        <w:t>- 298 -</w:t>
      </w:r>
      <w:r>
        <w:rPr>
          <w:color w:val="000000" w:themeColor="text1"/>
          <w:sz w:val="24"/>
          <w:szCs w:val="24"/>
        </w:rPr>
        <w:fldChar w:fldCharType="end"/>
      </w:r>
      <w:r>
        <w:rPr>
          <w:color w:val="000000" w:themeColor="text1"/>
          <w:sz w:val="24"/>
          <w:szCs w:val="24"/>
        </w:rPr>
        <w:fldChar w:fldCharType="end"/>
      </w:r>
    </w:p>
    <w:p>
      <w:pPr>
        <w:pStyle w:val="51"/>
        <w:tabs>
          <w:tab w:val="right" w:leader="dot" w:pos="8312"/>
          <w:tab w:val="clear" w:pos="8302"/>
        </w:tabs>
        <w:ind w:firstLine="480"/>
        <w:rPr>
          <w:color w:val="000000" w:themeColor="text1"/>
          <w:sz w:val="24"/>
          <w:szCs w:val="24"/>
        </w:rPr>
      </w:pPr>
      <w:r>
        <w:rPr>
          <w:color w:val="000000" w:themeColor="text1"/>
        </w:rPr>
        <w:fldChar w:fldCharType="begin"/>
      </w:r>
      <w:r>
        <w:rPr>
          <w:color w:val="000000" w:themeColor="text1"/>
        </w:rPr>
        <w:instrText xml:space="preserve"> HYPERLINK \l "_Toc17061" </w:instrText>
      </w:r>
      <w:r>
        <w:rPr>
          <w:color w:val="000000" w:themeColor="text1"/>
        </w:rPr>
        <w:fldChar w:fldCharType="separate"/>
      </w:r>
      <w:r>
        <w:rPr>
          <w:color w:val="000000" w:themeColor="text1"/>
          <w:sz w:val="24"/>
          <w:szCs w:val="24"/>
        </w:rPr>
        <w:t>10.1</w:t>
      </w:r>
      <w:r>
        <w:rPr>
          <w:rFonts w:hint="eastAsia"/>
          <w:color w:val="000000" w:themeColor="text1"/>
          <w:sz w:val="24"/>
          <w:szCs w:val="24"/>
        </w:rPr>
        <w:t>0</w:t>
      </w:r>
      <w:r>
        <w:rPr>
          <w:color w:val="000000" w:themeColor="text1"/>
          <w:sz w:val="24"/>
          <w:szCs w:val="24"/>
        </w:rPr>
        <w:t>建议</w:t>
      </w:r>
      <w:r>
        <w:rPr>
          <w:color w:val="000000" w:themeColor="text1"/>
          <w:sz w:val="24"/>
          <w:szCs w:val="24"/>
        </w:rPr>
        <w:tab/>
      </w:r>
      <w:r>
        <w:rPr>
          <w:color w:val="000000" w:themeColor="text1"/>
          <w:sz w:val="24"/>
          <w:szCs w:val="24"/>
        </w:rPr>
        <w:fldChar w:fldCharType="begin"/>
      </w:r>
      <w:r>
        <w:rPr>
          <w:color w:val="000000" w:themeColor="text1"/>
          <w:sz w:val="24"/>
          <w:szCs w:val="24"/>
        </w:rPr>
        <w:instrText xml:space="preserve"> PAGEREF _Toc17061 \h </w:instrText>
      </w:r>
      <w:r>
        <w:rPr>
          <w:color w:val="000000" w:themeColor="text1"/>
          <w:sz w:val="24"/>
          <w:szCs w:val="24"/>
        </w:rPr>
        <w:fldChar w:fldCharType="separate"/>
      </w:r>
      <w:r>
        <w:rPr>
          <w:color w:val="000000" w:themeColor="text1"/>
          <w:sz w:val="24"/>
          <w:szCs w:val="24"/>
        </w:rPr>
        <w:t>- 298 -</w:t>
      </w:r>
      <w:r>
        <w:rPr>
          <w:color w:val="000000" w:themeColor="text1"/>
          <w:sz w:val="24"/>
          <w:szCs w:val="24"/>
        </w:rPr>
        <w:fldChar w:fldCharType="end"/>
      </w:r>
      <w:r>
        <w:rPr>
          <w:color w:val="000000" w:themeColor="text1"/>
          <w:sz w:val="24"/>
          <w:szCs w:val="24"/>
        </w:rPr>
        <w:fldChar w:fldCharType="end"/>
      </w:r>
    </w:p>
    <w:p>
      <w:pPr>
        <w:ind w:firstLine="0" w:firstLineChars="0"/>
        <w:rPr>
          <w:rFonts w:eastAsiaTheme="minorEastAsia"/>
          <w:bCs/>
          <w:caps/>
          <w:color w:val="000000" w:themeColor="text1"/>
          <w:kern w:val="0"/>
          <w:szCs w:val="24"/>
          <w:lang w:bidi="en-US"/>
        </w:rPr>
      </w:pPr>
      <w:r>
        <w:rPr>
          <w:rFonts w:eastAsiaTheme="minorEastAsia"/>
          <w:bCs/>
          <w:caps/>
          <w:color w:val="000000" w:themeColor="text1"/>
          <w:kern w:val="0"/>
          <w:szCs w:val="24"/>
          <w:lang w:bidi="en-US"/>
        </w:rPr>
        <w:fldChar w:fldCharType="end"/>
      </w:r>
    </w:p>
    <w:p>
      <w:pPr>
        <w:ind w:firstLine="0" w:firstLineChars="0"/>
        <w:rPr>
          <w:rFonts w:eastAsiaTheme="minorEastAsia"/>
          <w:b/>
          <w:caps/>
          <w:color w:val="000000" w:themeColor="text1"/>
          <w:kern w:val="0"/>
          <w:sz w:val="28"/>
          <w:szCs w:val="28"/>
          <w:lang w:bidi="en-US"/>
        </w:rPr>
      </w:pPr>
      <w:r>
        <w:rPr>
          <w:rFonts w:eastAsiaTheme="minorEastAsia"/>
          <w:b/>
          <w:caps/>
          <w:color w:val="000000" w:themeColor="text1"/>
          <w:kern w:val="0"/>
          <w:sz w:val="28"/>
          <w:szCs w:val="28"/>
          <w:lang w:bidi="en-US"/>
        </w:rPr>
        <w:t>附图：</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附图1：技改项目地理位置图</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附图2：</w:t>
      </w:r>
      <w:r>
        <w:rPr>
          <w:rFonts w:hint="eastAsia" w:eastAsiaTheme="minorEastAsia"/>
          <w:bCs/>
          <w:caps/>
          <w:color w:val="000000" w:themeColor="text1"/>
          <w:kern w:val="0"/>
          <w:szCs w:val="21"/>
          <w:lang w:bidi="en-US"/>
        </w:rPr>
        <w:t>项目</w:t>
      </w:r>
      <w:r>
        <w:rPr>
          <w:rFonts w:eastAsiaTheme="minorEastAsia"/>
          <w:bCs/>
          <w:caps/>
          <w:color w:val="000000" w:themeColor="text1"/>
          <w:kern w:val="0"/>
          <w:szCs w:val="21"/>
          <w:lang w:bidi="en-US"/>
        </w:rPr>
        <w:t>评价</w:t>
      </w:r>
      <w:r>
        <w:rPr>
          <w:rFonts w:hint="eastAsia" w:eastAsiaTheme="minorEastAsia"/>
          <w:bCs/>
          <w:caps/>
          <w:color w:val="000000" w:themeColor="text1"/>
          <w:kern w:val="0"/>
          <w:szCs w:val="21"/>
          <w:lang w:bidi="en-US"/>
        </w:rPr>
        <w:t>区</w:t>
      </w:r>
      <w:r>
        <w:rPr>
          <w:rFonts w:eastAsiaTheme="minorEastAsia"/>
          <w:bCs/>
          <w:caps/>
          <w:color w:val="000000" w:themeColor="text1"/>
          <w:kern w:val="0"/>
          <w:szCs w:val="21"/>
          <w:lang w:bidi="en-US"/>
        </w:rPr>
        <w:t>范围图</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附图3：</w:t>
      </w:r>
      <w:r>
        <w:rPr>
          <w:rFonts w:hint="eastAsia" w:eastAsiaTheme="minorEastAsia"/>
          <w:bCs/>
          <w:caps/>
          <w:color w:val="000000" w:themeColor="text1"/>
          <w:kern w:val="0"/>
          <w:szCs w:val="21"/>
          <w:lang w:bidi="en-US"/>
        </w:rPr>
        <w:t>项目外围关系图</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附图4：项目区水系图</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附图5：现状监测点位图</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附图6：水文地质图</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附图7：平面布置图</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附图8：</w:t>
      </w:r>
      <w:r>
        <w:rPr>
          <w:rFonts w:hint="eastAsia" w:eastAsiaTheme="minorEastAsia"/>
          <w:bCs/>
          <w:caps/>
          <w:color w:val="000000" w:themeColor="text1"/>
          <w:kern w:val="0"/>
          <w:szCs w:val="21"/>
          <w:lang w:bidi="en-US"/>
        </w:rPr>
        <w:t>项目与辣子箐口选厂位置关系图</w:t>
      </w:r>
    </w:p>
    <w:p>
      <w:pPr>
        <w:pStyle w:val="78"/>
        <w:spacing w:line="336" w:lineRule="auto"/>
        <w:ind w:firstLine="480"/>
        <w:rPr>
          <w:rFonts w:eastAsiaTheme="minorEastAsia"/>
          <w:bCs/>
          <w:caps/>
          <w:color w:val="000000" w:themeColor="text1"/>
          <w:kern w:val="0"/>
          <w:szCs w:val="21"/>
          <w:lang w:bidi="en-US"/>
        </w:rPr>
      </w:pPr>
      <w:r>
        <w:rPr>
          <w:rFonts w:hint="eastAsia" w:eastAsiaTheme="minorEastAsia"/>
          <w:bCs/>
          <w:caps/>
          <w:color w:val="000000" w:themeColor="text1"/>
          <w:kern w:val="0"/>
          <w:szCs w:val="21"/>
          <w:lang w:bidi="en-US"/>
        </w:rPr>
        <w:t>附图9：龙都尾矿库平面布置图</w:t>
      </w:r>
    </w:p>
    <w:p>
      <w:pPr>
        <w:pStyle w:val="78"/>
        <w:spacing w:line="336" w:lineRule="auto"/>
        <w:ind w:firstLine="480"/>
        <w:rPr>
          <w:rFonts w:eastAsiaTheme="minorEastAsia"/>
          <w:bCs/>
          <w:caps/>
          <w:color w:val="000000" w:themeColor="text1"/>
          <w:kern w:val="0"/>
          <w:szCs w:val="21"/>
          <w:lang w:bidi="en-US"/>
        </w:rPr>
      </w:pPr>
      <w:r>
        <w:rPr>
          <w:rFonts w:hint="eastAsia" w:eastAsiaTheme="minorEastAsia"/>
          <w:bCs/>
          <w:caps/>
          <w:color w:val="000000" w:themeColor="text1"/>
          <w:kern w:val="0"/>
          <w:szCs w:val="21"/>
          <w:lang w:bidi="en-US"/>
        </w:rPr>
        <w:t>附图10：项目与辣子箐口选厂、龙都尾矿库位置关系图</w:t>
      </w:r>
    </w:p>
    <w:p>
      <w:pPr>
        <w:pStyle w:val="78"/>
        <w:spacing w:line="336" w:lineRule="auto"/>
        <w:ind w:firstLine="480"/>
        <w:rPr>
          <w:rFonts w:eastAsiaTheme="minorEastAsia"/>
          <w:bCs/>
          <w:caps/>
          <w:color w:val="000000" w:themeColor="text1"/>
          <w:kern w:val="0"/>
          <w:szCs w:val="21"/>
          <w:lang w:bidi="en-US"/>
        </w:rPr>
      </w:pPr>
      <w:r>
        <w:rPr>
          <w:rFonts w:hint="eastAsia" w:eastAsiaTheme="minorEastAsia"/>
          <w:bCs/>
          <w:caps/>
          <w:color w:val="000000" w:themeColor="text1"/>
          <w:kern w:val="0"/>
          <w:szCs w:val="21"/>
          <w:lang w:bidi="en-US"/>
        </w:rPr>
        <w:t>附图11：</w:t>
      </w:r>
      <w:r>
        <w:rPr>
          <w:rFonts w:eastAsiaTheme="minorEastAsia"/>
          <w:bCs/>
          <w:caps/>
          <w:color w:val="000000" w:themeColor="text1"/>
          <w:kern w:val="0"/>
          <w:szCs w:val="21"/>
          <w:lang w:bidi="en-US"/>
        </w:rPr>
        <w:t>项目与新平工业园区戛洒片区功能定位关系图</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附图</w:t>
      </w:r>
      <w:r>
        <w:rPr>
          <w:rFonts w:hint="eastAsia" w:eastAsiaTheme="minorEastAsia"/>
          <w:bCs/>
          <w:caps/>
          <w:color w:val="000000" w:themeColor="text1"/>
          <w:kern w:val="0"/>
          <w:szCs w:val="21"/>
          <w:lang w:bidi="en-US"/>
        </w:rPr>
        <w:t>12</w:t>
      </w:r>
      <w:r>
        <w:rPr>
          <w:rFonts w:eastAsiaTheme="minorEastAsia"/>
          <w:bCs/>
          <w:caps/>
          <w:color w:val="000000" w:themeColor="text1"/>
          <w:kern w:val="0"/>
          <w:szCs w:val="21"/>
          <w:lang w:bidi="en-US"/>
        </w:rPr>
        <w:t>：分区防渗图</w:t>
      </w:r>
    </w:p>
    <w:p>
      <w:pPr>
        <w:pStyle w:val="78"/>
        <w:spacing w:line="336" w:lineRule="auto"/>
        <w:ind w:firstLine="0" w:firstLineChars="0"/>
        <w:rPr>
          <w:rFonts w:eastAsiaTheme="minorEastAsia"/>
          <w:b/>
          <w:caps/>
          <w:color w:val="000000" w:themeColor="text1"/>
          <w:kern w:val="0"/>
          <w:sz w:val="28"/>
          <w:szCs w:val="28"/>
          <w:lang w:bidi="en-US"/>
        </w:rPr>
      </w:pPr>
      <w:r>
        <w:rPr>
          <w:rFonts w:eastAsiaTheme="minorEastAsia"/>
          <w:b/>
          <w:caps/>
          <w:color w:val="000000" w:themeColor="text1"/>
          <w:kern w:val="0"/>
          <w:sz w:val="28"/>
          <w:szCs w:val="28"/>
          <w:lang w:bidi="en-US"/>
        </w:rPr>
        <w:t>附件：</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附图1：技改项目环评委托书</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附件2：项目备案证</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附件3：企业营业执照</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附件4：环境现状补充监测报告</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附件5：原有项目环评批复及验收意见</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附件6：</w:t>
      </w:r>
      <w:r>
        <w:rPr>
          <w:rFonts w:hint="eastAsia" w:eastAsiaTheme="minorEastAsia"/>
          <w:bCs/>
          <w:caps/>
          <w:color w:val="000000" w:themeColor="text1"/>
          <w:kern w:val="0"/>
          <w:szCs w:val="21"/>
          <w:lang w:bidi="en-US"/>
        </w:rPr>
        <w:t>新平工业</w:t>
      </w:r>
      <w:r>
        <w:rPr>
          <w:rFonts w:eastAsiaTheme="minorEastAsia"/>
          <w:bCs/>
          <w:caps/>
          <w:color w:val="000000" w:themeColor="text1"/>
          <w:kern w:val="0"/>
          <w:szCs w:val="21"/>
          <w:lang w:bidi="en-US"/>
        </w:rPr>
        <w:t>园区规划环评审查意见</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附件7：尾矿进龙都尾矿库的合同</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附件8：平安收购金凯协议</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附件9：龙都尾矿库验收意见</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附件10：</w:t>
      </w:r>
      <w:r>
        <w:rPr>
          <w:rFonts w:hint="eastAsia" w:eastAsiaTheme="minorEastAsia"/>
          <w:bCs/>
          <w:caps/>
          <w:color w:val="000000" w:themeColor="text1"/>
          <w:kern w:val="0"/>
          <w:szCs w:val="21"/>
          <w:lang w:bidi="en-US"/>
        </w:rPr>
        <w:t>废机油处置合同</w:t>
      </w:r>
    </w:p>
    <w:p>
      <w:pPr>
        <w:pStyle w:val="78"/>
        <w:spacing w:line="336" w:lineRule="auto"/>
        <w:ind w:firstLine="480"/>
        <w:rPr>
          <w:rFonts w:eastAsiaTheme="minorEastAsia"/>
          <w:bCs/>
          <w:caps/>
          <w:color w:val="000000" w:themeColor="text1"/>
          <w:kern w:val="0"/>
          <w:szCs w:val="21"/>
          <w:lang w:bidi="en-US"/>
        </w:rPr>
      </w:pPr>
      <w:r>
        <w:rPr>
          <w:rFonts w:hint="eastAsia" w:eastAsiaTheme="minorEastAsia"/>
          <w:bCs/>
          <w:caps/>
          <w:color w:val="000000" w:themeColor="text1"/>
          <w:kern w:val="0"/>
          <w:szCs w:val="21"/>
          <w:lang w:bidi="en-US"/>
        </w:rPr>
        <w:t>附件11：</w:t>
      </w:r>
      <w:r>
        <w:rPr>
          <w:rFonts w:eastAsiaTheme="minorEastAsia"/>
          <w:bCs/>
          <w:caps/>
          <w:color w:val="000000" w:themeColor="text1"/>
          <w:kern w:val="0"/>
          <w:szCs w:val="21"/>
          <w:lang w:bidi="en-US"/>
        </w:rPr>
        <w:t>承诺书</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附件1</w:t>
      </w:r>
      <w:r>
        <w:rPr>
          <w:rFonts w:hint="eastAsia" w:eastAsiaTheme="minorEastAsia"/>
          <w:bCs/>
          <w:caps/>
          <w:color w:val="000000" w:themeColor="text1"/>
          <w:kern w:val="0"/>
          <w:szCs w:val="21"/>
          <w:lang w:bidi="en-US"/>
        </w:rPr>
        <w:t>2</w:t>
      </w:r>
      <w:r>
        <w:rPr>
          <w:rFonts w:eastAsiaTheme="minorEastAsia"/>
          <w:bCs/>
          <w:caps/>
          <w:color w:val="000000" w:themeColor="text1"/>
          <w:kern w:val="0"/>
          <w:szCs w:val="21"/>
          <w:lang w:bidi="en-US"/>
        </w:rPr>
        <w:t>：</w:t>
      </w:r>
      <w:r>
        <w:rPr>
          <w:rFonts w:hint="eastAsia" w:eastAsiaTheme="minorEastAsia"/>
          <w:bCs/>
          <w:caps/>
          <w:color w:val="000000" w:themeColor="text1"/>
          <w:kern w:val="0"/>
          <w:szCs w:val="21"/>
          <w:lang w:bidi="en-US"/>
        </w:rPr>
        <w:t>行政处罚决定书及缴款依据</w:t>
      </w:r>
    </w:p>
    <w:p>
      <w:pPr>
        <w:pStyle w:val="78"/>
        <w:spacing w:line="336" w:lineRule="auto"/>
        <w:ind w:firstLine="480"/>
        <w:rPr>
          <w:rFonts w:eastAsiaTheme="minorEastAsia"/>
          <w:bCs/>
          <w:caps/>
          <w:color w:val="000000" w:themeColor="text1"/>
          <w:kern w:val="0"/>
          <w:szCs w:val="21"/>
          <w:lang w:bidi="en-US"/>
        </w:rPr>
      </w:pPr>
      <w:r>
        <w:rPr>
          <w:rFonts w:hint="eastAsia" w:eastAsiaTheme="minorEastAsia"/>
          <w:bCs/>
          <w:caps/>
          <w:color w:val="000000" w:themeColor="text1"/>
          <w:kern w:val="0"/>
          <w:szCs w:val="21"/>
          <w:lang w:bidi="en-US"/>
        </w:rPr>
        <w:t>附件13：云南省各类工业园区优化方案</w:t>
      </w:r>
    </w:p>
    <w:p>
      <w:pPr>
        <w:pStyle w:val="78"/>
        <w:spacing w:line="336" w:lineRule="auto"/>
        <w:ind w:firstLine="480"/>
        <w:rPr>
          <w:rFonts w:eastAsiaTheme="minorEastAsia"/>
          <w:bCs/>
          <w:caps/>
          <w:color w:val="000000" w:themeColor="text1"/>
          <w:kern w:val="0"/>
          <w:szCs w:val="21"/>
          <w:lang w:bidi="en-US"/>
        </w:rPr>
      </w:pPr>
      <w:r>
        <w:rPr>
          <w:rFonts w:hint="eastAsia" w:eastAsiaTheme="minorEastAsia"/>
          <w:bCs/>
          <w:caps/>
          <w:color w:val="000000" w:themeColor="text1"/>
          <w:kern w:val="0"/>
          <w:szCs w:val="21"/>
          <w:lang w:bidi="en-US"/>
        </w:rPr>
        <w:t>附件14：原辅物料检验材料</w:t>
      </w:r>
    </w:p>
    <w:p>
      <w:pPr>
        <w:pStyle w:val="78"/>
        <w:spacing w:line="336" w:lineRule="auto"/>
        <w:ind w:firstLine="480"/>
        <w:rPr>
          <w:rFonts w:hint="eastAsia" w:eastAsiaTheme="minorEastAsia"/>
          <w:bCs/>
          <w:caps/>
          <w:color w:val="000000" w:themeColor="text1"/>
          <w:kern w:val="0"/>
          <w:szCs w:val="21"/>
          <w:lang w:eastAsia="zh-CN" w:bidi="en-US"/>
        </w:rPr>
      </w:pPr>
      <w:r>
        <w:rPr>
          <w:rFonts w:hint="eastAsia" w:eastAsiaTheme="minorEastAsia"/>
          <w:bCs/>
          <w:caps/>
          <w:color w:val="000000" w:themeColor="text1"/>
          <w:kern w:val="0"/>
          <w:szCs w:val="21"/>
          <w:lang w:bidi="en-US"/>
        </w:rPr>
        <w:t>附件15：</w:t>
      </w:r>
      <w:r>
        <w:rPr>
          <w:rFonts w:hint="eastAsia" w:eastAsiaTheme="minorEastAsia"/>
          <w:bCs/>
          <w:caps/>
          <w:color w:val="000000" w:themeColor="text1"/>
          <w:kern w:val="0"/>
          <w:szCs w:val="21"/>
          <w:lang w:eastAsia="zh-CN" w:bidi="en-US"/>
        </w:rPr>
        <w:t>标准确认函</w:t>
      </w:r>
    </w:p>
    <w:p>
      <w:pPr>
        <w:pStyle w:val="78"/>
        <w:spacing w:line="336" w:lineRule="auto"/>
        <w:ind w:firstLine="480"/>
        <w:rPr>
          <w:rFonts w:eastAsiaTheme="minorEastAsia"/>
          <w:bCs/>
          <w:caps/>
          <w:color w:val="000000" w:themeColor="text1"/>
          <w:kern w:val="0"/>
          <w:szCs w:val="21"/>
          <w:lang w:bidi="en-US"/>
        </w:rPr>
      </w:pPr>
      <w:r>
        <w:rPr>
          <w:rFonts w:hint="eastAsia" w:eastAsiaTheme="minorEastAsia"/>
          <w:bCs/>
          <w:caps/>
          <w:color w:val="000000" w:themeColor="text1"/>
          <w:kern w:val="0"/>
          <w:szCs w:val="21"/>
          <w:lang w:eastAsia="zh-CN" w:bidi="en-US"/>
        </w:rPr>
        <w:t>附件</w:t>
      </w:r>
      <w:r>
        <w:rPr>
          <w:rFonts w:hint="eastAsia" w:eastAsiaTheme="minorEastAsia"/>
          <w:bCs/>
          <w:caps/>
          <w:color w:val="000000" w:themeColor="text1"/>
          <w:kern w:val="0"/>
          <w:szCs w:val="21"/>
          <w:lang w:val="en-US" w:eastAsia="zh-CN" w:bidi="en-US"/>
        </w:rPr>
        <w:t>16：</w:t>
      </w:r>
      <w:r>
        <w:rPr>
          <w:rFonts w:eastAsiaTheme="minorEastAsia"/>
          <w:bCs/>
          <w:caps/>
          <w:color w:val="000000" w:themeColor="text1"/>
          <w:kern w:val="0"/>
          <w:szCs w:val="21"/>
          <w:lang w:bidi="en-US"/>
        </w:rPr>
        <w:t>内部审核表</w:t>
      </w:r>
    </w:p>
    <w:p>
      <w:pPr>
        <w:pStyle w:val="78"/>
        <w:spacing w:line="336" w:lineRule="auto"/>
        <w:ind w:firstLine="480"/>
        <w:rPr>
          <w:rFonts w:eastAsiaTheme="minorEastAsia"/>
          <w:bCs/>
          <w:caps/>
          <w:color w:val="000000" w:themeColor="text1"/>
          <w:kern w:val="0"/>
          <w:szCs w:val="21"/>
          <w:lang w:bidi="en-US"/>
        </w:rPr>
      </w:pPr>
      <w:r>
        <w:rPr>
          <w:rFonts w:eastAsiaTheme="minorEastAsia"/>
          <w:bCs/>
          <w:caps/>
          <w:color w:val="000000" w:themeColor="text1"/>
          <w:kern w:val="0"/>
          <w:szCs w:val="21"/>
          <w:lang w:bidi="en-US"/>
        </w:rPr>
        <w:t>附件1</w:t>
      </w:r>
      <w:r>
        <w:rPr>
          <w:rFonts w:hint="eastAsia" w:eastAsiaTheme="minorEastAsia"/>
          <w:bCs/>
          <w:caps/>
          <w:color w:val="000000" w:themeColor="text1"/>
          <w:kern w:val="0"/>
          <w:szCs w:val="21"/>
          <w:lang w:val="en-US" w:eastAsia="zh-CN" w:bidi="en-US"/>
        </w:rPr>
        <w:t>7</w:t>
      </w:r>
      <w:r>
        <w:rPr>
          <w:rFonts w:eastAsiaTheme="minorEastAsia"/>
          <w:bCs/>
          <w:caps/>
          <w:color w:val="000000" w:themeColor="text1"/>
          <w:kern w:val="0"/>
          <w:szCs w:val="21"/>
          <w:lang w:bidi="en-US"/>
        </w:rPr>
        <w:t>：项目工作进度表</w:t>
      </w:r>
    </w:p>
    <w:p>
      <w:pPr>
        <w:pStyle w:val="78"/>
        <w:spacing w:line="336" w:lineRule="auto"/>
        <w:ind w:firstLine="480"/>
        <w:rPr>
          <w:rFonts w:eastAsiaTheme="minorEastAsia"/>
          <w:bCs/>
          <w:caps/>
          <w:color w:val="000000" w:themeColor="text1"/>
          <w:kern w:val="0"/>
          <w:szCs w:val="21"/>
          <w:lang w:bidi="en-US"/>
        </w:rPr>
      </w:pPr>
      <w:r>
        <w:rPr>
          <w:rFonts w:hint="eastAsia" w:eastAsiaTheme="minorEastAsia"/>
          <w:bCs/>
          <w:caps/>
          <w:color w:val="000000" w:themeColor="text1"/>
          <w:kern w:val="0"/>
          <w:szCs w:val="21"/>
          <w:lang w:bidi="en-US"/>
        </w:rPr>
        <w:t>附件1</w:t>
      </w:r>
      <w:r>
        <w:rPr>
          <w:rFonts w:hint="eastAsia" w:eastAsiaTheme="minorEastAsia"/>
          <w:bCs/>
          <w:caps/>
          <w:color w:val="000000" w:themeColor="text1"/>
          <w:kern w:val="0"/>
          <w:szCs w:val="21"/>
          <w:lang w:val="en-US" w:eastAsia="zh-CN" w:bidi="en-US"/>
        </w:rPr>
        <w:t>8</w:t>
      </w:r>
      <w:r>
        <w:rPr>
          <w:rFonts w:hint="eastAsia" w:eastAsiaTheme="minorEastAsia"/>
          <w:bCs/>
          <w:caps/>
          <w:color w:val="000000" w:themeColor="text1"/>
          <w:kern w:val="0"/>
          <w:szCs w:val="21"/>
          <w:lang w:bidi="en-US"/>
        </w:rPr>
        <w:t>：专家意见及签字表</w:t>
      </w:r>
    </w:p>
    <w:p>
      <w:pPr>
        <w:pStyle w:val="78"/>
        <w:spacing w:line="336" w:lineRule="auto"/>
        <w:ind w:firstLine="480"/>
        <w:rPr>
          <w:rFonts w:eastAsiaTheme="minorEastAsia"/>
          <w:bCs/>
          <w:caps/>
          <w:color w:val="000000" w:themeColor="text1"/>
          <w:kern w:val="0"/>
          <w:szCs w:val="21"/>
          <w:lang w:bidi="en-US"/>
        </w:rPr>
      </w:pPr>
      <w:r>
        <w:rPr>
          <w:rFonts w:hint="eastAsia" w:eastAsiaTheme="minorEastAsia"/>
          <w:bCs/>
          <w:caps/>
          <w:color w:val="000000" w:themeColor="text1"/>
          <w:kern w:val="0"/>
          <w:szCs w:val="21"/>
          <w:lang w:bidi="en-US"/>
        </w:rPr>
        <w:t>附件1</w:t>
      </w:r>
      <w:r>
        <w:rPr>
          <w:rFonts w:hint="eastAsia" w:eastAsiaTheme="minorEastAsia"/>
          <w:bCs/>
          <w:caps/>
          <w:color w:val="000000" w:themeColor="text1"/>
          <w:kern w:val="0"/>
          <w:szCs w:val="21"/>
          <w:lang w:val="en-US" w:eastAsia="zh-CN" w:bidi="en-US"/>
        </w:rPr>
        <w:t>9</w:t>
      </w:r>
      <w:r>
        <w:rPr>
          <w:rFonts w:hint="eastAsia" w:eastAsiaTheme="minorEastAsia"/>
          <w:bCs/>
          <w:caps/>
          <w:color w:val="000000" w:themeColor="text1"/>
          <w:kern w:val="0"/>
          <w:szCs w:val="21"/>
          <w:lang w:bidi="en-US"/>
        </w:rPr>
        <w:t>：意见修改对照表</w:t>
      </w:r>
    </w:p>
    <w:p>
      <w:pPr>
        <w:pStyle w:val="78"/>
        <w:spacing w:line="336" w:lineRule="auto"/>
        <w:ind w:firstLine="0" w:firstLineChars="0"/>
        <w:rPr>
          <w:rFonts w:eastAsiaTheme="minorEastAsia"/>
          <w:b/>
          <w:caps/>
          <w:color w:val="000000" w:themeColor="text1"/>
          <w:kern w:val="0"/>
          <w:sz w:val="28"/>
          <w:szCs w:val="28"/>
          <w:lang w:bidi="en-US"/>
        </w:rPr>
      </w:pPr>
    </w:p>
    <w:p>
      <w:pPr>
        <w:pStyle w:val="78"/>
        <w:spacing w:line="336" w:lineRule="auto"/>
        <w:ind w:firstLine="0" w:firstLineChars="0"/>
        <w:rPr>
          <w:rFonts w:eastAsiaTheme="minorEastAsia"/>
          <w:b/>
          <w:caps/>
          <w:color w:val="000000" w:themeColor="text1"/>
          <w:kern w:val="0"/>
          <w:sz w:val="28"/>
          <w:szCs w:val="28"/>
          <w:lang w:bidi="en-US"/>
        </w:rPr>
      </w:pPr>
      <w:r>
        <w:rPr>
          <w:rFonts w:eastAsiaTheme="minorEastAsia"/>
          <w:b/>
          <w:caps/>
          <w:color w:val="000000" w:themeColor="text1"/>
          <w:kern w:val="0"/>
          <w:sz w:val="28"/>
          <w:szCs w:val="28"/>
          <w:lang w:bidi="en-US"/>
        </w:rPr>
        <w:t>附表：</w:t>
      </w:r>
    </w:p>
    <w:p>
      <w:pPr>
        <w:pStyle w:val="78"/>
        <w:spacing w:line="336" w:lineRule="auto"/>
        <w:ind w:firstLine="480"/>
        <w:rPr>
          <w:rFonts w:eastAsiaTheme="minorEastAsia"/>
          <w:bCs/>
          <w:caps/>
          <w:color w:val="000000" w:themeColor="text1"/>
          <w:kern w:val="0"/>
          <w:szCs w:val="24"/>
          <w:lang w:bidi="en-US"/>
        </w:rPr>
      </w:pPr>
      <w:r>
        <w:rPr>
          <w:rFonts w:eastAsiaTheme="minorEastAsia"/>
          <w:bCs/>
          <w:caps/>
          <w:color w:val="000000" w:themeColor="text1"/>
          <w:kern w:val="0"/>
          <w:szCs w:val="24"/>
          <w:lang w:bidi="en-US"/>
        </w:rPr>
        <w:t>附表1：</w:t>
      </w:r>
      <w:r>
        <w:rPr>
          <w:rFonts w:hint="eastAsia" w:eastAsiaTheme="minorEastAsia"/>
          <w:bCs/>
          <w:caps/>
          <w:color w:val="000000" w:themeColor="text1"/>
          <w:kern w:val="0"/>
          <w:szCs w:val="24"/>
          <w:lang w:bidi="en-US"/>
        </w:rPr>
        <w:t>基础信息表</w:t>
      </w:r>
    </w:p>
    <w:p>
      <w:pPr>
        <w:pStyle w:val="78"/>
        <w:spacing w:line="336" w:lineRule="auto"/>
        <w:ind w:firstLine="480"/>
        <w:rPr>
          <w:rFonts w:eastAsiaTheme="minorEastAsia"/>
          <w:bCs/>
          <w:caps/>
          <w:color w:val="000000" w:themeColor="text1"/>
          <w:kern w:val="0"/>
          <w:szCs w:val="24"/>
          <w:lang w:bidi="en-US"/>
        </w:rPr>
      </w:pPr>
      <w:r>
        <w:rPr>
          <w:rFonts w:hint="eastAsia" w:eastAsiaTheme="minorEastAsia"/>
          <w:bCs/>
          <w:caps/>
          <w:color w:val="000000" w:themeColor="text1"/>
          <w:kern w:val="0"/>
          <w:szCs w:val="24"/>
          <w:lang w:bidi="en-US"/>
        </w:rPr>
        <w:t>附件2：</w:t>
      </w:r>
      <w:r>
        <w:rPr>
          <w:rFonts w:eastAsiaTheme="minorEastAsia"/>
          <w:bCs/>
          <w:caps/>
          <w:color w:val="000000" w:themeColor="text1"/>
          <w:kern w:val="0"/>
          <w:szCs w:val="24"/>
          <w:lang w:bidi="en-US"/>
        </w:rPr>
        <w:t>技改项目大气环境自查表</w:t>
      </w:r>
    </w:p>
    <w:p>
      <w:pPr>
        <w:pStyle w:val="78"/>
        <w:spacing w:line="336" w:lineRule="auto"/>
        <w:ind w:firstLine="480"/>
        <w:rPr>
          <w:rFonts w:eastAsiaTheme="minorEastAsia"/>
          <w:bCs/>
          <w:caps/>
          <w:color w:val="000000" w:themeColor="text1"/>
          <w:kern w:val="0"/>
          <w:szCs w:val="24"/>
          <w:lang w:bidi="en-US"/>
        </w:rPr>
      </w:pPr>
      <w:r>
        <w:rPr>
          <w:rFonts w:eastAsiaTheme="minorEastAsia"/>
          <w:bCs/>
          <w:caps/>
          <w:color w:val="000000" w:themeColor="text1"/>
          <w:kern w:val="0"/>
          <w:szCs w:val="24"/>
          <w:lang w:bidi="en-US"/>
        </w:rPr>
        <w:t>附表</w:t>
      </w:r>
      <w:r>
        <w:rPr>
          <w:rFonts w:hint="eastAsia" w:eastAsiaTheme="minorEastAsia"/>
          <w:bCs/>
          <w:caps/>
          <w:color w:val="000000" w:themeColor="text1"/>
          <w:kern w:val="0"/>
          <w:szCs w:val="24"/>
          <w:lang w:bidi="en-US"/>
        </w:rPr>
        <w:t>:3</w:t>
      </w:r>
      <w:r>
        <w:rPr>
          <w:rFonts w:eastAsiaTheme="minorEastAsia"/>
          <w:bCs/>
          <w:caps/>
          <w:color w:val="000000" w:themeColor="text1"/>
          <w:kern w:val="0"/>
          <w:szCs w:val="24"/>
          <w:lang w:bidi="en-US"/>
        </w:rPr>
        <w:t>：技改项目水环境自查表</w:t>
      </w:r>
    </w:p>
    <w:p>
      <w:pPr>
        <w:pStyle w:val="78"/>
        <w:spacing w:line="336" w:lineRule="auto"/>
        <w:ind w:firstLine="480"/>
        <w:rPr>
          <w:rFonts w:eastAsiaTheme="minorEastAsia"/>
          <w:bCs/>
          <w:caps/>
          <w:color w:val="000000" w:themeColor="text1"/>
          <w:kern w:val="0"/>
          <w:szCs w:val="24"/>
          <w:lang w:bidi="en-US"/>
        </w:rPr>
      </w:pPr>
      <w:r>
        <w:rPr>
          <w:rFonts w:eastAsiaTheme="minorEastAsia"/>
          <w:bCs/>
          <w:caps/>
          <w:color w:val="000000" w:themeColor="text1"/>
          <w:kern w:val="0"/>
          <w:szCs w:val="24"/>
          <w:lang w:bidi="en-US"/>
        </w:rPr>
        <w:t>附表</w:t>
      </w:r>
      <w:r>
        <w:rPr>
          <w:rFonts w:hint="eastAsia" w:eastAsiaTheme="minorEastAsia"/>
          <w:bCs/>
          <w:caps/>
          <w:color w:val="000000" w:themeColor="text1"/>
          <w:kern w:val="0"/>
          <w:szCs w:val="24"/>
          <w:lang w:bidi="en-US"/>
        </w:rPr>
        <w:t>4</w:t>
      </w:r>
      <w:r>
        <w:rPr>
          <w:rFonts w:eastAsiaTheme="minorEastAsia"/>
          <w:bCs/>
          <w:caps/>
          <w:color w:val="000000" w:themeColor="text1"/>
          <w:kern w:val="0"/>
          <w:szCs w:val="24"/>
          <w:lang w:bidi="en-US"/>
        </w:rPr>
        <w:t>：技改项目环境风险自查表</w:t>
      </w:r>
    </w:p>
    <w:p>
      <w:pPr>
        <w:keepNext/>
        <w:widowControl/>
        <w:ind w:firstLine="0" w:firstLineChars="0"/>
        <w:outlineLvl w:val="0"/>
        <w:rPr>
          <w:rFonts w:eastAsiaTheme="minorEastAsia"/>
          <w:b/>
          <w:bCs/>
          <w:color w:val="000000" w:themeColor="text1"/>
          <w:kern w:val="32"/>
          <w:sz w:val="32"/>
          <w:szCs w:val="32"/>
          <w:lang w:bidi="en-US"/>
        </w:rPr>
        <w:sectPr>
          <w:headerReference r:id="rId9" w:type="default"/>
          <w:footerReference r:id="rId10" w:type="default"/>
          <w:pgSz w:w="11906" w:h="16838"/>
          <w:pgMar w:top="1440" w:right="1797" w:bottom="1440" w:left="1797" w:header="850" w:footer="992" w:gutter="0"/>
          <w:pgNumType w:fmt="numberInDash" w:start="1"/>
          <w:cols w:space="425" w:num="1"/>
          <w:docGrid w:type="lines" w:linePitch="326" w:charSpace="0"/>
        </w:sectPr>
      </w:pPr>
      <w:bookmarkStart w:id="8" w:name="_Toc465156840"/>
      <w:bookmarkStart w:id="9" w:name="_Toc465156852"/>
      <w:bookmarkStart w:id="10" w:name="_Toc319504007"/>
    </w:p>
    <w:p>
      <w:pPr>
        <w:keepNext/>
        <w:widowControl/>
        <w:ind w:firstLine="0" w:firstLineChars="0"/>
        <w:outlineLvl w:val="0"/>
        <w:rPr>
          <w:rFonts w:eastAsiaTheme="minorEastAsia"/>
          <w:b/>
          <w:bCs/>
          <w:color w:val="000000" w:themeColor="text1"/>
          <w:kern w:val="32"/>
          <w:sz w:val="32"/>
          <w:szCs w:val="32"/>
          <w:lang w:bidi="en-US"/>
        </w:rPr>
      </w:pPr>
      <w:bookmarkStart w:id="11" w:name="_Toc1623"/>
      <w:r>
        <w:rPr>
          <w:rFonts w:eastAsiaTheme="minorEastAsia"/>
          <w:b/>
          <w:bCs/>
          <w:color w:val="000000" w:themeColor="text1"/>
          <w:kern w:val="32"/>
          <w:sz w:val="32"/>
          <w:szCs w:val="32"/>
          <w:lang w:bidi="en-US"/>
        </w:rPr>
        <w:t>概述</w:t>
      </w:r>
      <w:bookmarkEnd w:id="11"/>
    </w:p>
    <w:p>
      <w:pPr>
        <w:tabs>
          <w:tab w:val="left" w:pos="312"/>
        </w:tabs>
        <w:ind w:firstLine="482"/>
        <w:jc w:val="both"/>
        <w:rPr>
          <w:rFonts w:eastAsiaTheme="minorEastAsia"/>
          <w:b/>
          <w:bCs/>
          <w:color w:val="000000" w:themeColor="text1"/>
        </w:rPr>
      </w:pPr>
      <w:r>
        <w:rPr>
          <w:rFonts w:eastAsiaTheme="minorEastAsia"/>
          <w:b/>
          <w:bCs/>
          <w:color w:val="000000" w:themeColor="text1"/>
        </w:rPr>
        <w:t>1、项目背景及由来</w:t>
      </w:r>
    </w:p>
    <w:p>
      <w:pPr>
        <w:tabs>
          <w:tab w:val="left" w:pos="312"/>
        </w:tabs>
        <w:ind w:firstLine="480"/>
        <w:jc w:val="both"/>
        <w:rPr>
          <w:rFonts w:eastAsiaTheme="minorEastAsia"/>
          <w:color w:val="000000" w:themeColor="text1"/>
        </w:rPr>
      </w:pPr>
      <w:r>
        <w:rPr>
          <w:rFonts w:eastAsiaTheme="minorEastAsia"/>
          <w:color w:val="000000" w:themeColor="text1"/>
        </w:rPr>
        <w:t>新平县平安矿业开发有限公司位于云南省玉溪市新平彝族傣族自治县戛洒镇戛洒村委会困龙河右岸辣子箐口，成立于2006年11月，</w:t>
      </w:r>
      <w:r>
        <w:rPr>
          <w:rFonts w:eastAsiaTheme="minorEastAsia"/>
          <w:bCs/>
          <w:iCs/>
          <w:color w:val="000000" w:themeColor="text1"/>
        </w:rPr>
        <w:t>注册资本2950万，法人叶彩明，社会统一信</w:t>
      </w:r>
      <w:r>
        <w:rPr>
          <w:rFonts w:eastAsiaTheme="minorEastAsia"/>
          <w:bCs/>
          <w:iCs/>
          <w:color w:val="000000" w:themeColor="text1"/>
          <w:szCs w:val="24"/>
        </w:rPr>
        <w:t>用代码为</w:t>
      </w:r>
      <w:r>
        <w:rPr>
          <w:rFonts w:eastAsia="微软雅黑"/>
          <w:color w:val="000000" w:themeColor="text1"/>
          <w:szCs w:val="24"/>
          <w:shd w:val="clear" w:color="auto" w:fill="FFFFFF"/>
        </w:rPr>
        <w:t>91530427795173414X</w:t>
      </w:r>
      <w:r>
        <w:rPr>
          <w:rStyle w:val="73"/>
          <w:color w:val="000000" w:themeColor="text1"/>
          <w:kern w:val="0"/>
          <w:sz w:val="24"/>
          <w:szCs w:val="24"/>
        </w:rPr>
        <w:t>，为矿产品加工销售企业。本项目选厂原属于</w:t>
      </w:r>
      <w:r>
        <w:rPr>
          <w:rFonts w:eastAsiaTheme="minorEastAsia"/>
          <w:color w:val="000000" w:themeColor="text1"/>
        </w:rPr>
        <w:t>新平金凯工贸有限公司东磨选厂，选厂最早是峨山万茂有限公司所建，建立于2004年，2005年峨山万茂有限公司正式更名为新平锦茂工贸有限公司，20</w:t>
      </w:r>
      <w:r>
        <w:rPr>
          <w:rFonts w:hint="eastAsia" w:eastAsiaTheme="minorEastAsia"/>
          <w:color w:val="000000" w:themeColor="text1"/>
        </w:rPr>
        <w:t>16</w:t>
      </w:r>
      <w:r>
        <w:rPr>
          <w:rFonts w:eastAsiaTheme="minorEastAsia"/>
          <w:color w:val="000000" w:themeColor="text1"/>
        </w:rPr>
        <w:t>年7月新平锦茂工贸有限公司被新平金凯工贸有限公司收购，2020年7月2日，新平县平安矿业开发有限公司对新平金凯工贸有限公司进行收购。新平县平安矿业开发有限公司</w:t>
      </w:r>
      <w:r>
        <w:rPr>
          <w:rFonts w:hint="eastAsia" w:eastAsiaTheme="minorEastAsia"/>
          <w:color w:val="000000" w:themeColor="text1"/>
        </w:rPr>
        <w:t>收购</w:t>
      </w:r>
      <w:r>
        <w:rPr>
          <w:rFonts w:eastAsiaTheme="minorEastAsia"/>
          <w:color w:val="000000" w:themeColor="text1"/>
        </w:rPr>
        <w:t>该选厂后，发现原有生产工艺只能将细度在-200目的精矿磨到细度75-80目之间，选矿铁精矿最高品位只能达到</w:t>
      </w:r>
      <w:r>
        <w:rPr>
          <w:rFonts w:hint="eastAsia" w:eastAsiaTheme="minorEastAsia"/>
          <w:color w:val="000000" w:themeColor="text1"/>
        </w:rPr>
        <w:t>约</w:t>
      </w:r>
      <w:r>
        <w:rPr>
          <w:rFonts w:eastAsiaTheme="minorEastAsia"/>
          <w:color w:val="000000" w:themeColor="text1"/>
        </w:rPr>
        <w:t>6</w:t>
      </w:r>
      <w:r>
        <w:rPr>
          <w:rFonts w:hint="eastAsia" w:eastAsiaTheme="minorEastAsia"/>
          <w:color w:val="000000" w:themeColor="text1"/>
        </w:rPr>
        <w:t>2</w:t>
      </w:r>
      <w:r>
        <w:rPr>
          <w:rFonts w:eastAsiaTheme="minorEastAsia"/>
          <w:color w:val="000000" w:themeColor="text1"/>
        </w:rPr>
        <w:t>%</w:t>
      </w:r>
      <w:r>
        <w:rPr>
          <w:rFonts w:hint="eastAsia" w:eastAsiaTheme="minorEastAsia"/>
          <w:color w:val="000000" w:themeColor="text1"/>
        </w:rPr>
        <w:t>，</w:t>
      </w:r>
      <w:r>
        <w:rPr>
          <w:rFonts w:eastAsiaTheme="minorEastAsia"/>
          <w:color w:val="000000" w:themeColor="text1"/>
        </w:rPr>
        <w:t>尾矿品位跑尾严重，且产生量较大，</w:t>
      </w:r>
      <w:r>
        <w:rPr>
          <w:color w:val="000000" w:themeColor="text1"/>
        </w:rPr>
        <w:t>铁矿资源利用率低，存在浪费现象，企业经济效益不佳</w:t>
      </w:r>
      <w:r>
        <w:rPr>
          <w:rFonts w:eastAsiaTheme="minorEastAsia"/>
          <w:color w:val="000000" w:themeColor="text1"/>
        </w:rPr>
        <w:t>。因此，新平县平安矿业开发有限公司决定对原有项目进行技改，技改完成后铁精矿-350-400目磨矿细度达到85-90目，品位由原来的6</w:t>
      </w:r>
      <w:r>
        <w:rPr>
          <w:rFonts w:hint="eastAsia" w:eastAsiaTheme="minorEastAsia"/>
          <w:color w:val="000000" w:themeColor="text1"/>
        </w:rPr>
        <w:t>2</w:t>
      </w:r>
      <w:r>
        <w:rPr>
          <w:rFonts w:eastAsiaTheme="minorEastAsia"/>
          <w:color w:val="000000" w:themeColor="text1"/>
        </w:rPr>
        <w:t>%提高到64%-67%之间，项目总投资800万元。技改项目已于2021年1月6日取得新平彝族傣族自治县发展和改革局核发的投资项目备案证，项目代码：2021-530427-04-02-3380736。</w:t>
      </w:r>
    </w:p>
    <w:p>
      <w:pPr>
        <w:tabs>
          <w:tab w:val="left" w:pos="312"/>
        </w:tabs>
        <w:ind w:firstLine="482"/>
        <w:jc w:val="both"/>
        <w:rPr>
          <w:rFonts w:eastAsiaTheme="minorEastAsia"/>
          <w:b/>
          <w:bCs/>
          <w:color w:val="000000" w:themeColor="text1"/>
        </w:rPr>
      </w:pPr>
      <w:r>
        <w:rPr>
          <w:rFonts w:eastAsiaTheme="minorEastAsia"/>
          <w:b/>
          <w:bCs/>
          <w:color w:val="000000" w:themeColor="text1"/>
        </w:rPr>
        <w:t>2、工程概况及特点</w:t>
      </w:r>
    </w:p>
    <w:p>
      <w:pPr>
        <w:pStyle w:val="134"/>
        <w:ind w:firstLine="480"/>
        <w:rPr>
          <w:rFonts w:eastAsiaTheme="minorEastAsia"/>
          <w:color w:val="000000" w:themeColor="text1"/>
        </w:rPr>
      </w:pPr>
      <w:r>
        <w:rPr>
          <w:rFonts w:eastAsiaTheme="minorEastAsia"/>
          <w:color w:val="000000" w:themeColor="text1"/>
        </w:rPr>
        <w:t>（1）工程概况</w:t>
      </w:r>
    </w:p>
    <w:p>
      <w:pPr>
        <w:ind w:firstLine="480"/>
        <w:rPr>
          <w:rFonts w:eastAsiaTheme="minorEastAsia"/>
          <w:color w:val="000000" w:themeColor="text1"/>
        </w:rPr>
      </w:pPr>
      <w:r>
        <w:rPr>
          <w:rFonts w:eastAsiaTheme="minorEastAsia"/>
          <w:color w:val="000000" w:themeColor="text1"/>
        </w:rPr>
        <w:t>原有</w:t>
      </w:r>
      <w:r>
        <w:rPr>
          <w:rFonts w:hint="eastAsia" w:eastAsiaTheme="minorEastAsia"/>
          <w:color w:val="000000" w:themeColor="text1"/>
        </w:rPr>
        <w:t>项目建有</w:t>
      </w:r>
      <w:r>
        <w:rPr>
          <w:rFonts w:eastAsiaTheme="minorEastAsia"/>
          <w:color w:val="000000" w:themeColor="text1"/>
        </w:rPr>
        <w:t>一条铜、铁选矿生产线，年产铁精矿40000t，年产铜精矿为650t，尾矿进入辣子箐尾矿库（该尾矿库原属于新平金凯工贸有限</w:t>
      </w:r>
      <w:r>
        <w:rPr>
          <w:rFonts w:eastAsiaTheme="minorEastAsia"/>
          <w:bCs/>
          <w:iCs/>
          <w:color w:val="000000" w:themeColor="text1"/>
        </w:rPr>
        <w:t>公司，现为</w:t>
      </w:r>
      <w:r>
        <w:rPr>
          <w:rFonts w:eastAsiaTheme="minorEastAsia"/>
          <w:color w:val="000000" w:themeColor="text1"/>
        </w:rPr>
        <w:t>新平县平安矿业开发有限公司所属），距离选厂500m，占地面积60亩，库容44.95万m</w:t>
      </w:r>
      <w:r>
        <w:rPr>
          <w:rFonts w:eastAsiaTheme="minorEastAsia"/>
          <w:color w:val="000000" w:themeColor="text1"/>
          <w:vertAlign w:val="superscript"/>
        </w:rPr>
        <w:t>3</w:t>
      </w:r>
      <w:r>
        <w:rPr>
          <w:rFonts w:eastAsiaTheme="minorEastAsia"/>
          <w:color w:val="000000" w:themeColor="text1"/>
        </w:rPr>
        <w:t>，目前剩余库容为</w:t>
      </w:r>
      <w:r>
        <w:rPr>
          <w:rFonts w:hint="eastAsia" w:eastAsiaTheme="minorEastAsia"/>
          <w:color w:val="000000" w:themeColor="text1"/>
        </w:rPr>
        <w:t>4</w:t>
      </w:r>
      <w:r>
        <w:rPr>
          <w:rFonts w:eastAsiaTheme="minorEastAsia"/>
          <w:color w:val="000000" w:themeColor="text1"/>
        </w:rPr>
        <w:t>万m</w:t>
      </w:r>
      <w:r>
        <w:rPr>
          <w:rFonts w:eastAsiaTheme="minorEastAsia"/>
          <w:color w:val="000000" w:themeColor="text1"/>
          <w:vertAlign w:val="superscript"/>
        </w:rPr>
        <w:t>3</w:t>
      </w:r>
      <w:r>
        <w:rPr>
          <w:rFonts w:eastAsiaTheme="minorEastAsia"/>
          <w:color w:val="000000" w:themeColor="text1"/>
        </w:rPr>
        <w:t>。由于辣子箐尾矿剩余库容不多，</w:t>
      </w:r>
      <w:r>
        <w:rPr>
          <w:rFonts w:eastAsiaTheme="minorEastAsia"/>
          <w:color w:val="000000" w:themeColor="text1"/>
          <w:szCs w:val="24"/>
        </w:rPr>
        <w:t>本次技改（后端增加的再选工段产生的尾矿）不使用该尾矿库，现有的选矿工段所产尾矿仍然进入该尾矿库。辣子箐尾矿库暂不闭库，建设单位后期还要另立项目，对该尾矿库所存尾矿进行再选</w:t>
      </w:r>
      <w:r>
        <w:rPr>
          <w:rFonts w:hint="eastAsia" w:eastAsiaTheme="minorEastAsia"/>
          <w:color w:val="000000" w:themeColor="text1"/>
          <w:szCs w:val="24"/>
        </w:rPr>
        <w:t>综合利用</w:t>
      </w:r>
      <w:r>
        <w:rPr>
          <w:rFonts w:eastAsiaTheme="minorEastAsia"/>
          <w:color w:val="000000" w:themeColor="text1"/>
          <w:szCs w:val="24"/>
        </w:rPr>
        <w:t>，但不在本项目评价范围内。</w:t>
      </w:r>
      <w:r>
        <w:rPr>
          <w:rFonts w:eastAsiaTheme="minorEastAsia"/>
          <w:color w:val="000000" w:themeColor="text1"/>
        </w:rPr>
        <w:t>技改铁矿再选尾矿进入大红山龙都尾矿库</w:t>
      </w:r>
      <w:r>
        <w:rPr>
          <w:color w:val="000000" w:themeColor="text1"/>
        </w:rPr>
        <w:t>（</w:t>
      </w:r>
      <w:r>
        <w:rPr>
          <w:rFonts w:eastAsiaTheme="minorEastAsia"/>
          <w:color w:val="000000" w:themeColor="text1"/>
        </w:rPr>
        <w:t>新平县平安矿业开发有限公司已与玉溪大红山矿业有限公司签订合作协议，协议见附件7</w:t>
      </w:r>
      <w:r>
        <w:rPr>
          <w:color w:val="000000" w:themeColor="text1"/>
        </w:rPr>
        <w:t>）</w:t>
      </w:r>
      <w:r>
        <w:rPr>
          <w:rFonts w:eastAsiaTheme="minorEastAsia"/>
          <w:color w:val="000000" w:themeColor="text1"/>
        </w:rPr>
        <w:t>。</w:t>
      </w:r>
    </w:p>
    <w:p>
      <w:pPr>
        <w:pStyle w:val="134"/>
        <w:ind w:firstLine="480"/>
        <w:rPr>
          <w:rFonts w:eastAsiaTheme="minorEastAsia"/>
          <w:color w:val="000000" w:themeColor="text1"/>
        </w:rPr>
      </w:pPr>
      <w:r>
        <w:rPr>
          <w:rFonts w:eastAsiaTheme="minorEastAsia"/>
          <w:color w:val="000000" w:themeColor="text1"/>
        </w:rPr>
        <w:t>技改内容主要</w:t>
      </w:r>
      <w:r>
        <w:rPr>
          <w:rFonts w:hint="eastAsia" w:eastAsiaTheme="minorEastAsia"/>
          <w:color w:val="000000" w:themeColor="text1"/>
        </w:rPr>
        <w:t>对</w:t>
      </w:r>
      <w:r>
        <w:rPr>
          <w:rFonts w:eastAsiaTheme="minorEastAsia"/>
          <w:color w:val="000000" w:themeColor="text1"/>
        </w:rPr>
        <w:t>原料处理前端及选矿后端进行升级改造，即拆除原矿破碎系统破碎机和筛分机，增加圆锥破、水平筛、</w:t>
      </w:r>
      <w:r>
        <w:rPr>
          <w:rFonts w:hint="eastAsia" w:eastAsiaTheme="minorEastAsia"/>
          <w:color w:val="000000" w:themeColor="text1"/>
        </w:rPr>
        <w:t>振动筛</w:t>
      </w:r>
      <w:r>
        <w:rPr>
          <w:rStyle w:val="73"/>
          <w:rFonts w:hint="eastAsia"/>
          <w:color w:val="000000" w:themeColor="text1"/>
        </w:rPr>
        <w:t>、</w:t>
      </w:r>
      <w:r>
        <w:rPr>
          <w:rFonts w:eastAsiaTheme="minorEastAsia"/>
          <w:color w:val="000000" w:themeColor="text1"/>
        </w:rPr>
        <w:t>制砂机、斗轮制砂机、皮带输送机等，</w:t>
      </w:r>
      <w:r>
        <w:rPr>
          <w:color w:val="000000" w:themeColor="text1"/>
        </w:rPr>
        <w:t>在原料处理工序中分选出磁性和非磁性矿石，</w:t>
      </w:r>
      <w:r>
        <w:rPr>
          <w:rFonts w:eastAsiaTheme="minorEastAsia"/>
          <w:color w:val="000000" w:themeColor="text1"/>
        </w:rPr>
        <w:t>磁性的原矿（铜铁伴生矿）进入选矿工艺，不带磁性的原矿加工制成砂石料外卖，提高原料的利用率，减少选矿产生的尾矿量。同时，在原有选铁生产线末端增加立磨机、弱磁选机、平板磁选机、陶瓷过滤器，对原有</w:t>
      </w:r>
      <w:r>
        <w:rPr>
          <w:rFonts w:hint="eastAsia" w:eastAsiaTheme="minorEastAsia"/>
          <w:color w:val="000000" w:themeColor="text1"/>
        </w:rPr>
        <w:t>项目生产的</w:t>
      </w:r>
      <w:r>
        <w:rPr>
          <w:rFonts w:eastAsiaTheme="minorEastAsia"/>
          <w:color w:val="000000" w:themeColor="text1"/>
        </w:rPr>
        <w:t>产品三级精铁矿再选，提高原有铁精矿品位，并外购部分三级精铁矿补充，扩大铁精矿产量。技改项目增加东磨选厂至新平县平安矿业开发有限公司</w:t>
      </w:r>
      <w:r>
        <w:rPr>
          <w:color w:val="000000" w:themeColor="text1"/>
        </w:rPr>
        <w:t>辣子箐口选厂段</w:t>
      </w:r>
      <w:r>
        <w:rPr>
          <w:rFonts w:hint="eastAsia"/>
          <w:color w:val="000000" w:themeColor="text1"/>
        </w:rPr>
        <w:t>尾矿输送</w:t>
      </w:r>
      <w:r>
        <w:rPr>
          <w:color w:val="000000" w:themeColor="text1"/>
        </w:rPr>
        <w:t>的管道</w:t>
      </w:r>
      <w:r>
        <w:rPr>
          <w:rFonts w:eastAsiaTheme="minorEastAsia"/>
          <w:color w:val="000000" w:themeColor="text1"/>
        </w:rPr>
        <w:t>，</w:t>
      </w:r>
      <w:r>
        <w:rPr>
          <w:rFonts w:hint="eastAsia" w:eastAsiaTheme="minorEastAsia"/>
          <w:color w:val="000000" w:themeColor="text1"/>
        </w:rPr>
        <w:t>将</w:t>
      </w:r>
      <w:r>
        <w:rPr>
          <w:rFonts w:eastAsiaTheme="minorEastAsia"/>
          <w:color w:val="000000" w:themeColor="text1"/>
        </w:rPr>
        <w:t>技改再选工段尾矿</w:t>
      </w:r>
      <w:r>
        <w:rPr>
          <w:rFonts w:hint="eastAsia" w:eastAsiaTheme="minorEastAsia"/>
          <w:color w:val="000000" w:themeColor="text1"/>
        </w:rPr>
        <w:t>输送至</w:t>
      </w:r>
      <w:r>
        <w:rPr>
          <w:rFonts w:eastAsiaTheme="minorEastAsia"/>
          <w:color w:val="000000" w:themeColor="text1"/>
        </w:rPr>
        <w:t>新平县平安矿业开发有限公司</w:t>
      </w:r>
      <w:r>
        <w:rPr>
          <w:color w:val="000000" w:themeColor="text1"/>
        </w:rPr>
        <w:t>辣子箐口选厂浓密池内，再经已建好的泵站打入大红山龙都尾矿库</w:t>
      </w:r>
      <w:r>
        <w:rPr>
          <w:rFonts w:eastAsiaTheme="minorEastAsia"/>
          <w:color w:val="000000" w:themeColor="text1"/>
        </w:rPr>
        <w:t>，技改完成后年产10万吨铁精矿。本次技改只对</w:t>
      </w:r>
      <w:r>
        <w:rPr>
          <w:color w:val="000000" w:themeColor="text1"/>
        </w:rPr>
        <w:t>原</w:t>
      </w:r>
      <w:r>
        <w:rPr>
          <w:color w:val="000000" w:themeColor="text1"/>
          <w:szCs w:val="24"/>
        </w:rPr>
        <w:t>有</w:t>
      </w:r>
      <w:r>
        <w:rPr>
          <w:rStyle w:val="73"/>
          <w:rFonts w:hint="eastAsia"/>
          <w:color w:val="000000" w:themeColor="text1"/>
          <w:sz w:val="24"/>
          <w:szCs w:val="24"/>
        </w:rPr>
        <w:t>项目所产</w:t>
      </w:r>
      <w:r>
        <w:rPr>
          <w:color w:val="000000" w:themeColor="text1"/>
          <w:szCs w:val="24"/>
        </w:rPr>
        <w:t>三级</w:t>
      </w:r>
      <w:r>
        <w:rPr>
          <w:color w:val="000000" w:themeColor="text1"/>
        </w:rPr>
        <w:t>铁精矿</w:t>
      </w:r>
      <w:r>
        <w:rPr>
          <w:rStyle w:val="73"/>
          <w:rFonts w:hint="eastAsia"/>
          <w:color w:val="000000" w:themeColor="text1"/>
          <w:sz w:val="24"/>
          <w:szCs w:val="24"/>
        </w:rPr>
        <w:t>及外购三级铁精矿</w:t>
      </w:r>
      <w:r>
        <w:rPr>
          <w:color w:val="000000" w:themeColor="text1"/>
        </w:rPr>
        <w:t>进行再选提高精矿品位，</w:t>
      </w:r>
      <w:r>
        <w:rPr>
          <w:rFonts w:eastAsiaTheme="minorEastAsia"/>
          <w:color w:val="000000" w:themeColor="text1"/>
        </w:rPr>
        <w:t>不涉及再选铜、镍等其他金属元素。</w:t>
      </w:r>
    </w:p>
    <w:p>
      <w:pPr>
        <w:pStyle w:val="134"/>
        <w:ind w:firstLine="480"/>
        <w:rPr>
          <w:rFonts w:eastAsiaTheme="minorEastAsia"/>
          <w:color w:val="000000" w:themeColor="text1"/>
        </w:rPr>
      </w:pPr>
      <w:r>
        <w:rPr>
          <w:rFonts w:eastAsiaTheme="minorEastAsia"/>
          <w:color w:val="000000" w:themeColor="text1"/>
        </w:rPr>
        <w:t>根据现场探勘情况，项目目前</w:t>
      </w:r>
      <w:r>
        <w:rPr>
          <w:rFonts w:hint="eastAsia" w:eastAsiaTheme="minorEastAsia"/>
          <w:color w:val="000000" w:themeColor="text1"/>
        </w:rPr>
        <w:t>再选矿设备及原矿石破碎等预处理设备</w:t>
      </w:r>
      <w:r>
        <w:rPr>
          <w:rFonts w:eastAsiaTheme="minorEastAsia"/>
          <w:color w:val="000000" w:themeColor="text1"/>
        </w:rPr>
        <w:t>已经建设完成，部分相应的环保设施未建设，属于未批先建</w:t>
      </w:r>
      <w:r>
        <w:rPr>
          <w:rFonts w:hint="eastAsia" w:eastAsiaTheme="minorEastAsia"/>
          <w:color w:val="000000" w:themeColor="text1"/>
        </w:rPr>
        <w:t>项目</w:t>
      </w:r>
      <w:r>
        <w:rPr>
          <w:rFonts w:eastAsiaTheme="minorEastAsia"/>
          <w:color w:val="000000" w:themeColor="text1"/>
        </w:rPr>
        <w:t>，2021年1月2日玉溪市生态环境局新平分局在现场监察过程中发现其未批先建违法行为，于2021年3月31日对</w:t>
      </w:r>
      <w:r>
        <w:rPr>
          <w:rFonts w:hint="eastAsia" w:eastAsiaTheme="minorEastAsia"/>
          <w:color w:val="000000" w:themeColor="text1"/>
        </w:rPr>
        <w:t>该项目</w:t>
      </w:r>
      <w:r>
        <w:rPr>
          <w:rFonts w:eastAsiaTheme="minorEastAsia"/>
          <w:color w:val="000000" w:themeColor="text1"/>
        </w:rPr>
        <w:t>进行了行政处罚，下发了行政处罚决定书玉市环新罚〔2021〕4号</w:t>
      </w:r>
      <w:r>
        <w:rPr>
          <w:rFonts w:hint="eastAsia" w:eastAsiaTheme="minorEastAsia"/>
          <w:color w:val="000000" w:themeColor="text1"/>
        </w:rPr>
        <w:t>，目前建设单位已缴清罚款。</w:t>
      </w:r>
    </w:p>
    <w:p>
      <w:pPr>
        <w:tabs>
          <w:tab w:val="left" w:pos="312"/>
        </w:tabs>
        <w:ind w:firstLine="480"/>
        <w:jc w:val="both"/>
        <w:rPr>
          <w:rFonts w:eastAsiaTheme="minorEastAsia"/>
          <w:color w:val="000000" w:themeColor="text1"/>
        </w:rPr>
      </w:pPr>
      <w:r>
        <w:rPr>
          <w:rFonts w:eastAsiaTheme="minorEastAsia"/>
          <w:color w:val="000000" w:themeColor="text1"/>
        </w:rPr>
        <w:t>（2）项目特点</w:t>
      </w:r>
    </w:p>
    <w:p>
      <w:pPr>
        <w:pStyle w:val="134"/>
        <w:ind w:firstLine="480"/>
        <w:rPr>
          <w:rFonts w:eastAsiaTheme="minorEastAsia"/>
          <w:color w:val="000000" w:themeColor="text1"/>
        </w:rPr>
      </w:pPr>
      <w:r>
        <w:rPr>
          <w:rFonts w:eastAsiaTheme="minorEastAsia"/>
          <w:color w:val="000000" w:themeColor="text1"/>
        </w:rPr>
        <w:t>1）对原矿破碎系统进行升级改造，</w:t>
      </w:r>
      <w:r>
        <w:rPr>
          <w:rFonts w:hint="eastAsia" w:eastAsiaTheme="minorEastAsia"/>
          <w:color w:val="000000" w:themeColor="text1"/>
        </w:rPr>
        <w:t>将</w:t>
      </w:r>
      <w:r>
        <w:rPr>
          <w:rFonts w:eastAsiaTheme="minorEastAsia"/>
          <w:color w:val="000000" w:themeColor="text1"/>
        </w:rPr>
        <w:t>破碎后的没磁性原矿分选出来，并制成砂石料外卖，提高资源利用率，减少选矿水的用量，并且减少尾矿的排放量。</w:t>
      </w:r>
    </w:p>
    <w:p>
      <w:pPr>
        <w:pStyle w:val="134"/>
        <w:ind w:firstLine="480"/>
        <w:rPr>
          <w:rFonts w:eastAsiaTheme="minorEastAsia"/>
          <w:color w:val="000000" w:themeColor="text1"/>
        </w:rPr>
      </w:pPr>
      <w:r>
        <w:rPr>
          <w:rFonts w:eastAsiaTheme="minorEastAsia"/>
          <w:color w:val="000000" w:themeColor="text1"/>
        </w:rPr>
        <w:t>2）利用原有项目生产的三级铁精矿、外购三级铁精矿再选，提高成品铁精矿的品位。</w:t>
      </w:r>
    </w:p>
    <w:p>
      <w:pPr>
        <w:pStyle w:val="134"/>
        <w:ind w:firstLine="480"/>
        <w:rPr>
          <w:rFonts w:eastAsiaTheme="minorEastAsia"/>
          <w:color w:val="000000" w:themeColor="text1"/>
        </w:rPr>
      </w:pPr>
      <w:r>
        <w:rPr>
          <w:rFonts w:eastAsiaTheme="minorEastAsia"/>
          <w:color w:val="000000" w:themeColor="text1"/>
        </w:rPr>
        <w:t>3）在现有场地内技改，土建工程量小。</w:t>
      </w:r>
    </w:p>
    <w:p>
      <w:pPr>
        <w:pStyle w:val="134"/>
        <w:ind w:firstLine="480"/>
        <w:rPr>
          <w:rFonts w:eastAsiaTheme="minorEastAsia"/>
          <w:color w:val="000000" w:themeColor="text1"/>
        </w:rPr>
      </w:pPr>
      <w:r>
        <w:rPr>
          <w:rFonts w:eastAsiaTheme="minorEastAsia"/>
          <w:color w:val="000000" w:themeColor="text1"/>
        </w:rPr>
        <w:t>4）评价范围内，项目选厂周边距离最近的村庄为四坡斗村，距离本项目1098m，</w:t>
      </w:r>
      <w:r>
        <w:rPr>
          <w:rFonts w:hint="eastAsia" w:eastAsiaTheme="minorEastAsia"/>
          <w:color w:val="000000" w:themeColor="text1"/>
        </w:rPr>
        <w:t>其余关心点与项目距离较远</w:t>
      </w:r>
      <w:r>
        <w:rPr>
          <w:rFonts w:eastAsiaTheme="minorEastAsia"/>
          <w:color w:val="000000" w:themeColor="text1"/>
        </w:rPr>
        <w:t>。</w:t>
      </w:r>
    </w:p>
    <w:p>
      <w:pPr>
        <w:pStyle w:val="134"/>
        <w:ind w:firstLine="480"/>
        <w:rPr>
          <w:rFonts w:eastAsiaTheme="minorEastAsia"/>
          <w:color w:val="000000" w:themeColor="text1"/>
        </w:rPr>
      </w:pPr>
      <w:r>
        <w:rPr>
          <w:rFonts w:eastAsiaTheme="minorEastAsia"/>
          <w:color w:val="000000" w:themeColor="text1"/>
        </w:rPr>
        <w:t>5）</w:t>
      </w:r>
      <w:r>
        <w:rPr>
          <w:rFonts w:hint="eastAsia" w:eastAsiaTheme="minorEastAsia"/>
          <w:color w:val="000000" w:themeColor="text1"/>
        </w:rPr>
        <w:t xml:space="preserve"> 在技改再选工段末端</w:t>
      </w:r>
      <w:r>
        <w:rPr>
          <w:rFonts w:eastAsiaTheme="minorEastAsia"/>
          <w:color w:val="000000" w:themeColor="text1"/>
        </w:rPr>
        <w:t>新建脱水设备，对精矿进行脱水。</w:t>
      </w:r>
    </w:p>
    <w:p>
      <w:pPr>
        <w:pStyle w:val="134"/>
        <w:ind w:firstLine="480"/>
        <w:rPr>
          <w:rFonts w:eastAsiaTheme="minorEastAsia"/>
          <w:color w:val="000000" w:themeColor="text1"/>
        </w:rPr>
      </w:pPr>
      <w:r>
        <w:rPr>
          <w:rFonts w:eastAsiaTheme="minorEastAsia"/>
          <w:color w:val="000000" w:themeColor="text1"/>
        </w:rPr>
        <w:t>6）新增部分尾矿输送管道，依托平安矿业尾矿输送系统，技改再选工段尾矿进入大红山龙都尾矿库。</w:t>
      </w:r>
    </w:p>
    <w:p>
      <w:pPr>
        <w:pStyle w:val="134"/>
        <w:ind w:firstLine="480"/>
        <w:rPr>
          <w:rFonts w:eastAsiaTheme="minorEastAsia"/>
          <w:color w:val="000000" w:themeColor="text1"/>
        </w:rPr>
      </w:pPr>
      <w:r>
        <w:rPr>
          <w:rFonts w:eastAsiaTheme="minorEastAsia"/>
          <w:color w:val="000000" w:themeColor="text1"/>
        </w:rPr>
        <w:t>7）技改工程不涉及浮选，主要为磁选工艺，产生的尾矿理化性质变化不大，原料含水率高，湿磨磨矿，生产物料为矿浆，选矿工段基本没有粉尘产生。</w:t>
      </w:r>
    </w:p>
    <w:p>
      <w:pPr>
        <w:pStyle w:val="134"/>
        <w:ind w:firstLine="480"/>
        <w:rPr>
          <w:rFonts w:eastAsiaTheme="minorEastAsia"/>
          <w:color w:val="000000" w:themeColor="text1"/>
        </w:rPr>
      </w:pPr>
      <w:r>
        <w:rPr>
          <w:rFonts w:eastAsiaTheme="minorEastAsia"/>
          <w:color w:val="000000" w:themeColor="text1"/>
        </w:rPr>
        <w:t>8）对技改原料加工处理站产生的粉尘，提出了污染防治措施。</w:t>
      </w:r>
    </w:p>
    <w:p>
      <w:pPr>
        <w:tabs>
          <w:tab w:val="left" w:pos="312"/>
        </w:tabs>
        <w:ind w:firstLine="482"/>
        <w:jc w:val="both"/>
        <w:rPr>
          <w:rFonts w:eastAsiaTheme="minorEastAsia"/>
          <w:b/>
          <w:bCs/>
          <w:color w:val="000000" w:themeColor="text1"/>
        </w:rPr>
      </w:pPr>
      <w:r>
        <w:rPr>
          <w:rFonts w:eastAsiaTheme="minorEastAsia"/>
          <w:b/>
          <w:bCs/>
          <w:color w:val="000000" w:themeColor="text1"/>
        </w:rPr>
        <w:t>3、环评工作过程</w:t>
      </w:r>
    </w:p>
    <w:p>
      <w:pPr>
        <w:adjustRightInd w:val="0"/>
        <w:snapToGrid w:val="0"/>
        <w:ind w:firstLine="480"/>
        <w:jc w:val="both"/>
        <w:rPr>
          <w:b/>
          <w:bCs/>
          <w:color w:val="000000" w:themeColor="text1"/>
        </w:rPr>
      </w:pPr>
      <w:r>
        <w:rPr>
          <w:color w:val="000000" w:themeColor="text1"/>
        </w:rPr>
        <w:t>根据《中华人民共和国环境保护法》、《中华人民共和国环境影响评价法》、《建设项目环境保护管理条例》、《云南省建设项目环境保护管理规定》，该建设项目应执行环境影响评价制度。项目属于《建设项目环境影响评价分类管理名录》（2021年版）中“六、黑色金属矿采选业”中的“9铁矿采选”，本建设项目应编制环境影响报告书。为此，</w:t>
      </w:r>
      <w:r>
        <w:rPr>
          <w:rFonts w:eastAsiaTheme="minorEastAsia"/>
          <w:color w:val="000000" w:themeColor="text1"/>
        </w:rPr>
        <w:t>新平县平安矿业开发有限公司</w:t>
      </w:r>
      <w:r>
        <w:rPr>
          <w:color w:val="000000" w:themeColor="text1"/>
        </w:rPr>
        <w:t>委托云南绿诚环境科技有限公司承担该项目环境影响报告书的编制工作。我单位接受委托后，成立了项目组，2021年1月9日，组织踏勘了项目场址，对项目周围地区的环境状况进行现场调查，在场址四周以摄像和拍照方式进行调查取证，同时收集了项目相关技术和社会环境资料，于2021年1月11日~1月22日在玉溪市高古楼网站上进行第一次环境信息公示(公示网站链接:https://www.gaogulou.com/thread-1614558-1-1.html）。在建设方提供原有监测数据的基础上，并根据所能收集到的环境质量现状资料和项目的产排污特征制定了现状补充监测方案。在收集和核实有关资料，认真研究项目相关情况的基础上，2021年1月26日编制完成环境影响报告书征求意见稿，环评报告征求意见稿完成后，分别于2021年1月27日~2021年2月9日在玉溪市高古楼网站上进行了网络平台公示（网址链接：https://www.gaogulou.com/thread-1618635-1-1.html）；2021年1月27日~2021年2月9日在项目所在地东磨村进行了现场公示，并在东磨村委会存放报告书供公众查阅，对东磨村附近居民及附近厂区职工进行公众意见调查</w:t>
      </w:r>
      <w:r>
        <w:rPr>
          <w:rStyle w:val="73"/>
          <w:rFonts w:hint="eastAsia"/>
          <w:color w:val="000000" w:themeColor="text1"/>
          <w:kern w:val="0"/>
        </w:rPr>
        <w:t>，</w:t>
      </w:r>
      <w:r>
        <w:rPr>
          <w:rStyle w:val="73"/>
          <w:rFonts w:hint="eastAsia"/>
          <w:color w:val="000000" w:themeColor="text1"/>
          <w:kern w:val="0"/>
          <w:sz w:val="24"/>
          <w:szCs w:val="24"/>
        </w:rPr>
        <w:t>团体意见调查表5份，个人意见调查表48份</w:t>
      </w:r>
      <w:r>
        <w:rPr>
          <w:color w:val="000000" w:themeColor="text1"/>
          <w:szCs w:val="24"/>
        </w:rPr>
        <w:t>；20</w:t>
      </w:r>
      <w:r>
        <w:rPr>
          <w:color w:val="000000" w:themeColor="text1"/>
        </w:rPr>
        <w:t>21年2月1日、2月2日两次在玉溪日报进行了报纸公示；征求意见稿三种方式公示时间均为10个工作日</w:t>
      </w:r>
      <w:r>
        <w:rPr>
          <w:rFonts w:hint="eastAsia"/>
          <w:color w:val="000000" w:themeColor="text1"/>
        </w:rPr>
        <w:t>；2022年5月18日，建设单位在玉溪市高古楼网站上对环境影响报告书及公众参与说明进行了报批前公示（公示网站链接：https://www.gaogulou.com/thread-1723865-1-1.html）。</w:t>
      </w:r>
    </w:p>
    <w:p>
      <w:pPr>
        <w:tabs>
          <w:tab w:val="left" w:pos="312"/>
        </w:tabs>
        <w:ind w:firstLine="482"/>
        <w:jc w:val="both"/>
        <w:rPr>
          <w:rFonts w:eastAsiaTheme="minorEastAsia"/>
          <w:b/>
          <w:bCs/>
          <w:color w:val="000000" w:themeColor="text1"/>
        </w:rPr>
      </w:pPr>
      <w:r>
        <w:rPr>
          <w:rFonts w:eastAsiaTheme="minorEastAsia"/>
          <w:b/>
          <w:bCs/>
          <w:color w:val="000000" w:themeColor="text1"/>
        </w:rPr>
        <w:t>4、分析判定相关情况</w:t>
      </w:r>
    </w:p>
    <w:p>
      <w:pPr>
        <w:pStyle w:val="134"/>
        <w:ind w:firstLine="480"/>
        <w:rPr>
          <w:rFonts w:eastAsiaTheme="minorEastAsia"/>
          <w:color w:val="000000" w:themeColor="text1"/>
        </w:rPr>
      </w:pPr>
      <w:r>
        <w:rPr>
          <w:rFonts w:eastAsiaTheme="minorEastAsia"/>
          <w:color w:val="000000" w:themeColor="text1"/>
        </w:rPr>
        <w:t>（一）产业政策符合性</w:t>
      </w:r>
    </w:p>
    <w:p>
      <w:pPr>
        <w:pStyle w:val="134"/>
        <w:ind w:firstLine="480"/>
        <w:rPr>
          <w:rFonts w:eastAsiaTheme="minorEastAsia"/>
          <w:color w:val="000000" w:themeColor="text1"/>
        </w:rPr>
      </w:pPr>
      <w:r>
        <w:rPr>
          <w:rFonts w:eastAsiaTheme="minorEastAsia"/>
          <w:color w:val="000000" w:themeColor="text1"/>
        </w:rPr>
        <w:t>根据《产业结构调整指导目录（2019年本）》</w:t>
      </w:r>
      <w:r>
        <w:rPr>
          <w:rFonts w:hint="eastAsia" w:eastAsiaTheme="minorEastAsia"/>
          <w:color w:val="000000" w:themeColor="text1"/>
        </w:rPr>
        <w:t>（2021年12月27日修订）</w:t>
      </w:r>
      <w:r>
        <w:rPr>
          <w:rFonts w:eastAsiaTheme="minorEastAsia"/>
          <w:color w:val="000000" w:themeColor="text1"/>
        </w:rPr>
        <w:t>，该项目属于“四十三、环境保护与资源节约综合利用中23、高效、节能、环保采矿、选矿技术（药剂）；低品位、复杂、难处理矿开发及综合利用技术与设备”中的“低品位矿开发及综合利用技术与设备”类别，属于鼓励类建设项目，符合国家产业政策。项目已于2021年1月6日取得新平彝族傣族自治县发展和改革局核发的投资项目备案证，项目代码：2021-530427-04-02-3380736。</w:t>
      </w:r>
    </w:p>
    <w:p>
      <w:pPr>
        <w:pStyle w:val="134"/>
        <w:ind w:firstLine="480"/>
        <w:rPr>
          <w:rFonts w:eastAsiaTheme="minorEastAsia"/>
          <w:color w:val="000000" w:themeColor="text1"/>
        </w:rPr>
      </w:pPr>
      <w:r>
        <w:rPr>
          <w:rFonts w:eastAsiaTheme="minorEastAsia"/>
          <w:color w:val="000000" w:themeColor="text1"/>
        </w:rPr>
        <w:t>（二）环境功能区符合性</w:t>
      </w:r>
    </w:p>
    <w:p>
      <w:pPr>
        <w:pStyle w:val="134"/>
        <w:ind w:firstLine="480"/>
        <w:rPr>
          <w:color w:val="000000" w:themeColor="text1"/>
        </w:rPr>
      </w:pPr>
      <w:r>
        <w:rPr>
          <w:rFonts w:hint="eastAsia"/>
          <w:color w:val="000000" w:themeColor="text1"/>
        </w:rPr>
        <w:t>（1）</w:t>
      </w:r>
      <w:r>
        <w:rPr>
          <w:color w:val="000000" w:themeColor="text1"/>
        </w:rPr>
        <w:t>与《全国主体功能区规划》相符性分析</w:t>
      </w:r>
    </w:p>
    <w:p>
      <w:pPr>
        <w:ind w:firstLine="480"/>
        <w:rPr>
          <w:color w:val="000000" w:themeColor="text1"/>
        </w:rPr>
      </w:pPr>
      <w:r>
        <w:rPr>
          <w:color w:val="000000" w:themeColor="text1"/>
        </w:rPr>
        <w:t>根据《全国主体功能区划》，本</w:t>
      </w:r>
      <w:r>
        <w:rPr>
          <w:rFonts w:hint="eastAsia"/>
          <w:color w:val="000000" w:themeColor="text1"/>
        </w:rPr>
        <w:t>项目所在区域</w:t>
      </w:r>
      <w:r>
        <w:rPr>
          <w:color w:val="000000" w:themeColor="text1"/>
        </w:rPr>
        <w:t>属于限制开发区域—农产品主产区。国家层面限制开发的农产品主产区是</w:t>
      </w:r>
      <w:r>
        <w:rPr>
          <w:bCs/>
          <w:color w:val="000000" w:themeColor="text1"/>
        </w:rPr>
        <w:t>指具备较好的农业生产条件，以提供农产品为主体功能，以提供生态产品、服务产品和工业品为其他功能，需要在国土空间开发中限</w:t>
      </w:r>
      <w:r>
        <w:rPr>
          <w:color w:val="000000" w:themeColor="text1"/>
        </w:rPr>
        <w:t>制进行大规模高强度工业化城镇化开发，以保持并提高农产品生产能力的区域。</w:t>
      </w:r>
    </w:p>
    <w:p>
      <w:pPr>
        <w:pStyle w:val="134"/>
        <w:ind w:firstLine="480"/>
        <w:rPr>
          <w:color w:val="000000" w:themeColor="text1"/>
        </w:rPr>
      </w:pPr>
      <w:r>
        <w:rPr>
          <w:rFonts w:hint="eastAsia"/>
          <w:color w:val="000000" w:themeColor="text1"/>
        </w:rPr>
        <w:t>（2）</w:t>
      </w:r>
      <w:r>
        <w:rPr>
          <w:color w:val="000000" w:themeColor="text1"/>
        </w:rPr>
        <w:t>与《云南省主体功能区划》相符性分析</w:t>
      </w:r>
    </w:p>
    <w:p>
      <w:pPr>
        <w:pStyle w:val="27"/>
        <w:spacing w:after="0"/>
        <w:ind w:left="0" w:leftChars="0" w:firstLine="480"/>
        <w:rPr>
          <w:color w:val="000000" w:themeColor="text1"/>
          <w:lang w:eastAsia="zh-CN"/>
        </w:rPr>
      </w:pPr>
      <w:r>
        <w:rPr>
          <w:color w:val="000000" w:themeColor="text1"/>
          <w:lang w:eastAsia="zh-CN"/>
        </w:rPr>
        <w:t>2014年1月6日，云南省人民政府以“云政发[2014]1号”发布了《云南省主体功能区划》，该规划将全省国土空间按照开发方式分为重点开发区域、限制开发区域和禁止开发区域3类主体功能区。其中禁止开发区包括了国家级、省级、州市级和县级的自然保护区、世界自然和文化遗产地，国家级、省级风景名胜区，国家级、省级森林公园，国家级地质公园，城市集中饮用水源保护区，国家湿地公园，国家级水产种质资源保护区，以及牛栏江流域上游保护区水源保护核心区等。重点开发区包括国家层面如昆明市、玉溪市、曲靖市和楚雄州的27个县市区和12个乡镇，以及省级层面集中连片重点开发区域的16个县市区。限制开发区域包括农产品主产区和重点生态功能区。</w:t>
      </w:r>
    </w:p>
    <w:p>
      <w:pPr>
        <w:pStyle w:val="27"/>
        <w:adjustRightInd w:val="0"/>
        <w:snapToGrid w:val="0"/>
        <w:spacing w:after="0"/>
        <w:ind w:left="0" w:leftChars="0" w:firstLine="480"/>
        <w:rPr>
          <w:color w:val="000000" w:themeColor="text1"/>
          <w:lang w:eastAsia="zh-CN"/>
        </w:rPr>
      </w:pPr>
      <w:r>
        <w:rPr>
          <w:color w:val="000000" w:themeColor="text1"/>
          <w:lang w:eastAsia="zh-CN"/>
        </w:rPr>
        <w:t>《云南省主体功能区划》指出，能源开发与布局的开发原则：应继续实施西电东送战略，建成西电东送清洁能源基地、国家四大能源战略通道之一，在保障云南省需求的基础上，外送富余部分清洁能源。围绕优化产业结构、促进低碳转型目标，大力发展清洁可再生能源，着力构筑稳定、经济、清洁、安全的能源体系。通过将流域生态保护作为能源开发的重要目标，加强生态恢复，环境治理。</w:t>
      </w:r>
    </w:p>
    <w:p>
      <w:pPr>
        <w:pStyle w:val="27"/>
        <w:adjustRightInd w:val="0"/>
        <w:snapToGrid w:val="0"/>
        <w:spacing w:after="0"/>
        <w:ind w:left="0" w:leftChars="0" w:firstLine="480"/>
        <w:rPr>
          <w:b/>
          <w:color w:val="000000" w:themeColor="text1"/>
          <w:lang w:eastAsia="zh-CN"/>
        </w:rPr>
      </w:pPr>
      <w:r>
        <w:rPr>
          <w:color w:val="000000" w:themeColor="text1"/>
          <w:lang w:eastAsia="zh-CN"/>
        </w:rPr>
        <w:t>新平县属于限制开发区域。该选厂不涉及自然保护区、世界文化自然遗产、风景名胜区、森林公园、地质公园、城市饮用水水源保护区、国家湿地公园、水产种质资源保护区等敏感区域，不属于禁止开发区</w:t>
      </w:r>
      <w:r>
        <w:rPr>
          <w:rFonts w:hint="eastAsia"/>
          <w:color w:val="000000" w:themeColor="text1"/>
          <w:lang w:eastAsia="zh-CN"/>
        </w:rPr>
        <w:t>，而且项目在现有场地内技改，不涉及新增土地，项目在新平矿业循环经济特色工业园区戛洒片区大红山配套服务组团内</w:t>
      </w:r>
      <w:r>
        <w:rPr>
          <w:color w:val="000000" w:themeColor="text1"/>
          <w:lang w:eastAsia="zh-CN"/>
        </w:rPr>
        <w:t>。因此，本项目符合云南省主体功能区划。</w:t>
      </w:r>
    </w:p>
    <w:p>
      <w:pPr>
        <w:pStyle w:val="134"/>
        <w:ind w:firstLine="480"/>
        <w:rPr>
          <w:rFonts w:eastAsiaTheme="minorEastAsia"/>
          <w:color w:val="000000" w:themeColor="text1"/>
        </w:rPr>
      </w:pPr>
      <w:r>
        <w:rPr>
          <w:rFonts w:hint="eastAsia" w:eastAsiaTheme="minorEastAsia"/>
          <w:color w:val="000000" w:themeColor="text1"/>
        </w:rPr>
        <w:t>（3）</w:t>
      </w:r>
      <w:r>
        <w:rPr>
          <w:rFonts w:eastAsiaTheme="minorEastAsia"/>
          <w:color w:val="000000" w:themeColor="text1"/>
        </w:rPr>
        <w:t>与《云南省生态功能区划》的相符性分析</w:t>
      </w:r>
    </w:p>
    <w:p>
      <w:pPr>
        <w:pStyle w:val="134"/>
        <w:ind w:firstLine="480"/>
        <w:rPr>
          <w:color w:val="000000" w:themeColor="text1"/>
        </w:rPr>
      </w:pPr>
      <w:r>
        <w:rPr>
          <w:color w:val="000000" w:themeColor="text1"/>
          <w:kern w:val="2"/>
        </w:rPr>
        <w:t>根据《云南省生态功能区划》，项目所在地的新平县属于Ⅱ</w:t>
      </w:r>
      <w:r>
        <w:rPr>
          <w:color w:val="000000" w:themeColor="text1"/>
        </w:rPr>
        <w:t>高原亚热南部常绿阔叶林生态区，</w:t>
      </w:r>
      <w:r>
        <w:rPr>
          <w:rFonts w:eastAsiaTheme="minorEastAsia"/>
          <w:color w:val="000000" w:themeColor="text1"/>
        </w:rPr>
        <w:fldChar w:fldCharType="begin"/>
      </w:r>
      <w:r>
        <w:rPr>
          <w:rFonts w:eastAsiaTheme="minorEastAsia"/>
          <w:color w:val="000000" w:themeColor="text1"/>
        </w:rPr>
        <w:instrText xml:space="preserve"> = 2 \* ROMAN </w:instrText>
      </w:r>
      <w:r>
        <w:rPr>
          <w:rFonts w:eastAsiaTheme="minorEastAsia"/>
          <w:color w:val="000000" w:themeColor="text1"/>
        </w:rPr>
        <w:fldChar w:fldCharType="separate"/>
      </w:r>
      <w:r>
        <w:rPr>
          <w:rFonts w:eastAsiaTheme="minorEastAsia"/>
          <w:color w:val="000000" w:themeColor="text1"/>
        </w:rPr>
        <w:t>II</w:t>
      </w:r>
      <w:r>
        <w:rPr>
          <w:rFonts w:eastAsiaTheme="minorEastAsia"/>
          <w:color w:val="000000" w:themeColor="text1"/>
        </w:rPr>
        <w:fldChar w:fldCharType="end"/>
      </w:r>
      <w:r>
        <w:rPr>
          <w:rFonts w:eastAsiaTheme="minorEastAsia"/>
          <w:color w:val="000000" w:themeColor="text1"/>
        </w:rPr>
        <w:t>4蒙自、元江岩溶山原暖性针叶林生态亚区”，“</w:t>
      </w:r>
      <w:r>
        <w:rPr>
          <w:rFonts w:eastAsiaTheme="minorEastAsia"/>
          <w:color w:val="000000" w:themeColor="text1"/>
        </w:rPr>
        <w:fldChar w:fldCharType="begin"/>
      </w:r>
      <w:r>
        <w:rPr>
          <w:rFonts w:eastAsiaTheme="minorEastAsia"/>
          <w:color w:val="000000" w:themeColor="text1"/>
        </w:rPr>
        <w:instrText xml:space="preserve"> = 2 \* ROMAN </w:instrText>
      </w:r>
      <w:r>
        <w:rPr>
          <w:rFonts w:eastAsiaTheme="minorEastAsia"/>
          <w:color w:val="000000" w:themeColor="text1"/>
        </w:rPr>
        <w:fldChar w:fldCharType="separate"/>
      </w:r>
      <w:r>
        <w:rPr>
          <w:rFonts w:eastAsiaTheme="minorEastAsia"/>
          <w:color w:val="000000" w:themeColor="text1"/>
        </w:rPr>
        <w:t>II</w:t>
      </w:r>
      <w:r>
        <w:rPr>
          <w:rFonts w:eastAsiaTheme="minorEastAsia"/>
          <w:color w:val="000000" w:themeColor="text1"/>
        </w:rPr>
        <w:fldChar w:fldCharType="end"/>
      </w:r>
      <w:r>
        <w:rPr>
          <w:rFonts w:eastAsiaTheme="minorEastAsia"/>
          <w:color w:val="000000" w:themeColor="text1"/>
        </w:rPr>
        <w:t>4-3新平撮科河中山山原林业与水源涵养生态功能区”</w:t>
      </w:r>
      <w:r>
        <w:rPr>
          <w:color w:val="000000" w:themeColor="text1"/>
        </w:rPr>
        <w:t>。主要生态系统服务功能：维护生态脆弱区和生态交错地带的生态安全。环境保护措施与发展方向：哀牢山西坡封山育林，河谷地带调整产业结构，发展热带经济林木，减少土地的过度利用带来的土地退化。本选厂距离哀牢山自然保护区较远，且已经运行多年，技改项目不涉及新增占地，符合《云南省生态功能区划》的相关要求。</w:t>
      </w:r>
    </w:p>
    <w:p>
      <w:pPr>
        <w:pStyle w:val="134"/>
        <w:snapToGrid w:val="0"/>
        <w:ind w:firstLine="480"/>
        <w:rPr>
          <w:rFonts w:eastAsiaTheme="minorEastAsia"/>
          <w:color w:val="000000" w:themeColor="text1"/>
        </w:rPr>
      </w:pPr>
      <w:r>
        <w:rPr>
          <w:rFonts w:hint="eastAsia"/>
          <w:color w:val="000000" w:themeColor="text1"/>
        </w:rPr>
        <w:t>（4）</w:t>
      </w:r>
      <w:r>
        <w:rPr>
          <w:color w:val="000000" w:themeColor="text1"/>
        </w:rPr>
        <w:t>与</w:t>
      </w:r>
      <w:r>
        <w:rPr>
          <w:rFonts w:eastAsiaTheme="minorEastAsia"/>
          <w:color w:val="000000" w:themeColor="text1"/>
        </w:rPr>
        <w:t>《新平工业园区总体规划修编（2018-2035）》符合性分析</w:t>
      </w:r>
    </w:p>
    <w:p>
      <w:pPr>
        <w:widowControl/>
        <w:adjustRightInd w:val="0"/>
        <w:snapToGrid w:val="0"/>
        <w:ind w:firstLine="480"/>
        <w:rPr>
          <w:color w:val="000000" w:themeColor="text1"/>
        </w:rPr>
      </w:pPr>
      <w:r>
        <w:rPr>
          <w:rFonts w:hint="eastAsia"/>
          <w:color w:val="000000" w:themeColor="text1"/>
        </w:rPr>
        <w:t>根据2020年4月20日中共云南省委云南省人民政府印发的《关于印发&lt;云南省各类开发区优化提升总体方案&gt;的通知》，对云南省各级工业园区进行优化和调整，撤销部分工业园区，本项目所在地新平矿业循环经济特色工业园区属于保留的省级开发区。</w:t>
      </w:r>
    </w:p>
    <w:p>
      <w:pPr>
        <w:widowControl/>
        <w:adjustRightInd w:val="0"/>
        <w:snapToGrid w:val="0"/>
        <w:ind w:firstLine="480"/>
        <w:rPr>
          <w:color w:val="000000" w:themeColor="text1"/>
        </w:rPr>
      </w:pPr>
      <w:r>
        <w:rPr>
          <w:color w:val="000000" w:themeColor="text1"/>
          <w:kern w:val="0"/>
          <w:szCs w:val="24"/>
        </w:rPr>
        <w:t>根据《新平工业园区总体规划修编（2018~2035）》园区规划为“一园三片区五地块”的空间结构，分为戛洒片区、桂山片区和扬武片区，包括大红山地块、白糯格地块、桂山地块、大开门地块及赵米克地块。园区以矿冶（矿产资源采选、冶、精深加工及配套产业）为主导产业，以生物资源加工、制糖及造纸、装备制造为辅助产业，以生产性服务业为配套产业。园区规划用地面积35.4544平方公里，其中，戛洒片区规划面积6.82平方公里，包含大红山地块（4.863平方公里，主要布局铜铁矿采选业，并配套物流仓储、商业办公、管理服务等）和白糯格地块（2.137平方公里，主要布局制糖业、造纸业）；桂山片区规划面积4.756平方公里，分为生物资源加工组团和资源综合利用组团，主要布局农特绿色食品加工业、生物资源综合利用产业和特色旅游产品加工等产业；扬武片区规划面积21.8784平方公里，包含大开门地块（16.3069平方公里，分为矿冶组团和配套服务组团，主要布局金属冶炼及其合金制造、压延加工、焦化等冶炼企业配套产业、建材制造、废弃资源综合利用等产业，并配套物流仓储、金融、商务办公、管理服务等）和赵米克地块（5.5715平方公里，主要布局农机农具制造和新型装备制业、装配业）。</w:t>
      </w:r>
    </w:p>
    <w:p>
      <w:pPr>
        <w:widowControl/>
        <w:adjustRightInd w:val="0"/>
        <w:snapToGrid w:val="0"/>
        <w:ind w:firstLine="480"/>
        <w:rPr>
          <w:color w:val="000000" w:themeColor="text1"/>
        </w:rPr>
      </w:pPr>
      <w:r>
        <w:rPr>
          <w:color w:val="000000" w:themeColor="text1"/>
          <w:kern w:val="0"/>
          <w:szCs w:val="24"/>
        </w:rPr>
        <w:t>本项目所在区域属于新平工业园区戛洒片区大红山地块，位于东磨小组，按照总体规划布局，主要布局铜铁矿采选业，并配套物流仓储、商业办公、管理服务等。新平工业园区总体规划修编（2018~2035）环境影响报告书》已2020年1月14日通过云南省生态环境厅审查（云环函〔2020〕31号）。</w:t>
      </w:r>
    </w:p>
    <w:p>
      <w:pPr>
        <w:ind w:firstLine="480"/>
        <w:rPr>
          <w:color w:val="000000" w:themeColor="text1"/>
          <w:kern w:val="0"/>
          <w:szCs w:val="24"/>
        </w:rPr>
        <w:sectPr>
          <w:pgSz w:w="11906" w:h="16838"/>
          <w:pgMar w:top="1440" w:right="1797" w:bottom="1440" w:left="1797" w:header="850" w:footer="992" w:gutter="0"/>
          <w:pgNumType w:fmt="numberInDash" w:start="1"/>
          <w:cols w:space="425" w:num="1"/>
          <w:docGrid w:type="lines" w:linePitch="326" w:charSpace="0"/>
        </w:sectPr>
      </w:pPr>
      <w:r>
        <w:rPr>
          <w:color w:val="000000" w:themeColor="text1"/>
          <w:kern w:val="0"/>
          <w:szCs w:val="24"/>
        </w:rPr>
        <w:t>本项目位于《新平工业园区总体规划修编（2018~2035）》中的戛洒片区铜铁采选组团，</w:t>
      </w:r>
      <w:r>
        <w:rPr>
          <w:rFonts w:hint="eastAsia"/>
          <w:color w:val="000000" w:themeColor="text1"/>
          <w:kern w:val="0"/>
          <w:szCs w:val="24"/>
        </w:rPr>
        <w:t>与园区总体规划见下表所示</w:t>
      </w:r>
    </w:p>
    <w:p>
      <w:pPr>
        <w:pStyle w:val="637"/>
        <w:rPr>
          <w:rFonts w:ascii="Times New Roman" w:hAnsi="Times New Roman" w:eastAsia="宋体" w:cs="Times New Roman"/>
          <w:color w:val="000000" w:themeColor="text1"/>
          <w:sz w:val="21"/>
          <w:szCs w:val="21"/>
        </w:rPr>
      </w:pPr>
      <w:r>
        <w:rPr>
          <w:rFonts w:ascii="Times New Roman" w:hAnsi="Times New Roman" w:eastAsia="宋体" w:cs="Times New Roman"/>
          <w:color w:val="000000" w:themeColor="text1"/>
          <w:sz w:val="21"/>
          <w:szCs w:val="21"/>
        </w:rPr>
        <w:t>表1</w:t>
      </w:r>
      <w:r>
        <w:rPr>
          <w:rFonts w:hint="eastAsia" w:ascii="Times New Roman" w:hAnsi="Times New Roman" w:eastAsia="宋体" w:cs="Times New Roman"/>
          <w:color w:val="000000" w:themeColor="text1"/>
          <w:sz w:val="21"/>
          <w:szCs w:val="21"/>
        </w:rPr>
        <w:t>-1</w:t>
      </w:r>
      <w:r>
        <w:rPr>
          <w:rFonts w:ascii="Times New Roman" w:hAnsi="Times New Roman" w:eastAsia="宋体" w:cs="Times New Roman"/>
          <w:color w:val="000000" w:themeColor="text1"/>
          <w:sz w:val="21"/>
          <w:szCs w:val="21"/>
        </w:rPr>
        <w:t>项目与园区规划符合性分析对照表</w:t>
      </w:r>
    </w:p>
    <w:tbl>
      <w:tblPr>
        <w:tblStyle w:val="62"/>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8623"/>
        <w:gridCol w:w="3709"/>
        <w:gridCol w:w="10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b/>
                <w:color w:val="000000" w:themeColor="text1"/>
              </w:rPr>
            </w:pPr>
            <w:r>
              <w:rPr>
                <w:rFonts w:eastAsia="宋体"/>
                <w:b/>
                <w:color w:val="000000" w:themeColor="text1"/>
              </w:rPr>
              <w:t>序号</w:t>
            </w:r>
          </w:p>
        </w:tc>
        <w:tc>
          <w:tcPr>
            <w:tcW w:w="8623" w:type="dxa"/>
            <w:tcBorders>
              <w:tl2br w:val="nil"/>
              <w:tr2bl w:val="nil"/>
            </w:tcBorders>
            <w:vAlign w:val="center"/>
          </w:tcPr>
          <w:p>
            <w:pPr>
              <w:pStyle w:val="126"/>
              <w:rPr>
                <w:rFonts w:eastAsia="宋体"/>
                <w:b/>
                <w:color w:val="000000" w:themeColor="text1"/>
              </w:rPr>
            </w:pPr>
            <w:r>
              <w:rPr>
                <w:rFonts w:eastAsia="宋体"/>
                <w:b/>
                <w:color w:val="000000" w:themeColor="text1"/>
              </w:rPr>
              <w:t>园区规划内容</w:t>
            </w:r>
          </w:p>
        </w:tc>
        <w:tc>
          <w:tcPr>
            <w:tcW w:w="3709" w:type="dxa"/>
            <w:tcBorders>
              <w:tl2br w:val="nil"/>
              <w:tr2bl w:val="nil"/>
            </w:tcBorders>
            <w:vAlign w:val="center"/>
          </w:tcPr>
          <w:p>
            <w:pPr>
              <w:pStyle w:val="126"/>
              <w:rPr>
                <w:rFonts w:eastAsia="宋体"/>
                <w:b/>
                <w:color w:val="000000" w:themeColor="text1"/>
              </w:rPr>
            </w:pPr>
            <w:r>
              <w:rPr>
                <w:rFonts w:eastAsia="宋体"/>
                <w:b/>
                <w:color w:val="000000" w:themeColor="text1"/>
              </w:rPr>
              <w:t>本项目</w:t>
            </w:r>
          </w:p>
        </w:tc>
        <w:tc>
          <w:tcPr>
            <w:tcW w:w="1025" w:type="dxa"/>
            <w:tcBorders>
              <w:tl2br w:val="nil"/>
              <w:tr2bl w:val="nil"/>
            </w:tcBorders>
            <w:vAlign w:val="center"/>
          </w:tcPr>
          <w:p>
            <w:pPr>
              <w:pStyle w:val="126"/>
              <w:rPr>
                <w:rFonts w:eastAsia="宋体"/>
                <w:b/>
                <w:color w:val="000000" w:themeColor="text1"/>
              </w:rPr>
            </w:pPr>
            <w:r>
              <w:rPr>
                <w:rFonts w:eastAsia="宋体"/>
                <w:b/>
                <w:color w:val="000000" w:themeColor="text1"/>
              </w:rPr>
              <w:t>对比分析结果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b/>
                <w:color w:val="000000" w:themeColor="text1"/>
              </w:rPr>
            </w:pPr>
            <w:r>
              <w:rPr>
                <w:rFonts w:eastAsia="宋体"/>
                <w:b/>
                <w:color w:val="000000" w:themeColor="text1"/>
              </w:rPr>
              <w:t>一</w:t>
            </w:r>
          </w:p>
        </w:tc>
        <w:tc>
          <w:tcPr>
            <w:tcW w:w="8623" w:type="dxa"/>
            <w:tcBorders>
              <w:tl2br w:val="nil"/>
              <w:tr2bl w:val="nil"/>
            </w:tcBorders>
            <w:vAlign w:val="center"/>
          </w:tcPr>
          <w:p>
            <w:pPr>
              <w:pStyle w:val="126"/>
              <w:rPr>
                <w:rFonts w:eastAsia="宋体"/>
                <w:b/>
                <w:color w:val="000000" w:themeColor="text1"/>
                <w:lang w:eastAsia="zh-CN"/>
              </w:rPr>
            </w:pPr>
            <w:r>
              <w:rPr>
                <w:rFonts w:eastAsia="宋体"/>
                <w:b/>
                <w:color w:val="000000" w:themeColor="text1"/>
                <w:lang w:eastAsia="zh-CN"/>
              </w:rPr>
              <w:t>戛洒工业片区产业布局</w:t>
            </w:r>
          </w:p>
        </w:tc>
        <w:tc>
          <w:tcPr>
            <w:tcW w:w="3709" w:type="dxa"/>
            <w:tcBorders>
              <w:tl2br w:val="nil"/>
              <w:tr2bl w:val="nil"/>
            </w:tcBorders>
            <w:vAlign w:val="center"/>
          </w:tcPr>
          <w:p>
            <w:pPr>
              <w:pStyle w:val="126"/>
              <w:rPr>
                <w:rFonts w:eastAsia="宋体"/>
                <w:color w:val="000000" w:themeColor="text1"/>
                <w:lang w:eastAsia="zh-CN"/>
              </w:rPr>
            </w:pPr>
          </w:p>
        </w:tc>
        <w:tc>
          <w:tcPr>
            <w:tcW w:w="1025" w:type="dxa"/>
            <w:tcBorders>
              <w:tl2br w:val="nil"/>
              <w:tr2bl w:val="nil"/>
            </w:tcBorders>
            <w:vAlign w:val="center"/>
          </w:tcPr>
          <w:p>
            <w:pPr>
              <w:pStyle w:val="126"/>
              <w:rPr>
                <w:rFonts w:eastAsia="宋体"/>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lang w:eastAsia="zh-CN"/>
              </w:rPr>
            </w:pPr>
          </w:p>
        </w:tc>
        <w:tc>
          <w:tcPr>
            <w:tcW w:w="8623" w:type="dxa"/>
            <w:tcBorders>
              <w:tl2br w:val="nil"/>
              <w:tr2bl w:val="nil"/>
            </w:tcBorders>
            <w:vAlign w:val="center"/>
          </w:tcPr>
          <w:p>
            <w:pPr>
              <w:adjustRightInd w:val="0"/>
              <w:snapToGrid w:val="0"/>
              <w:spacing w:line="240" w:lineRule="auto"/>
              <w:ind w:firstLine="420"/>
              <w:rPr>
                <w:color w:val="000000" w:themeColor="text1"/>
                <w:sz w:val="21"/>
                <w:szCs w:val="21"/>
              </w:rPr>
            </w:pPr>
            <w:r>
              <w:rPr>
                <w:color w:val="000000" w:themeColor="text1"/>
                <w:sz w:val="21"/>
                <w:szCs w:val="21"/>
              </w:rPr>
              <w:t>戛洒片区主要以大红山两矿为为主原料供应区，沿混龙河一白糯格一线，规划建设以矿产资源选矿及粗、深加工和科技服务、金融保险、信息服务等配套服务产业。</w:t>
            </w:r>
          </w:p>
          <w:p>
            <w:pPr>
              <w:pStyle w:val="126"/>
              <w:rPr>
                <w:rFonts w:eastAsia="宋体"/>
                <w:color w:val="000000" w:themeColor="text1"/>
                <w:lang w:eastAsia="zh-CN"/>
              </w:rPr>
            </w:pPr>
          </w:p>
        </w:tc>
        <w:tc>
          <w:tcPr>
            <w:tcW w:w="3709" w:type="dxa"/>
            <w:tcBorders>
              <w:tl2br w:val="nil"/>
              <w:tr2bl w:val="nil"/>
            </w:tcBorders>
            <w:vAlign w:val="center"/>
          </w:tcPr>
          <w:p>
            <w:pPr>
              <w:pStyle w:val="126"/>
              <w:rPr>
                <w:rFonts w:eastAsia="宋体"/>
                <w:color w:val="000000" w:themeColor="text1"/>
                <w:lang w:eastAsia="zh-CN"/>
              </w:rPr>
            </w:pPr>
            <w:r>
              <w:rPr>
                <w:rFonts w:eastAsia="宋体"/>
                <w:color w:val="000000" w:themeColor="text1"/>
                <w:lang w:eastAsia="zh-CN"/>
              </w:rPr>
              <w:t>本项目所在地位戛洒片区铜铁采选组团，与戛洒工业片区功能定位相符。</w:t>
            </w: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b/>
                <w:color w:val="000000" w:themeColor="text1"/>
              </w:rPr>
            </w:pPr>
            <w:r>
              <w:rPr>
                <w:rFonts w:eastAsia="宋体"/>
                <w:b/>
                <w:color w:val="000000" w:themeColor="text1"/>
              </w:rPr>
              <w:t>二</w:t>
            </w:r>
          </w:p>
        </w:tc>
        <w:tc>
          <w:tcPr>
            <w:tcW w:w="8623" w:type="dxa"/>
            <w:tcBorders>
              <w:tl2br w:val="nil"/>
              <w:tr2bl w:val="nil"/>
            </w:tcBorders>
            <w:vAlign w:val="center"/>
          </w:tcPr>
          <w:p>
            <w:pPr>
              <w:pStyle w:val="126"/>
              <w:rPr>
                <w:rFonts w:eastAsia="宋体"/>
                <w:b/>
                <w:color w:val="000000" w:themeColor="text1"/>
              </w:rPr>
            </w:pPr>
            <w:r>
              <w:rPr>
                <w:rFonts w:eastAsia="宋体"/>
                <w:b/>
                <w:color w:val="000000" w:themeColor="text1"/>
              </w:rPr>
              <w:t>土地利用与控制规划</w:t>
            </w:r>
          </w:p>
        </w:tc>
        <w:tc>
          <w:tcPr>
            <w:tcW w:w="3709" w:type="dxa"/>
            <w:tcBorders>
              <w:tl2br w:val="nil"/>
              <w:tr2bl w:val="nil"/>
            </w:tcBorders>
            <w:vAlign w:val="center"/>
          </w:tcPr>
          <w:p>
            <w:pPr>
              <w:pStyle w:val="126"/>
              <w:rPr>
                <w:rFonts w:eastAsia="宋体"/>
                <w:color w:val="000000" w:themeColor="text1"/>
              </w:rPr>
            </w:pPr>
          </w:p>
        </w:tc>
        <w:tc>
          <w:tcPr>
            <w:tcW w:w="1025" w:type="dxa"/>
            <w:tcBorders>
              <w:tl2br w:val="nil"/>
              <w:tr2bl w:val="nil"/>
            </w:tcBorders>
            <w:vAlign w:val="center"/>
          </w:tcPr>
          <w:p>
            <w:pPr>
              <w:pStyle w:val="126"/>
              <w:rPr>
                <w:rFonts w:eastAsia="宋体"/>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p>
        </w:tc>
        <w:tc>
          <w:tcPr>
            <w:tcW w:w="8623" w:type="dxa"/>
            <w:tcBorders>
              <w:tl2br w:val="nil"/>
              <w:tr2bl w:val="nil"/>
            </w:tcBorders>
            <w:vAlign w:val="center"/>
          </w:tcPr>
          <w:p>
            <w:pPr>
              <w:pStyle w:val="126"/>
              <w:rPr>
                <w:rFonts w:eastAsia="宋体"/>
                <w:bCs/>
                <w:color w:val="000000" w:themeColor="text1"/>
                <w:lang w:eastAsia="zh-CN"/>
              </w:rPr>
            </w:pPr>
            <w:r>
              <w:rPr>
                <w:rFonts w:eastAsia="宋体"/>
                <w:color w:val="000000" w:themeColor="text1"/>
                <w:lang w:eastAsia="zh-CN"/>
              </w:rPr>
              <w:t>戛洒工业片区：</w:t>
            </w:r>
            <w:r>
              <w:rPr>
                <w:rFonts w:eastAsia="宋体"/>
                <w:bCs/>
                <w:color w:val="000000" w:themeColor="text1"/>
                <w:lang w:eastAsia="zh-CN"/>
              </w:rPr>
              <w:t>规划面积为682公顷，在大红山矿区南边的太平掌区、戛洒江往北的白糯格区、比里河区布置工业用地。大红山矿区南边的太平掌区主要布置为矿区服务的配套产业。如尾矿水回用处理，砂厂等。白糯格区位山坡地，地形坡度大，在自然地形上白糯格区被戛洒江分为东西两部分。东边靠近两矿生产区主要布局矿产品粗加工，西边则布局为轻工业加工区。远离戛洒镇的比里河区布局为煤化工加工区。</w:t>
            </w:r>
          </w:p>
          <w:p>
            <w:pPr>
              <w:pStyle w:val="126"/>
              <w:rPr>
                <w:rFonts w:eastAsia="宋体"/>
                <w:color w:val="000000" w:themeColor="text1"/>
                <w:lang w:eastAsia="zh-CN"/>
              </w:rPr>
            </w:pPr>
          </w:p>
        </w:tc>
        <w:tc>
          <w:tcPr>
            <w:tcW w:w="3709" w:type="dxa"/>
            <w:tcBorders>
              <w:tl2br w:val="nil"/>
              <w:tr2bl w:val="nil"/>
            </w:tcBorders>
            <w:vAlign w:val="center"/>
          </w:tcPr>
          <w:p>
            <w:pPr>
              <w:pStyle w:val="126"/>
              <w:rPr>
                <w:rFonts w:eastAsia="宋体"/>
                <w:color w:val="000000" w:themeColor="text1"/>
              </w:rPr>
            </w:pPr>
            <w:r>
              <w:rPr>
                <w:rFonts w:eastAsia="宋体"/>
                <w:color w:val="000000" w:themeColor="text1"/>
              </w:rPr>
              <w:t>项目用地为工业用地</w:t>
            </w: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b/>
                <w:color w:val="000000" w:themeColor="text1"/>
              </w:rPr>
            </w:pPr>
            <w:r>
              <w:rPr>
                <w:rFonts w:eastAsia="宋体"/>
                <w:b/>
                <w:color w:val="000000" w:themeColor="text1"/>
              </w:rPr>
              <w:t>三</w:t>
            </w:r>
          </w:p>
        </w:tc>
        <w:tc>
          <w:tcPr>
            <w:tcW w:w="8623" w:type="dxa"/>
            <w:tcBorders>
              <w:tl2br w:val="nil"/>
              <w:tr2bl w:val="nil"/>
            </w:tcBorders>
            <w:vAlign w:val="center"/>
          </w:tcPr>
          <w:p>
            <w:pPr>
              <w:pStyle w:val="126"/>
              <w:rPr>
                <w:rFonts w:eastAsia="宋体"/>
                <w:b/>
                <w:color w:val="000000" w:themeColor="text1"/>
              </w:rPr>
            </w:pPr>
            <w:r>
              <w:rPr>
                <w:rFonts w:eastAsia="宋体"/>
                <w:b/>
                <w:color w:val="000000" w:themeColor="text1"/>
              </w:rPr>
              <w:t>排水规划</w:t>
            </w:r>
          </w:p>
        </w:tc>
        <w:tc>
          <w:tcPr>
            <w:tcW w:w="3709" w:type="dxa"/>
            <w:tcBorders>
              <w:tl2br w:val="nil"/>
              <w:tr2bl w:val="nil"/>
            </w:tcBorders>
            <w:vAlign w:val="center"/>
          </w:tcPr>
          <w:p>
            <w:pPr>
              <w:pStyle w:val="126"/>
              <w:rPr>
                <w:rFonts w:eastAsia="宋体"/>
                <w:color w:val="000000" w:themeColor="text1"/>
              </w:rPr>
            </w:pPr>
          </w:p>
        </w:tc>
        <w:tc>
          <w:tcPr>
            <w:tcW w:w="1025" w:type="dxa"/>
            <w:tcBorders>
              <w:tl2br w:val="nil"/>
              <w:tr2bl w:val="nil"/>
            </w:tcBorders>
            <w:vAlign w:val="center"/>
          </w:tcPr>
          <w:p>
            <w:pPr>
              <w:pStyle w:val="126"/>
              <w:rPr>
                <w:rFonts w:eastAsia="宋体"/>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p>
        </w:tc>
        <w:tc>
          <w:tcPr>
            <w:tcW w:w="8623" w:type="dxa"/>
            <w:tcBorders>
              <w:tl2br w:val="nil"/>
              <w:tr2bl w:val="nil"/>
            </w:tcBorders>
            <w:vAlign w:val="center"/>
          </w:tcPr>
          <w:p>
            <w:pPr>
              <w:pStyle w:val="126"/>
              <w:rPr>
                <w:rFonts w:eastAsia="宋体"/>
                <w:color w:val="000000" w:themeColor="text1"/>
                <w:lang w:eastAsia="zh-CN"/>
              </w:rPr>
            </w:pPr>
            <w:r>
              <w:rPr>
                <w:rFonts w:eastAsia="宋体"/>
                <w:b/>
                <w:color w:val="000000" w:themeColor="text1"/>
                <w:lang w:eastAsia="zh-CN"/>
              </w:rPr>
              <w:t>雨水系统</w:t>
            </w:r>
            <w:r>
              <w:rPr>
                <w:rFonts w:eastAsia="宋体"/>
                <w:color w:val="000000" w:themeColor="text1"/>
                <w:lang w:eastAsia="zh-CN"/>
              </w:rPr>
              <w:t>—按照不同的地形、地势划分不同的雨水排水分区和汇水区域，经过雨水管道收集，就近排入自然水系。</w:t>
            </w:r>
          </w:p>
          <w:p>
            <w:pPr>
              <w:pStyle w:val="271"/>
              <w:adjustRightInd w:val="0"/>
              <w:snapToGrid w:val="0"/>
              <w:spacing w:before="0" w:line="240" w:lineRule="auto"/>
              <w:ind w:firstLine="422"/>
              <w:rPr>
                <w:color w:val="000000" w:themeColor="text1"/>
                <w:sz w:val="21"/>
                <w:szCs w:val="21"/>
              </w:rPr>
            </w:pPr>
            <w:r>
              <w:rPr>
                <w:b/>
                <w:color w:val="000000" w:themeColor="text1"/>
                <w:sz w:val="21"/>
                <w:szCs w:val="21"/>
              </w:rPr>
              <w:t>废水</w:t>
            </w:r>
            <w:r>
              <w:rPr>
                <w:color w:val="000000" w:themeColor="text1"/>
                <w:sz w:val="21"/>
                <w:szCs w:val="21"/>
              </w:rPr>
              <w:t>—近期，按照总规提出的方案进行建设（</w:t>
            </w:r>
            <w:r>
              <w:rPr>
                <w:color w:val="000000" w:themeColor="text1"/>
                <w:spacing w:val="5"/>
                <w:sz w:val="21"/>
                <w:szCs w:val="21"/>
              </w:rPr>
              <w:t>白糯格地块</w:t>
            </w:r>
            <w:r>
              <w:rPr>
                <w:color w:val="000000" w:themeColor="text1"/>
                <w:sz w:val="21"/>
                <w:szCs w:val="21"/>
              </w:rPr>
              <w:t>依托南恩糖厂自建在运行的污水处理厂，设计处理规模为15000m</w:t>
            </w:r>
            <w:r>
              <w:rPr>
                <w:color w:val="000000" w:themeColor="text1"/>
                <w:sz w:val="21"/>
                <w:szCs w:val="21"/>
                <w:vertAlign w:val="superscript"/>
              </w:rPr>
              <w:t>3</w:t>
            </w:r>
            <w:r>
              <w:rPr>
                <w:color w:val="000000" w:themeColor="text1"/>
                <w:sz w:val="21"/>
                <w:szCs w:val="21"/>
              </w:rPr>
              <w:t>/d；</w:t>
            </w:r>
            <w:r>
              <w:rPr>
                <w:bCs/>
                <w:color w:val="000000" w:themeColor="text1"/>
                <w:sz w:val="21"/>
                <w:szCs w:val="21"/>
              </w:rPr>
              <w:t>大红山地块依托戛洒集镇污水处理厂，设计处理规模为7500m</w:t>
            </w:r>
            <w:r>
              <w:rPr>
                <w:bCs/>
                <w:color w:val="000000" w:themeColor="text1"/>
                <w:sz w:val="21"/>
                <w:szCs w:val="21"/>
                <w:vertAlign w:val="superscript"/>
              </w:rPr>
              <w:t>3</w:t>
            </w:r>
            <w:r>
              <w:rPr>
                <w:bCs/>
                <w:color w:val="000000" w:themeColor="text1"/>
                <w:sz w:val="21"/>
                <w:szCs w:val="21"/>
              </w:rPr>
              <w:t>/d</w:t>
            </w:r>
            <w:r>
              <w:rPr>
                <w:color w:val="000000" w:themeColor="text1"/>
                <w:sz w:val="21"/>
                <w:szCs w:val="21"/>
              </w:rPr>
              <w:t>）。</w:t>
            </w:r>
          </w:p>
          <w:p>
            <w:pPr>
              <w:pStyle w:val="271"/>
              <w:adjustRightInd w:val="0"/>
              <w:snapToGrid w:val="0"/>
              <w:spacing w:before="0" w:line="240" w:lineRule="auto"/>
              <w:ind w:firstLine="420"/>
              <w:rPr>
                <w:color w:val="000000" w:themeColor="text1"/>
                <w:sz w:val="21"/>
                <w:szCs w:val="21"/>
              </w:rPr>
            </w:pPr>
            <w:r>
              <w:rPr>
                <w:color w:val="000000" w:themeColor="text1"/>
                <w:sz w:val="21"/>
                <w:szCs w:val="21"/>
              </w:rPr>
              <w:t>远期，</w:t>
            </w:r>
            <w:r>
              <w:rPr>
                <w:bCs/>
                <w:color w:val="000000" w:themeColor="text1"/>
                <w:sz w:val="21"/>
                <w:szCs w:val="21"/>
              </w:rPr>
              <w:t>白糯格地块</w:t>
            </w:r>
            <w:r>
              <w:rPr>
                <w:color w:val="000000" w:themeColor="text1"/>
                <w:sz w:val="21"/>
                <w:szCs w:val="21"/>
              </w:rPr>
              <w:t>污水处理厂处理规模应扩建为3万t/d；</w:t>
            </w:r>
            <w:r>
              <w:rPr>
                <w:bCs/>
                <w:color w:val="000000" w:themeColor="text1"/>
                <w:sz w:val="21"/>
                <w:szCs w:val="21"/>
              </w:rPr>
              <w:t>大红山地块戛洒镇</w:t>
            </w:r>
            <w:r>
              <w:rPr>
                <w:color w:val="000000" w:themeColor="text1"/>
                <w:sz w:val="21"/>
                <w:szCs w:val="21"/>
              </w:rPr>
              <w:t>污水处理厂处理规模应为1.8万t/d，或者园区自建污水处理厂（规模为1.2万t/d）。</w:t>
            </w:r>
          </w:p>
          <w:p>
            <w:pPr>
              <w:pStyle w:val="126"/>
              <w:rPr>
                <w:rFonts w:eastAsia="宋体"/>
                <w:color w:val="000000" w:themeColor="text1"/>
                <w:lang w:eastAsia="zh-CN"/>
              </w:rPr>
            </w:pPr>
          </w:p>
        </w:tc>
        <w:tc>
          <w:tcPr>
            <w:tcW w:w="3709" w:type="dxa"/>
            <w:tcBorders>
              <w:tl2br w:val="nil"/>
              <w:tr2bl w:val="nil"/>
            </w:tcBorders>
            <w:vAlign w:val="center"/>
          </w:tcPr>
          <w:p>
            <w:pPr>
              <w:pStyle w:val="126"/>
              <w:rPr>
                <w:rFonts w:eastAsia="宋体"/>
                <w:color w:val="000000" w:themeColor="text1"/>
                <w:lang w:eastAsia="zh-CN"/>
              </w:rPr>
            </w:pPr>
            <w:r>
              <w:rPr>
                <w:rFonts w:eastAsia="宋体"/>
                <w:color w:val="000000" w:themeColor="text1"/>
                <w:lang w:eastAsia="zh-CN"/>
              </w:rPr>
              <w:t>雨污分流；雨水全部收集用于洒水降尘；生活污水处理达标后，全部回用；工业废水自建生产废水处理站处理后，全部回用于生产，做到零排放。</w:t>
            </w: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b/>
                <w:color w:val="000000" w:themeColor="text1"/>
              </w:rPr>
            </w:pPr>
            <w:r>
              <w:rPr>
                <w:rFonts w:eastAsia="宋体"/>
                <w:b/>
                <w:color w:val="000000" w:themeColor="text1"/>
              </w:rPr>
              <w:t>四</w:t>
            </w:r>
          </w:p>
        </w:tc>
        <w:tc>
          <w:tcPr>
            <w:tcW w:w="8623" w:type="dxa"/>
            <w:tcBorders>
              <w:tl2br w:val="nil"/>
              <w:tr2bl w:val="nil"/>
            </w:tcBorders>
            <w:vAlign w:val="center"/>
          </w:tcPr>
          <w:p>
            <w:pPr>
              <w:pStyle w:val="126"/>
              <w:rPr>
                <w:rFonts w:eastAsia="宋体"/>
                <w:b/>
                <w:color w:val="000000" w:themeColor="text1"/>
              </w:rPr>
            </w:pPr>
            <w:r>
              <w:rPr>
                <w:rFonts w:eastAsia="宋体"/>
                <w:b/>
                <w:color w:val="000000" w:themeColor="text1"/>
              </w:rPr>
              <w:t>环境保护规划</w:t>
            </w:r>
          </w:p>
        </w:tc>
        <w:tc>
          <w:tcPr>
            <w:tcW w:w="3709" w:type="dxa"/>
            <w:tcBorders>
              <w:tl2br w:val="nil"/>
              <w:tr2bl w:val="nil"/>
            </w:tcBorders>
            <w:vAlign w:val="center"/>
          </w:tcPr>
          <w:p>
            <w:pPr>
              <w:pStyle w:val="126"/>
              <w:rPr>
                <w:rFonts w:eastAsia="宋体"/>
                <w:color w:val="000000" w:themeColor="text1"/>
              </w:rPr>
            </w:pPr>
          </w:p>
        </w:tc>
        <w:tc>
          <w:tcPr>
            <w:tcW w:w="1025" w:type="dxa"/>
            <w:tcBorders>
              <w:tl2br w:val="nil"/>
              <w:tr2bl w:val="nil"/>
            </w:tcBorders>
            <w:vAlign w:val="center"/>
          </w:tcPr>
          <w:p>
            <w:pPr>
              <w:pStyle w:val="126"/>
              <w:rPr>
                <w:rFonts w:eastAsia="宋体"/>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r>
              <w:rPr>
                <w:rFonts w:eastAsia="宋体"/>
                <w:color w:val="000000" w:themeColor="text1"/>
              </w:rPr>
              <w:t>1</w:t>
            </w:r>
          </w:p>
        </w:tc>
        <w:tc>
          <w:tcPr>
            <w:tcW w:w="8623" w:type="dxa"/>
            <w:tcBorders>
              <w:tl2br w:val="nil"/>
              <w:tr2bl w:val="nil"/>
            </w:tcBorders>
            <w:vAlign w:val="center"/>
          </w:tcPr>
          <w:p>
            <w:pPr>
              <w:pStyle w:val="126"/>
              <w:rPr>
                <w:rFonts w:eastAsia="宋体"/>
                <w:color w:val="000000" w:themeColor="text1"/>
              </w:rPr>
            </w:pPr>
            <w:r>
              <w:rPr>
                <w:rFonts w:eastAsia="宋体"/>
                <w:color w:val="000000" w:themeColor="text1"/>
              </w:rPr>
              <w:t>环境保护目标</w:t>
            </w:r>
          </w:p>
        </w:tc>
        <w:tc>
          <w:tcPr>
            <w:tcW w:w="3709" w:type="dxa"/>
            <w:tcBorders>
              <w:tl2br w:val="nil"/>
              <w:tr2bl w:val="nil"/>
            </w:tcBorders>
            <w:vAlign w:val="center"/>
          </w:tcPr>
          <w:p>
            <w:pPr>
              <w:pStyle w:val="126"/>
              <w:rPr>
                <w:rFonts w:eastAsia="宋体"/>
                <w:color w:val="000000" w:themeColor="text1"/>
              </w:rPr>
            </w:pPr>
          </w:p>
        </w:tc>
        <w:tc>
          <w:tcPr>
            <w:tcW w:w="1025" w:type="dxa"/>
            <w:tcBorders>
              <w:tl2br w:val="nil"/>
              <w:tr2bl w:val="nil"/>
            </w:tcBorders>
            <w:vAlign w:val="center"/>
          </w:tcPr>
          <w:p>
            <w:pPr>
              <w:pStyle w:val="126"/>
              <w:rPr>
                <w:rFonts w:eastAsia="宋体"/>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p>
        </w:tc>
        <w:tc>
          <w:tcPr>
            <w:tcW w:w="8623" w:type="dxa"/>
            <w:tcBorders>
              <w:tl2br w:val="nil"/>
              <w:tr2bl w:val="nil"/>
            </w:tcBorders>
            <w:vAlign w:val="center"/>
          </w:tcPr>
          <w:p>
            <w:pPr>
              <w:pStyle w:val="126"/>
              <w:rPr>
                <w:rFonts w:eastAsia="宋体"/>
                <w:color w:val="000000" w:themeColor="text1"/>
                <w:lang w:val="sq-AL" w:eastAsia="zh-CN"/>
              </w:rPr>
            </w:pPr>
            <w:r>
              <w:rPr>
                <w:rFonts w:eastAsia="宋体"/>
                <w:color w:val="000000" w:themeColor="text1"/>
                <w:lang w:val="sq-AL" w:eastAsia="zh-CN"/>
              </w:rPr>
              <w:t>空气环境质量达《环境空气质量标准GB3095－1996》二级标准。</w:t>
            </w:r>
          </w:p>
          <w:p>
            <w:pPr>
              <w:pStyle w:val="126"/>
              <w:rPr>
                <w:rFonts w:eastAsia="宋体"/>
                <w:color w:val="000000" w:themeColor="text1"/>
                <w:lang w:eastAsia="zh-CN"/>
              </w:rPr>
            </w:pPr>
            <w:r>
              <w:rPr>
                <w:rFonts w:eastAsia="宋体"/>
                <w:color w:val="000000" w:themeColor="text1"/>
                <w:lang w:val="sq-AL" w:eastAsia="zh-CN"/>
              </w:rPr>
              <w:t>声环境质量：</w:t>
            </w:r>
            <w:r>
              <w:rPr>
                <w:rFonts w:eastAsia="宋体"/>
                <w:color w:val="000000" w:themeColor="text1"/>
                <w:lang w:eastAsia="zh-CN"/>
              </w:rPr>
              <w:t>工业园区内交通干道两旁25m范围内为《声环境质量标准》（GB3096-2008）4a类；工业用地、仓储物流用地为3类；居住区、公共设施用地和商业服务设施用地等为2类。</w:t>
            </w:r>
          </w:p>
          <w:p>
            <w:pPr>
              <w:spacing w:line="240" w:lineRule="auto"/>
              <w:ind w:firstLine="420"/>
              <w:rPr>
                <w:color w:val="000000" w:themeColor="text1"/>
                <w:sz w:val="21"/>
                <w:szCs w:val="21"/>
                <w:lang w:val="sq-AL"/>
              </w:rPr>
            </w:pPr>
            <w:r>
              <w:rPr>
                <w:color w:val="000000" w:themeColor="text1"/>
                <w:sz w:val="21"/>
                <w:szCs w:val="21"/>
                <w:lang w:val="sq-AL"/>
              </w:rPr>
              <w:t>地表水环境质量：</w:t>
            </w:r>
            <w:r>
              <w:rPr>
                <w:bCs/>
                <w:color w:val="000000" w:themeColor="text1"/>
                <w:sz w:val="21"/>
                <w:szCs w:val="21"/>
              </w:rPr>
              <w:t>涉及主要河流为红河（新平境内，戛洒片区元江段命名为戛洒江）；</w:t>
            </w:r>
            <w:r>
              <w:rPr>
                <w:color w:val="000000" w:themeColor="text1"/>
                <w:sz w:val="21"/>
                <w:szCs w:val="21"/>
              </w:rPr>
              <w:t>平甸河（新平县城—大开门）段水环境功能为工业用水、农业用水、一般鱼类保护，III类水体，执行GB3838-2002《地表水环境质量标准》中的III类水质标准，</w:t>
            </w:r>
            <w:r>
              <w:rPr>
                <w:color w:val="000000" w:themeColor="text1"/>
                <w:kern w:val="0"/>
                <w:sz w:val="21"/>
                <w:szCs w:val="21"/>
              </w:rPr>
              <w:t>十里牌河执行III类</w:t>
            </w:r>
            <w:r>
              <w:rPr>
                <w:color w:val="000000" w:themeColor="text1"/>
                <w:sz w:val="21"/>
                <w:szCs w:val="21"/>
              </w:rPr>
              <w:t>。</w:t>
            </w:r>
            <w:r>
              <w:rPr>
                <w:bCs/>
                <w:color w:val="000000" w:themeColor="text1"/>
                <w:sz w:val="21"/>
                <w:szCs w:val="21"/>
              </w:rPr>
              <w:t>小河底河（源头—入红河口）</w:t>
            </w:r>
            <w:r>
              <w:rPr>
                <w:color w:val="000000" w:themeColor="text1"/>
                <w:sz w:val="21"/>
                <w:szCs w:val="21"/>
              </w:rPr>
              <w:t>段水环境功能为工业用水、农业用水，IV类水体，执行GB3838-2002《地表水环境质量标准》中的Ⅳ类水质标准。红河（三江口—蔓耗桥）段水环境功能为农业用水、工业用水，Ⅳ类水体，应执行GB3838-2002《地表水环境质量标准》中的Ⅳ类水质标准。平甸河水库执行III类，他克冲水库执行II类</w:t>
            </w:r>
          </w:p>
        </w:tc>
        <w:tc>
          <w:tcPr>
            <w:tcW w:w="3709" w:type="dxa"/>
            <w:tcBorders>
              <w:tl2br w:val="nil"/>
              <w:tr2bl w:val="nil"/>
            </w:tcBorders>
            <w:vAlign w:val="center"/>
          </w:tcPr>
          <w:p>
            <w:pPr>
              <w:pStyle w:val="126"/>
              <w:rPr>
                <w:rFonts w:eastAsia="宋体"/>
                <w:color w:val="000000" w:themeColor="text1"/>
                <w:lang w:val="sq-AL" w:eastAsia="zh-CN"/>
              </w:rPr>
            </w:pPr>
            <w:r>
              <w:rPr>
                <w:rFonts w:eastAsia="宋体"/>
                <w:color w:val="000000" w:themeColor="text1"/>
                <w:lang w:eastAsia="zh-CN"/>
              </w:rPr>
              <w:t>项目区</w:t>
            </w:r>
            <w:r>
              <w:rPr>
                <w:rFonts w:eastAsia="宋体"/>
                <w:color w:val="000000" w:themeColor="text1"/>
                <w:lang w:val="sq-AL" w:eastAsia="zh-CN"/>
              </w:rPr>
              <w:t>空气环境质量按GB3095－2012《环境空气质量标准》二级标准及2018修改单管控；园区声环境质量执行</w:t>
            </w:r>
            <w:r>
              <w:rPr>
                <w:rFonts w:eastAsia="宋体"/>
                <w:color w:val="000000" w:themeColor="text1"/>
                <w:lang w:eastAsia="zh-CN"/>
              </w:rPr>
              <w:t>《声环境质量标准》（GB3096-2008）3类标准，关心点执行2类；</w:t>
            </w:r>
            <w:r>
              <w:rPr>
                <w:rFonts w:eastAsia="宋体"/>
                <w:color w:val="000000" w:themeColor="text1"/>
                <w:lang w:val="sq-AL" w:eastAsia="zh-CN"/>
              </w:rPr>
              <w:t>地表水戛洒江执行《地表水环境质量标准》（GB3838－2002）</w:t>
            </w:r>
            <w:r>
              <w:rPr>
                <w:rFonts w:eastAsia="方正仿宋_GBK"/>
                <w:color w:val="000000" w:themeColor="text1"/>
                <w:lang w:val="sq-AL" w:eastAsia="zh-CN"/>
              </w:rPr>
              <w:t>Ⅲ</w:t>
            </w:r>
            <w:r>
              <w:rPr>
                <w:rFonts w:eastAsia="宋体"/>
                <w:color w:val="000000" w:themeColor="text1"/>
                <w:lang w:eastAsia="zh-CN"/>
              </w:rPr>
              <w:t>类标准。</w:t>
            </w:r>
          </w:p>
          <w:p>
            <w:pPr>
              <w:pStyle w:val="126"/>
              <w:rPr>
                <w:rFonts w:eastAsia="宋体"/>
                <w:color w:val="000000" w:themeColor="text1"/>
                <w:lang w:eastAsia="zh-CN"/>
              </w:rPr>
            </w:pP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r>
              <w:rPr>
                <w:rFonts w:eastAsia="宋体"/>
                <w:color w:val="000000" w:themeColor="text1"/>
              </w:rPr>
              <w:t>2</w:t>
            </w:r>
          </w:p>
        </w:tc>
        <w:tc>
          <w:tcPr>
            <w:tcW w:w="8623" w:type="dxa"/>
            <w:tcBorders>
              <w:tl2br w:val="nil"/>
              <w:tr2bl w:val="nil"/>
            </w:tcBorders>
            <w:vAlign w:val="center"/>
          </w:tcPr>
          <w:p>
            <w:pPr>
              <w:pStyle w:val="126"/>
              <w:rPr>
                <w:rFonts w:eastAsia="宋体"/>
                <w:color w:val="000000" w:themeColor="text1"/>
              </w:rPr>
            </w:pPr>
            <w:r>
              <w:rPr>
                <w:rFonts w:eastAsia="宋体"/>
                <w:b/>
                <w:bCs/>
                <w:color w:val="000000" w:themeColor="text1"/>
              </w:rPr>
              <w:t>防治措施</w:t>
            </w:r>
          </w:p>
        </w:tc>
        <w:tc>
          <w:tcPr>
            <w:tcW w:w="3709" w:type="dxa"/>
            <w:tcBorders>
              <w:tl2br w:val="nil"/>
              <w:tr2bl w:val="nil"/>
            </w:tcBorders>
            <w:vAlign w:val="center"/>
          </w:tcPr>
          <w:p>
            <w:pPr>
              <w:pStyle w:val="126"/>
              <w:rPr>
                <w:rFonts w:eastAsia="宋体"/>
                <w:color w:val="000000" w:themeColor="text1"/>
              </w:rPr>
            </w:pPr>
          </w:p>
        </w:tc>
        <w:tc>
          <w:tcPr>
            <w:tcW w:w="1025" w:type="dxa"/>
            <w:tcBorders>
              <w:tl2br w:val="nil"/>
              <w:tr2bl w:val="nil"/>
            </w:tcBorders>
            <w:vAlign w:val="center"/>
          </w:tcPr>
          <w:p>
            <w:pPr>
              <w:pStyle w:val="126"/>
              <w:rPr>
                <w:rFonts w:eastAsia="宋体"/>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r>
              <w:rPr>
                <w:rFonts w:eastAsia="宋体"/>
                <w:color w:val="000000" w:themeColor="text1"/>
              </w:rPr>
              <w:t>大气环境控制措施</w:t>
            </w:r>
          </w:p>
        </w:tc>
        <w:tc>
          <w:tcPr>
            <w:tcW w:w="8623" w:type="dxa"/>
            <w:tcBorders>
              <w:tl2br w:val="nil"/>
              <w:tr2bl w:val="nil"/>
            </w:tcBorders>
            <w:vAlign w:val="center"/>
          </w:tcPr>
          <w:p>
            <w:pPr>
              <w:spacing w:line="240" w:lineRule="auto"/>
              <w:ind w:firstLine="0" w:firstLineChars="0"/>
              <w:rPr>
                <w:color w:val="000000" w:themeColor="text1"/>
                <w:sz w:val="21"/>
                <w:szCs w:val="21"/>
              </w:rPr>
            </w:pPr>
            <w:r>
              <w:rPr>
                <w:bCs/>
                <w:color w:val="000000" w:themeColor="text1"/>
                <w:sz w:val="21"/>
                <w:szCs w:val="21"/>
              </w:rPr>
              <w:t>1、清洁生产：推行清洁生产，减小能耗，工业生产中产生的可燃气体应当回收利用，不具备回收条件而向大气排放的，必须有污染防治措施，确保达标排放。2、加强现有污染源的监管：对于园区内已入驻的企业，环保部门应加强监管，对于废气不能达标排放的企业监督其完善相应的环保设施。3、污染物达标排放：向大气排放烟（粉）尘、SO</w:t>
            </w:r>
            <w:r>
              <w:rPr>
                <w:bCs/>
                <w:color w:val="000000" w:themeColor="text1"/>
                <w:sz w:val="21"/>
                <w:szCs w:val="21"/>
                <w:vertAlign w:val="subscript"/>
              </w:rPr>
              <w:t>2</w:t>
            </w:r>
            <w:r>
              <w:rPr>
                <w:bCs/>
                <w:color w:val="000000" w:themeColor="text1"/>
                <w:sz w:val="21"/>
                <w:szCs w:val="21"/>
              </w:rPr>
              <w:t>、氮氧化物的排污单位，需配套建设相应的环保设施，确保达标排放。4、合理布局大气污染较严重企业。5、加强生态环境建设：加强规划区生态环境建设，实施和完善防护林体系，沿公路两侧和工业区外围建设防护林，提高道路绿化面积，逐步减少裸土面积，注重绿化的生态效益，减轻风沙对工业园区的侵袭和二次扬尘。6、加强道路施工管理：区内道路在规划年内新建、扩建和改建时，路中和路旁的积土很多，机动车过后或刮风后扬尘污染很重。建设改为分段施工的方式，最大限度的缩短工期，防止道路积土太多，并要及时清运。7、加强易撒尘车辆的管理：运输渣土、石料、煤灰、灰土、垃圾等易产生扬尘的车辆要进行遮盖，防止散落，限道限时运行。城管部门对其进行检查，发现不符合要求的车辆，除责令其清扫外还要从重处置。8、进出园区的机动车污染防治措施：机动车向大气排放污染物不得超过规定的排放标准，对超过规定排放标准的机动车，应当采取治理措施，从发动机改造、无铅汽油等方面降低汽车尾气污染。9、加强区域大气环境总量管理，合理利用总量指标：在规划区建设发展的任一阶段，均要求规划区环境质量达到《环境空气质量标准》二级标准要求。</w:t>
            </w:r>
          </w:p>
        </w:tc>
        <w:tc>
          <w:tcPr>
            <w:tcW w:w="3709" w:type="dxa"/>
            <w:tcBorders>
              <w:tl2br w:val="nil"/>
              <w:tr2bl w:val="nil"/>
            </w:tcBorders>
            <w:vAlign w:val="center"/>
          </w:tcPr>
          <w:p>
            <w:pPr>
              <w:pStyle w:val="126"/>
              <w:rPr>
                <w:rFonts w:eastAsia="宋体"/>
                <w:color w:val="000000" w:themeColor="text1"/>
                <w:lang w:eastAsia="zh-CN"/>
              </w:rPr>
            </w:pPr>
            <w:r>
              <w:rPr>
                <w:rFonts w:eastAsia="宋体"/>
                <w:color w:val="000000" w:themeColor="text1"/>
                <w:lang w:eastAsia="zh-CN"/>
              </w:rPr>
              <w:t>1、项目能源均使用电能，符合清洁生产要求；2、项目建设完成后，严格按照环评提出的环保设施建设运行。3、严格按环评提出的环保设施运行，项目能够做到达标排放。4、本次环评，已按照特征污染因子进行重点评价，合理布局。5、项目在厂区内有一定的绿化面积，对风沙有一定的抑制作用。6、项目施工期较短，严格环保治理设施的运行，减少扬尘的排放。7、项目运行原辅料均通过密闭运输的方式，防止散落。8、项目运输车辆均使用合规，能达标排放的汽车，防止尾气污染。9、项目大气环境治理设施严格按照环评要求后，项目所在区域环境质量能达到《环境空气质量标准》二级标准要求。</w:t>
            </w: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r>
              <w:rPr>
                <w:rFonts w:eastAsia="宋体"/>
                <w:color w:val="000000" w:themeColor="text1"/>
              </w:rPr>
              <w:t>环境噪声控制措施</w:t>
            </w:r>
          </w:p>
        </w:tc>
        <w:tc>
          <w:tcPr>
            <w:tcW w:w="8623" w:type="dxa"/>
            <w:tcBorders>
              <w:tl2br w:val="nil"/>
              <w:tr2bl w:val="nil"/>
            </w:tcBorders>
            <w:vAlign w:val="center"/>
          </w:tcPr>
          <w:p>
            <w:pPr>
              <w:spacing w:line="240" w:lineRule="auto"/>
              <w:ind w:firstLine="0" w:firstLineChars="0"/>
              <w:rPr>
                <w:color w:val="000000" w:themeColor="text1"/>
                <w:sz w:val="21"/>
                <w:szCs w:val="21"/>
              </w:rPr>
            </w:pPr>
            <w:r>
              <w:rPr>
                <w:color w:val="000000" w:themeColor="text1"/>
                <w:sz w:val="21"/>
                <w:szCs w:val="21"/>
              </w:rPr>
              <w:t>1、严格按照功能区规划安排项目：在二类及以上声环境功能区内应禁止有高噪声设备的项目进入。2、加强企业噪声控制措施，高噪声设备尽量布置在厂区中部。3、从产业布局着手控制噪声，要按噪声达标距离进行产业布局。4、将规划的城镇区、居住区与工业用地之间设置一定距离的绿化隔离带，建议的绿化隔离宽度不少于20m。5、加强噪声管理：交通噪声要按照规划限值要求进行控制，对不同车辆的行驶路线、时间作出明确规定。禁鸣区路段设立标牌。6、绿化降噪：在工业区周围设置绿化带，在主要的道路两侧设置绿化隔离带。</w:t>
            </w:r>
          </w:p>
          <w:p>
            <w:pPr>
              <w:pStyle w:val="126"/>
              <w:rPr>
                <w:rFonts w:eastAsia="宋体"/>
                <w:color w:val="000000" w:themeColor="text1"/>
                <w:lang w:eastAsia="zh-CN"/>
              </w:rPr>
            </w:pPr>
          </w:p>
        </w:tc>
        <w:tc>
          <w:tcPr>
            <w:tcW w:w="3709" w:type="dxa"/>
            <w:tcBorders>
              <w:tl2br w:val="nil"/>
              <w:tr2bl w:val="nil"/>
            </w:tcBorders>
            <w:vAlign w:val="center"/>
          </w:tcPr>
          <w:p>
            <w:pPr>
              <w:pStyle w:val="126"/>
              <w:rPr>
                <w:rFonts w:eastAsia="宋体"/>
                <w:color w:val="000000" w:themeColor="text1"/>
                <w:lang w:eastAsia="zh-CN"/>
              </w:rPr>
            </w:pPr>
            <w:r>
              <w:rPr>
                <w:rFonts w:eastAsia="宋体"/>
                <w:color w:val="000000" w:themeColor="text1"/>
                <w:lang w:eastAsia="zh-CN"/>
              </w:rPr>
              <w:t>1、本项目处于三类声环境功能区；2、企业高噪声设备布置在厂区内中央及靠近山体的一侧，对周围环境影响不大。3、项目按噪声达标距离进行产业布局；4、项目附近200m内无声环境敏感目标；5、项目交通噪声要按照规划限值要求进行控制；6、项目在厂区内设置绿化带。</w:t>
            </w: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r>
              <w:rPr>
                <w:rFonts w:eastAsia="宋体"/>
                <w:color w:val="000000" w:themeColor="text1"/>
              </w:rPr>
              <w:t>水环境控制措施</w:t>
            </w:r>
          </w:p>
        </w:tc>
        <w:tc>
          <w:tcPr>
            <w:tcW w:w="8623" w:type="dxa"/>
            <w:tcBorders>
              <w:tl2br w:val="nil"/>
              <w:tr2bl w:val="nil"/>
            </w:tcBorders>
            <w:vAlign w:val="center"/>
          </w:tcPr>
          <w:p>
            <w:pPr>
              <w:adjustRightInd w:val="0"/>
              <w:snapToGrid w:val="0"/>
              <w:spacing w:line="240" w:lineRule="auto"/>
              <w:ind w:firstLine="0" w:firstLineChars="0"/>
              <w:rPr>
                <w:color w:val="000000" w:themeColor="text1"/>
                <w:sz w:val="21"/>
                <w:szCs w:val="21"/>
              </w:rPr>
            </w:pPr>
            <w:r>
              <w:rPr>
                <w:color w:val="000000" w:themeColor="text1"/>
                <w:sz w:val="21"/>
                <w:szCs w:val="21"/>
              </w:rPr>
              <w:t>（1）在工业区内部根据水质的状况进行清污分流，将需要预处理的废水必须单独收集；（2）工业区根据需要设置不同类别的工业废水收集管路系统，对不同性质的工业废水进行收集；（3）将生活污水、经过预处理的工业污水由专用的废水收集管网收集送至污水处理厂；尽快建设桂山片区的污水收集管网及污水处理厂建设。（4）考虑污水处理厂和“四网”（给水管网、污水管网、中水管网和雨水管网）的先行建设。（5）加强企业污染的综合整治，严禁工业和生活污水直接排放，凡是污染源必须实现达标排放。（6）工业园区建设要严格执行“三同时”制度。（7）总量控制措施：①合理安排规划区所在区域各企业废水排污总量，通过将废水纳入污水处理厂进一步消减污染物排放总量。②优先引进不排水或少排水的企业。</w:t>
            </w:r>
          </w:p>
        </w:tc>
        <w:tc>
          <w:tcPr>
            <w:tcW w:w="3709" w:type="dxa"/>
            <w:tcBorders>
              <w:tl2br w:val="nil"/>
              <w:tr2bl w:val="nil"/>
            </w:tcBorders>
            <w:vAlign w:val="center"/>
          </w:tcPr>
          <w:p>
            <w:pPr>
              <w:pStyle w:val="126"/>
              <w:rPr>
                <w:rFonts w:eastAsia="宋体"/>
                <w:color w:val="000000" w:themeColor="text1"/>
                <w:lang w:eastAsia="zh-CN"/>
              </w:rPr>
            </w:pPr>
            <w:r>
              <w:rPr>
                <w:rFonts w:eastAsia="宋体"/>
                <w:color w:val="000000" w:themeColor="text1"/>
                <w:lang w:eastAsia="zh-CN"/>
              </w:rPr>
              <w:t>（1）项目生产废水均收集沉淀处理后循环利用，不外排。（2）生活污水经一体化污水处理设施处理达标后用于厂区绿化。项目总体废水不外排，不计入总量控制。</w:t>
            </w: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r>
              <w:rPr>
                <w:rFonts w:eastAsia="宋体"/>
                <w:color w:val="000000" w:themeColor="text1"/>
              </w:rPr>
              <w:t>固体废弃物处理措施</w:t>
            </w:r>
          </w:p>
        </w:tc>
        <w:tc>
          <w:tcPr>
            <w:tcW w:w="8623" w:type="dxa"/>
            <w:tcBorders>
              <w:tl2br w:val="nil"/>
              <w:tr2bl w:val="nil"/>
            </w:tcBorders>
            <w:vAlign w:val="center"/>
          </w:tcPr>
          <w:p>
            <w:pPr>
              <w:spacing w:line="240" w:lineRule="auto"/>
              <w:ind w:firstLine="0" w:firstLineChars="0"/>
              <w:rPr>
                <w:b/>
                <w:color w:val="000000" w:themeColor="text1"/>
                <w:sz w:val="21"/>
                <w:szCs w:val="21"/>
              </w:rPr>
            </w:pPr>
            <w:r>
              <w:rPr>
                <w:b/>
                <w:color w:val="000000" w:themeColor="text1"/>
                <w:sz w:val="21"/>
                <w:szCs w:val="21"/>
              </w:rPr>
              <w:t>1、工业固废控制主要措施</w:t>
            </w:r>
          </w:p>
          <w:p>
            <w:pPr>
              <w:spacing w:line="240" w:lineRule="auto"/>
              <w:ind w:firstLine="0" w:firstLineChars="0"/>
              <w:rPr>
                <w:color w:val="000000" w:themeColor="text1"/>
                <w:sz w:val="21"/>
                <w:szCs w:val="21"/>
              </w:rPr>
            </w:pPr>
            <w:r>
              <w:rPr>
                <w:color w:val="000000" w:themeColor="text1"/>
                <w:sz w:val="21"/>
                <w:szCs w:val="21"/>
              </w:rPr>
              <w:t>（1）严格制定准入制度，尽量引进低耗能、低耗水、高附加值、无污染的高新技术产业。（2）大力推行清洁生产，采取措施（政策、经济上优惠）鼓励工业企业通过改进或采用最新的清洁生产工艺，进行首段控制，使工厂尽可能少排或不排固体废物。（3）鼓励企业内部和企业之间加强固体废物的回收与循环利用，合理开发和充分利用再生资源，开展工业废物跨行业，跨部门的综合利用，变废物为新的资源。（4）积极采取适当的方法对目前无法综合利用而又污染环境的固体废物进行处置。（5）加强管理，建立固体废物管理体系。（6）园区各个企业一般工业固体废物应按Ⅰ类废物和Ⅱ类废物分别储存，不能混存。一般工业固体废物临时储存地点应按照GB18599-2001《一般工业固体废弃物贮存、处置场污染控制标准》要求设置。（7）如有园区企业自建尾矿库、渣场，在设计建设之前需进行选址的水文地质勘察，进行环境影响评价确定其选址是否满足工程建设条件及《一般工业固体废物贮存、处置场污染控制标准》GB18599-2001要求。</w:t>
            </w:r>
          </w:p>
          <w:p>
            <w:pPr>
              <w:spacing w:line="240" w:lineRule="auto"/>
              <w:ind w:firstLine="0" w:firstLineChars="0"/>
              <w:rPr>
                <w:b/>
                <w:color w:val="000000" w:themeColor="text1"/>
                <w:sz w:val="21"/>
                <w:szCs w:val="21"/>
              </w:rPr>
            </w:pPr>
            <w:r>
              <w:rPr>
                <w:b/>
                <w:color w:val="000000" w:themeColor="text1"/>
                <w:sz w:val="21"/>
                <w:szCs w:val="21"/>
              </w:rPr>
              <w:t>2、危险废物处置措施</w:t>
            </w:r>
          </w:p>
          <w:p>
            <w:pPr>
              <w:spacing w:line="240" w:lineRule="auto"/>
              <w:ind w:firstLine="0" w:firstLineChars="0"/>
              <w:rPr>
                <w:color w:val="000000" w:themeColor="text1"/>
                <w:sz w:val="21"/>
                <w:szCs w:val="21"/>
              </w:rPr>
            </w:pPr>
            <w:r>
              <w:rPr>
                <w:color w:val="000000" w:themeColor="text1"/>
                <w:sz w:val="21"/>
                <w:szCs w:val="21"/>
              </w:rPr>
              <w:t>危险废物在规划区内暂时存贮，应在满足《危险废物贮存污染控制标准》GB18597-2001提出的防渗、防流失等措施以及对贮存所构筑物要求，还应满足本报告书提出的以下要求：（1）危险废物贮存场所应远离规划区内重大危险源；（2）危险废物贮存场所应远离规划区居民集中区及生产控制集中区；（3）危险废物贮存场所应采用水泥硬化地面，四周应建有完善的雨水集排系统；（4）严格控制危险废物贮存场的冲洗水用量，冲洗水应收集后进行预处理后送入污水处理厂进行处理；（5）危险废物产生后应及时装入容器，及时运入贮存场堆放；（6）产生危险废物的入驻建设项目在编制环境影响报告书中应对其进行风险评价。</w:t>
            </w:r>
          </w:p>
        </w:tc>
        <w:tc>
          <w:tcPr>
            <w:tcW w:w="3709" w:type="dxa"/>
            <w:tcBorders>
              <w:tl2br w:val="nil"/>
              <w:tr2bl w:val="nil"/>
            </w:tcBorders>
            <w:vAlign w:val="center"/>
          </w:tcPr>
          <w:p>
            <w:pPr>
              <w:spacing w:line="240" w:lineRule="auto"/>
              <w:ind w:firstLine="0" w:firstLineChars="0"/>
              <w:rPr>
                <w:color w:val="000000" w:themeColor="text1"/>
                <w:sz w:val="21"/>
                <w:szCs w:val="21"/>
              </w:rPr>
            </w:pPr>
            <w:r>
              <w:rPr>
                <w:color w:val="000000" w:themeColor="text1"/>
                <w:sz w:val="21"/>
                <w:szCs w:val="21"/>
              </w:rPr>
              <w:t>1、项目符合清洁生产要求，技改铁精矿再选过程所排尾矿</w:t>
            </w:r>
            <w:r>
              <w:rPr>
                <w:bCs/>
                <w:color w:val="000000" w:themeColor="text1"/>
                <w:sz w:val="21"/>
                <w:szCs w:val="21"/>
              </w:rPr>
              <w:t>经平安公司已建设的尾矿管道输送至龙都尾矿库，现有选矿车间所排尾矿的处置方式和去向维持现状，仍然</w:t>
            </w:r>
            <w:r>
              <w:rPr>
                <w:color w:val="000000" w:themeColor="text1"/>
                <w:sz w:val="21"/>
                <w:szCs w:val="21"/>
              </w:rPr>
              <w:t>进入辣子箐尾矿库。生活办公区设置垃圾收集桶，统一收集运至戛洒镇生活垃圾指定地点处理。</w:t>
            </w:r>
          </w:p>
          <w:p>
            <w:pPr>
              <w:spacing w:line="240" w:lineRule="auto"/>
              <w:ind w:firstLine="0" w:firstLineChars="0"/>
              <w:rPr>
                <w:color w:val="000000" w:themeColor="text1"/>
                <w:sz w:val="21"/>
                <w:szCs w:val="21"/>
              </w:rPr>
            </w:pPr>
            <w:r>
              <w:rPr>
                <w:color w:val="000000" w:themeColor="text1"/>
                <w:sz w:val="21"/>
                <w:szCs w:val="21"/>
              </w:rPr>
              <w:t>2、废机油按规范暂存危险废物暂存间暂存，定期委托具有危废处置资质的单位进行处置。</w:t>
            </w:r>
          </w:p>
          <w:p>
            <w:pPr>
              <w:pStyle w:val="126"/>
              <w:rPr>
                <w:rFonts w:eastAsia="宋体"/>
                <w:color w:val="000000" w:themeColor="text1"/>
                <w:lang w:eastAsia="zh-CN"/>
              </w:rPr>
            </w:pP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r>
              <w:rPr>
                <w:rFonts w:eastAsia="宋体"/>
                <w:color w:val="000000" w:themeColor="text1"/>
              </w:rPr>
              <w:t>生态保护措施</w:t>
            </w:r>
          </w:p>
        </w:tc>
        <w:tc>
          <w:tcPr>
            <w:tcW w:w="8623" w:type="dxa"/>
            <w:tcBorders>
              <w:tl2br w:val="nil"/>
              <w:tr2bl w:val="nil"/>
            </w:tcBorders>
            <w:vAlign w:val="center"/>
          </w:tcPr>
          <w:p>
            <w:pPr>
              <w:spacing w:line="240" w:lineRule="auto"/>
              <w:ind w:firstLine="0" w:firstLineChars="0"/>
              <w:rPr>
                <w:color w:val="000000" w:themeColor="text1"/>
                <w:sz w:val="21"/>
                <w:szCs w:val="21"/>
              </w:rPr>
            </w:pPr>
            <w:r>
              <w:rPr>
                <w:color w:val="000000" w:themeColor="text1"/>
                <w:sz w:val="21"/>
                <w:szCs w:val="21"/>
              </w:rPr>
              <w:t>1、规划区的生态景观建设应遵循“统一协调、循序渐进、功能多样、经济适用”的原则，将生态环境保护与经济发展有机结合起来。2、加强生态管理，建立完善的生态环境保护管理体系，在园区开发建设过程中建设部门与环保部门密切配合，制定切实可行的生态环境保护措施。3、绿化树种的选择：在规划区的生态防护带、缓冲带减少，应有控制的引进外来树种，在面积较大的绿地或广场，宜将外来树种和乡土树种分别单独群植，有利于做到外来树种与公园融为一体。种植设计可以尝试树丛、树群方法，多品种集群式栽植，一方面，仿自然群落做到多品种搭配，立体种植，建立植物演替竞争的基础，增加绿地的植物丰富度；另一方面，以植物的量迅速增加绿量，使新建绿地尽快见效。区域内绿化工程应注重选择抗性较强的品种。4、道路绿化应同时满足景观、减轻水土流失及消减路面扬尘污染三个方面的要求。5、规划区生态景观建设应与沿河景观区相协调，不应出现视觉上的不延续的情景。6、对于地表裸露且时间短无法利用的土地，应采取切实可行的水土保持措施，防治水土流失。7、道路规划时两侧设置绿化带，入园项目严禁占用道路两侧规划的绿化。</w:t>
            </w:r>
          </w:p>
        </w:tc>
        <w:tc>
          <w:tcPr>
            <w:tcW w:w="3709" w:type="dxa"/>
            <w:tcBorders>
              <w:tl2br w:val="nil"/>
              <w:tr2bl w:val="nil"/>
            </w:tcBorders>
            <w:vAlign w:val="center"/>
          </w:tcPr>
          <w:p>
            <w:pPr>
              <w:pStyle w:val="126"/>
              <w:rPr>
                <w:rFonts w:eastAsia="宋体"/>
                <w:color w:val="000000" w:themeColor="text1"/>
                <w:lang w:eastAsia="zh-CN"/>
              </w:rPr>
            </w:pPr>
            <w:r>
              <w:rPr>
                <w:rFonts w:eastAsia="宋体"/>
                <w:color w:val="000000" w:themeColor="text1"/>
                <w:lang w:eastAsia="zh-CN"/>
              </w:rPr>
              <w:t>（1）项目生态保护措施（绿化）与项目建设同步进行。（2）项目不新增用地，在现有场地上进行技改，对水土流失影响不大。</w:t>
            </w: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bl>
    <w:p>
      <w:pPr>
        <w:tabs>
          <w:tab w:val="left" w:pos="720"/>
        </w:tabs>
        <w:ind w:firstLine="496"/>
        <w:textAlignment w:val="baseline"/>
        <w:rPr>
          <w:color w:val="000000" w:themeColor="text1"/>
          <w:kern w:val="0"/>
          <w:szCs w:val="24"/>
        </w:rPr>
      </w:pPr>
      <w:r>
        <w:rPr>
          <w:color w:val="000000" w:themeColor="text1"/>
          <w:spacing w:val="4"/>
          <w:szCs w:val="24"/>
        </w:rPr>
        <w:t>项目与</w:t>
      </w:r>
      <w:r>
        <w:rPr>
          <w:color w:val="000000" w:themeColor="text1"/>
          <w:kern w:val="0"/>
          <w:szCs w:val="24"/>
        </w:rPr>
        <w:t>新平工业园区戛洒片区</w:t>
      </w:r>
      <w:r>
        <w:rPr>
          <w:color w:val="000000" w:themeColor="text1"/>
          <w:spacing w:val="4"/>
          <w:szCs w:val="24"/>
        </w:rPr>
        <w:t>的功能定位、</w:t>
      </w:r>
      <w:r>
        <w:rPr>
          <w:color w:val="000000" w:themeColor="text1"/>
          <w:szCs w:val="24"/>
        </w:rPr>
        <w:t>土地利用与控制规划、</w:t>
      </w:r>
      <w:r>
        <w:rPr>
          <w:color w:val="000000" w:themeColor="text1"/>
          <w:spacing w:val="4"/>
          <w:szCs w:val="24"/>
        </w:rPr>
        <w:t>环境保护规划等相符合。</w:t>
      </w:r>
    </w:p>
    <w:p>
      <w:pPr>
        <w:ind w:firstLine="480"/>
        <w:rPr>
          <w:color w:val="000000" w:themeColor="text1"/>
          <w:szCs w:val="24"/>
        </w:rPr>
      </w:pPr>
      <w:r>
        <w:rPr>
          <w:color w:val="000000" w:themeColor="text1"/>
          <w:szCs w:val="24"/>
        </w:rPr>
        <w:t>（5）该项目与工业园区规划环评相符性分析</w:t>
      </w:r>
    </w:p>
    <w:p>
      <w:pPr>
        <w:ind w:firstLine="480"/>
        <w:rPr>
          <w:b/>
          <w:bCs/>
          <w:color w:val="000000" w:themeColor="text1"/>
          <w:szCs w:val="24"/>
        </w:rPr>
      </w:pPr>
      <w:bookmarkStart w:id="12" w:name="_Toc319504018"/>
      <w:r>
        <w:rPr>
          <w:color w:val="000000" w:themeColor="text1"/>
          <w:szCs w:val="24"/>
        </w:rPr>
        <w:t>根据《新平工业园区总体规划修编（2018-2035）环境影响报告书》及审查意见，规划环评及审查意见对于园区企业环境污染物的处理措施和本项目相符性分析见下表：</w:t>
      </w:r>
    </w:p>
    <w:p>
      <w:pPr>
        <w:pStyle w:val="637"/>
        <w:rPr>
          <w:rFonts w:ascii="Times New Roman" w:hAnsi="Times New Roman" w:eastAsia="宋体" w:cs="Times New Roman"/>
          <w:color w:val="000000" w:themeColor="text1"/>
          <w:sz w:val="21"/>
          <w:szCs w:val="21"/>
        </w:rPr>
      </w:pPr>
      <w:r>
        <w:rPr>
          <w:rFonts w:ascii="Times New Roman" w:hAnsi="Times New Roman" w:eastAsia="宋体" w:cs="Times New Roman"/>
          <w:color w:val="000000" w:themeColor="text1"/>
          <w:sz w:val="21"/>
          <w:szCs w:val="21"/>
        </w:rPr>
        <w:t>表</w:t>
      </w:r>
      <w:r>
        <w:rPr>
          <w:rFonts w:hint="eastAsia" w:ascii="Times New Roman" w:hAnsi="Times New Roman" w:eastAsia="宋体" w:cs="Times New Roman"/>
          <w:color w:val="000000" w:themeColor="text1"/>
          <w:sz w:val="21"/>
          <w:szCs w:val="21"/>
        </w:rPr>
        <w:t>1-</w:t>
      </w:r>
      <w:r>
        <w:rPr>
          <w:rFonts w:ascii="Times New Roman" w:hAnsi="Times New Roman" w:eastAsia="宋体" w:cs="Times New Roman"/>
          <w:color w:val="000000" w:themeColor="text1"/>
          <w:sz w:val="21"/>
          <w:szCs w:val="21"/>
        </w:rPr>
        <w:t>2本建设项目与园区规划环评的符合性分析对</w:t>
      </w:r>
    </w:p>
    <w:tbl>
      <w:tblPr>
        <w:tblStyle w:val="62"/>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8893"/>
        <w:gridCol w:w="3439"/>
        <w:gridCol w:w="10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bCs/>
                <w:color w:val="000000" w:themeColor="text1"/>
              </w:rPr>
            </w:pPr>
            <w:r>
              <w:rPr>
                <w:rFonts w:eastAsia="宋体"/>
                <w:bCs/>
                <w:color w:val="000000" w:themeColor="text1"/>
              </w:rPr>
              <w:t>序号</w:t>
            </w:r>
          </w:p>
        </w:tc>
        <w:tc>
          <w:tcPr>
            <w:tcW w:w="8893" w:type="dxa"/>
            <w:tcBorders>
              <w:tl2br w:val="nil"/>
              <w:tr2bl w:val="nil"/>
            </w:tcBorders>
            <w:vAlign w:val="center"/>
          </w:tcPr>
          <w:p>
            <w:pPr>
              <w:pStyle w:val="126"/>
              <w:rPr>
                <w:rFonts w:eastAsia="宋体"/>
                <w:bCs/>
                <w:color w:val="000000" w:themeColor="text1"/>
              </w:rPr>
            </w:pPr>
            <w:r>
              <w:rPr>
                <w:rFonts w:eastAsia="宋体"/>
                <w:bCs/>
                <w:color w:val="000000" w:themeColor="text1"/>
              </w:rPr>
              <w:t>园区规划</w:t>
            </w:r>
            <w:r>
              <w:rPr>
                <w:rFonts w:eastAsia="宋体"/>
                <w:bCs/>
                <w:color w:val="000000" w:themeColor="text1"/>
                <w:lang w:eastAsia="zh-CN"/>
              </w:rPr>
              <w:t>环评</w:t>
            </w:r>
            <w:r>
              <w:rPr>
                <w:rFonts w:eastAsia="宋体"/>
                <w:bCs/>
                <w:color w:val="000000" w:themeColor="text1"/>
              </w:rPr>
              <w:t>内容</w:t>
            </w:r>
          </w:p>
        </w:tc>
        <w:tc>
          <w:tcPr>
            <w:tcW w:w="3439" w:type="dxa"/>
            <w:tcBorders>
              <w:tl2br w:val="nil"/>
              <w:tr2bl w:val="nil"/>
            </w:tcBorders>
            <w:vAlign w:val="center"/>
          </w:tcPr>
          <w:p>
            <w:pPr>
              <w:pStyle w:val="126"/>
              <w:rPr>
                <w:rFonts w:eastAsia="宋体"/>
                <w:bCs/>
                <w:color w:val="000000" w:themeColor="text1"/>
              </w:rPr>
            </w:pPr>
            <w:r>
              <w:rPr>
                <w:rFonts w:eastAsia="宋体"/>
                <w:bCs/>
                <w:color w:val="000000" w:themeColor="text1"/>
              </w:rPr>
              <w:t>本项目</w:t>
            </w:r>
          </w:p>
        </w:tc>
        <w:tc>
          <w:tcPr>
            <w:tcW w:w="1025" w:type="dxa"/>
            <w:tcBorders>
              <w:tl2br w:val="nil"/>
              <w:tr2bl w:val="nil"/>
            </w:tcBorders>
            <w:vAlign w:val="center"/>
          </w:tcPr>
          <w:p>
            <w:pPr>
              <w:pStyle w:val="126"/>
              <w:rPr>
                <w:rFonts w:eastAsia="宋体"/>
                <w:bCs/>
                <w:color w:val="000000" w:themeColor="text1"/>
              </w:rPr>
            </w:pPr>
            <w:r>
              <w:rPr>
                <w:rFonts w:eastAsia="宋体"/>
                <w:bCs/>
                <w:color w:val="000000" w:themeColor="text1"/>
              </w:rPr>
              <w:t>对比分析结果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r>
              <w:rPr>
                <w:rFonts w:eastAsia="宋体"/>
                <w:color w:val="000000" w:themeColor="text1"/>
              </w:rPr>
              <w:t>大气环境控制措施</w:t>
            </w:r>
          </w:p>
        </w:tc>
        <w:tc>
          <w:tcPr>
            <w:tcW w:w="8893" w:type="dxa"/>
            <w:tcBorders>
              <w:tl2br w:val="nil"/>
              <w:tr2bl w:val="nil"/>
            </w:tcBorders>
            <w:vAlign w:val="center"/>
          </w:tcPr>
          <w:p>
            <w:pPr>
              <w:spacing w:line="240" w:lineRule="auto"/>
              <w:ind w:firstLine="0" w:firstLineChars="0"/>
              <w:rPr>
                <w:color w:val="000000" w:themeColor="text1"/>
                <w:sz w:val="21"/>
                <w:szCs w:val="21"/>
              </w:rPr>
            </w:pPr>
            <w:r>
              <w:rPr>
                <w:bCs/>
                <w:color w:val="000000" w:themeColor="text1"/>
                <w:sz w:val="21"/>
                <w:szCs w:val="21"/>
              </w:rPr>
              <w:t>1、清洁生产：推行清洁生产，减小能耗，工业生产中产生的可燃气体应当回收利用，不具备回收条件而向大气排放的，必须有污染防治措施，确保达标排放。2、加强现有污染源的监管：对于园区内已入驻的企业，环保部门应加强监管，对于废气不能达标排放的企业监督其完善相应的环保设施。3、污染物达标排放：向大气排放烟（粉）尘、SO</w:t>
            </w:r>
            <w:r>
              <w:rPr>
                <w:bCs/>
                <w:color w:val="000000" w:themeColor="text1"/>
                <w:sz w:val="21"/>
                <w:szCs w:val="21"/>
                <w:vertAlign w:val="subscript"/>
              </w:rPr>
              <w:t>2</w:t>
            </w:r>
            <w:r>
              <w:rPr>
                <w:bCs/>
                <w:color w:val="000000" w:themeColor="text1"/>
                <w:sz w:val="21"/>
                <w:szCs w:val="21"/>
              </w:rPr>
              <w:t>、氮氧化物的排污单位，需配套建设相应的环保设施，确保达标排放。4、合理布局大气污染较严重企业。5、加强生态环境建设：加强规划区生态环境建设，实施和完善防护林体系，沿公路两侧和工业区外围建设防护林，提高道路绿化面积，逐步减少裸土面积，注重绿化的生态效益，减轻风沙对工业园区的侵袭和二次扬尘。6、加强道路施工管理：区内道路在规划年内新建、扩建和改建时，路中和路旁的积土很多，机动车过后或刮风后扬尘污染很重。建设改为分段施工的方式，最大限度的缩短工期，防止道路积土太多，并要及时清运。7、加强易撒尘车辆的管理：运输渣土、石料、煤灰、灰土、垃圾等易产生扬尘的车辆要进行遮盖，防止散落，限道限时运行。城管部门对其进行检查，发现不符合要求的车辆，除责令其清扫外还要从重处置。8、进出园区的机动车污染防治措施：机动车向大气排放污染物不得超过规定的排放标准，对超过规定排放标准的机动车，应当采取治理措施，从发动机改造、无铅汽油等方面降低汽车尾气污染。9、加强区域大气环境总量管理，合理利用总量指标：在规划区建设发展的任一阶段，均要求规划区环境质量达到《环境空气质量标准》二级标准要求。</w:t>
            </w:r>
          </w:p>
        </w:tc>
        <w:tc>
          <w:tcPr>
            <w:tcW w:w="3439" w:type="dxa"/>
            <w:tcBorders>
              <w:tl2br w:val="nil"/>
              <w:tr2bl w:val="nil"/>
            </w:tcBorders>
            <w:vAlign w:val="center"/>
          </w:tcPr>
          <w:p>
            <w:pPr>
              <w:pStyle w:val="126"/>
              <w:rPr>
                <w:rFonts w:eastAsia="宋体"/>
                <w:color w:val="000000" w:themeColor="text1"/>
                <w:lang w:eastAsia="zh-CN"/>
              </w:rPr>
            </w:pPr>
            <w:r>
              <w:rPr>
                <w:rFonts w:eastAsia="宋体"/>
                <w:color w:val="000000" w:themeColor="text1"/>
                <w:lang w:eastAsia="zh-CN"/>
              </w:rPr>
              <w:t>1、项目能源均使用电能，符合清洁生产要求；2、项目建设完成后，严格按照环评提出的环保设施建设运行。3、严格按环评提出的环保设施运行，项目能够做到达标排放。4、本次环评，已按照特征污染因子进行重点评价，合理布局。5、项目在厂区内有一定的绿化面积，对风沙有一定的抑制作用。6、项目施工期较短，严格环保治理设施的运行，减少扬尘的排放。7、项目运行原辅料均通过密闭运输的方式，防止散落。8、项目运输车辆均使用合规，能达标排放的汽车，防止尾气污染。9、项目大气环境治理设施严格按照环评要求后，项目所在区域环境质量能达到《环境空气质量标准》二级标准要求。</w:t>
            </w: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r>
              <w:rPr>
                <w:rFonts w:eastAsia="宋体"/>
                <w:color w:val="000000" w:themeColor="text1"/>
              </w:rPr>
              <w:t>环境噪声控制措施</w:t>
            </w:r>
          </w:p>
        </w:tc>
        <w:tc>
          <w:tcPr>
            <w:tcW w:w="8893" w:type="dxa"/>
            <w:tcBorders>
              <w:tl2br w:val="nil"/>
              <w:tr2bl w:val="nil"/>
            </w:tcBorders>
            <w:vAlign w:val="center"/>
          </w:tcPr>
          <w:p>
            <w:pPr>
              <w:spacing w:line="240" w:lineRule="auto"/>
              <w:ind w:firstLine="0" w:firstLineChars="0"/>
              <w:rPr>
                <w:color w:val="000000" w:themeColor="text1"/>
                <w:sz w:val="21"/>
                <w:szCs w:val="21"/>
              </w:rPr>
            </w:pPr>
            <w:r>
              <w:rPr>
                <w:color w:val="000000" w:themeColor="text1"/>
                <w:sz w:val="21"/>
                <w:szCs w:val="21"/>
              </w:rPr>
              <w:t>1、严格按照功能区规划安排项目：在二类及以上声环境功能区内应禁止有高噪声设备的项目进入。2、加强企业噪声控制措施，高噪声设备尽量布置在厂区中部。3、从产业布局着手控制噪声，要按噪声达标距离进行产业布局。4、将规划的城镇区、居住区与工业用地之间设置一定距离的绿化隔离带，建议的绿化隔离宽度不少于20m。5、加强噪声管理：交通噪声要按照规划限值要求进行控制，对不同车辆的行驶路线、时间作出明确规定。禁鸣区路段设立标牌。6、绿化降噪：在工业区周围设置绿化带，在主要的道路两侧设置绿化隔离带。</w:t>
            </w:r>
          </w:p>
          <w:p>
            <w:pPr>
              <w:pStyle w:val="126"/>
              <w:rPr>
                <w:rFonts w:eastAsia="宋体"/>
                <w:color w:val="000000" w:themeColor="text1"/>
                <w:lang w:eastAsia="zh-CN"/>
              </w:rPr>
            </w:pPr>
          </w:p>
        </w:tc>
        <w:tc>
          <w:tcPr>
            <w:tcW w:w="3439" w:type="dxa"/>
            <w:tcBorders>
              <w:tl2br w:val="nil"/>
              <w:tr2bl w:val="nil"/>
            </w:tcBorders>
            <w:vAlign w:val="center"/>
          </w:tcPr>
          <w:p>
            <w:pPr>
              <w:pStyle w:val="126"/>
              <w:rPr>
                <w:rFonts w:eastAsia="宋体"/>
                <w:color w:val="000000" w:themeColor="text1"/>
                <w:lang w:eastAsia="zh-CN"/>
              </w:rPr>
            </w:pPr>
            <w:r>
              <w:rPr>
                <w:rFonts w:eastAsia="宋体"/>
                <w:color w:val="000000" w:themeColor="text1"/>
                <w:lang w:eastAsia="zh-CN"/>
              </w:rPr>
              <w:t>1、本项目处于三类声环境功能区；2、企业高噪声设备布置在厂区内中央及靠近山体的一侧，对周围环境影响不大。3、项目按噪声达标距离进行产业布局；4、项目附近200m内无声环境敏感目标；5、项目交通噪声要按照规划限值要求进行控制；6、项目在厂区内设置绿化带。</w:t>
            </w: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r>
              <w:rPr>
                <w:rFonts w:eastAsia="宋体"/>
                <w:color w:val="000000" w:themeColor="text1"/>
              </w:rPr>
              <w:t>水环境控制措施</w:t>
            </w:r>
          </w:p>
        </w:tc>
        <w:tc>
          <w:tcPr>
            <w:tcW w:w="8893" w:type="dxa"/>
            <w:tcBorders>
              <w:tl2br w:val="nil"/>
              <w:tr2bl w:val="nil"/>
            </w:tcBorders>
            <w:vAlign w:val="center"/>
          </w:tcPr>
          <w:p>
            <w:pPr>
              <w:adjustRightInd w:val="0"/>
              <w:snapToGrid w:val="0"/>
              <w:spacing w:line="240" w:lineRule="auto"/>
              <w:ind w:firstLine="0" w:firstLineChars="0"/>
              <w:rPr>
                <w:color w:val="000000" w:themeColor="text1"/>
                <w:sz w:val="21"/>
                <w:szCs w:val="21"/>
              </w:rPr>
            </w:pPr>
            <w:r>
              <w:rPr>
                <w:color w:val="000000" w:themeColor="text1"/>
                <w:sz w:val="21"/>
                <w:szCs w:val="21"/>
              </w:rPr>
              <w:t>（1）在工业区内部根据水质的状况进行清污分流，将需要预处理的废水必须单独收集；（2）工业区根据需要设置不同类别的工业废水收集管路系统，对不同性质的工业废水进行收集；（3）将生活污水、经过预处理的工业污水由专用的废水收集管网收集送至污水处理厂；尽快建设桂山片区的污水收集管网及污水处理厂建设。（4）考虑污水处理厂和“四网”（给水管网、污水管网、中水管网和雨水管网）的先行建设。（5）加强企业污染的综合整治，严禁工业和生活污水直接排放，凡是污染源必须实现达标排放。（6）工业园区建设要严格执行“三同时”制度。（7）总量控制措施：①合理安排规划区所在区域各企业废水排污总量，通过将废水纳入污水处理厂进一步消减污染物排放总量。②优先引进不排水或少排水的企业。</w:t>
            </w:r>
          </w:p>
        </w:tc>
        <w:tc>
          <w:tcPr>
            <w:tcW w:w="3439" w:type="dxa"/>
            <w:tcBorders>
              <w:tl2br w:val="nil"/>
              <w:tr2bl w:val="nil"/>
            </w:tcBorders>
            <w:vAlign w:val="center"/>
          </w:tcPr>
          <w:p>
            <w:pPr>
              <w:pStyle w:val="126"/>
              <w:rPr>
                <w:rFonts w:eastAsia="宋体"/>
                <w:color w:val="000000" w:themeColor="text1"/>
                <w:lang w:eastAsia="zh-CN"/>
              </w:rPr>
            </w:pPr>
            <w:r>
              <w:rPr>
                <w:rFonts w:eastAsia="宋体"/>
                <w:color w:val="000000" w:themeColor="text1"/>
                <w:lang w:eastAsia="zh-CN"/>
              </w:rPr>
              <w:t>（1）项目生产废水均收集沉淀处理后循环利用，不外排。（2）生活污水经一体化污水处理设施处理达标后用于</w:t>
            </w:r>
            <w:r>
              <w:rPr>
                <w:rFonts w:hint="eastAsia" w:eastAsia="宋体"/>
                <w:color w:val="000000" w:themeColor="text1"/>
                <w:lang w:eastAsia="zh-CN"/>
              </w:rPr>
              <w:t>厂区</w:t>
            </w:r>
            <w:r>
              <w:rPr>
                <w:rFonts w:eastAsia="宋体"/>
                <w:color w:val="000000" w:themeColor="text1"/>
                <w:lang w:eastAsia="zh-CN"/>
              </w:rPr>
              <w:t>绿化。项目总体废水不外排，不计入总量控制。</w:t>
            </w: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r>
              <w:rPr>
                <w:rFonts w:eastAsia="宋体"/>
                <w:color w:val="000000" w:themeColor="text1"/>
              </w:rPr>
              <w:t>固体废弃物处理措施</w:t>
            </w:r>
          </w:p>
        </w:tc>
        <w:tc>
          <w:tcPr>
            <w:tcW w:w="8893" w:type="dxa"/>
            <w:tcBorders>
              <w:tl2br w:val="nil"/>
              <w:tr2bl w:val="nil"/>
            </w:tcBorders>
            <w:vAlign w:val="center"/>
          </w:tcPr>
          <w:p>
            <w:pPr>
              <w:spacing w:line="240" w:lineRule="auto"/>
              <w:ind w:firstLine="0" w:firstLineChars="0"/>
              <w:rPr>
                <w:b/>
                <w:color w:val="000000" w:themeColor="text1"/>
                <w:sz w:val="21"/>
                <w:szCs w:val="21"/>
              </w:rPr>
            </w:pPr>
            <w:r>
              <w:rPr>
                <w:b/>
                <w:color w:val="000000" w:themeColor="text1"/>
                <w:sz w:val="21"/>
                <w:szCs w:val="21"/>
              </w:rPr>
              <w:t>1、工业固废控制主要措施</w:t>
            </w:r>
          </w:p>
          <w:p>
            <w:pPr>
              <w:spacing w:line="240" w:lineRule="auto"/>
              <w:ind w:firstLine="0" w:firstLineChars="0"/>
              <w:rPr>
                <w:color w:val="000000" w:themeColor="text1"/>
                <w:sz w:val="21"/>
                <w:szCs w:val="21"/>
              </w:rPr>
            </w:pPr>
            <w:r>
              <w:rPr>
                <w:color w:val="000000" w:themeColor="text1"/>
                <w:sz w:val="21"/>
                <w:szCs w:val="21"/>
              </w:rPr>
              <w:t>（1）严格制定准入制度，尽量引进低耗能、低耗水、高附加值、无污染的高新技术产业。（2）大力推行清洁生产，采取措施（政策、经济上优惠）鼓励工业企业通过改进或采用最新的清洁生产工艺，进行首段控制，使工厂尽可能少排或不排固体废物。（3）鼓励企业内部和企业之间加强固体废物的回收与循环利用，合理开发和充分利用再生资源，开展工业废物跨行业，跨部门的综合利用，变废物为新的资源。（4）积极采取适当的方法对目前无法综合利用而又污染环境的固体废物进行处置。（5）加强管理，建立固体废物管理体系。（6）园区各个企业一般工业固体废物应按Ⅰ类废物和Ⅱ类废物分别储存，不能混存。一般工业固体废物临时储存地点应按照GB18599-2001《一般工业固体废弃物贮存、处置场污染控制标准》要求设置。（7）如有园区企业自建尾矿库、渣场，在设计建设之前需进行选址的水文地质勘察，进行环境影响评价确定其选址是否满足工程建设条件及《一般工业固体废物贮存、处置场污染控制标准》GB18599-2001要求。</w:t>
            </w:r>
          </w:p>
          <w:p>
            <w:pPr>
              <w:spacing w:line="240" w:lineRule="auto"/>
              <w:ind w:firstLine="0" w:firstLineChars="0"/>
              <w:rPr>
                <w:b/>
                <w:color w:val="000000" w:themeColor="text1"/>
                <w:sz w:val="21"/>
                <w:szCs w:val="21"/>
              </w:rPr>
            </w:pPr>
            <w:r>
              <w:rPr>
                <w:b/>
                <w:color w:val="000000" w:themeColor="text1"/>
                <w:sz w:val="21"/>
                <w:szCs w:val="21"/>
              </w:rPr>
              <w:t>2、危险废物处置措施</w:t>
            </w:r>
          </w:p>
          <w:p>
            <w:pPr>
              <w:spacing w:line="240" w:lineRule="auto"/>
              <w:ind w:firstLine="0" w:firstLineChars="0"/>
              <w:rPr>
                <w:color w:val="000000" w:themeColor="text1"/>
                <w:sz w:val="21"/>
                <w:szCs w:val="21"/>
              </w:rPr>
            </w:pPr>
            <w:r>
              <w:rPr>
                <w:color w:val="000000" w:themeColor="text1"/>
                <w:sz w:val="21"/>
                <w:szCs w:val="21"/>
              </w:rPr>
              <w:t>危险废物在规划区内暂时存贮，应在满足《危险废物贮存污染控制标准》GB18597-2001提出的防渗、防流失等措施以及对贮存所构筑物要求，还应满足本报告书提出的以下要求：（1）危险废物贮存场所应远离规划区内重大危险源；（2）危险废物贮存场所应远离规划区居民集中区及生产控制集中区；（3）危险废物贮存场所应采用水泥硬化地面，四周应建有完善的雨水集排系统；（4）严格控制危险废物贮存场的冲洗水用量，冲洗水应收集后进行预处理后送入污水处理厂进行处理；（5）危险废物产生后应及时装入容器，及时运入贮存场堆放；（6）产生危险废物的入驻建设项目在编制环境影响报告书中应对其进行风险评价。</w:t>
            </w:r>
          </w:p>
        </w:tc>
        <w:tc>
          <w:tcPr>
            <w:tcW w:w="3439" w:type="dxa"/>
            <w:tcBorders>
              <w:tl2br w:val="nil"/>
              <w:tr2bl w:val="nil"/>
            </w:tcBorders>
            <w:vAlign w:val="center"/>
          </w:tcPr>
          <w:p>
            <w:pPr>
              <w:spacing w:line="240" w:lineRule="auto"/>
              <w:ind w:firstLine="0" w:firstLineChars="0"/>
              <w:rPr>
                <w:color w:val="000000" w:themeColor="text1"/>
                <w:sz w:val="21"/>
                <w:szCs w:val="21"/>
              </w:rPr>
            </w:pPr>
            <w:r>
              <w:rPr>
                <w:color w:val="000000" w:themeColor="text1"/>
                <w:sz w:val="21"/>
                <w:szCs w:val="21"/>
              </w:rPr>
              <w:t>1、项目符合清洁生产要求，技改铁精矿再选过程所排尾矿</w:t>
            </w:r>
            <w:r>
              <w:rPr>
                <w:bCs/>
                <w:color w:val="000000" w:themeColor="text1"/>
                <w:sz w:val="21"/>
                <w:szCs w:val="21"/>
              </w:rPr>
              <w:t>经平安公司已建设的尾矿管道输送至龙都尾矿库，现有选矿车间所排尾矿的处置方式和去向维持现状，仍然</w:t>
            </w:r>
            <w:r>
              <w:rPr>
                <w:color w:val="000000" w:themeColor="text1"/>
                <w:sz w:val="21"/>
                <w:szCs w:val="21"/>
              </w:rPr>
              <w:t>进入辣子箐尾矿库。生活办公区设置垃圾收集桶，统一收集运至戛洒镇生活垃圾指定地点处理。</w:t>
            </w:r>
          </w:p>
          <w:p>
            <w:pPr>
              <w:spacing w:line="240" w:lineRule="auto"/>
              <w:ind w:firstLine="0" w:firstLineChars="0"/>
              <w:rPr>
                <w:color w:val="000000" w:themeColor="text1"/>
                <w:sz w:val="21"/>
                <w:szCs w:val="21"/>
              </w:rPr>
            </w:pPr>
            <w:r>
              <w:rPr>
                <w:color w:val="000000" w:themeColor="text1"/>
                <w:sz w:val="21"/>
                <w:szCs w:val="21"/>
              </w:rPr>
              <w:t>2、废机油按规范暂存危险废物暂存间暂存，定期委托具有危废处置资质的单位进行处置。</w:t>
            </w:r>
          </w:p>
          <w:p>
            <w:pPr>
              <w:pStyle w:val="126"/>
              <w:rPr>
                <w:rFonts w:eastAsia="宋体"/>
                <w:color w:val="000000" w:themeColor="text1"/>
                <w:lang w:eastAsia="zh-CN"/>
              </w:rPr>
            </w:pP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tcBorders>
              <w:tl2br w:val="nil"/>
              <w:tr2bl w:val="nil"/>
            </w:tcBorders>
            <w:vAlign w:val="center"/>
          </w:tcPr>
          <w:p>
            <w:pPr>
              <w:pStyle w:val="126"/>
              <w:rPr>
                <w:rFonts w:eastAsia="宋体"/>
                <w:color w:val="000000" w:themeColor="text1"/>
              </w:rPr>
            </w:pPr>
            <w:r>
              <w:rPr>
                <w:rFonts w:eastAsia="宋体"/>
                <w:color w:val="000000" w:themeColor="text1"/>
              </w:rPr>
              <w:t>生态保护措施</w:t>
            </w:r>
          </w:p>
        </w:tc>
        <w:tc>
          <w:tcPr>
            <w:tcW w:w="8893" w:type="dxa"/>
            <w:tcBorders>
              <w:tl2br w:val="nil"/>
              <w:tr2bl w:val="nil"/>
            </w:tcBorders>
            <w:vAlign w:val="center"/>
          </w:tcPr>
          <w:p>
            <w:pPr>
              <w:spacing w:line="240" w:lineRule="auto"/>
              <w:ind w:firstLine="0" w:firstLineChars="0"/>
              <w:rPr>
                <w:color w:val="000000" w:themeColor="text1"/>
                <w:sz w:val="21"/>
                <w:szCs w:val="21"/>
              </w:rPr>
            </w:pPr>
            <w:r>
              <w:rPr>
                <w:color w:val="000000" w:themeColor="text1"/>
                <w:sz w:val="21"/>
                <w:szCs w:val="21"/>
              </w:rPr>
              <w:t>1、规划区的生态景观建设应遵循“统一协调、循序渐进、功能多样、经济适用”的原则，将生态环境保护与经济发展有机结合起来。2、加强生态管理，建立完善的生态环境保护管理体系，在园区开发建设过程中建设部门与环保部门密切配合，制定切实可行的生态环境保护措施。3、绿化树种的选择：在规划区的生态防护带、缓冲带减少，应有控制的引进外来树种，在面积较大的绿地或广场，宜将外来树种和乡土树种分别单独群植，有利于做到外来树种与公园融为一体。种植设计可以尝试树丛、树群方法，多品种集群式栽植，一方面，仿自然群落做到多品种搭配，立体种植，建立植物演替竞争的基础，增加绿地的植物丰富度；另一方面，以植物的量迅速增加绿量，使新建绿地尽快见效。区域内绿化工程应注重选择抗性较强的品种。4、道路绿化应同时满足景观、减轻水土流失及消减路面扬尘污染三个方面的要求。5、规划区生态景观建设应与沿河景观区相协调，不应出现视觉上的不延续的情景。6、对于地表裸露且时间短无法利用的土地，应采取切实可行的水土保持措施，防治水土流失。7、道路规划时两侧设置绿化带，入园项目严禁占用道路两侧规划的绿化。</w:t>
            </w:r>
          </w:p>
        </w:tc>
        <w:tc>
          <w:tcPr>
            <w:tcW w:w="3439" w:type="dxa"/>
            <w:tcBorders>
              <w:tl2br w:val="nil"/>
              <w:tr2bl w:val="nil"/>
            </w:tcBorders>
            <w:vAlign w:val="center"/>
          </w:tcPr>
          <w:p>
            <w:pPr>
              <w:pStyle w:val="126"/>
              <w:rPr>
                <w:rFonts w:eastAsia="宋体"/>
                <w:color w:val="000000" w:themeColor="text1"/>
                <w:lang w:eastAsia="zh-CN"/>
              </w:rPr>
            </w:pPr>
            <w:r>
              <w:rPr>
                <w:rFonts w:eastAsia="宋体"/>
                <w:color w:val="000000" w:themeColor="text1"/>
                <w:lang w:eastAsia="zh-CN"/>
              </w:rPr>
              <w:t>（1）项目生态保护措施（绿化）与项目建设同步进行。（2）项目不新增用地，在</w:t>
            </w:r>
            <w:r>
              <w:rPr>
                <w:rFonts w:hint="eastAsia" w:eastAsia="宋体"/>
                <w:color w:val="000000" w:themeColor="text1"/>
                <w:lang w:eastAsia="zh-CN"/>
              </w:rPr>
              <w:t>现有场地</w:t>
            </w:r>
            <w:r>
              <w:rPr>
                <w:rFonts w:eastAsia="宋体"/>
                <w:color w:val="000000" w:themeColor="text1"/>
                <w:lang w:eastAsia="zh-CN"/>
              </w:rPr>
              <w:t>上进行技改，对水土流失影响不大。</w:t>
            </w:r>
          </w:p>
        </w:tc>
        <w:tc>
          <w:tcPr>
            <w:tcW w:w="1025" w:type="dxa"/>
            <w:tcBorders>
              <w:tl2br w:val="nil"/>
              <w:tr2bl w:val="nil"/>
            </w:tcBorders>
            <w:vAlign w:val="center"/>
          </w:tcPr>
          <w:p>
            <w:pPr>
              <w:pStyle w:val="126"/>
              <w:rPr>
                <w:rFonts w:eastAsia="宋体"/>
                <w:color w:val="000000" w:themeColor="text1"/>
              </w:rPr>
            </w:pPr>
            <w:r>
              <w:rPr>
                <w:rFonts w:eastAsia="宋体"/>
                <w:color w:val="000000" w:themeColor="text1"/>
              </w:rPr>
              <w:t>符合</w:t>
            </w:r>
          </w:p>
        </w:tc>
      </w:tr>
    </w:tbl>
    <w:p>
      <w:pPr>
        <w:ind w:firstLine="480"/>
        <w:rPr>
          <w:color w:val="000000" w:themeColor="text1"/>
          <w:szCs w:val="24"/>
        </w:rPr>
        <w:sectPr>
          <w:pgSz w:w="16838" w:h="11906" w:orient="landscape"/>
          <w:pgMar w:top="1800" w:right="1440" w:bottom="1800" w:left="1440" w:header="851" w:footer="992" w:gutter="0"/>
          <w:pgNumType w:fmt="numberInDash"/>
          <w:cols w:space="425" w:num="1"/>
          <w:docGrid w:type="lines" w:linePitch="312" w:charSpace="0"/>
        </w:sectPr>
      </w:pPr>
      <w:r>
        <w:rPr>
          <w:color w:val="000000" w:themeColor="text1"/>
          <w:szCs w:val="24"/>
        </w:rPr>
        <w:t>综上，项目与园区规划环评相符。</w:t>
      </w:r>
    </w:p>
    <w:p>
      <w:pPr>
        <w:adjustRightInd w:val="0"/>
        <w:snapToGrid w:val="0"/>
        <w:ind w:firstLine="480"/>
        <w:rPr>
          <w:color w:val="000000" w:themeColor="text1"/>
        </w:rPr>
      </w:pPr>
      <w:r>
        <w:rPr>
          <w:rFonts w:hint="eastAsia"/>
          <w:color w:val="000000" w:themeColor="text1"/>
        </w:rPr>
        <w:t>（6）</w:t>
      </w:r>
      <w:r>
        <w:rPr>
          <w:color w:val="000000" w:themeColor="text1"/>
        </w:rPr>
        <w:t>项目与园区规划环评审查意见的符合性分析</w:t>
      </w:r>
    </w:p>
    <w:p>
      <w:pPr>
        <w:adjustRightInd w:val="0"/>
        <w:snapToGrid w:val="0"/>
        <w:ind w:firstLine="480"/>
        <w:rPr>
          <w:color w:val="000000" w:themeColor="text1"/>
        </w:rPr>
      </w:pPr>
      <w:r>
        <w:rPr>
          <w:rFonts w:hint="eastAsia"/>
          <w:color w:val="000000" w:themeColor="text1"/>
        </w:rPr>
        <w:t>项目与规划环评审查意见符合性分析如下所示：</w:t>
      </w:r>
    </w:p>
    <w:p>
      <w:pPr>
        <w:pStyle w:val="637"/>
        <w:rPr>
          <w:rFonts w:ascii="Times New Roman" w:hAnsi="Times New Roman" w:eastAsia="宋体" w:cs="Times New Roman"/>
          <w:color w:val="000000" w:themeColor="text1"/>
          <w:sz w:val="21"/>
          <w:szCs w:val="21"/>
        </w:rPr>
      </w:pPr>
      <w:r>
        <w:rPr>
          <w:rFonts w:ascii="Times New Roman" w:hAnsi="Times New Roman" w:eastAsia="宋体" w:cs="Times New Roman"/>
          <w:color w:val="000000" w:themeColor="text1"/>
          <w:sz w:val="21"/>
          <w:szCs w:val="21"/>
        </w:rPr>
        <w:t>表</w:t>
      </w:r>
      <w:r>
        <w:rPr>
          <w:rFonts w:hint="eastAsia" w:ascii="Times New Roman" w:hAnsi="Times New Roman" w:eastAsia="宋体" w:cs="Times New Roman"/>
          <w:color w:val="000000" w:themeColor="text1"/>
          <w:sz w:val="21"/>
          <w:szCs w:val="21"/>
        </w:rPr>
        <w:t>1-</w:t>
      </w:r>
      <w:r>
        <w:rPr>
          <w:rFonts w:ascii="Times New Roman" w:hAnsi="Times New Roman" w:eastAsia="宋体" w:cs="Times New Roman"/>
          <w:color w:val="000000" w:themeColor="text1"/>
          <w:sz w:val="21"/>
          <w:szCs w:val="21"/>
        </w:rPr>
        <w:t>3本建设项目与规划环评审查意见的符合性分析</w:t>
      </w:r>
    </w:p>
    <w:tbl>
      <w:tblPr>
        <w:tblStyle w:val="62"/>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3285"/>
        <w:gridCol w:w="3375"/>
        <w:gridCol w:w="1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0"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序号</w:t>
            </w:r>
          </w:p>
        </w:tc>
        <w:tc>
          <w:tcPr>
            <w:tcW w:w="328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规划环评审查意见要求</w:t>
            </w:r>
          </w:p>
        </w:tc>
        <w:tc>
          <w:tcPr>
            <w:tcW w:w="337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技改项目情况</w:t>
            </w:r>
          </w:p>
        </w:tc>
        <w:tc>
          <w:tcPr>
            <w:tcW w:w="1178"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0"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1</w:t>
            </w:r>
          </w:p>
        </w:tc>
        <w:tc>
          <w:tcPr>
            <w:tcW w:w="328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加强规划引导，坚持绿色发展和协调发展理念。根据区域发展战略，坚持生态优先、高效集约发展，进一步优化《规划》的发展定位、功能布局、发展规模、产业结构等，加强与城市总体规划、土地利用总体规划的协调衔接，促进园区产业转型升级，实现产业发展与生态环境保护、人居环境安全相协调，积极推行区域低碳化、循环化、集约化发展。</w:t>
            </w:r>
          </w:p>
        </w:tc>
        <w:tc>
          <w:tcPr>
            <w:tcW w:w="337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本项目为升级改造项目，符合促进园区产业转型升级，实现产业发展与生态环境保护、人居环境安全相协调，积极推行区域低碳化、循环化、集约化发展要求。</w:t>
            </w:r>
          </w:p>
          <w:p>
            <w:pPr>
              <w:pStyle w:val="51"/>
              <w:spacing w:line="240" w:lineRule="auto"/>
              <w:ind w:left="0" w:firstLine="0" w:firstLineChars="0"/>
              <w:jc w:val="center"/>
              <w:rPr>
                <w:rFonts w:eastAsia="宋体"/>
                <w:color w:val="000000" w:themeColor="text1"/>
                <w:lang w:eastAsia="zh-CN"/>
              </w:rPr>
            </w:pPr>
          </w:p>
        </w:tc>
        <w:tc>
          <w:tcPr>
            <w:tcW w:w="1178"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0"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2</w:t>
            </w:r>
          </w:p>
        </w:tc>
        <w:tc>
          <w:tcPr>
            <w:tcW w:w="328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进一步优化园区空间布局，严格对环境敏感区的保护，合理控制园区开发强度,确保园区产业发展与环境承载力相适应。戛洒片区白糯格地块规划布局的制糖及造纸项目耗水排水量大，应根据受纳水体环境容量控制发展规模。加强园区水资源保障论证。入园项目须按规定设置足够的防护距离，避免对周边居民造成影响。</w:t>
            </w:r>
          </w:p>
        </w:tc>
        <w:tc>
          <w:tcPr>
            <w:tcW w:w="337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技改项目处于新平县工业园区戛洒片区大红山配套服务组团，生产废水通过沉淀处理后全部回用于生产，生活污水经一体化污水处理设施处理达标后用于</w:t>
            </w:r>
            <w:r>
              <w:rPr>
                <w:rFonts w:hint="eastAsia" w:eastAsia="宋体"/>
                <w:color w:val="000000" w:themeColor="text1"/>
                <w:lang w:eastAsia="zh-CN"/>
              </w:rPr>
              <w:t>厂区绿化</w:t>
            </w:r>
            <w:r>
              <w:rPr>
                <w:rFonts w:eastAsia="宋体"/>
                <w:color w:val="000000" w:themeColor="text1"/>
                <w:lang w:eastAsia="zh-CN"/>
              </w:rPr>
              <w:t>，不设排放口。</w:t>
            </w:r>
          </w:p>
        </w:tc>
        <w:tc>
          <w:tcPr>
            <w:tcW w:w="1178"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0"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3</w:t>
            </w:r>
          </w:p>
        </w:tc>
        <w:tc>
          <w:tcPr>
            <w:tcW w:w="328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严守环境质量底线，严格入区项目环境准入管理。根据国家和云南省有关大气、水、土壤污染防治行动计划相关要求,明确区域环境质量改善的阶段目标，制定区域污染减排方案及污染物总量管控要求大红山地块应加强矿山深部资源开发利用对地下水的环境影响论证工作。引进项目应从生产工艺、设备、单位产品能耗、物耗、污染物排放和资源利用等方面，进一步提高清洁生产水平。</w:t>
            </w:r>
          </w:p>
        </w:tc>
        <w:tc>
          <w:tcPr>
            <w:tcW w:w="337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项目不使用地下水，对原矿破碎系统进行升级改造，对破碎后的没磁性原矿分选出来，并制成砂石料外卖，提高资源利用率，减少水的用量，并且减少尾矿的排放量，符合清洁生产水平。</w:t>
            </w:r>
          </w:p>
          <w:p>
            <w:pPr>
              <w:pStyle w:val="51"/>
              <w:spacing w:line="240" w:lineRule="auto"/>
              <w:ind w:left="0" w:firstLine="0" w:firstLineChars="0"/>
              <w:jc w:val="center"/>
              <w:rPr>
                <w:rFonts w:eastAsia="宋体"/>
                <w:color w:val="000000" w:themeColor="text1"/>
                <w:lang w:eastAsia="zh-CN"/>
              </w:rPr>
            </w:pPr>
          </w:p>
        </w:tc>
        <w:tc>
          <w:tcPr>
            <w:tcW w:w="1178"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0"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4</w:t>
            </w:r>
          </w:p>
        </w:tc>
        <w:tc>
          <w:tcPr>
            <w:tcW w:w="328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加快推进区内产业转型升级，逐步淘汰现有不符合区域发展定位和环境保护要求的企业。结合区域大气污染防治要求，加快能源结构升级改造和使用清洁能源，促进区域大气环境质量逐步改善。与规划功能、产业定位不相符的现有企业有序转移到与规划相符的片区。</w:t>
            </w:r>
          </w:p>
        </w:tc>
        <w:tc>
          <w:tcPr>
            <w:tcW w:w="337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本技改项目为</w:t>
            </w:r>
            <w:r>
              <w:rPr>
                <w:rFonts w:hint="eastAsia" w:eastAsia="宋体"/>
                <w:color w:val="000000" w:themeColor="text1"/>
                <w:lang w:eastAsia="zh-CN"/>
              </w:rPr>
              <w:t>铁精矿再选</w:t>
            </w:r>
            <w:r>
              <w:rPr>
                <w:rFonts w:eastAsia="宋体"/>
                <w:color w:val="000000" w:themeColor="text1"/>
                <w:lang w:eastAsia="zh-CN"/>
              </w:rPr>
              <w:t>项目，符合园区定位，项目能源均使用电能，属于清洁能源。</w:t>
            </w:r>
          </w:p>
        </w:tc>
        <w:tc>
          <w:tcPr>
            <w:tcW w:w="1178"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0"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5</w:t>
            </w:r>
          </w:p>
        </w:tc>
        <w:tc>
          <w:tcPr>
            <w:tcW w:w="328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建立健全区域环境风险防范和生态安全保障体系。加强区内重要风险源管控，统筹考虑区内污染防治、生态恢复与建设、环境风险防范、环境管理等事宜；强化园区危险化学品储运及尾矿库的环境风险管理，建立应急响应联动机制。</w:t>
            </w:r>
          </w:p>
        </w:tc>
        <w:tc>
          <w:tcPr>
            <w:tcW w:w="337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项目危险物质主要为废机油，废机油暂存在危废暂存间，交于有资质单位处置，尾矿库均做了环境突发事件应急预案及安全应急预案</w:t>
            </w:r>
          </w:p>
        </w:tc>
        <w:tc>
          <w:tcPr>
            <w:tcW w:w="1178"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0"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6</w:t>
            </w:r>
          </w:p>
        </w:tc>
        <w:tc>
          <w:tcPr>
            <w:tcW w:w="328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建立完善环境监测制度。根据园区功能分区、产业布局、重点企业分布、特征污染物的排放种类和状况、环境敏感目标分布等情况，做好区内大气、水、土壊等环境的长期跟踪监测与管理。</w:t>
            </w:r>
          </w:p>
        </w:tc>
        <w:tc>
          <w:tcPr>
            <w:tcW w:w="337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本次环评对大气、地表水、地下水及土壤做了补充监测</w:t>
            </w:r>
            <w:r>
              <w:rPr>
                <w:rStyle w:val="73"/>
                <w:rFonts w:hint="eastAsia" w:eastAsia="宋体"/>
                <w:smallCaps w:val="0"/>
                <w:color w:val="000000" w:themeColor="text1"/>
                <w:lang w:eastAsia="zh-CN" w:bidi="ar-SA"/>
              </w:rPr>
              <w:t>，</w:t>
            </w:r>
            <w:r>
              <w:rPr>
                <w:rFonts w:hint="eastAsia"/>
                <w:color w:val="000000" w:themeColor="text1"/>
                <w:lang w:eastAsia="zh-CN"/>
              </w:rPr>
              <w:t>环评要求进行长期跟踪监测和管理</w:t>
            </w:r>
          </w:p>
        </w:tc>
        <w:tc>
          <w:tcPr>
            <w:tcW w:w="1178"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0"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7</w:t>
            </w:r>
          </w:p>
        </w:tc>
        <w:tc>
          <w:tcPr>
            <w:tcW w:w="328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拟入园建设项目，应结合规划环评提出的指导意见做好环境影响评价工作，落实规划环评提出的要求，加强与规划环评的联动，重点开展工程分析、污染物允许排放量测算和环保措施的可行性论证等内容，强化环境监测和环境保护相关措施的落实。规划环评中环境协调性分析、环境现状、污染源调查等资料可供建设项目环评引用，建设项目相应环境影响评价内容可结合实际情况予以简化</w:t>
            </w:r>
          </w:p>
        </w:tc>
        <w:tc>
          <w:tcPr>
            <w:tcW w:w="3375"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本项目严格落实规划环评提出的指导意见，环评手续正在办理。</w:t>
            </w:r>
          </w:p>
        </w:tc>
        <w:tc>
          <w:tcPr>
            <w:tcW w:w="1178" w:type="dxa"/>
            <w:vAlign w:val="center"/>
          </w:tcPr>
          <w:p>
            <w:pPr>
              <w:pStyle w:val="51"/>
              <w:spacing w:line="240" w:lineRule="auto"/>
              <w:ind w:left="0" w:firstLine="0" w:firstLineChars="0"/>
              <w:jc w:val="center"/>
              <w:rPr>
                <w:rFonts w:eastAsia="宋体"/>
                <w:color w:val="000000" w:themeColor="text1"/>
                <w:lang w:eastAsia="zh-CN"/>
              </w:rPr>
            </w:pPr>
            <w:r>
              <w:rPr>
                <w:rFonts w:eastAsia="宋体"/>
                <w:color w:val="000000" w:themeColor="text1"/>
                <w:lang w:eastAsia="zh-CN"/>
              </w:rPr>
              <w:t>符合</w:t>
            </w:r>
          </w:p>
        </w:tc>
      </w:tr>
    </w:tbl>
    <w:p>
      <w:pPr>
        <w:ind w:firstLine="480"/>
        <w:rPr>
          <w:color w:val="000000" w:themeColor="text1"/>
          <w:szCs w:val="24"/>
        </w:rPr>
      </w:pPr>
      <w:r>
        <w:rPr>
          <w:color w:val="000000" w:themeColor="text1"/>
          <w:szCs w:val="24"/>
        </w:rPr>
        <w:t>综上，项目与园区规划环评审查意见相符。</w:t>
      </w:r>
    </w:p>
    <w:p>
      <w:pPr>
        <w:pStyle w:val="51"/>
        <w:ind w:firstLine="480"/>
        <w:rPr>
          <w:color w:val="000000" w:themeColor="text1"/>
          <w:lang w:eastAsia="zh-CN"/>
        </w:rPr>
      </w:pPr>
      <w:r>
        <w:rPr>
          <w:color w:val="000000" w:themeColor="text1"/>
          <w:sz w:val="24"/>
          <w:szCs w:val="24"/>
          <w:lang w:eastAsia="zh-CN"/>
        </w:rPr>
        <w:t>综上所述，技改项目符合《新平工业园区总体规划修编（2018-2035）环境影响报告书》审查意见污染治理相关要求。</w:t>
      </w:r>
      <w:bookmarkEnd w:id="12"/>
    </w:p>
    <w:p>
      <w:pPr>
        <w:pStyle w:val="134"/>
        <w:ind w:firstLine="480"/>
        <w:rPr>
          <w:rFonts w:eastAsiaTheme="minorEastAsia"/>
          <w:color w:val="000000" w:themeColor="text1"/>
        </w:rPr>
      </w:pPr>
      <w:r>
        <w:rPr>
          <w:rFonts w:eastAsiaTheme="minorEastAsia"/>
          <w:color w:val="000000" w:themeColor="text1"/>
        </w:rPr>
        <w:t>（三）三线一单符合性</w:t>
      </w:r>
    </w:p>
    <w:p>
      <w:pPr>
        <w:kinsoku w:val="0"/>
        <w:overflowPunct w:val="0"/>
        <w:autoSpaceDE w:val="0"/>
        <w:autoSpaceDN w:val="0"/>
        <w:adjustRightInd w:val="0"/>
        <w:snapToGrid w:val="0"/>
        <w:ind w:firstLine="480"/>
        <w:rPr>
          <w:color w:val="000000" w:themeColor="text1"/>
          <w:szCs w:val="24"/>
        </w:rPr>
      </w:pPr>
      <w:r>
        <w:rPr>
          <w:rFonts w:hint="eastAsia"/>
          <w:color w:val="000000" w:themeColor="text1"/>
          <w:szCs w:val="24"/>
        </w:rPr>
        <w:t>（1）</w:t>
      </w:r>
      <w:r>
        <w:rPr>
          <w:color w:val="000000" w:themeColor="text1"/>
          <w:szCs w:val="24"/>
        </w:rPr>
        <w:t>与《云南省人民政府关于实施“三线一单”生态环境分区管控的意见》的符合性分析</w:t>
      </w:r>
    </w:p>
    <w:p>
      <w:pPr>
        <w:pStyle w:val="74"/>
        <w:wordWrap w:val="0"/>
        <w:ind w:left="0" w:right="0" w:firstLine="0" w:firstLineChars="0"/>
        <w:jc w:val="center"/>
        <w:rPr>
          <w:rFonts w:eastAsia="宋体"/>
          <w:bCs/>
          <w:i w:val="0"/>
          <w:iCs/>
          <w:color w:val="000000" w:themeColor="text1"/>
          <w:sz w:val="21"/>
          <w:szCs w:val="21"/>
        </w:rPr>
      </w:pPr>
    </w:p>
    <w:p>
      <w:pPr>
        <w:pStyle w:val="74"/>
        <w:wordWrap w:val="0"/>
        <w:ind w:left="0" w:right="0" w:firstLine="0" w:firstLineChars="0"/>
        <w:jc w:val="center"/>
        <w:rPr>
          <w:rFonts w:eastAsia="宋体"/>
          <w:bCs/>
          <w:i w:val="0"/>
          <w:iCs/>
          <w:color w:val="000000" w:themeColor="text1"/>
          <w:sz w:val="21"/>
          <w:szCs w:val="21"/>
        </w:rPr>
      </w:pPr>
    </w:p>
    <w:p>
      <w:pPr>
        <w:pStyle w:val="74"/>
        <w:wordWrap w:val="0"/>
        <w:ind w:left="0" w:right="0" w:firstLine="0" w:firstLineChars="0"/>
        <w:jc w:val="center"/>
        <w:rPr>
          <w:rFonts w:eastAsia="宋体"/>
          <w:bCs/>
          <w:i w:val="0"/>
          <w:iCs/>
          <w:color w:val="000000" w:themeColor="text1"/>
          <w:sz w:val="21"/>
          <w:szCs w:val="21"/>
        </w:rPr>
      </w:pPr>
    </w:p>
    <w:p>
      <w:pPr>
        <w:pStyle w:val="74"/>
        <w:wordWrap w:val="0"/>
        <w:ind w:left="0" w:right="0" w:firstLine="0" w:firstLineChars="0"/>
        <w:jc w:val="center"/>
        <w:rPr>
          <w:rFonts w:eastAsia="宋体"/>
          <w:bCs/>
          <w:i w:val="0"/>
          <w:iCs/>
          <w:color w:val="000000" w:themeColor="text1"/>
          <w:sz w:val="21"/>
          <w:szCs w:val="21"/>
        </w:rPr>
      </w:pPr>
    </w:p>
    <w:p>
      <w:pPr>
        <w:pStyle w:val="74"/>
        <w:wordWrap w:val="0"/>
        <w:ind w:left="0" w:right="0" w:firstLine="0" w:firstLineChars="0"/>
        <w:jc w:val="center"/>
        <w:rPr>
          <w:rFonts w:eastAsia="宋体"/>
          <w:bCs/>
          <w:i w:val="0"/>
          <w:iCs/>
          <w:color w:val="000000" w:themeColor="text1"/>
          <w:sz w:val="21"/>
          <w:szCs w:val="21"/>
        </w:rPr>
      </w:pPr>
    </w:p>
    <w:p>
      <w:pPr>
        <w:pStyle w:val="74"/>
        <w:wordWrap w:val="0"/>
        <w:ind w:left="0" w:right="0" w:firstLine="0" w:firstLineChars="0"/>
        <w:jc w:val="center"/>
        <w:rPr>
          <w:rFonts w:eastAsia="宋体"/>
          <w:bCs/>
          <w:i w:val="0"/>
          <w:iCs/>
          <w:color w:val="000000" w:themeColor="text1"/>
          <w:sz w:val="21"/>
          <w:szCs w:val="21"/>
        </w:rPr>
      </w:pPr>
      <w:r>
        <w:rPr>
          <w:rFonts w:hint="eastAsia" w:eastAsia="宋体"/>
          <w:bCs/>
          <w:i w:val="0"/>
          <w:iCs/>
          <w:color w:val="000000" w:themeColor="text1"/>
          <w:sz w:val="21"/>
          <w:szCs w:val="21"/>
        </w:rPr>
        <w:t>表1-4“三线一单”生态环境分区管控的意见符合性分析</w:t>
      </w:r>
    </w:p>
    <w:tbl>
      <w:tblPr>
        <w:tblStyle w:val="62"/>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265"/>
        <w:gridCol w:w="3955"/>
        <w:gridCol w:w="1622"/>
        <w:gridCol w:w="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944" w:type="dxa"/>
            <w:gridSpan w:val="3"/>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13" w:name="_Toc1455"/>
            <w:bookmarkStart w:id="14" w:name="_Toc5840"/>
            <w:bookmarkStart w:id="15" w:name="_Toc27208"/>
            <w:bookmarkStart w:id="16" w:name="_Toc25265"/>
            <w:bookmarkStart w:id="17" w:name="_Toc31906"/>
            <w:r>
              <w:rPr>
                <w:rFonts w:ascii="Times New Roman" w:hAnsi="Times New Roman"/>
                <w:b w:val="0"/>
                <w:bCs w:val="0"/>
                <w:color w:val="000000" w:themeColor="text1"/>
                <w:sz w:val="21"/>
                <w:szCs w:val="21"/>
              </w:rPr>
              <w:t>文件要求</w:t>
            </w:r>
            <w:bookmarkEnd w:id="13"/>
            <w:bookmarkEnd w:id="14"/>
            <w:bookmarkEnd w:id="15"/>
            <w:bookmarkEnd w:id="16"/>
            <w:bookmarkEnd w:id="17"/>
          </w:p>
        </w:tc>
        <w:tc>
          <w:tcPr>
            <w:tcW w:w="162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18" w:name="_Toc3569"/>
            <w:bookmarkStart w:id="19" w:name="_Toc23554"/>
            <w:bookmarkStart w:id="20" w:name="_Toc26104"/>
            <w:bookmarkStart w:id="21" w:name="_Toc17157"/>
            <w:bookmarkStart w:id="22" w:name="_Toc16385"/>
            <w:r>
              <w:rPr>
                <w:rFonts w:ascii="Times New Roman" w:hAnsi="Times New Roman"/>
                <w:b w:val="0"/>
                <w:bCs w:val="0"/>
                <w:color w:val="000000" w:themeColor="text1"/>
                <w:sz w:val="21"/>
                <w:szCs w:val="21"/>
              </w:rPr>
              <w:t>项目情况</w:t>
            </w:r>
            <w:bookmarkEnd w:id="18"/>
            <w:bookmarkEnd w:id="19"/>
            <w:bookmarkEnd w:id="20"/>
            <w:bookmarkEnd w:id="21"/>
            <w:bookmarkEnd w:id="22"/>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23" w:name="_Toc30797"/>
            <w:bookmarkStart w:id="24" w:name="_Toc2575"/>
            <w:bookmarkStart w:id="25" w:name="_Toc14591"/>
            <w:bookmarkStart w:id="26" w:name="_Toc18781"/>
            <w:bookmarkStart w:id="27" w:name="_Toc9108"/>
            <w:r>
              <w:rPr>
                <w:rFonts w:ascii="Times New Roman" w:hAnsi="Times New Roman"/>
                <w:b w:val="0"/>
                <w:bCs w:val="0"/>
                <w:color w:val="000000" w:themeColor="text1"/>
                <w:sz w:val="21"/>
                <w:szCs w:val="21"/>
              </w:rPr>
              <w:t>是否符合</w:t>
            </w:r>
            <w:bookmarkEnd w:id="23"/>
            <w:bookmarkEnd w:id="24"/>
            <w:bookmarkEnd w:id="25"/>
            <w:bookmarkEnd w:id="26"/>
            <w:bookmarkEnd w:id="2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4" w:type="dxa"/>
            <w:vMerge w:val="restart"/>
            <w:vAlign w:val="center"/>
          </w:tcPr>
          <w:p>
            <w:pPr>
              <w:pStyle w:val="5"/>
              <w:keepNext w:val="0"/>
              <w:keepLines w:val="0"/>
              <w:kinsoku w:val="0"/>
              <w:overflowPunct w:val="0"/>
              <w:autoSpaceDE w:val="0"/>
              <w:autoSpaceDN w:val="0"/>
              <w:adjustRightInd w:val="0"/>
              <w:snapToGrid w:val="0"/>
              <w:spacing w:line="240" w:lineRule="auto"/>
              <w:jc w:val="both"/>
              <w:outlineLvl w:val="1"/>
              <w:rPr>
                <w:rFonts w:ascii="Times New Roman" w:hAnsi="Times New Roman"/>
                <w:b w:val="0"/>
                <w:bCs w:val="0"/>
                <w:color w:val="000000" w:themeColor="text1"/>
                <w:sz w:val="21"/>
                <w:szCs w:val="21"/>
              </w:rPr>
            </w:pPr>
            <w:bookmarkStart w:id="28" w:name="_Toc10274"/>
            <w:bookmarkStart w:id="29" w:name="_Toc27636"/>
            <w:bookmarkStart w:id="30" w:name="_Toc3601"/>
            <w:bookmarkStart w:id="31" w:name="_Toc19569"/>
            <w:bookmarkStart w:id="32" w:name="_Toc8698"/>
            <w:r>
              <w:rPr>
                <w:rFonts w:ascii="Times New Roman" w:hAnsi="Times New Roman"/>
                <w:b w:val="0"/>
                <w:bCs w:val="0"/>
                <w:color w:val="000000" w:themeColor="text1"/>
                <w:sz w:val="21"/>
                <w:szCs w:val="21"/>
              </w:rPr>
              <w:t>二、明确生态保护红线、环境质量底线和资源利用上线</w:t>
            </w:r>
            <w:bookmarkEnd w:id="28"/>
            <w:bookmarkEnd w:id="29"/>
            <w:bookmarkEnd w:id="30"/>
            <w:bookmarkEnd w:id="31"/>
            <w:bookmarkEnd w:id="32"/>
          </w:p>
        </w:tc>
        <w:tc>
          <w:tcPr>
            <w:tcW w:w="1265"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33" w:name="_Toc30093"/>
            <w:bookmarkStart w:id="34" w:name="_Toc3076"/>
            <w:bookmarkStart w:id="35" w:name="_Toc32559"/>
            <w:bookmarkStart w:id="36" w:name="_Toc25561"/>
            <w:bookmarkStart w:id="37" w:name="_Toc18008"/>
            <w:r>
              <w:rPr>
                <w:rFonts w:ascii="Times New Roman" w:hAnsi="Times New Roman"/>
                <w:b w:val="0"/>
                <w:bCs w:val="0"/>
                <w:color w:val="000000" w:themeColor="text1"/>
                <w:sz w:val="21"/>
                <w:szCs w:val="21"/>
              </w:rPr>
              <w:t>/</w:t>
            </w:r>
            <w:bookmarkEnd w:id="33"/>
            <w:bookmarkEnd w:id="34"/>
            <w:bookmarkEnd w:id="35"/>
            <w:bookmarkEnd w:id="36"/>
            <w:bookmarkEnd w:id="37"/>
          </w:p>
        </w:tc>
        <w:tc>
          <w:tcPr>
            <w:tcW w:w="3955" w:type="dxa"/>
            <w:vAlign w:val="center"/>
          </w:tcPr>
          <w:p>
            <w:pPr>
              <w:kinsoku w:val="0"/>
              <w:overflowPunct w:val="0"/>
              <w:autoSpaceDE w:val="0"/>
              <w:autoSpaceDN w:val="0"/>
              <w:adjustRightInd w:val="0"/>
              <w:snapToGrid w:val="0"/>
              <w:spacing w:line="240" w:lineRule="auto"/>
              <w:ind w:firstLine="420"/>
              <w:jc w:val="center"/>
              <w:rPr>
                <w:color w:val="000000" w:themeColor="text1"/>
                <w:sz w:val="21"/>
                <w:szCs w:val="21"/>
              </w:rPr>
            </w:pPr>
            <w:r>
              <w:rPr>
                <w:color w:val="000000" w:themeColor="text1"/>
                <w:sz w:val="21"/>
                <w:szCs w:val="21"/>
              </w:rPr>
              <w:t>（一）生态保护红线和一般生态空间。执行省人民政府发布的《云南省生态保护红线》，将未划入生态保护红线的自然保护地、饮用水水源保护区、重要湿地、基本草原、生态公益林、天然林等生态功能重要、生态环境敏感区域划为一般生态空间。</w:t>
            </w:r>
          </w:p>
        </w:tc>
        <w:tc>
          <w:tcPr>
            <w:tcW w:w="1622" w:type="dxa"/>
            <w:vAlign w:val="center"/>
          </w:tcPr>
          <w:p>
            <w:pPr>
              <w:pStyle w:val="5"/>
              <w:keepNext w:val="0"/>
              <w:keepLines w:val="0"/>
              <w:kinsoku w:val="0"/>
              <w:overflowPunct w:val="0"/>
              <w:autoSpaceDE w:val="0"/>
              <w:autoSpaceDN w:val="0"/>
              <w:adjustRightInd w:val="0"/>
              <w:snapToGrid w:val="0"/>
              <w:spacing w:line="240" w:lineRule="auto"/>
              <w:jc w:val="both"/>
              <w:outlineLvl w:val="1"/>
              <w:rPr>
                <w:rFonts w:ascii="Times New Roman" w:hAnsi="Times New Roman"/>
                <w:b w:val="0"/>
                <w:bCs w:val="0"/>
                <w:color w:val="000000" w:themeColor="text1"/>
                <w:sz w:val="21"/>
                <w:szCs w:val="21"/>
              </w:rPr>
            </w:pPr>
            <w:bookmarkStart w:id="38" w:name="_Toc29653"/>
            <w:bookmarkStart w:id="39" w:name="_Toc1934"/>
            <w:bookmarkStart w:id="40" w:name="_Toc16838"/>
            <w:bookmarkStart w:id="41" w:name="_Toc32459"/>
            <w:bookmarkStart w:id="42" w:name="_Toc16830"/>
            <w:r>
              <w:rPr>
                <w:rFonts w:hint="eastAsia" w:ascii="Times New Roman" w:hAnsi="Times New Roman"/>
                <w:b w:val="0"/>
                <w:bCs w:val="0"/>
                <w:color w:val="000000" w:themeColor="text1"/>
                <w:sz w:val="21"/>
                <w:szCs w:val="21"/>
              </w:rPr>
              <w:t>本项目不新增用地，不涉及占用生态红线</w:t>
            </w:r>
            <w:bookmarkEnd w:id="38"/>
            <w:bookmarkEnd w:id="39"/>
            <w:bookmarkEnd w:id="40"/>
            <w:bookmarkEnd w:id="41"/>
            <w:r>
              <w:rPr>
                <w:rStyle w:val="73"/>
                <w:rFonts w:hint="eastAsia" w:ascii="Times New Roman" w:hAnsi="Times New Roman"/>
                <w:b w:val="0"/>
                <w:bCs w:val="0"/>
                <w:color w:val="000000" w:themeColor="text1"/>
              </w:rPr>
              <w:t>和一般生态空间</w:t>
            </w:r>
            <w:bookmarkEnd w:id="42"/>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43" w:name="_Toc7705"/>
            <w:bookmarkStart w:id="44" w:name="_Toc5791"/>
            <w:bookmarkStart w:id="45" w:name="_Toc28823"/>
            <w:bookmarkStart w:id="46" w:name="_Toc5177"/>
            <w:bookmarkStart w:id="47" w:name="_Toc21497"/>
            <w:r>
              <w:rPr>
                <w:rFonts w:ascii="Times New Roman" w:hAnsi="Times New Roman"/>
                <w:b w:val="0"/>
                <w:bCs w:val="0"/>
                <w:color w:val="000000" w:themeColor="text1"/>
                <w:sz w:val="21"/>
                <w:szCs w:val="21"/>
              </w:rPr>
              <w:t>符合</w:t>
            </w:r>
            <w:bookmarkEnd w:id="43"/>
            <w:bookmarkEnd w:id="44"/>
            <w:bookmarkEnd w:id="45"/>
            <w:bookmarkEnd w:id="46"/>
            <w:bookmarkEnd w:id="4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4"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1265" w:type="dxa"/>
            <w:vMerge w:val="restart"/>
            <w:vAlign w:val="center"/>
          </w:tcPr>
          <w:p>
            <w:pPr>
              <w:kinsoku w:val="0"/>
              <w:overflowPunct w:val="0"/>
              <w:autoSpaceDE w:val="0"/>
              <w:autoSpaceDN w:val="0"/>
              <w:adjustRightInd w:val="0"/>
              <w:snapToGrid w:val="0"/>
              <w:spacing w:line="240" w:lineRule="auto"/>
              <w:ind w:firstLine="0" w:firstLineChars="0"/>
              <w:jc w:val="center"/>
              <w:rPr>
                <w:color w:val="000000" w:themeColor="text1"/>
                <w:sz w:val="21"/>
                <w:szCs w:val="21"/>
              </w:rPr>
            </w:pPr>
            <w:r>
              <w:rPr>
                <w:color w:val="000000" w:themeColor="text1"/>
                <w:sz w:val="21"/>
                <w:szCs w:val="21"/>
              </w:rPr>
              <w:t>（二）环境质量底线</w:t>
            </w:r>
          </w:p>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3955" w:type="dxa"/>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bookmarkStart w:id="48" w:name="_Toc10051"/>
            <w:bookmarkStart w:id="49" w:name="_Toc19278"/>
            <w:bookmarkStart w:id="50" w:name="_Toc14886"/>
            <w:bookmarkStart w:id="51" w:name="_Toc5906"/>
            <w:bookmarkStart w:id="52" w:name="_Toc30982"/>
            <w:r>
              <w:rPr>
                <w:rFonts w:ascii="Times New Roman" w:hAnsi="Times New Roman"/>
                <w:b w:val="0"/>
                <w:bCs w:val="0"/>
                <w:color w:val="000000" w:themeColor="text1"/>
                <w:sz w:val="21"/>
                <w:szCs w:val="21"/>
              </w:rPr>
              <w:t>1.水环境质量底线。到2020年底，全省水环境质量总体良好，纳入国家考核的100个地表水监测断面水质优良（达到或优于Ⅲ类）的比例达到73%以上、劣于Ⅴ类的比例控制在6%以内，省级考核的50个地表水监测断面水质达到水环境功能要求；九大高原湖泊水质稳定改善，达到考核目标；珠江、长江和西南诸河流域优良水体比例分别达到68.7%、50%和91.7%以上；州市级、县级集中式饮用水水源</w:t>
            </w:r>
            <w:r>
              <w:rPr>
                <w:rFonts w:hint="eastAsia" w:ascii="Times New Roman" w:hAnsi="Times New Roman"/>
                <w:b w:val="0"/>
                <w:bCs w:val="0"/>
                <w:color w:val="000000" w:themeColor="text1"/>
                <w:sz w:val="21"/>
                <w:szCs w:val="21"/>
              </w:rPr>
              <w:t>水</w:t>
            </w:r>
            <w:r>
              <w:rPr>
                <w:rFonts w:ascii="Times New Roman" w:hAnsi="Times New Roman"/>
                <w:b w:val="0"/>
                <w:bCs w:val="0"/>
                <w:color w:val="000000" w:themeColor="text1"/>
                <w:sz w:val="21"/>
                <w:szCs w:val="21"/>
              </w:rPr>
              <w:t>质达到或优于Ⅲ类的比例分别达到97.2%、95%以上；地级城市建成区黑臭水体消除比例达到95%以上。到2025年，纳入国家和省级考核的地表水监测断面水质优良率稳步提升，重点区域、流域水环境质量进一步改善，基本消除劣Ⅴ类水体，集中式饮用水水源水质巩固改善。到2035年，地表水体水质优良率全面提升，各监测断面水质达到水环境功能要求，消除劣Ⅴ类水体，集中式饮用水水源水质稳定达标。</w:t>
            </w:r>
            <w:bookmarkEnd w:id="48"/>
            <w:bookmarkEnd w:id="49"/>
            <w:bookmarkEnd w:id="50"/>
            <w:bookmarkEnd w:id="51"/>
            <w:bookmarkEnd w:id="52"/>
          </w:p>
        </w:tc>
        <w:tc>
          <w:tcPr>
            <w:tcW w:w="162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53" w:name="_Toc30499"/>
            <w:bookmarkStart w:id="54" w:name="_Toc1505"/>
            <w:bookmarkStart w:id="55" w:name="_Toc14051"/>
            <w:bookmarkStart w:id="56" w:name="_Toc1735"/>
            <w:bookmarkStart w:id="57" w:name="_Toc13104"/>
            <w:r>
              <w:rPr>
                <w:rFonts w:ascii="Times New Roman" w:hAnsi="Times New Roman"/>
                <w:b w:val="0"/>
                <w:bCs w:val="0"/>
                <w:color w:val="000000" w:themeColor="text1"/>
                <w:sz w:val="21"/>
                <w:szCs w:val="21"/>
              </w:rPr>
              <w:t>本项目水环境质量为</w:t>
            </w:r>
            <w:r>
              <w:rPr>
                <w:rFonts w:hint="eastAsia" w:ascii="Times New Roman" w:hAnsi="Times New Roman"/>
                <w:b w:val="0"/>
                <w:bCs w:val="0"/>
                <w:color w:val="000000" w:themeColor="text1"/>
                <w:sz w:val="21"/>
                <w:szCs w:val="21"/>
              </w:rPr>
              <w:t>Ⅲ</w:t>
            </w:r>
            <w:r>
              <w:rPr>
                <w:rFonts w:ascii="Times New Roman" w:hAnsi="Times New Roman"/>
                <w:b w:val="0"/>
                <w:bCs w:val="0"/>
                <w:color w:val="000000" w:themeColor="text1"/>
                <w:sz w:val="21"/>
                <w:szCs w:val="21"/>
              </w:rPr>
              <w:t>类，达到水环境功能要求</w:t>
            </w:r>
            <w:r>
              <w:rPr>
                <w:rFonts w:hint="eastAsia" w:ascii="Times New Roman" w:hAnsi="Times New Roman"/>
                <w:b w:val="0"/>
                <w:bCs w:val="0"/>
                <w:color w:val="000000" w:themeColor="text1"/>
                <w:sz w:val="21"/>
                <w:szCs w:val="21"/>
              </w:rPr>
              <w:t>。本项目附近不涉及</w:t>
            </w:r>
            <w:r>
              <w:rPr>
                <w:rFonts w:ascii="Times New Roman" w:hAnsi="Times New Roman"/>
                <w:b w:val="0"/>
                <w:bCs w:val="0"/>
                <w:color w:val="000000" w:themeColor="text1"/>
                <w:sz w:val="21"/>
                <w:szCs w:val="21"/>
              </w:rPr>
              <w:t>集中式饮用水水源</w:t>
            </w:r>
            <w:bookmarkEnd w:id="53"/>
            <w:bookmarkEnd w:id="54"/>
            <w:bookmarkEnd w:id="55"/>
            <w:bookmarkEnd w:id="56"/>
            <w:r>
              <w:rPr>
                <w:rFonts w:hint="eastAsia" w:ascii="Times New Roman" w:hAnsi="Times New Roman"/>
                <w:b w:val="0"/>
                <w:bCs w:val="0"/>
                <w:color w:val="000000" w:themeColor="text1"/>
                <w:sz w:val="21"/>
                <w:szCs w:val="21"/>
              </w:rPr>
              <w:t>，，项目不外排污水，不影响水质提升目标</w:t>
            </w:r>
            <w:bookmarkEnd w:id="57"/>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58" w:name="_Toc23146"/>
            <w:bookmarkStart w:id="59" w:name="_Toc21193"/>
            <w:bookmarkStart w:id="60" w:name="_Toc10674"/>
            <w:bookmarkStart w:id="61" w:name="_Toc32273"/>
            <w:bookmarkStart w:id="62" w:name="_Toc9444"/>
            <w:r>
              <w:rPr>
                <w:rFonts w:ascii="Times New Roman" w:hAnsi="Times New Roman"/>
                <w:b w:val="0"/>
                <w:bCs w:val="0"/>
                <w:color w:val="000000" w:themeColor="text1"/>
                <w:sz w:val="21"/>
                <w:szCs w:val="21"/>
              </w:rPr>
              <w:t>符合</w:t>
            </w:r>
            <w:bookmarkEnd w:id="58"/>
            <w:bookmarkEnd w:id="59"/>
            <w:bookmarkEnd w:id="60"/>
            <w:bookmarkEnd w:id="61"/>
            <w:bookmarkEnd w:id="6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4"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1265"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3955" w:type="dxa"/>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bookmarkStart w:id="63" w:name="_Toc17186"/>
            <w:bookmarkStart w:id="64" w:name="_Toc2646"/>
            <w:bookmarkStart w:id="65" w:name="_Toc27458"/>
            <w:bookmarkStart w:id="66" w:name="_Toc21167"/>
            <w:bookmarkStart w:id="67" w:name="_Toc29454"/>
            <w:r>
              <w:rPr>
                <w:rFonts w:ascii="Times New Roman" w:hAnsi="Times New Roman"/>
                <w:b w:val="0"/>
                <w:bCs w:val="0"/>
                <w:color w:val="000000" w:themeColor="text1"/>
                <w:sz w:val="21"/>
                <w:szCs w:val="21"/>
              </w:rPr>
              <w:t>2.大气环境质量底线。到2020年底，全省环境空气质量总体保持优良，二氧化硫、氮氧化物排放总量较2015年下降1%；细颗粒物（PM2.5）和可吸入颗粒物（PM10）等主要污染指标得到有效控制；州市级城市环境空气质量达到国家二级标准，优良天数比率达到97.2%以上。到2025年，环境空气质量稳中向好，州市级城市环境空气质量稳定达到国家二级标准。到2035年，环境空气质量全面改善，州市级、县级城市环境空气质量稳定达到国家二级标准。</w:t>
            </w:r>
            <w:bookmarkEnd w:id="63"/>
            <w:bookmarkEnd w:id="64"/>
            <w:bookmarkEnd w:id="65"/>
            <w:bookmarkEnd w:id="66"/>
            <w:bookmarkEnd w:id="67"/>
          </w:p>
        </w:tc>
        <w:tc>
          <w:tcPr>
            <w:tcW w:w="162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68" w:name="_Toc18045"/>
            <w:bookmarkStart w:id="69" w:name="_Toc23148"/>
            <w:bookmarkStart w:id="70" w:name="_Toc6497"/>
            <w:bookmarkStart w:id="71" w:name="_Toc15875"/>
            <w:bookmarkStart w:id="72" w:name="_Toc31107"/>
            <w:r>
              <w:rPr>
                <w:rFonts w:ascii="Times New Roman" w:hAnsi="Times New Roman"/>
                <w:b w:val="0"/>
                <w:bCs w:val="0"/>
                <w:color w:val="000000" w:themeColor="text1"/>
                <w:sz w:val="21"/>
                <w:szCs w:val="21"/>
              </w:rPr>
              <w:t>项目所在地环境空气质量能达到国家二级标准。</w:t>
            </w:r>
            <w:bookmarkEnd w:id="68"/>
            <w:bookmarkEnd w:id="69"/>
            <w:bookmarkEnd w:id="70"/>
            <w:bookmarkEnd w:id="71"/>
            <w:r>
              <w:rPr>
                <w:rStyle w:val="73"/>
                <w:rFonts w:hint="eastAsia" w:ascii="Times New Roman" w:hAnsi="Times New Roman"/>
                <w:b w:val="0"/>
                <w:bCs w:val="0"/>
                <w:color w:val="000000" w:themeColor="text1"/>
              </w:rPr>
              <w:t>所排放的大气污染物对环境空气的影响不大，不影响环境空气质量全面改善的实现目标</w:t>
            </w:r>
            <w:bookmarkEnd w:id="72"/>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73" w:name="_Toc28870"/>
            <w:bookmarkStart w:id="74" w:name="_Toc32302"/>
            <w:bookmarkStart w:id="75" w:name="_Toc26145"/>
            <w:bookmarkStart w:id="76" w:name="_Toc17158"/>
            <w:bookmarkStart w:id="77" w:name="_Toc13971"/>
            <w:r>
              <w:rPr>
                <w:rFonts w:ascii="Times New Roman" w:hAnsi="Times New Roman"/>
                <w:b w:val="0"/>
                <w:bCs w:val="0"/>
                <w:color w:val="000000" w:themeColor="text1"/>
                <w:sz w:val="21"/>
                <w:szCs w:val="21"/>
              </w:rPr>
              <w:t>符合</w:t>
            </w:r>
            <w:bookmarkEnd w:id="73"/>
            <w:bookmarkEnd w:id="74"/>
            <w:bookmarkEnd w:id="75"/>
            <w:bookmarkEnd w:id="76"/>
            <w:bookmarkEnd w:id="7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4"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1265"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3955" w:type="dxa"/>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bookmarkStart w:id="78" w:name="_Toc22709"/>
            <w:bookmarkStart w:id="79" w:name="_Toc22475"/>
            <w:bookmarkStart w:id="80" w:name="_Toc10528"/>
            <w:bookmarkStart w:id="81" w:name="_Toc14443"/>
            <w:bookmarkStart w:id="82" w:name="_Toc4596"/>
            <w:r>
              <w:rPr>
                <w:rFonts w:ascii="Times New Roman" w:hAnsi="Times New Roman"/>
                <w:b w:val="0"/>
                <w:bCs w:val="0"/>
                <w:color w:val="000000" w:themeColor="text1"/>
                <w:sz w:val="21"/>
                <w:szCs w:val="21"/>
              </w:rPr>
              <w:t>3.土壤环境风险防控底线。到2020年底，全省土壤环境质量总体保持稳定，农用地和建设用地土壤环境安全得到基本保障，土壤环境风险得到基本管控；受污染耕地安全利用率达到80%左右，污染地块安全利用率不低于90%。到2025年，土壤环境风险防范体系进一步完善，受污染耕地安全利用率和污染地块安全利用率进一步提高。到2035年，土壤环境质量稳中向好，农用地和建设用地土壤环境安全得到有效保障，土壤环境风险得到全面管控。</w:t>
            </w:r>
            <w:bookmarkEnd w:id="78"/>
            <w:bookmarkEnd w:id="79"/>
            <w:bookmarkEnd w:id="80"/>
            <w:bookmarkEnd w:id="81"/>
            <w:bookmarkEnd w:id="82"/>
          </w:p>
        </w:tc>
        <w:tc>
          <w:tcPr>
            <w:tcW w:w="162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83" w:name="_Toc12201"/>
            <w:bookmarkStart w:id="84" w:name="_Toc24248"/>
            <w:bookmarkStart w:id="85" w:name="_Toc8224"/>
            <w:bookmarkStart w:id="86" w:name="_Toc20981"/>
            <w:bookmarkStart w:id="87" w:name="_Toc28103"/>
            <w:r>
              <w:rPr>
                <w:rFonts w:hint="eastAsia" w:ascii="Times New Roman" w:hAnsi="Times New Roman"/>
                <w:b w:val="0"/>
                <w:bCs w:val="0"/>
                <w:color w:val="000000" w:themeColor="text1"/>
                <w:sz w:val="21"/>
                <w:szCs w:val="21"/>
              </w:rPr>
              <w:t>根据土壤环境质量监测结果，</w:t>
            </w:r>
            <w:r>
              <w:rPr>
                <w:rFonts w:ascii="Times New Roman" w:hAnsi="Times New Roman"/>
                <w:b w:val="0"/>
                <w:bCs w:val="0"/>
                <w:color w:val="000000" w:themeColor="text1"/>
                <w:sz w:val="21"/>
                <w:szCs w:val="21"/>
              </w:rPr>
              <w:t>项目所在地土壤质量能达到《土壤环境质量建设用地土壤污染风险管控标准》（GB36600-2018）中表1第二类用地标准</w:t>
            </w:r>
            <w:bookmarkEnd w:id="83"/>
            <w:bookmarkEnd w:id="84"/>
            <w:bookmarkEnd w:id="85"/>
            <w:bookmarkEnd w:id="86"/>
            <w:r>
              <w:rPr>
                <w:rStyle w:val="73"/>
                <w:rFonts w:hint="eastAsia" w:ascii="Times New Roman" w:hAnsi="Times New Roman"/>
                <w:b w:val="0"/>
                <w:bCs w:val="0"/>
                <w:color w:val="000000" w:themeColor="text1"/>
              </w:rPr>
              <w:t>，项目对土壤的影响不大</w:t>
            </w:r>
            <w:bookmarkEnd w:id="87"/>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88" w:name="_Toc23810"/>
            <w:bookmarkStart w:id="89" w:name="_Toc18916"/>
            <w:bookmarkStart w:id="90" w:name="_Toc6777"/>
            <w:bookmarkStart w:id="91" w:name="_Toc3939"/>
            <w:bookmarkStart w:id="92" w:name="_Toc30305"/>
            <w:r>
              <w:rPr>
                <w:rFonts w:ascii="Times New Roman" w:hAnsi="Times New Roman"/>
                <w:b w:val="0"/>
                <w:bCs w:val="0"/>
                <w:color w:val="000000" w:themeColor="text1"/>
                <w:sz w:val="21"/>
                <w:szCs w:val="21"/>
              </w:rPr>
              <w:t>符合</w:t>
            </w:r>
            <w:bookmarkEnd w:id="88"/>
            <w:bookmarkEnd w:id="89"/>
            <w:bookmarkEnd w:id="90"/>
            <w:bookmarkEnd w:id="91"/>
            <w:bookmarkEnd w:id="9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4"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1265" w:type="dxa"/>
            <w:vMerge w:val="restart"/>
            <w:vAlign w:val="center"/>
          </w:tcPr>
          <w:p>
            <w:pPr>
              <w:pStyle w:val="56"/>
              <w:widowControl w:val="0"/>
              <w:kinsoku w:val="0"/>
              <w:overflowPunct w:val="0"/>
              <w:autoSpaceDE w:val="0"/>
              <w:autoSpaceDN w:val="0"/>
              <w:adjustRightInd w:val="0"/>
              <w:snapToGrid w:val="0"/>
              <w:spacing w:beforeAutospacing="0" w:after="0" w:afterAutospacing="0" w:line="240" w:lineRule="auto"/>
              <w:ind w:firstLine="0" w:firstLineChars="0"/>
              <w:jc w:val="center"/>
              <w:rPr>
                <w:rFonts w:ascii="Times New Roman" w:hAnsi="Times New Roman" w:cs="Times New Roman"/>
                <w:color w:val="000000" w:themeColor="text1"/>
                <w:sz w:val="21"/>
                <w:szCs w:val="21"/>
                <w:lang w:eastAsia="zh-CN" w:bidi="ar-SA"/>
              </w:rPr>
            </w:pPr>
            <w:r>
              <w:rPr>
                <w:rFonts w:ascii="Times New Roman" w:hAnsi="Times New Roman" w:cs="Times New Roman"/>
                <w:color w:val="000000" w:themeColor="text1"/>
                <w:sz w:val="21"/>
                <w:szCs w:val="21"/>
                <w:lang w:eastAsia="zh-CN" w:bidi="ar-SA"/>
              </w:rPr>
              <w:t>（三）资源利用上线</w:t>
            </w:r>
          </w:p>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3955" w:type="dxa"/>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bookmarkStart w:id="93" w:name="_Toc28294"/>
            <w:bookmarkStart w:id="94" w:name="_Toc4992"/>
            <w:bookmarkStart w:id="95" w:name="_Toc26262"/>
            <w:bookmarkStart w:id="96" w:name="_Toc28805"/>
            <w:bookmarkStart w:id="97" w:name="_Toc14818"/>
            <w:r>
              <w:rPr>
                <w:rFonts w:ascii="Times New Roman" w:hAnsi="Times New Roman"/>
                <w:b w:val="0"/>
                <w:bCs w:val="0"/>
                <w:color w:val="000000" w:themeColor="text1"/>
                <w:sz w:val="21"/>
                <w:szCs w:val="21"/>
              </w:rPr>
              <w:t>1.水资源利用上线。到2020年底，全省年用水总量控制在214.6亿立方米以内。</w:t>
            </w:r>
            <w:bookmarkEnd w:id="93"/>
            <w:bookmarkEnd w:id="94"/>
            <w:bookmarkEnd w:id="95"/>
            <w:bookmarkEnd w:id="96"/>
            <w:bookmarkEnd w:id="97"/>
          </w:p>
        </w:tc>
        <w:tc>
          <w:tcPr>
            <w:tcW w:w="1622" w:type="dxa"/>
            <w:vAlign w:val="center"/>
          </w:tcPr>
          <w:p>
            <w:pPr>
              <w:pStyle w:val="5"/>
              <w:keepNext w:val="0"/>
              <w:keepLines w:val="0"/>
              <w:kinsoku w:val="0"/>
              <w:overflowPunct w:val="0"/>
              <w:autoSpaceDE w:val="0"/>
              <w:autoSpaceDN w:val="0"/>
              <w:adjustRightInd w:val="0"/>
              <w:snapToGrid w:val="0"/>
              <w:spacing w:line="240" w:lineRule="auto"/>
              <w:jc w:val="both"/>
              <w:outlineLvl w:val="1"/>
              <w:rPr>
                <w:rFonts w:ascii="Times New Roman" w:hAnsi="Times New Roman"/>
                <w:b w:val="0"/>
                <w:bCs w:val="0"/>
                <w:color w:val="000000" w:themeColor="text1"/>
                <w:sz w:val="21"/>
                <w:szCs w:val="21"/>
              </w:rPr>
            </w:pPr>
            <w:bookmarkStart w:id="98" w:name="_Toc9480"/>
            <w:bookmarkStart w:id="99" w:name="_Toc21510"/>
            <w:bookmarkStart w:id="100" w:name="_Toc18534"/>
            <w:bookmarkStart w:id="101" w:name="_Toc14101"/>
            <w:bookmarkStart w:id="102" w:name="_Toc31451"/>
            <w:r>
              <w:rPr>
                <w:rFonts w:ascii="Times New Roman" w:hAnsi="Times New Roman"/>
                <w:b w:val="0"/>
                <w:bCs w:val="0"/>
                <w:color w:val="000000" w:themeColor="text1"/>
                <w:sz w:val="21"/>
                <w:szCs w:val="21"/>
              </w:rPr>
              <w:t>项目年用水量为</w:t>
            </w:r>
            <w:r>
              <w:rPr>
                <w:rFonts w:hint="eastAsia" w:ascii="Times New Roman" w:hAnsi="Times New Roman"/>
                <w:b w:val="0"/>
                <w:bCs w:val="0"/>
                <w:color w:val="000000" w:themeColor="text1"/>
                <w:sz w:val="21"/>
                <w:szCs w:val="21"/>
              </w:rPr>
              <w:t>92700</w:t>
            </w:r>
            <w:r>
              <w:rPr>
                <w:rFonts w:ascii="Times New Roman" w:hAnsi="Times New Roman"/>
                <w:b w:val="0"/>
                <w:bCs w:val="0"/>
                <w:color w:val="000000" w:themeColor="text1"/>
                <w:sz w:val="21"/>
                <w:szCs w:val="21"/>
              </w:rPr>
              <w:t>m</w:t>
            </w:r>
            <w:r>
              <w:rPr>
                <w:rFonts w:ascii="Times New Roman" w:hAnsi="Times New Roman"/>
                <w:b w:val="0"/>
                <w:bCs w:val="0"/>
                <w:color w:val="000000" w:themeColor="text1"/>
                <w:sz w:val="21"/>
                <w:szCs w:val="21"/>
                <w:vertAlign w:val="superscript"/>
              </w:rPr>
              <w:t>3</w:t>
            </w:r>
            <w:bookmarkEnd w:id="98"/>
            <w:bookmarkEnd w:id="99"/>
            <w:bookmarkEnd w:id="100"/>
            <w:bookmarkEnd w:id="101"/>
            <w:bookmarkEnd w:id="102"/>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103" w:name="_Toc18063"/>
            <w:bookmarkStart w:id="104" w:name="_Toc306"/>
            <w:bookmarkStart w:id="105" w:name="_Toc32574"/>
            <w:bookmarkStart w:id="106" w:name="_Toc11208"/>
            <w:bookmarkStart w:id="107" w:name="_Toc31836"/>
            <w:r>
              <w:rPr>
                <w:rFonts w:ascii="Times New Roman" w:hAnsi="Times New Roman"/>
                <w:b w:val="0"/>
                <w:bCs w:val="0"/>
                <w:color w:val="000000" w:themeColor="text1"/>
                <w:sz w:val="21"/>
                <w:szCs w:val="21"/>
              </w:rPr>
              <w:t>符合</w:t>
            </w:r>
            <w:bookmarkEnd w:id="103"/>
            <w:bookmarkEnd w:id="104"/>
            <w:bookmarkEnd w:id="105"/>
            <w:bookmarkEnd w:id="106"/>
            <w:bookmarkEnd w:id="10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4"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1265"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3955" w:type="dxa"/>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bookmarkStart w:id="108" w:name="_Toc25687"/>
            <w:bookmarkStart w:id="109" w:name="_Toc5729"/>
            <w:bookmarkStart w:id="110" w:name="_Toc10338"/>
            <w:bookmarkStart w:id="111" w:name="_Toc27205"/>
            <w:bookmarkStart w:id="112" w:name="_Toc7445"/>
            <w:r>
              <w:rPr>
                <w:rFonts w:ascii="Times New Roman" w:hAnsi="Times New Roman"/>
                <w:b w:val="0"/>
                <w:bCs w:val="0"/>
                <w:color w:val="000000" w:themeColor="text1"/>
                <w:sz w:val="21"/>
                <w:szCs w:val="21"/>
              </w:rPr>
              <w:t>2.土地资源利用上线。到2020年底，全省耕地保有量不低于584.53万公顷，基本农田保护面积不低于489.4万公顷，建设用地总规模控制在115.4万公顷以内。</w:t>
            </w:r>
            <w:bookmarkEnd w:id="108"/>
            <w:bookmarkEnd w:id="109"/>
            <w:bookmarkEnd w:id="110"/>
            <w:bookmarkEnd w:id="111"/>
            <w:bookmarkEnd w:id="112"/>
          </w:p>
        </w:tc>
        <w:tc>
          <w:tcPr>
            <w:tcW w:w="1622" w:type="dxa"/>
            <w:vAlign w:val="center"/>
          </w:tcPr>
          <w:p>
            <w:pPr>
              <w:pStyle w:val="5"/>
              <w:keepNext w:val="0"/>
              <w:keepLines w:val="0"/>
              <w:kinsoku w:val="0"/>
              <w:overflowPunct w:val="0"/>
              <w:autoSpaceDE w:val="0"/>
              <w:autoSpaceDN w:val="0"/>
              <w:adjustRightInd w:val="0"/>
              <w:snapToGrid w:val="0"/>
              <w:spacing w:line="240" w:lineRule="auto"/>
              <w:jc w:val="both"/>
              <w:outlineLvl w:val="1"/>
              <w:rPr>
                <w:rFonts w:ascii="Times New Roman" w:hAnsi="Times New Roman"/>
                <w:b w:val="0"/>
                <w:bCs w:val="0"/>
                <w:color w:val="000000" w:themeColor="text1"/>
                <w:sz w:val="21"/>
                <w:szCs w:val="21"/>
              </w:rPr>
            </w:pPr>
            <w:bookmarkStart w:id="113" w:name="_Toc30978"/>
            <w:bookmarkStart w:id="114" w:name="_Toc22264"/>
            <w:bookmarkStart w:id="115" w:name="_Toc13228"/>
            <w:bookmarkStart w:id="116" w:name="_Toc26328"/>
            <w:bookmarkStart w:id="117" w:name="_Toc12993"/>
            <w:r>
              <w:rPr>
                <w:rFonts w:ascii="Times New Roman" w:hAnsi="Times New Roman"/>
                <w:b w:val="0"/>
                <w:bCs w:val="0"/>
                <w:color w:val="000000" w:themeColor="text1"/>
                <w:sz w:val="21"/>
                <w:szCs w:val="21"/>
              </w:rPr>
              <w:t>项目不</w:t>
            </w:r>
            <w:r>
              <w:rPr>
                <w:rFonts w:hint="eastAsia" w:ascii="Times New Roman" w:hAnsi="Times New Roman"/>
                <w:b w:val="0"/>
                <w:bCs w:val="0"/>
                <w:color w:val="000000" w:themeColor="text1"/>
                <w:sz w:val="21"/>
                <w:szCs w:val="21"/>
              </w:rPr>
              <w:t>新增</w:t>
            </w:r>
            <w:r>
              <w:rPr>
                <w:rFonts w:ascii="Times New Roman" w:hAnsi="Times New Roman"/>
                <w:b w:val="0"/>
                <w:bCs w:val="0"/>
                <w:color w:val="000000" w:themeColor="text1"/>
                <w:sz w:val="21"/>
                <w:szCs w:val="21"/>
              </w:rPr>
              <w:t>占地，不占用基本农田</w:t>
            </w:r>
            <w:bookmarkEnd w:id="113"/>
            <w:bookmarkEnd w:id="114"/>
            <w:bookmarkEnd w:id="115"/>
            <w:bookmarkEnd w:id="116"/>
            <w:bookmarkEnd w:id="117"/>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118" w:name="_Toc12206"/>
            <w:bookmarkStart w:id="119" w:name="_Toc13100"/>
            <w:bookmarkStart w:id="120" w:name="_Toc24296"/>
            <w:bookmarkStart w:id="121" w:name="_Toc26198"/>
            <w:bookmarkStart w:id="122" w:name="_Toc23874"/>
            <w:r>
              <w:rPr>
                <w:rFonts w:ascii="Times New Roman" w:hAnsi="Times New Roman"/>
                <w:b w:val="0"/>
                <w:bCs w:val="0"/>
                <w:color w:val="000000" w:themeColor="text1"/>
                <w:sz w:val="21"/>
                <w:szCs w:val="21"/>
              </w:rPr>
              <w:t>符合</w:t>
            </w:r>
            <w:bookmarkEnd w:id="118"/>
            <w:bookmarkEnd w:id="119"/>
            <w:bookmarkEnd w:id="120"/>
            <w:bookmarkEnd w:id="121"/>
            <w:bookmarkEnd w:id="12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4"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1265"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3955" w:type="dxa"/>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bookmarkStart w:id="123" w:name="_Toc22183"/>
            <w:bookmarkStart w:id="124" w:name="_Toc2300"/>
            <w:bookmarkStart w:id="125" w:name="_Toc2999"/>
            <w:bookmarkStart w:id="126" w:name="_Toc14256"/>
            <w:bookmarkStart w:id="127" w:name="_Toc7290"/>
            <w:r>
              <w:rPr>
                <w:rFonts w:ascii="Times New Roman" w:hAnsi="Times New Roman"/>
                <w:b w:val="0"/>
                <w:bCs w:val="0"/>
                <w:color w:val="000000" w:themeColor="text1"/>
                <w:sz w:val="21"/>
                <w:szCs w:val="21"/>
              </w:rPr>
              <w:t>3.能源利用上线。到2020年底，全省万元地区生产总值能耗较2015年下降14%，能源消费总量控制在国家下达目标以内，非化石能源消费量占能源消费总量比重达到42%。</w:t>
            </w:r>
            <w:bookmarkEnd w:id="123"/>
            <w:bookmarkEnd w:id="124"/>
            <w:bookmarkEnd w:id="125"/>
            <w:bookmarkEnd w:id="126"/>
            <w:bookmarkEnd w:id="127"/>
          </w:p>
        </w:tc>
        <w:tc>
          <w:tcPr>
            <w:tcW w:w="1622" w:type="dxa"/>
            <w:vAlign w:val="center"/>
          </w:tcPr>
          <w:p>
            <w:pPr>
              <w:pStyle w:val="5"/>
              <w:keepNext w:val="0"/>
              <w:keepLines w:val="0"/>
              <w:kinsoku w:val="0"/>
              <w:overflowPunct w:val="0"/>
              <w:autoSpaceDE w:val="0"/>
              <w:autoSpaceDN w:val="0"/>
              <w:adjustRightInd w:val="0"/>
              <w:snapToGrid w:val="0"/>
              <w:spacing w:line="240" w:lineRule="auto"/>
              <w:jc w:val="both"/>
              <w:outlineLvl w:val="1"/>
              <w:rPr>
                <w:rFonts w:ascii="Times New Roman" w:hAnsi="Times New Roman"/>
                <w:b w:val="0"/>
                <w:bCs w:val="0"/>
                <w:color w:val="000000" w:themeColor="text1"/>
                <w:sz w:val="21"/>
                <w:szCs w:val="21"/>
              </w:rPr>
            </w:pPr>
            <w:bookmarkStart w:id="128" w:name="_Toc32364"/>
            <w:bookmarkStart w:id="129" w:name="_Toc22350"/>
            <w:bookmarkStart w:id="130" w:name="_Toc22617"/>
            <w:bookmarkStart w:id="131" w:name="_Toc17488"/>
            <w:bookmarkStart w:id="132" w:name="_Toc27487"/>
            <w:r>
              <w:rPr>
                <w:rFonts w:ascii="Times New Roman" w:hAnsi="Times New Roman"/>
                <w:b w:val="0"/>
                <w:bCs w:val="0"/>
                <w:color w:val="000000" w:themeColor="text1"/>
                <w:sz w:val="21"/>
                <w:szCs w:val="21"/>
              </w:rPr>
              <w:t>项目能源主要为电和柴油，</w:t>
            </w:r>
            <w:r>
              <w:rPr>
                <w:rFonts w:hint="eastAsia" w:ascii="Times New Roman" w:hAnsi="Times New Roman"/>
                <w:b w:val="0"/>
                <w:bCs w:val="0"/>
                <w:color w:val="000000" w:themeColor="text1"/>
                <w:sz w:val="21"/>
                <w:szCs w:val="21"/>
              </w:rPr>
              <w:t>能源消耗量不大。此次项目通过对原矿进行分选加工处理，不仅将不带磁的矿石加工为副产品砂石料外卖得以综合利用，而且减小了选矿用水量、耗电量及尾矿排放量</w:t>
            </w:r>
            <w:r>
              <w:rPr>
                <w:rFonts w:ascii="Times New Roman" w:hAnsi="Times New Roman"/>
                <w:b w:val="0"/>
                <w:bCs w:val="0"/>
                <w:color w:val="000000" w:themeColor="text1"/>
                <w:sz w:val="21"/>
                <w:szCs w:val="21"/>
              </w:rPr>
              <w:t>，本次技改降低尾矿的产生，降低能源的消耗</w:t>
            </w:r>
            <w:bookmarkEnd w:id="128"/>
            <w:bookmarkEnd w:id="129"/>
            <w:bookmarkEnd w:id="130"/>
            <w:bookmarkEnd w:id="131"/>
            <w:r>
              <w:rPr>
                <w:rFonts w:hint="eastAsia" w:ascii="Times New Roman" w:hAnsi="Times New Roman"/>
                <w:b w:val="0"/>
                <w:bCs w:val="0"/>
                <w:color w:val="000000" w:themeColor="text1"/>
                <w:sz w:val="21"/>
                <w:szCs w:val="21"/>
              </w:rPr>
              <w:t>。</w:t>
            </w:r>
            <w:bookmarkEnd w:id="132"/>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133" w:name="_Toc15854"/>
            <w:bookmarkStart w:id="134" w:name="_Toc21114"/>
            <w:bookmarkStart w:id="135" w:name="_Toc22266"/>
            <w:bookmarkStart w:id="136" w:name="_Toc30539"/>
            <w:bookmarkStart w:id="137" w:name="_Toc4496"/>
            <w:r>
              <w:rPr>
                <w:rFonts w:ascii="Times New Roman" w:hAnsi="Times New Roman"/>
                <w:b w:val="0"/>
                <w:bCs w:val="0"/>
                <w:color w:val="000000" w:themeColor="text1"/>
                <w:sz w:val="21"/>
                <w:szCs w:val="21"/>
              </w:rPr>
              <w:t>符合</w:t>
            </w:r>
            <w:bookmarkEnd w:id="133"/>
            <w:bookmarkEnd w:id="134"/>
            <w:bookmarkEnd w:id="135"/>
            <w:bookmarkEnd w:id="136"/>
            <w:bookmarkEnd w:id="13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4" w:type="dxa"/>
            <w:vMerge w:val="restart"/>
            <w:vAlign w:val="center"/>
          </w:tcPr>
          <w:p>
            <w:pPr>
              <w:pStyle w:val="5"/>
              <w:keepNext w:val="0"/>
              <w:keepLines w:val="0"/>
              <w:kinsoku w:val="0"/>
              <w:overflowPunct w:val="0"/>
              <w:autoSpaceDE w:val="0"/>
              <w:autoSpaceDN w:val="0"/>
              <w:adjustRightInd w:val="0"/>
              <w:snapToGrid w:val="0"/>
              <w:spacing w:line="240" w:lineRule="auto"/>
              <w:jc w:val="both"/>
              <w:outlineLvl w:val="1"/>
              <w:rPr>
                <w:rFonts w:ascii="Times New Roman" w:hAnsi="Times New Roman"/>
                <w:b w:val="0"/>
                <w:bCs w:val="0"/>
                <w:color w:val="000000" w:themeColor="text1"/>
                <w:sz w:val="21"/>
                <w:szCs w:val="21"/>
              </w:rPr>
            </w:pPr>
            <w:bookmarkStart w:id="138" w:name="_Toc11837"/>
            <w:bookmarkStart w:id="139" w:name="_Toc21302"/>
            <w:bookmarkStart w:id="140" w:name="_Toc16212"/>
            <w:bookmarkStart w:id="141" w:name="_Toc12223"/>
            <w:bookmarkStart w:id="142" w:name="_Toc4612"/>
            <w:r>
              <w:rPr>
                <w:rFonts w:ascii="Times New Roman" w:hAnsi="Times New Roman"/>
                <w:b w:val="0"/>
                <w:bCs w:val="0"/>
                <w:color w:val="000000" w:themeColor="text1"/>
                <w:sz w:val="21"/>
                <w:szCs w:val="21"/>
              </w:rPr>
              <w:t>构建生态环境分区管控体</w:t>
            </w:r>
            <w:bookmarkEnd w:id="138"/>
            <w:bookmarkEnd w:id="139"/>
            <w:bookmarkEnd w:id="140"/>
            <w:bookmarkEnd w:id="141"/>
            <w:bookmarkEnd w:id="142"/>
          </w:p>
        </w:tc>
        <w:tc>
          <w:tcPr>
            <w:tcW w:w="1265" w:type="dxa"/>
            <w:vMerge w:val="restart"/>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143" w:name="_Toc4278"/>
            <w:bookmarkStart w:id="144" w:name="_Toc5891"/>
            <w:bookmarkStart w:id="145" w:name="_Toc15843"/>
            <w:bookmarkStart w:id="146" w:name="_Toc3540"/>
            <w:bookmarkStart w:id="147" w:name="_Toc25344"/>
            <w:r>
              <w:rPr>
                <w:rFonts w:ascii="Times New Roman" w:hAnsi="Times New Roman"/>
                <w:b w:val="0"/>
                <w:bCs w:val="0"/>
                <w:color w:val="000000" w:themeColor="text1"/>
                <w:sz w:val="21"/>
                <w:szCs w:val="21"/>
              </w:rPr>
              <w:t>（一）生态环境管控单元划分。</w:t>
            </w:r>
            <w:bookmarkEnd w:id="143"/>
            <w:bookmarkEnd w:id="144"/>
            <w:bookmarkEnd w:id="145"/>
            <w:bookmarkEnd w:id="146"/>
            <w:bookmarkEnd w:id="147"/>
          </w:p>
        </w:tc>
        <w:tc>
          <w:tcPr>
            <w:tcW w:w="3955" w:type="dxa"/>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bookmarkStart w:id="148" w:name="_Toc32307"/>
            <w:bookmarkStart w:id="149" w:name="_Toc18684"/>
            <w:bookmarkStart w:id="150" w:name="_Toc26131"/>
            <w:bookmarkStart w:id="151" w:name="_Toc25006"/>
            <w:bookmarkStart w:id="152" w:name="_Toc26772"/>
            <w:r>
              <w:rPr>
                <w:rFonts w:ascii="Times New Roman" w:hAnsi="Times New Roman"/>
                <w:b w:val="0"/>
                <w:bCs w:val="0"/>
                <w:color w:val="000000" w:themeColor="text1"/>
                <w:sz w:val="21"/>
                <w:szCs w:val="21"/>
              </w:rPr>
              <w:t>1.优先保护单元。共383个，包含生态保护红线和一般生态空间，主要分布在滇西北山区、南部边境山区、哀牢山和无量山、滇东南喀斯特石漠化防治区、金沙江干热河谷、高原湖泊湖区等重点生态功能区域。</w:t>
            </w:r>
            <w:bookmarkEnd w:id="148"/>
            <w:bookmarkEnd w:id="149"/>
            <w:bookmarkEnd w:id="150"/>
            <w:bookmarkEnd w:id="151"/>
            <w:bookmarkEnd w:id="152"/>
          </w:p>
        </w:tc>
        <w:tc>
          <w:tcPr>
            <w:tcW w:w="1622" w:type="dxa"/>
            <w:vAlign w:val="center"/>
          </w:tcPr>
          <w:p>
            <w:pPr>
              <w:pStyle w:val="5"/>
              <w:keepNext w:val="0"/>
              <w:keepLines w:val="0"/>
              <w:kinsoku w:val="0"/>
              <w:overflowPunct w:val="0"/>
              <w:autoSpaceDE w:val="0"/>
              <w:autoSpaceDN w:val="0"/>
              <w:adjustRightInd w:val="0"/>
              <w:snapToGrid w:val="0"/>
              <w:spacing w:line="240" w:lineRule="auto"/>
              <w:jc w:val="both"/>
              <w:outlineLvl w:val="1"/>
              <w:rPr>
                <w:rFonts w:ascii="Times New Roman" w:hAnsi="Times New Roman"/>
                <w:b w:val="0"/>
                <w:bCs w:val="0"/>
                <w:color w:val="000000" w:themeColor="text1"/>
                <w:sz w:val="21"/>
                <w:szCs w:val="21"/>
              </w:rPr>
            </w:pPr>
            <w:bookmarkStart w:id="153" w:name="_Toc16573"/>
            <w:bookmarkStart w:id="154" w:name="_Toc6722"/>
            <w:bookmarkStart w:id="155" w:name="_Toc3312"/>
            <w:bookmarkStart w:id="156" w:name="_Toc22888"/>
            <w:bookmarkStart w:id="157" w:name="_Toc26699"/>
            <w:r>
              <w:rPr>
                <w:rFonts w:ascii="Times New Roman" w:hAnsi="Times New Roman"/>
                <w:b w:val="0"/>
                <w:bCs w:val="0"/>
                <w:color w:val="000000" w:themeColor="text1"/>
                <w:sz w:val="21"/>
                <w:szCs w:val="21"/>
              </w:rPr>
              <w:t>项目不涉及优先保护单元，不涉及哀牢山等重点生态功能区域</w:t>
            </w:r>
            <w:bookmarkEnd w:id="153"/>
            <w:bookmarkEnd w:id="154"/>
            <w:bookmarkEnd w:id="155"/>
            <w:bookmarkEnd w:id="156"/>
            <w:bookmarkEnd w:id="157"/>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158" w:name="_Toc16745"/>
            <w:bookmarkStart w:id="159" w:name="_Toc6569"/>
            <w:bookmarkStart w:id="160" w:name="_Toc25871"/>
            <w:bookmarkStart w:id="161" w:name="_Toc24399"/>
            <w:bookmarkStart w:id="162" w:name="_Toc12473"/>
            <w:r>
              <w:rPr>
                <w:rFonts w:ascii="Times New Roman" w:hAnsi="Times New Roman"/>
                <w:b w:val="0"/>
                <w:bCs w:val="0"/>
                <w:color w:val="000000" w:themeColor="text1"/>
                <w:sz w:val="21"/>
                <w:szCs w:val="21"/>
              </w:rPr>
              <w:t>符合</w:t>
            </w:r>
            <w:bookmarkEnd w:id="158"/>
            <w:bookmarkEnd w:id="159"/>
            <w:bookmarkEnd w:id="160"/>
            <w:bookmarkEnd w:id="161"/>
            <w:bookmarkEnd w:id="16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4"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1265"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3955" w:type="dxa"/>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bookmarkStart w:id="163" w:name="_Toc30601"/>
            <w:bookmarkStart w:id="164" w:name="_Toc8160"/>
            <w:bookmarkStart w:id="165" w:name="_Toc7881"/>
            <w:bookmarkStart w:id="166" w:name="_Toc27617"/>
            <w:bookmarkStart w:id="167" w:name="_Toc19727"/>
            <w:r>
              <w:rPr>
                <w:rFonts w:ascii="Times New Roman" w:hAnsi="Times New Roman"/>
                <w:b w:val="0"/>
                <w:bCs w:val="0"/>
                <w:color w:val="000000" w:themeColor="text1"/>
                <w:sz w:val="21"/>
                <w:szCs w:val="21"/>
              </w:rPr>
              <w:t>2.重点管控单元。共652个，包含开发强度高、污染物排放强度大、环境问题相对集中的区域和大气环境布局敏感、弱扩散区等，主要分布在滇中城市群、九大高原湖泊流域、各类开发区和工业集中区、城镇规划区及环境质量改善压力较大的区域。</w:t>
            </w:r>
            <w:bookmarkEnd w:id="163"/>
            <w:bookmarkEnd w:id="164"/>
            <w:bookmarkEnd w:id="165"/>
            <w:bookmarkEnd w:id="166"/>
            <w:bookmarkEnd w:id="167"/>
          </w:p>
        </w:tc>
        <w:tc>
          <w:tcPr>
            <w:tcW w:w="1622" w:type="dxa"/>
            <w:vAlign w:val="center"/>
          </w:tcPr>
          <w:p>
            <w:pPr>
              <w:pStyle w:val="5"/>
              <w:keepNext w:val="0"/>
              <w:keepLines w:val="0"/>
              <w:kinsoku w:val="0"/>
              <w:overflowPunct w:val="0"/>
              <w:autoSpaceDE w:val="0"/>
              <w:autoSpaceDN w:val="0"/>
              <w:adjustRightInd w:val="0"/>
              <w:snapToGrid w:val="0"/>
              <w:spacing w:line="240" w:lineRule="auto"/>
              <w:jc w:val="both"/>
              <w:outlineLvl w:val="1"/>
              <w:rPr>
                <w:rFonts w:ascii="Times New Roman" w:hAnsi="Times New Roman"/>
                <w:b w:val="0"/>
                <w:bCs w:val="0"/>
                <w:color w:val="000000" w:themeColor="text1"/>
                <w:sz w:val="21"/>
                <w:szCs w:val="21"/>
              </w:rPr>
            </w:pPr>
            <w:bookmarkStart w:id="168" w:name="_Toc14340"/>
            <w:bookmarkStart w:id="169" w:name="_Toc17853"/>
            <w:bookmarkStart w:id="170" w:name="_Toc11884"/>
            <w:bookmarkStart w:id="171" w:name="_Toc13820"/>
            <w:bookmarkStart w:id="172" w:name="_Toc23763"/>
            <w:r>
              <w:rPr>
                <w:rFonts w:ascii="Times New Roman" w:hAnsi="Times New Roman"/>
                <w:b w:val="0"/>
                <w:bCs w:val="0"/>
                <w:color w:val="000000" w:themeColor="text1"/>
                <w:sz w:val="21"/>
                <w:szCs w:val="21"/>
              </w:rPr>
              <w:t>项目位于新平戛洒镇东磨村，属于重点管控</w:t>
            </w:r>
            <w:bookmarkEnd w:id="168"/>
            <w:bookmarkEnd w:id="169"/>
            <w:bookmarkEnd w:id="170"/>
            <w:bookmarkEnd w:id="171"/>
            <w:r>
              <w:rPr>
                <w:rFonts w:hint="eastAsia" w:ascii="Times New Roman" w:hAnsi="Times New Roman"/>
                <w:b w:val="0"/>
                <w:bCs w:val="0"/>
                <w:color w:val="000000" w:themeColor="text1"/>
                <w:sz w:val="21"/>
                <w:szCs w:val="21"/>
              </w:rPr>
              <w:t>单元</w:t>
            </w:r>
            <w:bookmarkEnd w:id="172"/>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173" w:name="_Toc30964"/>
            <w:bookmarkStart w:id="174" w:name="_Toc4204"/>
            <w:bookmarkStart w:id="175" w:name="_Toc27652"/>
            <w:bookmarkStart w:id="176" w:name="_Toc27132"/>
            <w:bookmarkStart w:id="177" w:name="_Toc31853"/>
            <w:r>
              <w:rPr>
                <w:rFonts w:ascii="Times New Roman" w:hAnsi="Times New Roman"/>
                <w:b w:val="0"/>
                <w:bCs w:val="0"/>
                <w:color w:val="000000" w:themeColor="text1"/>
                <w:sz w:val="21"/>
                <w:szCs w:val="21"/>
              </w:rPr>
              <w:t>符合</w:t>
            </w:r>
            <w:bookmarkEnd w:id="173"/>
            <w:bookmarkEnd w:id="174"/>
            <w:bookmarkEnd w:id="175"/>
            <w:bookmarkEnd w:id="176"/>
            <w:bookmarkEnd w:id="17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4"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1265"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3955" w:type="dxa"/>
            <w:vAlign w:val="center"/>
          </w:tcPr>
          <w:p>
            <w:pPr>
              <w:kinsoku w:val="0"/>
              <w:overflowPunct w:val="0"/>
              <w:autoSpaceDE w:val="0"/>
              <w:autoSpaceDN w:val="0"/>
              <w:adjustRightInd w:val="0"/>
              <w:snapToGrid w:val="0"/>
              <w:spacing w:line="240" w:lineRule="auto"/>
              <w:ind w:firstLine="420"/>
              <w:jc w:val="both"/>
              <w:rPr>
                <w:color w:val="000000" w:themeColor="text1"/>
                <w:sz w:val="21"/>
                <w:szCs w:val="21"/>
              </w:rPr>
            </w:pPr>
            <w:r>
              <w:rPr>
                <w:color w:val="000000" w:themeColor="text1"/>
                <w:sz w:val="21"/>
                <w:szCs w:val="21"/>
              </w:rPr>
              <w:t>3.一般管控单元。共129个，为优先保护、重点管控单元之外的区域。</w:t>
            </w:r>
          </w:p>
        </w:tc>
        <w:tc>
          <w:tcPr>
            <w:tcW w:w="1622" w:type="dxa"/>
            <w:vAlign w:val="center"/>
          </w:tcPr>
          <w:p>
            <w:pPr>
              <w:pStyle w:val="5"/>
              <w:keepNext w:val="0"/>
              <w:keepLines w:val="0"/>
              <w:kinsoku w:val="0"/>
              <w:overflowPunct w:val="0"/>
              <w:autoSpaceDE w:val="0"/>
              <w:autoSpaceDN w:val="0"/>
              <w:adjustRightInd w:val="0"/>
              <w:snapToGrid w:val="0"/>
              <w:spacing w:line="240" w:lineRule="auto"/>
              <w:jc w:val="both"/>
              <w:outlineLvl w:val="1"/>
              <w:rPr>
                <w:rFonts w:ascii="Times New Roman" w:hAnsi="Times New Roman"/>
                <w:b w:val="0"/>
                <w:bCs w:val="0"/>
                <w:color w:val="000000" w:themeColor="text1"/>
                <w:sz w:val="21"/>
                <w:szCs w:val="21"/>
              </w:rPr>
            </w:pPr>
            <w:bookmarkStart w:id="178" w:name="_Toc32465"/>
            <w:bookmarkStart w:id="179" w:name="_Toc14700"/>
            <w:bookmarkStart w:id="180" w:name="_Toc9053"/>
            <w:bookmarkStart w:id="181" w:name="_Toc24232"/>
            <w:bookmarkStart w:id="182" w:name="_Toc11749"/>
            <w:r>
              <w:rPr>
                <w:rFonts w:ascii="Times New Roman" w:hAnsi="Times New Roman"/>
                <w:b w:val="0"/>
                <w:bCs w:val="0"/>
                <w:color w:val="000000" w:themeColor="text1"/>
                <w:sz w:val="21"/>
                <w:szCs w:val="21"/>
              </w:rPr>
              <w:t>项目</w:t>
            </w:r>
            <w:r>
              <w:rPr>
                <w:rFonts w:hint="eastAsia" w:ascii="Times New Roman" w:hAnsi="Times New Roman"/>
                <w:b w:val="0"/>
                <w:bCs w:val="0"/>
                <w:color w:val="000000" w:themeColor="text1"/>
                <w:sz w:val="21"/>
                <w:szCs w:val="21"/>
              </w:rPr>
              <w:t>不</w:t>
            </w:r>
            <w:r>
              <w:rPr>
                <w:rFonts w:ascii="Times New Roman" w:hAnsi="Times New Roman"/>
                <w:b w:val="0"/>
                <w:bCs w:val="0"/>
                <w:color w:val="000000" w:themeColor="text1"/>
                <w:sz w:val="21"/>
                <w:szCs w:val="21"/>
              </w:rPr>
              <w:t>属于一般管控单元</w:t>
            </w:r>
            <w:bookmarkEnd w:id="178"/>
            <w:bookmarkEnd w:id="179"/>
            <w:bookmarkEnd w:id="180"/>
            <w:bookmarkEnd w:id="181"/>
            <w:bookmarkEnd w:id="182"/>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183" w:name="_Toc9452"/>
            <w:bookmarkStart w:id="184" w:name="_Toc21252"/>
            <w:bookmarkStart w:id="185" w:name="_Toc26752"/>
            <w:bookmarkStart w:id="186" w:name="_Toc20584"/>
            <w:bookmarkStart w:id="187" w:name="_Toc4620"/>
            <w:r>
              <w:rPr>
                <w:rFonts w:ascii="Times New Roman" w:hAnsi="Times New Roman"/>
                <w:b w:val="0"/>
                <w:bCs w:val="0"/>
                <w:color w:val="000000" w:themeColor="text1"/>
                <w:sz w:val="21"/>
                <w:szCs w:val="21"/>
              </w:rPr>
              <w:t>符合</w:t>
            </w:r>
            <w:bookmarkEnd w:id="183"/>
            <w:bookmarkEnd w:id="184"/>
            <w:bookmarkEnd w:id="185"/>
            <w:bookmarkEnd w:id="186"/>
            <w:bookmarkEnd w:id="18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98" w:hRule="atLeast"/>
        </w:trPr>
        <w:tc>
          <w:tcPr>
            <w:tcW w:w="724"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1265"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188" w:name="_Toc23300"/>
            <w:bookmarkStart w:id="189" w:name="_Toc10059"/>
            <w:bookmarkStart w:id="190" w:name="_Toc7037"/>
            <w:bookmarkStart w:id="191" w:name="_Toc25789"/>
            <w:bookmarkStart w:id="192" w:name="_Toc30770"/>
            <w:r>
              <w:rPr>
                <w:rFonts w:ascii="Times New Roman" w:hAnsi="Times New Roman"/>
                <w:b w:val="0"/>
                <w:bCs w:val="0"/>
                <w:color w:val="000000" w:themeColor="text1"/>
                <w:sz w:val="21"/>
                <w:szCs w:val="21"/>
              </w:rPr>
              <w:t>（二）总体管控要求。</w:t>
            </w:r>
            <w:bookmarkEnd w:id="188"/>
            <w:bookmarkEnd w:id="189"/>
            <w:bookmarkEnd w:id="190"/>
            <w:bookmarkEnd w:id="191"/>
            <w:bookmarkEnd w:id="192"/>
          </w:p>
        </w:tc>
        <w:tc>
          <w:tcPr>
            <w:tcW w:w="3955" w:type="dxa"/>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bookmarkStart w:id="193" w:name="_Toc10127"/>
            <w:bookmarkStart w:id="194" w:name="_Toc4686"/>
            <w:bookmarkStart w:id="195" w:name="_Toc30204"/>
            <w:bookmarkStart w:id="196" w:name="_Toc19680"/>
            <w:bookmarkStart w:id="197" w:name="_Toc26627"/>
            <w:r>
              <w:rPr>
                <w:rFonts w:ascii="Times New Roman" w:hAnsi="Times New Roman"/>
                <w:b w:val="0"/>
                <w:bCs w:val="0"/>
                <w:color w:val="000000" w:themeColor="text1"/>
                <w:sz w:val="21"/>
                <w:szCs w:val="21"/>
              </w:rPr>
              <w:t>严格落实生态环境保护法律法规标准和有关政策，强化污染防治和自然生态系统保护修复，改善区域生态环境质量。按照区域环境承载能力，优化产业空间布局，加快产业结构调整，严格环境准入，强化污染物排放管控，实现固定污染源排污许可全覆盖。充分考虑水资源、水环境承载力，坚持以水定城、以水定地、以水定人、以水定产。保护优良水体和饮用水源，整治不达标水体，统筹推进水污染防治、水生态保护和水资源管理，全面改善水环境质量。巩固提高环境空气质量，调整优化产业、能源、运输和用地结构，加快城市建成区重污染企业搬迁改造或关闭退出，加强“散乱污”企业综合整治。深化工业污染治理，加大机动车污染防治和扬尘综合治理力度，加强秸秆综合利用，强化大气污染联防联控。加强土壤污染防治，对农用地实施分类管理，对建设用地实行准入管理，确定土壤环境重点监管企业名单，实施土壤污染风险管控和修复名录制度，对污染地块开发利用实行联动监管。严守资源利用上线，实行能源和水资源消耗、建设用地等总量和强度双控，实施工业节能增效，加快发展清洁能源和新能源。</w:t>
            </w:r>
            <w:bookmarkEnd w:id="193"/>
            <w:bookmarkEnd w:id="194"/>
            <w:bookmarkEnd w:id="195"/>
            <w:bookmarkEnd w:id="196"/>
            <w:bookmarkEnd w:id="197"/>
          </w:p>
        </w:tc>
        <w:tc>
          <w:tcPr>
            <w:tcW w:w="162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198" w:name="_Toc9628"/>
            <w:bookmarkStart w:id="199" w:name="_Toc28700"/>
            <w:bookmarkStart w:id="200" w:name="_Toc9884"/>
            <w:bookmarkStart w:id="201" w:name="_Toc5060"/>
            <w:bookmarkStart w:id="202" w:name="_Toc9476"/>
            <w:r>
              <w:rPr>
                <w:rFonts w:hint="eastAsia" w:ascii="Times New Roman" w:hAnsi="Times New Roman"/>
                <w:b w:val="0"/>
                <w:bCs w:val="0"/>
                <w:color w:val="000000" w:themeColor="text1"/>
                <w:sz w:val="21"/>
                <w:szCs w:val="21"/>
              </w:rPr>
              <w:t>项目原矿加工处理过程中破碎、筛分等工序产生的粉尘通过布袋除尘器、洒水降尘等措施，废水循环利用，固废合理处置，噪声安装减震垫，降低项目污染物对周边环境的污染，通过分区防渗，降低土壤和地下水环境风险</w:t>
            </w:r>
            <w:bookmarkEnd w:id="198"/>
            <w:bookmarkEnd w:id="199"/>
            <w:bookmarkEnd w:id="200"/>
            <w:bookmarkEnd w:id="201"/>
            <w:bookmarkEnd w:id="202"/>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203" w:name="_Toc22326"/>
            <w:bookmarkStart w:id="204" w:name="_Toc5985"/>
            <w:bookmarkStart w:id="205" w:name="_Toc15519"/>
            <w:bookmarkStart w:id="206" w:name="_Toc2256"/>
            <w:bookmarkStart w:id="207" w:name="_Toc23545"/>
            <w:r>
              <w:rPr>
                <w:rFonts w:ascii="Times New Roman" w:hAnsi="Times New Roman"/>
                <w:b w:val="0"/>
                <w:bCs w:val="0"/>
                <w:color w:val="000000" w:themeColor="text1"/>
                <w:sz w:val="21"/>
                <w:szCs w:val="21"/>
              </w:rPr>
              <w:t>符合</w:t>
            </w:r>
            <w:bookmarkEnd w:id="203"/>
            <w:bookmarkEnd w:id="204"/>
            <w:bookmarkEnd w:id="205"/>
            <w:bookmarkEnd w:id="206"/>
            <w:bookmarkEnd w:id="20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4"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1265" w:type="dxa"/>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3955" w:type="dxa"/>
            <w:vAlign w:val="center"/>
          </w:tcPr>
          <w:p>
            <w:pPr>
              <w:kinsoku w:val="0"/>
              <w:overflowPunct w:val="0"/>
              <w:autoSpaceDE w:val="0"/>
              <w:autoSpaceDN w:val="0"/>
              <w:adjustRightInd w:val="0"/>
              <w:snapToGrid w:val="0"/>
              <w:spacing w:line="240" w:lineRule="auto"/>
              <w:ind w:firstLine="420"/>
              <w:jc w:val="center"/>
              <w:rPr>
                <w:color w:val="000000" w:themeColor="text1"/>
                <w:sz w:val="21"/>
                <w:szCs w:val="21"/>
              </w:rPr>
            </w:pPr>
            <w:r>
              <w:rPr>
                <w:color w:val="000000" w:themeColor="text1"/>
                <w:sz w:val="21"/>
                <w:szCs w:val="21"/>
              </w:rPr>
              <w:t>1.优先保护单元</w:t>
            </w:r>
          </w:p>
          <w:p>
            <w:pPr>
              <w:kinsoku w:val="0"/>
              <w:overflowPunct w:val="0"/>
              <w:autoSpaceDE w:val="0"/>
              <w:autoSpaceDN w:val="0"/>
              <w:adjustRightInd w:val="0"/>
              <w:snapToGrid w:val="0"/>
              <w:spacing w:line="240" w:lineRule="auto"/>
              <w:ind w:firstLine="420"/>
              <w:jc w:val="center"/>
              <w:rPr>
                <w:color w:val="000000" w:themeColor="text1"/>
                <w:sz w:val="21"/>
                <w:szCs w:val="21"/>
              </w:rPr>
            </w:pPr>
            <w:r>
              <w:rPr>
                <w:color w:val="000000" w:themeColor="text1"/>
                <w:sz w:val="21"/>
                <w:szCs w:val="21"/>
              </w:rPr>
              <w:t>生态保护红线优先保护单元按照国家生态保护红线有关要求进行管控。一般生态空间优先保护单元以保护和修复生态环境、提供生态产品为首要任务，参照主体功能区中重点生态功能区的开发和管制原则进行管控，加强资源环境承载力控制，防止过度垦殖、放牧、采伐、取水、渔猎、旅游等对生态功能造成损害，确保自然生态系统稳定。涉及占用一般生态空间的开发活动应符合法律法规规定，没有明确规定的，加强论证和管理。</w:t>
            </w:r>
          </w:p>
        </w:tc>
        <w:tc>
          <w:tcPr>
            <w:tcW w:w="162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208" w:name="_Toc17413"/>
            <w:bookmarkStart w:id="209" w:name="_Toc11139"/>
            <w:bookmarkStart w:id="210" w:name="_Toc20696"/>
            <w:bookmarkStart w:id="211" w:name="_Toc28135"/>
            <w:bookmarkStart w:id="212" w:name="_Toc18290"/>
            <w:r>
              <w:rPr>
                <w:rFonts w:ascii="Times New Roman" w:hAnsi="Times New Roman"/>
                <w:b w:val="0"/>
                <w:bCs w:val="0"/>
                <w:color w:val="000000" w:themeColor="text1"/>
                <w:sz w:val="21"/>
                <w:szCs w:val="21"/>
              </w:rPr>
              <w:t>不涉及</w:t>
            </w:r>
            <w:bookmarkEnd w:id="208"/>
            <w:bookmarkEnd w:id="209"/>
            <w:bookmarkEnd w:id="210"/>
            <w:bookmarkEnd w:id="211"/>
            <w:bookmarkEnd w:id="212"/>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213" w:name="_Toc12282"/>
            <w:bookmarkStart w:id="214" w:name="_Toc9148"/>
            <w:bookmarkStart w:id="215" w:name="_Toc19187"/>
            <w:bookmarkStart w:id="216" w:name="_Toc23282"/>
            <w:bookmarkStart w:id="217" w:name="_Toc6260"/>
            <w:r>
              <w:rPr>
                <w:rFonts w:ascii="Times New Roman" w:hAnsi="Times New Roman"/>
                <w:b w:val="0"/>
                <w:bCs w:val="0"/>
                <w:color w:val="000000" w:themeColor="text1"/>
                <w:sz w:val="21"/>
                <w:szCs w:val="21"/>
              </w:rPr>
              <w:t>符合</w:t>
            </w:r>
            <w:bookmarkEnd w:id="213"/>
            <w:bookmarkEnd w:id="214"/>
            <w:bookmarkEnd w:id="215"/>
            <w:bookmarkEnd w:id="216"/>
            <w:bookmarkEnd w:id="21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4"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1265" w:type="dxa"/>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3955" w:type="dxa"/>
            <w:vAlign w:val="center"/>
          </w:tcPr>
          <w:p>
            <w:pPr>
              <w:kinsoku w:val="0"/>
              <w:overflowPunct w:val="0"/>
              <w:autoSpaceDE w:val="0"/>
              <w:autoSpaceDN w:val="0"/>
              <w:adjustRightInd w:val="0"/>
              <w:snapToGrid w:val="0"/>
              <w:spacing w:line="240" w:lineRule="auto"/>
              <w:ind w:firstLine="420"/>
              <w:jc w:val="center"/>
              <w:rPr>
                <w:color w:val="000000" w:themeColor="text1"/>
                <w:sz w:val="21"/>
                <w:szCs w:val="21"/>
              </w:rPr>
            </w:pPr>
            <w:r>
              <w:rPr>
                <w:color w:val="000000" w:themeColor="text1"/>
                <w:sz w:val="21"/>
                <w:szCs w:val="21"/>
              </w:rPr>
              <w:t>2.重点管控单元</w:t>
            </w:r>
          </w:p>
          <w:p>
            <w:pPr>
              <w:kinsoku w:val="0"/>
              <w:overflowPunct w:val="0"/>
              <w:autoSpaceDE w:val="0"/>
              <w:autoSpaceDN w:val="0"/>
              <w:adjustRightInd w:val="0"/>
              <w:snapToGrid w:val="0"/>
              <w:spacing w:line="240" w:lineRule="auto"/>
              <w:ind w:firstLine="420"/>
              <w:jc w:val="center"/>
              <w:rPr>
                <w:color w:val="000000" w:themeColor="text1"/>
                <w:sz w:val="21"/>
                <w:szCs w:val="21"/>
              </w:rPr>
            </w:pPr>
            <w:r>
              <w:rPr>
                <w:color w:val="000000" w:themeColor="text1"/>
                <w:sz w:val="21"/>
                <w:szCs w:val="21"/>
              </w:rPr>
              <w:t>开发区及工业集中区重点管控单元。合理规划产业分区和功能定位，禁止不符合开发区规划要求的项目入区；合理规划居住区与工业功能区，在居住小区和工业区、工业企业之间按照要求设置环境防护距离及生态隔离带。加强污染防治，在实现稳定达标排放基础上，根据区域环境质量改善目标，实施污染物排放总量控制，降低排放强度。开发区及区内企业实现“雨污分流”、“清污分流”，开发区按照规定建成污水集中处理设施并确保稳定运行，加强土壤和地下水污染防治。强化企业环境风险防范设施设备建设和运行监管，制定突发环境事件应急预案，建立企业隐患排查整治常态化监管机制。推进开发区生态化、循环化改造，提高资源能源利用效率。</w:t>
            </w:r>
          </w:p>
          <w:p>
            <w:pPr>
              <w:kinsoku w:val="0"/>
              <w:overflowPunct w:val="0"/>
              <w:autoSpaceDE w:val="0"/>
              <w:autoSpaceDN w:val="0"/>
              <w:adjustRightInd w:val="0"/>
              <w:snapToGrid w:val="0"/>
              <w:spacing w:line="240" w:lineRule="auto"/>
              <w:ind w:firstLine="420"/>
              <w:jc w:val="center"/>
              <w:rPr>
                <w:color w:val="000000" w:themeColor="text1"/>
                <w:sz w:val="21"/>
                <w:szCs w:val="21"/>
              </w:rPr>
            </w:pPr>
            <w:r>
              <w:rPr>
                <w:color w:val="000000" w:themeColor="text1"/>
                <w:sz w:val="21"/>
                <w:szCs w:val="21"/>
              </w:rPr>
              <w:t>城镇生活污染重点管控单元。完善城镇污水收集管网，强化城中村、老旧城区和城乡结合部污水截流、收集，取缔城市建成区内生活污水直排口，加快污水处理设施建设与提标改造，加强污泥资源化利用处置能力建设。推动州、市人民政府所在地城市建成区现有重污染企业搬迁改造或关闭退出。县级及以上城市划定高污染燃料禁燃区，严格建筑工地施工扬尘监管，加强噪声、臭气异味、油烟、挥发性有机物等污染防治。遵循减量化、资源化、无害化原则，加快完善城市垃圾分类收集、分类投放、分类运输、分类处置设施。深入推进节水型社会和节水型城市建设，加强非常规水资源开发利用和节水产品推广普及，严控高耗水服务业用水。</w:t>
            </w:r>
          </w:p>
          <w:p>
            <w:pPr>
              <w:kinsoku w:val="0"/>
              <w:overflowPunct w:val="0"/>
              <w:autoSpaceDE w:val="0"/>
              <w:autoSpaceDN w:val="0"/>
              <w:adjustRightInd w:val="0"/>
              <w:snapToGrid w:val="0"/>
              <w:spacing w:line="240" w:lineRule="auto"/>
              <w:ind w:firstLine="420"/>
              <w:jc w:val="center"/>
              <w:rPr>
                <w:color w:val="000000" w:themeColor="text1"/>
                <w:sz w:val="21"/>
                <w:szCs w:val="21"/>
              </w:rPr>
            </w:pPr>
            <w:r>
              <w:rPr>
                <w:color w:val="000000" w:themeColor="text1"/>
                <w:sz w:val="21"/>
                <w:szCs w:val="21"/>
              </w:rPr>
              <w:t>土壤污染重点管控单元。制定土壤污染风险管控与修复方案，开展土壤和农产品协同监测与评价。加强涉镉等重金属重点行业企业污染源排查整治，强化监督检查，严格排放管控，实行重金属污染物排放浓度和排放总量双控。矿产资源开发活动集中区域按照要求执行重点污染物特别排放限值。加快处理历史遗留冶炼废渣，全面整治固体废物堆存场所，完善防扬散、防流失、防渗漏等设施。</w:t>
            </w:r>
          </w:p>
          <w:p>
            <w:pPr>
              <w:kinsoku w:val="0"/>
              <w:overflowPunct w:val="0"/>
              <w:autoSpaceDE w:val="0"/>
              <w:autoSpaceDN w:val="0"/>
              <w:adjustRightInd w:val="0"/>
              <w:snapToGrid w:val="0"/>
              <w:spacing w:line="240" w:lineRule="auto"/>
              <w:ind w:firstLine="420"/>
              <w:jc w:val="center"/>
              <w:rPr>
                <w:color w:val="000000" w:themeColor="text1"/>
                <w:sz w:val="21"/>
                <w:szCs w:val="21"/>
              </w:rPr>
            </w:pPr>
            <w:r>
              <w:rPr>
                <w:color w:val="000000" w:themeColor="text1"/>
                <w:sz w:val="21"/>
                <w:szCs w:val="21"/>
              </w:rPr>
              <w:t>农业面源污染重点管控单元。围绕环境质量改善目标，加强农业农村污染防治，推进农村环境综合整治和农村环保基础设施建设。加快开展九大高原湖泊流域农田径流污染防治，优化农业种植结构，推行生态种植模式，推广使用测土配方施肥、生物防治、精细农业等技术，严格控制高耗水、高耗肥作物种植，实现化肥农药减量增效。</w:t>
            </w:r>
          </w:p>
          <w:p>
            <w:pPr>
              <w:kinsoku w:val="0"/>
              <w:overflowPunct w:val="0"/>
              <w:autoSpaceDE w:val="0"/>
              <w:autoSpaceDN w:val="0"/>
              <w:adjustRightInd w:val="0"/>
              <w:snapToGrid w:val="0"/>
              <w:spacing w:line="240" w:lineRule="auto"/>
              <w:ind w:firstLine="420"/>
              <w:jc w:val="center"/>
              <w:rPr>
                <w:color w:val="000000" w:themeColor="text1"/>
                <w:sz w:val="21"/>
                <w:szCs w:val="21"/>
              </w:rPr>
            </w:pPr>
            <w:r>
              <w:rPr>
                <w:color w:val="000000" w:themeColor="text1"/>
                <w:sz w:val="21"/>
                <w:szCs w:val="21"/>
              </w:rPr>
              <w:t>矿产资源重点管控单元。推进矿产资源开发规模化、集约化和转型升级，推动绿色矿山建设，严格执行矿山最低开采规模标准，加强矿产资源绿色勘查开发。强化矿产资源开发污染综合治理，降低污染物产生量和排放量。加强矿山生态修复和环境治理，严格采矿选矿废渣环境管理，加强固体废物综合利用，提高矿产资源回收利用率。</w:t>
            </w:r>
          </w:p>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bookmarkStart w:id="218" w:name="_Toc30830"/>
            <w:bookmarkStart w:id="219" w:name="_Toc16420"/>
            <w:bookmarkStart w:id="220" w:name="_Toc12919"/>
            <w:bookmarkStart w:id="221" w:name="_Toc24419"/>
            <w:bookmarkStart w:id="222" w:name="_Toc30730"/>
            <w:r>
              <w:rPr>
                <w:rFonts w:ascii="Times New Roman" w:hAnsi="Times New Roman"/>
                <w:b w:val="0"/>
                <w:bCs w:val="0"/>
                <w:color w:val="000000" w:themeColor="text1"/>
                <w:sz w:val="21"/>
                <w:szCs w:val="21"/>
              </w:rPr>
              <w:t>大气环境布局敏感、弱扩散重点管控单元。优化产业布局，加强大气污染排放管控，严格论证新建、扩建钢铁、石化、化工、焦化、建材、有色冶炼等高污染项目，确保大气环境质量达标。</w:t>
            </w:r>
            <w:bookmarkEnd w:id="218"/>
            <w:bookmarkEnd w:id="219"/>
            <w:bookmarkEnd w:id="220"/>
            <w:bookmarkEnd w:id="221"/>
            <w:bookmarkEnd w:id="222"/>
          </w:p>
        </w:tc>
        <w:tc>
          <w:tcPr>
            <w:tcW w:w="1622" w:type="dxa"/>
            <w:vAlign w:val="center"/>
          </w:tcPr>
          <w:p>
            <w:pPr>
              <w:pStyle w:val="5"/>
              <w:keepNext w:val="0"/>
              <w:keepLines w:val="0"/>
              <w:kinsoku w:val="0"/>
              <w:overflowPunct w:val="0"/>
              <w:autoSpaceDE w:val="0"/>
              <w:autoSpaceDN w:val="0"/>
              <w:adjustRightInd w:val="0"/>
              <w:snapToGrid w:val="0"/>
              <w:spacing w:line="240" w:lineRule="auto"/>
              <w:ind w:firstLine="420" w:firstLineChars="200"/>
              <w:jc w:val="both"/>
              <w:outlineLvl w:val="1"/>
              <w:rPr>
                <w:rFonts w:ascii="Times New Roman" w:hAnsi="Times New Roman"/>
                <w:b w:val="0"/>
                <w:bCs w:val="0"/>
                <w:color w:val="000000" w:themeColor="text1"/>
                <w:sz w:val="21"/>
                <w:szCs w:val="21"/>
              </w:rPr>
            </w:pPr>
            <w:bookmarkStart w:id="223" w:name="_Toc14841"/>
            <w:bookmarkStart w:id="224" w:name="_Toc19823"/>
            <w:bookmarkStart w:id="225" w:name="_Toc5172"/>
            <w:bookmarkStart w:id="226" w:name="_Toc12202"/>
            <w:bookmarkStart w:id="227" w:name="_Toc19444"/>
            <w:r>
              <w:rPr>
                <w:rFonts w:hint="eastAsia" w:ascii="Times New Roman" w:hAnsi="Times New Roman"/>
                <w:b w:val="0"/>
                <w:bCs w:val="0"/>
                <w:color w:val="000000" w:themeColor="text1"/>
                <w:sz w:val="21"/>
                <w:szCs w:val="21"/>
              </w:rPr>
              <w:t>项目为工业集中区重点管控单元。经分析，项目符合园区功能定位，大气污染物及能够做到达标排放，废水循环使用不排排，固废得到综合利用或妥善处置。</w:t>
            </w:r>
            <w:bookmarkEnd w:id="223"/>
          </w:p>
          <w:p>
            <w:pPr>
              <w:pStyle w:val="5"/>
              <w:keepNext w:val="0"/>
              <w:keepLines w:val="0"/>
              <w:kinsoku w:val="0"/>
              <w:overflowPunct w:val="0"/>
              <w:autoSpaceDE w:val="0"/>
              <w:autoSpaceDN w:val="0"/>
              <w:adjustRightInd w:val="0"/>
              <w:snapToGrid w:val="0"/>
              <w:spacing w:line="240" w:lineRule="auto"/>
              <w:ind w:firstLine="420" w:firstLineChars="200"/>
              <w:jc w:val="both"/>
              <w:outlineLvl w:val="1"/>
              <w:rPr>
                <w:rFonts w:ascii="Times New Roman" w:hAnsi="Times New Roman"/>
                <w:b w:val="0"/>
                <w:bCs w:val="0"/>
                <w:color w:val="000000" w:themeColor="text1"/>
                <w:sz w:val="21"/>
                <w:szCs w:val="21"/>
              </w:rPr>
            </w:pPr>
            <w:bookmarkStart w:id="228" w:name="_Toc1152"/>
            <w:r>
              <w:rPr>
                <w:rFonts w:hint="eastAsia" w:ascii="Times New Roman" w:hAnsi="Times New Roman"/>
                <w:b w:val="0"/>
                <w:bCs w:val="0"/>
                <w:color w:val="000000" w:themeColor="text1"/>
                <w:sz w:val="21"/>
                <w:szCs w:val="21"/>
              </w:rPr>
              <w:t>项目厂区按照</w:t>
            </w:r>
            <w:r>
              <w:rPr>
                <w:rFonts w:ascii="Times New Roman" w:hAnsi="Times New Roman"/>
                <w:b w:val="0"/>
                <w:bCs w:val="0"/>
                <w:color w:val="000000" w:themeColor="text1"/>
                <w:sz w:val="21"/>
                <w:szCs w:val="21"/>
              </w:rPr>
              <w:t>“雨污分流”、“清污分流”</w:t>
            </w:r>
            <w:r>
              <w:rPr>
                <w:rFonts w:hint="eastAsia" w:ascii="Times New Roman" w:hAnsi="Times New Roman"/>
                <w:b w:val="0"/>
                <w:bCs w:val="0"/>
                <w:color w:val="000000" w:themeColor="text1"/>
                <w:sz w:val="21"/>
                <w:szCs w:val="21"/>
              </w:rPr>
              <w:t>的</w:t>
            </w:r>
            <w:r>
              <w:rPr>
                <w:rStyle w:val="73"/>
                <w:rFonts w:hint="eastAsia" w:ascii="Times New Roman" w:hAnsi="Times New Roman"/>
                <w:b w:val="0"/>
                <w:bCs w:val="0"/>
                <w:color w:val="000000" w:themeColor="text1"/>
              </w:rPr>
              <w:t>排水体系建设，实现废水封闭循环</w:t>
            </w:r>
            <w:r>
              <w:rPr>
                <w:rFonts w:hint="eastAsia" w:ascii="Times New Roman" w:hAnsi="Times New Roman"/>
                <w:b w:val="0"/>
                <w:bCs w:val="0"/>
                <w:color w:val="000000" w:themeColor="text1"/>
                <w:sz w:val="21"/>
                <w:szCs w:val="21"/>
              </w:rPr>
              <w:t>，降低污染物排放强度；通过分区防渗的方式</w:t>
            </w:r>
            <w:r>
              <w:rPr>
                <w:rStyle w:val="73"/>
                <w:rFonts w:hint="eastAsia" w:ascii="Times New Roman" w:hAnsi="Times New Roman"/>
                <w:b w:val="0"/>
                <w:bCs w:val="0"/>
                <w:color w:val="000000" w:themeColor="text1"/>
              </w:rPr>
              <w:t>及对大气污染物处理设施加强管理、废水收集、处理、回用等污染防治措施降低项目对土壤和地下水的影响；</w:t>
            </w:r>
            <w:r>
              <w:rPr>
                <w:rFonts w:hint="eastAsia" w:ascii="Times New Roman" w:hAnsi="Times New Roman"/>
                <w:b w:val="0"/>
                <w:bCs w:val="0"/>
                <w:color w:val="000000" w:themeColor="text1"/>
                <w:sz w:val="21"/>
                <w:szCs w:val="21"/>
              </w:rPr>
              <w:t>技改项目降低尾矿的排放，提高资源利用率。本项目主要为选铁矿项目，不涉及矿产开采，全厂固体废物合理处置。</w:t>
            </w:r>
            <w:bookmarkEnd w:id="224"/>
            <w:bookmarkEnd w:id="225"/>
            <w:bookmarkEnd w:id="226"/>
            <w:bookmarkEnd w:id="227"/>
            <w:bookmarkEnd w:id="228"/>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229" w:name="_Toc142"/>
            <w:bookmarkStart w:id="230" w:name="_Toc11627"/>
            <w:bookmarkStart w:id="231" w:name="_Toc9491"/>
            <w:bookmarkStart w:id="232" w:name="_Toc27878"/>
            <w:bookmarkStart w:id="233" w:name="_Toc7366"/>
            <w:r>
              <w:rPr>
                <w:rFonts w:ascii="Times New Roman" w:hAnsi="Times New Roman"/>
                <w:b w:val="0"/>
                <w:bCs w:val="0"/>
                <w:color w:val="000000" w:themeColor="text1"/>
                <w:sz w:val="21"/>
                <w:szCs w:val="21"/>
              </w:rPr>
              <w:t>符合</w:t>
            </w:r>
            <w:bookmarkEnd w:id="229"/>
            <w:bookmarkEnd w:id="230"/>
            <w:bookmarkEnd w:id="231"/>
            <w:bookmarkEnd w:id="232"/>
            <w:bookmarkEnd w:id="23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24" w:type="dxa"/>
            <w:vMerge w:val="continue"/>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1265" w:type="dxa"/>
            <w:vAlign w:val="center"/>
          </w:tcPr>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p>
        </w:tc>
        <w:tc>
          <w:tcPr>
            <w:tcW w:w="3955" w:type="dxa"/>
            <w:vAlign w:val="center"/>
          </w:tcPr>
          <w:p>
            <w:pPr>
              <w:kinsoku w:val="0"/>
              <w:overflowPunct w:val="0"/>
              <w:autoSpaceDE w:val="0"/>
              <w:autoSpaceDN w:val="0"/>
              <w:adjustRightInd w:val="0"/>
              <w:snapToGrid w:val="0"/>
              <w:spacing w:line="240" w:lineRule="auto"/>
              <w:ind w:firstLine="420"/>
              <w:jc w:val="center"/>
              <w:rPr>
                <w:color w:val="000000" w:themeColor="text1"/>
                <w:sz w:val="21"/>
                <w:szCs w:val="21"/>
              </w:rPr>
            </w:pPr>
            <w:r>
              <w:rPr>
                <w:color w:val="000000" w:themeColor="text1"/>
                <w:sz w:val="21"/>
                <w:szCs w:val="21"/>
              </w:rPr>
              <w:t>3.一般管控单元</w:t>
            </w:r>
          </w:p>
          <w:p>
            <w:pPr>
              <w:pStyle w:val="5"/>
              <w:keepNext w:val="0"/>
              <w:keepLines w:val="0"/>
              <w:kinsoku w:val="0"/>
              <w:overflowPunct w:val="0"/>
              <w:autoSpaceDE w:val="0"/>
              <w:autoSpaceDN w:val="0"/>
              <w:adjustRightInd w:val="0"/>
              <w:snapToGrid w:val="0"/>
              <w:spacing w:line="240" w:lineRule="auto"/>
              <w:ind w:firstLine="420"/>
              <w:jc w:val="center"/>
              <w:outlineLvl w:val="1"/>
              <w:rPr>
                <w:rFonts w:ascii="Times New Roman" w:hAnsi="Times New Roman"/>
                <w:b w:val="0"/>
                <w:bCs w:val="0"/>
                <w:color w:val="000000" w:themeColor="text1"/>
                <w:sz w:val="21"/>
                <w:szCs w:val="21"/>
              </w:rPr>
            </w:pPr>
            <w:bookmarkStart w:id="234" w:name="_Toc32381"/>
            <w:bookmarkStart w:id="235" w:name="_Toc30811"/>
            <w:bookmarkStart w:id="236" w:name="_Toc19605"/>
            <w:bookmarkStart w:id="237" w:name="_Toc19456"/>
            <w:bookmarkStart w:id="238" w:name="_Toc588"/>
            <w:r>
              <w:rPr>
                <w:rFonts w:ascii="Times New Roman" w:hAnsi="Times New Roman"/>
                <w:b w:val="0"/>
                <w:bCs w:val="0"/>
                <w:color w:val="000000" w:themeColor="text1"/>
                <w:sz w:val="21"/>
                <w:szCs w:val="21"/>
              </w:rPr>
              <w:t>落实生态环境保护基本要求，项目建设和运行应满足产业准入、总量控制、排放标准等管理规定。</w:t>
            </w:r>
            <w:bookmarkEnd w:id="234"/>
            <w:bookmarkEnd w:id="235"/>
            <w:bookmarkEnd w:id="236"/>
            <w:bookmarkEnd w:id="237"/>
            <w:bookmarkEnd w:id="238"/>
          </w:p>
        </w:tc>
        <w:tc>
          <w:tcPr>
            <w:tcW w:w="1622" w:type="dxa"/>
            <w:vAlign w:val="center"/>
          </w:tcPr>
          <w:p>
            <w:pPr>
              <w:pStyle w:val="23"/>
              <w:ind w:firstLine="0" w:firstLineChars="0"/>
              <w:rPr>
                <w:color w:val="000000" w:themeColor="text1"/>
              </w:rPr>
            </w:pPr>
            <w:r>
              <w:rPr>
                <w:rFonts w:hint="eastAsia"/>
                <w:color w:val="000000" w:themeColor="text1"/>
                <w:sz w:val="21"/>
                <w:szCs w:val="21"/>
              </w:rPr>
              <w:t>项目不在</w:t>
            </w:r>
            <w:r>
              <w:rPr>
                <w:color w:val="000000" w:themeColor="text1"/>
                <w:sz w:val="21"/>
                <w:szCs w:val="21"/>
              </w:rPr>
              <w:t>一般管控单元</w:t>
            </w:r>
          </w:p>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p>
        </w:tc>
        <w:tc>
          <w:tcPr>
            <w:tcW w:w="962" w:type="dxa"/>
            <w:vAlign w:val="center"/>
          </w:tcPr>
          <w:p>
            <w:pPr>
              <w:pStyle w:val="5"/>
              <w:keepNext w:val="0"/>
              <w:keepLines w:val="0"/>
              <w:kinsoku w:val="0"/>
              <w:overflowPunct w:val="0"/>
              <w:autoSpaceDE w:val="0"/>
              <w:autoSpaceDN w:val="0"/>
              <w:adjustRightInd w:val="0"/>
              <w:snapToGrid w:val="0"/>
              <w:spacing w:line="240" w:lineRule="auto"/>
              <w:jc w:val="center"/>
              <w:outlineLvl w:val="1"/>
              <w:rPr>
                <w:rFonts w:ascii="Times New Roman" w:hAnsi="Times New Roman"/>
                <w:b w:val="0"/>
                <w:bCs w:val="0"/>
                <w:color w:val="000000" w:themeColor="text1"/>
                <w:sz w:val="21"/>
                <w:szCs w:val="21"/>
              </w:rPr>
            </w:pPr>
            <w:bookmarkStart w:id="239" w:name="_Toc29365"/>
            <w:r>
              <w:rPr>
                <w:rFonts w:hint="eastAsia" w:ascii="Times New Roman" w:hAnsi="Times New Roman"/>
                <w:b w:val="0"/>
                <w:bCs w:val="0"/>
                <w:color w:val="000000" w:themeColor="text1"/>
                <w:sz w:val="21"/>
                <w:szCs w:val="21"/>
              </w:rPr>
              <w:t>/</w:t>
            </w:r>
            <w:bookmarkEnd w:id="239"/>
          </w:p>
        </w:tc>
      </w:tr>
    </w:tbl>
    <w:p>
      <w:pPr>
        <w:kinsoku w:val="0"/>
        <w:overflowPunct w:val="0"/>
        <w:autoSpaceDE w:val="0"/>
        <w:autoSpaceDN w:val="0"/>
        <w:adjustRightInd w:val="0"/>
        <w:snapToGrid w:val="0"/>
        <w:ind w:firstLine="480"/>
        <w:rPr>
          <w:color w:val="000000" w:themeColor="text1"/>
          <w:szCs w:val="24"/>
        </w:rPr>
      </w:pPr>
    </w:p>
    <w:p>
      <w:pPr>
        <w:kinsoku w:val="0"/>
        <w:overflowPunct w:val="0"/>
        <w:autoSpaceDE w:val="0"/>
        <w:autoSpaceDN w:val="0"/>
        <w:adjustRightInd w:val="0"/>
        <w:snapToGrid w:val="0"/>
        <w:ind w:firstLine="480"/>
        <w:rPr>
          <w:color w:val="000000" w:themeColor="text1"/>
          <w:szCs w:val="24"/>
        </w:rPr>
      </w:pPr>
      <w:r>
        <w:rPr>
          <w:rFonts w:hint="eastAsia"/>
          <w:color w:val="000000" w:themeColor="text1"/>
          <w:szCs w:val="24"/>
        </w:rPr>
        <w:t>（2）与《玉溪市“三线一单”生态环境分区管控实施意见》符合性分析</w:t>
      </w:r>
    </w:p>
    <w:p>
      <w:pPr>
        <w:pStyle w:val="74"/>
        <w:wordWrap w:val="0"/>
        <w:ind w:left="0" w:right="0" w:firstLine="0" w:firstLineChars="0"/>
        <w:jc w:val="center"/>
        <w:rPr>
          <w:bCs/>
          <w:i w:val="0"/>
          <w:iCs/>
          <w:color w:val="000000" w:themeColor="text1"/>
          <w:sz w:val="21"/>
          <w:szCs w:val="21"/>
        </w:rPr>
      </w:pPr>
      <w:r>
        <w:rPr>
          <w:rFonts w:eastAsia="宋体"/>
          <w:bCs/>
          <w:i w:val="0"/>
          <w:iCs/>
          <w:color w:val="000000" w:themeColor="text1"/>
          <w:sz w:val="21"/>
          <w:szCs w:val="21"/>
        </w:rPr>
        <w:t>表1</w:t>
      </w:r>
      <w:r>
        <w:rPr>
          <w:rFonts w:hint="eastAsia" w:eastAsia="宋体"/>
          <w:bCs/>
          <w:i w:val="0"/>
          <w:iCs/>
          <w:color w:val="000000" w:themeColor="text1"/>
          <w:sz w:val="21"/>
          <w:szCs w:val="21"/>
        </w:rPr>
        <w:t>-5</w:t>
      </w:r>
      <w:r>
        <w:rPr>
          <w:rFonts w:eastAsia="宋体"/>
          <w:bCs/>
          <w:i w:val="0"/>
          <w:iCs/>
          <w:color w:val="000000" w:themeColor="text1"/>
          <w:sz w:val="21"/>
          <w:szCs w:val="21"/>
        </w:rPr>
        <w:t xml:space="preserve"> 项目与玉溪市“三线一单”分区管控实施意见相符性分析</w:t>
      </w:r>
    </w:p>
    <w:tbl>
      <w:tblPr>
        <w:tblStyle w:val="62"/>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830"/>
        <w:gridCol w:w="4208"/>
        <w:gridCol w:w="2047"/>
        <w:gridCol w:w="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6"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eastAsia="宋体"/>
                <w:color w:val="000000" w:themeColor="text1"/>
                <w:sz w:val="21"/>
                <w:szCs w:val="21"/>
                <w:lang w:eastAsia="zh-CN"/>
              </w:rPr>
              <w:t>项目</w:t>
            </w:r>
          </w:p>
        </w:tc>
        <w:tc>
          <w:tcPr>
            <w:tcW w:w="830"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eastAsia="宋体"/>
                <w:color w:val="000000" w:themeColor="text1"/>
                <w:sz w:val="21"/>
                <w:szCs w:val="21"/>
                <w:lang w:eastAsia="zh-CN"/>
              </w:rPr>
              <w:t>单元名称</w:t>
            </w:r>
          </w:p>
        </w:tc>
        <w:tc>
          <w:tcPr>
            <w:tcW w:w="4208"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eastAsia="宋体"/>
                <w:color w:val="000000" w:themeColor="text1"/>
                <w:sz w:val="21"/>
                <w:szCs w:val="21"/>
                <w:lang w:eastAsia="zh-CN"/>
              </w:rPr>
              <w:t>管控要求</w:t>
            </w:r>
          </w:p>
        </w:tc>
        <w:tc>
          <w:tcPr>
            <w:tcW w:w="2047"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eastAsia="宋体"/>
                <w:color w:val="000000" w:themeColor="text1"/>
                <w:sz w:val="21"/>
                <w:szCs w:val="21"/>
                <w:lang w:eastAsia="zh-CN"/>
              </w:rPr>
              <w:t>本项目情况</w:t>
            </w:r>
          </w:p>
        </w:tc>
        <w:tc>
          <w:tcPr>
            <w:tcW w:w="718"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eastAsia="宋体"/>
                <w:color w:val="000000" w:themeColor="text1"/>
                <w:sz w:val="21"/>
                <w:szCs w:val="21"/>
                <w:lang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04" w:hRule="atLeast"/>
        </w:trPr>
        <w:tc>
          <w:tcPr>
            <w:tcW w:w="716" w:type="dxa"/>
            <w:vMerge w:val="restart"/>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eastAsia="宋体"/>
                <w:color w:val="000000" w:themeColor="text1"/>
                <w:sz w:val="21"/>
                <w:szCs w:val="21"/>
                <w:lang w:eastAsia="zh-CN"/>
              </w:rPr>
              <w:t>新平彝族傣族自治县工业集中区重点管控单元</w:t>
            </w:r>
          </w:p>
        </w:tc>
        <w:tc>
          <w:tcPr>
            <w:tcW w:w="830"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r>
              <w:rPr>
                <w:rFonts w:eastAsia="宋体"/>
                <w:color w:val="000000" w:themeColor="text1"/>
                <w:sz w:val="21"/>
                <w:szCs w:val="21"/>
              </w:rPr>
              <w:t>空间布局约束</w:t>
            </w:r>
          </w:p>
        </w:tc>
        <w:tc>
          <w:tcPr>
            <w:tcW w:w="4208" w:type="dxa"/>
            <w:vAlign w:val="center"/>
          </w:tcPr>
          <w:p>
            <w:pPr>
              <w:pStyle w:val="56"/>
              <w:spacing w:before="75" w:beforeAutospacing="0" w:after="0" w:afterAutospacing="0" w:line="330" w:lineRule="atLeast"/>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1.优化园区空间布局，合理控制园区开发强度。桂山片区属于产城融合区，应逐步取消三类工业用地。扬武片区应对他克冲水库及后期拟划定的水源保护区予以避让；大开门地块合理确定钢铁及配套焦化产业、废弃资源综合利用等产业规模；戛洒片区白糯格地块根据受纳水体环境容量控制制糖及造纸项目等发展规模。</w:t>
            </w:r>
          </w:p>
          <w:p>
            <w:pPr>
              <w:pStyle w:val="26"/>
              <w:widowControl w:val="0"/>
              <w:adjustRightInd w:val="0"/>
              <w:snapToGrid w:val="0"/>
              <w:spacing w:after="0" w:line="240" w:lineRule="auto"/>
              <w:ind w:firstLine="0" w:firstLineChars="0"/>
              <w:rPr>
                <w:rFonts w:eastAsia="宋体"/>
                <w:color w:val="000000" w:themeColor="text1"/>
                <w:sz w:val="21"/>
                <w:szCs w:val="21"/>
                <w:lang w:eastAsia="zh-CN"/>
              </w:rPr>
            </w:pPr>
            <w:r>
              <w:rPr>
                <w:rFonts w:eastAsia="宋体"/>
                <w:color w:val="000000" w:themeColor="text1"/>
                <w:sz w:val="21"/>
                <w:szCs w:val="21"/>
                <w:lang w:eastAsia="zh-CN"/>
              </w:rPr>
              <w:t>2.逐步淘汰现有不符合区域发展定位和环境保护要求的企业。与规划功能、产业定位不相符的现有企业有序转移到与规划相符的片区。</w:t>
            </w:r>
          </w:p>
        </w:tc>
        <w:tc>
          <w:tcPr>
            <w:tcW w:w="2047"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hint="eastAsia" w:eastAsia="宋体"/>
                <w:color w:val="000000" w:themeColor="text1"/>
                <w:sz w:val="21"/>
                <w:szCs w:val="21"/>
                <w:lang w:eastAsia="zh-CN"/>
              </w:rPr>
              <w:t>本项目为铁精矿再选项目，符合</w:t>
            </w:r>
            <w:r>
              <w:rPr>
                <w:rFonts w:eastAsia="宋体"/>
                <w:color w:val="000000" w:themeColor="text1"/>
                <w:sz w:val="21"/>
                <w:szCs w:val="21"/>
                <w:lang w:eastAsia="zh-CN"/>
              </w:rPr>
              <w:t>区域发展定位</w:t>
            </w:r>
            <w:r>
              <w:rPr>
                <w:rFonts w:hint="eastAsia" w:eastAsia="宋体"/>
                <w:color w:val="000000" w:themeColor="text1"/>
                <w:sz w:val="21"/>
                <w:szCs w:val="21"/>
                <w:lang w:eastAsia="zh-CN"/>
              </w:rPr>
              <w:t>，</w:t>
            </w:r>
            <w:r>
              <w:rPr>
                <w:rFonts w:eastAsia="宋体"/>
                <w:color w:val="000000" w:themeColor="text1"/>
                <w:sz w:val="21"/>
                <w:szCs w:val="21"/>
                <w:lang w:eastAsia="zh-CN"/>
              </w:rPr>
              <w:t>与</w:t>
            </w:r>
            <w:r>
              <w:rPr>
                <w:rFonts w:hint="eastAsia" w:eastAsiaTheme="minorEastAsia"/>
                <w:smallCaps/>
                <w:color w:val="000000" w:themeColor="text1"/>
                <w:sz w:val="21"/>
                <w:szCs w:val="21"/>
                <w:lang w:eastAsia="zh-CN"/>
              </w:rPr>
              <w:t>园区</w:t>
            </w:r>
            <w:r>
              <w:rPr>
                <w:rFonts w:eastAsia="宋体"/>
                <w:color w:val="000000" w:themeColor="text1"/>
                <w:sz w:val="21"/>
                <w:szCs w:val="21"/>
                <w:lang w:eastAsia="zh-CN"/>
              </w:rPr>
              <w:t>规划功能、产业定位</w:t>
            </w:r>
            <w:r>
              <w:rPr>
                <w:rFonts w:hint="eastAsia" w:eastAsia="宋体"/>
                <w:color w:val="000000" w:themeColor="text1"/>
                <w:sz w:val="21"/>
                <w:szCs w:val="21"/>
                <w:lang w:eastAsia="zh-CN"/>
              </w:rPr>
              <w:t>相符。</w:t>
            </w:r>
          </w:p>
        </w:tc>
        <w:tc>
          <w:tcPr>
            <w:tcW w:w="718"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eastAsia="宋体"/>
                <w:color w:val="000000" w:themeColor="text1"/>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6" w:type="dxa"/>
            <w:vMerge w:val="continue"/>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p>
        </w:tc>
        <w:tc>
          <w:tcPr>
            <w:tcW w:w="830"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r>
              <w:rPr>
                <w:rFonts w:eastAsia="宋体"/>
                <w:color w:val="000000" w:themeColor="text1"/>
                <w:sz w:val="21"/>
                <w:szCs w:val="21"/>
              </w:rPr>
              <w:t>污染物排放管控</w:t>
            </w:r>
          </w:p>
        </w:tc>
        <w:tc>
          <w:tcPr>
            <w:tcW w:w="4208" w:type="dxa"/>
            <w:vAlign w:val="center"/>
          </w:tcPr>
          <w:p>
            <w:pPr>
              <w:pStyle w:val="56"/>
              <w:spacing w:before="75" w:beforeAutospacing="0" w:after="0" w:afterAutospacing="0" w:line="330" w:lineRule="atLeast"/>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1.加快推进污水管网、污水处理厂的建设及提标改造。</w:t>
            </w:r>
          </w:p>
          <w:p>
            <w:pPr>
              <w:pStyle w:val="56"/>
              <w:spacing w:before="75" w:beforeAutospacing="0" w:after="0" w:afterAutospacing="0" w:line="330" w:lineRule="atLeast"/>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2.桂山片区采取优化排污口和提标改造等措施，加强区域水环境综合整治，确保区域影响范围内控制断面水质稳定满足水环境质量要求。</w:t>
            </w:r>
          </w:p>
          <w:p>
            <w:pPr>
              <w:pStyle w:val="56"/>
              <w:spacing w:before="75" w:beforeAutospacing="0" w:after="0" w:afterAutospacing="0" w:line="330" w:lineRule="atLeast"/>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3.扬武片区大开门地块须采取有效措施减少主要污染物和二噁英、苯并[</w:t>
            </w:r>
            <w:r>
              <w:rPr>
                <w:rFonts w:ascii="Times New Roman" w:hAnsi="Times New Roman" w:cs="Times New Roman"/>
                <w:color w:val="000000" w:themeColor="text1"/>
                <w:sz w:val="21"/>
                <w:szCs w:val="21"/>
              </w:rPr>
              <w:t>α</w:t>
            </w:r>
            <w:r>
              <w:rPr>
                <w:rFonts w:ascii="Times New Roman" w:hAnsi="Times New Roman" w:cs="Times New Roman"/>
                <w:color w:val="000000" w:themeColor="text1"/>
                <w:sz w:val="21"/>
                <w:szCs w:val="21"/>
                <w:lang w:eastAsia="zh-CN"/>
              </w:rPr>
              <w:t>]芘等特征污染物的排放量。</w:t>
            </w:r>
          </w:p>
          <w:p>
            <w:pPr>
              <w:pStyle w:val="56"/>
              <w:spacing w:before="75" w:beforeAutospacing="0" w:after="0" w:afterAutospacing="0" w:line="330" w:lineRule="atLeast"/>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4.戛洒片区白糯格地块制浆造纸产业采取先进的工艺及严格的污染防治措施，避免废水排放对区域环境质量造成污染影响。</w:t>
            </w:r>
          </w:p>
          <w:p>
            <w:pPr>
              <w:pStyle w:val="26"/>
              <w:widowControl w:val="0"/>
              <w:adjustRightInd w:val="0"/>
              <w:snapToGrid w:val="0"/>
              <w:spacing w:after="0" w:line="240" w:lineRule="auto"/>
              <w:ind w:firstLine="0" w:firstLineChars="0"/>
              <w:rPr>
                <w:rFonts w:eastAsia="宋体"/>
                <w:color w:val="000000" w:themeColor="text1"/>
                <w:sz w:val="21"/>
                <w:szCs w:val="21"/>
                <w:lang w:eastAsia="zh-CN"/>
              </w:rPr>
            </w:pPr>
            <w:r>
              <w:rPr>
                <w:rFonts w:eastAsia="宋体"/>
                <w:color w:val="000000" w:themeColor="text1"/>
                <w:sz w:val="21"/>
                <w:szCs w:val="21"/>
                <w:lang w:eastAsia="zh-CN"/>
              </w:rPr>
              <w:t>5.固体废物应依法依规集中收集和处理处置。</w:t>
            </w:r>
          </w:p>
        </w:tc>
        <w:tc>
          <w:tcPr>
            <w:tcW w:w="2047" w:type="dxa"/>
            <w:vAlign w:val="center"/>
          </w:tcPr>
          <w:p>
            <w:pPr>
              <w:pStyle w:val="26"/>
              <w:widowControl w:val="0"/>
              <w:adjustRightInd w:val="0"/>
              <w:snapToGrid w:val="0"/>
              <w:spacing w:after="0" w:line="240" w:lineRule="auto"/>
              <w:ind w:firstLine="0" w:firstLineChars="0"/>
              <w:jc w:val="center"/>
              <w:rPr>
                <w:rFonts w:eastAsiaTheme="minorEastAsia"/>
                <w:color w:val="000000" w:themeColor="text1"/>
                <w:sz w:val="21"/>
                <w:szCs w:val="21"/>
                <w:lang w:eastAsia="zh-CN"/>
              </w:rPr>
            </w:pPr>
            <w:r>
              <w:rPr>
                <w:rFonts w:hint="eastAsia" w:eastAsiaTheme="minorEastAsia"/>
                <w:color w:val="000000" w:themeColor="text1"/>
                <w:sz w:val="21"/>
                <w:szCs w:val="21"/>
                <w:lang w:eastAsia="zh-CN"/>
              </w:rPr>
              <w:t>本项目</w:t>
            </w:r>
            <w:r>
              <w:rPr>
                <w:rFonts w:hint="eastAsia" w:eastAsiaTheme="minorEastAsia"/>
                <w:smallCaps/>
                <w:color w:val="000000" w:themeColor="text1"/>
                <w:sz w:val="21"/>
                <w:szCs w:val="21"/>
                <w:lang w:eastAsia="zh-CN"/>
              </w:rPr>
              <w:t>位于戛洒片区，不设废水排污口，</w:t>
            </w:r>
            <w:r>
              <w:rPr>
                <w:rFonts w:eastAsiaTheme="minorEastAsia"/>
                <w:color w:val="000000" w:themeColor="text1"/>
                <w:sz w:val="21"/>
                <w:szCs w:val="21"/>
                <w:lang w:eastAsia="zh-CN"/>
              </w:rPr>
              <w:t>原选矿车间尾矿通过管道接入原有辣子箐尾矿尾矿库中</w:t>
            </w:r>
            <w:r>
              <w:rPr>
                <w:rFonts w:hint="eastAsia" w:eastAsiaTheme="minorEastAsia"/>
                <w:color w:val="000000" w:themeColor="text1"/>
                <w:sz w:val="21"/>
                <w:szCs w:val="21"/>
                <w:lang w:eastAsia="zh-CN"/>
              </w:rPr>
              <w:t>，</w:t>
            </w:r>
            <w:r>
              <w:rPr>
                <w:rFonts w:eastAsiaTheme="minorEastAsia"/>
                <w:color w:val="000000" w:themeColor="text1"/>
                <w:sz w:val="21"/>
                <w:szCs w:val="21"/>
                <w:lang w:eastAsia="zh-CN"/>
              </w:rPr>
              <w:t>技改再选工段尾矿进入龙都尾矿库</w:t>
            </w:r>
            <w:r>
              <w:rPr>
                <w:rFonts w:hint="eastAsia" w:eastAsiaTheme="minorEastAsia"/>
                <w:color w:val="000000" w:themeColor="text1"/>
                <w:sz w:val="21"/>
                <w:szCs w:val="21"/>
                <w:lang w:eastAsia="zh-CN"/>
              </w:rPr>
              <w:t>，</w:t>
            </w:r>
            <w:r>
              <w:rPr>
                <w:rFonts w:eastAsiaTheme="minorEastAsia"/>
                <w:color w:val="000000" w:themeColor="text1"/>
                <w:sz w:val="21"/>
                <w:szCs w:val="21"/>
                <w:lang w:eastAsia="zh-CN"/>
              </w:rPr>
              <w:t>生活垃圾收集后由清运至戛洒镇环卫站指定地点处置</w:t>
            </w:r>
            <w:r>
              <w:rPr>
                <w:rFonts w:hint="eastAsia" w:eastAsiaTheme="minorEastAsia"/>
                <w:color w:val="000000" w:themeColor="text1"/>
                <w:sz w:val="21"/>
                <w:szCs w:val="21"/>
                <w:lang w:eastAsia="zh-CN"/>
              </w:rPr>
              <w:t>，</w:t>
            </w:r>
            <w:r>
              <w:rPr>
                <w:rFonts w:eastAsiaTheme="minorEastAsia"/>
                <w:color w:val="000000" w:themeColor="text1"/>
                <w:sz w:val="21"/>
                <w:szCs w:val="21"/>
                <w:lang w:eastAsia="zh-CN"/>
              </w:rPr>
              <w:t>除尘器收尘灰作为砂料产品外卖，不外排</w:t>
            </w:r>
            <w:r>
              <w:rPr>
                <w:rFonts w:hint="eastAsia" w:eastAsiaTheme="minorEastAsia"/>
                <w:color w:val="000000" w:themeColor="text1"/>
                <w:sz w:val="21"/>
                <w:szCs w:val="21"/>
                <w:lang w:eastAsia="zh-CN"/>
              </w:rPr>
              <w:t>，</w:t>
            </w:r>
            <w:r>
              <w:rPr>
                <w:rFonts w:eastAsiaTheme="minorEastAsia"/>
                <w:color w:val="000000" w:themeColor="text1"/>
                <w:sz w:val="21"/>
                <w:szCs w:val="21"/>
                <w:lang w:eastAsia="zh-CN"/>
              </w:rPr>
              <w:t>废机油暂存于原有项目危险废物暂存间内，委托有资质单位定期清运处置</w:t>
            </w:r>
            <w:r>
              <w:rPr>
                <w:rFonts w:hint="eastAsia" w:eastAsiaTheme="minorEastAsia"/>
                <w:color w:val="000000" w:themeColor="text1"/>
                <w:sz w:val="21"/>
                <w:szCs w:val="21"/>
                <w:lang w:eastAsia="zh-CN"/>
              </w:rPr>
              <w:t>。</w:t>
            </w:r>
          </w:p>
        </w:tc>
        <w:tc>
          <w:tcPr>
            <w:tcW w:w="718"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eastAsia="宋体"/>
                <w:color w:val="000000" w:themeColor="text1"/>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6" w:type="dxa"/>
            <w:vMerge w:val="continue"/>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p>
        </w:tc>
        <w:tc>
          <w:tcPr>
            <w:tcW w:w="830"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r>
              <w:rPr>
                <w:rFonts w:eastAsia="宋体"/>
                <w:color w:val="000000" w:themeColor="text1"/>
                <w:sz w:val="21"/>
                <w:szCs w:val="21"/>
              </w:rPr>
              <w:t>环境风险防控</w:t>
            </w:r>
          </w:p>
        </w:tc>
        <w:tc>
          <w:tcPr>
            <w:tcW w:w="4208" w:type="dxa"/>
            <w:vAlign w:val="center"/>
          </w:tcPr>
          <w:p>
            <w:pPr>
              <w:pStyle w:val="56"/>
              <w:spacing w:before="75" w:beforeAutospacing="0" w:after="0" w:afterAutospacing="0" w:line="330" w:lineRule="atLeast"/>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1.入园项目须按规定设置足够的防护距离，避免对周边居民造成影响。</w:t>
            </w:r>
          </w:p>
          <w:p>
            <w:pPr>
              <w:pStyle w:val="26"/>
              <w:widowControl w:val="0"/>
              <w:adjustRightInd w:val="0"/>
              <w:snapToGrid w:val="0"/>
              <w:spacing w:after="0" w:line="240" w:lineRule="auto"/>
              <w:ind w:firstLine="0" w:firstLineChars="0"/>
              <w:rPr>
                <w:rFonts w:eastAsia="宋体"/>
                <w:color w:val="000000" w:themeColor="text1"/>
                <w:sz w:val="21"/>
                <w:szCs w:val="21"/>
                <w:lang w:eastAsia="zh-CN"/>
              </w:rPr>
            </w:pPr>
            <w:r>
              <w:rPr>
                <w:rFonts w:eastAsia="宋体"/>
                <w:color w:val="000000" w:themeColor="text1"/>
                <w:sz w:val="21"/>
                <w:szCs w:val="21"/>
                <w:lang w:eastAsia="zh-CN"/>
              </w:rPr>
              <w:t>2.加强区内重要污染源管控，强化园区危险化学品储运及尾矿库的环境风险管理，建立应急响应联动机制。</w:t>
            </w:r>
          </w:p>
        </w:tc>
        <w:tc>
          <w:tcPr>
            <w:tcW w:w="2047"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hint="eastAsia" w:eastAsia="宋体"/>
                <w:color w:val="000000" w:themeColor="text1"/>
                <w:sz w:val="21"/>
                <w:szCs w:val="21"/>
                <w:lang w:eastAsia="zh-CN"/>
              </w:rPr>
              <w:t>项目为改扩建项目，各污染源均设置了相应的污染治理措施，尾矿库已有相应的应急机制。</w:t>
            </w:r>
          </w:p>
        </w:tc>
        <w:tc>
          <w:tcPr>
            <w:tcW w:w="718"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eastAsia="宋体"/>
                <w:color w:val="000000" w:themeColor="text1"/>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6" w:type="dxa"/>
            <w:vMerge w:val="continue"/>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p>
        </w:tc>
        <w:tc>
          <w:tcPr>
            <w:tcW w:w="830"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r>
              <w:rPr>
                <w:rFonts w:eastAsia="宋体"/>
                <w:color w:val="000000" w:themeColor="text1"/>
                <w:sz w:val="21"/>
                <w:szCs w:val="21"/>
              </w:rPr>
              <w:t>资源开发效率要求</w:t>
            </w:r>
          </w:p>
        </w:tc>
        <w:tc>
          <w:tcPr>
            <w:tcW w:w="4208" w:type="dxa"/>
            <w:vAlign w:val="center"/>
          </w:tcPr>
          <w:p>
            <w:pPr>
              <w:pStyle w:val="56"/>
              <w:spacing w:before="75" w:beforeAutospacing="0" w:after="0" w:afterAutospacing="0" w:line="330" w:lineRule="atLeast"/>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1.引进项目应从生产工艺、设备、单位产品能耗、物耗、污染物排放和资源利用等方面，进一步提高清洁生产水平。</w:t>
            </w:r>
          </w:p>
          <w:p>
            <w:pPr>
              <w:pStyle w:val="26"/>
              <w:widowControl w:val="0"/>
              <w:adjustRightInd w:val="0"/>
              <w:snapToGrid w:val="0"/>
              <w:spacing w:after="0" w:line="240" w:lineRule="auto"/>
              <w:ind w:firstLine="0" w:firstLineChars="0"/>
              <w:rPr>
                <w:rFonts w:eastAsia="宋体"/>
                <w:color w:val="000000" w:themeColor="text1"/>
                <w:sz w:val="21"/>
                <w:szCs w:val="21"/>
                <w:lang w:eastAsia="zh-CN"/>
              </w:rPr>
            </w:pPr>
            <w:r>
              <w:rPr>
                <w:rFonts w:eastAsia="宋体"/>
                <w:color w:val="000000" w:themeColor="text1"/>
                <w:sz w:val="21"/>
                <w:szCs w:val="21"/>
                <w:lang w:eastAsia="zh-CN"/>
              </w:rPr>
              <w:t>2.大红山地块应加强矿山深部资源开发利用对地下水的环境影响论证工作。</w:t>
            </w:r>
          </w:p>
        </w:tc>
        <w:tc>
          <w:tcPr>
            <w:tcW w:w="2047"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hint="eastAsia" w:eastAsia="宋体"/>
                <w:color w:val="000000" w:themeColor="text1"/>
                <w:sz w:val="21"/>
                <w:szCs w:val="21"/>
                <w:lang w:eastAsia="zh-CN"/>
              </w:rPr>
              <w:t>项目为改扩建项目，不涉及资源开发</w:t>
            </w:r>
          </w:p>
        </w:tc>
        <w:tc>
          <w:tcPr>
            <w:tcW w:w="718"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hint="eastAsia" w:eastAsia="宋体"/>
                <w:color w:val="000000" w:themeColor="text1"/>
                <w:sz w:val="21"/>
                <w:szCs w:val="21"/>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6" w:type="dxa"/>
            <w:vMerge w:val="restart"/>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eastAsia="宋体"/>
                <w:color w:val="000000" w:themeColor="text1"/>
                <w:sz w:val="21"/>
                <w:szCs w:val="21"/>
                <w:lang w:eastAsia="zh-CN"/>
              </w:rPr>
              <w:t>新平彝族傣族自治县矿产资源重点管控单元</w:t>
            </w:r>
          </w:p>
        </w:tc>
        <w:tc>
          <w:tcPr>
            <w:tcW w:w="830"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r>
              <w:rPr>
                <w:rFonts w:eastAsia="宋体"/>
                <w:color w:val="000000" w:themeColor="text1"/>
                <w:sz w:val="21"/>
                <w:szCs w:val="21"/>
              </w:rPr>
              <w:t>空间布局约束</w:t>
            </w:r>
          </w:p>
        </w:tc>
        <w:tc>
          <w:tcPr>
            <w:tcW w:w="4208" w:type="dxa"/>
            <w:vAlign w:val="center"/>
          </w:tcPr>
          <w:p>
            <w:pPr>
              <w:pStyle w:val="56"/>
              <w:adjustRightInd w:val="0"/>
              <w:snapToGrid w:val="0"/>
              <w:spacing w:beforeAutospacing="0" w:after="0" w:afterAutospacing="0" w:line="240" w:lineRule="auto"/>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1.限制开采高硫、高灰、高砷、高氟煤炭和湿地泥炭，以及砂金、砂铁等重砂矿物。</w:t>
            </w:r>
          </w:p>
          <w:p>
            <w:pPr>
              <w:pStyle w:val="56"/>
              <w:adjustRightInd w:val="0"/>
              <w:snapToGrid w:val="0"/>
              <w:spacing w:beforeAutospacing="0" w:after="0" w:afterAutospacing="0" w:line="240" w:lineRule="auto"/>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2.新建矿山严格控制最低开采规模及最低服务年限。</w:t>
            </w:r>
          </w:p>
          <w:p>
            <w:pPr>
              <w:pStyle w:val="56"/>
              <w:adjustRightInd w:val="0"/>
              <w:snapToGrid w:val="0"/>
              <w:spacing w:beforeAutospacing="0" w:after="0" w:afterAutospacing="0" w:line="240" w:lineRule="auto"/>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3.严格执行禁止开采区规定，对各类保护区内已设置的商业探矿权和采矿权，依法退出；对各类保护区设立之前已存在的合法探矿权和采矿权，以及各类保护区设立之后各项手续完备且已征得保护区主管部门同意设立的探矿权和采矿权，分类提出差别化的补偿和退出方案，在保障探矿权和采矿权人合法权益的前提下，依法有序退出。</w:t>
            </w:r>
          </w:p>
          <w:p>
            <w:pPr>
              <w:pStyle w:val="26"/>
              <w:widowControl w:val="0"/>
              <w:adjustRightInd w:val="0"/>
              <w:snapToGrid w:val="0"/>
              <w:spacing w:after="0" w:line="240" w:lineRule="auto"/>
              <w:ind w:firstLine="0" w:firstLineChars="0"/>
              <w:rPr>
                <w:rFonts w:eastAsia="宋体"/>
                <w:color w:val="000000" w:themeColor="text1"/>
                <w:sz w:val="21"/>
                <w:szCs w:val="21"/>
                <w:lang w:eastAsia="zh-CN"/>
              </w:rPr>
            </w:pPr>
            <w:r>
              <w:rPr>
                <w:rFonts w:eastAsia="宋体"/>
                <w:color w:val="000000" w:themeColor="text1"/>
                <w:sz w:val="21"/>
                <w:szCs w:val="21"/>
                <w:lang w:eastAsia="zh-CN"/>
              </w:rPr>
              <w:t>4.严格尾矿库建设项目准入，严控新增环境污染风险。</w:t>
            </w:r>
          </w:p>
        </w:tc>
        <w:tc>
          <w:tcPr>
            <w:tcW w:w="2047"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hint="eastAsia" w:eastAsia="宋体"/>
                <w:color w:val="000000" w:themeColor="text1"/>
                <w:sz w:val="21"/>
                <w:szCs w:val="21"/>
                <w:lang w:eastAsia="zh-CN"/>
              </w:rPr>
              <w:t>项目为选矿项目，不涉及矿山开采，不新建尾矿库</w:t>
            </w:r>
          </w:p>
        </w:tc>
        <w:tc>
          <w:tcPr>
            <w:tcW w:w="718"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hint="eastAsia" w:eastAsia="宋体"/>
                <w:color w:val="000000" w:themeColor="text1"/>
                <w:sz w:val="21"/>
                <w:szCs w:val="21"/>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6" w:type="dxa"/>
            <w:vMerge w:val="continue"/>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p>
        </w:tc>
        <w:tc>
          <w:tcPr>
            <w:tcW w:w="830"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r>
              <w:rPr>
                <w:rFonts w:eastAsia="宋体"/>
                <w:color w:val="000000" w:themeColor="text1"/>
                <w:sz w:val="21"/>
                <w:szCs w:val="21"/>
              </w:rPr>
              <w:t>污染物排放管控</w:t>
            </w:r>
          </w:p>
        </w:tc>
        <w:tc>
          <w:tcPr>
            <w:tcW w:w="4208" w:type="dxa"/>
            <w:vAlign w:val="center"/>
          </w:tcPr>
          <w:p>
            <w:pPr>
              <w:pStyle w:val="56"/>
              <w:adjustRightInd w:val="0"/>
              <w:snapToGrid w:val="0"/>
              <w:spacing w:beforeAutospacing="0" w:after="0" w:afterAutospacing="0" w:line="240" w:lineRule="auto"/>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1.推行清洁生产工艺，严格矿产资源开发的污染物排放。</w:t>
            </w:r>
          </w:p>
          <w:p>
            <w:pPr>
              <w:pStyle w:val="56"/>
              <w:adjustRightInd w:val="0"/>
              <w:snapToGrid w:val="0"/>
              <w:spacing w:beforeAutospacing="0" w:after="0" w:afterAutospacing="0" w:line="240" w:lineRule="auto"/>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2.对原有大中型矿业进行技术改造，淘汰污染严重、资源利用率低的落后设备与工艺。</w:t>
            </w:r>
          </w:p>
          <w:p>
            <w:pPr>
              <w:pStyle w:val="56"/>
              <w:adjustRightInd w:val="0"/>
              <w:snapToGrid w:val="0"/>
              <w:spacing w:beforeAutospacing="0" w:after="0" w:afterAutospacing="0" w:line="240" w:lineRule="auto"/>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3.加强绿色勘查开采新技术、新方法和新工艺研发与推广，积极推进绿色勘查与开发。</w:t>
            </w:r>
          </w:p>
          <w:p>
            <w:pPr>
              <w:pStyle w:val="26"/>
              <w:widowControl w:val="0"/>
              <w:adjustRightInd w:val="0"/>
              <w:snapToGrid w:val="0"/>
              <w:spacing w:after="0" w:line="240" w:lineRule="auto"/>
              <w:ind w:firstLine="0" w:firstLineChars="0"/>
              <w:rPr>
                <w:rFonts w:eastAsia="宋体"/>
                <w:color w:val="000000" w:themeColor="text1"/>
                <w:sz w:val="21"/>
                <w:szCs w:val="21"/>
                <w:lang w:eastAsia="zh-CN"/>
              </w:rPr>
            </w:pPr>
            <w:r>
              <w:rPr>
                <w:rFonts w:eastAsia="宋体"/>
                <w:color w:val="000000" w:themeColor="text1"/>
                <w:sz w:val="21"/>
                <w:szCs w:val="21"/>
                <w:lang w:eastAsia="zh-CN"/>
              </w:rPr>
              <w:t>4.推进绿色矿山建设，完善尾矿库污染防治措施，严格排污许可制度。</w:t>
            </w:r>
          </w:p>
        </w:tc>
        <w:tc>
          <w:tcPr>
            <w:tcW w:w="2047"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hint="eastAsia" w:eastAsia="宋体"/>
                <w:color w:val="000000" w:themeColor="text1"/>
                <w:sz w:val="21"/>
                <w:szCs w:val="21"/>
                <w:lang w:eastAsia="zh-CN"/>
              </w:rPr>
              <w:t>项目为选矿项目，不涉及矿山开采，不新建尾矿库，尾矿库已有相应的污染防治措施</w:t>
            </w:r>
          </w:p>
        </w:tc>
        <w:tc>
          <w:tcPr>
            <w:tcW w:w="718"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hint="eastAsia" w:eastAsia="宋体"/>
                <w:color w:val="000000" w:themeColor="text1"/>
                <w:sz w:val="21"/>
                <w:szCs w:val="21"/>
                <w:lang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6" w:type="dxa"/>
            <w:vMerge w:val="continue"/>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p>
        </w:tc>
        <w:tc>
          <w:tcPr>
            <w:tcW w:w="830"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r>
              <w:rPr>
                <w:rFonts w:eastAsia="宋体"/>
                <w:color w:val="000000" w:themeColor="text1"/>
                <w:sz w:val="21"/>
                <w:szCs w:val="21"/>
              </w:rPr>
              <w:t>环境风险防控</w:t>
            </w:r>
          </w:p>
        </w:tc>
        <w:tc>
          <w:tcPr>
            <w:tcW w:w="4208" w:type="dxa"/>
            <w:vAlign w:val="center"/>
          </w:tcPr>
          <w:p>
            <w:pPr>
              <w:pStyle w:val="56"/>
              <w:adjustRightInd w:val="0"/>
              <w:snapToGrid w:val="0"/>
              <w:spacing w:beforeAutospacing="0" w:after="0" w:afterAutospacing="0" w:line="240" w:lineRule="auto"/>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1.矿山采选区、废水处理设施、固体废物储存场所等应配备完善的污染防治措施，严防对水体和土壤造成污染。</w:t>
            </w:r>
          </w:p>
          <w:p>
            <w:pPr>
              <w:pStyle w:val="56"/>
              <w:adjustRightInd w:val="0"/>
              <w:snapToGrid w:val="0"/>
              <w:spacing w:beforeAutospacing="0" w:after="0" w:afterAutospacing="0" w:line="240" w:lineRule="auto"/>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2.对尾矿库、废石堆通过平整、覆土、种植等措施开展复垦还绿，严防重金属污染。</w:t>
            </w:r>
          </w:p>
          <w:p>
            <w:pPr>
              <w:pStyle w:val="26"/>
              <w:widowControl w:val="0"/>
              <w:adjustRightInd w:val="0"/>
              <w:snapToGrid w:val="0"/>
              <w:spacing w:after="0" w:line="240" w:lineRule="auto"/>
              <w:ind w:firstLine="0" w:firstLineChars="0"/>
              <w:rPr>
                <w:rFonts w:eastAsia="宋体"/>
                <w:color w:val="000000" w:themeColor="text1"/>
                <w:sz w:val="21"/>
                <w:szCs w:val="21"/>
                <w:lang w:eastAsia="zh-CN"/>
              </w:rPr>
            </w:pPr>
            <w:r>
              <w:rPr>
                <w:rFonts w:eastAsia="宋体"/>
                <w:color w:val="000000" w:themeColor="text1"/>
                <w:sz w:val="21"/>
                <w:szCs w:val="21"/>
                <w:lang w:eastAsia="zh-CN"/>
              </w:rPr>
              <w:t>3.重点尾矿库所属企业按照有关规定，开展污染状况自行监测。</w:t>
            </w:r>
          </w:p>
        </w:tc>
        <w:tc>
          <w:tcPr>
            <w:tcW w:w="2047"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hint="eastAsia" w:eastAsia="宋体"/>
                <w:color w:val="000000" w:themeColor="text1"/>
                <w:sz w:val="21"/>
                <w:szCs w:val="21"/>
                <w:lang w:eastAsia="zh-CN"/>
              </w:rPr>
              <w:t>项目废水、固废均配备相应的污染防治措施</w:t>
            </w:r>
          </w:p>
        </w:tc>
        <w:tc>
          <w:tcPr>
            <w:tcW w:w="718"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hint="eastAsia" w:eastAsia="宋体"/>
                <w:color w:val="000000" w:themeColor="text1"/>
                <w:sz w:val="21"/>
                <w:szCs w:val="21"/>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6" w:type="dxa"/>
            <w:vMerge w:val="continue"/>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p>
        </w:tc>
        <w:tc>
          <w:tcPr>
            <w:tcW w:w="830"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rPr>
            </w:pPr>
            <w:r>
              <w:rPr>
                <w:rFonts w:eastAsia="宋体"/>
                <w:color w:val="000000" w:themeColor="text1"/>
                <w:sz w:val="21"/>
                <w:szCs w:val="21"/>
              </w:rPr>
              <w:t>资源开发效率要求</w:t>
            </w:r>
          </w:p>
        </w:tc>
        <w:tc>
          <w:tcPr>
            <w:tcW w:w="4208" w:type="dxa"/>
            <w:vAlign w:val="center"/>
          </w:tcPr>
          <w:p>
            <w:pPr>
              <w:pStyle w:val="56"/>
              <w:adjustRightInd w:val="0"/>
              <w:snapToGrid w:val="0"/>
              <w:spacing w:beforeAutospacing="0" w:after="0" w:afterAutospacing="0" w:line="240" w:lineRule="auto"/>
              <w:ind w:firstLine="0" w:firstLineChars="0"/>
              <w:rPr>
                <w:rFonts w:ascii="Times New Roman" w:hAnsi="Times New Roman" w:cs="Times New Roman"/>
                <w:color w:val="000000" w:themeColor="text1"/>
                <w:sz w:val="21"/>
                <w:szCs w:val="21"/>
                <w:lang w:eastAsia="zh-CN"/>
              </w:rPr>
            </w:pPr>
            <w:r>
              <w:rPr>
                <w:rFonts w:ascii="Times New Roman" w:hAnsi="Times New Roman" w:cs="Times New Roman"/>
                <w:color w:val="000000" w:themeColor="text1"/>
                <w:sz w:val="21"/>
                <w:szCs w:val="21"/>
                <w:lang w:eastAsia="zh-CN"/>
              </w:rPr>
              <w:t>1.从源头减少废水产生，实施清污分流，充分利用矿井水、循环利用选矿水。</w:t>
            </w:r>
          </w:p>
          <w:p>
            <w:pPr>
              <w:pStyle w:val="26"/>
              <w:widowControl w:val="0"/>
              <w:adjustRightInd w:val="0"/>
              <w:snapToGrid w:val="0"/>
              <w:spacing w:after="0" w:line="240" w:lineRule="auto"/>
              <w:ind w:firstLine="0" w:firstLineChars="0"/>
              <w:rPr>
                <w:rFonts w:eastAsia="宋体"/>
                <w:color w:val="000000" w:themeColor="text1"/>
                <w:sz w:val="21"/>
                <w:szCs w:val="21"/>
                <w:lang w:eastAsia="zh-CN"/>
              </w:rPr>
            </w:pPr>
            <w:r>
              <w:rPr>
                <w:rFonts w:eastAsia="宋体"/>
                <w:color w:val="000000" w:themeColor="text1"/>
                <w:sz w:val="21"/>
                <w:szCs w:val="21"/>
                <w:lang w:eastAsia="zh-CN"/>
              </w:rPr>
              <w:t>2.提高矿产资源回采率和综合回收率，大力开展粉煤灰、炉渣、冶炼废渣、尾矿等资源化利用。</w:t>
            </w:r>
          </w:p>
        </w:tc>
        <w:tc>
          <w:tcPr>
            <w:tcW w:w="2047"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hint="eastAsia" w:eastAsia="宋体"/>
                <w:color w:val="000000" w:themeColor="text1"/>
                <w:sz w:val="21"/>
                <w:szCs w:val="21"/>
                <w:lang w:eastAsia="zh-CN"/>
              </w:rPr>
              <w:t>项目选矿废水均循环利用，不外排，提高资源利用率</w:t>
            </w:r>
          </w:p>
        </w:tc>
        <w:tc>
          <w:tcPr>
            <w:tcW w:w="718" w:type="dxa"/>
            <w:vAlign w:val="center"/>
          </w:tcPr>
          <w:p>
            <w:pPr>
              <w:pStyle w:val="26"/>
              <w:widowControl w:val="0"/>
              <w:adjustRightInd w:val="0"/>
              <w:snapToGrid w:val="0"/>
              <w:spacing w:after="0" w:line="240" w:lineRule="auto"/>
              <w:ind w:firstLine="0" w:firstLineChars="0"/>
              <w:jc w:val="center"/>
              <w:rPr>
                <w:rFonts w:eastAsia="宋体"/>
                <w:color w:val="000000" w:themeColor="text1"/>
                <w:sz w:val="21"/>
                <w:szCs w:val="21"/>
                <w:lang w:eastAsia="zh-CN"/>
              </w:rPr>
            </w:pPr>
            <w:r>
              <w:rPr>
                <w:rFonts w:hint="eastAsia" w:eastAsia="宋体"/>
                <w:color w:val="000000" w:themeColor="text1"/>
                <w:sz w:val="21"/>
                <w:szCs w:val="21"/>
                <w:lang w:eastAsia="zh-CN"/>
              </w:rPr>
              <w:t>符合</w:t>
            </w:r>
          </w:p>
        </w:tc>
      </w:tr>
    </w:tbl>
    <w:p>
      <w:pPr>
        <w:kinsoku w:val="0"/>
        <w:overflowPunct w:val="0"/>
        <w:autoSpaceDE w:val="0"/>
        <w:autoSpaceDN w:val="0"/>
        <w:adjustRightInd w:val="0"/>
        <w:snapToGrid w:val="0"/>
        <w:ind w:firstLine="480"/>
        <w:rPr>
          <w:color w:val="000000" w:themeColor="text1"/>
          <w:szCs w:val="24"/>
        </w:rPr>
      </w:pPr>
      <w:r>
        <w:rPr>
          <w:color w:val="000000" w:themeColor="text1"/>
          <w:szCs w:val="24"/>
        </w:rPr>
        <w:t>（</w:t>
      </w:r>
      <w:r>
        <w:rPr>
          <w:rFonts w:hint="eastAsia"/>
          <w:color w:val="000000" w:themeColor="text1"/>
          <w:szCs w:val="24"/>
        </w:rPr>
        <w:t>3</w:t>
      </w:r>
      <w:r>
        <w:rPr>
          <w:color w:val="000000" w:themeColor="text1"/>
          <w:szCs w:val="24"/>
        </w:rPr>
        <w:t>）生态保护红线</w:t>
      </w:r>
    </w:p>
    <w:p>
      <w:pPr>
        <w:ind w:firstLine="480"/>
        <w:rPr>
          <w:color w:val="000000" w:themeColor="text1"/>
          <w:kern w:val="0"/>
          <w:szCs w:val="24"/>
        </w:rPr>
      </w:pPr>
      <w:r>
        <w:rPr>
          <w:color w:val="000000" w:themeColor="text1"/>
          <w:szCs w:val="21"/>
        </w:rPr>
        <w:t>项目用地为园区规划用地，未涉及水源涵养、生态多样性维护、保水土持、防风固沙、海洋生态等功能的生态功能重要区域，以及水土流失、土地沙化、石漠化、盐渍化等生态环境敏感脆弱区域。</w:t>
      </w:r>
      <w:r>
        <w:rPr>
          <w:color w:val="000000" w:themeColor="text1"/>
          <w:kern w:val="0"/>
          <w:szCs w:val="24"/>
        </w:rPr>
        <w:t>此项目不新增用地，建设符合生态保护红线要求。</w:t>
      </w:r>
    </w:p>
    <w:p>
      <w:pPr>
        <w:tabs>
          <w:tab w:val="left" w:pos="312"/>
        </w:tabs>
        <w:ind w:firstLine="480"/>
        <w:jc w:val="both"/>
        <w:rPr>
          <w:rFonts w:eastAsiaTheme="minorEastAsia"/>
          <w:color w:val="000000" w:themeColor="text1"/>
        </w:rPr>
      </w:pPr>
      <w:r>
        <w:rPr>
          <w:rFonts w:eastAsiaTheme="minorEastAsia"/>
          <w:color w:val="000000" w:themeColor="text1"/>
        </w:rPr>
        <w:t>（</w:t>
      </w:r>
      <w:r>
        <w:rPr>
          <w:rFonts w:hint="eastAsia" w:eastAsiaTheme="minorEastAsia"/>
          <w:color w:val="000000" w:themeColor="text1"/>
        </w:rPr>
        <w:t>4</w:t>
      </w:r>
      <w:r>
        <w:rPr>
          <w:rFonts w:eastAsiaTheme="minorEastAsia"/>
          <w:color w:val="000000" w:themeColor="text1"/>
        </w:rPr>
        <w:t>）环境质量底线</w:t>
      </w:r>
    </w:p>
    <w:p>
      <w:pPr>
        <w:ind w:firstLine="482"/>
        <w:rPr>
          <w:b/>
          <w:color w:val="000000" w:themeColor="text1"/>
          <w:szCs w:val="21"/>
        </w:rPr>
      </w:pPr>
      <w:r>
        <w:rPr>
          <w:b/>
          <w:color w:val="000000" w:themeColor="text1"/>
          <w:szCs w:val="21"/>
        </w:rPr>
        <w:t>①大气环境质量底线</w:t>
      </w:r>
    </w:p>
    <w:p>
      <w:pPr>
        <w:ind w:firstLine="480"/>
        <w:rPr>
          <w:color w:val="000000" w:themeColor="text1"/>
          <w:lang w:val="zh-CN"/>
        </w:rPr>
      </w:pPr>
      <w:r>
        <w:rPr>
          <w:color w:val="000000" w:themeColor="text1"/>
          <w:szCs w:val="21"/>
        </w:rPr>
        <w:t>根据《新平工业园区总体规划修编（2018~2035）环境影响报告书》，戛洒片区大红山地块大气污染物允许排放总量、污染因子环境浓度承载力见下表：</w:t>
      </w:r>
    </w:p>
    <w:p>
      <w:pPr>
        <w:pStyle w:val="74"/>
        <w:wordWrap w:val="0"/>
        <w:ind w:left="0" w:right="0" w:firstLine="0" w:firstLineChars="0"/>
        <w:jc w:val="center"/>
        <w:rPr>
          <w:rFonts w:eastAsia="宋体"/>
          <w:bCs/>
          <w:i w:val="0"/>
          <w:iCs/>
          <w:color w:val="000000" w:themeColor="text1"/>
          <w:sz w:val="21"/>
          <w:szCs w:val="21"/>
          <w:lang w:val="zh-CN"/>
        </w:rPr>
      </w:pPr>
      <w:r>
        <w:rPr>
          <w:rFonts w:eastAsia="宋体"/>
          <w:bCs/>
          <w:i w:val="0"/>
          <w:iCs/>
          <w:color w:val="000000" w:themeColor="text1"/>
          <w:sz w:val="21"/>
          <w:szCs w:val="21"/>
          <w:lang w:val="zh-CN"/>
        </w:rPr>
        <w:t>表</w:t>
      </w:r>
      <w:r>
        <w:rPr>
          <w:rFonts w:hint="eastAsia" w:eastAsia="宋体"/>
          <w:bCs/>
          <w:i w:val="0"/>
          <w:iCs/>
          <w:color w:val="000000" w:themeColor="text1"/>
          <w:sz w:val="21"/>
          <w:szCs w:val="21"/>
          <w:lang w:val="zh-CN"/>
        </w:rPr>
        <w:t>1-6</w:t>
      </w:r>
      <w:r>
        <w:rPr>
          <w:rFonts w:eastAsia="宋体"/>
          <w:bCs/>
          <w:i w:val="0"/>
          <w:iCs/>
          <w:color w:val="000000" w:themeColor="text1"/>
          <w:sz w:val="21"/>
          <w:szCs w:val="21"/>
          <w:lang w:val="zh-CN"/>
        </w:rPr>
        <w:t>戛洒片区大红山地块大气污染因子环境浓度承载力</w:t>
      </w:r>
    </w:p>
    <w:tbl>
      <w:tblPr>
        <w:tblStyle w:val="6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7"/>
        <w:gridCol w:w="769"/>
        <w:gridCol w:w="973"/>
        <w:gridCol w:w="781"/>
        <w:gridCol w:w="1195"/>
        <w:gridCol w:w="1195"/>
        <w:gridCol w:w="1016"/>
        <w:gridCol w:w="925"/>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1536" w:type="dxa"/>
            <w:gridSpan w:val="2"/>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工业区</w:t>
            </w:r>
          </w:p>
        </w:tc>
        <w:tc>
          <w:tcPr>
            <w:tcW w:w="973"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面积（km</w:t>
            </w:r>
            <w:r>
              <w:rPr>
                <w:color w:val="000000" w:themeColor="text1"/>
                <w:kern w:val="0"/>
                <w:sz w:val="21"/>
                <w:szCs w:val="21"/>
                <w:vertAlign w:val="superscript"/>
              </w:rPr>
              <w:t>2</w:t>
            </w:r>
            <w:r>
              <w:rPr>
                <w:color w:val="000000" w:themeColor="text1"/>
                <w:kern w:val="0"/>
                <w:sz w:val="21"/>
                <w:szCs w:val="21"/>
              </w:rPr>
              <w:t>）</w:t>
            </w:r>
          </w:p>
        </w:tc>
        <w:tc>
          <w:tcPr>
            <w:tcW w:w="7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控制因子</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背景浓度（日均）（mg/m</w:t>
            </w:r>
            <w:r>
              <w:rPr>
                <w:color w:val="000000" w:themeColor="text1"/>
                <w:kern w:val="0"/>
                <w:sz w:val="21"/>
                <w:szCs w:val="21"/>
                <w:vertAlign w:val="superscript"/>
              </w:rPr>
              <w:t>3</w:t>
            </w:r>
            <w:r>
              <w:rPr>
                <w:color w:val="000000" w:themeColor="text1"/>
                <w:kern w:val="0"/>
                <w:sz w:val="21"/>
                <w:szCs w:val="21"/>
              </w:rPr>
              <w:t>）</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环境质量年均标准（mg/m</w:t>
            </w:r>
            <w:r>
              <w:rPr>
                <w:color w:val="000000" w:themeColor="text1"/>
                <w:kern w:val="0"/>
                <w:sz w:val="21"/>
                <w:szCs w:val="21"/>
                <w:vertAlign w:val="superscript"/>
              </w:rPr>
              <w:t>3</w:t>
            </w:r>
            <w:r>
              <w:rPr>
                <w:color w:val="000000" w:themeColor="text1"/>
                <w:kern w:val="0"/>
                <w:sz w:val="21"/>
                <w:szCs w:val="21"/>
              </w:rPr>
              <w:t>）</w:t>
            </w:r>
          </w:p>
        </w:tc>
        <w:tc>
          <w:tcPr>
            <w:tcW w:w="1016"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环境容量（t/a）</w:t>
            </w:r>
          </w:p>
        </w:tc>
        <w:tc>
          <w:tcPr>
            <w:tcW w:w="92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估算排污量（t/a）</w:t>
            </w:r>
          </w:p>
        </w:tc>
        <w:tc>
          <w:tcPr>
            <w:tcW w:w="90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承载力分析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67" w:type="dxa"/>
            <w:vMerge w:val="restart"/>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戛洒片区</w:t>
            </w:r>
          </w:p>
        </w:tc>
        <w:tc>
          <w:tcPr>
            <w:tcW w:w="769" w:type="dxa"/>
            <w:vMerge w:val="restart"/>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白糯格片区</w:t>
            </w:r>
          </w:p>
        </w:tc>
        <w:tc>
          <w:tcPr>
            <w:tcW w:w="973" w:type="dxa"/>
            <w:vMerge w:val="restart"/>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2.137</w:t>
            </w:r>
          </w:p>
        </w:tc>
        <w:tc>
          <w:tcPr>
            <w:tcW w:w="7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SO</w:t>
            </w:r>
            <w:r>
              <w:rPr>
                <w:color w:val="000000" w:themeColor="text1"/>
                <w:kern w:val="0"/>
                <w:sz w:val="21"/>
                <w:szCs w:val="21"/>
                <w:vertAlign w:val="subscript"/>
              </w:rPr>
              <w:t>2</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0.014</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0.06</w:t>
            </w:r>
          </w:p>
        </w:tc>
        <w:tc>
          <w:tcPr>
            <w:tcW w:w="1016"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2071.15</w:t>
            </w:r>
          </w:p>
        </w:tc>
        <w:tc>
          <w:tcPr>
            <w:tcW w:w="92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219.24</w:t>
            </w:r>
          </w:p>
        </w:tc>
        <w:tc>
          <w:tcPr>
            <w:tcW w:w="90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1851.91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67"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76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973"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7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NO</w:t>
            </w:r>
            <w:r>
              <w:rPr>
                <w:color w:val="000000" w:themeColor="text1"/>
                <w:kern w:val="0"/>
                <w:sz w:val="21"/>
                <w:szCs w:val="21"/>
                <w:vertAlign w:val="subscript"/>
              </w:rPr>
              <w:t>X</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0.017</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0.05</w:t>
            </w:r>
          </w:p>
        </w:tc>
        <w:tc>
          <w:tcPr>
            <w:tcW w:w="1016"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1485.82</w:t>
            </w:r>
          </w:p>
        </w:tc>
        <w:tc>
          <w:tcPr>
            <w:tcW w:w="92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317.79</w:t>
            </w:r>
          </w:p>
        </w:tc>
        <w:tc>
          <w:tcPr>
            <w:tcW w:w="90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1168.03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67"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76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973"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7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TSP</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0.166</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0.2</w:t>
            </w:r>
          </w:p>
        </w:tc>
        <w:tc>
          <w:tcPr>
            <w:tcW w:w="1016"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1530.85</w:t>
            </w:r>
          </w:p>
        </w:tc>
        <w:tc>
          <w:tcPr>
            <w:tcW w:w="92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127.14</w:t>
            </w:r>
          </w:p>
        </w:tc>
        <w:tc>
          <w:tcPr>
            <w:tcW w:w="90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1403.71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67"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769" w:type="dxa"/>
            <w:vMerge w:val="restart"/>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大红山地块</w:t>
            </w:r>
          </w:p>
        </w:tc>
        <w:tc>
          <w:tcPr>
            <w:tcW w:w="973" w:type="dxa"/>
            <w:vMerge w:val="restart"/>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4.683</w:t>
            </w:r>
          </w:p>
        </w:tc>
        <w:tc>
          <w:tcPr>
            <w:tcW w:w="7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SO</w:t>
            </w:r>
            <w:r>
              <w:rPr>
                <w:color w:val="000000" w:themeColor="text1"/>
                <w:kern w:val="0"/>
                <w:sz w:val="21"/>
                <w:szCs w:val="21"/>
                <w:vertAlign w:val="subscript"/>
              </w:rPr>
              <w:t>2</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0.014</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0.06</w:t>
            </w:r>
          </w:p>
        </w:tc>
        <w:tc>
          <w:tcPr>
            <w:tcW w:w="1016"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3065.99</w:t>
            </w:r>
          </w:p>
        </w:tc>
        <w:tc>
          <w:tcPr>
            <w:tcW w:w="92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39.43</w:t>
            </w:r>
          </w:p>
        </w:tc>
        <w:tc>
          <w:tcPr>
            <w:tcW w:w="90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3037.13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67"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76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973"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7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NO</w:t>
            </w:r>
            <w:r>
              <w:rPr>
                <w:color w:val="000000" w:themeColor="text1"/>
                <w:kern w:val="0"/>
                <w:sz w:val="21"/>
                <w:szCs w:val="21"/>
                <w:vertAlign w:val="subscript"/>
              </w:rPr>
              <w:t>X</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0.017</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0.05</w:t>
            </w:r>
          </w:p>
        </w:tc>
        <w:tc>
          <w:tcPr>
            <w:tcW w:w="1016"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2199.51</w:t>
            </w:r>
          </w:p>
        </w:tc>
        <w:tc>
          <w:tcPr>
            <w:tcW w:w="92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19.9</w:t>
            </w:r>
          </w:p>
        </w:tc>
        <w:tc>
          <w:tcPr>
            <w:tcW w:w="90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2189.90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trPr>
        <w:tc>
          <w:tcPr>
            <w:tcW w:w="767"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76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973"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7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TSP</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0.166</w:t>
            </w:r>
          </w:p>
        </w:tc>
        <w:tc>
          <w:tcPr>
            <w:tcW w:w="119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0.2</w:t>
            </w:r>
          </w:p>
        </w:tc>
        <w:tc>
          <w:tcPr>
            <w:tcW w:w="1016"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2266.17</w:t>
            </w:r>
          </w:p>
        </w:tc>
        <w:tc>
          <w:tcPr>
            <w:tcW w:w="925"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278.03</w:t>
            </w:r>
          </w:p>
        </w:tc>
        <w:tc>
          <w:tcPr>
            <w:tcW w:w="90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2218.07</w:t>
            </w:r>
          </w:p>
        </w:tc>
      </w:tr>
    </w:tbl>
    <w:p>
      <w:pPr>
        <w:pStyle w:val="74"/>
        <w:wordWrap w:val="0"/>
        <w:ind w:left="0" w:right="0" w:firstLine="0" w:firstLineChars="0"/>
        <w:jc w:val="center"/>
        <w:rPr>
          <w:rFonts w:eastAsia="宋体"/>
          <w:bCs/>
          <w:i w:val="0"/>
          <w:iCs/>
          <w:color w:val="000000" w:themeColor="text1"/>
          <w:sz w:val="21"/>
          <w:szCs w:val="21"/>
          <w:lang w:val="zh-CN"/>
        </w:rPr>
      </w:pPr>
      <w:r>
        <w:rPr>
          <w:rFonts w:eastAsia="宋体"/>
          <w:bCs/>
          <w:i w:val="0"/>
          <w:iCs/>
          <w:color w:val="000000" w:themeColor="text1"/>
          <w:sz w:val="21"/>
          <w:szCs w:val="21"/>
          <w:lang w:val="zh-CN"/>
        </w:rPr>
        <w:t>表</w:t>
      </w:r>
      <w:r>
        <w:rPr>
          <w:rFonts w:hint="eastAsia" w:eastAsia="宋体"/>
          <w:bCs/>
          <w:i w:val="0"/>
          <w:iCs/>
          <w:color w:val="000000" w:themeColor="text1"/>
          <w:sz w:val="21"/>
          <w:szCs w:val="21"/>
        </w:rPr>
        <w:t>1-7</w:t>
      </w:r>
      <w:r>
        <w:rPr>
          <w:rFonts w:eastAsia="宋体"/>
          <w:bCs/>
          <w:i w:val="0"/>
          <w:iCs/>
          <w:color w:val="000000" w:themeColor="text1"/>
          <w:sz w:val="21"/>
          <w:szCs w:val="21"/>
          <w:lang w:val="zh-CN"/>
        </w:rPr>
        <w:t>项目技改扩建后戛洒片区污染物排放量</w:t>
      </w:r>
    </w:p>
    <w:tbl>
      <w:tblPr>
        <w:tblStyle w:val="61"/>
        <w:tblW w:w="855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9"/>
        <w:gridCol w:w="581"/>
        <w:gridCol w:w="4084"/>
        <w:gridCol w:w="1472"/>
        <w:gridCol w:w="1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restart"/>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片区</w:t>
            </w:r>
          </w:p>
        </w:tc>
        <w:tc>
          <w:tcPr>
            <w:tcW w:w="581" w:type="dxa"/>
            <w:vMerge w:val="restart"/>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序号</w:t>
            </w:r>
          </w:p>
        </w:tc>
        <w:tc>
          <w:tcPr>
            <w:tcW w:w="4084" w:type="dxa"/>
            <w:vMerge w:val="restart"/>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建设单位</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占地</w:t>
            </w:r>
          </w:p>
        </w:tc>
        <w:tc>
          <w:tcPr>
            <w:tcW w:w="1472" w:type="dxa"/>
            <w:vMerge w:val="restart"/>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烟尘、粉尘等（t/a）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b/>
                <w:bCs/>
                <w:color w:val="000000" w:themeColor="text1"/>
                <w:kern w:val="0"/>
                <w:sz w:val="21"/>
                <w:szCs w:val="21"/>
              </w:rPr>
            </w:pPr>
          </w:p>
        </w:tc>
        <w:tc>
          <w:tcPr>
            <w:tcW w:w="581" w:type="dxa"/>
            <w:vMerge w:val="continue"/>
            <w:tcBorders>
              <w:tl2br w:val="nil"/>
              <w:tr2bl w:val="nil"/>
            </w:tcBorders>
            <w:shd w:val="clear" w:color="auto" w:fill="auto"/>
            <w:vAlign w:val="center"/>
          </w:tcPr>
          <w:p>
            <w:pPr>
              <w:widowControl/>
              <w:spacing w:line="240" w:lineRule="auto"/>
              <w:ind w:firstLine="0" w:firstLineChars="0"/>
              <w:rPr>
                <w:b/>
                <w:bCs/>
                <w:color w:val="000000" w:themeColor="text1"/>
                <w:kern w:val="0"/>
                <w:sz w:val="21"/>
                <w:szCs w:val="21"/>
              </w:rPr>
            </w:pPr>
          </w:p>
        </w:tc>
        <w:tc>
          <w:tcPr>
            <w:tcW w:w="4084" w:type="dxa"/>
            <w:vMerge w:val="continue"/>
            <w:tcBorders>
              <w:tl2br w:val="nil"/>
              <w:tr2bl w:val="nil"/>
            </w:tcBorders>
            <w:shd w:val="clear" w:color="auto" w:fill="auto"/>
            <w:vAlign w:val="center"/>
          </w:tcPr>
          <w:p>
            <w:pPr>
              <w:widowControl/>
              <w:spacing w:line="240" w:lineRule="auto"/>
              <w:ind w:firstLine="0" w:firstLineChars="0"/>
              <w:rPr>
                <w:b/>
                <w:bCs/>
                <w:color w:val="000000" w:themeColor="text1"/>
                <w:kern w:val="0"/>
                <w:sz w:val="21"/>
                <w:szCs w:val="21"/>
              </w:rPr>
            </w:pP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（公顷）</w:t>
            </w:r>
          </w:p>
        </w:tc>
        <w:tc>
          <w:tcPr>
            <w:tcW w:w="1472"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restart"/>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戛洒片区</w:t>
            </w: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玉溪矿业有限公司</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128.5637</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106.33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玉溪大红山矿业有限公司</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66.667</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3</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新平县振兴电积铜厂</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3.988</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4</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新平平安矿业开发有限公司</w:t>
            </w:r>
            <w:r>
              <w:rPr>
                <w:rFonts w:hint="eastAsia"/>
                <w:color w:val="000000" w:themeColor="text1"/>
                <w:kern w:val="0"/>
                <w:sz w:val="21"/>
                <w:szCs w:val="21"/>
              </w:rPr>
              <w:t>（辣子箐口选厂）</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1.933</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5</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新平平安矿业开发有限公司</w:t>
            </w:r>
            <w:r>
              <w:rPr>
                <w:rFonts w:hint="eastAsia"/>
                <w:color w:val="000000" w:themeColor="text1"/>
                <w:kern w:val="0"/>
                <w:sz w:val="21"/>
                <w:szCs w:val="21"/>
              </w:rPr>
              <w:t>（东磨选厂）</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1.537</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16.9175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0"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6</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新平伟申矿业开发有限责任公司</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37.7</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0"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7</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玉溪坤沅矿业开发有限公司新平戞洒分公司</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18</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8</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新平天泰工贸有限公司</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0.1926</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9</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新平铠恒选矿厂</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1.09</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10</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新平鑫鸿图</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0.96</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9.01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11</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highlight w:val="red"/>
              </w:rPr>
            </w:pPr>
            <w:r>
              <w:rPr>
                <w:rFonts w:hint="eastAsia"/>
                <w:color w:val="000000" w:themeColor="text1"/>
                <w:kern w:val="0"/>
                <w:sz w:val="21"/>
                <w:szCs w:val="21"/>
              </w:rPr>
              <w:t>新平县鼎诚碎石有限公司</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0.87</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4665" w:type="dxa"/>
            <w:gridSpan w:val="2"/>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　</w:t>
            </w:r>
          </w:p>
          <w:p>
            <w:pPr>
              <w:widowControl/>
              <w:spacing w:line="240" w:lineRule="auto"/>
              <w:ind w:firstLine="0" w:firstLineChars="0"/>
              <w:jc w:val="center"/>
              <w:rPr>
                <w:b/>
                <w:bCs/>
                <w:color w:val="000000" w:themeColor="text1"/>
                <w:kern w:val="0"/>
                <w:sz w:val="21"/>
                <w:szCs w:val="21"/>
              </w:rPr>
            </w:pPr>
            <w:r>
              <w:rPr>
                <w:b/>
                <w:bCs/>
                <w:color w:val="000000" w:themeColor="text1"/>
                <w:kern w:val="0"/>
                <w:sz w:val="21"/>
                <w:szCs w:val="21"/>
              </w:rPr>
              <w:t>合计</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261.5013</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251.8935</w:t>
            </w:r>
          </w:p>
        </w:tc>
      </w:tr>
    </w:tbl>
    <w:p>
      <w:pPr>
        <w:ind w:firstLine="480"/>
        <w:rPr>
          <w:color w:val="000000" w:themeColor="text1"/>
          <w:szCs w:val="21"/>
        </w:rPr>
      </w:pPr>
    </w:p>
    <w:p>
      <w:pPr>
        <w:ind w:firstLine="480"/>
        <w:rPr>
          <w:color w:val="000000" w:themeColor="text1"/>
          <w:kern w:val="0"/>
          <w:sz w:val="20"/>
          <w:szCs w:val="20"/>
        </w:rPr>
      </w:pPr>
      <w:r>
        <w:rPr>
          <w:color w:val="000000" w:themeColor="text1"/>
          <w:szCs w:val="21"/>
        </w:rPr>
        <w:t>项目技改扩建后，本技改项目排放废气污染物主要是颗粒物，颗粒物排放量总共为</w:t>
      </w:r>
      <w:r>
        <w:rPr>
          <w:rFonts w:hint="eastAsia"/>
          <w:color w:val="000000" w:themeColor="text1"/>
          <w:szCs w:val="21"/>
        </w:rPr>
        <w:t>16.9175</w:t>
      </w:r>
      <w:r>
        <w:rPr>
          <w:color w:val="000000" w:themeColor="text1"/>
          <w:szCs w:val="21"/>
        </w:rPr>
        <w:t>t/a，戛洒片区颗粒物排放量未超过《新平工业园区总体规划修编（2018~2035）环境影响报告书》中戛洒片区大气环境浓度承载力</w:t>
      </w:r>
      <w:r>
        <w:rPr>
          <w:color w:val="000000" w:themeColor="text1"/>
          <w:kern w:val="0"/>
          <w:szCs w:val="21"/>
        </w:rPr>
        <w:t>，可满足该片区大气环境质量底线要求。</w:t>
      </w:r>
    </w:p>
    <w:p>
      <w:pPr>
        <w:ind w:firstLine="482"/>
        <w:rPr>
          <w:b/>
          <w:color w:val="000000" w:themeColor="text1"/>
          <w:szCs w:val="21"/>
        </w:rPr>
      </w:pPr>
      <w:r>
        <w:rPr>
          <w:b/>
          <w:color w:val="000000" w:themeColor="text1"/>
          <w:szCs w:val="21"/>
        </w:rPr>
        <w:t>②水环境质量底线</w:t>
      </w:r>
    </w:p>
    <w:p>
      <w:pPr>
        <w:ind w:firstLine="480"/>
        <w:rPr>
          <w:color w:val="000000" w:themeColor="text1"/>
          <w:szCs w:val="21"/>
        </w:rPr>
      </w:pPr>
      <w:r>
        <w:rPr>
          <w:color w:val="000000" w:themeColor="text1"/>
          <w:szCs w:val="21"/>
        </w:rPr>
        <w:t>根据《新平工业园区总体规划修编（2018~2035）环境影响报告书》，戛洒片区纳污水体为戛洒江，规划片区污染物排放总量见下表：</w:t>
      </w:r>
    </w:p>
    <w:p>
      <w:pPr>
        <w:pStyle w:val="74"/>
        <w:wordWrap w:val="0"/>
        <w:ind w:left="0" w:right="0" w:firstLine="0" w:firstLineChars="0"/>
        <w:jc w:val="center"/>
        <w:rPr>
          <w:rFonts w:eastAsia="宋体"/>
          <w:bCs/>
          <w:i w:val="0"/>
          <w:iCs/>
          <w:color w:val="000000" w:themeColor="text1"/>
          <w:sz w:val="21"/>
          <w:szCs w:val="21"/>
          <w:lang w:val="zh-CN"/>
        </w:rPr>
      </w:pPr>
      <w:r>
        <w:rPr>
          <w:rFonts w:eastAsia="宋体"/>
          <w:bCs/>
          <w:i w:val="0"/>
          <w:iCs/>
          <w:color w:val="000000" w:themeColor="text1"/>
          <w:sz w:val="21"/>
          <w:szCs w:val="21"/>
          <w:lang w:val="zh-CN"/>
        </w:rPr>
        <w:t>表</w:t>
      </w:r>
      <w:r>
        <w:rPr>
          <w:rFonts w:hint="eastAsia" w:eastAsia="宋体"/>
          <w:bCs/>
          <w:i w:val="0"/>
          <w:iCs/>
          <w:color w:val="000000" w:themeColor="text1"/>
          <w:sz w:val="21"/>
          <w:szCs w:val="21"/>
          <w:lang w:val="zh-CN"/>
        </w:rPr>
        <w:t>1-8</w:t>
      </w:r>
      <w:r>
        <w:rPr>
          <w:rFonts w:eastAsia="宋体"/>
          <w:bCs/>
          <w:i w:val="0"/>
          <w:iCs/>
          <w:color w:val="000000" w:themeColor="text1"/>
          <w:sz w:val="21"/>
          <w:szCs w:val="21"/>
          <w:lang w:val="zh-CN"/>
        </w:rPr>
        <w:t>戛洒片区水污染因子环境浓度承载力统计表</w:t>
      </w:r>
    </w:p>
    <w:tbl>
      <w:tblPr>
        <w:tblStyle w:val="6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3"/>
        <w:gridCol w:w="1372"/>
        <w:gridCol w:w="2111"/>
        <w:gridCol w:w="1663"/>
        <w:gridCol w:w="16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3" w:type="dxa"/>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bookmarkStart w:id="240" w:name="_Toc19079"/>
            <w:bookmarkStart w:id="241" w:name="_Toc24839"/>
            <w:bookmarkStart w:id="242" w:name="_Toc3758"/>
            <w:bookmarkStart w:id="243" w:name="_Toc16734"/>
            <w:bookmarkStart w:id="244" w:name="_Toc17671"/>
            <w:r>
              <w:rPr>
                <w:rFonts w:ascii="Times New Roman" w:hAnsi="Times New Roman" w:eastAsiaTheme="majorEastAsia"/>
                <w:b w:val="0"/>
                <w:bCs w:val="0"/>
                <w:color w:val="000000" w:themeColor="text1"/>
                <w:sz w:val="21"/>
                <w:szCs w:val="21"/>
              </w:rPr>
              <w:t>工业区</w:t>
            </w:r>
            <w:bookmarkEnd w:id="240"/>
            <w:bookmarkEnd w:id="241"/>
            <w:bookmarkEnd w:id="242"/>
            <w:bookmarkEnd w:id="243"/>
            <w:bookmarkEnd w:id="244"/>
          </w:p>
        </w:tc>
        <w:tc>
          <w:tcPr>
            <w:tcW w:w="1372" w:type="dxa"/>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bookmarkStart w:id="245" w:name="_Toc28366"/>
            <w:bookmarkStart w:id="246" w:name="_Toc11574"/>
            <w:bookmarkStart w:id="247" w:name="_Toc1963"/>
            <w:bookmarkStart w:id="248" w:name="_Toc2498"/>
            <w:bookmarkStart w:id="249" w:name="_Toc29236"/>
            <w:r>
              <w:rPr>
                <w:rFonts w:ascii="Times New Roman" w:hAnsi="Times New Roman" w:eastAsiaTheme="majorEastAsia"/>
                <w:b w:val="0"/>
                <w:bCs w:val="0"/>
                <w:color w:val="000000" w:themeColor="text1"/>
                <w:sz w:val="21"/>
                <w:szCs w:val="21"/>
              </w:rPr>
              <w:t>纳污河流</w:t>
            </w:r>
            <w:bookmarkEnd w:id="245"/>
            <w:bookmarkEnd w:id="246"/>
            <w:bookmarkEnd w:id="247"/>
            <w:bookmarkEnd w:id="248"/>
            <w:bookmarkEnd w:id="249"/>
          </w:p>
        </w:tc>
        <w:tc>
          <w:tcPr>
            <w:tcW w:w="2111" w:type="dxa"/>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bookmarkStart w:id="250" w:name="_Toc7268"/>
            <w:bookmarkStart w:id="251" w:name="_Toc26189"/>
            <w:bookmarkStart w:id="252" w:name="_Toc16920"/>
            <w:bookmarkStart w:id="253" w:name="_Toc5405"/>
            <w:bookmarkStart w:id="254" w:name="_Toc20841"/>
            <w:r>
              <w:rPr>
                <w:rFonts w:ascii="Times New Roman" w:hAnsi="Times New Roman" w:eastAsiaTheme="majorEastAsia"/>
                <w:b w:val="0"/>
                <w:bCs w:val="0"/>
                <w:color w:val="000000" w:themeColor="text1"/>
                <w:sz w:val="21"/>
                <w:szCs w:val="21"/>
              </w:rPr>
              <w:t>污染物</w:t>
            </w:r>
            <w:bookmarkEnd w:id="250"/>
            <w:bookmarkEnd w:id="251"/>
            <w:bookmarkEnd w:id="252"/>
            <w:bookmarkEnd w:id="253"/>
            <w:bookmarkEnd w:id="254"/>
          </w:p>
        </w:tc>
        <w:tc>
          <w:tcPr>
            <w:tcW w:w="1663" w:type="dxa"/>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bookmarkStart w:id="255" w:name="_Toc8210"/>
            <w:bookmarkStart w:id="256" w:name="_Toc31926"/>
            <w:bookmarkStart w:id="257" w:name="_Toc12213"/>
            <w:bookmarkStart w:id="258" w:name="_Toc29257"/>
            <w:bookmarkStart w:id="259" w:name="_Toc21409"/>
            <w:r>
              <w:rPr>
                <w:rFonts w:ascii="Times New Roman" w:hAnsi="Times New Roman" w:eastAsiaTheme="majorEastAsia"/>
                <w:b w:val="0"/>
                <w:bCs w:val="0"/>
                <w:color w:val="000000" w:themeColor="text1"/>
                <w:sz w:val="21"/>
                <w:szCs w:val="21"/>
              </w:rPr>
              <w:t>kg/d</w:t>
            </w:r>
            <w:bookmarkEnd w:id="255"/>
            <w:bookmarkEnd w:id="256"/>
            <w:bookmarkEnd w:id="257"/>
            <w:bookmarkEnd w:id="258"/>
            <w:bookmarkEnd w:id="259"/>
          </w:p>
        </w:tc>
        <w:tc>
          <w:tcPr>
            <w:tcW w:w="1663" w:type="dxa"/>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bookmarkStart w:id="260" w:name="_Toc30967"/>
            <w:bookmarkStart w:id="261" w:name="_Toc27392"/>
            <w:bookmarkStart w:id="262" w:name="_Toc27566"/>
            <w:bookmarkStart w:id="263" w:name="_Toc2203"/>
            <w:bookmarkStart w:id="264" w:name="_Toc6667"/>
            <w:r>
              <w:rPr>
                <w:rFonts w:ascii="Times New Roman" w:hAnsi="Times New Roman" w:eastAsiaTheme="majorEastAsia"/>
                <w:b w:val="0"/>
                <w:bCs w:val="0"/>
                <w:color w:val="000000" w:themeColor="text1"/>
                <w:sz w:val="21"/>
                <w:szCs w:val="21"/>
              </w:rPr>
              <w:t>t/a</w:t>
            </w:r>
            <w:bookmarkEnd w:id="260"/>
            <w:bookmarkEnd w:id="261"/>
            <w:bookmarkEnd w:id="262"/>
            <w:bookmarkEnd w:id="263"/>
            <w:bookmarkEnd w:id="26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3" w:type="dxa"/>
            <w:vMerge w:val="restart"/>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bookmarkStart w:id="265" w:name="_Toc23195"/>
            <w:bookmarkStart w:id="266" w:name="_Toc16645"/>
            <w:bookmarkStart w:id="267" w:name="_Toc27499"/>
            <w:bookmarkStart w:id="268" w:name="_Toc3718"/>
            <w:bookmarkStart w:id="269" w:name="_Toc3238"/>
            <w:r>
              <w:rPr>
                <w:rFonts w:ascii="Times New Roman" w:hAnsi="Times New Roman" w:eastAsiaTheme="majorEastAsia"/>
                <w:b w:val="0"/>
                <w:bCs w:val="0"/>
                <w:color w:val="000000" w:themeColor="text1"/>
                <w:sz w:val="21"/>
                <w:szCs w:val="21"/>
              </w:rPr>
              <w:t>戛洒</w:t>
            </w:r>
            <w:bookmarkEnd w:id="265"/>
            <w:bookmarkEnd w:id="266"/>
            <w:bookmarkEnd w:id="267"/>
            <w:bookmarkEnd w:id="268"/>
            <w:bookmarkEnd w:id="269"/>
          </w:p>
        </w:tc>
        <w:tc>
          <w:tcPr>
            <w:tcW w:w="1372" w:type="dxa"/>
            <w:vMerge w:val="restart"/>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bookmarkStart w:id="270" w:name="_Toc18196"/>
            <w:bookmarkStart w:id="271" w:name="_Toc26388"/>
            <w:bookmarkStart w:id="272" w:name="_Toc29881"/>
            <w:bookmarkStart w:id="273" w:name="_Toc14470"/>
            <w:bookmarkStart w:id="274" w:name="_Toc20592"/>
            <w:r>
              <w:rPr>
                <w:rFonts w:ascii="Times New Roman" w:hAnsi="Times New Roman" w:eastAsiaTheme="majorEastAsia"/>
                <w:b w:val="0"/>
                <w:bCs w:val="0"/>
                <w:color w:val="000000" w:themeColor="text1"/>
                <w:sz w:val="21"/>
                <w:szCs w:val="21"/>
              </w:rPr>
              <w:t>戛洒江</w:t>
            </w:r>
            <w:bookmarkEnd w:id="270"/>
            <w:bookmarkEnd w:id="271"/>
            <w:bookmarkEnd w:id="272"/>
            <w:bookmarkEnd w:id="273"/>
            <w:bookmarkEnd w:id="274"/>
          </w:p>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bookmarkStart w:id="275" w:name="_Toc28306"/>
            <w:bookmarkStart w:id="276" w:name="_Toc1237"/>
            <w:bookmarkStart w:id="277" w:name="_Toc30139"/>
            <w:bookmarkStart w:id="278" w:name="_Toc14446"/>
            <w:bookmarkStart w:id="279" w:name="_Toc692"/>
            <w:r>
              <w:rPr>
                <w:rFonts w:ascii="Times New Roman" w:hAnsi="Times New Roman" w:eastAsiaTheme="majorEastAsia"/>
                <w:b w:val="0"/>
                <w:bCs w:val="0"/>
                <w:color w:val="000000" w:themeColor="text1"/>
                <w:sz w:val="21"/>
                <w:szCs w:val="21"/>
              </w:rPr>
              <w:t>（新平段）</w:t>
            </w:r>
            <w:bookmarkEnd w:id="275"/>
            <w:bookmarkEnd w:id="276"/>
            <w:bookmarkEnd w:id="277"/>
            <w:bookmarkEnd w:id="278"/>
            <w:bookmarkEnd w:id="279"/>
          </w:p>
        </w:tc>
        <w:tc>
          <w:tcPr>
            <w:tcW w:w="2111" w:type="dxa"/>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bookmarkStart w:id="280" w:name="_Toc21158"/>
            <w:bookmarkStart w:id="281" w:name="_Toc12459"/>
            <w:bookmarkStart w:id="282" w:name="_Toc27689"/>
            <w:bookmarkStart w:id="283" w:name="_Toc28193"/>
            <w:bookmarkStart w:id="284" w:name="_Toc21339"/>
            <w:r>
              <w:rPr>
                <w:rFonts w:ascii="Times New Roman" w:hAnsi="Times New Roman" w:eastAsiaTheme="majorEastAsia"/>
                <w:b w:val="0"/>
                <w:bCs w:val="0"/>
                <w:color w:val="000000" w:themeColor="text1"/>
                <w:sz w:val="21"/>
                <w:szCs w:val="21"/>
              </w:rPr>
              <w:t>COD</w:t>
            </w:r>
            <w:bookmarkEnd w:id="280"/>
            <w:bookmarkEnd w:id="281"/>
            <w:bookmarkEnd w:id="282"/>
            <w:bookmarkEnd w:id="283"/>
            <w:bookmarkEnd w:id="284"/>
          </w:p>
        </w:tc>
        <w:tc>
          <w:tcPr>
            <w:tcW w:w="1663" w:type="dxa"/>
            <w:shd w:val="clear" w:color="auto" w:fill="auto"/>
            <w:vAlign w:val="center"/>
          </w:tcPr>
          <w:p>
            <w:pPr>
              <w:adjustRightInd w:val="0"/>
              <w:snapToGrid w:val="0"/>
              <w:spacing w:line="240" w:lineRule="auto"/>
              <w:ind w:firstLine="0" w:firstLineChars="0"/>
              <w:jc w:val="center"/>
              <w:rPr>
                <w:rFonts w:eastAsiaTheme="majorEastAsia"/>
                <w:color w:val="000000" w:themeColor="text1"/>
                <w:sz w:val="21"/>
                <w:szCs w:val="21"/>
              </w:rPr>
            </w:pPr>
            <w:r>
              <w:rPr>
                <w:rFonts w:eastAsiaTheme="majorEastAsia"/>
                <w:color w:val="000000" w:themeColor="text1"/>
                <w:sz w:val="21"/>
                <w:szCs w:val="21"/>
              </w:rPr>
              <w:t>29712.96</w:t>
            </w:r>
          </w:p>
        </w:tc>
        <w:tc>
          <w:tcPr>
            <w:tcW w:w="1663" w:type="dxa"/>
            <w:shd w:val="clear" w:color="auto" w:fill="auto"/>
            <w:vAlign w:val="center"/>
          </w:tcPr>
          <w:p>
            <w:pPr>
              <w:adjustRightInd w:val="0"/>
              <w:snapToGrid w:val="0"/>
              <w:spacing w:line="240" w:lineRule="auto"/>
              <w:ind w:firstLine="0" w:firstLineChars="0"/>
              <w:jc w:val="center"/>
              <w:rPr>
                <w:rFonts w:eastAsiaTheme="majorEastAsia"/>
                <w:color w:val="000000" w:themeColor="text1"/>
                <w:sz w:val="21"/>
                <w:szCs w:val="21"/>
              </w:rPr>
            </w:pPr>
            <w:r>
              <w:rPr>
                <w:rFonts w:eastAsiaTheme="majorEastAsia"/>
                <w:color w:val="000000" w:themeColor="text1"/>
                <w:sz w:val="21"/>
                <w:szCs w:val="21"/>
              </w:rPr>
              <w:t>10845.23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3" w:type="dxa"/>
            <w:vMerge w:val="continue"/>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p>
        </w:tc>
        <w:tc>
          <w:tcPr>
            <w:tcW w:w="1372" w:type="dxa"/>
            <w:vMerge w:val="continue"/>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p>
        </w:tc>
        <w:tc>
          <w:tcPr>
            <w:tcW w:w="2111" w:type="dxa"/>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bookmarkStart w:id="285" w:name="_Toc23886"/>
            <w:bookmarkStart w:id="286" w:name="_Toc17619"/>
            <w:bookmarkStart w:id="287" w:name="_Toc29188"/>
            <w:bookmarkStart w:id="288" w:name="_Toc20488"/>
            <w:bookmarkStart w:id="289" w:name="_Toc28431"/>
            <w:r>
              <w:rPr>
                <w:rFonts w:ascii="Times New Roman" w:hAnsi="Times New Roman" w:eastAsiaTheme="majorEastAsia"/>
                <w:b w:val="0"/>
                <w:bCs w:val="0"/>
                <w:color w:val="000000" w:themeColor="text1"/>
                <w:sz w:val="21"/>
                <w:szCs w:val="21"/>
              </w:rPr>
              <w:t>总磷</w:t>
            </w:r>
            <w:bookmarkEnd w:id="285"/>
            <w:bookmarkEnd w:id="286"/>
            <w:bookmarkEnd w:id="287"/>
            <w:bookmarkEnd w:id="288"/>
            <w:bookmarkEnd w:id="289"/>
          </w:p>
        </w:tc>
        <w:tc>
          <w:tcPr>
            <w:tcW w:w="1663" w:type="dxa"/>
            <w:shd w:val="clear" w:color="auto" w:fill="auto"/>
            <w:vAlign w:val="center"/>
          </w:tcPr>
          <w:p>
            <w:pPr>
              <w:adjustRightInd w:val="0"/>
              <w:snapToGrid w:val="0"/>
              <w:spacing w:line="240" w:lineRule="auto"/>
              <w:ind w:firstLine="0" w:firstLineChars="0"/>
              <w:jc w:val="center"/>
              <w:rPr>
                <w:rFonts w:eastAsiaTheme="majorEastAsia"/>
                <w:color w:val="000000" w:themeColor="text1"/>
                <w:sz w:val="21"/>
                <w:szCs w:val="21"/>
              </w:rPr>
            </w:pPr>
            <w:r>
              <w:rPr>
                <w:rFonts w:eastAsiaTheme="majorEastAsia"/>
                <w:color w:val="000000" w:themeColor="text1"/>
                <w:sz w:val="21"/>
                <w:szCs w:val="21"/>
              </w:rPr>
              <w:t>283.06</w:t>
            </w:r>
          </w:p>
        </w:tc>
        <w:tc>
          <w:tcPr>
            <w:tcW w:w="1663" w:type="dxa"/>
            <w:shd w:val="clear" w:color="auto" w:fill="auto"/>
            <w:vAlign w:val="center"/>
          </w:tcPr>
          <w:p>
            <w:pPr>
              <w:adjustRightInd w:val="0"/>
              <w:snapToGrid w:val="0"/>
              <w:spacing w:line="240" w:lineRule="auto"/>
              <w:ind w:firstLine="0" w:firstLineChars="0"/>
              <w:jc w:val="center"/>
              <w:rPr>
                <w:rFonts w:eastAsiaTheme="majorEastAsia"/>
                <w:color w:val="000000" w:themeColor="text1"/>
                <w:sz w:val="21"/>
                <w:szCs w:val="21"/>
              </w:rPr>
            </w:pPr>
            <w:r>
              <w:rPr>
                <w:rFonts w:eastAsiaTheme="majorEastAsia"/>
                <w:color w:val="000000" w:themeColor="text1"/>
                <w:sz w:val="21"/>
                <w:szCs w:val="21"/>
              </w:rPr>
              <w:t>103.32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3" w:type="dxa"/>
            <w:vMerge w:val="continue"/>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p>
        </w:tc>
        <w:tc>
          <w:tcPr>
            <w:tcW w:w="1372" w:type="dxa"/>
            <w:vMerge w:val="continue"/>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p>
        </w:tc>
        <w:tc>
          <w:tcPr>
            <w:tcW w:w="2111" w:type="dxa"/>
            <w:shd w:val="clear" w:color="auto" w:fill="auto"/>
            <w:vAlign w:val="center"/>
          </w:tcPr>
          <w:p>
            <w:pPr>
              <w:pStyle w:val="57"/>
              <w:adjustRightInd w:val="0"/>
              <w:snapToGrid w:val="0"/>
              <w:spacing w:before="0" w:after="0" w:line="240" w:lineRule="auto"/>
              <w:ind w:firstLine="0" w:firstLineChars="0"/>
              <w:rPr>
                <w:rFonts w:ascii="Times New Roman" w:hAnsi="Times New Roman" w:eastAsiaTheme="majorEastAsia"/>
                <w:b w:val="0"/>
                <w:bCs w:val="0"/>
                <w:color w:val="000000" w:themeColor="text1"/>
                <w:sz w:val="21"/>
                <w:szCs w:val="21"/>
              </w:rPr>
            </w:pPr>
            <w:bookmarkStart w:id="290" w:name="_Toc17034"/>
            <w:bookmarkStart w:id="291" w:name="_Toc5719"/>
            <w:bookmarkStart w:id="292" w:name="_Toc16284"/>
            <w:bookmarkStart w:id="293" w:name="_Toc29469"/>
            <w:bookmarkStart w:id="294" w:name="_Toc8909"/>
            <w:r>
              <w:rPr>
                <w:rFonts w:ascii="Times New Roman" w:hAnsi="Times New Roman" w:eastAsiaTheme="majorEastAsia"/>
                <w:b w:val="0"/>
                <w:bCs w:val="0"/>
                <w:color w:val="000000" w:themeColor="text1"/>
                <w:sz w:val="21"/>
                <w:szCs w:val="21"/>
              </w:rPr>
              <w:t>氨氮</w:t>
            </w:r>
            <w:bookmarkEnd w:id="290"/>
            <w:bookmarkEnd w:id="291"/>
            <w:bookmarkEnd w:id="292"/>
            <w:bookmarkEnd w:id="293"/>
            <w:bookmarkEnd w:id="294"/>
          </w:p>
        </w:tc>
        <w:tc>
          <w:tcPr>
            <w:tcW w:w="1663" w:type="dxa"/>
            <w:shd w:val="clear" w:color="auto" w:fill="auto"/>
            <w:vAlign w:val="center"/>
          </w:tcPr>
          <w:p>
            <w:pPr>
              <w:adjustRightInd w:val="0"/>
              <w:snapToGrid w:val="0"/>
              <w:spacing w:line="240" w:lineRule="auto"/>
              <w:ind w:firstLine="0" w:firstLineChars="0"/>
              <w:jc w:val="center"/>
              <w:rPr>
                <w:rFonts w:eastAsiaTheme="majorEastAsia"/>
                <w:color w:val="000000" w:themeColor="text1"/>
                <w:sz w:val="21"/>
                <w:szCs w:val="21"/>
              </w:rPr>
            </w:pPr>
            <w:r>
              <w:rPr>
                <w:rFonts w:eastAsiaTheme="majorEastAsia"/>
                <w:color w:val="000000" w:themeColor="text1"/>
                <w:sz w:val="21"/>
                <w:szCs w:val="21"/>
              </w:rPr>
              <w:t>1699.89</w:t>
            </w:r>
          </w:p>
        </w:tc>
        <w:tc>
          <w:tcPr>
            <w:tcW w:w="1663" w:type="dxa"/>
            <w:shd w:val="clear" w:color="auto" w:fill="auto"/>
            <w:vAlign w:val="center"/>
          </w:tcPr>
          <w:p>
            <w:pPr>
              <w:adjustRightInd w:val="0"/>
              <w:snapToGrid w:val="0"/>
              <w:spacing w:line="240" w:lineRule="auto"/>
              <w:ind w:firstLine="0" w:firstLineChars="0"/>
              <w:jc w:val="center"/>
              <w:rPr>
                <w:rFonts w:eastAsiaTheme="majorEastAsia"/>
                <w:color w:val="000000" w:themeColor="text1"/>
                <w:sz w:val="21"/>
                <w:szCs w:val="21"/>
              </w:rPr>
            </w:pPr>
            <w:r>
              <w:rPr>
                <w:rFonts w:eastAsiaTheme="majorEastAsia"/>
                <w:color w:val="000000" w:themeColor="text1"/>
                <w:sz w:val="21"/>
                <w:szCs w:val="21"/>
              </w:rPr>
              <w:t>620.46</w:t>
            </w:r>
          </w:p>
        </w:tc>
      </w:tr>
    </w:tbl>
    <w:p>
      <w:pPr>
        <w:ind w:firstLine="480"/>
        <w:rPr>
          <w:color w:val="000000" w:themeColor="text1"/>
          <w:szCs w:val="24"/>
        </w:rPr>
      </w:pPr>
    </w:p>
    <w:p>
      <w:pPr>
        <w:adjustRightInd w:val="0"/>
        <w:snapToGrid w:val="0"/>
        <w:ind w:firstLine="480"/>
        <w:rPr>
          <w:color w:val="000000" w:themeColor="text1"/>
          <w:sz w:val="20"/>
          <w:szCs w:val="20"/>
        </w:rPr>
      </w:pPr>
      <w:r>
        <w:rPr>
          <w:color w:val="000000" w:themeColor="text1"/>
          <w:szCs w:val="24"/>
        </w:rPr>
        <w:t>技改项目生产活动产生的废水经处理后回收利用，生活污水经一体化污水处理设施处理后用于厂区绿化。本项目无废水排入戛洒江，满足地表水环境质量底线要求。</w:t>
      </w:r>
    </w:p>
    <w:p>
      <w:pPr>
        <w:ind w:firstLine="482"/>
        <w:rPr>
          <w:b/>
          <w:color w:val="000000" w:themeColor="text1"/>
          <w:szCs w:val="21"/>
        </w:rPr>
      </w:pPr>
      <w:r>
        <w:rPr>
          <w:b/>
          <w:color w:val="000000" w:themeColor="text1"/>
          <w:szCs w:val="21"/>
        </w:rPr>
        <w:t>③土壤、地下水环境污染防控底线</w:t>
      </w:r>
    </w:p>
    <w:p>
      <w:pPr>
        <w:adjustRightInd w:val="0"/>
        <w:snapToGrid w:val="0"/>
        <w:ind w:firstLine="480"/>
        <w:rPr>
          <w:color w:val="000000" w:themeColor="text1"/>
          <w:szCs w:val="24"/>
        </w:rPr>
      </w:pPr>
      <w:r>
        <w:rPr>
          <w:color w:val="000000" w:themeColor="text1"/>
          <w:szCs w:val="24"/>
        </w:rPr>
        <w:t>项目生产过程对土壤的影响主要是废气、废水；地下水影响主要是废水下渗。</w:t>
      </w:r>
    </w:p>
    <w:p>
      <w:pPr>
        <w:adjustRightInd w:val="0"/>
        <w:snapToGrid w:val="0"/>
        <w:ind w:firstLine="480"/>
        <w:rPr>
          <w:color w:val="000000" w:themeColor="text1"/>
          <w:szCs w:val="24"/>
        </w:rPr>
      </w:pPr>
      <w:r>
        <w:rPr>
          <w:color w:val="000000" w:themeColor="text1"/>
          <w:szCs w:val="21"/>
        </w:rPr>
        <w:t>本企业通对采取封闭料库、设置围挡</w:t>
      </w:r>
      <w:r>
        <w:rPr>
          <w:rStyle w:val="73"/>
          <w:rFonts w:hint="eastAsia"/>
          <w:color w:val="000000" w:themeColor="text1"/>
          <w:kern w:val="0"/>
        </w:rPr>
        <w:t>、</w:t>
      </w:r>
      <w:r>
        <w:rPr>
          <w:rStyle w:val="73"/>
          <w:rFonts w:hint="eastAsia"/>
          <w:color w:val="000000" w:themeColor="text1"/>
          <w:kern w:val="0"/>
          <w:sz w:val="24"/>
          <w:szCs w:val="24"/>
        </w:rPr>
        <w:t>洒水降尘、提高对主要产尘点的集气效率</w:t>
      </w:r>
      <w:r>
        <w:rPr>
          <w:color w:val="000000" w:themeColor="text1"/>
          <w:szCs w:val="24"/>
        </w:rPr>
        <w:t>等</w:t>
      </w:r>
      <w:r>
        <w:rPr>
          <w:color w:val="000000" w:themeColor="text1"/>
          <w:szCs w:val="21"/>
        </w:rPr>
        <w:t>措施减少无组织废气排放；采取分区防渗措施，</w:t>
      </w:r>
      <w:r>
        <w:rPr>
          <w:rFonts w:eastAsiaTheme="minorEastAsia"/>
          <w:color w:val="000000" w:themeColor="text1"/>
        </w:rPr>
        <w:t>对尾矿浆沉淀池和精矿池、事故池、危废暂存间进行重点防渗处理，</w:t>
      </w:r>
      <w:r>
        <w:rPr>
          <w:color w:val="000000" w:themeColor="text1"/>
          <w:szCs w:val="24"/>
        </w:rPr>
        <w:t>生产车间、实验室、脱水及</w:t>
      </w:r>
      <w:r>
        <w:rPr>
          <w:rFonts w:hint="eastAsia"/>
          <w:color w:val="000000" w:themeColor="text1"/>
          <w:szCs w:val="24"/>
        </w:rPr>
        <w:t>精矿产品</w:t>
      </w:r>
      <w:r>
        <w:rPr>
          <w:color w:val="000000" w:themeColor="text1"/>
          <w:szCs w:val="24"/>
        </w:rPr>
        <w:t>区、</w:t>
      </w:r>
      <w:r>
        <w:rPr>
          <w:rFonts w:hint="eastAsia"/>
          <w:color w:val="000000" w:themeColor="text1"/>
          <w:szCs w:val="24"/>
        </w:rPr>
        <w:t>原料加工处理区</w:t>
      </w:r>
      <w:r>
        <w:rPr>
          <w:color w:val="000000" w:themeColor="text1"/>
          <w:szCs w:val="24"/>
        </w:rPr>
        <w:t>采取一般防渗处理，</w:t>
      </w:r>
      <w:r>
        <w:rPr>
          <w:color w:val="000000" w:themeColor="text1"/>
        </w:rPr>
        <w:t>除绿化用地外进行地面硬化处理，</w:t>
      </w:r>
      <w:r>
        <w:rPr>
          <w:color w:val="000000" w:themeColor="text1"/>
          <w:szCs w:val="24"/>
        </w:rPr>
        <w:t>严防生产废水、事故废水泄漏下渗污染物土壤和地下水。</w:t>
      </w:r>
    </w:p>
    <w:p>
      <w:pPr>
        <w:adjustRightInd w:val="0"/>
        <w:snapToGrid w:val="0"/>
        <w:ind w:firstLine="480"/>
        <w:rPr>
          <w:color w:val="000000" w:themeColor="text1"/>
          <w:szCs w:val="24"/>
        </w:rPr>
      </w:pPr>
      <w:r>
        <w:rPr>
          <w:color w:val="000000" w:themeColor="text1"/>
          <w:szCs w:val="24"/>
        </w:rPr>
        <w:t>根据厂区土壤环境质量现状监测，厂区附近地下水质量现状监测结果，厂区内土壤和厂区附近地下水均满足功能区划管控要求。技改扩建项目在严格落实污染防治措施后，只要废气长期稳定达标，废水处理设施正常运行，项目建设不会突破土壤、地下水环境污染防控底线。</w:t>
      </w:r>
    </w:p>
    <w:p>
      <w:pPr>
        <w:ind w:firstLine="482"/>
        <w:rPr>
          <w:b/>
          <w:color w:val="000000" w:themeColor="text1"/>
          <w:szCs w:val="21"/>
        </w:rPr>
      </w:pPr>
      <w:r>
        <w:rPr>
          <w:b/>
          <w:color w:val="000000" w:themeColor="text1"/>
          <w:szCs w:val="21"/>
        </w:rPr>
        <w:t>④固体废物风险防控底线</w:t>
      </w:r>
    </w:p>
    <w:p>
      <w:pPr>
        <w:adjustRightInd w:val="0"/>
        <w:snapToGrid w:val="0"/>
        <w:ind w:firstLine="480"/>
        <w:rPr>
          <w:color w:val="000000" w:themeColor="text1"/>
          <w:szCs w:val="24"/>
        </w:rPr>
      </w:pPr>
      <w:r>
        <w:rPr>
          <w:color w:val="000000" w:themeColor="text1"/>
          <w:szCs w:val="24"/>
        </w:rPr>
        <w:t>本项目固体废物包括一般工业固体废物和危险废物，综合利用、无害化处置率达到</w:t>
      </w:r>
      <w:r>
        <w:rPr>
          <w:rFonts w:eastAsia="TimesNewRomanPSMT"/>
          <w:color w:val="000000" w:themeColor="text1"/>
          <w:szCs w:val="24"/>
        </w:rPr>
        <w:t>100%</w:t>
      </w:r>
      <w:r>
        <w:rPr>
          <w:color w:val="000000" w:themeColor="text1"/>
          <w:szCs w:val="24"/>
        </w:rPr>
        <w:t>，符合固体废物风险防控底线要求。</w:t>
      </w:r>
    </w:p>
    <w:p>
      <w:pPr>
        <w:ind w:firstLine="482"/>
        <w:rPr>
          <w:b/>
          <w:color w:val="000000" w:themeColor="text1"/>
          <w:szCs w:val="21"/>
        </w:rPr>
      </w:pPr>
      <w:r>
        <w:rPr>
          <w:b/>
          <w:color w:val="000000" w:themeColor="text1"/>
          <w:szCs w:val="21"/>
        </w:rPr>
        <w:t>（</w:t>
      </w:r>
      <w:r>
        <w:rPr>
          <w:rFonts w:hint="eastAsia"/>
          <w:b/>
          <w:color w:val="000000" w:themeColor="text1"/>
          <w:szCs w:val="21"/>
        </w:rPr>
        <w:t>5</w:t>
      </w:r>
      <w:r>
        <w:rPr>
          <w:b/>
          <w:color w:val="000000" w:themeColor="text1"/>
          <w:szCs w:val="21"/>
        </w:rPr>
        <w:t>）资源、能源利用上限</w:t>
      </w:r>
    </w:p>
    <w:p>
      <w:pPr>
        <w:adjustRightInd w:val="0"/>
        <w:snapToGrid w:val="0"/>
        <w:ind w:firstLine="482"/>
        <w:rPr>
          <w:color w:val="000000" w:themeColor="text1"/>
          <w:szCs w:val="24"/>
        </w:rPr>
      </w:pPr>
      <w:r>
        <w:rPr>
          <w:b/>
          <w:color w:val="000000" w:themeColor="text1"/>
          <w:szCs w:val="24"/>
        </w:rPr>
        <w:t>土地资源利用上限</w:t>
      </w:r>
      <w:r>
        <w:rPr>
          <w:color w:val="000000" w:themeColor="text1"/>
          <w:szCs w:val="24"/>
        </w:rPr>
        <w:t>：本项目不</w:t>
      </w:r>
      <w:r>
        <w:rPr>
          <w:rFonts w:hint="eastAsia"/>
          <w:color w:val="000000" w:themeColor="text1"/>
          <w:szCs w:val="24"/>
        </w:rPr>
        <w:t>新增</w:t>
      </w:r>
      <w:r>
        <w:rPr>
          <w:color w:val="000000" w:themeColor="text1"/>
          <w:szCs w:val="24"/>
        </w:rPr>
        <w:t>土地用地，在原厂区内进行技改</w:t>
      </w:r>
      <w:r>
        <w:rPr>
          <w:color w:val="000000" w:themeColor="text1"/>
          <w:szCs w:val="21"/>
        </w:rPr>
        <w:t>，</w:t>
      </w:r>
      <w:r>
        <w:rPr>
          <w:color w:val="000000" w:themeColor="text1"/>
          <w:szCs w:val="24"/>
        </w:rPr>
        <w:t>不涉及土地资源利用上限。</w:t>
      </w:r>
    </w:p>
    <w:p>
      <w:pPr>
        <w:adjustRightInd w:val="0"/>
        <w:snapToGrid w:val="0"/>
        <w:ind w:firstLine="482"/>
        <w:rPr>
          <w:color w:val="000000" w:themeColor="text1"/>
          <w:szCs w:val="21"/>
        </w:rPr>
      </w:pPr>
      <w:r>
        <w:rPr>
          <w:b/>
          <w:color w:val="000000" w:themeColor="text1"/>
          <w:szCs w:val="24"/>
        </w:rPr>
        <w:t>水资源利用上限：</w:t>
      </w:r>
      <w:r>
        <w:rPr>
          <w:color w:val="000000" w:themeColor="text1"/>
          <w:szCs w:val="24"/>
        </w:rPr>
        <w:t>本项目用水由困龙河水、自来水统一供给，技改扩建后，全厂新水总用量为</w:t>
      </w:r>
      <w:r>
        <w:rPr>
          <w:rFonts w:hint="eastAsia"/>
          <w:color w:val="000000" w:themeColor="text1"/>
          <w:szCs w:val="21"/>
        </w:rPr>
        <w:t>192.105</w:t>
      </w:r>
      <w:r>
        <w:rPr>
          <w:color w:val="000000" w:themeColor="text1"/>
          <w:szCs w:val="21"/>
        </w:rPr>
        <w:t>m</w:t>
      </w:r>
      <w:r>
        <w:rPr>
          <w:color w:val="000000" w:themeColor="text1"/>
          <w:szCs w:val="21"/>
          <w:vertAlign w:val="superscript"/>
        </w:rPr>
        <w:t>3</w:t>
      </w:r>
      <w:r>
        <w:rPr>
          <w:color w:val="000000" w:themeColor="text1"/>
          <w:szCs w:val="21"/>
        </w:rPr>
        <w:t>/d（自来水</w:t>
      </w:r>
      <w:r>
        <w:rPr>
          <w:rFonts w:hint="eastAsia"/>
          <w:color w:val="000000" w:themeColor="text1"/>
          <w:szCs w:val="21"/>
        </w:rPr>
        <w:t>26.09</w:t>
      </w:r>
      <w:r>
        <w:rPr>
          <w:color w:val="000000" w:themeColor="text1"/>
          <w:szCs w:val="21"/>
        </w:rPr>
        <w:t>m</w:t>
      </w:r>
      <w:r>
        <w:rPr>
          <w:color w:val="000000" w:themeColor="text1"/>
          <w:szCs w:val="21"/>
          <w:vertAlign w:val="superscript"/>
        </w:rPr>
        <w:t>3</w:t>
      </w:r>
      <w:r>
        <w:rPr>
          <w:color w:val="000000" w:themeColor="text1"/>
          <w:szCs w:val="21"/>
        </w:rPr>
        <w:t>/d，困龙河水</w:t>
      </w:r>
      <w:r>
        <w:rPr>
          <w:rFonts w:hint="eastAsia"/>
          <w:color w:val="000000" w:themeColor="text1"/>
          <w:szCs w:val="21"/>
        </w:rPr>
        <w:t>166.015</w:t>
      </w:r>
      <w:r>
        <w:rPr>
          <w:color w:val="000000" w:themeColor="text1"/>
          <w:szCs w:val="21"/>
        </w:rPr>
        <w:t>m</w:t>
      </w:r>
      <w:r>
        <w:rPr>
          <w:color w:val="000000" w:themeColor="text1"/>
          <w:szCs w:val="21"/>
          <w:vertAlign w:val="superscript"/>
        </w:rPr>
        <w:t>3</w:t>
      </w:r>
      <w:r>
        <w:rPr>
          <w:color w:val="000000" w:themeColor="text1"/>
          <w:szCs w:val="21"/>
        </w:rPr>
        <w:t>/d），戛洒片区生活所用的自来水来源于戛洒镇自来水厂，生产所用的水</w:t>
      </w:r>
      <w:r>
        <w:rPr>
          <w:color w:val="000000" w:themeColor="text1"/>
          <w:szCs w:val="24"/>
        </w:rPr>
        <w:t>来源于</w:t>
      </w:r>
      <w:r>
        <w:rPr>
          <w:rStyle w:val="73"/>
          <w:rFonts w:hint="eastAsia"/>
          <w:color w:val="000000" w:themeColor="text1"/>
          <w:kern w:val="0"/>
          <w:sz w:val="24"/>
          <w:szCs w:val="24"/>
        </w:rPr>
        <w:t>困龙河、戛洒江</w:t>
      </w:r>
      <w:r>
        <w:rPr>
          <w:color w:val="000000" w:themeColor="text1"/>
          <w:szCs w:val="24"/>
        </w:rPr>
        <w:t>。</w:t>
      </w:r>
      <w:r>
        <w:rPr>
          <w:color w:val="000000" w:themeColor="text1"/>
          <w:szCs w:val="21"/>
        </w:rPr>
        <w:t>戛洒片区用水量见下表所示：</w:t>
      </w:r>
    </w:p>
    <w:p>
      <w:pPr>
        <w:adjustRightInd w:val="0"/>
        <w:snapToGrid w:val="0"/>
        <w:ind w:firstLine="0" w:firstLineChars="0"/>
        <w:jc w:val="center"/>
        <w:rPr>
          <w:b/>
          <w:color w:val="000000" w:themeColor="text1"/>
          <w:sz w:val="21"/>
          <w:szCs w:val="21"/>
        </w:rPr>
      </w:pPr>
      <w:r>
        <w:rPr>
          <w:b/>
          <w:color w:val="000000" w:themeColor="text1"/>
          <w:sz w:val="21"/>
          <w:szCs w:val="21"/>
        </w:rPr>
        <w:t>表</w:t>
      </w:r>
      <w:r>
        <w:rPr>
          <w:rFonts w:hint="eastAsia"/>
          <w:b/>
          <w:color w:val="000000" w:themeColor="text1"/>
          <w:sz w:val="21"/>
          <w:szCs w:val="21"/>
        </w:rPr>
        <w:t>1-9</w:t>
      </w:r>
      <w:r>
        <w:rPr>
          <w:b/>
          <w:color w:val="000000" w:themeColor="text1"/>
          <w:sz w:val="21"/>
          <w:szCs w:val="21"/>
        </w:rPr>
        <w:t>戛洒片区用水量一览表</w:t>
      </w:r>
    </w:p>
    <w:tbl>
      <w:tblPr>
        <w:tblStyle w:val="61"/>
        <w:tblW w:w="8522"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15"/>
        <w:gridCol w:w="1505"/>
        <w:gridCol w:w="1277"/>
        <w:gridCol w:w="1273"/>
        <w:gridCol w:w="1316"/>
        <w:gridCol w:w="1168"/>
        <w:gridCol w:w="116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trPr>
        <w:tc>
          <w:tcPr>
            <w:tcW w:w="2320" w:type="dxa"/>
            <w:gridSpan w:val="2"/>
            <w:vMerge w:val="restart"/>
            <w:shd w:val="clear" w:color="auto" w:fill="auto"/>
            <w:vAlign w:val="center"/>
          </w:tcPr>
          <w:p>
            <w:pPr>
              <w:widowControl/>
              <w:spacing w:line="240" w:lineRule="auto"/>
              <w:ind w:firstLine="422" w:firstLineChars="0"/>
              <w:jc w:val="center"/>
              <w:rPr>
                <w:color w:val="000000" w:themeColor="text1"/>
                <w:kern w:val="0"/>
                <w:sz w:val="21"/>
                <w:szCs w:val="21"/>
              </w:rPr>
            </w:pPr>
            <w:r>
              <w:rPr>
                <w:color w:val="000000" w:themeColor="text1"/>
                <w:kern w:val="0"/>
                <w:sz w:val="21"/>
                <w:szCs w:val="21"/>
              </w:rPr>
              <w:t>工业区</w:t>
            </w:r>
          </w:p>
        </w:tc>
        <w:tc>
          <w:tcPr>
            <w:tcW w:w="2550" w:type="dxa"/>
            <w:gridSpan w:val="2"/>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生活用水</w:t>
            </w:r>
          </w:p>
        </w:tc>
        <w:tc>
          <w:tcPr>
            <w:tcW w:w="2484" w:type="dxa"/>
            <w:gridSpan w:val="2"/>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生产用水</w:t>
            </w:r>
          </w:p>
        </w:tc>
        <w:tc>
          <w:tcPr>
            <w:tcW w:w="1168"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总计</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trPr>
        <w:tc>
          <w:tcPr>
            <w:tcW w:w="2320" w:type="dxa"/>
            <w:gridSpan w:val="2"/>
            <w:vMerge w:val="continue"/>
            <w:shd w:val="clear" w:color="auto" w:fill="auto"/>
            <w:vAlign w:val="center"/>
          </w:tcPr>
          <w:p>
            <w:pPr>
              <w:widowControl/>
              <w:spacing w:line="240" w:lineRule="auto"/>
              <w:ind w:firstLine="0" w:firstLineChars="0"/>
              <w:rPr>
                <w:color w:val="000000" w:themeColor="text1"/>
                <w:kern w:val="0"/>
                <w:sz w:val="21"/>
                <w:szCs w:val="21"/>
              </w:rPr>
            </w:pPr>
          </w:p>
        </w:tc>
        <w:tc>
          <w:tcPr>
            <w:tcW w:w="1277"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m</w:t>
            </w:r>
            <w:r>
              <w:rPr>
                <w:color w:val="000000" w:themeColor="text1"/>
                <w:kern w:val="0"/>
                <w:sz w:val="21"/>
                <w:szCs w:val="21"/>
                <w:vertAlign w:val="superscript"/>
              </w:rPr>
              <w:t>3</w:t>
            </w:r>
            <w:r>
              <w:rPr>
                <w:color w:val="000000" w:themeColor="text1"/>
                <w:kern w:val="0"/>
                <w:sz w:val="21"/>
                <w:szCs w:val="21"/>
              </w:rPr>
              <w:t>/d</w:t>
            </w:r>
          </w:p>
        </w:tc>
        <w:tc>
          <w:tcPr>
            <w:tcW w:w="1273"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万m</w:t>
            </w:r>
            <w:r>
              <w:rPr>
                <w:color w:val="000000" w:themeColor="text1"/>
                <w:kern w:val="0"/>
                <w:sz w:val="21"/>
                <w:szCs w:val="21"/>
                <w:vertAlign w:val="superscript"/>
              </w:rPr>
              <w:t>3</w:t>
            </w:r>
            <w:r>
              <w:rPr>
                <w:color w:val="000000" w:themeColor="text1"/>
                <w:kern w:val="0"/>
                <w:sz w:val="21"/>
                <w:szCs w:val="21"/>
              </w:rPr>
              <w:t>/a</w:t>
            </w:r>
          </w:p>
        </w:tc>
        <w:tc>
          <w:tcPr>
            <w:tcW w:w="1316"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m</w:t>
            </w:r>
            <w:r>
              <w:rPr>
                <w:color w:val="000000" w:themeColor="text1"/>
                <w:kern w:val="0"/>
                <w:sz w:val="21"/>
                <w:szCs w:val="21"/>
                <w:vertAlign w:val="superscript"/>
              </w:rPr>
              <w:t>3</w:t>
            </w:r>
            <w:r>
              <w:rPr>
                <w:color w:val="000000" w:themeColor="text1"/>
                <w:kern w:val="0"/>
                <w:sz w:val="21"/>
                <w:szCs w:val="21"/>
              </w:rPr>
              <w:t>/d</w:t>
            </w:r>
          </w:p>
        </w:tc>
        <w:tc>
          <w:tcPr>
            <w:tcW w:w="1168"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万m</w:t>
            </w:r>
            <w:r>
              <w:rPr>
                <w:color w:val="000000" w:themeColor="text1"/>
                <w:kern w:val="0"/>
                <w:sz w:val="21"/>
                <w:szCs w:val="21"/>
                <w:vertAlign w:val="superscript"/>
              </w:rPr>
              <w:t>3</w:t>
            </w:r>
            <w:r>
              <w:rPr>
                <w:color w:val="000000" w:themeColor="text1"/>
                <w:kern w:val="0"/>
                <w:sz w:val="21"/>
                <w:szCs w:val="21"/>
              </w:rPr>
              <w:t>/a</w:t>
            </w:r>
          </w:p>
        </w:tc>
        <w:tc>
          <w:tcPr>
            <w:tcW w:w="1168"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万m</w:t>
            </w:r>
            <w:r>
              <w:rPr>
                <w:color w:val="000000" w:themeColor="text1"/>
                <w:kern w:val="0"/>
                <w:sz w:val="21"/>
                <w:szCs w:val="21"/>
                <w:vertAlign w:val="superscript"/>
              </w:rPr>
              <w:t>3</w:t>
            </w:r>
            <w:r>
              <w:rPr>
                <w:color w:val="000000" w:themeColor="text1"/>
                <w:kern w:val="0"/>
                <w:sz w:val="21"/>
                <w:szCs w:val="21"/>
              </w:rPr>
              <w:t>/a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trPr>
        <w:tc>
          <w:tcPr>
            <w:tcW w:w="815" w:type="dxa"/>
            <w:vMerge w:val="restart"/>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戛洒片区</w:t>
            </w:r>
          </w:p>
        </w:tc>
        <w:tc>
          <w:tcPr>
            <w:tcW w:w="1505"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大红山地块</w:t>
            </w:r>
          </w:p>
        </w:tc>
        <w:tc>
          <w:tcPr>
            <w:tcW w:w="1277"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2179.773</w:t>
            </w:r>
          </w:p>
        </w:tc>
        <w:tc>
          <w:tcPr>
            <w:tcW w:w="1273"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79.56</w:t>
            </w:r>
          </w:p>
        </w:tc>
        <w:tc>
          <w:tcPr>
            <w:tcW w:w="1316"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41415.750</w:t>
            </w:r>
          </w:p>
        </w:tc>
        <w:tc>
          <w:tcPr>
            <w:tcW w:w="1168"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1511.67</w:t>
            </w:r>
          </w:p>
        </w:tc>
        <w:tc>
          <w:tcPr>
            <w:tcW w:w="1168"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1591.24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trPr>
        <w:tc>
          <w:tcPr>
            <w:tcW w:w="815" w:type="dxa"/>
            <w:vMerge w:val="continue"/>
            <w:shd w:val="clear" w:color="auto" w:fill="auto"/>
            <w:vAlign w:val="center"/>
          </w:tcPr>
          <w:p>
            <w:pPr>
              <w:widowControl/>
              <w:spacing w:line="240" w:lineRule="auto"/>
              <w:ind w:firstLine="0" w:firstLineChars="0"/>
              <w:rPr>
                <w:color w:val="000000" w:themeColor="text1"/>
                <w:kern w:val="0"/>
                <w:sz w:val="21"/>
                <w:szCs w:val="21"/>
              </w:rPr>
            </w:pPr>
          </w:p>
        </w:tc>
        <w:tc>
          <w:tcPr>
            <w:tcW w:w="1505"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白糯格地块</w:t>
            </w:r>
          </w:p>
        </w:tc>
        <w:tc>
          <w:tcPr>
            <w:tcW w:w="1277"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1107.640</w:t>
            </w:r>
          </w:p>
        </w:tc>
        <w:tc>
          <w:tcPr>
            <w:tcW w:w="1273"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40.43</w:t>
            </w:r>
          </w:p>
        </w:tc>
        <w:tc>
          <w:tcPr>
            <w:tcW w:w="1316"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21045.135</w:t>
            </w:r>
          </w:p>
        </w:tc>
        <w:tc>
          <w:tcPr>
            <w:tcW w:w="1168"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768.15</w:t>
            </w:r>
          </w:p>
        </w:tc>
        <w:tc>
          <w:tcPr>
            <w:tcW w:w="1168"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808.58</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trPr>
        <w:tc>
          <w:tcPr>
            <w:tcW w:w="815" w:type="dxa"/>
            <w:vMerge w:val="continue"/>
            <w:shd w:val="clear" w:color="auto" w:fill="auto"/>
            <w:vAlign w:val="center"/>
          </w:tcPr>
          <w:p>
            <w:pPr>
              <w:widowControl/>
              <w:spacing w:line="240" w:lineRule="auto"/>
              <w:ind w:firstLine="0" w:firstLineChars="0"/>
              <w:rPr>
                <w:color w:val="000000" w:themeColor="text1"/>
                <w:kern w:val="0"/>
                <w:sz w:val="21"/>
                <w:szCs w:val="21"/>
              </w:rPr>
            </w:pPr>
          </w:p>
        </w:tc>
        <w:tc>
          <w:tcPr>
            <w:tcW w:w="1505"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合计</w:t>
            </w:r>
          </w:p>
        </w:tc>
        <w:tc>
          <w:tcPr>
            <w:tcW w:w="1277"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3287.413</w:t>
            </w:r>
          </w:p>
        </w:tc>
        <w:tc>
          <w:tcPr>
            <w:tcW w:w="1273"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119.99</w:t>
            </w:r>
          </w:p>
        </w:tc>
        <w:tc>
          <w:tcPr>
            <w:tcW w:w="1316"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62460.885</w:t>
            </w:r>
          </w:p>
        </w:tc>
        <w:tc>
          <w:tcPr>
            <w:tcW w:w="1168"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2279.82</w:t>
            </w:r>
          </w:p>
        </w:tc>
        <w:tc>
          <w:tcPr>
            <w:tcW w:w="1168"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2399.81</w:t>
            </w:r>
          </w:p>
        </w:tc>
      </w:tr>
    </w:tbl>
    <w:p>
      <w:pPr>
        <w:pStyle w:val="75"/>
        <w:adjustRightInd w:val="0"/>
        <w:snapToGrid w:val="0"/>
        <w:ind w:firstLine="480" w:firstLineChars="200"/>
        <w:jc w:val="both"/>
        <w:rPr>
          <w:rFonts w:eastAsiaTheme="minorEastAsia"/>
          <w:color w:val="000000" w:themeColor="text1"/>
          <w:sz w:val="24"/>
          <w:szCs w:val="24"/>
        </w:rPr>
      </w:pPr>
      <w:r>
        <w:rPr>
          <w:rFonts w:eastAsiaTheme="minorEastAsia"/>
          <w:color w:val="000000" w:themeColor="text1"/>
          <w:sz w:val="24"/>
          <w:szCs w:val="24"/>
        </w:rPr>
        <w:t>戛洒片区供水情况见下表所示：</w:t>
      </w:r>
    </w:p>
    <w:p>
      <w:pPr>
        <w:spacing w:line="240" w:lineRule="auto"/>
        <w:ind w:firstLine="0" w:firstLineChars="0"/>
        <w:jc w:val="center"/>
        <w:rPr>
          <w:b/>
          <w:color w:val="000000" w:themeColor="text1"/>
          <w:sz w:val="21"/>
          <w:szCs w:val="21"/>
        </w:rPr>
      </w:pPr>
      <w:r>
        <w:rPr>
          <w:b/>
          <w:color w:val="000000" w:themeColor="text1"/>
          <w:sz w:val="21"/>
          <w:szCs w:val="21"/>
        </w:rPr>
        <w:t>表</w:t>
      </w:r>
      <w:r>
        <w:rPr>
          <w:rFonts w:hint="eastAsia"/>
          <w:b/>
          <w:color w:val="000000" w:themeColor="text1"/>
          <w:sz w:val="21"/>
          <w:szCs w:val="21"/>
        </w:rPr>
        <w:t>1-10</w:t>
      </w:r>
      <w:r>
        <w:rPr>
          <w:b/>
          <w:color w:val="000000" w:themeColor="text1"/>
          <w:sz w:val="21"/>
          <w:szCs w:val="21"/>
        </w:rPr>
        <w:t>戛洒片区规划供水情况一览表</w:t>
      </w:r>
    </w:p>
    <w:tbl>
      <w:tblPr>
        <w:tblStyle w:val="61"/>
        <w:tblW w:w="8519"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497"/>
        <w:gridCol w:w="1509"/>
        <w:gridCol w:w="1171"/>
        <w:gridCol w:w="1499"/>
        <w:gridCol w:w="1374"/>
        <w:gridCol w:w="1134"/>
        <w:gridCol w:w="133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trPr>
        <w:tc>
          <w:tcPr>
            <w:tcW w:w="2006" w:type="dxa"/>
            <w:gridSpan w:val="2"/>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片区</w:t>
            </w:r>
          </w:p>
        </w:tc>
        <w:tc>
          <w:tcPr>
            <w:tcW w:w="1171"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类别</w:t>
            </w:r>
          </w:p>
        </w:tc>
        <w:tc>
          <w:tcPr>
            <w:tcW w:w="1499"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水源</w:t>
            </w:r>
          </w:p>
        </w:tc>
        <w:tc>
          <w:tcPr>
            <w:tcW w:w="1374"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供水</w:t>
            </w:r>
          </w:p>
        </w:tc>
        <w:tc>
          <w:tcPr>
            <w:tcW w:w="1134"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剩余供水量（万m</w:t>
            </w:r>
            <w:r>
              <w:rPr>
                <w:color w:val="000000" w:themeColor="text1"/>
                <w:kern w:val="0"/>
                <w:sz w:val="21"/>
                <w:szCs w:val="21"/>
                <w:vertAlign w:val="superscript"/>
              </w:rPr>
              <w:t>3</w:t>
            </w:r>
            <w:r>
              <w:rPr>
                <w:color w:val="000000" w:themeColor="text1"/>
                <w:kern w:val="0"/>
                <w:sz w:val="21"/>
                <w:szCs w:val="21"/>
              </w:rPr>
              <w:t>/d）</w:t>
            </w:r>
          </w:p>
        </w:tc>
        <w:tc>
          <w:tcPr>
            <w:tcW w:w="1335"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工业园区用水量</w:t>
            </w:r>
          </w:p>
          <w:p>
            <w:pPr>
              <w:widowControl/>
              <w:spacing w:line="240" w:lineRule="auto"/>
              <w:ind w:firstLine="0" w:firstLineChars="0"/>
              <w:jc w:val="center"/>
              <w:rPr>
                <w:color w:val="000000" w:themeColor="text1"/>
                <w:kern w:val="0"/>
                <w:sz w:val="21"/>
                <w:szCs w:val="21"/>
              </w:rPr>
            </w:pPr>
            <w:r>
              <w:rPr>
                <w:color w:val="000000" w:themeColor="text1"/>
                <w:kern w:val="0"/>
                <w:sz w:val="21"/>
                <w:szCs w:val="21"/>
              </w:rPr>
              <w:t>（万m</w:t>
            </w:r>
            <w:r>
              <w:rPr>
                <w:color w:val="000000" w:themeColor="text1"/>
                <w:kern w:val="0"/>
                <w:sz w:val="21"/>
                <w:szCs w:val="21"/>
                <w:vertAlign w:val="superscript"/>
              </w:rPr>
              <w:t>3</w:t>
            </w:r>
            <w:r>
              <w:rPr>
                <w:color w:val="000000" w:themeColor="text1"/>
                <w:kern w:val="0"/>
                <w:sz w:val="21"/>
                <w:szCs w:val="21"/>
              </w:rPr>
              <w:t>/d）</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trPr>
        <w:tc>
          <w:tcPr>
            <w:tcW w:w="497" w:type="dxa"/>
            <w:vMerge w:val="restart"/>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戛洒片区</w:t>
            </w:r>
          </w:p>
        </w:tc>
        <w:tc>
          <w:tcPr>
            <w:tcW w:w="1509"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大红山、白糯格地块</w:t>
            </w:r>
          </w:p>
        </w:tc>
        <w:tc>
          <w:tcPr>
            <w:tcW w:w="1171"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生活用水</w:t>
            </w:r>
          </w:p>
        </w:tc>
        <w:tc>
          <w:tcPr>
            <w:tcW w:w="1499"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马鞍山水库：兴利库容537万m³；南恩河：日流量为7500m³/d</w:t>
            </w:r>
          </w:p>
        </w:tc>
        <w:tc>
          <w:tcPr>
            <w:tcW w:w="1374"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戛洒集镇自来水厂12000m</w:t>
            </w:r>
            <w:r>
              <w:rPr>
                <w:color w:val="000000" w:themeColor="text1"/>
                <w:kern w:val="0"/>
                <w:sz w:val="21"/>
                <w:szCs w:val="21"/>
                <w:vertAlign w:val="superscript"/>
              </w:rPr>
              <w:t>3</w:t>
            </w:r>
            <w:r>
              <w:rPr>
                <w:color w:val="000000" w:themeColor="text1"/>
                <w:kern w:val="0"/>
                <w:sz w:val="21"/>
                <w:szCs w:val="21"/>
              </w:rPr>
              <w:t>/d</w:t>
            </w:r>
          </w:p>
        </w:tc>
        <w:tc>
          <w:tcPr>
            <w:tcW w:w="1134"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0.7</w:t>
            </w:r>
          </w:p>
        </w:tc>
        <w:tc>
          <w:tcPr>
            <w:tcW w:w="1335" w:type="dxa"/>
            <w:shd w:val="clear" w:color="auto" w:fill="auto"/>
            <w:noWrap/>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0.3907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Ex>
        <w:trPr>
          <w:trHeight w:val="20" w:hRule="atLeast"/>
        </w:trPr>
        <w:tc>
          <w:tcPr>
            <w:tcW w:w="497" w:type="dxa"/>
            <w:vMerge w:val="continue"/>
            <w:shd w:val="clear" w:color="auto" w:fill="auto"/>
            <w:vAlign w:val="center"/>
          </w:tcPr>
          <w:p>
            <w:pPr>
              <w:widowControl/>
              <w:spacing w:line="240" w:lineRule="auto"/>
              <w:ind w:firstLine="0" w:firstLineChars="0"/>
              <w:jc w:val="center"/>
              <w:rPr>
                <w:color w:val="000000" w:themeColor="text1"/>
                <w:kern w:val="0"/>
                <w:sz w:val="21"/>
                <w:szCs w:val="21"/>
              </w:rPr>
            </w:pPr>
          </w:p>
        </w:tc>
        <w:tc>
          <w:tcPr>
            <w:tcW w:w="1509"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大红山、白糯格地块片区</w:t>
            </w:r>
          </w:p>
        </w:tc>
        <w:tc>
          <w:tcPr>
            <w:tcW w:w="1171"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生产用水</w:t>
            </w:r>
          </w:p>
        </w:tc>
        <w:tc>
          <w:tcPr>
            <w:tcW w:w="2873" w:type="dxa"/>
            <w:gridSpan w:val="2"/>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戛洒江，枯水季18.1m</w:t>
            </w:r>
            <w:r>
              <w:rPr>
                <w:color w:val="000000" w:themeColor="text1"/>
                <w:kern w:val="0"/>
                <w:sz w:val="21"/>
                <w:szCs w:val="21"/>
                <w:vertAlign w:val="superscript"/>
              </w:rPr>
              <w:t>3</w:t>
            </w:r>
            <w:r>
              <w:rPr>
                <w:color w:val="000000" w:themeColor="text1"/>
                <w:kern w:val="0"/>
                <w:sz w:val="21"/>
                <w:szCs w:val="21"/>
              </w:rPr>
              <w:t>/s（78.88万m</w:t>
            </w:r>
            <w:r>
              <w:rPr>
                <w:color w:val="000000" w:themeColor="text1"/>
                <w:kern w:val="0"/>
                <w:sz w:val="21"/>
                <w:szCs w:val="21"/>
                <w:vertAlign w:val="superscript"/>
              </w:rPr>
              <w:t>3</w:t>
            </w:r>
            <w:r>
              <w:rPr>
                <w:color w:val="000000" w:themeColor="text1"/>
                <w:kern w:val="0"/>
                <w:sz w:val="21"/>
                <w:szCs w:val="21"/>
              </w:rPr>
              <w:t>/d）</w:t>
            </w:r>
          </w:p>
        </w:tc>
        <w:tc>
          <w:tcPr>
            <w:tcW w:w="1134" w:type="dxa"/>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78.88</w:t>
            </w:r>
          </w:p>
        </w:tc>
        <w:tc>
          <w:tcPr>
            <w:tcW w:w="1335" w:type="dxa"/>
            <w:shd w:val="clear" w:color="auto" w:fill="auto"/>
            <w:noWrap/>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20.5584</w:t>
            </w:r>
          </w:p>
        </w:tc>
      </w:tr>
    </w:tbl>
    <w:p>
      <w:pPr>
        <w:pStyle w:val="77"/>
        <w:adjustRightInd w:val="0"/>
        <w:ind w:firstLine="496"/>
        <w:rPr>
          <w:rFonts w:eastAsiaTheme="minorEastAsia"/>
          <w:color w:val="000000" w:themeColor="text1"/>
        </w:rPr>
      </w:pPr>
      <w:r>
        <w:rPr>
          <w:rFonts w:eastAsiaTheme="minorEastAsia"/>
          <w:color w:val="000000" w:themeColor="text1"/>
        </w:rPr>
        <w:t>根据上表，技改后全厂区的用水量符合戛洒片区水资源利用上限。</w:t>
      </w:r>
    </w:p>
    <w:p>
      <w:pPr>
        <w:adjustRightInd w:val="0"/>
        <w:snapToGrid w:val="0"/>
        <w:ind w:firstLine="482"/>
        <w:rPr>
          <w:rFonts w:eastAsiaTheme="minorEastAsia"/>
          <w:color w:val="000000" w:themeColor="text1"/>
          <w:sz w:val="20"/>
          <w:szCs w:val="20"/>
        </w:rPr>
      </w:pPr>
      <w:r>
        <w:rPr>
          <w:rFonts w:eastAsiaTheme="minorEastAsia"/>
          <w:b/>
          <w:color w:val="000000" w:themeColor="text1"/>
          <w:szCs w:val="24"/>
        </w:rPr>
        <w:t>能源利用上限</w:t>
      </w:r>
      <w:r>
        <w:rPr>
          <w:rFonts w:eastAsiaTheme="minorEastAsia"/>
          <w:color w:val="000000" w:themeColor="text1"/>
          <w:szCs w:val="24"/>
        </w:rPr>
        <w:t>：本项目位于工业园区内，项目用电由园区统一供给，厂区主要能源为电，</w:t>
      </w:r>
      <w:r>
        <w:rPr>
          <w:rFonts w:eastAsiaTheme="minorEastAsia"/>
          <w:color w:val="000000" w:themeColor="text1"/>
          <w:kern w:val="0"/>
          <w:szCs w:val="24"/>
        </w:rPr>
        <w:t>不会突破园区能源利用上线</w:t>
      </w:r>
      <w:r>
        <w:rPr>
          <w:rFonts w:eastAsiaTheme="minorEastAsia"/>
          <w:color w:val="000000" w:themeColor="text1"/>
          <w:szCs w:val="24"/>
        </w:rPr>
        <w:t>。</w:t>
      </w:r>
    </w:p>
    <w:p>
      <w:pPr>
        <w:ind w:firstLine="482"/>
        <w:rPr>
          <w:b/>
          <w:color w:val="000000" w:themeColor="text1"/>
          <w:szCs w:val="21"/>
        </w:rPr>
      </w:pPr>
      <w:r>
        <w:rPr>
          <w:b/>
          <w:color w:val="000000" w:themeColor="text1"/>
          <w:szCs w:val="21"/>
        </w:rPr>
        <w:t>（</w:t>
      </w:r>
      <w:r>
        <w:rPr>
          <w:rFonts w:hint="eastAsia"/>
          <w:b/>
          <w:color w:val="000000" w:themeColor="text1"/>
          <w:szCs w:val="21"/>
        </w:rPr>
        <w:t>6</w:t>
      </w:r>
      <w:r>
        <w:rPr>
          <w:b/>
          <w:color w:val="000000" w:themeColor="text1"/>
          <w:szCs w:val="21"/>
        </w:rPr>
        <w:t>）环境准入负面清单</w:t>
      </w:r>
    </w:p>
    <w:p>
      <w:pPr>
        <w:adjustRightInd w:val="0"/>
        <w:snapToGrid w:val="0"/>
        <w:ind w:firstLine="480"/>
        <w:rPr>
          <w:rFonts w:eastAsiaTheme="minorEastAsia"/>
          <w:color w:val="000000" w:themeColor="text1"/>
        </w:rPr>
      </w:pPr>
      <w:r>
        <w:rPr>
          <w:rFonts w:eastAsiaTheme="minorEastAsia"/>
          <w:color w:val="000000" w:themeColor="text1"/>
        </w:rPr>
        <w:t>项目与《长江经济带发展负面清单指南（试行</w:t>
      </w:r>
      <w:r>
        <w:rPr>
          <w:rFonts w:hint="eastAsia" w:eastAsiaTheme="minorEastAsia"/>
          <w:color w:val="000000" w:themeColor="text1"/>
        </w:rPr>
        <w:t>，2022年版</w:t>
      </w:r>
      <w:r>
        <w:rPr>
          <w:rFonts w:eastAsiaTheme="minorEastAsia"/>
          <w:color w:val="000000" w:themeColor="text1"/>
        </w:rPr>
        <w:t>）》的符合性。具体分析如下表所示。</w:t>
      </w:r>
    </w:p>
    <w:p>
      <w:pPr>
        <w:pStyle w:val="50"/>
        <w:spacing w:after="0"/>
        <w:ind w:left="0" w:leftChars="0" w:firstLine="422"/>
        <w:jc w:val="center"/>
        <w:rPr>
          <w:rFonts w:eastAsia="黑体"/>
          <w:color w:val="000000" w:themeColor="text1"/>
          <w:sz w:val="21"/>
          <w:szCs w:val="21"/>
        </w:rPr>
      </w:pPr>
      <w:r>
        <w:rPr>
          <w:b/>
          <w:bCs/>
          <w:color w:val="000000" w:themeColor="text1"/>
          <w:sz w:val="21"/>
          <w:szCs w:val="21"/>
        </w:rPr>
        <w:t>表1-</w:t>
      </w:r>
      <w:r>
        <w:rPr>
          <w:rFonts w:hint="eastAsia"/>
          <w:b/>
          <w:bCs/>
          <w:color w:val="000000" w:themeColor="text1"/>
          <w:sz w:val="21"/>
          <w:szCs w:val="21"/>
        </w:rPr>
        <w:t>11</w:t>
      </w:r>
      <w:r>
        <w:rPr>
          <w:b/>
          <w:bCs/>
          <w:color w:val="000000" w:themeColor="text1"/>
          <w:sz w:val="21"/>
          <w:szCs w:val="21"/>
        </w:rPr>
        <w:t>与《长江经济带发展负面清单指南（试行）》符合性分析一览表</w:t>
      </w:r>
    </w:p>
    <w:tbl>
      <w:tblPr>
        <w:tblStyle w:val="61"/>
        <w:tblW w:w="8488"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17"/>
        <w:gridCol w:w="3952"/>
        <w:gridCol w:w="3294"/>
        <w:gridCol w:w="72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517" w:type="dxa"/>
            <w:vAlign w:val="center"/>
          </w:tcPr>
          <w:p>
            <w:pPr>
              <w:pStyle w:val="640"/>
              <w:spacing w:line="240" w:lineRule="auto"/>
              <w:ind w:firstLine="0" w:firstLineChars="0"/>
              <w:rPr>
                <w:color w:val="000000" w:themeColor="text1"/>
                <w:sz w:val="21"/>
                <w:szCs w:val="21"/>
              </w:rPr>
            </w:pPr>
            <w:r>
              <w:rPr>
                <w:color w:val="000000" w:themeColor="text1"/>
                <w:sz w:val="21"/>
                <w:szCs w:val="21"/>
              </w:rPr>
              <w:t>序号</w:t>
            </w:r>
          </w:p>
        </w:tc>
        <w:tc>
          <w:tcPr>
            <w:tcW w:w="3952" w:type="dxa"/>
            <w:vAlign w:val="center"/>
          </w:tcPr>
          <w:p>
            <w:pPr>
              <w:pStyle w:val="640"/>
              <w:spacing w:line="240" w:lineRule="auto"/>
              <w:ind w:firstLine="420"/>
              <w:rPr>
                <w:color w:val="000000" w:themeColor="text1"/>
                <w:sz w:val="21"/>
                <w:szCs w:val="21"/>
              </w:rPr>
            </w:pPr>
            <w:r>
              <w:rPr>
                <w:color w:val="000000" w:themeColor="text1"/>
                <w:sz w:val="21"/>
                <w:szCs w:val="21"/>
              </w:rPr>
              <w:t>长江经济带发展负面清单指南（试行）要求</w:t>
            </w:r>
          </w:p>
        </w:tc>
        <w:tc>
          <w:tcPr>
            <w:tcW w:w="3294" w:type="dxa"/>
            <w:vAlign w:val="center"/>
          </w:tcPr>
          <w:p>
            <w:pPr>
              <w:pStyle w:val="640"/>
              <w:spacing w:line="240" w:lineRule="auto"/>
              <w:ind w:firstLine="420"/>
              <w:rPr>
                <w:color w:val="000000" w:themeColor="text1"/>
                <w:sz w:val="21"/>
                <w:szCs w:val="21"/>
              </w:rPr>
            </w:pPr>
            <w:r>
              <w:rPr>
                <w:color w:val="000000" w:themeColor="text1"/>
                <w:sz w:val="21"/>
                <w:szCs w:val="21"/>
              </w:rPr>
              <w:t>技改项目实际情况</w:t>
            </w:r>
          </w:p>
        </w:tc>
        <w:tc>
          <w:tcPr>
            <w:tcW w:w="725" w:type="dxa"/>
            <w:vAlign w:val="center"/>
          </w:tcPr>
          <w:p>
            <w:pPr>
              <w:pStyle w:val="640"/>
              <w:spacing w:line="240" w:lineRule="auto"/>
              <w:ind w:firstLine="0" w:firstLineChars="0"/>
              <w:rPr>
                <w:color w:val="000000" w:themeColor="text1"/>
                <w:sz w:val="21"/>
                <w:szCs w:val="21"/>
              </w:rPr>
            </w:pPr>
            <w:r>
              <w:rPr>
                <w:color w:val="000000" w:themeColor="text1"/>
                <w:sz w:val="21"/>
                <w:szCs w:val="21"/>
              </w:rPr>
              <w:t>符合性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517" w:type="dxa"/>
            <w:vAlign w:val="center"/>
          </w:tcPr>
          <w:p>
            <w:pPr>
              <w:pStyle w:val="640"/>
              <w:spacing w:line="240" w:lineRule="auto"/>
              <w:ind w:firstLine="0" w:firstLineChars="0"/>
              <w:rPr>
                <w:color w:val="000000" w:themeColor="text1"/>
                <w:sz w:val="21"/>
                <w:szCs w:val="21"/>
              </w:rPr>
            </w:pPr>
            <w:r>
              <w:rPr>
                <w:color w:val="000000" w:themeColor="text1"/>
                <w:sz w:val="21"/>
                <w:szCs w:val="21"/>
              </w:rPr>
              <w:t>1</w:t>
            </w:r>
          </w:p>
        </w:tc>
        <w:tc>
          <w:tcPr>
            <w:tcW w:w="3952" w:type="dxa"/>
            <w:vAlign w:val="center"/>
          </w:tcPr>
          <w:p>
            <w:pPr>
              <w:pStyle w:val="640"/>
              <w:spacing w:line="240" w:lineRule="auto"/>
              <w:ind w:firstLine="210" w:firstLineChars="100"/>
              <w:rPr>
                <w:color w:val="000000" w:themeColor="text1"/>
                <w:sz w:val="21"/>
                <w:szCs w:val="21"/>
              </w:rPr>
            </w:pPr>
            <w:r>
              <w:rPr>
                <w:color w:val="000000" w:themeColor="text1"/>
                <w:sz w:val="21"/>
                <w:szCs w:val="21"/>
              </w:rPr>
              <w:t>禁止建设不符合全国和省级港口布局规划以及港口总体规划的码头项目，禁止建设不符合《长江干线过江通道布局规划》的过江通道项目。</w:t>
            </w:r>
          </w:p>
        </w:tc>
        <w:tc>
          <w:tcPr>
            <w:tcW w:w="3294" w:type="dxa"/>
            <w:vAlign w:val="center"/>
          </w:tcPr>
          <w:p>
            <w:pPr>
              <w:pStyle w:val="640"/>
              <w:spacing w:line="240" w:lineRule="auto"/>
              <w:ind w:firstLine="210" w:firstLineChars="100"/>
              <w:rPr>
                <w:color w:val="000000" w:themeColor="text1"/>
                <w:sz w:val="21"/>
                <w:szCs w:val="21"/>
              </w:rPr>
            </w:pPr>
            <w:r>
              <w:rPr>
                <w:color w:val="000000" w:themeColor="text1"/>
                <w:sz w:val="21"/>
                <w:szCs w:val="21"/>
              </w:rPr>
              <w:t>项目属于</w:t>
            </w:r>
            <w:r>
              <w:rPr>
                <w:rFonts w:hint="eastAsia"/>
                <w:color w:val="000000" w:themeColor="text1"/>
                <w:sz w:val="21"/>
                <w:szCs w:val="21"/>
              </w:rPr>
              <w:t>铁矿精选</w:t>
            </w:r>
            <w:r>
              <w:rPr>
                <w:color w:val="000000" w:themeColor="text1"/>
                <w:sz w:val="21"/>
                <w:szCs w:val="21"/>
                <w:lang w:val="en-US"/>
              </w:rPr>
              <w:t>项目</w:t>
            </w:r>
            <w:r>
              <w:rPr>
                <w:color w:val="000000" w:themeColor="text1"/>
                <w:sz w:val="21"/>
                <w:szCs w:val="21"/>
              </w:rPr>
              <w:t>，不涉及码头及过江通道。</w:t>
            </w:r>
          </w:p>
        </w:tc>
        <w:tc>
          <w:tcPr>
            <w:tcW w:w="725" w:type="dxa"/>
            <w:vAlign w:val="center"/>
          </w:tcPr>
          <w:p>
            <w:pPr>
              <w:pStyle w:val="640"/>
              <w:spacing w:line="240" w:lineRule="auto"/>
              <w:ind w:firstLine="0" w:firstLineChars="0"/>
              <w:rPr>
                <w:color w:val="000000" w:themeColor="text1"/>
                <w:sz w:val="21"/>
                <w:szCs w:val="21"/>
              </w:rPr>
            </w:pPr>
            <w:r>
              <w:rPr>
                <w:color w:val="000000" w:themeColor="text1"/>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517" w:type="dxa"/>
            <w:vAlign w:val="center"/>
          </w:tcPr>
          <w:p>
            <w:pPr>
              <w:pStyle w:val="640"/>
              <w:spacing w:line="240" w:lineRule="auto"/>
              <w:ind w:firstLine="0" w:firstLineChars="0"/>
              <w:rPr>
                <w:color w:val="000000" w:themeColor="text1"/>
                <w:sz w:val="21"/>
                <w:szCs w:val="21"/>
              </w:rPr>
            </w:pPr>
            <w:r>
              <w:rPr>
                <w:color w:val="000000" w:themeColor="text1"/>
                <w:sz w:val="21"/>
                <w:szCs w:val="21"/>
              </w:rPr>
              <w:t>2</w:t>
            </w:r>
          </w:p>
        </w:tc>
        <w:tc>
          <w:tcPr>
            <w:tcW w:w="3952" w:type="dxa"/>
            <w:vAlign w:val="center"/>
          </w:tcPr>
          <w:p>
            <w:pPr>
              <w:pStyle w:val="640"/>
              <w:spacing w:line="240" w:lineRule="auto"/>
              <w:ind w:firstLine="210" w:firstLineChars="100"/>
              <w:rPr>
                <w:color w:val="000000" w:themeColor="text1"/>
                <w:sz w:val="21"/>
                <w:szCs w:val="21"/>
              </w:rPr>
            </w:pPr>
            <w:r>
              <w:rPr>
                <w:color w:val="000000" w:themeColor="text1"/>
                <w:sz w:val="21"/>
                <w:szCs w:val="21"/>
              </w:rPr>
              <w:t>禁止在自然保护区核心区、缓冲区的岸线和河段范围内投资建设旅游和生产经营项目。禁止在风景名胜区核心景区的岸线和河段范围内投资建设与风景名胜资源保护无关的项目；</w:t>
            </w:r>
          </w:p>
        </w:tc>
        <w:tc>
          <w:tcPr>
            <w:tcW w:w="3294" w:type="dxa"/>
            <w:vAlign w:val="center"/>
          </w:tcPr>
          <w:p>
            <w:pPr>
              <w:pStyle w:val="640"/>
              <w:spacing w:line="240" w:lineRule="auto"/>
              <w:ind w:firstLine="210" w:firstLineChars="100"/>
              <w:rPr>
                <w:color w:val="000000" w:themeColor="text1"/>
                <w:sz w:val="21"/>
                <w:szCs w:val="21"/>
              </w:rPr>
            </w:pPr>
            <w:r>
              <w:rPr>
                <w:color w:val="000000" w:themeColor="text1"/>
                <w:sz w:val="21"/>
                <w:szCs w:val="21"/>
              </w:rPr>
              <w:t>项目位于</w:t>
            </w:r>
            <w:r>
              <w:rPr>
                <w:rFonts w:eastAsiaTheme="minorEastAsia"/>
                <w:iCs/>
                <w:color w:val="000000" w:themeColor="text1"/>
                <w:sz w:val="21"/>
                <w:szCs w:val="21"/>
              </w:rPr>
              <w:t>新平县戛洒镇戛社区东磨小组东磨选厂</w:t>
            </w:r>
            <w:r>
              <w:rPr>
                <w:color w:val="000000" w:themeColor="text1"/>
                <w:sz w:val="21"/>
                <w:szCs w:val="21"/>
              </w:rPr>
              <w:t>，不涉及自然保护区核心区、缓冲区的岸线和河段范围内</w:t>
            </w:r>
            <w:r>
              <w:rPr>
                <w:rFonts w:hint="eastAsia"/>
                <w:color w:val="000000" w:themeColor="text1"/>
                <w:sz w:val="21"/>
                <w:szCs w:val="21"/>
              </w:rPr>
              <w:t>、</w:t>
            </w:r>
            <w:r>
              <w:rPr>
                <w:color w:val="000000" w:themeColor="text1"/>
                <w:sz w:val="21"/>
                <w:szCs w:val="21"/>
              </w:rPr>
              <w:t>风景名胜区等特殊敏感区。</w:t>
            </w:r>
          </w:p>
        </w:tc>
        <w:tc>
          <w:tcPr>
            <w:tcW w:w="725" w:type="dxa"/>
            <w:vAlign w:val="center"/>
          </w:tcPr>
          <w:p>
            <w:pPr>
              <w:pStyle w:val="640"/>
              <w:spacing w:line="240" w:lineRule="auto"/>
              <w:ind w:firstLine="0" w:firstLineChars="0"/>
              <w:rPr>
                <w:color w:val="000000" w:themeColor="text1"/>
                <w:sz w:val="21"/>
                <w:szCs w:val="21"/>
              </w:rPr>
            </w:pPr>
            <w:r>
              <w:rPr>
                <w:color w:val="000000" w:themeColor="text1"/>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517" w:type="dxa"/>
            <w:vAlign w:val="center"/>
          </w:tcPr>
          <w:p>
            <w:pPr>
              <w:pStyle w:val="640"/>
              <w:spacing w:line="240" w:lineRule="auto"/>
              <w:ind w:firstLine="0" w:firstLineChars="0"/>
              <w:rPr>
                <w:color w:val="000000" w:themeColor="text1"/>
                <w:sz w:val="21"/>
                <w:szCs w:val="21"/>
              </w:rPr>
            </w:pPr>
            <w:r>
              <w:rPr>
                <w:color w:val="000000" w:themeColor="text1"/>
                <w:sz w:val="21"/>
                <w:szCs w:val="21"/>
              </w:rPr>
              <w:t>3</w:t>
            </w:r>
          </w:p>
        </w:tc>
        <w:tc>
          <w:tcPr>
            <w:tcW w:w="3952" w:type="dxa"/>
            <w:vAlign w:val="center"/>
          </w:tcPr>
          <w:p>
            <w:pPr>
              <w:pStyle w:val="640"/>
              <w:spacing w:line="240" w:lineRule="auto"/>
              <w:ind w:firstLine="210" w:firstLineChars="100"/>
              <w:rPr>
                <w:color w:val="000000" w:themeColor="text1"/>
                <w:sz w:val="21"/>
                <w:szCs w:val="21"/>
              </w:rPr>
            </w:pPr>
            <w:r>
              <w:rPr>
                <w:color w:val="000000" w:themeColor="text1"/>
                <w:sz w:val="21"/>
                <w:szCs w:val="21"/>
              </w:rPr>
              <w:t>禁止在饮用水水源一级保护区的岸线和河段范围内新建、改建、扩建与供水设施和保护水源无关的项目，以及网箱养殖、旅游等可能污染饮用水水体的投资建设项目。禁止在饮用水水源二级保护区的岸线和河段范围内新建、改建、扩建排放污染物的投资建设项目。</w:t>
            </w:r>
          </w:p>
        </w:tc>
        <w:tc>
          <w:tcPr>
            <w:tcW w:w="3294" w:type="dxa"/>
            <w:vAlign w:val="center"/>
          </w:tcPr>
          <w:p>
            <w:pPr>
              <w:pStyle w:val="640"/>
              <w:spacing w:line="240" w:lineRule="auto"/>
              <w:ind w:firstLine="210" w:firstLineChars="100"/>
              <w:rPr>
                <w:color w:val="000000" w:themeColor="text1"/>
                <w:sz w:val="21"/>
                <w:szCs w:val="21"/>
              </w:rPr>
            </w:pPr>
            <w:r>
              <w:rPr>
                <w:color w:val="000000" w:themeColor="text1"/>
                <w:sz w:val="21"/>
                <w:szCs w:val="21"/>
              </w:rPr>
              <w:t>项目位于新平县戛洒镇戛社区东磨小组东磨选厂，不涉及到饮用水水源地。</w:t>
            </w:r>
          </w:p>
        </w:tc>
        <w:tc>
          <w:tcPr>
            <w:tcW w:w="725" w:type="dxa"/>
            <w:vAlign w:val="center"/>
          </w:tcPr>
          <w:p>
            <w:pPr>
              <w:pStyle w:val="640"/>
              <w:spacing w:line="240" w:lineRule="auto"/>
              <w:ind w:firstLine="0" w:firstLineChars="0"/>
              <w:rPr>
                <w:color w:val="000000" w:themeColor="text1"/>
                <w:sz w:val="21"/>
                <w:szCs w:val="21"/>
              </w:rPr>
            </w:pPr>
            <w:r>
              <w:rPr>
                <w:color w:val="000000" w:themeColor="text1"/>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517" w:type="dxa"/>
            <w:vAlign w:val="center"/>
          </w:tcPr>
          <w:p>
            <w:pPr>
              <w:pStyle w:val="640"/>
              <w:spacing w:line="240" w:lineRule="auto"/>
              <w:ind w:firstLine="0" w:firstLineChars="0"/>
              <w:rPr>
                <w:color w:val="000000" w:themeColor="text1"/>
                <w:sz w:val="21"/>
                <w:szCs w:val="21"/>
              </w:rPr>
            </w:pPr>
            <w:r>
              <w:rPr>
                <w:color w:val="000000" w:themeColor="text1"/>
                <w:sz w:val="21"/>
                <w:szCs w:val="21"/>
              </w:rPr>
              <w:t>4</w:t>
            </w:r>
          </w:p>
        </w:tc>
        <w:tc>
          <w:tcPr>
            <w:tcW w:w="3952" w:type="dxa"/>
            <w:vAlign w:val="center"/>
          </w:tcPr>
          <w:p>
            <w:pPr>
              <w:pStyle w:val="640"/>
              <w:spacing w:line="240" w:lineRule="auto"/>
              <w:ind w:firstLine="210" w:firstLineChars="100"/>
              <w:rPr>
                <w:color w:val="000000" w:themeColor="text1"/>
                <w:sz w:val="21"/>
                <w:szCs w:val="21"/>
              </w:rPr>
            </w:pPr>
            <w:r>
              <w:rPr>
                <w:color w:val="000000" w:themeColor="text1"/>
                <w:sz w:val="21"/>
                <w:szCs w:val="21"/>
              </w:rPr>
              <w:t>禁止在水产种植资源保护区的岸线和河段范围内新建围湖造田、围海造地或填海等投资建设项目。禁止在国家湿地公园的岸线和河段范围内挖沙、采矿，以及任何不符合主体功能定位的投资建设项目。</w:t>
            </w:r>
          </w:p>
        </w:tc>
        <w:tc>
          <w:tcPr>
            <w:tcW w:w="3294" w:type="dxa"/>
            <w:vAlign w:val="center"/>
          </w:tcPr>
          <w:p>
            <w:pPr>
              <w:pStyle w:val="640"/>
              <w:spacing w:line="240" w:lineRule="auto"/>
              <w:ind w:firstLine="210" w:firstLineChars="100"/>
              <w:rPr>
                <w:color w:val="000000" w:themeColor="text1"/>
                <w:sz w:val="21"/>
                <w:szCs w:val="21"/>
              </w:rPr>
            </w:pPr>
            <w:r>
              <w:rPr>
                <w:color w:val="000000" w:themeColor="text1"/>
                <w:sz w:val="21"/>
                <w:szCs w:val="21"/>
                <w:lang w:val="en-US"/>
              </w:rPr>
              <w:t>项目位于新平县戛洒镇戛社区东磨小组东磨选厂</w:t>
            </w:r>
            <w:r>
              <w:rPr>
                <w:color w:val="000000" w:themeColor="text1"/>
                <w:sz w:val="21"/>
                <w:szCs w:val="21"/>
              </w:rPr>
              <w:t>，符合工业园区功能定位，项目所在地</w:t>
            </w:r>
            <w:r>
              <w:rPr>
                <w:rFonts w:hint="eastAsia"/>
                <w:color w:val="000000" w:themeColor="text1"/>
                <w:sz w:val="21"/>
                <w:szCs w:val="21"/>
              </w:rPr>
              <w:t>处于</w:t>
            </w:r>
            <w:r>
              <w:rPr>
                <w:color w:val="000000" w:themeColor="text1"/>
                <w:sz w:val="21"/>
                <w:szCs w:val="21"/>
              </w:rPr>
              <w:t>红河支流</w:t>
            </w:r>
            <w:r>
              <w:rPr>
                <w:rStyle w:val="73"/>
                <w:rFonts w:hint="eastAsia"/>
                <w:bCs w:val="0"/>
                <w:snapToGrid/>
                <w:color w:val="000000" w:themeColor="text1"/>
                <w:kern w:val="0"/>
                <w:lang w:val="en-US"/>
              </w:rPr>
              <w:t>地表径流区</w:t>
            </w:r>
            <w:r>
              <w:rPr>
                <w:color w:val="000000" w:themeColor="text1"/>
                <w:sz w:val="21"/>
                <w:szCs w:val="21"/>
              </w:rPr>
              <w:t>，</w:t>
            </w:r>
            <w:r>
              <w:rPr>
                <w:rFonts w:hint="eastAsia"/>
                <w:color w:val="000000" w:themeColor="text1"/>
                <w:sz w:val="21"/>
                <w:szCs w:val="21"/>
              </w:rPr>
              <w:t>项目地处困龙河径流区内，</w:t>
            </w:r>
            <w:r>
              <w:rPr>
                <w:color w:val="000000" w:themeColor="text1"/>
                <w:sz w:val="21"/>
                <w:szCs w:val="21"/>
              </w:rPr>
              <w:t>不属于水产种植资源保护区的岸线和河段范围。</w:t>
            </w:r>
          </w:p>
        </w:tc>
        <w:tc>
          <w:tcPr>
            <w:tcW w:w="725" w:type="dxa"/>
            <w:vAlign w:val="center"/>
          </w:tcPr>
          <w:p>
            <w:pPr>
              <w:pStyle w:val="640"/>
              <w:spacing w:line="240" w:lineRule="auto"/>
              <w:ind w:firstLine="0" w:firstLineChars="0"/>
              <w:rPr>
                <w:color w:val="000000" w:themeColor="text1"/>
                <w:sz w:val="21"/>
                <w:szCs w:val="21"/>
              </w:rPr>
            </w:pPr>
            <w:r>
              <w:rPr>
                <w:color w:val="000000" w:themeColor="text1"/>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517" w:type="dxa"/>
            <w:vAlign w:val="center"/>
          </w:tcPr>
          <w:p>
            <w:pPr>
              <w:pStyle w:val="640"/>
              <w:spacing w:line="240" w:lineRule="auto"/>
              <w:ind w:firstLine="0" w:firstLineChars="0"/>
              <w:rPr>
                <w:color w:val="000000" w:themeColor="text1"/>
                <w:sz w:val="21"/>
                <w:szCs w:val="21"/>
              </w:rPr>
            </w:pPr>
            <w:r>
              <w:rPr>
                <w:color w:val="000000" w:themeColor="text1"/>
                <w:sz w:val="21"/>
                <w:szCs w:val="21"/>
              </w:rPr>
              <w:t>5</w:t>
            </w:r>
          </w:p>
        </w:tc>
        <w:tc>
          <w:tcPr>
            <w:tcW w:w="3952" w:type="dxa"/>
            <w:vAlign w:val="center"/>
          </w:tcPr>
          <w:p>
            <w:pPr>
              <w:pStyle w:val="640"/>
              <w:spacing w:line="240" w:lineRule="auto"/>
              <w:ind w:firstLine="210" w:firstLineChars="100"/>
              <w:rPr>
                <w:color w:val="000000" w:themeColor="text1"/>
                <w:sz w:val="21"/>
                <w:szCs w:val="21"/>
              </w:rPr>
            </w:pPr>
            <w:r>
              <w:rPr>
                <w:rFonts w:hint="eastAsia"/>
                <w:color w:val="000000" w:themeColor="text1"/>
                <w:sz w:val="21"/>
                <w:szCs w:val="21"/>
              </w:rPr>
              <w:t>禁止违法利用、占用长江流域河湖岸线。</w:t>
            </w:r>
            <w:r>
              <w:rPr>
                <w:color w:val="000000" w:themeColor="text1"/>
                <w:sz w:val="21"/>
                <w:szCs w:val="21"/>
              </w:rPr>
              <w:t>禁止在《长江岸线保护和开发利用总体规划》划定的岸线保护区</w:t>
            </w:r>
            <w:r>
              <w:rPr>
                <w:rFonts w:hint="eastAsia"/>
                <w:color w:val="000000" w:themeColor="text1"/>
                <w:sz w:val="21"/>
                <w:szCs w:val="21"/>
              </w:rPr>
              <w:t>和保留区</w:t>
            </w:r>
            <w:r>
              <w:rPr>
                <w:color w:val="000000" w:themeColor="text1"/>
                <w:sz w:val="21"/>
                <w:szCs w:val="21"/>
              </w:rPr>
              <w:t>内投资建设除</w:t>
            </w:r>
            <w:r>
              <w:rPr>
                <w:rFonts w:hint="eastAsia"/>
                <w:color w:val="000000" w:themeColor="text1"/>
                <w:sz w:val="21"/>
                <w:szCs w:val="21"/>
              </w:rPr>
              <w:t>事关公共安全及公众利益的防洪护岸</w:t>
            </w:r>
            <w:r>
              <w:rPr>
                <w:color w:val="000000" w:themeColor="text1"/>
                <w:sz w:val="21"/>
                <w:szCs w:val="21"/>
              </w:rPr>
              <w:t>、</w:t>
            </w:r>
            <w:r>
              <w:rPr>
                <w:rFonts w:hint="eastAsia"/>
                <w:color w:val="000000" w:themeColor="text1"/>
                <w:sz w:val="21"/>
                <w:szCs w:val="21"/>
              </w:rPr>
              <w:t>河道治理</w:t>
            </w:r>
            <w:r>
              <w:rPr>
                <w:color w:val="000000" w:themeColor="text1"/>
                <w:sz w:val="21"/>
                <w:szCs w:val="21"/>
              </w:rPr>
              <w:t>、供水</w:t>
            </w:r>
            <w:r>
              <w:rPr>
                <w:rFonts w:hint="eastAsia"/>
                <w:color w:val="000000" w:themeColor="text1"/>
                <w:sz w:val="21"/>
                <w:szCs w:val="21"/>
              </w:rPr>
              <w:t>、</w:t>
            </w:r>
            <w:r>
              <w:rPr>
                <w:color w:val="000000" w:themeColor="text1"/>
                <w:sz w:val="21"/>
                <w:szCs w:val="21"/>
              </w:rPr>
              <w:t>生态环境</w:t>
            </w:r>
            <w:r>
              <w:rPr>
                <w:rFonts w:hint="eastAsia"/>
                <w:color w:val="000000" w:themeColor="text1"/>
                <w:sz w:val="21"/>
                <w:szCs w:val="21"/>
              </w:rPr>
              <w:t>保护</w:t>
            </w:r>
            <w:r>
              <w:rPr>
                <w:color w:val="000000" w:themeColor="text1"/>
                <w:sz w:val="21"/>
                <w:szCs w:val="21"/>
              </w:rPr>
              <w:t>、</w:t>
            </w:r>
            <w:r>
              <w:rPr>
                <w:rFonts w:hint="eastAsia"/>
                <w:color w:val="000000" w:themeColor="text1"/>
                <w:sz w:val="21"/>
                <w:szCs w:val="21"/>
              </w:rPr>
              <w:t>航道整治、国家重要基础设施以外的项目。</w:t>
            </w:r>
            <w:r>
              <w:rPr>
                <w:color w:val="000000" w:themeColor="text1"/>
                <w:sz w:val="21"/>
                <w:szCs w:val="21"/>
              </w:rPr>
              <w:t>禁止在《全国重要江河湖泊水功能区划》划定的河段</w:t>
            </w:r>
            <w:r>
              <w:rPr>
                <w:rFonts w:hint="eastAsia"/>
                <w:color w:val="000000" w:themeColor="text1"/>
                <w:sz w:val="21"/>
                <w:szCs w:val="21"/>
              </w:rPr>
              <w:t>及湖泊</w:t>
            </w:r>
            <w:r>
              <w:rPr>
                <w:color w:val="000000" w:themeColor="text1"/>
                <w:sz w:val="21"/>
                <w:szCs w:val="21"/>
              </w:rPr>
              <w:t>保护区、保留区内投资建设不利于水资源及自然生态保护的项目。</w:t>
            </w:r>
          </w:p>
        </w:tc>
        <w:tc>
          <w:tcPr>
            <w:tcW w:w="3294" w:type="dxa"/>
            <w:vAlign w:val="center"/>
          </w:tcPr>
          <w:p>
            <w:pPr>
              <w:pStyle w:val="640"/>
              <w:spacing w:line="240" w:lineRule="auto"/>
              <w:ind w:firstLine="210" w:firstLineChars="100"/>
              <w:rPr>
                <w:color w:val="000000" w:themeColor="text1"/>
                <w:sz w:val="21"/>
                <w:szCs w:val="21"/>
              </w:rPr>
            </w:pPr>
            <w:r>
              <w:rPr>
                <w:color w:val="000000" w:themeColor="text1"/>
                <w:sz w:val="21"/>
                <w:szCs w:val="21"/>
              </w:rPr>
              <w:t>项目</w:t>
            </w:r>
            <w:r>
              <w:rPr>
                <w:rFonts w:hint="eastAsia"/>
                <w:color w:val="000000" w:themeColor="text1"/>
                <w:sz w:val="21"/>
                <w:szCs w:val="21"/>
              </w:rPr>
              <w:t>地处</w:t>
            </w:r>
            <w:r>
              <w:rPr>
                <w:color w:val="000000" w:themeColor="text1"/>
                <w:sz w:val="21"/>
                <w:szCs w:val="21"/>
              </w:rPr>
              <w:t>红河支流</w:t>
            </w:r>
            <w:r>
              <w:rPr>
                <w:rFonts w:hint="eastAsia"/>
                <w:color w:val="000000" w:themeColor="text1"/>
                <w:sz w:val="21"/>
                <w:szCs w:val="21"/>
              </w:rPr>
              <w:t>径流区</w:t>
            </w:r>
            <w:r>
              <w:rPr>
                <w:color w:val="000000" w:themeColor="text1"/>
                <w:sz w:val="21"/>
                <w:szCs w:val="21"/>
              </w:rPr>
              <w:t>，该河段不属于《长江岸线保护和开发利用总体规划》划定的岸线保护区</w:t>
            </w:r>
            <w:r>
              <w:rPr>
                <w:rFonts w:hint="eastAsia"/>
                <w:color w:val="000000" w:themeColor="text1"/>
                <w:sz w:val="21"/>
                <w:szCs w:val="21"/>
              </w:rPr>
              <w:t>和保留区</w:t>
            </w:r>
            <w:r>
              <w:rPr>
                <w:color w:val="000000" w:themeColor="text1"/>
                <w:sz w:val="21"/>
                <w:szCs w:val="21"/>
              </w:rPr>
              <w:t>，也不属于</w:t>
            </w:r>
            <w:r>
              <w:rPr>
                <w:rFonts w:hint="eastAsia"/>
                <w:color w:val="000000" w:themeColor="text1"/>
                <w:sz w:val="21"/>
                <w:szCs w:val="21"/>
              </w:rPr>
              <w:t>《</w:t>
            </w:r>
            <w:r>
              <w:rPr>
                <w:color w:val="000000" w:themeColor="text1"/>
                <w:sz w:val="21"/>
                <w:szCs w:val="21"/>
              </w:rPr>
              <w:t>全国重要江河湖泊水功能区划》划定的河段保护区、保留区。</w:t>
            </w:r>
          </w:p>
        </w:tc>
        <w:tc>
          <w:tcPr>
            <w:tcW w:w="725" w:type="dxa"/>
            <w:vAlign w:val="center"/>
          </w:tcPr>
          <w:p>
            <w:pPr>
              <w:pStyle w:val="640"/>
              <w:spacing w:line="240" w:lineRule="auto"/>
              <w:ind w:firstLine="0" w:firstLineChars="0"/>
              <w:rPr>
                <w:color w:val="000000" w:themeColor="text1"/>
                <w:sz w:val="21"/>
                <w:szCs w:val="21"/>
              </w:rPr>
            </w:pPr>
            <w:r>
              <w:rPr>
                <w:color w:val="000000" w:themeColor="text1"/>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517" w:type="dxa"/>
            <w:vAlign w:val="center"/>
          </w:tcPr>
          <w:p>
            <w:pPr>
              <w:pStyle w:val="640"/>
              <w:spacing w:line="240" w:lineRule="auto"/>
              <w:ind w:firstLine="0" w:firstLineChars="0"/>
              <w:rPr>
                <w:color w:val="000000" w:themeColor="text1"/>
                <w:sz w:val="21"/>
                <w:szCs w:val="21"/>
              </w:rPr>
            </w:pPr>
            <w:r>
              <w:rPr>
                <w:color w:val="000000" w:themeColor="text1"/>
                <w:sz w:val="21"/>
                <w:szCs w:val="21"/>
              </w:rPr>
              <w:t>6</w:t>
            </w:r>
          </w:p>
        </w:tc>
        <w:tc>
          <w:tcPr>
            <w:tcW w:w="3952" w:type="dxa"/>
            <w:vAlign w:val="center"/>
          </w:tcPr>
          <w:p>
            <w:pPr>
              <w:pStyle w:val="640"/>
              <w:spacing w:line="240" w:lineRule="auto"/>
              <w:ind w:firstLine="210" w:firstLineChars="100"/>
              <w:rPr>
                <w:color w:val="000000" w:themeColor="text1"/>
                <w:sz w:val="21"/>
                <w:szCs w:val="21"/>
              </w:rPr>
            </w:pPr>
            <w:r>
              <w:rPr>
                <w:color w:val="000000" w:themeColor="text1"/>
                <w:sz w:val="21"/>
                <w:szCs w:val="21"/>
              </w:rPr>
              <w:t>禁止</w:t>
            </w:r>
            <w:r>
              <w:rPr>
                <w:rFonts w:hint="eastAsia"/>
                <w:color w:val="000000" w:themeColor="text1"/>
                <w:sz w:val="21"/>
                <w:szCs w:val="21"/>
              </w:rPr>
              <w:t>未经允许在长江干支流及湖泊新设、改设或扩大排污口</w:t>
            </w:r>
            <w:r>
              <w:rPr>
                <w:color w:val="000000" w:themeColor="text1"/>
                <w:sz w:val="21"/>
                <w:szCs w:val="21"/>
              </w:rPr>
              <w:t>。</w:t>
            </w:r>
          </w:p>
        </w:tc>
        <w:tc>
          <w:tcPr>
            <w:tcW w:w="3294" w:type="dxa"/>
            <w:vAlign w:val="center"/>
          </w:tcPr>
          <w:p>
            <w:pPr>
              <w:pStyle w:val="640"/>
              <w:spacing w:line="240" w:lineRule="auto"/>
              <w:ind w:firstLine="210" w:firstLineChars="100"/>
              <w:rPr>
                <w:color w:val="000000" w:themeColor="text1"/>
                <w:sz w:val="21"/>
                <w:szCs w:val="21"/>
              </w:rPr>
            </w:pPr>
            <w:r>
              <w:rPr>
                <w:color w:val="000000" w:themeColor="text1"/>
                <w:sz w:val="21"/>
                <w:szCs w:val="21"/>
                <w:lang w:val="en-US"/>
              </w:rPr>
              <w:t>项目位于新平县戛洒镇戛社区东磨小组东磨选厂</w:t>
            </w:r>
            <w:r>
              <w:rPr>
                <w:color w:val="000000" w:themeColor="text1"/>
                <w:sz w:val="21"/>
                <w:szCs w:val="21"/>
              </w:rPr>
              <w:t>，</w:t>
            </w:r>
            <w:r>
              <w:rPr>
                <w:rFonts w:hint="eastAsia"/>
                <w:color w:val="000000" w:themeColor="text1"/>
                <w:sz w:val="21"/>
                <w:szCs w:val="21"/>
              </w:rPr>
              <w:t>不涉及长江干支流及湖泊</w:t>
            </w:r>
            <w:r>
              <w:rPr>
                <w:color w:val="000000" w:themeColor="text1"/>
                <w:sz w:val="21"/>
                <w:szCs w:val="21"/>
              </w:rPr>
              <w:t>。</w:t>
            </w:r>
          </w:p>
        </w:tc>
        <w:tc>
          <w:tcPr>
            <w:tcW w:w="725" w:type="dxa"/>
            <w:vAlign w:val="center"/>
          </w:tcPr>
          <w:p>
            <w:pPr>
              <w:pStyle w:val="640"/>
              <w:spacing w:line="240" w:lineRule="auto"/>
              <w:ind w:firstLine="0" w:firstLineChars="0"/>
              <w:rPr>
                <w:color w:val="000000" w:themeColor="text1"/>
                <w:sz w:val="21"/>
                <w:szCs w:val="21"/>
              </w:rPr>
            </w:pPr>
            <w:r>
              <w:rPr>
                <w:color w:val="000000" w:themeColor="text1"/>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517" w:type="dxa"/>
            <w:vAlign w:val="center"/>
          </w:tcPr>
          <w:p>
            <w:pPr>
              <w:pStyle w:val="640"/>
              <w:spacing w:line="240" w:lineRule="auto"/>
              <w:ind w:firstLine="0" w:firstLineChars="0"/>
              <w:rPr>
                <w:color w:val="000000" w:themeColor="text1"/>
                <w:sz w:val="21"/>
                <w:szCs w:val="21"/>
              </w:rPr>
            </w:pPr>
            <w:r>
              <w:rPr>
                <w:color w:val="000000" w:themeColor="text1"/>
                <w:sz w:val="21"/>
                <w:szCs w:val="21"/>
              </w:rPr>
              <w:t>7</w:t>
            </w:r>
          </w:p>
        </w:tc>
        <w:tc>
          <w:tcPr>
            <w:tcW w:w="3952" w:type="dxa"/>
            <w:vAlign w:val="center"/>
          </w:tcPr>
          <w:p>
            <w:pPr>
              <w:pStyle w:val="640"/>
              <w:spacing w:line="240" w:lineRule="auto"/>
              <w:ind w:firstLine="210" w:firstLineChars="100"/>
              <w:rPr>
                <w:color w:val="000000" w:themeColor="text1"/>
                <w:sz w:val="21"/>
                <w:szCs w:val="21"/>
                <w:lang w:val="en-US"/>
              </w:rPr>
            </w:pPr>
            <w:r>
              <w:rPr>
                <w:color w:val="000000" w:themeColor="text1"/>
                <w:sz w:val="21"/>
                <w:szCs w:val="21"/>
              </w:rPr>
              <w:t>禁止在</w:t>
            </w:r>
            <w:r>
              <w:rPr>
                <w:rFonts w:hint="eastAsia"/>
                <w:color w:val="000000" w:themeColor="text1"/>
                <w:sz w:val="21"/>
                <w:szCs w:val="21"/>
              </w:rPr>
              <w:t>“一江一口两湖七河”和</w:t>
            </w:r>
            <w:r>
              <w:rPr>
                <w:rFonts w:hint="eastAsia"/>
                <w:color w:val="000000" w:themeColor="text1"/>
                <w:sz w:val="21"/>
                <w:szCs w:val="21"/>
                <w:lang w:val="en-US"/>
              </w:rPr>
              <w:t>332个水生生物保护区开展生产性捕捞。</w:t>
            </w:r>
          </w:p>
        </w:tc>
        <w:tc>
          <w:tcPr>
            <w:tcW w:w="3294" w:type="dxa"/>
            <w:vAlign w:val="center"/>
          </w:tcPr>
          <w:p>
            <w:pPr>
              <w:pStyle w:val="640"/>
              <w:spacing w:line="240" w:lineRule="auto"/>
              <w:ind w:firstLine="210" w:firstLineChars="100"/>
              <w:rPr>
                <w:color w:val="000000" w:themeColor="text1"/>
                <w:sz w:val="21"/>
                <w:szCs w:val="21"/>
              </w:rPr>
            </w:pPr>
            <w:r>
              <w:rPr>
                <w:color w:val="000000" w:themeColor="text1"/>
                <w:sz w:val="21"/>
                <w:szCs w:val="21"/>
                <w:lang w:val="en-US"/>
              </w:rPr>
              <w:t>项目</w:t>
            </w:r>
            <w:r>
              <w:rPr>
                <w:rFonts w:hint="eastAsia"/>
                <w:color w:val="000000" w:themeColor="text1"/>
                <w:sz w:val="21"/>
                <w:szCs w:val="21"/>
                <w:lang w:val="en-US"/>
              </w:rPr>
              <w:t>为选矿项目，不涉及</w:t>
            </w:r>
            <w:r>
              <w:rPr>
                <w:rFonts w:hint="eastAsia"/>
                <w:color w:val="000000" w:themeColor="text1"/>
                <w:sz w:val="21"/>
                <w:szCs w:val="21"/>
              </w:rPr>
              <w:t>“一江一口两湖七河”和</w:t>
            </w:r>
            <w:r>
              <w:rPr>
                <w:rFonts w:hint="eastAsia"/>
                <w:color w:val="000000" w:themeColor="text1"/>
                <w:sz w:val="21"/>
                <w:szCs w:val="21"/>
                <w:lang w:val="en-US"/>
              </w:rPr>
              <w:t>332个水生生物保护区</w:t>
            </w:r>
            <w:r>
              <w:rPr>
                <w:color w:val="000000" w:themeColor="text1"/>
                <w:sz w:val="21"/>
                <w:szCs w:val="21"/>
              </w:rPr>
              <w:t>。</w:t>
            </w:r>
          </w:p>
        </w:tc>
        <w:tc>
          <w:tcPr>
            <w:tcW w:w="725" w:type="dxa"/>
            <w:vAlign w:val="center"/>
          </w:tcPr>
          <w:p>
            <w:pPr>
              <w:pStyle w:val="640"/>
              <w:spacing w:line="240" w:lineRule="auto"/>
              <w:ind w:firstLine="0" w:firstLineChars="0"/>
              <w:rPr>
                <w:color w:val="000000" w:themeColor="text1"/>
                <w:sz w:val="21"/>
                <w:szCs w:val="21"/>
              </w:rPr>
            </w:pPr>
            <w:r>
              <w:rPr>
                <w:color w:val="000000" w:themeColor="text1"/>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517" w:type="dxa"/>
            <w:vAlign w:val="center"/>
          </w:tcPr>
          <w:p>
            <w:pPr>
              <w:pStyle w:val="640"/>
              <w:spacing w:line="240" w:lineRule="auto"/>
              <w:ind w:firstLine="0" w:firstLineChars="0"/>
              <w:rPr>
                <w:color w:val="000000" w:themeColor="text1"/>
                <w:sz w:val="21"/>
                <w:szCs w:val="21"/>
              </w:rPr>
            </w:pPr>
            <w:r>
              <w:rPr>
                <w:color w:val="000000" w:themeColor="text1"/>
                <w:sz w:val="21"/>
                <w:szCs w:val="21"/>
              </w:rPr>
              <w:t>8</w:t>
            </w:r>
          </w:p>
        </w:tc>
        <w:tc>
          <w:tcPr>
            <w:tcW w:w="3952" w:type="dxa"/>
            <w:vAlign w:val="center"/>
          </w:tcPr>
          <w:p>
            <w:pPr>
              <w:pStyle w:val="640"/>
              <w:spacing w:line="240" w:lineRule="auto"/>
              <w:ind w:firstLine="210" w:firstLineChars="100"/>
              <w:rPr>
                <w:color w:val="000000" w:themeColor="text1"/>
                <w:sz w:val="21"/>
                <w:szCs w:val="21"/>
              </w:rPr>
            </w:pPr>
            <w:r>
              <w:rPr>
                <w:color w:val="000000" w:themeColor="text1"/>
                <w:sz w:val="21"/>
                <w:szCs w:val="21"/>
              </w:rPr>
              <w:t>禁止在长江干支流、重要湖泊岸线一公里范围内新建、扩建 化工园区和化工项目。禁止在长江干流岸线三公里范围内和重要支流岸线一公里范围内新建、改建、扩建尾矿库、冶炼渣库和磷石膏 库,以提升安全、生态环境保护水平为目的的改建除外。</w:t>
            </w:r>
          </w:p>
        </w:tc>
        <w:tc>
          <w:tcPr>
            <w:tcW w:w="3294" w:type="dxa"/>
            <w:vAlign w:val="center"/>
          </w:tcPr>
          <w:p>
            <w:pPr>
              <w:pStyle w:val="640"/>
              <w:spacing w:line="240" w:lineRule="auto"/>
              <w:ind w:firstLine="0" w:firstLineChars="0"/>
              <w:rPr>
                <w:color w:val="000000" w:themeColor="text1"/>
                <w:sz w:val="21"/>
                <w:szCs w:val="21"/>
              </w:rPr>
            </w:pPr>
            <w:r>
              <w:rPr>
                <w:rFonts w:hint="eastAsia"/>
                <w:color w:val="000000" w:themeColor="text1"/>
                <w:sz w:val="21"/>
                <w:szCs w:val="21"/>
              </w:rPr>
              <w:t>项目所在地不涉及</w:t>
            </w:r>
            <w:r>
              <w:rPr>
                <w:color w:val="000000" w:themeColor="text1"/>
                <w:sz w:val="21"/>
                <w:szCs w:val="21"/>
              </w:rPr>
              <w:t>长江干支流、重要湖泊岸线一公里范围内</w:t>
            </w:r>
            <w:r>
              <w:rPr>
                <w:rFonts w:hint="eastAsia"/>
                <w:color w:val="000000" w:themeColor="text1"/>
                <w:sz w:val="21"/>
                <w:szCs w:val="21"/>
              </w:rPr>
              <w:t>，不涉及</w:t>
            </w:r>
            <w:r>
              <w:rPr>
                <w:color w:val="000000" w:themeColor="text1"/>
                <w:sz w:val="21"/>
                <w:szCs w:val="21"/>
              </w:rPr>
              <w:t>长江干流岸线三公里范围内和重要支流岸线一公里范围内</w:t>
            </w:r>
          </w:p>
        </w:tc>
        <w:tc>
          <w:tcPr>
            <w:tcW w:w="725" w:type="dxa"/>
            <w:vAlign w:val="center"/>
          </w:tcPr>
          <w:p>
            <w:pPr>
              <w:pStyle w:val="640"/>
              <w:spacing w:line="240" w:lineRule="auto"/>
              <w:ind w:firstLine="0" w:firstLineChars="0"/>
              <w:rPr>
                <w:color w:val="000000" w:themeColor="text1"/>
                <w:sz w:val="21"/>
                <w:szCs w:val="21"/>
              </w:rPr>
            </w:pPr>
            <w:r>
              <w:rPr>
                <w:color w:val="000000" w:themeColor="text1"/>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53" w:hRule="atLeast"/>
          <w:jc w:val="center"/>
        </w:trPr>
        <w:tc>
          <w:tcPr>
            <w:tcW w:w="517" w:type="dxa"/>
            <w:vAlign w:val="center"/>
          </w:tcPr>
          <w:p>
            <w:pPr>
              <w:pStyle w:val="640"/>
              <w:spacing w:line="240" w:lineRule="auto"/>
              <w:ind w:firstLine="0" w:firstLineChars="0"/>
              <w:rPr>
                <w:color w:val="000000" w:themeColor="text1"/>
                <w:sz w:val="21"/>
                <w:szCs w:val="21"/>
              </w:rPr>
            </w:pPr>
            <w:r>
              <w:rPr>
                <w:color w:val="000000" w:themeColor="text1"/>
                <w:sz w:val="21"/>
                <w:szCs w:val="21"/>
              </w:rPr>
              <w:t>9</w:t>
            </w:r>
          </w:p>
        </w:tc>
        <w:tc>
          <w:tcPr>
            <w:tcW w:w="3952" w:type="dxa"/>
            <w:vAlign w:val="center"/>
          </w:tcPr>
          <w:p>
            <w:pPr>
              <w:pStyle w:val="640"/>
              <w:spacing w:line="240" w:lineRule="auto"/>
              <w:ind w:firstLine="210" w:firstLineChars="100"/>
              <w:rPr>
                <w:color w:val="000000" w:themeColor="text1"/>
                <w:sz w:val="21"/>
                <w:szCs w:val="21"/>
              </w:rPr>
            </w:pPr>
            <w:r>
              <w:rPr>
                <w:color w:val="000000" w:themeColor="text1"/>
                <w:sz w:val="21"/>
                <w:szCs w:val="21"/>
              </w:rPr>
              <w:t>禁止在合规园区外新建、扩建钢铁、石化、化工、焦化、建 材、有色、制浆造纸等高污染项目。</w:t>
            </w:r>
          </w:p>
        </w:tc>
        <w:tc>
          <w:tcPr>
            <w:tcW w:w="3294" w:type="dxa"/>
            <w:vAlign w:val="center"/>
          </w:tcPr>
          <w:p>
            <w:pPr>
              <w:pStyle w:val="640"/>
              <w:spacing w:line="240" w:lineRule="auto"/>
              <w:ind w:firstLine="0" w:firstLineChars="0"/>
              <w:rPr>
                <w:rFonts w:eastAsiaTheme="minorEastAsia"/>
                <w:color w:val="000000" w:themeColor="text1"/>
                <w:sz w:val="21"/>
                <w:szCs w:val="21"/>
                <w:lang w:val="en-US"/>
              </w:rPr>
            </w:pPr>
            <w:r>
              <w:rPr>
                <w:rFonts w:hint="eastAsia" w:eastAsiaTheme="minorEastAsia"/>
                <w:color w:val="000000" w:themeColor="text1"/>
                <w:sz w:val="21"/>
                <w:szCs w:val="21"/>
              </w:rPr>
              <w:t>选矿</w:t>
            </w:r>
            <w:r>
              <w:rPr>
                <w:rFonts w:eastAsiaTheme="minorEastAsia"/>
                <w:color w:val="000000" w:themeColor="text1"/>
                <w:sz w:val="21"/>
                <w:szCs w:val="21"/>
              </w:rPr>
              <w:t>项目</w:t>
            </w:r>
            <w:r>
              <w:rPr>
                <w:rFonts w:hint="eastAsia" w:eastAsiaTheme="minorEastAsia"/>
                <w:color w:val="000000" w:themeColor="text1"/>
                <w:sz w:val="21"/>
                <w:szCs w:val="21"/>
              </w:rPr>
              <w:t>所在地为新平工业园区内</w:t>
            </w:r>
          </w:p>
        </w:tc>
        <w:tc>
          <w:tcPr>
            <w:tcW w:w="725" w:type="dxa"/>
            <w:vAlign w:val="center"/>
          </w:tcPr>
          <w:p>
            <w:pPr>
              <w:pStyle w:val="640"/>
              <w:spacing w:line="240" w:lineRule="auto"/>
              <w:ind w:firstLine="0" w:firstLineChars="0"/>
              <w:rPr>
                <w:color w:val="000000" w:themeColor="text1"/>
                <w:sz w:val="21"/>
                <w:szCs w:val="21"/>
              </w:rPr>
            </w:pPr>
            <w:r>
              <w:rPr>
                <w:color w:val="000000" w:themeColor="text1"/>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517" w:type="dxa"/>
            <w:vAlign w:val="center"/>
          </w:tcPr>
          <w:p>
            <w:pPr>
              <w:pStyle w:val="640"/>
              <w:spacing w:line="240" w:lineRule="auto"/>
              <w:ind w:firstLine="0" w:firstLineChars="0"/>
              <w:rPr>
                <w:color w:val="000000" w:themeColor="text1"/>
                <w:sz w:val="21"/>
                <w:szCs w:val="21"/>
              </w:rPr>
            </w:pPr>
            <w:r>
              <w:rPr>
                <w:color w:val="000000" w:themeColor="text1"/>
                <w:sz w:val="21"/>
                <w:szCs w:val="21"/>
              </w:rPr>
              <w:t>10</w:t>
            </w:r>
          </w:p>
        </w:tc>
        <w:tc>
          <w:tcPr>
            <w:tcW w:w="3952" w:type="dxa"/>
            <w:vAlign w:val="center"/>
          </w:tcPr>
          <w:p>
            <w:pPr>
              <w:pStyle w:val="640"/>
              <w:spacing w:line="240" w:lineRule="auto"/>
              <w:ind w:firstLine="210" w:firstLineChars="100"/>
              <w:rPr>
                <w:color w:val="000000" w:themeColor="text1"/>
                <w:sz w:val="21"/>
                <w:szCs w:val="21"/>
              </w:rPr>
            </w:pPr>
            <w:r>
              <w:rPr>
                <w:rFonts w:hint="eastAsia"/>
                <w:color w:val="000000" w:themeColor="text1"/>
                <w:sz w:val="21"/>
                <w:szCs w:val="21"/>
              </w:rPr>
              <w:t>禁止新建、扩建不符合国家石化、现代煤化工等产业布局规划的项目。</w:t>
            </w:r>
          </w:p>
        </w:tc>
        <w:tc>
          <w:tcPr>
            <w:tcW w:w="3294" w:type="dxa"/>
            <w:vAlign w:val="center"/>
          </w:tcPr>
          <w:p>
            <w:pPr>
              <w:pStyle w:val="640"/>
              <w:spacing w:line="240" w:lineRule="auto"/>
              <w:ind w:firstLine="0" w:firstLineChars="0"/>
              <w:rPr>
                <w:color w:val="000000" w:themeColor="text1"/>
                <w:sz w:val="21"/>
                <w:szCs w:val="21"/>
              </w:rPr>
            </w:pPr>
            <w:r>
              <w:rPr>
                <w:rFonts w:hint="eastAsia"/>
                <w:color w:val="000000" w:themeColor="text1"/>
                <w:sz w:val="21"/>
                <w:szCs w:val="21"/>
              </w:rPr>
              <w:t>本项目为铁矿精选项目</w:t>
            </w:r>
            <w:r>
              <w:rPr>
                <w:color w:val="000000" w:themeColor="text1"/>
                <w:sz w:val="21"/>
                <w:szCs w:val="21"/>
              </w:rPr>
              <w:t>，</w:t>
            </w:r>
            <w:r>
              <w:rPr>
                <w:rFonts w:hint="eastAsia"/>
                <w:color w:val="000000" w:themeColor="text1"/>
                <w:sz w:val="21"/>
                <w:szCs w:val="21"/>
              </w:rPr>
              <w:t>符合国家产业政策，</w:t>
            </w:r>
            <w:r>
              <w:rPr>
                <w:color w:val="000000" w:themeColor="text1"/>
                <w:sz w:val="21"/>
                <w:szCs w:val="21"/>
              </w:rPr>
              <w:t>不属于</w:t>
            </w:r>
            <w:r>
              <w:rPr>
                <w:rFonts w:hint="eastAsia"/>
                <w:color w:val="000000" w:themeColor="text1"/>
                <w:sz w:val="21"/>
                <w:szCs w:val="21"/>
              </w:rPr>
              <w:t>石化、现代煤化工等</w:t>
            </w:r>
            <w:r>
              <w:rPr>
                <w:color w:val="000000" w:themeColor="text1"/>
                <w:sz w:val="21"/>
                <w:szCs w:val="21"/>
              </w:rPr>
              <w:t>项目。</w:t>
            </w:r>
          </w:p>
        </w:tc>
        <w:tc>
          <w:tcPr>
            <w:tcW w:w="725" w:type="dxa"/>
            <w:vAlign w:val="center"/>
          </w:tcPr>
          <w:p>
            <w:pPr>
              <w:pStyle w:val="640"/>
              <w:spacing w:line="240" w:lineRule="auto"/>
              <w:ind w:firstLine="0" w:firstLineChars="0"/>
              <w:rPr>
                <w:color w:val="000000" w:themeColor="text1"/>
                <w:sz w:val="21"/>
                <w:szCs w:val="21"/>
              </w:rPr>
            </w:pPr>
            <w:r>
              <w:rPr>
                <w:color w:val="000000" w:themeColor="text1"/>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517" w:type="dxa"/>
            <w:vAlign w:val="center"/>
          </w:tcPr>
          <w:p>
            <w:pPr>
              <w:pStyle w:val="640"/>
              <w:spacing w:line="240" w:lineRule="auto"/>
              <w:ind w:firstLine="0" w:firstLineChars="0"/>
              <w:rPr>
                <w:color w:val="000000" w:themeColor="text1"/>
                <w:sz w:val="21"/>
                <w:szCs w:val="21"/>
                <w:lang w:val="en-US"/>
              </w:rPr>
            </w:pPr>
            <w:r>
              <w:rPr>
                <w:rFonts w:hint="eastAsia"/>
                <w:color w:val="000000" w:themeColor="text1"/>
                <w:sz w:val="21"/>
                <w:szCs w:val="21"/>
                <w:lang w:val="en-US"/>
              </w:rPr>
              <w:t>11</w:t>
            </w:r>
          </w:p>
        </w:tc>
        <w:tc>
          <w:tcPr>
            <w:tcW w:w="3952" w:type="dxa"/>
            <w:vAlign w:val="center"/>
          </w:tcPr>
          <w:p>
            <w:pPr>
              <w:pStyle w:val="640"/>
              <w:spacing w:line="240" w:lineRule="auto"/>
              <w:ind w:firstLine="210" w:firstLineChars="100"/>
              <w:rPr>
                <w:color w:val="000000" w:themeColor="text1"/>
                <w:sz w:val="21"/>
                <w:szCs w:val="21"/>
              </w:rPr>
            </w:pPr>
            <w:r>
              <w:rPr>
                <w:rFonts w:hint="eastAsia"/>
                <w:color w:val="000000" w:themeColor="text1"/>
                <w:sz w:val="21"/>
                <w:szCs w:val="21"/>
              </w:rPr>
              <w:t>禁止新建、扩建法律法规和相关政策明令禁止的落后产能项目。禁止新建、扩建不符合国家产能置换要求的严重过剩产能行业的项目。禁止新建、扩建不符合要求的高耗能高排放项目。</w:t>
            </w:r>
          </w:p>
        </w:tc>
        <w:tc>
          <w:tcPr>
            <w:tcW w:w="3294" w:type="dxa"/>
            <w:vAlign w:val="center"/>
          </w:tcPr>
          <w:p>
            <w:pPr>
              <w:pStyle w:val="640"/>
              <w:spacing w:line="240" w:lineRule="auto"/>
              <w:ind w:firstLine="0" w:firstLineChars="0"/>
              <w:rPr>
                <w:color w:val="000000" w:themeColor="text1"/>
                <w:sz w:val="21"/>
                <w:szCs w:val="21"/>
              </w:rPr>
            </w:pPr>
            <w:r>
              <w:rPr>
                <w:rFonts w:hint="eastAsia"/>
                <w:color w:val="000000" w:themeColor="text1"/>
                <w:sz w:val="21"/>
                <w:szCs w:val="21"/>
              </w:rPr>
              <w:t>本项目为铁矿精选项目</w:t>
            </w:r>
            <w:r>
              <w:rPr>
                <w:color w:val="000000" w:themeColor="text1"/>
                <w:sz w:val="21"/>
                <w:szCs w:val="21"/>
              </w:rPr>
              <w:t>，</w:t>
            </w:r>
            <w:r>
              <w:rPr>
                <w:rFonts w:hint="eastAsia"/>
                <w:color w:val="000000" w:themeColor="text1"/>
                <w:sz w:val="21"/>
                <w:szCs w:val="21"/>
              </w:rPr>
              <w:t>不属于落后产能项目，也不属于过剩产能行业和高耗能高排放项目</w:t>
            </w:r>
          </w:p>
        </w:tc>
        <w:tc>
          <w:tcPr>
            <w:tcW w:w="725" w:type="dxa"/>
            <w:vAlign w:val="center"/>
          </w:tcPr>
          <w:p>
            <w:pPr>
              <w:pStyle w:val="640"/>
              <w:spacing w:line="240" w:lineRule="auto"/>
              <w:ind w:firstLine="0" w:firstLineChars="0"/>
              <w:rPr>
                <w:color w:val="000000" w:themeColor="text1"/>
                <w:sz w:val="21"/>
                <w:szCs w:val="21"/>
              </w:rPr>
            </w:pPr>
            <w:r>
              <w:rPr>
                <w:color w:val="000000" w:themeColor="text1"/>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jc w:val="center"/>
        </w:trPr>
        <w:tc>
          <w:tcPr>
            <w:tcW w:w="517" w:type="dxa"/>
            <w:vAlign w:val="center"/>
          </w:tcPr>
          <w:p>
            <w:pPr>
              <w:pStyle w:val="640"/>
              <w:spacing w:line="240" w:lineRule="auto"/>
              <w:ind w:firstLine="0" w:firstLineChars="0"/>
              <w:rPr>
                <w:color w:val="000000" w:themeColor="text1"/>
                <w:sz w:val="21"/>
                <w:szCs w:val="21"/>
                <w:lang w:val="en-US"/>
              </w:rPr>
            </w:pPr>
            <w:r>
              <w:rPr>
                <w:rFonts w:hint="eastAsia"/>
                <w:color w:val="000000" w:themeColor="text1"/>
                <w:sz w:val="21"/>
                <w:szCs w:val="21"/>
                <w:lang w:val="en-US"/>
              </w:rPr>
              <w:t>12</w:t>
            </w:r>
          </w:p>
        </w:tc>
        <w:tc>
          <w:tcPr>
            <w:tcW w:w="3952" w:type="dxa"/>
            <w:vAlign w:val="center"/>
          </w:tcPr>
          <w:p>
            <w:pPr>
              <w:pStyle w:val="640"/>
              <w:spacing w:line="240" w:lineRule="auto"/>
              <w:ind w:firstLine="210" w:firstLineChars="100"/>
              <w:rPr>
                <w:color w:val="000000" w:themeColor="text1"/>
                <w:sz w:val="21"/>
                <w:szCs w:val="21"/>
              </w:rPr>
            </w:pPr>
            <w:r>
              <w:rPr>
                <w:rFonts w:hint="eastAsia"/>
                <w:color w:val="000000" w:themeColor="text1"/>
                <w:sz w:val="21"/>
                <w:szCs w:val="21"/>
              </w:rPr>
              <w:t>法律法规及相关政策文件有更加严格规定的从其规定。</w:t>
            </w:r>
          </w:p>
        </w:tc>
        <w:tc>
          <w:tcPr>
            <w:tcW w:w="3294" w:type="dxa"/>
            <w:vAlign w:val="center"/>
          </w:tcPr>
          <w:p>
            <w:pPr>
              <w:pStyle w:val="640"/>
              <w:spacing w:line="240" w:lineRule="auto"/>
              <w:ind w:firstLine="0" w:firstLineChars="0"/>
              <w:rPr>
                <w:color w:val="000000" w:themeColor="text1"/>
                <w:sz w:val="21"/>
                <w:szCs w:val="21"/>
                <w:lang w:val="en-US"/>
              </w:rPr>
            </w:pPr>
            <w:r>
              <w:rPr>
                <w:rFonts w:hint="eastAsia"/>
                <w:color w:val="000000" w:themeColor="text1"/>
                <w:sz w:val="21"/>
                <w:szCs w:val="21"/>
                <w:lang w:val="en-US"/>
              </w:rPr>
              <w:t>/</w:t>
            </w:r>
          </w:p>
        </w:tc>
        <w:tc>
          <w:tcPr>
            <w:tcW w:w="725" w:type="dxa"/>
            <w:vAlign w:val="center"/>
          </w:tcPr>
          <w:p>
            <w:pPr>
              <w:pStyle w:val="640"/>
              <w:spacing w:line="240" w:lineRule="auto"/>
              <w:ind w:firstLine="0" w:firstLineChars="0"/>
              <w:rPr>
                <w:color w:val="000000" w:themeColor="text1"/>
                <w:sz w:val="21"/>
                <w:szCs w:val="21"/>
                <w:lang w:val="en-US"/>
              </w:rPr>
            </w:pPr>
            <w:r>
              <w:rPr>
                <w:rFonts w:hint="eastAsia"/>
                <w:color w:val="000000" w:themeColor="text1"/>
                <w:sz w:val="21"/>
                <w:szCs w:val="21"/>
                <w:lang w:val="en-US"/>
              </w:rPr>
              <w:t>/</w:t>
            </w:r>
          </w:p>
        </w:tc>
      </w:tr>
    </w:tbl>
    <w:p>
      <w:pPr>
        <w:spacing w:before="156" w:beforeLines="50"/>
        <w:ind w:firstLine="480"/>
        <w:rPr>
          <w:rFonts w:ascii="宋体" w:hAnsi="宋体" w:cs="宋体"/>
          <w:color w:val="000000" w:themeColor="text1"/>
        </w:rPr>
      </w:pPr>
      <w:r>
        <w:rPr>
          <w:color w:val="000000" w:themeColor="text1"/>
        </w:rPr>
        <w:t>由上表可知，本项目的建设符合《长江经济带发展负面清单指南（试行）》的要求。</w:t>
      </w:r>
    </w:p>
    <w:p>
      <w:pPr>
        <w:kinsoku w:val="0"/>
        <w:overflowPunct w:val="0"/>
        <w:autoSpaceDE w:val="0"/>
        <w:autoSpaceDN w:val="0"/>
        <w:adjustRightInd w:val="0"/>
        <w:snapToGrid w:val="0"/>
        <w:ind w:firstLine="480"/>
        <w:rPr>
          <w:color w:val="000000" w:themeColor="text1"/>
          <w:szCs w:val="24"/>
        </w:rPr>
      </w:pPr>
      <w:r>
        <w:rPr>
          <w:rFonts w:hint="eastAsia"/>
          <w:color w:val="000000" w:themeColor="text1"/>
          <w:szCs w:val="24"/>
        </w:rPr>
        <w:t>根据《新平工业园区总体规划修编（2014~2030）环境影响报告书》，新平工业园区禁止引进类项目包括：</w:t>
      </w:r>
    </w:p>
    <w:p>
      <w:pPr>
        <w:ind w:firstLine="480"/>
        <w:rPr>
          <w:color w:val="000000" w:themeColor="text1"/>
        </w:rPr>
      </w:pPr>
      <w:r>
        <w:rPr>
          <w:rFonts w:hint="eastAsia" w:ascii="宋体" w:hAnsi="宋体" w:cs="宋体"/>
          <w:color w:val="000000" w:themeColor="text1"/>
        </w:rPr>
        <w:t>①</w:t>
      </w:r>
      <w:r>
        <w:rPr>
          <w:color w:val="000000" w:themeColor="text1"/>
        </w:rPr>
        <w:t>不符合入区产业定位且污染排放较大的行业；</w:t>
      </w:r>
    </w:p>
    <w:p>
      <w:pPr>
        <w:ind w:firstLine="480"/>
        <w:rPr>
          <w:color w:val="000000" w:themeColor="text1"/>
        </w:rPr>
      </w:pPr>
      <w:r>
        <w:rPr>
          <w:rFonts w:hint="eastAsia" w:ascii="宋体" w:hAnsi="宋体" w:cs="宋体"/>
          <w:color w:val="000000" w:themeColor="text1"/>
        </w:rPr>
        <w:t>②</w:t>
      </w:r>
      <w:r>
        <w:rPr>
          <w:color w:val="000000" w:themeColor="text1"/>
        </w:rPr>
        <w:t>高水耗、高物耗、高能耗的项目；</w:t>
      </w:r>
    </w:p>
    <w:p>
      <w:pPr>
        <w:ind w:firstLine="480"/>
        <w:rPr>
          <w:color w:val="000000" w:themeColor="text1"/>
        </w:rPr>
      </w:pPr>
      <w:r>
        <w:rPr>
          <w:rFonts w:hint="eastAsia" w:ascii="宋体" w:hAnsi="宋体" w:cs="宋体"/>
          <w:color w:val="000000" w:themeColor="text1"/>
        </w:rPr>
        <w:t>③</w:t>
      </w:r>
      <w:r>
        <w:rPr>
          <w:color w:val="000000" w:themeColor="text1"/>
        </w:rPr>
        <w:t>采用落后的生产工艺或生产设备，不符合国家相关产业政策、达不到规模经济的项目。</w:t>
      </w:r>
    </w:p>
    <w:p>
      <w:pPr>
        <w:ind w:firstLine="480"/>
        <w:rPr>
          <w:color w:val="000000" w:themeColor="text1"/>
        </w:rPr>
      </w:pPr>
      <w:r>
        <w:rPr>
          <w:color w:val="000000" w:themeColor="text1"/>
        </w:rPr>
        <w:t>这类项目包括：</w:t>
      </w:r>
      <w:r>
        <w:rPr>
          <w:rFonts w:hint="eastAsia" w:ascii="宋体" w:hAnsi="宋体" w:cs="宋体"/>
          <w:color w:val="000000" w:themeColor="text1"/>
        </w:rPr>
        <w:t>①</w:t>
      </w:r>
      <w:r>
        <w:rPr>
          <w:color w:val="000000" w:themeColor="text1"/>
        </w:rPr>
        <w:t>国家各部门禁止或准备禁止生产的项目、明令淘汰项目，如《工商投资领域制止重复建设目录》、《外商投资产业指导目录(2015年修订)》、《严重污染环境的淘汰工艺与设备名录》、《淘汰落后生产能力、工艺和产品的目录》中禁止生产的项目、明令淘汰项目严禁进入；</w:t>
      </w:r>
      <w:r>
        <w:rPr>
          <w:rFonts w:hint="eastAsia" w:ascii="宋体" w:hAnsi="宋体" w:cs="宋体"/>
          <w:color w:val="000000" w:themeColor="text1"/>
        </w:rPr>
        <w:t>②</w:t>
      </w:r>
      <w:r>
        <w:rPr>
          <w:color w:val="000000" w:themeColor="text1"/>
        </w:rPr>
        <w:t>生产方式落后、高能耗、严重浪费资源和污染资源的项目；</w:t>
      </w:r>
      <w:r>
        <w:rPr>
          <w:rFonts w:hint="eastAsia" w:ascii="宋体" w:hAnsi="宋体" w:cs="宋体"/>
          <w:color w:val="000000" w:themeColor="text1"/>
        </w:rPr>
        <w:t>③</w:t>
      </w:r>
      <w:r>
        <w:rPr>
          <w:color w:val="000000" w:themeColor="text1"/>
        </w:rPr>
        <w:t>污染严重，破坏自然生态和损害人体健康又无治理技术或难以治理的项目；</w:t>
      </w:r>
      <w:r>
        <w:rPr>
          <w:rFonts w:hint="eastAsia" w:ascii="宋体" w:hAnsi="宋体" w:cs="宋体"/>
          <w:color w:val="000000" w:themeColor="text1"/>
        </w:rPr>
        <w:t>④</w:t>
      </w:r>
      <w:r>
        <w:rPr>
          <w:color w:val="000000" w:themeColor="text1"/>
        </w:rPr>
        <w:t>严禁引进不符合经济规模要求，经济效益差，污染严重的“十五小”及“新五小”企业。</w:t>
      </w:r>
    </w:p>
    <w:p>
      <w:pPr>
        <w:ind w:firstLine="482"/>
        <w:rPr>
          <w:color w:val="000000" w:themeColor="text1"/>
        </w:rPr>
      </w:pPr>
      <w:r>
        <w:rPr>
          <w:rFonts w:hint="eastAsia"/>
          <w:b/>
          <w:bCs/>
          <w:color w:val="000000" w:themeColor="text1"/>
        </w:rPr>
        <w:t>限制引进类项目包括</w:t>
      </w:r>
      <w:r>
        <w:rPr>
          <w:rFonts w:hint="eastAsia"/>
          <w:color w:val="000000" w:themeColor="text1"/>
        </w:rPr>
        <w:t>：</w:t>
      </w:r>
    </w:p>
    <w:p>
      <w:pPr>
        <w:ind w:firstLine="480"/>
        <w:rPr>
          <w:color w:val="000000" w:themeColor="text1"/>
        </w:rPr>
      </w:pPr>
      <w:r>
        <w:rPr>
          <w:color w:val="000000" w:themeColor="text1"/>
        </w:rPr>
        <w:t>根据环影响预测及环境承载力分析，结合规划区的地理位置特点，应适当限制发展大气污染较大或水环境风险较大的企业的规模与数量。</w:t>
      </w:r>
    </w:p>
    <w:p>
      <w:pPr>
        <w:ind w:firstLine="480"/>
        <w:rPr>
          <w:color w:val="000000" w:themeColor="text1"/>
        </w:rPr>
      </w:pPr>
      <w:r>
        <w:rPr>
          <w:color w:val="000000" w:themeColor="text1"/>
        </w:rPr>
        <w:t>在靠近居民区工业用地的区域应限制发展大气污染严重或者有恶臭污染物排放的项目。</w:t>
      </w:r>
    </w:p>
    <w:p>
      <w:pPr>
        <w:ind w:firstLine="480"/>
        <w:rPr>
          <w:color w:val="000000" w:themeColor="text1"/>
        </w:rPr>
      </w:pPr>
      <w:r>
        <w:rPr>
          <w:color w:val="000000" w:themeColor="text1"/>
        </w:rPr>
        <w:t>根据规划区主要引进主导产业，同时兼顾其他低污染产业，从环境保护方面出发，应严格控制非规划产业及污染企业入区：</w:t>
      </w:r>
    </w:p>
    <w:p>
      <w:pPr>
        <w:ind w:firstLine="480"/>
        <w:rPr>
          <w:color w:val="000000" w:themeColor="text1"/>
        </w:rPr>
      </w:pPr>
      <w:r>
        <w:rPr>
          <w:color w:val="000000" w:themeColor="text1"/>
        </w:rPr>
        <w:t>（1）限制用水量大的企业入区；</w:t>
      </w:r>
    </w:p>
    <w:p>
      <w:pPr>
        <w:ind w:firstLine="480"/>
        <w:rPr>
          <w:color w:val="000000" w:themeColor="text1"/>
        </w:rPr>
      </w:pPr>
      <w:r>
        <w:rPr>
          <w:color w:val="000000" w:themeColor="text1"/>
        </w:rPr>
        <w:t>（2）严格控制粉尘、烟尘、SO</w:t>
      </w:r>
      <w:r>
        <w:rPr>
          <w:color w:val="000000" w:themeColor="text1"/>
          <w:vertAlign w:val="subscript"/>
        </w:rPr>
        <w:t>2</w:t>
      </w:r>
      <w:r>
        <w:rPr>
          <w:color w:val="000000" w:themeColor="text1"/>
        </w:rPr>
        <w:t>、NOx排放量大的企业入区，对会产生和排放的企业需采取有效的污染控制措施。</w:t>
      </w:r>
    </w:p>
    <w:p>
      <w:pPr>
        <w:kinsoku w:val="0"/>
        <w:overflowPunct w:val="0"/>
        <w:autoSpaceDE w:val="0"/>
        <w:autoSpaceDN w:val="0"/>
        <w:adjustRightInd w:val="0"/>
        <w:snapToGrid w:val="0"/>
        <w:ind w:firstLine="480"/>
        <w:rPr>
          <w:color w:val="000000" w:themeColor="text1"/>
          <w:szCs w:val="24"/>
        </w:rPr>
      </w:pPr>
      <w:r>
        <w:rPr>
          <w:rFonts w:hint="eastAsia"/>
          <w:color w:val="000000" w:themeColor="text1"/>
          <w:szCs w:val="24"/>
        </w:rPr>
        <w:t>本项目本项目为选矿项目，符合园区规划，不属于非规划产业及较大污染企业，项目三废经处理后达标排放或妥善处置，不属于“</w:t>
      </w:r>
      <w:r>
        <w:rPr>
          <w:color w:val="000000" w:themeColor="text1"/>
        </w:rPr>
        <w:t>高水耗、高物耗、高能耗</w:t>
      </w:r>
      <w:r>
        <w:rPr>
          <w:rFonts w:hint="eastAsia"/>
          <w:color w:val="000000" w:themeColor="text1"/>
        </w:rPr>
        <w:t>、</w:t>
      </w:r>
      <w:r>
        <w:rPr>
          <w:color w:val="000000" w:themeColor="text1"/>
        </w:rPr>
        <w:t>落后的生产工艺或生产设备，不符合国家相关产业政策、达不到规模经济的项目</w:t>
      </w:r>
      <w:r>
        <w:rPr>
          <w:rFonts w:hint="eastAsia"/>
          <w:color w:val="000000" w:themeColor="text1"/>
        </w:rPr>
        <w:t>，</w:t>
      </w:r>
      <w:r>
        <w:rPr>
          <w:color w:val="000000" w:themeColor="text1"/>
        </w:rPr>
        <w:t>粉尘、烟尘、SO</w:t>
      </w:r>
      <w:r>
        <w:rPr>
          <w:color w:val="000000" w:themeColor="text1"/>
          <w:vertAlign w:val="subscript"/>
        </w:rPr>
        <w:t>2</w:t>
      </w:r>
      <w:r>
        <w:rPr>
          <w:color w:val="000000" w:themeColor="text1"/>
        </w:rPr>
        <w:t>、NOx排放量大的企业</w:t>
      </w:r>
      <w:r>
        <w:rPr>
          <w:rFonts w:hint="eastAsia"/>
          <w:color w:val="000000" w:themeColor="text1"/>
          <w:szCs w:val="24"/>
        </w:rPr>
        <w:t>”，所以项目属于《新平工业园区总体规划修编（2014~2030）环境影响报告书》中允许引入的项目。</w:t>
      </w:r>
    </w:p>
    <w:p>
      <w:pPr>
        <w:adjustRightInd w:val="0"/>
        <w:snapToGrid w:val="0"/>
        <w:ind w:firstLine="480"/>
        <w:rPr>
          <w:rFonts w:eastAsiaTheme="minorEastAsia"/>
          <w:color w:val="000000" w:themeColor="text1"/>
        </w:rPr>
      </w:pPr>
      <w:r>
        <w:rPr>
          <w:rFonts w:eastAsiaTheme="minorEastAsia"/>
          <w:color w:val="000000" w:themeColor="text1"/>
          <w:szCs w:val="24"/>
        </w:rPr>
        <w:t>综上，本项目符合该工业区“三线一单”管控要求。</w:t>
      </w:r>
    </w:p>
    <w:p>
      <w:pPr>
        <w:pStyle w:val="134"/>
        <w:ind w:firstLine="480"/>
        <w:rPr>
          <w:rFonts w:eastAsiaTheme="minorEastAsia"/>
          <w:b/>
          <w:bCs/>
          <w:color w:val="000000" w:themeColor="text1"/>
        </w:rPr>
      </w:pPr>
      <w:r>
        <w:rPr>
          <w:rFonts w:hint="eastAsia" w:eastAsiaTheme="minorEastAsia"/>
          <w:color w:val="000000" w:themeColor="text1"/>
        </w:rPr>
        <w:t>（四）</w:t>
      </w:r>
      <w:r>
        <w:rPr>
          <w:rFonts w:eastAsiaTheme="minorEastAsia"/>
          <w:color w:val="000000" w:themeColor="text1"/>
        </w:rPr>
        <w:t>项目与《强化危险废物监管和利用处置能力改革实施方案》符合性分析</w:t>
      </w:r>
      <w:r>
        <w:rPr>
          <w:rFonts w:hint="eastAsia" w:eastAsiaTheme="minorEastAsia"/>
          <w:b/>
          <w:bCs/>
          <w:color w:val="000000" w:themeColor="text1"/>
        </w:rPr>
        <w:t xml:space="preserve">  </w:t>
      </w:r>
    </w:p>
    <w:p>
      <w:pPr>
        <w:ind w:firstLine="480"/>
        <w:rPr>
          <w:rFonts w:eastAsiaTheme="minorEastAsia"/>
          <w:color w:val="000000" w:themeColor="text1"/>
          <w:szCs w:val="24"/>
        </w:rPr>
      </w:pPr>
      <w:r>
        <w:rPr>
          <w:rFonts w:hint="eastAsia" w:eastAsiaTheme="minorEastAsia"/>
          <w:color w:val="000000" w:themeColor="text1"/>
          <w:szCs w:val="24"/>
        </w:rPr>
        <w:t>2021年5月11日，国务院办公厅发布了《国务院办公厅关于印发强化危险废物监管和利用处置能力改革实施方案的通知》（国办函〔2021〕47号），本项目与其符合性分析见下表所示：</w:t>
      </w:r>
    </w:p>
    <w:p>
      <w:pPr>
        <w:spacing w:line="240" w:lineRule="auto"/>
        <w:ind w:firstLine="422"/>
        <w:rPr>
          <w:rFonts w:eastAsiaTheme="minorEastAsia"/>
          <w:b/>
          <w:bCs/>
          <w:color w:val="000000" w:themeColor="text1"/>
          <w:sz w:val="21"/>
          <w:szCs w:val="21"/>
        </w:rPr>
      </w:pPr>
      <w:r>
        <w:rPr>
          <w:rFonts w:hint="eastAsia" w:eastAsiaTheme="minorEastAsia"/>
          <w:b/>
          <w:bCs/>
          <w:color w:val="000000" w:themeColor="text1"/>
          <w:sz w:val="21"/>
          <w:szCs w:val="21"/>
        </w:rPr>
        <w:t>表1-12项目与《强化危险废物监管和利用处置能力改革实施方案》符合性分析一览表</w:t>
      </w:r>
    </w:p>
    <w:tbl>
      <w:tblPr>
        <w:tblStyle w:val="62"/>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1"/>
        <w:gridCol w:w="4050"/>
        <w:gridCol w:w="2505"/>
        <w:gridCol w:w="1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1" w:type="dxa"/>
            <w:vAlign w:val="center"/>
          </w:tcPr>
          <w:p>
            <w:pPr>
              <w:spacing w:line="240" w:lineRule="auto"/>
              <w:ind w:firstLine="0" w:firstLineChars="0"/>
              <w:jc w:val="center"/>
              <w:rPr>
                <w:rFonts w:eastAsiaTheme="minorEastAsia"/>
                <w:b/>
                <w:bCs/>
                <w:color w:val="000000" w:themeColor="text1"/>
                <w:sz w:val="21"/>
                <w:szCs w:val="21"/>
              </w:rPr>
            </w:pPr>
            <w:r>
              <w:rPr>
                <w:rFonts w:hint="eastAsia" w:eastAsiaTheme="minorEastAsia"/>
                <w:b/>
                <w:bCs/>
                <w:color w:val="000000" w:themeColor="text1"/>
                <w:sz w:val="21"/>
                <w:szCs w:val="21"/>
              </w:rPr>
              <w:t>序号</w:t>
            </w:r>
          </w:p>
        </w:tc>
        <w:tc>
          <w:tcPr>
            <w:tcW w:w="4050" w:type="dxa"/>
            <w:vAlign w:val="center"/>
          </w:tcPr>
          <w:p>
            <w:pPr>
              <w:spacing w:line="240" w:lineRule="auto"/>
              <w:ind w:firstLine="0" w:firstLineChars="0"/>
              <w:jc w:val="center"/>
              <w:rPr>
                <w:rFonts w:eastAsiaTheme="minorEastAsia"/>
                <w:b/>
                <w:bCs/>
                <w:color w:val="000000" w:themeColor="text1"/>
                <w:sz w:val="21"/>
                <w:szCs w:val="21"/>
              </w:rPr>
            </w:pPr>
            <w:r>
              <w:rPr>
                <w:rFonts w:hint="eastAsia" w:eastAsiaTheme="minorEastAsia"/>
                <w:b/>
                <w:bCs/>
                <w:color w:val="000000" w:themeColor="text1"/>
                <w:sz w:val="21"/>
                <w:szCs w:val="21"/>
              </w:rPr>
              <w:t>文件要求</w:t>
            </w:r>
          </w:p>
        </w:tc>
        <w:tc>
          <w:tcPr>
            <w:tcW w:w="2505" w:type="dxa"/>
            <w:vAlign w:val="center"/>
          </w:tcPr>
          <w:p>
            <w:pPr>
              <w:spacing w:line="240" w:lineRule="auto"/>
              <w:ind w:firstLine="0" w:firstLineChars="0"/>
              <w:jc w:val="center"/>
              <w:rPr>
                <w:rFonts w:eastAsiaTheme="minorEastAsia"/>
                <w:b/>
                <w:bCs/>
                <w:color w:val="000000" w:themeColor="text1"/>
                <w:sz w:val="21"/>
                <w:szCs w:val="21"/>
              </w:rPr>
            </w:pPr>
            <w:r>
              <w:rPr>
                <w:rFonts w:hint="eastAsia" w:eastAsiaTheme="minorEastAsia"/>
                <w:b/>
                <w:bCs/>
                <w:color w:val="000000" w:themeColor="text1"/>
                <w:sz w:val="21"/>
                <w:szCs w:val="21"/>
              </w:rPr>
              <w:t>本项目情况</w:t>
            </w:r>
          </w:p>
        </w:tc>
        <w:tc>
          <w:tcPr>
            <w:tcW w:w="1096" w:type="dxa"/>
            <w:vAlign w:val="center"/>
          </w:tcPr>
          <w:p>
            <w:pPr>
              <w:spacing w:line="240" w:lineRule="auto"/>
              <w:ind w:firstLine="0" w:firstLineChars="0"/>
              <w:jc w:val="center"/>
              <w:rPr>
                <w:rFonts w:eastAsiaTheme="minorEastAsia"/>
                <w:b/>
                <w:bCs/>
                <w:color w:val="000000" w:themeColor="text1"/>
                <w:sz w:val="21"/>
                <w:szCs w:val="21"/>
              </w:rPr>
            </w:pPr>
            <w:r>
              <w:rPr>
                <w:rFonts w:hint="eastAsia" w:eastAsiaTheme="minorEastAsia"/>
                <w:b/>
                <w:bCs/>
                <w:color w:val="000000" w:themeColor="text1"/>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1"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w:t>
            </w:r>
          </w:p>
        </w:tc>
        <w:tc>
          <w:tcPr>
            <w:tcW w:w="405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落实企业主体责任。危险废物产生、收集、贮存、运输、利用、处置企业（以下统称危险废物相关企业）的主要负责人（法定代表人、实际控制人）是危险废物污染环境防治和安全生产第一责任人，严格落实危险废物污染环境防治和安全生产法律法规制度</w:t>
            </w:r>
            <w:r>
              <w:rPr>
                <w:rFonts w:hint="eastAsia" w:eastAsiaTheme="minorEastAsia"/>
                <w:color w:val="000000" w:themeColor="text1"/>
                <w:sz w:val="21"/>
                <w:szCs w:val="21"/>
              </w:rPr>
              <w:t>。危险废物相关企业依法及时公开危险废物污染环境防治信息，依法依规投保环境污染责任保险</w:t>
            </w:r>
          </w:p>
        </w:tc>
        <w:tc>
          <w:tcPr>
            <w:tcW w:w="2505"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本项目严格落实危险废物</w:t>
            </w:r>
            <w:r>
              <w:rPr>
                <w:rFonts w:eastAsiaTheme="minorEastAsia"/>
                <w:color w:val="000000" w:themeColor="text1"/>
                <w:sz w:val="21"/>
                <w:szCs w:val="21"/>
              </w:rPr>
              <w:t>污染环境防治和安全生产法律法规制度</w:t>
            </w:r>
            <w:r>
              <w:rPr>
                <w:rFonts w:hint="eastAsia" w:eastAsiaTheme="minorEastAsia"/>
                <w:color w:val="000000" w:themeColor="text1"/>
                <w:sz w:val="21"/>
                <w:szCs w:val="21"/>
              </w:rPr>
              <w:t>，及时公开危险废物污染环境防治信息</w:t>
            </w:r>
          </w:p>
        </w:tc>
        <w:tc>
          <w:tcPr>
            <w:tcW w:w="109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1"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w:t>
            </w:r>
          </w:p>
        </w:tc>
        <w:tc>
          <w:tcPr>
            <w:tcW w:w="405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完善危险废物环境管理信息化体系。依托生态环境保护信息化工程，完善国家危险废物环境管理信息系统，实现危险废物产生情况在线申报、管理计划在线备案、转移联单在线运行、利用处置情况在线报告和全过程在线监控。开展危险废物收集、运输、利用、处置网上交易平台建设和第三方支付试点。鼓励有条件的地区推行视频监控、电子标签等集成智能监控手段，实现对危险废物全过程跟踪管理，并与相关行政机关、司法机关实现互通共享</w:t>
            </w:r>
          </w:p>
        </w:tc>
        <w:tc>
          <w:tcPr>
            <w:tcW w:w="2505"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本项目建成后，将按照“危险废物产生情况在线申报、管理计划在线备案、转移联单在线运行、利用处置情况在线报告和全过程在线监控”要求实施，实现对危险废物全过程跟踪管理，并与相关行政机关实现互通共享。</w:t>
            </w:r>
          </w:p>
        </w:tc>
        <w:tc>
          <w:tcPr>
            <w:tcW w:w="109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1"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w:t>
            </w:r>
          </w:p>
        </w:tc>
        <w:tc>
          <w:tcPr>
            <w:tcW w:w="405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新改扩建项目要依法开展环境影响评价，严格危险废物污染环境防治设施“三同时”管理。依法依规对已批复的重点行业涉危险废物建设项目环境影响评价文件开展复核。依法落实工业危险废物排污许可制度。推进危险废物规范化环境管理。</w:t>
            </w:r>
          </w:p>
        </w:tc>
        <w:tc>
          <w:tcPr>
            <w:tcW w:w="2505"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本项目环评工作正在进行中，</w:t>
            </w:r>
            <w:r>
              <w:rPr>
                <w:rFonts w:eastAsiaTheme="minorEastAsia"/>
                <w:color w:val="000000" w:themeColor="text1"/>
                <w:sz w:val="21"/>
                <w:szCs w:val="21"/>
              </w:rPr>
              <w:t>严格危险废物污染环境防治设施“三同时”管理</w:t>
            </w:r>
            <w:r>
              <w:rPr>
                <w:rFonts w:hint="eastAsia" w:eastAsiaTheme="minorEastAsia"/>
                <w:color w:val="000000" w:themeColor="text1"/>
                <w:sz w:val="21"/>
                <w:szCs w:val="21"/>
              </w:rPr>
              <w:t>，</w:t>
            </w:r>
            <w:r>
              <w:rPr>
                <w:rFonts w:eastAsiaTheme="minorEastAsia"/>
                <w:color w:val="000000" w:themeColor="text1"/>
                <w:sz w:val="21"/>
                <w:szCs w:val="21"/>
              </w:rPr>
              <w:t>依法落实工业危险废物排污许可制度。推进危险废物规范化环境管理。</w:t>
            </w:r>
          </w:p>
        </w:tc>
        <w:tc>
          <w:tcPr>
            <w:tcW w:w="109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71"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4</w:t>
            </w:r>
          </w:p>
        </w:tc>
        <w:tc>
          <w:tcPr>
            <w:tcW w:w="405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推动源头减量化。支持研发、推广减少工业危险废物产生量和降低工业危险废物危害性的生产工艺和设备，促进从源头上减少危险废物产生量、降低危害性</w:t>
            </w:r>
          </w:p>
        </w:tc>
        <w:tc>
          <w:tcPr>
            <w:tcW w:w="2505"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本项目危废产生量较小，使用危险废物产生量较少的设备和工艺</w:t>
            </w:r>
          </w:p>
        </w:tc>
        <w:tc>
          <w:tcPr>
            <w:tcW w:w="109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符合</w:t>
            </w:r>
          </w:p>
        </w:tc>
      </w:tr>
    </w:tbl>
    <w:p>
      <w:pPr>
        <w:pStyle w:val="134"/>
        <w:ind w:firstLine="480"/>
        <w:rPr>
          <w:rFonts w:eastAsiaTheme="minorEastAsia"/>
          <w:color w:val="000000" w:themeColor="text1"/>
        </w:rPr>
      </w:pPr>
      <w:r>
        <w:rPr>
          <w:rFonts w:hint="eastAsia" w:eastAsiaTheme="minorEastAsia"/>
          <w:color w:val="000000" w:themeColor="text1"/>
        </w:rPr>
        <w:t>根据以上分析，项目与《强化危险废物监管和利用处置能力改革实施方案》相符。</w:t>
      </w:r>
    </w:p>
    <w:p>
      <w:pPr>
        <w:pStyle w:val="134"/>
        <w:ind w:firstLine="482"/>
        <w:rPr>
          <w:rFonts w:eastAsiaTheme="minorEastAsia"/>
          <w:b/>
          <w:bCs/>
          <w:color w:val="000000" w:themeColor="text1"/>
        </w:rPr>
      </w:pPr>
      <w:r>
        <w:rPr>
          <w:rFonts w:hint="eastAsia" w:eastAsiaTheme="minorEastAsia"/>
          <w:b/>
          <w:bCs/>
          <w:color w:val="000000" w:themeColor="text1"/>
        </w:rPr>
        <w:t>四、选址合理性分析</w:t>
      </w:r>
    </w:p>
    <w:p>
      <w:pPr>
        <w:pStyle w:val="134"/>
        <w:ind w:firstLine="480"/>
        <w:rPr>
          <w:color w:val="000000" w:themeColor="text1"/>
          <w:kern w:val="24"/>
          <w:szCs w:val="24"/>
        </w:rPr>
      </w:pPr>
      <w:r>
        <w:rPr>
          <w:color w:val="000000" w:themeColor="text1"/>
        </w:rPr>
        <w:t>项目位于新平县戛洒镇东磨小组，</w:t>
      </w:r>
      <w:r>
        <w:rPr>
          <w:rFonts w:hint="eastAsia"/>
          <w:color w:val="000000" w:themeColor="text1"/>
        </w:rPr>
        <w:t>属于新平工业园区戛洒片区，</w:t>
      </w:r>
      <w:r>
        <w:rPr>
          <w:color w:val="000000" w:themeColor="text1"/>
          <w:szCs w:val="24"/>
        </w:rPr>
        <w:t>项目不新增用地</w:t>
      </w:r>
      <w:r>
        <w:rPr>
          <w:rFonts w:hint="eastAsia"/>
          <w:color w:val="000000" w:themeColor="text1"/>
          <w:szCs w:val="24"/>
        </w:rPr>
        <w:t>，利用原厂区空地进行技改，</w:t>
      </w:r>
      <w:r>
        <w:rPr>
          <w:color w:val="000000" w:themeColor="text1"/>
        </w:rPr>
        <w:t>该选厂不涉及自然保护区、世界文化自然遗产、风景名胜区、森林公园、地质公园、城市饮用水水源保护区、国家湿地公园、水产种质资源保护区等敏感区域</w:t>
      </w:r>
      <w:r>
        <w:rPr>
          <w:rFonts w:hint="eastAsia"/>
          <w:color w:val="000000" w:themeColor="text1"/>
        </w:rPr>
        <w:t>，</w:t>
      </w:r>
      <w:r>
        <w:rPr>
          <w:color w:val="000000" w:themeColor="text1"/>
          <w:kern w:val="24"/>
          <w:szCs w:val="24"/>
        </w:rPr>
        <w:t>项目运营期产生的废气、噪声</w:t>
      </w:r>
      <w:r>
        <w:rPr>
          <w:rFonts w:hint="eastAsia"/>
          <w:color w:val="000000" w:themeColor="text1"/>
          <w:kern w:val="24"/>
          <w:szCs w:val="24"/>
        </w:rPr>
        <w:t>达标排放，废水、</w:t>
      </w:r>
      <w:r>
        <w:rPr>
          <w:color w:val="000000" w:themeColor="text1"/>
          <w:kern w:val="24"/>
          <w:szCs w:val="24"/>
        </w:rPr>
        <w:t>固废均能够得到及时、妥善的处置，项目运营期采取措施后不会对周边环境造成大的影响。因此，项目选址合理。</w:t>
      </w:r>
    </w:p>
    <w:p>
      <w:pPr>
        <w:pStyle w:val="134"/>
        <w:numPr>
          <w:ilvl w:val="0"/>
          <w:numId w:val="18"/>
        </w:numPr>
        <w:ind w:firstLine="482"/>
        <w:rPr>
          <w:b/>
          <w:bCs/>
          <w:color w:val="000000" w:themeColor="text1"/>
          <w:kern w:val="24"/>
          <w:szCs w:val="24"/>
        </w:rPr>
      </w:pPr>
      <w:r>
        <w:rPr>
          <w:rFonts w:hint="eastAsia"/>
          <w:b/>
          <w:bCs/>
          <w:color w:val="000000" w:themeColor="text1"/>
          <w:kern w:val="24"/>
          <w:szCs w:val="24"/>
        </w:rPr>
        <w:t>平面布置合理性分析</w:t>
      </w:r>
    </w:p>
    <w:p>
      <w:pPr>
        <w:ind w:firstLine="480"/>
        <w:rPr>
          <w:color w:val="000000" w:themeColor="text1"/>
          <w:kern w:val="24"/>
          <w:szCs w:val="24"/>
        </w:rPr>
      </w:pPr>
      <w:r>
        <w:rPr>
          <w:rFonts w:eastAsiaTheme="minorEastAsia"/>
          <w:bCs/>
          <w:iCs/>
          <w:color w:val="000000" w:themeColor="text1"/>
        </w:rPr>
        <w:t>项目依托现有地形分台阶布置，</w:t>
      </w:r>
      <w:r>
        <w:rPr>
          <w:rFonts w:hint="eastAsia" w:eastAsiaTheme="minorEastAsia"/>
          <w:bCs/>
          <w:iCs/>
          <w:color w:val="000000" w:themeColor="text1"/>
        </w:rPr>
        <w:t>生产车间与脱水、尾矿处理区之间有公路（公戛线）相隔，</w:t>
      </w:r>
      <w:r>
        <w:rPr>
          <w:rFonts w:eastAsiaTheme="minorEastAsia"/>
          <w:bCs/>
          <w:iCs/>
          <w:color w:val="000000" w:themeColor="text1"/>
        </w:rPr>
        <w:t>本次技改项目在原有场地上进行建设，原料加工处理站位于选厂生产车间北侧，</w:t>
      </w:r>
      <w:r>
        <w:rPr>
          <w:rFonts w:hint="eastAsia" w:eastAsiaTheme="minorEastAsia"/>
          <w:bCs/>
          <w:iCs/>
          <w:color w:val="000000" w:themeColor="text1"/>
        </w:rPr>
        <w:t>位于生产区下风向，降低生产粉尘对厂区的影响，</w:t>
      </w:r>
      <w:r>
        <w:rPr>
          <w:rFonts w:eastAsiaTheme="minorEastAsia"/>
          <w:bCs/>
          <w:iCs/>
          <w:color w:val="000000" w:themeColor="text1"/>
        </w:rPr>
        <w:t>原矿石破碎生产线在原生产线</w:t>
      </w:r>
      <w:r>
        <w:rPr>
          <w:rFonts w:hint="eastAsia" w:eastAsiaTheme="minorEastAsia"/>
          <w:bCs/>
          <w:iCs/>
          <w:color w:val="000000" w:themeColor="text1"/>
        </w:rPr>
        <w:t>位置</w:t>
      </w:r>
      <w:r>
        <w:rPr>
          <w:rFonts w:eastAsiaTheme="minorEastAsia"/>
          <w:bCs/>
          <w:iCs/>
          <w:color w:val="000000" w:themeColor="text1"/>
        </w:rPr>
        <w:t>上技改，拆除原有破碎筛分设备，增加制砂机及洗砂机等设备，并在东北侧</w:t>
      </w:r>
      <w:r>
        <w:rPr>
          <w:rFonts w:hint="eastAsia" w:eastAsiaTheme="minorEastAsia"/>
          <w:bCs/>
          <w:iCs/>
          <w:color w:val="000000" w:themeColor="text1"/>
        </w:rPr>
        <w:t>地势较高位置处</w:t>
      </w:r>
      <w:r>
        <w:rPr>
          <w:rFonts w:eastAsiaTheme="minorEastAsia"/>
          <w:bCs/>
          <w:iCs/>
          <w:color w:val="000000" w:themeColor="text1"/>
        </w:rPr>
        <w:t>建设原矿石堆棚，在原料加工处理站西侧建</w:t>
      </w:r>
      <w:r>
        <w:rPr>
          <w:rFonts w:hint="eastAsia" w:eastAsiaTheme="minorEastAsia"/>
          <w:bCs/>
          <w:iCs/>
          <w:color w:val="000000" w:themeColor="text1"/>
        </w:rPr>
        <w:t>设</w:t>
      </w:r>
      <w:r>
        <w:rPr>
          <w:rFonts w:eastAsiaTheme="minorEastAsia"/>
          <w:bCs/>
          <w:iCs/>
          <w:color w:val="000000" w:themeColor="text1"/>
        </w:rPr>
        <w:t>低品位矿堆棚，</w:t>
      </w:r>
      <w:r>
        <w:rPr>
          <w:rFonts w:hint="eastAsia" w:eastAsiaTheme="minorEastAsia"/>
          <w:bCs/>
          <w:iCs/>
          <w:color w:val="000000" w:themeColor="text1"/>
        </w:rPr>
        <w:t>依据地势高差布置工艺设备，减小物料的提升降低能耗，</w:t>
      </w:r>
      <w:r>
        <w:rPr>
          <w:rFonts w:eastAsiaTheme="minorEastAsia"/>
          <w:bCs/>
          <w:iCs/>
          <w:color w:val="000000" w:themeColor="text1"/>
        </w:rPr>
        <w:t>磨矿车间和磁选车间位于原有项目的东南角位置，立磨机、高效磁选机、平板磁选机根据生产工序要求进行布置，陶瓷过滤脱水车间位于原有项目精矿池的旁边，便于精矿的输送。充分利用地形，</w:t>
      </w:r>
      <w:r>
        <w:rPr>
          <w:rFonts w:hint="eastAsia" w:eastAsiaTheme="minorEastAsia"/>
          <w:bCs/>
          <w:iCs/>
          <w:color w:val="000000" w:themeColor="text1"/>
        </w:rPr>
        <w:t>项目尾矿通过地势高差进行自流进入尾矿沉淀池，减少物质运输成本。因此，项目平面布置合理。</w:t>
      </w:r>
    </w:p>
    <w:p>
      <w:pPr>
        <w:tabs>
          <w:tab w:val="left" w:pos="312"/>
        </w:tabs>
        <w:ind w:firstLine="482"/>
        <w:jc w:val="both"/>
        <w:rPr>
          <w:rFonts w:eastAsiaTheme="minorEastAsia"/>
          <w:b/>
          <w:bCs/>
          <w:color w:val="000000" w:themeColor="text1"/>
        </w:rPr>
      </w:pPr>
      <w:r>
        <w:rPr>
          <w:rFonts w:eastAsiaTheme="minorEastAsia"/>
          <w:b/>
          <w:bCs/>
          <w:color w:val="000000" w:themeColor="text1"/>
        </w:rPr>
        <w:t>5、主要关注的环境问题</w:t>
      </w:r>
    </w:p>
    <w:p>
      <w:pPr>
        <w:pStyle w:val="134"/>
        <w:ind w:firstLine="480"/>
        <w:rPr>
          <w:rFonts w:eastAsiaTheme="minorEastAsia"/>
          <w:color w:val="000000" w:themeColor="text1"/>
        </w:rPr>
      </w:pPr>
      <w:r>
        <w:rPr>
          <w:rFonts w:eastAsiaTheme="minorEastAsia"/>
          <w:color w:val="000000" w:themeColor="text1"/>
        </w:rPr>
        <w:t>技改项目从原矿石中分选出不带磁性的矿石，再加工成品砂石料，在原有项目的基础上，进一步提高</w:t>
      </w:r>
      <w:r>
        <w:rPr>
          <w:rStyle w:val="73"/>
          <w:color w:val="000000" w:themeColor="text1"/>
          <w:sz w:val="24"/>
          <w:szCs w:val="24"/>
        </w:rPr>
        <w:t>产品</w:t>
      </w:r>
      <w:r>
        <w:rPr>
          <w:rFonts w:eastAsiaTheme="minorEastAsia"/>
          <w:color w:val="000000" w:themeColor="text1"/>
        </w:rPr>
        <w:t>铁精矿的品位，减少尾矿的铁元素含量，提高资源回收利用率。关注的主要环境问题是：</w:t>
      </w:r>
    </w:p>
    <w:p>
      <w:pPr>
        <w:pStyle w:val="134"/>
        <w:numPr>
          <w:ilvl w:val="0"/>
          <w:numId w:val="19"/>
        </w:numPr>
        <w:ind w:firstLine="480"/>
        <w:rPr>
          <w:rFonts w:eastAsiaTheme="minorEastAsia"/>
          <w:color w:val="000000" w:themeColor="text1"/>
        </w:rPr>
      </w:pPr>
      <w:r>
        <w:rPr>
          <w:rFonts w:eastAsiaTheme="minorEastAsia"/>
          <w:color w:val="000000" w:themeColor="text1"/>
        </w:rPr>
        <w:t>重点关注原矿石破碎加工工段粉尘污染治理措施的合理性，对现有污染治理设施是否能达环保要求进行分析，关注是否需要整改。</w:t>
      </w:r>
    </w:p>
    <w:p>
      <w:pPr>
        <w:pStyle w:val="134"/>
        <w:numPr>
          <w:ilvl w:val="0"/>
          <w:numId w:val="19"/>
        </w:numPr>
        <w:ind w:firstLine="480"/>
        <w:rPr>
          <w:rFonts w:eastAsiaTheme="minorEastAsia"/>
          <w:color w:val="000000" w:themeColor="text1"/>
        </w:rPr>
      </w:pPr>
      <w:r>
        <w:rPr>
          <w:rFonts w:eastAsiaTheme="minorEastAsia"/>
          <w:color w:val="000000" w:themeColor="text1"/>
        </w:rPr>
        <w:t>关注尾矿库的依托条件和存在的环境风险。</w:t>
      </w:r>
    </w:p>
    <w:p>
      <w:pPr>
        <w:pStyle w:val="134"/>
        <w:ind w:firstLine="480"/>
        <w:rPr>
          <w:rFonts w:eastAsiaTheme="minorEastAsia"/>
          <w:color w:val="000000" w:themeColor="text1"/>
        </w:rPr>
      </w:pPr>
      <w:r>
        <w:rPr>
          <w:rFonts w:eastAsiaTheme="minorEastAsia"/>
          <w:color w:val="000000" w:themeColor="text1"/>
        </w:rPr>
        <w:t>（3）关注项目选矿生产废水完全回用的可行性及废水不外排的可靠性。</w:t>
      </w:r>
    </w:p>
    <w:p>
      <w:pPr>
        <w:pStyle w:val="134"/>
        <w:ind w:firstLine="480"/>
        <w:rPr>
          <w:rFonts w:eastAsiaTheme="minorEastAsia"/>
          <w:color w:val="000000" w:themeColor="text1"/>
        </w:rPr>
      </w:pPr>
      <w:r>
        <w:rPr>
          <w:rFonts w:eastAsiaTheme="minorEastAsia"/>
          <w:color w:val="000000" w:themeColor="text1"/>
        </w:rPr>
        <w:t>（4）由于再选选矿和增加球磨机提高选矿的细度，尾矿颗粒粒径组成的改变可能会影响尾矿安全性的沉淀效率，要给予关注。</w:t>
      </w:r>
    </w:p>
    <w:p>
      <w:pPr>
        <w:pStyle w:val="134"/>
        <w:ind w:firstLine="482"/>
        <w:rPr>
          <w:rFonts w:eastAsiaTheme="minorEastAsia"/>
          <w:b/>
          <w:bCs/>
          <w:color w:val="000000" w:themeColor="text1"/>
        </w:rPr>
      </w:pPr>
      <w:r>
        <w:rPr>
          <w:rFonts w:eastAsiaTheme="minorEastAsia"/>
          <w:b/>
          <w:bCs/>
          <w:color w:val="000000" w:themeColor="text1"/>
        </w:rPr>
        <w:t>6、主要结论</w:t>
      </w:r>
    </w:p>
    <w:p>
      <w:pPr>
        <w:pStyle w:val="134"/>
        <w:ind w:firstLine="480"/>
        <w:rPr>
          <w:rFonts w:eastAsiaTheme="minorEastAsia"/>
          <w:color w:val="000000" w:themeColor="text1"/>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800" w:bottom="1440" w:left="1800" w:header="851" w:footer="992" w:gutter="0"/>
          <w:pgNumType w:fmt="numberInDash"/>
          <w:cols w:space="425" w:num="1"/>
          <w:docGrid w:type="lines" w:linePitch="312" w:charSpace="0"/>
        </w:sectPr>
      </w:pPr>
      <w:r>
        <w:rPr>
          <w:rFonts w:eastAsiaTheme="minorEastAsia"/>
          <w:color w:val="000000" w:themeColor="text1"/>
        </w:rPr>
        <w:t>该项目符合国家产业政策，符合《新平工业园区总体规划修编（2018-2035）》、园区规划环评及其审查意见。技改项目在原有场地上进行技改，</w:t>
      </w:r>
      <w:r>
        <w:rPr>
          <w:rFonts w:hint="eastAsia" w:eastAsiaTheme="minorEastAsia"/>
          <w:color w:val="000000" w:themeColor="text1"/>
        </w:rPr>
        <w:t>不新增占地</w:t>
      </w:r>
      <w:r>
        <w:rPr>
          <w:rFonts w:eastAsiaTheme="minorEastAsia"/>
          <w:color w:val="000000" w:themeColor="text1"/>
        </w:rPr>
        <w:t>，不涉及生态保护红线等生态环境敏感区，选址合理。项目所在地环境质量现状较好，有一定的环境容量；所采用的废水、固废处置等污染防治措施技术经济可行，选矿水全部回用不外排，大</w:t>
      </w:r>
      <w:r>
        <w:rPr>
          <w:rFonts w:eastAsiaTheme="minorEastAsia"/>
          <w:color w:val="000000" w:themeColor="text1"/>
          <w:szCs w:val="24"/>
        </w:rPr>
        <w:t>气</w:t>
      </w:r>
      <w:r>
        <w:rPr>
          <w:rStyle w:val="73"/>
          <w:rFonts w:hint="eastAsia"/>
          <w:color w:val="000000" w:themeColor="text1"/>
          <w:sz w:val="24"/>
          <w:szCs w:val="24"/>
        </w:rPr>
        <w:t>污染物</w:t>
      </w:r>
      <w:r>
        <w:rPr>
          <w:rFonts w:eastAsiaTheme="minorEastAsia"/>
          <w:color w:val="000000" w:themeColor="text1"/>
        </w:rPr>
        <w:t>及噪声做到达标排放。经预测分析，项目建设对关心点影响较小，不会改变区域环境功能。通过落实项目的各项风险防范措施及应急预案，在事故发生发展阶段，应及时进行抢险和应急处置，控制事故状态，可以使项目环境风险达到可接受的程度。根据建设单位提供的公众参与篇章材料，项目的建设得到了公众的支持，无人持反对意见。在严格执行落实污染防治对策，加强生产管理和环境管理后，从环境保护角度分析，该技改项目具有环境可行性。</w:t>
      </w:r>
    </w:p>
    <w:p>
      <w:pPr>
        <w:keepNext/>
        <w:widowControl/>
        <w:ind w:firstLine="0" w:firstLineChars="0"/>
        <w:outlineLvl w:val="0"/>
        <w:rPr>
          <w:rFonts w:eastAsiaTheme="minorEastAsia"/>
          <w:b/>
          <w:bCs/>
          <w:color w:val="000000" w:themeColor="text1"/>
          <w:kern w:val="32"/>
          <w:sz w:val="32"/>
          <w:szCs w:val="32"/>
          <w:lang w:bidi="en-US"/>
        </w:rPr>
      </w:pPr>
      <w:bookmarkStart w:id="295" w:name="_Toc24698"/>
      <w:r>
        <w:rPr>
          <w:rFonts w:eastAsiaTheme="minorEastAsia"/>
          <w:b/>
          <w:bCs/>
          <w:color w:val="000000" w:themeColor="text1"/>
          <w:kern w:val="32"/>
          <w:sz w:val="32"/>
          <w:szCs w:val="32"/>
          <w:lang w:bidi="en-US"/>
        </w:rPr>
        <w:t>1总则</w:t>
      </w:r>
      <w:bookmarkEnd w:id="8"/>
      <w:bookmarkEnd w:id="295"/>
    </w:p>
    <w:p>
      <w:pPr>
        <w:pStyle w:val="574"/>
        <w:spacing w:beforeLines="0" w:afterLines="0"/>
        <w:rPr>
          <w:rFonts w:eastAsiaTheme="minorEastAsia"/>
          <w:color w:val="000000" w:themeColor="text1"/>
          <w:sz w:val="30"/>
          <w:szCs w:val="30"/>
        </w:rPr>
      </w:pPr>
      <w:bookmarkStart w:id="296" w:name="_Toc23462"/>
      <w:bookmarkStart w:id="297" w:name="_Toc465156841"/>
      <w:bookmarkStart w:id="298" w:name="_Toc319504000"/>
      <w:r>
        <w:rPr>
          <w:rFonts w:eastAsiaTheme="minorEastAsia"/>
          <w:color w:val="000000" w:themeColor="text1"/>
          <w:sz w:val="30"/>
          <w:szCs w:val="30"/>
        </w:rPr>
        <w:t>1.1编制依据</w:t>
      </w:r>
      <w:bookmarkEnd w:id="296"/>
      <w:bookmarkEnd w:id="297"/>
      <w:bookmarkEnd w:id="298"/>
    </w:p>
    <w:p>
      <w:pPr>
        <w:pStyle w:val="6"/>
        <w:spacing w:beforeLines="0" w:afterLines="0"/>
        <w:rPr>
          <w:rFonts w:eastAsiaTheme="minorEastAsia"/>
          <w:color w:val="000000" w:themeColor="text1"/>
          <w:sz w:val="28"/>
          <w:szCs w:val="28"/>
        </w:rPr>
      </w:pPr>
      <w:bookmarkStart w:id="299" w:name="_Toc165355243"/>
      <w:bookmarkStart w:id="300" w:name="_Toc23694"/>
      <w:r>
        <w:rPr>
          <w:rFonts w:eastAsiaTheme="minorEastAsia"/>
          <w:color w:val="000000" w:themeColor="text1"/>
          <w:sz w:val="28"/>
          <w:szCs w:val="28"/>
        </w:rPr>
        <w:t>1.1.1相关法律法规</w:t>
      </w:r>
      <w:bookmarkEnd w:id="299"/>
      <w:bookmarkEnd w:id="300"/>
    </w:p>
    <w:p>
      <w:pPr>
        <w:ind w:firstLine="480"/>
        <w:rPr>
          <w:rFonts w:eastAsiaTheme="minorEastAsia"/>
          <w:color w:val="000000" w:themeColor="text1"/>
        </w:rPr>
      </w:pPr>
      <w:bookmarkStart w:id="301" w:name="_Toc165355245"/>
      <w:r>
        <w:rPr>
          <w:rFonts w:eastAsiaTheme="minorEastAsia"/>
          <w:color w:val="000000" w:themeColor="text1"/>
        </w:rPr>
        <w:t>1、《中华人民共和国环境保护法》（自2015年1月1日起施行）；</w:t>
      </w:r>
    </w:p>
    <w:p>
      <w:pPr>
        <w:ind w:firstLine="480"/>
        <w:rPr>
          <w:rFonts w:eastAsiaTheme="minorEastAsia"/>
          <w:color w:val="000000" w:themeColor="text1"/>
        </w:rPr>
      </w:pPr>
      <w:bookmarkStart w:id="302" w:name="_Toc363722537"/>
      <w:r>
        <w:rPr>
          <w:rFonts w:eastAsiaTheme="minorEastAsia"/>
          <w:color w:val="000000" w:themeColor="text1"/>
        </w:rPr>
        <w:t>2、《中华人民共和国环境影响评价法》（2018年12月29日修订）；</w:t>
      </w:r>
      <w:bookmarkEnd w:id="302"/>
    </w:p>
    <w:p>
      <w:pPr>
        <w:ind w:firstLine="480"/>
        <w:rPr>
          <w:rFonts w:eastAsiaTheme="minorEastAsia"/>
          <w:color w:val="000000" w:themeColor="text1"/>
        </w:rPr>
      </w:pPr>
      <w:r>
        <w:rPr>
          <w:rFonts w:eastAsiaTheme="minorEastAsia"/>
          <w:color w:val="000000" w:themeColor="text1"/>
        </w:rPr>
        <w:t>3、《中华人民共和国大气污染防治法》（2018年10月26日修订）；</w:t>
      </w:r>
    </w:p>
    <w:p>
      <w:pPr>
        <w:ind w:firstLine="480"/>
        <w:rPr>
          <w:rFonts w:eastAsiaTheme="minorEastAsia"/>
          <w:color w:val="000000" w:themeColor="text1"/>
        </w:rPr>
      </w:pPr>
      <w:bookmarkStart w:id="303" w:name="_Toc363722538"/>
      <w:r>
        <w:rPr>
          <w:rFonts w:eastAsiaTheme="minorEastAsia"/>
          <w:color w:val="000000" w:themeColor="text1"/>
        </w:rPr>
        <w:t>4、《中华人民共和国水污染防治法》（2018年1月1日起施行）；</w:t>
      </w:r>
      <w:bookmarkEnd w:id="303"/>
    </w:p>
    <w:p>
      <w:pPr>
        <w:ind w:firstLine="480"/>
        <w:rPr>
          <w:rFonts w:eastAsiaTheme="minorEastAsia"/>
          <w:color w:val="000000" w:themeColor="text1"/>
        </w:rPr>
      </w:pPr>
      <w:r>
        <w:rPr>
          <w:rFonts w:eastAsiaTheme="minorEastAsia"/>
          <w:color w:val="000000" w:themeColor="text1"/>
        </w:rPr>
        <w:t>5、《中华人民共和国固体废物污染环境防治法》</w:t>
      </w:r>
      <w:r>
        <w:rPr>
          <w:color w:val="000000" w:themeColor="text1"/>
        </w:rPr>
        <w:t>（2020年9月1日施行）</w:t>
      </w:r>
      <w:r>
        <w:rPr>
          <w:rFonts w:eastAsiaTheme="minorEastAsia"/>
          <w:color w:val="000000" w:themeColor="text1"/>
        </w:rPr>
        <w:t>；</w:t>
      </w:r>
    </w:p>
    <w:p>
      <w:pPr>
        <w:ind w:firstLine="480"/>
        <w:rPr>
          <w:rFonts w:eastAsiaTheme="minorEastAsia"/>
          <w:color w:val="000000" w:themeColor="text1"/>
        </w:rPr>
      </w:pPr>
      <w:bookmarkStart w:id="304" w:name="_Toc363722539"/>
      <w:r>
        <w:rPr>
          <w:rFonts w:eastAsiaTheme="minorEastAsia"/>
          <w:color w:val="000000" w:themeColor="text1"/>
        </w:rPr>
        <w:t>6、《中华人民共和国环境噪声污染防治法》（2018年12月29日修订）；</w:t>
      </w:r>
      <w:bookmarkEnd w:id="304"/>
    </w:p>
    <w:p>
      <w:pPr>
        <w:pStyle w:val="78"/>
        <w:ind w:firstLine="480"/>
        <w:rPr>
          <w:color w:val="000000" w:themeColor="text1"/>
        </w:rPr>
      </w:pPr>
      <w:r>
        <w:rPr>
          <w:color w:val="000000" w:themeColor="text1"/>
        </w:rPr>
        <w:t>7、《中华人民共和国土壤污染防治法》（2019年1月1日</w:t>
      </w:r>
      <w:r>
        <w:rPr>
          <w:rFonts w:eastAsiaTheme="minorEastAsia"/>
          <w:color w:val="000000" w:themeColor="text1"/>
        </w:rPr>
        <w:t>起施行</w:t>
      </w:r>
      <w:r>
        <w:rPr>
          <w:color w:val="000000" w:themeColor="text1"/>
        </w:rPr>
        <w:t>）；</w:t>
      </w:r>
    </w:p>
    <w:p>
      <w:pPr>
        <w:ind w:firstLine="480"/>
        <w:rPr>
          <w:rFonts w:eastAsiaTheme="minorEastAsia"/>
          <w:color w:val="000000" w:themeColor="text1"/>
        </w:rPr>
      </w:pPr>
      <w:r>
        <w:rPr>
          <w:rFonts w:eastAsiaTheme="minorEastAsia"/>
          <w:color w:val="000000" w:themeColor="text1"/>
        </w:rPr>
        <w:t>8、《中华人民共和国清洁生产促进法》（2012.02修订）；</w:t>
      </w:r>
    </w:p>
    <w:p>
      <w:pPr>
        <w:pStyle w:val="78"/>
        <w:ind w:firstLine="480"/>
        <w:rPr>
          <w:color w:val="000000" w:themeColor="text1"/>
        </w:rPr>
      </w:pPr>
      <w:r>
        <w:rPr>
          <w:color w:val="000000" w:themeColor="text1"/>
        </w:rPr>
        <w:t>9、《中华人民共和国循环经济促进法》（2018年10月26日）；</w:t>
      </w:r>
    </w:p>
    <w:p>
      <w:pPr>
        <w:ind w:firstLine="480"/>
        <w:rPr>
          <w:rFonts w:eastAsiaTheme="minorEastAsia"/>
          <w:color w:val="000000" w:themeColor="text1"/>
        </w:rPr>
      </w:pPr>
      <w:r>
        <w:rPr>
          <w:rFonts w:eastAsiaTheme="minorEastAsia"/>
          <w:color w:val="000000" w:themeColor="text1"/>
        </w:rPr>
        <w:t>10、《中华人民共和国矿产资源法》（2013年修订）；</w:t>
      </w:r>
    </w:p>
    <w:p>
      <w:pPr>
        <w:ind w:firstLine="480"/>
        <w:rPr>
          <w:rFonts w:eastAsiaTheme="minorEastAsia"/>
          <w:color w:val="000000" w:themeColor="text1"/>
        </w:rPr>
      </w:pPr>
      <w:r>
        <w:rPr>
          <w:rFonts w:eastAsiaTheme="minorEastAsia"/>
          <w:color w:val="000000" w:themeColor="text1"/>
        </w:rPr>
        <w:t>11、《中华人民共和国土地管理法》（20</w:t>
      </w:r>
      <w:r>
        <w:rPr>
          <w:rFonts w:hint="eastAsia" w:eastAsiaTheme="minorEastAsia"/>
          <w:color w:val="000000" w:themeColor="text1"/>
        </w:rPr>
        <w:t>20</w:t>
      </w:r>
      <w:r>
        <w:rPr>
          <w:rFonts w:eastAsiaTheme="minorEastAsia"/>
          <w:color w:val="000000" w:themeColor="text1"/>
        </w:rPr>
        <w:t>年</w:t>
      </w:r>
      <w:r>
        <w:rPr>
          <w:rFonts w:hint="eastAsia" w:eastAsiaTheme="minorEastAsia"/>
          <w:color w:val="000000" w:themeColor="text1"/>
        </w:rPr>
        <w:t>1</w:t>
      </w:r>
      <w:r>
        <w:rPr>
          <w:rFonts w:eastAsiaTheme="minorEastAsia"/>
          <w:color w:val="000000" w:themeColor="text1"/>
        </w:rPr>
        <w:t>月</w:t>
      </w:r>
      <w:r>
        <w:rPr>
          <w:rFonts w:hint="eastAsia" w:eastAsiaTheme="minorEastAsia"/>
          <w:color w:val="000000" w:themeColor="text1"/>
        </w:rPr>
        <w:t>1</w:t>
      </w:r>
      <w:r>
        <w:rPr>
          <w:rFonts w:eastAsiaTheme="minorEastAsia"/>
          <w:color w:val="000000" w:themeColor="text1"/>
        </w:rPr>
        <w:t>日起施行）。</w:t>
      </w:r>
    </w:p>
    <w:p>
      <w:pPr>
        <w:ind w:firstLine="480"/>
        <w:rPr>
          <w:rFonts w:eastAsiaTheme="minorEastAsia"/>
          <w:color w:val="000000" w:themeColor="text1"/>
        </w:rPr>
      </w:pPr>
      <w:r>
        <w:rPr>
          <w:rFonts w:hint="eastAsia" w:eastAsiaTheme="minorEastAsia"/>
          <w:color w:val="000000" w:themeColor="text1"/>
        </w:rPr>
        <w:t>12、</w:t>
      </w:r>
      <w:r>
        <w:rPr>
          <w:rFonts w:eastAsiaTheme="minorEastAsia"/>
          <w:color w:val="000000" w:themeColor="text1"/>
        </w:rPr>
        <w:t>《建设项目环境保护管理条例》（国务院令第682号，2017年10月1日起施行）</w:t>
      </w:r>
      <w:r>
        <w:rPr>
          <w:rFonts w:hint="eastAsia" w:eastAsiaTheme="minorEastAsia"/>
          <w:color w:val="000000" w:themeColor="text1"/>
        </w:rPr>
        <w:t>；</w:t>
      </w:r>
    </w:p>
    <w:p>
      <w:pPr>
        <w:ind w:firstLine="480"/>
        <w:rPr>
          <w:rFonts w:eastAsiaTheme="minorEastAsia"/>
          <w:color w:val="000000" w:themeColor="text1"/>
        </w:rPr>
      </w:pPr>
      <w:r>
        <w:rPr>
          <w:rFonts w:hint="eastAsia" w:eastAsiaTheme="minorEastAsia"/>
          <w:color w:val="000000" w:themeColor="text1"/>
        </w:rPr>
        <w:t>13、《地下水管理条例》（2021年12月1日施行）。</w:t>
      </w:r>
    </w:p>
    <w:p>
      <w:pPr>
        <w:pStyle w:val="6"/>
        <w:spacing w:beforeLines="0" w:afterLines="0"/>
        <w:rPr>
          <w:rFonts w:eastAsiaTheme="minorEastAsia"/>
          <w:color w:val="000000" w:themeColor="text1"/>
          <w:sz w:val="28"/>
          <w:szCs w:val="28"/>
        </w:rPr>
      </w:pPr>
      <w:bookmarkStart w:id="305" w:name="_Toc3586"/>
      <w:r>
        <w:rPr>
          <w:rFonts w:eastAsiaTheme="minorEastAsia"/>
          <w:color w:val="000000" w:themeColor="text1"/>
          <w:sz w:val="28"/>
          <w:szCs w:val="28"/>
        </w:rPr>
        <w:t>1.1.2部门规章</w:t>
      </w:r>
      <w:bookmarkEnd w:id="305"/>
    </w:p>
    <w:p>
      <w:pPr>
        <w:ind w:firstLine="480"/>
        <w:rPr>
          <w:rFonts w:eastAsiaTheme="minorEastAsia"/>
          <w:color w:val="000000" w:themeColor="text1"/>
        </w:rPr>
      </w:pPr>
      <w:r>
        <w:rPr>
          <w:rFonts w:hint="eastAsia" w:eastAsiaTheme="minorEastAsia"/>
          <w:color w:val="000000" w:themeColor="text1"/>
        </w:rPr>
        <w:t>1</w:t>
      </w:r>
      <w:r>
        <w:rPr>
          <w:rFonts w:eastAsiaTheme="minorEastAsia"/>
          <w:color w:val="000000" w:themeColor="text1"/>
        </w:rPr>
        <w:t>、《建设项目环境影响评价分类管理名录（2021年1月1日施行）》；</w:t>
      </w:r>
    </w:p>
    <w:p>
      <w:pPr>
        <w:ind w:firstLine="480"/>
        <w:rPr>
          <w:rFonts w:eastAsiaTheme="minorEastAsia"/>
          <w:color w:val="000000" w:themeColor="text1"/>
        </w:rPr>
      </w:pPr>
      <w:r>
        <w:rPr>
          <w:rFonts w:hint="eastAsia" w:eastAsiaTheme="minorEastAsia"/>
          <w:color w:val="000000" w:themeColor="text1"/>
        </w:rPr>
        <w:t>2</w:t>
      </w:r>
      <w:r>
        <w:rPr>
          <w:rFonts w:eastAsiaTheme="minorEastAsia"/>
          <w:color w:val="000000" w:themeColor="text1"/>
        </w:rPr>
        <w:t>、《国家危险废物名录》（2021年1月1日施行）；</w:t>
      </w:r>
    </w:p>
    <w:p>
      <w:pPr>
        <w:ind w:firstLine="480"/>
        <w:rPr>
          <w:rFonts w:eastAsiaTheme="minorEastAsia"/>
          <w:color w:val="000000" w:themeColor="text1"/>
        </w:rPr>
      </w:pPr>
      <w:r>
        <w:rPr>
          <w:rFonts w:hint="eastAsia" w:eastAsiaTheme="minorEastAsia"/>
          <w:color w:val="000000" w:themeColor="text1"/>
        </w:rPr>
        <w:t>3</w:t>
      </w:r>
      <w:r>
        <w:rPr>
          <w:rFonts w:eastAsiaTheme="minorEastAsia"/>
          <w:color w:val="000000" w:themeColor="text1"/>
        </w:rPr>
        <w:t>、《危险废物转移管理办法》（</w:t>
      </w:r>
      <w:r>
        <w:rPr>
          <w:rFonts w:hint="eastAsia" w:eastAsiaTheme="minorEastAsia"/>
          <w:color w:val="000000" w:themeColor="text1"/>
        </w:rPr>
        <w:t>生态环境部 公安部 交通运输部 部令23号</w:t>
      </w:r>
      <w:r>
        <w:rPr>
          <w:rFonts w:eastAsiaTheme="minorEastAsia"/>
          <w:color w:val="000000" w:themeColor="text1"/>
        </w:rPr>
        <w:t>）；</w:t>
      </w:r>
    </w:p>
    <w:p>
      <w:pPr>
        <w:ind w:firstLine="480"/>
        <w:rPr>
          <w:rFonts w:eastAsiaTheme="minorEastAsia"/>
          <w:color w:val="000000" w:themeColor="text1"/>
        </w:rPr>
      </w:pPr>
      <w:r>
        <w:rPr>
          <w:rFonts w:hint="eastAsia" w:eastAsiaTheme="minorEastAsia"/>
          <w:color w:val="000000" w:themeColor="text1"/>
        </w:rPr>
        <w:t>4</w:t>
      </w:r>
      <w:r>
        <w:rPr>
          <w:rFonts w:eastAsiaTheme="minorEastAsia"/>
          <w:color w:val="000000" w:themeColor="text1"/>
        </w:rPr>
        <w:t>、《关于进一步加强环境影响评价管理防范环境风险的通知》，环发[2012]77号；</w:t>
      </w:r>
    </w:p>
    <w:p>
      <w:pPr>
        <w:ind w:firstLine="480"/>
        <w:rPr>
          <w:rFonts w:eastAsiaTheme="minorEastAsia"/>
          <w:color w:val="000000" w:themeColor="text1"/>
        </w:rPr>
      </w:pPr>
      <w:r>
        <w:rPr>
          <w:rFonts w:hint="eastAsia" w:eastAsiaTheme="minorEastAsia"/>
          <w:color w:val="000000" w:themeColor="text1"/>
        </w:rPr>
        <w:t>5</w:t>
      </w:r>
      <w:r>
        <w:rPr>
          <w:rFonts w:eastAsiaTheme="minorEastAsia"/>
          <w:color w:val="000000" w:themeColor="text1"/>
        </w:rPr>
        <w:t>、《关于切实加强风险防范严格环境影响评价管理的通知》，环发[2012]98号；</w:t>
      </w:r>
    </w:p>
    <w:p>
      <w:pPr>
        <w:ind w:firstLine="480"/>
        <w:jc w:val="both"/>
        <w:rPr>
          <w:rFonts w:eastAsiaTheme="minorEastAsia"/>
          <w:color w:val="000000" w:themeColor="text1"/>
        </w:rPr>
      </w:pPr>
      <w:r>
        <w:rPr>
          <w:rFonts w:hint="eastAsia" w:eastAsiaTheme="minorEastAsia"/>
          <w:color w:val="000000" w:themeColor="text1"/>
        </w:rPr>
        <w:t>6</w:t>
      </w:r>
      <w:r>
        <w:rPr>
          <w:rFonts w:eastAsiaTheme="minorEastAsia"/>
          <w:color w:val="000000" w:themeColor="text1"/>
        </w:rPr>
        <w:t>、《国务院办公厅关于印发控制污染物排放许可制实施方案的通知》（国办发[2016]81号），2016年11月10日；</w:t>
      </w:r>
    </w:p>
    <w:p>
      <w:pPr>
        <w:ind w:firstLine="480"/>
        <w:jc w:val="both"/>
        <w:rPr>
          <w:rFonts w:eastAsiaTheme="minorEastAsia"/>
          <w:color w:val="000000" w:themeColor="text1"/>
        </w:rPr>
      </w:pPr>
      <w:r>
        <w:rPr>
          <w:rFonts w:hint="eastAsia" w:eastAsiaTheme="minorEastAsia"/>
          <w:color w:val="000000" w:themeColor="text1"/>
        </w:rPr>
        <w:t>7</w:t>
      </w:r>
      <w:r>
        <w:rPr>
          <w:rFonts w:eastAsiaTheme="minorEastAsia"/>
          <w:color w:val="000000" w:themeColor="text1"/>
        </w:rPr>
        <w:t>、环境保护部《关于印发&lt;排污许可证管理暂行规定&gt;的通知》（环水体[2016]186号），2016年12月23日；</w:t>
      </w:r>
    </w:p>
    <w:p>
      <w:pPr>
        <w:ind w:firstLine="480"/>
        <w:jc w:val="both"/>
        <w:rPr>
          <w:rFonts w:eastAsiaTheme="minorEastAsia"/>
          <w:color w:val="000000" w:themeColor="text1"/>
        </w:rPr>
      </w:pPr>
      <w:r>
        <w:rPr>
          <w:rFonts w:hint="eastAsia" w:eastAsiaTheme="minorEastAsia"/>
          <w:color w:val="000000" w:themeColor="text1"/>
        </w:rPr>
        <w:t>8</w:t>
      </w:r>
      <w:r>
        <w:rPr>
          <w:rFonts w:eastAsiaTheme="minorEastAsia"/>
          <w:color w:val="000000" w:themeColor="text1"/>
        </w:rPr>
        <w:t>、《企业事业单位环境信息公开办法》（环境保护部令第31号），2015年1月1日；</w:t>
      </w:r>
    </w:p>
    <w:p>
      <w:pPr>
        <w:ind w:firstLine="480"/>
        <w:jc w:val="both"/>
        <w:rPr>
          <w:rFonts w:eastAsiaTheme="minorEastAsia"/>
          <w:color w:val="000000" w:themeColor="text1"/>
        </w:rPr>
      </w:pPr>
      <w:r>
        <w:rPr>
          <w:rFonts w:hint="eastAsia" w:eastAsiaTheme="minorEastAsia"/>
          <w:color w:val="000000" w:themeColor="text1"/>
        </w:rPr>
        <w:t>9</w:t>
      </w:r>
      <w:r>
        <w:rPr>
          <w:rFonts w:eastAsiaTheme="minorEastAsia"/>
          <w:color w:val="000000" w:themeColor="text1"/>
        </w:rPr>
        <w:t>、《环境影响评价公众参与办法》，（生态环境部令第4号）2019年1月1日实施；</w:t>
      </w:r>
    </w:p>
    <w:p>
      <w:pPr>
        <w:ind w:firstLine="480"/>
        <w:rPr>
          <w:rFonts w:eastAsiaTheme="minorEastAsia"/>
          <w:color w:val="000000" w:themeColor="text1"/>
        </w:rPr>
      </w:pPr>
      <w:r>
        <w:rPr>
          <w:rFonts w:eastAsiaTheme="minorEastAsia"/>
          <w:color w:val="000000" w:themeColor="text1"/>
        </w:rPr>
        <w:t>1</w:t>
      </w:r>
      <w:r>
        <w:rPr>
          <w:rFonts w:hint="eastAsia" w:eastAsiaTheme="minorEastAsia"/>
          <w:color w:val="000000" w:themeColor="text1"/>
        </w:rPr>
        <w:t>0</w:t>
      </w:r>
      <w:r>
        <w:rPr>
          <w:rFonts w:eastAsiaTheme="minorEastAsia"/>
          <w:color w:val="000000" w:themeColor="text1"/>
        </w:rPr>
        <w:t>、《关于做好环评与排污许可制度衔接工作的通知》（环办环评〔2017〕84号）；</w:t>
      </w:r>
    </w:p>
    <w:p>
      <w:pPr>
        <w:ind w:firstLine="480"/>
        <w:rPr>
          <w:rFonts w:eastAsiaTheme="minorEastAsia"/>
          <w:color w:val="000000" w:themeColor="text1"/>
        </w:rPr>
      </w:pPr>
      <w:r>
        <w:rPr>
          <w:rFonts w:eastAsiaTheme="minorEastAsia"/>
          <w:color w:val="000000" w:themeColor="text1"/>
        </w:rPr>
        <w:t>1</w:t>
      </w:r>
      <w:r>
        <w:rPr>
          <w:rFonts w:hint="eastAsia" w:eastAsiaTheme="minorEastAsia"/>
          <w:color w:val="000000" w:themeColor="text1"/>
        </w:rPr>
        <w:t>1</w:t>
      </w:r>
      <w:r>
        <w:rPr>
          <w:rFonts w:eastAsiaTheme="minorEastAsia"/>
          <w:color w:val="000000" w:themeColor="text1"/>
        </w:rPr>
        <w:t>、《农用地土壤环境管理办法》（试行），中华人民共和国环境保护部、中华人民共和国农业部，部令第46号；</w:t>
      </w:r>
    </w:p>
    <w:p>
      <w:pPr>
        <w:ind w:firstLine="480"/>
        <w:rPr>
          <w:rFonts w:eastAsiaTheme="minorEastAsia"/>
          <w:color w:val="000000" w:themeColor="text1"/>
        </w:rPr>
      </w:pPr>
      <w:r>
        <w:rPr>
          <w:rFonts w:eastAsiaTheme="minorEastAsia"/>
          <w:color w:val="000000" w:themeColor="text1"/>
        </w:rPr>
        <w:t>1</w:t>
      </w:r>
      <w:r>
        <w:rPr>
          <w:rFonts w:hint="eastAsia" w:eastAsiaTheme="minorEastAsia"/>
          <w:color w:val="000000" w:themeColor="text1"/>
        </w:rPr>
        <w:t>2</w:t>
      </w:r>
      <w:r>
        <w:rPr>
          <w:rFonts w:eastAsiaTheme="minorEastAsia"/>
          <w:color w:val="000000" w:themeColor="text1"/>
        </w:rPr>
        <w:t>、《长江经济带发展负面清单指南（试行</w:t>
      </w:r>
      <w:r>
        <w:rPr>
          <w:rFonts w:hint="eastAsia" w:eastAsiaTheme="minorEastAsia"/>
          <w:color w:val="000000" w:themeColor="text1"/>
        </w:rPr>
        <w:t>，2022年版</w:t>
      </w:r>
      <w:r>
        <w:rPr>
          <w:rFonts w:eastAsiaTheme="minorEastAsia"/>
          <w:color w:val="000000" w:themeColor="text1"/>
        </w:rPr>
        <w:t>）》</w:t>
      </w:r>
      <w:r>
        <w:rPr>
          <w:rFonts w:hint="eastAsia" w:eastAsiaTheme="minorEastAsia"/>
          <w:color w:val="000000" w:themeColor="text1"/>
        </w:rPr>
        <w:t xml:space="preserve"> </w:t>
      </w:r>
      <w:r>
        <w:rPr>
          <w:rFonts w:eastAsiaTheme="minorEastAsia"/>
          <w:color w:val="000000" w:themeColor="text1"/>
        </w:rPr>
        <w:t>；</w:t>
      </w:r>
    </w:p>
    <w:p>
      <w:pPr>
        <w:pStyle w:val="78"/>
        <w:ind w:firstLine="480"/>
        <w:rPr>
          <w:color w:val="000000" w:themeColor="text1"/>
        </w:rPr>
      </w:pPr>
      <w:r>
        <w:rPr>
          <w:color w:val="000000" w:themeColor="text1"/>
        </w:rPr>
        <w:t>1</w:t>
      </w:r>
      <w:r>
        <w:rPr>
          <w:rFonts w:hint="eastAsia"/>
          <w:color w:val="000000" w:themeColor="text1"/>
        </w:rPr>
        <w:t>3</w:t>
      </w:r>
      <w:r>
        <w:rPr>
          <w:color w:val="000000" w:themeColor="text1"/>
        </w:rPr>
        <w:t>、《关于印发深入开展尾矿库综合治理行动方案的通知》（安监总管—[2013]58号文）；</w:t>
      </w:r>
    </w:p>
    <w:p>
      <w:pPr>
        <w:pStyle w:val="78"/>
        <w:ind w:firstLine="480"/>
        <w:rPr>
          <w:color w:val="000000" w:themeColor="text1"/>
        </w:rPr>
      </w:pPr>
      <w:r>
        <w:rPr>
          <w:color w:val="000000" w:themeColor="text1"/>
        </w:rPr>
        <w:t>1</w:t>
      </w:r>
      <w:r>
        <w:rPr>
          <w:rFonts w:hint="eastAsia"/>
          <w:color w:val="000000" w:themeColor="text1"/>
        </w:rPr>
        <w:t>4</w:t>
      </w:r>
      <w:r>
        <w:rPr>
          <w:color w:val="000000" w:themeColor="text1"/>
        </w:rPr>
        <w:t>、《关于防范尾矿库垮塌引发突发环境事件的通知》（环发[2006]132号）；</w:t>
      </w:r>
    </w:p>
    <w:p>
      <w:pPr>
        <w:pStyle w:val="78"/>
        <w:ind w:firstLine="480"/>
        <w:rPr>
          <w:color w:val="000000" w:themeColor="text1"/>
        </w:rPr>
      </w:pPr>
      <w:r>
        <w:rPr>
          <w:color w:val="000000" w:themeColor="text1"/>
        </w:rPr>
        <w:t>1</w:t>
      </w:r>
      <w:r>
        <w:rPr>
          <w:rFonts w:hint="eastAsia"/>
          <w:color w:val="000000" w:themeColor="text1"/>
        </w:rPr>
        <w:t>5</w:t>
      </w:r>
      <w:r>
        <w:rPr>
          <w:color w:val="000000" w:themeColor="text1"/>
        </w:rPr>
        <w:t>、国家安全监管总局关于印发《尾矿库事故灾难应急预案部门应急预案的通知》（安监总应急[2007]109号）；</w:t>
      </w:r>
    </w:p>
    <w:p>
      <w:pPr>
        <w:pStyle w:val="78"/>
        <w:ind w:firstLine="480"/>
        <w:rPr>
          <w:color w:val="000000" w:themeColor="text1"/>
        </w:rPr>
      </w:pPr>
      <w:r>
        <w:rPr>
          <w:color w:val="000000" w:themeColor="text1"/>
        </w:rPr>
        <w:t>1</w:t>
      </w:r>
      <w:r>
        <w:rPr>
          <w:rFonts w:hint="eastAsia"/>
          <w:color w:val="000000" w:themeColor="text1"/>
        </w:rPr>
        <w:t>6</w:t>
      </w:r>
      <w:r>
        <w:rPr>
          <w:color w:val="000000" w:themeColor="text1"/>
        </w:rPr>
        <w:t>、《尾矿库安全监督管理规定》（国家安全生产监督管理总局令第6号2006.04）</w:t>
      </w:r>
      <w:r>
        <w:rPr>
          <w:rFonts w:hint="eastAsia"/>
          <w:color w:val="000000" w:themeColor="text1"/>
        </w:rPr>
        <w:t>；</w:t>
      </w:r>
    </w:p>
    <w:p>
      <w:pPr>
        <w:pStyle w:val="78"/>
        <w:ind w:firstLine="480"/>
        <w:rPr>
          <w:color w:val="000000" w:themeColor="text1"/>
        </w:rPr>
      </w:pPr>
      <w:r>
        <w:rPr>
          <w:color w:val="000000" w:themeColor="text1"/>
        </w:rPr>
        <w:t>1</w:t>
      </w:r>
      <w:r>
        <w:rPr>
          <w:rFonts w:hint="eastAsia"/>
          <w:color w:val="000000" w:themeColor="text1"/>
        </w:rPr>
        <w:t>7</w:t>
      </w:r>
      <w:r>
        <w:rPr>
          <w:color w:val="000000" w:themeColor="text1"/>
        </w:rPr>
        <w:t>、《建设项目环境影响报告书（表）编制监督管理办法》（生态环境部令第9号）</w:t>
      </w:r>
      <w:r>
        <w:rPr>
          <w:rFonts w:hint="eastAsia"/>
          <w:color w:val="000000" w:themeColor="text1"/>
        </w:rPr>
        <w:t>；</w:t>
      </w:r>
    </w:p>
    <w:p>
      <w:pPr>
        <w:pStyle w:val="78"/>
        <w:ind w:firstLine="480"/>
        <w:rPr>
          <w:color w:val="000000" w:themeColor="text1"/>
        </w:rPr>
      </w:pPr>
      <w:r>
        <w:rPr>
          <w:rFonts w:hint="eastAsia"/>
          <w:color w:val="000000" w:themeColor="text1"/>
        </w:rPr>
        <w:t>18、《强化危险废物监管和利用处置能力改革实施方案》（国办函[2021]47号）；</w:t>
      </w:r>
    </w:p>
    <w:p>
      <w:pPr>
        <w:ind w:firstLine="480"/>
        <w:rPr>
          <w:color w:val="000000" w:themeColor="text1"/>
        </w:rPr>
      </w:pPr>
      <w:bookmarkStart w:id="306" w:name="_Toc165355244"/>
      <w:r>
        <w:rPr>
          <w:rFonts w:hint="eastAsia"/>
          <w:color w:val="000000" w:themeColor="text1"/>
        </w:rPr>
        <w:t>19、《危险化学品名录》（2015年版）；</w:t>
      </w:r>
    </w:p>
    <w:p>
      <w:pPr>
        <w:ind w:firstLine="480"/>
        <w:rPr>
          <w:color w:val="000000" w:themeColor="text1"/>
        </w:rPr>
      </w:pPr>
      <w:r>
        <w:rPr>
          <w:rFonts w:hint="eastAsia"/>
          <w:color w:val="000000" w:themeColor="text1"/>
        </w:rPr>
        <w:t>20、《地下水污染防治实施方案》（2019年5月印发）；</w:t>
      </w:r>
    </w:p>
    <w:p>
      <w:pPr>
        <w:ind w:firstLine="480"/>
        <w:rPr>
          <w:color w:val="000000" w:themeColor="text1"/>
        </w:rPr>
      </w:pPr>
      <w:r>
        <w:rPr>
          <w:rFonts w:hint="eastAsia"/>
          <w:color w:val="000000" w:themeColor="text1"/>
        </w:rPr>
        <w:t>21、《长江经济带发展负面清单指南(试行，2022年版)》。</w:t>
      </w:r>
    </w:p>
    <w:p>
      <w:pPr>
        <w:pStyle w:val="6"/>
        <w:spacing w:beforeLines="0" w:afterLines="0"/>
        <w:rPr>
          <w:rFonts w:eastAsiaTheme="minorEastAsia"/>
          <w:color w:val="000000" w:themeColor="text1"/>
          <w:sz w:val="28"/>
          <w:szCs w:val="28"/>
        </w:rPr>
      </w:pPr>
      <w:bookmarkStart w:id="307" w:name="_Toc31442"/>
      <w:r>
        <w:rPr>
          <w:rFonts w:eastAsiaTheme="minorEastAsia"/>
          <w:color w:val="000000" w:themeColor="text1"/>
          <w:sz w:val="28"/>
          <w:szCs w:val="28"/>
        </w:rPr>
        <w:t>1.1.3相关规划与地方</w:t>
      </w:r>
      <w:r>
        <w:rPr>
          <w:rFonts w:hint="eastAsia" w:eastAsiaTheme="minorEastAsia"/>
          <w:color w:val="000000" w:themeColor="text1"/>
          <w:sz w:val="28"/>
          <w:szCs w:val="28"/>
        </w:rPr>
        <w:t>规章</w:t>
      </w:r>
      <w:bookmarkEnd w:id="307"/>
    </w:p>
    <w:p>
      <w:pPr>
        <w:numPr>
          <w:ilvl w:val="0"/>
          <w:numId w:val="20"/>
        </w:numPr>
        <w:ind w:firstLine="480"/>
        <w:rPr>
          <w:rFonts w:eastAsiaTheme="minorEastAsia"/>
          <w:color w:val="000000" w:themeColor="text1"/>
        </w:rPr>
      </w:pPr>
      <w:r>
        <w:rPr>
          <w:rFonts w:eastAsiaTheme="minorEastAsia"/>
          <w:color w:val="000000" w:themeColor="text1"/>
        </w:rPr>
        <w:t>《“十</w:t>
      </w:r>
      <w:r>
        <w:rPr>
          <w:rFonts w:hint="eastAsia" w:eastAsiaTheme="minorEastAsia"/>
          <w:color w:val="000000" w:themeColor="text1"/>
        </w:rPr>
        <w:t>四</w:t>
      </w:r>
      <w:r>
        <w:rPr>
          <w:rFonts w:eastAsiaTheme="minorEastAsia"/>
          <w:color w:val="000000" w:themeColor="text1"/>
        </w:rPr>
        <w:t>五”生态环境保护规划》；</w:t>
      </w:r>
    </w:p>
    <w:p>
      <w:pPr>
        <w:pStyle w:val="78"/>
        <w:numPr>
          <w:ilvl w:val="0"/>
          <w:numId w:val="20"/>
        </w:numPr>
        <w:ind w:firstLine="480"/>
        <w:rPr>
          <w:color w:val="000000" w:themeColor="text1"/>
        </w:rPr>
      </w:pPr>
      <w:r>
        <w:rPr>
          <w:rFonts w:hint="eastAsia"/>
          <w:color w:val="000000" w:themeColor="text1"/>
        </w:rPr>
        <w:t>《</w:t>
      </w:r>
      <w:r>
        <w:rPr>
          <w:color w:val="000000" w:themeColor="text1"/>
        </w:rPr>
        <w:fldChar w:fldCharType="begin"/>
      </w:r>
      <w:r>
        <w:rPr>
          <w:color w:val="000000" w:themeColor="text1"/>
        </w:rPr>
        <w:instrText xml:space="preserve"> HYPERLINK "https://www.mee.gov.cn/xxgk2018/xxgk/xxgk03/202112/W020211231683712648193.pdf" </w:instrText>
      </w:r>
      <w:r>
        <w:rPr>
          <w:color w:val="000000" w:themeColor="text1"/>
        </w:rPr>
        <w:fldChar w:fldCharType="separate"/>
      </w:r>
      <w:r>
        <w:rPr>
          <w:rFonts w:hint="eastAsia"/>
          <w:color w:val="000000" w:themeColor="text1"/>
        </w:rPr>
        <w:t>“十四五”土壤、地下水和农村生态环境保护规划</w:t>
      </w:r>
      <w:r>
        <w:rPr>
          <w:rFonts w:hint="eastAsia"/>
          <w:color w:val="000000" w:themeColor="text1"/>
        </w:rPr>
        <w:fldChar w:fldCharType="end"/>
      </w:r>
      <w:r>
        <w:rPr>
          <w:rFonts w:hint="eastAsia"/>
          <w:color w:val="000000" w:themeColor="text1"/>
        </w:rPr>
        <w:t>》（环土壤〔2021〕120号 ）；</w:t>
      </w:r>
    </w:p>
    <w:p>
      <w:pPr>
        <w:ind w:firstLine="480"/>
        <w:rPr>
          <w:rFonts w:eastAsiaTheme="minorEastAsia"/>
          <w:color w:val="000000" w:themeColor="text1"/>
        </w:rPr>
      </w:pPr>
      <w:r>
        <w:rPr>
          <w:rFonts w:hint="eastAsia" w:eastAsiaTheme="minorEastAsia"/>
          <w:color w:val="000000" w:themeColor="text1"/>
        </w:rPr>
        <w:t>3</w:t>
      </w:r>
      <w:r>
        <w:rPr>
          <w:rFonts w:eastAsiaTheme="minorEastAsia"/>
          <w:color w:val="000000" w:themeColor="text1"/>
        </w:rPr>
        <w:t>、《云南省人民政府关于发布云南省生态保护红线的通知》（云政发[2018]32号）；</w:t>
      </w:r>
    </w:p>
    <w:p>
      <w:pPr>
        <w:ind w:firstLine="480"/>
        <w:rPr>
          <w:rFonts w:eastAsiaTheme="minorEastAsia"/>
          <w:color w:val="000000" w:themeColor="text1"/>
        </w:rPr>
      </w:pPr>
      <w:bookmarkStart w:id="308" w:name="_Toc363722547"/>
      <w:r>
        <w:rPr>
          <w:rFonts w:hint="eastAsia" w:eastAsiaTheme="minorEastAsia"/>
          <w:color w:val="000000" w:themeColor="text1"/>
        </w:rPr>
        <w:t>4</w:t>
      </w:r>
      <w:r>
        <w:rPr>
          <w:rFonts w:eastAsiaTheme="minorEastAsia"/>
          <w:color w:val="000000" w:themeColor="text1"/>
        </w:rPr>
        <w:t>、《云南省水功能区划》</w:t>
      </w:r>
      <w:r>
        <w:rPr>
          <w:rFonts w:hint="eastAsia"/>
          <w:color w:val="000000" w:themeColor="text1"/>
        </w:rPr>
        <w:t>（2014年修订）</w:t>
      </w:r>
      <w:bookmarkEnd w:id="308"/>
      <w:r>
        <w:rPr>
          <w:rFonts w:eastAsiaTheme="minorEastAsia"/>
          <w:color w:val="000000" w:themeColor="text1"/>
        </w:rPr>
        <w:t>；</w:t>
      </w:r>
    </w:p>
    <w:p>
      <w:pPr>
        <w:ind w:firstLine="480"/>
        <w:rPr>
          <w:rFonts w:eastAsiaTheme="minorEastAsia"/>
          <w:color w:val="000000" w:themeColor="text1"/>
        </w:rPr>
      </w:pPr>
      <w:r>
        <w:rPr>
          <w:rFonts w:hint="eastAsia" w:eastAsiaTheme="minorEastAsia"/>
          <w:color w:val="000000" w:themeColor="text1"/>
        </w:rPr>
        <w:t>5</w:t>
      </w:r>
      <w:r>
        <w:rPr>
          <w:rFonts w:eastAsiaTheme="minorEastAsia"/>
          <w:color w:val="000000" w:themeColor="text1"/>
        </w:rPr>
        <w:t>、《云南省生态功能区划（简本）》（云南省环境保护厅，2009年7月）；</w:t>
      </w:r>
    </w:p>
    <w:p>
      <w:pPr>
        <w:ind w:firstLine="480"/>
        <w:rPr>
          <w:rFonts w:eastAsiaTheme="minorEastAsia"/>
          <w:color w:val="000000" w:themeColor="text1"/>
        </w:rPr>
      </w:pPr>
      <w:r>
        <w:rPr>
          <w:rFonts w:hint="eastAsia" w:eastAsiaTheme="minorEastAsia"/>
          <w:color w:val="000000" w:themeColor="text1"/>
        </w:rPr>
        <w:t>6</w:t>
      </w:r>
      <w:r>
        <w:rPr>
          <w:rFonts w:eastAsiaTheme="minorEastAsia"/>
          <w:color w:val="000000" w:themeColor="text1"/>
        </w:rPr>
        <w:t>、《云南省主体功能区划》（云政发函[2014]1号）；</w:t>
      </w:r>
    </w:p>
    <w:p>
      <w:pPr>
        <w:ind w:firstLine="480"/>
        <w:rPr>
          <w:rFonts w:eastAsiaTheme="minorEastAsia"/>
          <w:color w:val="000000" w:themeColor="text1"/>
        </w:rPr>
      </w:pPr>
      <w:r>
        <w:rPr>
          <w:rFonts w:hint="eastAsia" w:eastAsiaTheme="minorEastAsia"/>
          <w:color w:val="000000" w:themeColor="text1"/>
        </w:rPr>
        <w:t>7、《玉溪市元江流域水环境综合治理规划（2015-2030）》；</w:t>
      </w:r>
    </w:p>
    <w:p>
      <w:pPr>
        <w:ind w:firstLine="480"/>
        <w:rPr>
          <w:rFonts w:eastAsiaTheme="minorEastAsia"/>
          <w:color w:val="000000" w:themeColor="text1"/>
        </w:rPr>
      </w:pPr>
      <w:r>
        <w:rPr>
          <w:rFonts w:hint="eastAsia" w:eastAsiaTheme="minorEastAsia"/>
          <w:color w:val="000000" w:themeColor="text1"/>
        </w:rPr>
        <w:t>8</w:t>
      </w:r>
      <w:r>
        <w:rPr>
          <w:rFonts w:eastAsiaTheme="minorEastAsia"/>
          <w:color w:val="000000" w:themeColor="text1"/>
        </w:rPr>
        <w:t>、《云南省矿产资源总体规划（2016—2020年）》；</w:t>
      </w:r>
    </w:p>
    <w:p>
      <w:pPr>
        <w:ind w:firstLine="480"/>
        <w:rPr>
          <w:rFonts w:eastAsiaTheme="minorEastAsia"/>
          <w:color w:val="000000" w:themeColor="text1"/>
        </w:rPr>
      </w:pPr>
      <w:r>
        <w:rPr>
          <w:rFonts w:hint="eastAsia" w:eastAsiaTheme="minorEastAsia"/>
          <w:color w:val="000000" w:themeColor="text1"/>
        </w:rPr>
        <w:t>9</w:t>
      </w:r>
      <w:r>
        <w:rPr>
          <w:rFonts w:eastAsiaTheme="minorEastAsia"/>
          <w:color w:val="000000" w:themeColor="text1"/>
        </w:rPr>
        <w:t>、《关于印发云南省深入开展尾矿库综合治理行动方案的通知》（云安监管—[2013]137号）；</w:t>
      </w:r>
    </w:p>
    <w:p>
      <w:pPr>
        <w:ind w:firstLine="480"/>
        <w:rPr>
          <w:rFonts w:eastAsiaTheme="minorEastAsia"/>
          <w:color w:val="000000" w:themeColor="text1"/>
        </w:rPr>
      </w:pPr>
      <w:r>
        <w:rPr>
          <w:rFonts w:hint="eastAsia" w:eastAsiaTheme="minorEastAsia"/>
          <w:color w:val="000000" w:themeColor="text1"/>
        </w:rPr>
        <w:t>10</w:t>
      </w:r>
      <w:r>
        <w:rPr>
          <w:rFonts w:eastAsiaTheme="minorEastAsia"/>
          <w:color w:val="000000" w:themeColor="text1"/>
        </w:rPr>
        <w:t>、《云南省重金属污染综合防治“十三五”规划（2016-2020年）》；</w:t>
      </w:r>
    </w:p>
    <w:p>
      <w:pPr>
        <w:ind w:firstLine="480"/>
        <w:rPr>
          <w:rFonts w:eastAsiaTheme="minorEastAsia"/>
          <w:color w:val="000000" w:themeColor="text1"/>
        </w:rPr>
      </w:pPr>
      <w:r>
        <w:rPr>
          <w:rFonts w:hint="eastAsia" w:eastAsiaTheme="minorEastAsia"/>
          <w:color w:val="000000" w:themeColor="text1"/>
        </w:rPr>
        <w:t>11</w:t>
      </w:r>
      <w:r>
        <w:rPr>
          <w:rFonts w:eastAsiaTheme="minorEastAsia"/>
          <w:color w:val="000000" w:themeColor="text1"/>
        </w:rPr>
        <w:t>、云南省人民政府《关于全面加强生态环境保护坚决打好污染防治攻坚战的实施意见》（云发〔2018〕16号）；</w:t>
      </w:r>
    </w:p>
    <w:p>
      <w:pPr>
        <w:ind w:firstLine="480"/>
        <w:rPr>
          <w:rFonts w:eastAsiaTheme="minorEastAsia"/>
          <w:color w:val="000000" w:themeColor="text1"/>
        </w:rPr>
      </w:pPr>
      <w:r>
        <w:rPr>
          <w:rFonts w:hint="eastAsia" w:eastAsiaTheme="minorEastAsia"/>
          <w:color w:val="000000" w:themeColor="text1"/>
        </w:rPr>
        <w:t>12、</w:t>
      </w:r>
      <w:r>
        <w:rPr>
          <w:rFonts w:eastAsiaTheme="minorEastAsia"/>
          <w:color w:val="000000" w:themeColor="text1"/>
        </w:rPr>
        <w:t>《云南省人民政府关于实施“三线一单”生态环境分区管控的意见》</w:t>
      </w:r>
      <w:r>
        <w:rPr>
          <w:rFonts w:hint="eastAsia" w:eastAsiaTheme="minorEastAsia"/>
          <w:color w:val="000000" w:themeColor="text1"/>
        </w:rPr>
        <w:t>（云政发[2020]29号）；</w:t>
      </w:r>
    </w:p>
    <w:p>
      <w:pPr>
        <w:pStyle w:val="2"/>
        <w:ind w:firstLine="480"/>
        <w:rPr>
          <w:rFonts w:ascii="Times New Roman" w:hAnsi="Times New Roman"/>
          <w:color w:val="000000" w:themeColor="text1"/>
          <w:lang w:eastAsia="zh-CN"/>
        </w:rPr>
      </w:pPr>
      <w:r>
        <w:rPr>
          <w:rFonts w:ascii="Times New Roman" w:hAnsi="Times New Roman"/>
          <w:color w:val="000000" w:themeColor="text1"/>
          <w:lang w:eastAsia="zh-CN"/>
        </w:rPr>
        <w:t>13、《云南省大气污染防治条例》；</w:t>
      </w:r>
    </w:p>
    <w:p>
      <w:pPr>
        <w:ind w:firstLine="480"/>
        <w:rPr>
          <w:color w:val="000000" w:themeColor="text1"/>
        </w:rPr>
      </w:pPr>
      <w:r>
        <w:rPr>
          <w:rFonts w:hint="eastAsia"/>
          <w:color w:val="000000" w:themeColor="text1"/>
        </w:rPr>
        <w:t>14、《云南省土壤污染防治条例》，2022年5月1日起实施；</w:t>
      </w:r>
    </w:p>
    <w:p>
      <w:pPr>
        <w:pStyle w:val="78"/>
        <w:ind w:firstLine="480"/>
        <w:rPr>
          <w:color w:val="000000" w:themeColor="text1"/>
        </w:rPr>
      </w:pPr>
      <w:r>
        <w:rPr>
          <w:rFonts w:hint="eastAsia" w:eastAsiaTheme="minorEastAsia"/>
          <w:color w:val="000000" w:themeColor="text1"/>
        </w:rPr>
        <w:t>15、《玉溪市人民政府关于印发玉溪市“三线一单”生态环境分区管控实施意见的通知》玉政发〔2021〕15号；</w:t>
      </w:r>
    </w:p>
    <w:p>
      <w:pPr>
        <w:ind w:firstLine="480"/>
        <w:rPr>
          <w:rFonts w:eastAsiaTheme="minorEastAsia"/>
          <w:color w:val="000000" w:themeColor="text1"/>
        </w:rPr>
      </w:pPr>
      <w:r>
        <w:rPr>
          <w:rFonts w:eastAsiaTheme="minorEastAsia"/>
          <w:color w:val="000000" w:themeColor="text1"/>
        </w:rPr>
        <w:t>1</w:t>
      </w:r>
      <w:r>
        <w:rPr>
          <w:rFonts w:hint="eastAsia" w:eastAsiaTheme="minorEastAsia"/>
          <w:color w:val="000000" w:themeColor="text1"/>
        </w:rPr>
        <w:t>6</w:t>
      </w:r>
      <w:r>
        <w:rPr>
          <w:rFonts w:eastAsiaTheme="minorEastAsia"/>
          <w:color w:val="000000" w:themeColor="text1"/>
        </w:rPr>
        <w:t>、玉溪市政府《关于全面加强生态环境保护坚决打好污染防治攻坚战的实施意见》（玉发〔2018〕21号）；</w:t>
      </w:r>
    </w:p>
    <w:p>
      <w:pPr>
        <w:ind w:firstLine="480"/>
        <w:rPr>
          <w:rFonts w:eastAsiaTheme="minorEastAsia"/>
          <w:color w:val="000000" w:themeColor="text1"/>
        </w:rPr>
      </w:pPr>
      <w:r>
        <w:rPr>
          <w:rFonts w:eastAsiaTheme="minorEastAsia"/>
          <w:color w:val="000000" w:themeColor="text1"/>
        </w:rPr>
        <w:t>1</w:t>
      </w:r>
      <w:r>
        <w:rPr>
          <w:rFonts w:hint="eastAsia" w:eastAsiaTheme="minorEastAsia"/>
          <w:color w:val="000000" w:themeColor="text1"/>
        </w:rPr>
        <w:t>7</w:t>
      </w:r>
      <w:r>
        <w:rPr>
          <w:rFonts w:eastAsiaTheme="minorEastAsia"/>
          <w:color w:val="000000" w:themeColor="text1"/>
        </w:rPr>
        <w:t>、《玉溪市矿产资源总体规划（2016~2020年）》</w:t>
      </w:r>
      <w:r>
        <w:rPr>
          <w:rFonts w:hint="eastAsia" w:eastAsiaTheme="minorEastAsia"/>
          <w:color w:val="000000" w:themeColor="text1"/>
        </w:rPr>
        <w:t>；</w:t>
      </w:r>
    </w:p>
    <w:p>
      <w:pPr>
        <w:pStyle w:val="78"/>
        <w:ind w:firstLine="480"/>
        <w:rPr>
          <w:rFonts w:eastAsiaTheme="minorEastAsia"/>
          <w:color w:val="000000" w:themeColor="text1"/>
        </w:rPr>
      </w:pPr>
      <w:r>
        <w:rPr>
          <w:rFonts w:hint="eastAsia" w:eastAsiaTheme="minorEastAsia"/>
          <w:color w:val="000000" w:themeColor="text1"/>
        </w:rPr>
        <w:t>18、</w:t>
      </w:r>
      <w:r>
        <w:rPr>
          <w:rFonts w:eastAsiaTheme="minorEastAsia"/>
          <w:color w:val="000000" w:themeColor="text1"/>
        </w:rPr>
        <w:t>《新平工业园区总体规划修编（2018-2035）》</w:t>
      </w:r>
      <w:r>
        <w:rPr>
          <w:rFonts w:hint="eastAsia" w:eastAsiaTheme="minorEastAsia"/>
          <w:color w:val="000000" w:themeColor="text1"/>
        </w:rPr>
        <w:t>；</w:t>
      </w:r>
    </w:p>
    <w:p>
      <w:pPr>
        <w:pStyle w:val="78"/>
        <w:ind w:firstLine="480"/>
        <w:rPr>
          <w:rFonts w:eastAsiaTheme="minorEastAsia"/>
          <w:color w:val="000000" w:themeColor="text1"/>
        </w:rPr>
      </w:pPr>
      <w:r>
        <w:rPr>
          <w:rFonts w:hint="eastAsia"/>
          <w:color w:val="000000" w:themeColor="text1"/>
          <w:szCs w:val="24"/>
        </w:rPr>
        <w:t>19、</w:t>
      </w:r>
      <w:r>
        <w:rPr>
          <w:color w:val="000000" w:themeColor="text1"/>
          <w:szCs w:val="24"/>
        </w:rPr>
        <w:t>《新平工业园区总体规划修编（2018-2035）环境影响报告书》</w:t>
      </w:r>
      <w:r>
        <w:rPr>
          <w:rFonts w:hint="eastAsia"/>
          <w:color w:val="000000" w:themeColor="text1"/>
          <w:szCs w:val="24"/>
        </w:rPr>
        <w:t>。</w:t>
      </w:r>
    </w:p>
    <w:p>
      <w:pPr>
        <w:pStyle w:val="6"/>
        <w:spacing w:beforeLines="0" w:afterLines="0"/>
        <w:rPr>
          <w:rFonts w:eastAsiaTheme="minorEastAsia"/>
          <w:color w:val="000000" w:themeColor="text1"/>
          <w:sz w:val="28"/>
          <w:szCs w:val="28"/>
        </w:rPr>
      </w:pPr>
      <w:bookmarkStart w:id="309" w:name="_Toc6089"/>
      <w:r>
        <w:rPr>
          <w:rFonts w:eastAsiaTheme="minorEastAsia"/>
          <w:color w:val="000000" w:themeColor="text1"/>
          <w:sz w:val="28"/>
          <w:szCs w:val="28"/>
        </w:rPr>
        <w:t>1.1.4相关导则与技术规范</w:t>
      </w:r>
      <w:bookmarkEnd w:id="306"/>
      <w:bookmarkEnd w:id="309"/>
    </w:p>
    <w:p>
      <w:pPr>
        <w:ind w:firstLine="480"/>
        <w:rPr>
          <w:rFonts w:eastAsiaTheme="minorEastAsia"/>
          <w:color w:val="000000" w:themeColor="text1"/>
        </w:rPr>
      </w:pPr>
      <w:r>
        <w:rPr>
          <w:rFonts w:eastAsiaTheme="minorEastAsia"/>
          <w:color w:val="000000" w:themeColor="text1"/>
        </w:rPr>
        <w:t>1、《建设项目环境影响评价技术导则总纲》（HJ2.1-2016）；</w:t>
      </w:r>
    </w:p>
    <w:p>
      <w:pPr>
        <w:ind w:firstLine="480"/>
        <w:rPr>
          <w:rFonts w:eastAsiaTheme="minorEastAsia"/>
          <w:color w:val="000000" w:themeColor="text1"/>
        </w:rPr>
      </w:pPr>
      <w:r>
        <w:rPr>
          <w:rFonts w:eastAsiaTheme="minorEastAsia"/>
          <w:color w:val="000000" w:themeColor="text1"/>
        </w:rPr>
        <w:t>2、《环境影响评价技术导则</w:t>
      </w:r>
      <w:r>
        <w:rPr>
          <w:rFonts w:hint="eastAsia" w:eastAsiaTheme="minorEastAsia"/>
          <w:color w:val="000000" w:themeColor="text1"/>
        </w:rPr>
        <w:t xml:space="preserve"> </w:t>
      </w:r>
      <w:r>
        <w:rPr>
          <w:rFonts w:eastAsiaTheme="minorEastAsia"/>
          <w:color w:val="000000" w:themeColor="text1"/>
        </w:rPr>
        <w:t>大气环境》（HJ2.2-2018）；</w:t>
      </w:r>
    </w:p>
    <w:p>
      <w:pPr>
        <w:ind w:firstLine="480"/>
        <w:rPr>
          <w:rFonts w:eastAsiaTheme="minorEastAsia"/>
          <w:color w:val="000000" w:themeColor="text1"/>
        </w:rPr>
      </w:pPr>
      <w:r>
        <w:rPr>
          <w:rFonts w:eastAsiaTheme="minorEastAsia"/>
          <w:color w:val="000000" w:themeColor="text1"/>
        </w:rPr>
        <w:t>3、《环境影响评价技术导则</w:t>
      </w:r>
      <w:r>
        <w:rPr>
          <w:rFonts w:hint="eastAsia" w:eastAsiaTheme="minorEastAsia"/>
          <w:color w:val="000000" w:themeColor="text1"/>
        </w:rPr>
        <w:t xml:space="preserve"> </w:t>
      </w:r>
      <w:r>
        <w:rPr>
          <w:rFonts w:eastAsiaTheme="minorEastAsia"/>
          <w:color w:val="000000" w:themeColor="text1"/>
        </w:rPr>
        <w:t>地表水环境》（HJ2.3-2018）；</w:t>
      </w:r>
    </w:p>
    <w:p>
      <w:pPr>
        <w:ind w:firstLine="480"/>
        <w:rPr>
          <w:rFonts w:eastAsiaTheme="minorEastAsia"/>
          <w:color w:val="000000" w:themeColor="text1"/>
        </w:rPr>
      </w:pPr>
      <w:r>
        <w:rPr>
          <w:rFonts w:eastAsiaTheme="minorEastAsia"/>
          <w:color w:val="000000" w:themeColor="text1"/>
        </w:rPr>
        <w:t>4、《环境影响评价技术导则</w:t>
      </w:r>
      <w:r>
        <w:rPr>
          <w:rFonts w:hint="eastAsia" w:eastAsiaTheme="minorEastAsia"/>
          <w:color w:val="000000" w:themeColor="text1"/>
        </w:rPr>
        <w:t xml:space="preserve"> </w:t>
      </w:r>
      <w:r>
        <w:rPr>
          <w:rFonts w:eastAsiaTheme="minorEastAsia"/>
          <w:color w:val="000000" w:themeColor="text1"/>
        </w:rPr>
        <w:t>地下水环境》（HJ610-2016）；</w:t>
      </w:r>
    </w:p>
    <w:p>
      <w:pPr>
        <w:ind w:firstLine="480"/>
        <w:rPr>
          <w:rFonts w:eastAsiaTheme="minorEastAsia"/>
          <w:color w:val="000000" w:themeColor="text1"/>
        </w:rPr>
      </w:pPr>
      <w:r>
        <w:rPr>
          <w:rFonts w:eastAsiaTheme="minorEastAsia"/>
          <w:color w:val="000000" w:themeColor="text1"/>
        </w:rPr>
        <w:t>5、《环境影响评价技术导则</w:t>
      </w:r>
      <w:r>
        <w:rPr>
          <w:rFonts w:hint="eastAsia" w:eastAsiaTheme="minorEastAsia"/>
          <w:color w:val="000000" w:themeColor="text1"/>
        </w:rPr>
        <w:t xml:space="preserve"> </w:t>
      </w:r>
      <w:r>
        <w:rPr>
          <w:rFonts w:eastAsiaTheme="minorEastAsia"/>
          <w:color w:val="000000" w:themeColor="text1"/>
        </w:rPr>
        <w:t>声环境》（HJ2.4-2009）；</w:t>
      </w:r>
    </w:p>
    <w:p>
      <w:pPr>
        <w:ind w:firstLine="480"/>
        <w:rPr>
          <w:rFonts w:eastAsiaTheme="minorEastAsia"/>
          <w:color w:val="000000" w:themeColor="text1"/>
        </w:rPr>
      </w:pPr>
      <w:r>
        <w:rPr>
          <w:rFonts w:eastAsiaTheme="minorEastAsia"/>
          <w:color w:val="000000" w:themeColor="text1"/>
        </w:rPr>
        <w:t>6、《环境影响评价技术导则</w:t>
      </w:r>
      <w:r>
        <w:rPr>
          <w:rFonts w:hint="eastAsia" w:eastAsiaTheme="minorEastAsia"/>
          <w:color w:val="000000" w:themeColor="text1"/>
        </w:rPr>
        <w:t xml:space="preserve"> </w:t>
      </w:r>
      <w:r>
        <w:rPr>
          <w:rFonts w:eastAsiaTheme="minorEastAsia"/>
          <w:color w:val="000000" w:themeColor="text1"/>
        </w:rPr>
        <w:t>生态影响》（HJ19-2011）；</w:t>
      </w:r>
    </w:p>
    <w:p>
      <w:pPr>
        <w:ind w:firstLine="480"/>
        <w:rPr>
          <w:rFonts w:eastAsiaTheme="minorEastAsia"/>
          <w:color w:val="000000" w:themeColor="text1"/>
        </w:rPr>
      </w:pPr>
      <w:r>
        <w:rPr>
          <w:rFonts w:eastAsiaTheme="minorEastAsia"/>
          <w:color w:val="000000" w:themeColor="text1"/>
        </w:rPr>
        <w:t>7、《环境影响评价技术导则</w:t>
      </w:r>
      <w:r>
        <w:rPr>
          <w:rFonts w:hint="eastAsia" w:eastAsiaTheme="minorEastAsia"/>
          <w:color w:val="000000" w:themeColor="text1"/>
        </w:rPr>
        <w:t xml:space="preserve"> </w:t>
      </w:r>
      <w:r>
        <w:rPr>
          <w:rFonts w:eastAsiaTheme="minorEastAsia"/>
          <w:color w:val="000000" w:themeColor="text1"/>
        </w:rPr>
        <w:t>土壤环境（试行）》（</w:t>
      </w:r>
      <w:r>
        <w:rPr>
          <w:color w:val="000000" w:themeColor="text1"/>
        </w:rPr>
        <w:fldChar w:fldCharType="begin"/>
      </w:r>
      <w:r>
        <w:rPr>
          <w:color w:val="000000" w:themeColor="text1"/>
        </w:rPr>
        <w:instrText xml:space="preserve"> HYPERLINK "http://kjs.mee.gov.cn/hjbhbz/bzwb/other/pjjsdz/201809/W020180921558586433773.pdf" </w:instrText>
      </w:r>
      <w:r>
        <w:rPr>
          <w:color w:val="000000" w:themeColor="text1"/>
        </w:rPr>
        <w:fldChar w:fldCharType="separate"/>
      </w:r>
      <w:r>
        <w:rPr>
          <w:rStyle w:val="72"/>
          <w:rFonts w:eastAsiaTheme="minorEastAsia"/>
          <w:color w:val="000000" w:themeColor="text1"/>
        </w:rPr>
        <w:t>HJ964—2018</w:t>
      </w:r>
      <w:r>
        <w:rPr>
          <w:rStyle w:val="72"/>
          <w:rFonts w:eastAsiaTheme="minorEastAsia"/>
          <w:color w:val="000000" w:themeColor="text1"/>
        </w:rPr>
        <w:fldChar w:fldCharType="end"/>
      </w:r>
      <w:r>
        <w:rPr>
          <w:rFonts w:eastAsiaTheme="minorEastAsia"/>
          <w:color w:val="000000" w:themeColor="text1"/>
        </w:rPr>
        <w:t>）；</w:t>
      </w:r>
    </w:p>
    <w:p>
      <w:pPr>
        <w:ind w:firstLine="480"/>
        <w:rPr>
          <w:rFonts w:eastAsiaTheme="minorEastAsia"/>
          <w:color w:val="000000" w:themeColor="text1"/>
        </w:rPr>
      </w:pPr>
      <w:r>
        <w:rPr>
          <w:rFonts w:eastAsiaTheme="minorEastAsia"/>
          <w:color w:val="000000" w:themeColor="text1"/>
        </w:rPr>
        <w:t>8、《建设项目环境风险评价技术导则》（HJ169-2018）；</w:t>
      </w:r>
    </w:p>
    <w:p>
      <w:pPr>
        <w:ind w:firstLine="480"/>
        <w:rPr>
          <w:rFonts w:eastAsiaTheme="minorEastAsia"/>
          <w:color w:val="000000" w:themeColor="text1"/>
        </w:rPr>
      </w:pPr>
      <w:r>
        <w:rPr>
          <w:rFonts w:eastAsiaTheme="minorEastAsia"/>
          <w:color w:val="000000" w:themeColor="text1"/>
        </w:rPr>
        <w:t>9、《建设项目危险废物环境影响评价指南》（公告2017年第43号）；</w:t>
      </w:r>
    </w:p>
    <w:p>
      <w:pPr>
        <w:ind w:firstLine="480"/>
        <w:rPr>
          <w:rStyle w:val="73"/>
          <w:color w:val="000000" w:themeColor="text1"/>
          <w:kern w:val="0"/>
        </w:rPr>
      </w:pPr>
      <w:r>
        <w:rPr>
          <w:rFonts w:eastAsiaTheme="minorEastAsia"/>
          <w:color w:val="000000" w:themeColor="text1"/>
        </w:rPr>
        <w:t>10、《排污单位自行监测技术指南总则》（HJ819-2017）；</w:t>
      </w:r>
    </w:p>
    <w:p>
      <w:pPr>
        <w:pStyle w:val="78"/>
        <w:ind w:firstLine="480"/>
        <w:rPr>
          <w:color w:val="000000" w:themeColor="text1"/>
        </w:rPr>
      </w:pPr>
      <w:r>
        <w:rPr>
          <w:color w:val="000000" w:themeColor="text1"/>
        </w:rPr>
        <w:t>11、《尾矿库环境风险评估技术导则》（HJ740-2015）；</w:t>
      </w:r>
    </w:p>
    <w:p>
      <w:pPr>
        <w:pStyle w:val="78"/>
        <w:ind w:firstLine="480"/>
        <w:rPr>
          <w:color w:val="000000" w:themeColor="text1"/>
        </w:rPr>
      </w:pPr>
      <w:r>
        <w:rPr>
          <w:color w:val="000000" w:themeColor="text1"/>
        </w:rPr>
        <w:t>12、《尾矿库安全技术规程》（AQ2006-2005）；</w:t>
      </w:r>
    </w:p>
    <w:p>
      <w:pPr>
        <w:pStyle w:val="78"/>
        <w:ind w:firstLine="480"/>
        <w:rPr>
          <w:color w:val="000000" w:themeColor="text1"/>
        </w:rPr>
      </w:pPr>
      <w:r>
        <w:rPr>
          <w:color w:val="000000" w:themeColor="text1"/>
        </w:rPr>
        <w:t>13、《选厂尾矿设施设计规范》（GB50863-2013）；</w:t>
      </w:r>
    </w:p>
    <w:p>
      <w:pPr>
        <w:ind w:firstLine="480"/>
        <w:rPr>
          <w:rFonts w:eastAsiaTheme="minorEastAsia"/>
          <w:color w:val="000000" w:themeColor="text1"/>
        </w:rPr>
      </w:pPr>
      <w:r>
        <w:rPr>
          <w:rFonts w:eastAsiaTheme="minorEastAsia"/>
          <w:color w:val="000000" w:themeColor="text1"/>
        </w:rPr>
        <w:t>14、《危险废物鉴别技术规范》（HJ/T298-2007）；</w:t>
      </w:r>
    </w:p>
    <w:p>
      <w:pPr>
        <w:ind w:firstLine="480"/>
        <w:rPr>
          <w:rFonts w:eastAsiaTheme="minorEastAsia"/>
          <w:color w:val="000000" w:themeColor="text1"/>
        </w:rPr>
      </w:pPr>
      <w:r>
        <w:rPr>
          <w:rFonts w:eastAsiaTheme="minorEastAsia"/>
          <w:color w:val="000000" w:themeColor="text1"/>
        </w:rPr>
        <w:t>15、《排污许可证申请与核发技术规范总则》（HJ942-2018）</w:t>
      </w:r>
      <w:r>
        <w:rPr>
          <w:rFonts w:hint="eastAsia" w:eastAsiaTheme="minorEastAsia"/>
          <w:color w:val="000000" w:themeColor="text1"/>
        </w:rPr>
        <w:t>；</w:t>
      </w:r>
    </w:p>
    <w:p>
      <w:pPr>
        <w:pStyle w:val="2"/>
        <w:ind w:firstLine="480"/>
        <w:rPr>
          <w:rFonts w:ascii="Times New Roman" w:hAnsi="Times New Roman"/>
          <w:color w:val="000000" w:themeColor="text1"/>
          <w:lang w:eastAsia="zh-CN"/>
        </w:rPr>
      </w:pPr>
      <w:r>
        <w:rPr>
          <w:rFonts w:ascii="Times New Roman" w:hAnsi="Times New Roman"/>
          <w:color w:val="000000" w:themeColor="text1"/>
          <w:lang w:eastAsia="zh-CN"/>
        </w:rPr>
        <w:t>16、《钢铁行业采选矿工艺污染防治最佳可行技术指南》。</w:t>
      </w:r>
    </w:p>
    <w:p>
      <w:pPr>
        <w:pStyle w:val="6"/>
        <w:spacing w:beforeLines="0" w:afterLines="0"/>
        <w:rPr>
          <w:rFonts w:eastAsiaTheme="minorEastAsia"/>
          <w:color w:val="000000" w:themeColor="text1"/>
          <w:sz w:val="28"/>
          <w:szCs w:val="28"/>
        </w:rPr>
      </w:pPr>
      <w:bookmarkStart w:id="310" w:name="_Toc8666"/>
      <w:r>
        <w:rPr>
          <w:rFonts w:eastAsiaTheme="minorEastAsia"/>
          <w:color w:val="000000" w:themeColor="text1"/>
          <w:sz w:val="28"/>
          <w:szCs w:val="28"/>
        </w:rPr>
        <w:t>1.1.</w:t>
      </w:r>
      <w:bookmarkEnd w:id="301"/>
      <w:r>
        <w:rPr>
          <w:rFonts w:eastAsiaTheme="minorEastAsia"/>
          <w:color w:val="000000" w:themeColor="text1"/>
          <w:sz w:val="28"/>
          <w:szCs w:val="28"/>
        </w:rPr>
        <w:t>5有关技术文件和工作文件</w:t>
      </w:r>
      <w:bookmarkEnd w:id="310"/>
    </w:p>
    <w:p>
      <w:pPr>
        <w:ind w:firstLine="480"/>
        <w:rPr>
          <w:rFonts w:eastAsiaTheme="minorEastAsia"/>
          <w:bCs/>
          <w:color w:val="000000" w:themeColor="text1"/>
          <w:szCs w:val="24"/>
        </w:rPr>
      </w:pPr>
      <w:bookmarkStart w:id="311" w:name="_Toc498932453"/>
      <w:r>
        <w:rPr>
          <w:rFonts w:eastAsiaTheme="minorEastAsia"/>
          <w:bCs/>
          <w:color w:val="000000" w:themeColor="text1"/>
          <w:szCs w:val="24"/>
        </w:rPr>
        <w:t>1、昆明理工大学编制的《戛洒选厂500吨/日选矿工程项目环境影响报告表》；</w:t>
      </w:r>
    </w:p>
    <w:p>
      <w:pPr>
        <w:ind w:firstLine="480"/>
        <w:rPr>
          <w:rFonts w:eastAsiaTheme="minorEastAsia"/>
          <w:bCs/>
          <w:color w:val="000000" w:themeColor="text1"/>
          <w:szCs w:val="24"/>
        </w:rPr>
      </w:pPr>
      <w:r>
        <w:rPr>
          <w:rFonts w:eastAsiaTheme="minorEastAsia"/>
          <w:bCs/>
          <w:color w:val="000000" w:themeColor="text1"/>
          <w:szCs w:val="24"/>
        </w:rPr>
        <w:t>2、原新平县环境保护局对《戛洒选厂500吨/日选矿工程项目环境影响报告表》的审批意见；</w:t>
      </w:r>
    </w:p>
    <w:p>
      <w:pPr>
        <w:ind w:firstLine="480"/>
        <w:rPr>
          <w:rFonts w:eastAsiaTheme="minorEastAsia"/>
          <w:color w:val="000000" w:themeColor="text1"/>
          <w:szCs w:val="24"/>
        </w:rPr>
      </w:pPr>
      <w:r>
        <w:rPr>
          <w:rFonts w:eastAsiaTheme="minorEastAsia"/>
          <w:color w:val="000000" w:themeColor="text1"/>
          <w:szCs w:val="24"/>
        </w:rPr>
        <w:t>3、玉溪市环境科学研究所编制的《新平锦茂公司东磨选厂尾矿库新建项目环境影响报告表》；</w:t>
      </w:r>
    </w:p>
    <w:p>
      <w:pPr>
        <w:ind w:firstLine="480"/>
        <w:rPr>
          <w:rFonts w:eastAsiaTheme="minorEastAsia"/>
          <w:color w:val="000000" w:themeColor="text1"/>
          <w:szCs w:val="24"/>
        </w:rPr>
      </w:pPr>
      <w:r>
        <w:rPr>
          <w:rFonts w:eastAsiaTheme="minorEastAsia"/>
          <w:color w:val="000000" w:themeColor="text1"/>
          <w:szCs w:val="24"/>
        </w:rPr>
        <w:t>4、原新平县环保局对《新平锦茂公司东磨选厂尾矿库环境影响报告表》的审批意见；</w:t>
      </w:r>
    </w:p>
    <w:p>
      <w:pPr>
        <w:pStyle w:val="134"/>
        <w:ind w:firstLine="480"/>
        <w:rPr>
          <w:rFonts w:eastAsiaTheme="minorEastAsia"/>
          <w:color w:val="000000" w:themeColor="text1"/>
          <w:szCs w:val="24"/>
        </w:rPr>
      </w:pPr>
      <w:r>
        <w:rPr>
          <w:rFonts w:eastAsiaTheme="minorEastAsia"/>
          <w:color w:val="000000" w:themeColor="text1"/>
          <w:szCs w:val="24"/>
        </w:rPr>
        <w:t>5、玉溪市环境监测站编制的《新平锦茂公司东磨选厂尾矿库新建项目竣工环境保护验收监测表》；</w:t>
      </w:r>
    </w:p>
    <w:p>
      <w:pPr>
        <w:ind w:firstLine="480"/>
        <w:rPr>
          <w:rFonts w:eastAsiaTheme="minorEastAsia"/>
          <w:color w:val="000000" w:themeColor="text1"/>
          <w:szCs w:val="24"/>
        </w:rPr>
      </w:pPr>
      <w:r>
        <w:rPr>
          <w:rFonts w:eastAsiaTheme="minorEastAsia"/>
          <w:color w:val="000000" w:themeColor="text1"/>
          <w:szCs w:val="24"/>
        </w:rPr>
        <w:t>6、玉溪市环境科学研究院编制的《新平锦茂工贸有限责任公司东磨选厂技改扩建项目环境影响报告表》；</w:t>
      </w:r>
    </w:p>
    <w:p>
      <w:pPr>
        <w:ind w:firstLine="480"/>
        <w:rPr>
          <w:rFonts w:eastAsiaTheme="minorEastAsia"/>
          <w:color w:val="000000" w:themeColor="text1"/>
          <w:szCs w:val="24"/>
        </w:rPr>
      </w:pPr>
      <w:r>
        <w:rPr>
          <w:rFonts w:eastAsiaTheme="minorEastAsia"/>
          <w:color w:val="000000" w:themeColor="text1"/>
          <w:szCs w:val="24"/>
        </w:rPr>
        <w:t>7、原新平县环境保护局对《新平锦茂工贸有限责任公司东磨选厂技改扩建项目环境影响报告表》的审批意见（新环许证〔2009〕67号）；</w:t>
      </w:r>
    </w:p>
    <w:p>
      <w:pPr>
        <w:ind w:firstLine="480"/>
        <w:rPr>
          <w:rFonts w:eastAsiaTheme="minorEastAsia"/>
          <w:color w:val="000000" w:themeColor="text1"/>
          <w:szCs w:val="24"/>
        </w:rPr>
      </w:pPr>
      <w:r>
        <w:rPr>
          <w:rFonts w:eastAsiaTheme="minorEastAsia"/>
          <w:color w:val="000000" w:themeColor="text1"/>
          <w:szCs w:val="24"/>
        </w:rPr>
        <w:t>8、云南高科环境保护科技有限公司分析测试中心编制的《新平锦茂工贸有限责任公司东磨选厂技改扩建项目竣工环境保护验收监测表》；</w:t>
      </w:r>
    </w:p>
    <w:p>
      <w:pPr>
        <w:ind w:firstLine="480"/>
        <w:rPr>
          <w:rFonts w:eastAsiaTheme="minorEastAsia"/>
          <w:color w:val="000000" w:themeColor="text1"/>
          <w:szCs w:val="24"/>
        </w:rPr>
      </w:pPr>
      <w:r>
        <w:rPr>
          <w:rFonts w:eastAsiaTheme="minorEastAsia"/>
          <w:color w:val="000000" w:themeColor="text1"/>
          <w:szCs w:val="24"/>
        </w:rPr>
        <w:t>9、原新平县环境保护局对《新平锦茂工贸有限责任公司东磨选厂技改扩建项目竣工环境保护验收监测表》的验收意见（新环验〔2011〕75号）；</w:t>
      </w:r>
    </w:p>
    <w:p>
      <w:pPr>
        <w:pStyle w:val="78"/>
        <w:ind w:firstLine="480"/>
        <w:rPr>
          <w:rFonts w:eastAsiaTheme="minorEastAsia"/>
          <w:color w:val="000000" w:themeColor="text1"/>
          <w:szCs w:val="24"/>
        </w:rPr>
      </w:pPr>
      <w:r>
        <w:rPr>
          <w:rFonts w:eastAsiaTheme="minorEastAsia"/>
          <w:color w:val="000000" w:themeColor="text1"/>
          <w:szCs w:val="24"/>
        </w:rPr>
        <w:t>10、《新平锦茂工贸有限责任公司辣子箐尾矿库突发环境事件风险评估报告》（2018年版）；</w:t>
      </w:r>
    </w:p>
    <w:p>
      <w:pPr>
        <w:pStyle w:val="78"/>
        <w:ind w:firstLine="480"/>
        <w:rPr>
          <w:rFonts w:eastAsiaTheme="minorEastAsia"/>
          <w:color w:val="000000" w:themeColor="text1"/>
          <w:szCs w:val="24"/>
        </w:rPr>
      </w:pPr>
      <w:r>
        <w:rPr>
          <w:rFonts w:eastAsiaTheme="minorEastAsia"/>
          <w:color w:val="000000" w:themeColor="text1"/>
          <w:szCs w:val="24"/>
        </w:rPr>
        <w:t>1</w:t>
      </w:r>
      <w:r>
        <w:rPr>
          <w:rFonts w:hint="eastAsia" w:eastAsiaTheme="minorEastAsia"/>
          <w:color w:val="000000" w:themeColor="text1"/>
          <w:szCs w:val="24"/>
        </w:rPr>
        <w:t>1</w:t>
      </w:r>
      <w:r>
        <w:rPr>
          <w:rFonts w:eastAsiaTheme="minorEastAsia"/>
          <w:color w:val="000000" w:themeColor="text1"/>
          <w:szCs w:val="24"/>
        </w:rPr>
        <w:t>、《新平锦茂工贸有限责任公司戛洒东磨选厂尾矿库工程设计方案》；</w:t>
      </w:r>
    </w:p>
    <w:p>
      <w:pPr>
        <w:pStyle w:val="78"/>
        <w:ind w:firstLine="480"/>
        <w:rPr>
          <w:rFonts w:eastAsiaTheme="minorEastAsia"/>
          <w:color w:val="000000" w:themeColor="text1"/>
          <w:szCs w:val="24"/>
        </w:rPr>
      </w:pPr>
      <w:r>
        <w:rPr>
          <w:rFonts w:eastAsiaTheme="minorEastAsia"/>
          <w:color w:val="000000" w:themeColor="text1"/>
          <w:szCs w:val="24"/>
        </w:rPr>
        <w:t>1</w:t>
      </w:r>
      <w:r>
        <w:rPr>
          <w:rFonts w:hint="eastAsia" w:eastAsiaTheme="minorEastAsia"/>
          <w:color w:val="000000" w:themeColor="text1"/>
          <w:szCs w:val="24"/>
        </w:rPr>
        <w:t>2</w:t>
      </w:r>
      <w:r>
        <w:rPr>
          <w:rFonts w:eastAsiaTheme="minorEastAsia"/>
          <w:color w:val="000000" w:themeColor="text1"/>
          <w:szCs w:val="24"/>
        </w:rPr>
        <w:t>、《新平金凯工贸有限责任公司尾矿库安全现状评价报告》；</w:t>
      </w:r>
    </w:p>
    <w:p>
      <w:pPr>
        <w:pStyle w:val="78"/>
        <w:ind w:firstLine="480"/>
        <w:rPr>
          <w:rFonts w:eastAsiaTheme="minorEastAsia"/>
          <w:color w:val="000000" w:themeColor="text1"/>
          <w:szCs w:val="24"/>
        </w:rPr>
      </w:pPr>
      <w:r>
        <w:rPr>
          <w:rFonts w:eastAsiaTheme="minorEastAsia"/>
          <w:color w:val="000000" w:themeColor="text1"/>
          <w:szCs w:val="24"/>
        </w:rPr>
        <w:t>1</w:t>
      </w:r>
      <w:r>
        <w:rPr>
          <w:rFonts w:hint="eastAsia" w:eastAsiaTheme="minorEastAsia"/>
          <w:color w:val="000000" w:themeColor="text1"/>
          <w:szCs w:val="24"/>
        </w:rPr>
        <w:t>3</w:t>
      </w:r>
      <w:r>
        <w:rPr>
          <w:rFonts w:eastAsiaTheme="minorEastAsia"/>
          <w:color w:val="000000" w:themeColor="text1"/>
          <w:szCs w:val="24"/>
        </w:rPr>
        <w:t>、《新平金凯工贸有限责任公司戛洒东磨选厂尾矿库安全验收评价报告》；</w:t>
      </w:r>
    </w:p>
    <w:p>
      <w:pPr>
        <w:pStyle w:val="78"/>
        <w:ind w:firstLine="480"/>
        <w:rPr>
          <w:rFonts w:eastAsiaTheme="minorEastAsia"/>
          <w:color w:val="000000" w:themeColor="text1"/>
          <w:szCs w:val="24"/>
        </w:rPr>
      </w:pPr>
      <w:r>
        <w:rPr>
          <w:rFonts w:eastAsiaTheme="minorEastAsia"/>
          <w:color w:val="000000" w:themeColor="text1"/>
          <w:szCs w:val="24"/>
        </w:rPr>
        <w:t>1</w:t>
      </w:r>
      <w:r>
        <w:rPr>
          <w:rFonts w:hint="eastAsia" w:eastAsiaTheme="minorEastAsia"/>
          <w:color w:val="000000" w:themeColor="text1"/>
          <w:szCs w:val="24"/>
        </w:rPr>
        <w:t>4</w:t>
      </w:r>
      <w:r>
        <w:rPr>
          <w:rFonts w:eastAsiaTheme="minorEastAsia"/>
          <w:color w:val="000000" w:themeColor="text1"/>
          <w:szCs w:val="24"/>
        </w:rPr>
        <w:t>、《新平金凯工贸有限公司年产10万吨铁精矿技改建设项目可行性研究报告》；</w:t>
      </w:r>
    </w:p>
    <w:p>
      <w:pPr>
        <w:pStyle w:val="134"/>
        <w:ind w:firstLine="480"/>
        <w:rPr>
          <w:rFonts w:eastAsiaTheme="minorEastAsia"/>
          <w:color w:val="000000" w:themeColor="text1"/>
        </w:rPr>
      </w:pPr>
      <w:r>
        <w:rPr>
          <w:rFonts w:eastAsiaTheme="minorEastAsia"/>
          <w:color w:val="000000" w:themeColor="text1"/>
        </w:rPr>
        <w:t>1</w:t>
      </w:r>
      <w:r>
        <w:rPr>
          <w:rFonts w:hint="eastAsia" w:eastAsiaTheme="minorEastAsia"/>
          <w:color w:val="000000" w:themeColor="text1"/>
        </w:rPr>
        <w:t>5</w:t>
      </w:r>
      <w:r>
        <w:rPr>
          <w:rFonts w:eastAsiaTheme="minorEastAsia"/>
          <w:color w:val="000000" w:themeColor="text1"/>
        </w:rPr>
        <w:t>、《新平县彝族傣族自治县工业科技和信息化局对年产10万吨铁精矿技改建设项目投资备案证》（新工信备案〔2019〕6号）；</w:t>
      </w:r>
    </w:p>
    <w:p>
      <w:pPr>
        <w:pStyle w:val="134"/>
        <w:ind w:firstLine="480"/>
        <w:rPr>
          <w:rFonts w:eastAsiaTheme="minorEastAsia"/>
          <w:color w:val="000000" w:themeColor="text1"/>
        </w:rPr>
      </w:pPr>
      <w:r>
        <w:rPr>
          <w:rFonts w:eastAsiaTheme="minorEastAsia"/>
          <w:color w:val="000000" w:themeColor="text1"/>
        </w:rPr>
        <w:t>1</w:t>
      </w:r>
      <w:r>
        <w:rPr>
          <w:rFonts w:hint="eastAsia" w:eastAsiaTheme="minorEastAsia"/>
          <w:color w:val="000000" w:themeColor="text1"/>
        </w:rPr>
        <w:t>6</w:t>
      </w:r>
      <w:r>
        <w:rPr>
          <w:rFonts w:eastAsiaTheme="minorEastAsia"/>
          <w:color w:val="000000" w:themeColor="text1"/>
        </w:rPr>
        <w:t>、现状补充监测报告；</w:t>
      </w:r>
    </w:p>
    <w:p>
      <w:pPr>
        <w:pStyle w:val="134"/>
        <w:ind w:firstLine="480"/>
        <w:rPr>
          <w:rFonts w:eastAsiaTheme="minorEastAsia"/>
          <w:color w:val="000000" w:themeColor="text1"/>
          <w:kern w:val="2"/>
          <w:szCs w:val="24"/>
        </w:rPr>
      </w:pPr>
      <w:r>
        <w:rPr>
          <w:rFonts w:eastAsiaTheme="minorEastAsia"/>
          <w:color w:val="000000" w:themeColor="text1"/>
        </w:rPr>
        <w:t>1</w:t>
      </w:r>
      <w:r>
        <w:rPr>
          <w:rFonts w:hint="eastAsia" w:eastAsiaTheme="minorEastAsia"/>
          <w:color w:val="000000" w:themeColor="text1"/>
        </w:rPr>
        <w:t>7</w:t>
      </w:r>
      <w:r>
        <w:rPr>
          <w:rFonts w:eastAsiaTheme="minorEastAsia"/>
          <w:color w:val="000000" w:themeColor="text1"/>
        </w:rPr>
        <w:t>、</w:t>
      </w:r>
      <w:r>
        <w:rPr>
          <w:rFonts w:eastAsiaTheme="minorEastAsia"/>
          <w:color w:val="000000" w:themeColor="text1"/>
          <w:kern w:val="2"/>
          <w:szCs w:val="24"/>
        </w:rPr>
        <w:t>玉溪矿业有限公司于2013年5月委托昆明有色冶金设计研究院股份公司编制了《大红山龙都尾矿库中后期筑坝工程初步设计》；</w:t>
      </w:r>
    </w:p>
    <w:p>
      <w:pPr>
        <w:pStyle w:val="134"/>
        <w:ind w:firstLine="480"/>
        <w:rPr>
          <w:rFonts w:eastAsiaTheme="minorEastAsia"/>
          <w:color w:val="000000" w:themeColor="text1"/>
          <w:kern w:val="2"/>
          <w:szCs w:val="24"/>
        </w:rPr>
      </w:pPr>
      <w:r>
        <w:rPr>
          <w:rFonts w:eastAsiaTheme="minorEastAsia"/>
          <w:color w:val="000000" w:themeColor="text1"/>
          <w:kern w:val="2"/>
          <w:szCs w:val="24"/>
        </w:rPr>
        <w:t>1</w:t>
      </w:r>
      <w:r>
        <w:rPr>
          <w:rFonts w:hint="eastAsia" w:eastAsiaTheme="minorEastAsia"/>
          <w:color w:val="000000" w:themeColor="text1"/>
          <w:kern w:val="2"/>
          <w:szCs w:val="24"/>
        </w:rPr>
        <w:t>8</w:t>
      </w:r>
      <w:r>
        <w:rPr>
          <w:rFonts w:eastAsiaTheme="minorEastAsia"/>
          <w:color w:val="000000" w:themeColor="text1"/>
          <w:kern w:val="2"/>
          <w:szCs w:val="24"/>
        </w:rPr>
        <w:t>、2016年9月，玉溪矿业有限公司委托云南安科安全技术有限公司编制的《玉溪矿业有限公司大红山铜矿龙都尾矿库安全现状评价报告》；</w:t>
      </w:r>
    </w:p>
    <w:p>
      <w:pPr>
        <w:pStyle w:val="134"/>
        <w:ind w:firstLine="480"/>
        <w:rPr>
          <w:rFonts w:eastAsiaTheme="minorEastAsia"/>
          <w:color w:val="000000" w:themeColor="text1"/>
          <w:kern w:val="2"/>
          <w:szCs w:val="24"/>
        </w:rPr>
      </w:pPr>
      <w:r>
        <w:rPr>
          <w:rFonts w:hint="eastAsia" w:eastAsiaTheme="minorEastAsia"/>
          <w:color w:val="000000" w:themeColor="text1"/>
          <w:kern w:val="2"/>
          <w:szCs w:val="24"/>
        </w:rPr>
        <w:t>19</w:t>
      </w:r>
      <w:r>
        <w:rPr>
          <w:rFonts w:eastAsiaTheme="minorEastAsia"/>
          <w:color w:val="000000" w:themeColor="text1"/>
          <w:kern w:val="2"/>
          <w:szCs w:val="24"/>
        </w:rPr>
        <w:t>、2019年5月24日玉溪矿业有限公司编制的《玉溪矿业有限公司大红山龙都尾矿库突发环境事件专项应急预案（第三版）》和《玉溪矿业有限公司大红山龙都尾矿库突发环境事件风险评估报告（第三版）》；</w:t>
      </w:r>
    </w:p>
    <w:p>
      <w:pPr>
        <w:pStyle w:val="134"/>
        <w:ind w:firstLine="480"/>
        <w:rPr>
          <w:rFonts w:eastAsiaTheme="minorEastAsia"/>
          <w:color w:val="000000" w:themeColor="text1"/>
          <w:kern w:val="2"/>
          <w:szCs w:val="24"/>
        </w:rPr>
      </w:pPr>
      <w:r>
        <w:rPr>
          <w:rFonts w:eastAsiaTheme="minorEastAsia"/>
          <w:color w:val="000000" w:themeColor="text1"/>
          <w:kern w:val="2"/>
          <w:szCs w:val="24"/>
        </w:rPr>
        <w:t>2</w:t>
      </w:r>
      <w:r>
        <w:rPr>
          <w:rFonts w:hint="eastAsia" w:eastAsiaTheme="minorEastAsia"/>
          <w:color w:val="000000" w:themeColor="text1"/>
          <w:kern w:val="2"/>
          <w:szCs w:val="24"/>
        </w:rPr>
        <w:t>0</w:t>
      </w:r>
      <w:r>
        <w:rPr>
          <w:rFonts w:eastAsiaTheme="minorEastAsia"/>
          <w:color w:val="000000" w:themeColor="text1"/>
          <w:kern w:val="2"/>
          <w:szCs w:val="24"/>
        </w:rPr>
        <w:t>、2019年8月玉溪矿业有限公司委托中国有色金属工业昆明勘察设计研究院有限公司编制的《大红山龙都尾矿库中前期尾矿堆坝稳定性分析岩土工程勘察报告》；</w:t>
      </w:r>
    </w:p>
    <w:p>
      <w:pPr>
        <w:pStyle w:val="134"/>
        <w:ind w:firstLine="480"/>
        <w:rPr>
          <w:rFonts w:eastAsiaTheme="minorEastAsia"/>
          <w:color w:val="000000" w:themeColor="text1"/>
          <w:kern w:val="2"/>
          <w:szCs w:val="24"/>
        </w:rPr>
      </w:pPr>
      <w:r>
        <w:rPr>
          <w:rFonts w:hint="eastAsia" w:eastAsiaTheme="minorEastAsia"/>
          <w:color w:val="000000" w:themeColor="text1"/>
          <w:kern w:val="2"/>
          <w:szCs w:val="24"/>
        </w:rPr>
        <w:t>21、重庆浩力环境影响评价有限公司编制的《</w:t>
      </w:r>
      <w:r>
        <w:rPr>
          <w:rFonts w:hint="eastAsia"/>
          <w:color w:val="000000" w:themeColor="text1"/>
        </w:rPr>
        <w:t>尾矿输送管道建设及尾矿库环境治理项目环境影响报告表</w:t>
      </w:r>
      <w:r>
        <w:rPr>
          <w:rFonts w:hint="eastAsia" w:eastAsiaTheme="minorEastAsia"/>
          <w:color w:val="000000" w:themeColor="text1"/>
          <w:kern w:val="2"/>
          <w:szCs w:val="24"/>
        </w:rPr>
        <w:t>》；</w:t>
      </w:r>
    </w:p>
    <w:p>
      <w:pPr>
        <w:pStyle w:val="134"/>
        <w:ind w:firstLine="480"/>
        <w:rPr>
          <w:rFonts w:eastAsiaTheme="minorEastAsia"/>
          <w:color w:val="000000" w:themeColor="text1"/>
          <w:kern w:val="2"/>
          <w:szCs w:val="24"/>
        </w:rPr>
      </w:pPr>
      <w:r>
        <w:rPr>
          <w:rFonts w:hint="eastAsia" w:eastAsiaTheme="minorEastAsia"/>
          <w:color w:val="000000" w:themeColor="text1"/>
          <w:kern w:val="2"/>
          <w:szCs w:val="24"/>
        </w:rPr>
        <w:t>22、</w:t>
      </w:r>
      <w:r>
        <w:rPr>
          <w:rFonts w:eastAsiaTheme="minorEastAsia"/>
          <w:color w:val="000000" w:themeColor="text1"/>
          <w:kern w:val="2"/>
          <w:szCs w:val="24"/>
        </w:rPr>
        <w:t>《玉溪市生态环境局新平分局关于尾矿输送管道建设及尾矿库环境治理项目环境影响报告表的批复》（玉环新局审</w:t>
      </w:r>
      <w:r>
        <w:rPr>
          <w:rFonts w:eastAsia="微软雅黑"/>
          <w:color w:val="000000" w:themeColor="text1"/>
          <w:kern w:val="2"/>
          <w:szCs w:val="24"/>
        </w:rPr>
        <w:t>〔2019〕15号</w:t>
      </w:r>
      <w:r>
        <w:rPr>
          <w:rFonts w:eastAsiaTheme="minorEastAsia"/>
          <w:color w:val="000000" w:themeColor="text1"/>
          <w:kern w:val="2"/>
          <w:szCs w:val="24"/>
        </w:rPr>
        <w:t>）；</w:t>
      </w:r>
    </w:p>
    <w:p>
      <w:pPr>
        <w:pStyle w:val="134"/>
        <w:ind w:firstLine="480"/>
        <w:rPr>
          <w:rFonts w:eastAsiaTheme="minorEastAsia"/>
          <w:color w:val="000000" w:themeColor="text1"/>
          <w:kern w:val="2"/>
          <w:szCs w:val="24"/>
        </w:rPr>
      </w:pPr>
      <w:r>
        <w:rPr>
          <w:rFonts w:hint="eastAsia" w:eastAsiaTheme="minorEastAsia"/>
          <w:color w:val="000000" w:themeColor="text1"/>
          <w:kern w:val="2"/>
          <w:szCs w:val="24"/>
        </w:rPr>
        <w:t>23、</w:t>
      </w:r>
      <w:r>
        <w:rPr>
          <w:rFonts w:eastAsiaTheme="minorEastAsia"/>
          <w:color w:val="000000" w:themeColor="text1"/>
          <w:kern w:val="2"/>
          <w:szCs w:val="24"/>
        </w:rPr>
        <w:t>云南绿诚环境科技有限公司</w:t>
      </w:r>
      <w:r>
        <w:rPr>
          <w:rFonts w:hint="eastAsia" w:eastAsiaTheme="minorEastAsia"/>
          <w:color w:val="000000" w:themeColor="text1"/>
          <w:kern w:val="2"/>
          <w:szCs w:val="24"/>
        </w:rPr>
        <w:t>编制的《尾矿输送管道建设及尾矿环境治理项目（一期）竣工环境保护验收监测报告表》；</w:t>
      </w:r>
    </w:p>
    <w:p>
      <w:pPr>
        <w:pStyle w:val="134"/>
        <w:ind w:firstLine="480"/>
        <w:rPr>
          <w:rFonts w:eastAsiaTheme="minorEastAsia"/>
          <w:color w:val="000000" w:themeColor="text1"/>
          <w:kern w:val="2"/>
          <w:szCs w:val="24"/>
        </w:rPr>
      </w:pPr>
      <w:r>
        <w:rPr>
          <w:rFonts w:hint="eastAsia" w:eastAsiaTheme="minorEastAsia"/>
          <w:color w:val="000000" w:themeColor="text1"/>
          <w:kern w:val="2"/>
          <w:szCs w:val="24"/>
        </w:rPr>
        <w:t>24、《尾矿输送管道建设及尾矿库环境治理项目（一期）竣工环境保护自主验收意见》；</w:t>
      </w:r>
    </w:p>
    <w:p>
      <w:pPr>
        <w:pStyle w:val="134"/>
        <w:ind w:firstLine="480"/>
        <w:rPr>
          <w:color w:val="000000" w:themeColor="text1"/>
        </w:rPr>
      </w:pPr>
      <w:r>
        <w:rPr>
          <w:rFonts w:hint="eastAsia" w:eastAsiaTheme="minorEastAsia"/>
          <w:color w:val="000000" w:themeColor="text1"/>
        </w:rPr>
        <w:t>25、</w:t>
      </w:r>
      <w:r>
        <w:rPr>
          <w:color w:val="000000" w:themeColor="text1"/>
        </w:rPr>
        <w:t>项目公众参与调查表及公示信息；</w:t>
      </w:r>
    </w:p>
    <w:p>
      <w:pPr>
        <w:pStyle w:val="134"/>
        <w:ind w:firstLine="480"/>
        <w:rPr>
          <w:color w:val="000000" w:themeColor="text1"/>
        </w:rPr>
      </w:pPr>
      <w:r>
        <w:rPr>
          <w:rFonts w:hint="eastAsia"/>
          <w:color w:val="000000" w:themeColor="text1"/>
        </w:rPr>
        <w:t>26</w:t>
      </w:r>
      <w:r>
        <w:rPr>
          <w:color w:val="000000" w:themeColor="text1"/>
        </w:rPr>
        <w:t>、其他由新平县平安矿业开发有限公司</w:t>
      </w:r>
      <w:r>
        <w:rPr>
          <w:rFonts w:eastAsiaTheme="minorEastAsia"/>
          <w:color w:val="000000" w:themeColor="text1"/>
          <w:szCs w:val="24"/>
        </w:rPr>
        <w:t>提供的资料。</w:t>
      </w:r>
    </w:p>
    <w:p>
      <w:pPr>
        <w:pStyle w:val="574"/>
        <w:spacing w:beforeLines="0" w:afterLines="0"/>
        <w:rPr>
          <w:rFonts w:eastAsiaTheme="minorEastAsia"/>
          <w:color w:val="000000" w:themeColor="text1"/>
          <w:sz w:val="30"/>
          <w:szCs w:val="30"/>
        </w:rPr>
      </w:pPr>
      <w:bookmarkStart w:id="312" w:name="_Toc32569"/>
      <w:r>
        <w:rPr>
          <w:rFonts w:eastAsiaTheme="minorEastAsia"/>
          <w:color w:val="000000" w:themeColor="text1"/>
          <w:sz w:val="30"/>
          <w:szCs w:val="30"/>
        </w:rPr>
        <w:t>1.2评价目的与评价原则</w:t>
      </w:r>
      <w:bookmarkEnd w:id="311"/>
      <w:bookmarkEnd w:id="312"/>
    </w:p>
    <w:p>
      <w:pPr>
        <w:pStyle w:val="6"/>
        <w:spacing w:beforeLines="0" w:afterLines="0"/>
        <w:rPr>
          <w:rFonts w:eastAsiaTheme="minorEastAsia"/>
          <w:color w:val="000000" w:themeColor="text1"/>
          <w:sz w:val="28"/>
          <w:szCs w:val="28"/>
        </w:rPr>
      </w:pPr>
      <w:bookmarkStart w:id="313" w:name="_Toc22809"/>
      <w:bookmarkStart w:id="314" w:name="_Toc498932454"/>
      <w:r>
        <w:rPr>
          <w:rFonts w:eastAsiaTheme="minorEastAsia"/>
          <w:color w:val="000000" w:themeColor="text1"/>
          <w:sz w:val="28"/>
          <w:szCs w:val="28"/>
        </w:rPr>
        <w:t>1.2.1评价目的</w:t>
      </w:r>
      <w:bookmarkEnd w:id="313"/>
      <w:bookmarkEnd w:id="314"/>
    </w:p>
    <w:p>
      <w:pPr>
        <w:pStyle w:val="284"/>
        <w:spacing w:line="360" w:lineRule="auto"/>
        <w:ind w:firstLine="480" w:firstLineChars="200"/>
        <w:rPr>
          <w:rFonts w:ascii="Times New Roman" w:eastAsia="宋体"/>
          <w:color w:val="000000" w:themeColor="text1"/>
          <w:sz w:val="24"/>
          <w:szCs w:val="24"/>
        </w:rPr>
      </w:pPr>
      <w:r>
        <w:rPr>
          <w:rFonts w:ascii="Times New Roman" w:eastAsia="宋体"/>
          <w:color w:val="000000" w:themeColor="text1"/>
          <w:sz w:val="24"/>
          <w:szCs w:val="24"/>
        </w:rPr>
        <w:t>1、通过对项目区所在地区的现状调查、环境监测资料的收集和补充监测、类比分析等手段，掌握评价区环境质量和生态环境现状，分析工程建设与环境功能区划、规划的相容性；</w:t>
      </w:r>
    </w:p>
    <w:p>
      <w:pPr>
        <w:pStyle w:val="23"/>
        <w:spacing w:line="360" w:lineRule="auto"/>
        <w:ind w:firstLine="480"/>
        <w:rPr>
          <w:color w:val="000000" w:themeColor="text1"/>
          <w:sz w:val="24"/>
        </w:rPr>
      </w:pPr>
      <w:r>
        <w:rPr>
          <w:color w:val="000000" w:themeColor="text1"/>
          <w:sz w:val="24"/>
        </w:rPr>
        <w:t>2、通过对项目污染源调查及工程分析，核算技改项目建成后废水、废气及固废等污染物的产生、排放情况，预测分析项目建设后对环境的影响；</w:t>
      </w:r>
    </w:p>
    <w:p>
      <w:pPr>
        <w:pStyle w:val="23"/>
        <w:spacing w:line="360" w:lineRule="auto"/>
        <w:ind w:firstLine="480"/>
        <w:rPr>
          <w:color w:val="000000" w:themeColor="text1"/>
          <w:sz w:val="24"/>
        </w:rPr>
      </w:pPr>
      <w:r>
        <w:rPr>
          <w:color w:val="000000" w:themeColor="text1"/>
          <w:sz w:val="24"/>
        </w:rPr>
        <w:t>3、调查原有项目存在的主要环境问题，针对环境问题，提出以新带老的措施；</w:t>
      </w:r>
    </w:p>
    <w:p>
      <w:pPr>
        <w:pStyle w:val="23"/>
        <w:spacing w:line="360" w:lineRule="auto"/>
        <w:ind w:firstLine="480"/>
        <w:rPr>
          <w:color w:val="000000" w:themeColor="text1"/>
          <w:sz w:val="24"/>
        </w:rPr>
      </w:pPr>
      <w:r>
        <w:rPr>
          <w:color w:val="000000" w:themeColor="text1"/>
          <w:sz w:val="24"/>
        </w:rPr>
        <w:t>4、针对技改项目在设计中存在的环境问题，提出切实可行的污染防治措施，在达标排放的前提下，制定污染物排放的总量控制指标；</w:t>
      </w:r>
    </w:p>
    <w:p>
      <w:pPr>
        <w:pStyle w:val="23"/>
        <w:spacing w:line="360" w:lineRule="auto"/>
        <w:ind w:firstLine="480"/>
        <w:rPr>
          <w:color w:val="000000" w:themeColor="text1"/>
          <w:sz w:val="24"/>
        </w:rPr>
      </w:pPr>
      <w:r>
        <w:rPr>
          <w:color w:val="000000" w:themeColor="text1"/>
          <w:sz w:val="24"/>
        </w:rPr>
        <w:t>5、按照国家环保法及有关规定，以保护环境为目的和出发点，实事求是地论述该项目环保措施的可行性和可靠性；</w:t>
      </w:r>
    </w:p>
    <w:p>
      <w:pPr>
        <w:pStyle w:val="23"/>
        <w:spacing w:line="360" w:lineRule="auto"/>
        <w:ind w:firstLine="480"/>
        <w:rPr>
          <w:rFonts w:eastAsiaTheme="minorEastAsia"/>
          <w:color w:val="000000" w:themeColor="text1"/>
        </w:rPr>
      </w:pPr>
      <w:r>
        <w:rPr>
          <w:color w:val="000000" w:themeColor="text1"/>
          <w:sz w:val="24"/>
        </w:rPr>
        <w:t>6、从环境保护角度对本项目建设的可行性作出明确结论，为设计部门优化设计，为主管部门决策和环境管理提供依据。</w:t>
      </w:r>
    </w:p>
    <w:p>
      <w:pPr>
        <w:pStyle w:val="6"/>
        <w:spacing w:beforeLines="0" w:afterLines="0"/>
        <w:rPr>
          <w:rFonts w:eastAsiaTheme="minorEastAsia"/>
          <w:color w:val="000000" w:themeColor="text1"/>
          <w:sz w:val="28"/>
          <w:szCs w:val="28"/>
        </w:rPr>
      </w:pPr>
      <w:bookmarkStart w:id="315" w:name="_Toc498932455"/>
      <w:bookmarkStart w:id="316" w:name="_Toc1909"/>
      <w:r>
        <w:rPr>
          <w:rFonts w:eastAsiaTheme="minorEastAsia"/>
          <w:color w:val="000000" w:themeColor="text1"/>
          <w:sz w:val="28"/>
          <w:szCs w:val="28"/>
        </w:rPr>
        <w:t>1.2.2评价原则</w:t>
      </w:r>
      <w:bookmarkEnd w:id="315"/>
      <w:bookmarkEnd w:id="316"/>
    </w:p>
    <w:p>
      <w:pPr>
        <w:ind w:firstLine="480"/>
        <w:rPr>
          <w:color w:val="000000" w:themeColor="text1"/>
        </w:rPr>
      </w:pPr>
      <w:r>
        <w:rPr>
          <w:color w:val="000000" w:themeColor="text1"/>
        </w:rPr>
        <w:t>突出环境影响评价的源头预防作用，坚持保护和改善环境质量。</w:t>
      </w:r>
    </w:p>
    <w:p>
      <w:pPr>
        <w:pStyle w:val="2"/>
        <w:widowControl w:val="0"/>
        <w:numPr>
          <w:ilvl w:val="0"/>
          <w:numId w:val="21"/>
        </w:numPr>
        <w:ind w:firstLine="480"/>
        <w:rPr>
          <w:rFonts w:ascii="Times New Roman" w:hAnsi="Times New Roman"/>
          <w:color w:val="000000" w:themeColor="text1"/>
          <w:szCs w:val="24"/>
          <w:lang w:eastAsia="zh-CN"/>
        </w:rPr>
      </w:pPr>
      <w:r>
        <w:rPr>
          <w:rFonts w:ascii="Times New Roman" w:hAnsi="Times New Roman"/>
          <w:color w:val="000000" w:themeColor="text1"/>
          <w:szCs w:val="24"/>
          <w:lang w:eastAsia="zh-CN"/>
        </w:rPr>
        <w:t>依法评价原则</w:t>
      </w:r>
    </w:p>
    <w:p>
      <w:pPr>
        <w:pStyle w:val="2"/>
        <w:widowControl w:val="0"/>
        <w:ind w:firstLine="480"/>
        <w:rPr>
          <w:rFonts w:ascii="Times New Roman" w:hAnsi="Times New Roman"/>
          <w:color w:val="000000" w:themeColor="text1"/>
          <w:szCs w:val="24"/>
          <w:lang w:eastAsia="zh-CN"/>
        </w:rPr>
      </w:pPr>
      <w:r>
        <w:rPr>
          <w:rFonts w:ascii="Times New Roman" w:hAnsi="Times New Roman"/>
          <w:color w:val="000000" w:themeColor="text1"/>
          <w:szCs w:val="24"/>
          <w:lang w:eastAsia="zh-CN"/>
        </w:rPr>
        <w:t>贯彻执行国家和地方的环境保护相关法律法规、标准、政策和规划等，优化项目建设，服务环境管理。</w:t>
      </w:r>
    </w:p>
    <w:p>
      <w:pPr>
        <w:pStyle w:val="2"/>
        <w:widowControl w:val="0"/>
        <w:numPr>
          <w:ilvl w:val="0"/>
          <w:numId w:val="21"/>
        </w:numPr>
        <w:ind w:firstLine="480"/>
        <w:rPr>
          <w:rFonts w:ascii="Times New Roman" w:hAnsi="Times New Roman"/>
          <w:color w:val="000000" w:themeColor="text1"/>
          <w:szCs w:val="24"/>
          <w:lang w:eastAsia="zh-CN"/>
        </w:rPr>
      </w:pPr>
      <w:r>
        <w:rPr>
          <w:rFonts w:ascii="Times New Roman" w:hAnsi="Times New Roman"/>
          <w:color w:val="000000" w:themeColor="text1"/>
          <w:szCs w:val="24"/>
          <w:lang w:eastAsia="zh-CN"/>
        </w:rPr>
        <w:t>科学评价原则</w:t>
      </w:r>
    </w:p>
    <w:p>
      <w:pPr>
        <w:pStyle w:val="2"/>
        <w:widowControl w:val="0"/>
        <w:ind w:firstLine="480"/>
        <w:rPr>
          <w:rFonts w:ascii="Times New Roman" w:hAnsi="Times New Roman"/>
          <w:color w:val="000000" w:themeColor="text1"/>
          <w:szCs w:val="24"/>
          <w:lang w:eastAsia="zh-CN"/>
        </w:rPr>
      </w:pPr>
      <w:r>
        <w:rPr>
          <w:rFonts w:ascii="Times New Roman" w:hAnsi="Times New Roman"/>
          <w:color w:val="000000" w:themeColor="text1"/>
          <w:szCs w:val="24"/>
          <w:lang w:eastAsia="zh-CN"/>
        </w:rPr>
        <w:t>规范环境影响评价方法，科学分析项目建设对环境质量的影响。</w:t>
      </w:r>
    </w:p>
    <w:p>
      <w:pPr>
        <w:pStyle w:val="2"/>
        <w:widowControl w:val="0"/>
        <w:numPr>
          <w:ilvl w:val="0"/>
          <w:numId w:val="21"/>
        </w:numPr>
        <w:ind w:firstLine="480"/>
        <w:rPr>
          <w:rFonts w:ascii="Times New Roman" w:hAnsi="Times New Roman"/>
          <w:color w:val="000000" w:themeColor="text1"/>
          <w:szCs w:val="24"/>
          <w:lang w:eastAsia="zh-CN"/>
        </w:rPr>
      </w:pPr>
      <w:r>
        <w:rPr>
          <w:rFonts w:ascii="Times New Roman" w:hAnsi="Times New Roman"/>
          <w:color w:val="000000" w:themeColor="text1"/>
          <w:szCs w:val="24"/>
          <w:lang w:eastAsia="zh-CN"/>
        </w:rPr>
        <w:t>突出重点</w:t>
      </w:r>
    </w:p>
    <w:p>
      <w:pPr>
        <w:pStyle w:val="2"/>
        <w:widowControl w:val="0"/>
        <w:ind w:firstLine="480"/>
        <w:rPr>
          <w:rFonts w:ascii="Times New Roman" w:hAnsi="Times New Roman" w:eastAsiaTheme="minorEastAsia"/>
          <w:color w:val="000000" w:themeColor="text1"/>
          <w:sz w:val="30"/>
          <w:szCs w:val="30"/>
          <w:lang w:eastAsia="zh-CN"/>
        </w:rPr>
      </w:pPr>
      <w:r>
        <w:rPr>
          <w:rFonts w:ascii="Times New Roman" w:hAnsi="Times New Roman"/>
          <w:color w:val="000000" w:themeColor="text1"/>
          <w:szCs w:val="24"/>
          <w:lang w:eastAsia="zh-CN"/>
        </w:rPr>
        <w:t>根据建设项目的工程内容及其特点，明确与环境要素间的作用效应关系，充分利用符合时效的数据资料及成果，对建设项目主要环境影响予以重点分析和评价。</w:t>
      </w:r>
    </w:p>
    <w:p>
      <w:pPr>
        <w:pStyle w:val="574"/>
        <w:spacing w:beforeLines="0" w:afterLines="0"/>
        <w:rPr>
          <w:rFonts w:eastAsiaTheme="minorEastAsia"/>
          <w:color w:val="000000" w:themeColor="text1"/>
          <w:sz w:val="30"/>
          <w:szCs w:val="30"/>
        </w:rPr>
      </w:pPr>
      <w:bookmarkStart w:id="317" w:name="_Toc21147"/>
      <w:r>
        <w:rPr>
          <w:rFonts w:eastAsiaTheme="minorEastAsia"/>
          <w:color w:val="000000" w:themeColor="text1"/>
          <w:sz w:val="30"/>
          <w:szCs w:val="30"/>
        </w:rPr>
        <w:t>1.3评价因子</w:t>
      </w:r>
      <w:bookmarkEnd w:id="317"/>
    </w:p>
    <w:p>
      <w:pPr>
        <w:ind w:firstLine="480"/>
        <w:rPr>
          <w:color w:val="000000" w:themeColor="text1"/>
          <w:szCs w:val="24"/>
        </w:rPr>
      </w:pPr>
      <w:r>
        <w:rPr>
          <w:rStyle w:val="73"/>
          <w:color w:val="000000" w:themeColor="text1"/>
          <w:sz w:val="24"/>
          <w:szCs w:val="24"/>
        </w:rPr>
        <w:t>1、环境影响因素及因子的识别</w:t>
      </w: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表1.3-1环境影响要素识别</w:t>
      </w:r>
    </w:p>
    <w:tbl>
      <w:tblPr>
        <w:tblStyle w:val="61"/>
        <w:tblW w:w="9081"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0"/>
        <w:gridCol w:w="1646"/>
        <w:gridCol w:w="1315"/>
        <w:gridCol w:w="1256"/>
        <w:gridCol w:w="1137"/>
        <w:gridCol w:w="1074"/>
        <w:gridCol w:w="1201"/>
        <w:gridCol w:w="121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1886" w:type="dxa"/>
            <w:gridSpan w:val="2"/>
            <w:vMerge w:val="restart"/>
            <w:vAlign w:val="center"/>
          </w:tcPr>
          <w:p>
            <w:pPr>
              <w:pStyle w:val="617"/>
              <w:ind w:firstLine="0" w:firstLineChars="0"/>
              <w:jc w:val="center"/>
              <w:rPr>
                <w:rFonts w:eastAsiaTheme="minorEastAsia"/>
                <w:b/>
                <w:color w:val="000000" w:themeColor="text1"/>
                <w:sz w:val="21"/>
                <w:szCs w:val="21"/>
              </w:rPr>
            </w:pPr>
            <w:r>
              <w:rPr>
                <w:rFonts w:eastAsiaTheme="minorEastAsia"/>
                <w:b/>
                <w:color w:val="000000" w:themeColor="text1"/>
                <w:sz w:val="21"/>
                <w:szCs w:val="21"/>
              </w:rPr>
              <w:t>环境要素工程行为</w:t>
            </w:r>
          </w:p>
        </w:tc>
        <w:tc>
          <w:tcPr>
            <w:tcW w:w="7195" w:type="dxa"/>
            <w:gridSpan w:val="6"/>
            <w:vAlign w:val="center"/>
          </w:tcPr>
          <w:p>
            <w:pPr>
              <w:pStyle w:val="617"/>
              <w:ind w:firstLine="0" w:firstLineChars="0"/>
              <w:jc w:val="center"/>
              <w:rPr>
                <w:rFonts w:eastAsiaTheme="minorEastAsia"/>
                <w:b/>
                <w:color w:val="000000" w:themeColor="text1"/>
                <w:sz w:val="21"/>
                <w:szCs w:val="21"/>
              </w:rPr>
            </w:pPr>
            <w:r>
              <w:rPr>
                <w:rFonts w:eastAsiaTheme="minorEastAsia"/>
                <w:b/>
                <w:color w:val="000000" w:themeColor="text1"/>
                <w:sz w:val="21"/>
                <w:szCs w:val="21"/>
              </w:rPr>
              <w:t>环境质量影响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1886" w:type="dxa"/>
            <w:gridSpan w:val="2"/>
            <w:vMerge w:val="continue"/>
            <w:tcBorders>
              <w:top w:val="nil"/>
            </w:tcBorders>
            <w:vAlign w:val="center"/>
          </w:tcPr>
          <w:p>
            <w:pPr>
              <w:ind w:firstLine="482"/>
              <w:jc w:val="center"/>
              <w:rPr>
                <w:rFonts w:eastAsiaTheme="minorEastAsia"/>
                <w:b/>
                <w:color w:val="000000" w:themeColor="text1"/>
                <w:szCs w:val="21"/>
              </w:rPr>
            </w:pPr>
          </w:p>
        </w:tc>
        <w:tc>
          <w:tcPr>
            <w:tcW w:w="1315" w:type="dxa"/>
            <w:vAlign w:val="center"/>
          </w:tcPr>
          <w:p>
            <w:pPr>
              <w:pStyle w:val="617"/>
              <w:ind w:firstLine="0" w:firstLineChars="0"/>
              <w:jc w:val="center"/>
              <w:rPr>
                <w:rFonts w:eastAsiaTheme="minorEastAsia"/>
                <w:b/>
                <w:color w:val="000000" w:themeColor="text1"/>
                <w:sz w:val="21"/>
                <w:szCs w:val="21"/>
              </w:rPr>
            </w:pPr>
            <w:r>
              <w:rPr>
                <w:rFonts w:eastAsiaTheme="minorEastAsia"/>
                <w:b/>
                <w:color w:val="000000" w:themeColor="text1"/>
                <w:sz w:val="21"/>
                <w:szCs w:val="21"/>
              </w:rPr>
              <w:t>环境空气</w:t>
            </w:r>
          </w:p>
        </w:tc>
        <w:tc>
          <w:tcPr>
            <w:tcW w:w="1256" w:type="dxa"/>
            <w:vAlign w:val="center"/>
          </w:tcPr>
          <w:p>
            <w:pPr>
              <w:pStyle w:val="617"/>
              <w:ind w:firstLine="0" w:firstLineChars="0"/>
              <w:jc w:val="center"/>
              <w:rPr>
                <w:rFonts w:eastAsiaTheme="minorEastAsia"/>
                <w:b/>
                <w:color w:val="000000" w:themeColor="text1"/>
                <w:sz w:val="21"/>
                <w:szCs w:val="21"/>
              </w:rPr>
            </w:pPr>
            <w:r>
              <w:rPr>
                <w:rFonts w:eastAsiaTheme="minorEastAsia"/>
                <w:b/>
                <w:color w:val="000000" w:themeColor="text1"/>
                <w:sz w:val="21"/>
                <w:szCs w:val="21"/>
              </w:rPr>
              <w:t>地面水环境</w:t>
            </w:r>
          </w:p>
        </w:tc>
        <w:tc>
          <w:tcPr>
            <w:tcW w:w="1137" w:type="dxa"/>
            <w:vAlign w:val="center"/>
          </w:tcPr>
          <w:p>
            <w:pPr>
              <w:pStyle w:val="617"/>
              <w:ind w:firstLine="0" w:firstLineChars="0"/>
              <w:jc w:val="center"/>
              <w:rPr>
                <w:rFonts w:eastAsiaTheme="minorEastAsia"/>
                <w:b/>
                <w:color w:val="000000" w:themeColor="text1"/>
                <w:sz w:val="21"/>
                <w:szCs w:val="21"/>
              </w:rPr>
            </w:pPr>
            <w:r>
              <w:rPr>
                <w:rFonts w:eastAsiaTheme="minorEastAsia"/>
                <w:b/>
                <w:color w:val="000000" w:themeColor="text1"/>
                <w:sz w:val="21"/>
                <w:szCs w:val="21"/>
              </w:rPr>
              <w:t>地下水环境</w:t>
            </w:r>
          </w:p>
        </w:tc>
        <w:tc>
          <w:tcPr>
            <w:tcW w:w="1074" w:type="dxa"/>
            <w:vAlign w:val="center"/>
          </w:tcPr>
          <w:p>
            <w:pPr>
              <w:pStyle w:val="617"/>
              <w:ind w:firstLine="0" w:firstLineChars="0"/>
              <w:jc w:val="center"/>
              <w:rPr>
                <w:rFonts w:eastAsiaTheme="minorEastAsia"/>
                <w:b/>
                <w:color w:val="000000" w:themeColor="text1"/>
                <w:sz w:val="21"/>
                <w:szCs w:val="21"/>
              </w:rPr>
            </w:pPr>
            <w:r>
              <w:rPr>
                <w:rFonts w:eastAsiaTheme="minorEastAsia"/>
                <w:b/>
                <w:color w:val="000000" w:themeColor="text1"/>
                <w:sz w:val="21"/>
                <w:szCs w:val="21"/>
              </w:rPr>
              <w:t>声环境</w:t>
            </w:r>
          </w:p>
        </w:tc>
        <w:tc>
          <w:tcPr>
            <w:tcW w:w="1201" w:type="dxa"/>
            <w:vAlign w:val="center"/>
          </w:tcPr>
          <w:p>
            <w:pPr>
              <w:pStyle w:val="617"/>
              <w:ind w:firstLine="0" w:firstLineChars="0"/>
              <w:jc w:val="center"/>
              <w:rPr>
                <w:rFonts w:eastAsiaTheme="minorEastAsia"/>
                <w:b/>
                <w:color w:val="000000" w:themeColor="text1"/>
                <w:sz w:val="21"/>
                <w:szCs w:val="21"/>
              </w:rPr>
            </w:pPr>
            <w:r>
              <w:rPr>
                <w:rFonts w:eastAsiaTheme="minorEastAsia"/>
                <w:b/>
                <w:color w:val="000000" w:themeColor="text1"/>
                <w:sz w:val="21"/>
                <w:szCs w:val="21"/>
              </w:rPr>
              <w:t>土壤环境</w:t>
            </w:r>
          </w:p>
        </w:tc>
        <w:tc>
          <w:tcPr>
            <w:tcW w:w="1212" w:type="dxa"/>
            <w:vAlign w:val="center"/>
          </w:tcPr>
          <w:p>
            <w:pPr>
              <w:pStyle w:val="617"/>
              <w:ind w:firstLine="0" w:firstLineChars="0"/>
              <w:jc w:val="center"/>
              <w:rPr>
                <w:rFonts w:eastAsiaTheme="minorEastAsia"/>
                <w:b/>
                <w:color w:val="000000" w:themeColor="text1"/>
                <w:sz w:val="21"/>
                <w:szCs w:val="21"/>
              </w:rPr>
            </w:pPr>
            <w:r>
              <w:rPr>
                <w:rFonts w:eastAsiaTheme="minorEastAsia"/>
                <w:b/>
                <w:color w:val="000000" w:themeColor="text1"/>
                <w:sz w:val="21"/>
                <w:szCs w:val="21"/>
              </w:rPr>
              <w:t>生态环境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240" w:type="dxa"/>
            <w:vMerge w:val="restart"/>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施工期</w:t>
            </w:r>
          </w:p>
        </w:tc>
        <w:tc>
          <w:tcPr>
            <w:tcW w:w="1646"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施工废水</w:t>
            </w:r>
          </w:p>
        </w:tc>
        <w:tc>
          <w:tcPr>
            <w:tcW w:w="1315" w:type="dxa"/>
            <w:vAlign w:val="center"/>
          </w:tcPr>
          <w:p>
            <w:pPr>
              <w:pStyle w:val="617"/>
              <w:ind w:firstLine="0" w:firstLineChars="0"/>
              <w:jc w:val="center"/>
              <w:rPr>
                <w:rFonts w:eastAsiaTheme="minorEastAsia"/>
                <w:color w:val="000000" w:themeColor="text1"/>
                <w:sz w:val="21"/>
                <w:szCs w:val="21"/>
              </w:rPr>
            </w:pPr>
          </w:p>
        </w:tc>
        <w:tc>
          <w:tcPr>
            <w:tcW w:w="1256"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137" w:type="dxa"/>
            <w:vAlign w:val="center"/>
          </w:tcPr>
          <w:p>
            <w:pPr>
              <w:pStyle w:val="617"/>
              <w:ind w:firstLine="0" w:firstLineChars="0"/>
              <w:jc w:val="center"/>
              <w:rPr>
                <w:rFonts w:eastAsiaTheme="minorEastAsia"/>
                <w:color w:val="000000" w:themeColor="text1"/>
                <w:sz w:val="21"/>
                <w:szCs w:val="21"/>
              </w:rPr>
            </w:pPr>
          </w:p>
        </w:tc>
        <w:tc>
          <w:tcPr>
            <w:tcW w:w="1074" w:type="dxa"/>
            <w:vAlign w:val="center"/>
          </w:tcPr>
          <w:p>
            <w:pPr>
              <w:pStyle w:val="617"/>
              <w:ind w:firstLine="0" w:firstLineChars="0"/>
              <w:jc w:val="center"/>
              <w:rPr>
                <w:rFonts w:eastAsiaTheme="minorEastAsia"/>
                <w:color w:val="000000" w:themeColor="text1"/>
                <w:sz w:val="21"/>
                <w:szCs w:val="21"/>
              </w:rPr>
            </w:pPr>
          </w:p>
        </w:tc>
        <w:tc>
          <w:tcPr>
            <w:tcW w:w="120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212"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240" w:type="dxa"/>
            <w:vMerge w:val="continue"/>
            <w:tcBorders>
              <w:top w:val="nil"/>
            </w:tcBorders>
            <w:vAlign w:val="center"/>
          </w:tcPr>
          <w:p>
            <w:pPr>
              <w:ind w:firstLine="480"/>
              <w:jc w:val="center"/>
              <w:rPr>
                <w:rFonts w:eastAsiaTheme="minorEastAsia"/>
                <w:color w:val="000000" w:themeColor="text1"/>
                <w:szCs w:val="21"/>
              </w:rPr>
            </w:pPr>
          </w:p>
        </w:tc>
        <w:tc>
          <w:tcPr>
            <w:tcW w:w="1646"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施工噪声</w:t>
            </w:r>
          </w:p>
        </w:tc>
        <w:tc>
          <w:tcPr>
            <w:tcW w:w="1315" w:type="dxa"/>
            <w:vAlign w:val="center"/>
          </w:tcPr>
          <w:p>
            <w:pPr>
              <w:pStyle w:val="617"/>
              <w:ind w:firstLine="0" w:firstLineChars="0"/>
              <w:jc w:val="center"/>
              <w:rPr>
                <w:rFonts w:eastAsiaTheme="minorEastAsia"/>
                <w:color w:val="000000" w:themeColor="text1"/>
                <w:sz w:val="21"/>
                <w:szCs w:val="21"/>
              </w:rPr>
            </w:pPr>
          </w:p>
        </w:tc>
        <w:tc>
          <w:tcPr>
            <w:tcW w:w="1256" w:type="dxa"/>
            <w:vAlign w:val="center"/>
          </w:tcPr>
          <w:p>
            <w:pPr>
              <w:pStyle w:val="617"/>
              <w:ind w:firstLine="0" w:firstLineChars="0"/>
              <w:jc w:val="center"/>
              <w:rPr>
                <w:rFonts w:eastAsiaTheme="minorEastAsia"/>
                <w:color w:val="000000" w:themeColor="text1"/>
                <w:sz w:val="21"/>
                <w:szCs w:val="21"/>
              </w:rPr>
            </w:pPr>
          </w:p>
        </w:tc>
        <w:tc>
          <w:tcPr>
            <w:tcW w:w="1137" w:type="dxa"/>
            <w:vAlign w:val="center"/>
          </w:tcPr>
          <w:p>
            <w:pPr>
              <w:pStyle w:val="617"/>
              <w:ind w:firstLine="0" w:firstLineChars="0"/>
              <w:jc w:val="center"/>
              <w:rPr>
                <w:rFonts w:eastAsiaTheme="minorEastAsia"/>
                <w:color w:val="000000" w:themeColor="text1"/>
                <w:sz w:val="21"/>
                <w:szCs w:val="21"/>
              </w:rPr>
            </w:pPr>
          </w:p>
        </w:tc>
        <w:tc>
          <w:tcPr>
            <w:tcW w:w="107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201" w:type="dxa"/>
            <w:vAlign w:val="center"/>
          </w:tcPr>
          <w:p>
            <w:pPr>
              <w:pStyle w:val="617"/>
              <w:ind w:firstLine="0" w:firstLineChars="0"/>
              <w:jc w:val="center"/>
              <w:rPr>
                <w:rFonts w:eastAsiaTheme="minorEastAsia"/>
                <w:color w:val="000000" w:themeColor="text1"/>
                <w:sz w:val="21"/>
                <w:szCs w:val="21"/>
              </w:rPr>
            </w:pPr>
          </w:p>
        </w:tc>
        <w:tc>
          <w:tcPr>
            <w:tcW w:w="1212" w:type="dxa"/>
            <w:vAlign w:val="center"/>
          </w:tcPr>
          <w:p>
            <w:pPr>
              <w:pStyle w:val="617"/>
              <w:ind w:firstLine="0" w:firstLineChars="0"/>
              <w:jc w:val="center"/>
              <w:rPr>
                <w:rFonts w:eastAsiaTheme="minorEastAsia"/>
                <w:color w:val="000000" w:themeColor="text1"/>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240" w:type="dxa"/>
            <w:vMerge w:val="continue"/>
            <w:tcBorders>
              <w:top w:val="nil"/>
            </w:tcBorders>
            <w:vAlign w:val="center"/>
          </w:tcPr>
          <w:p>
            <w:pPr>
              <w:ind w:firstLine="480"/>
              <w:jc w:val="center"/>
              <w:rPr>
                <w:rFonts w:eastAsiaTheme="minorEastAsia"/>
                <w:color w:val="000000" w:themeColor="text1"/>
                <w:szCs w:val="21"/>
              </w:rPr>
            </w:pPr>
          </w:p>
        </w:tc>
        <w:tc>
          <w:tcPr>
            <w:tcW w:w="1646"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施工扬尘</w:t>
            </w:r>
          </w:p>
        </w:tc>
        <w:tc>
          <w:tcPr>
            <w:tcW w:w="1315"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256" w:type="dxa"/>
            <w:vAlign w:val="center"/>
          </w:tcPr>
          <w:p>
            <w:pPr>
              <w:pStyle w:val="617"/>
              <w:ind w:firstLine="0" w:firstLineChars="0"/>
              <w:jc w:val="center"/>
              <w:rPr>
                <w:rFonts w:eastAsiaTheme="minorEastAsia"/>
                <w:color w:val="000000" w:themeColor="text1"/>
                <w:sz w:val="21"/>
                <w:szCs w:val="21"/>
              </w:rPr>
            </w:pPr>
          </w:p>
        </w:tc>
        <w:tc>
          <w:tcPr>
            <w:tcW w:w="1137" w:type="dxa"/>
            <w:vAlign w:val="center"/>
          </w:tcPr>
          <w:p>
            <w:pPr>
              <w:pStyle w:val="617"/>
              <w:ind w:firstLine="0" w:firstLineChars="0"/>
              <w:jc w:val="center"/>
              <w:rPr>
                <w:rFonts w:eastAsiaTheme="minorEastAsia"/>
                <w:color w:val="000000" w:themeColor="text1"/>
                <w:sz w:val="21"/>
                <w:szCs w:val="21"/>
              </w:rPr>
            </w:pPr>
          </w:p>
        </w:tc>
        <w:tc>
          <w:tcPr>
            <w:tcW w:w="1074" w:type="dxa"/>
            <w:vAlign w:val="center"/>
          </w:tcPr>
          <w:p>
            <w:pPr>
              <w:pStyle w:val="617"/>
              <w:ind w:firstLine="0" w:firstLineChars="0"/>
              <w:jc w:val="center"/>
              <w:rPr>
                <w:rFonts w:eastAsiaTheme="minorEastAsia"/>
                <w:color w:val="000000" w:themeColor="text1"/>
                <w:sz w:val="21"/>
                <w:szCs w:val="21"/>
              </w:rPr>
            </w:pPr>
          </w:p>
        </w:tc>
        <w:tc>
          <w:tcPr>
            <w:tcW w:w="1201" w:type="dxa"/>
            <w:vAlign w:val="center"/>
          </w:tcPr>
          <w:p>
            <w:pPr>
              <w:pStyle w:val="617"/>
              <w:ind w:firstLine="0" w:firstLineChars="0"/>
              <w:jc w:val="center"/>
              <w:rPr>
                <w:rFonts w:eastAsiaTheme="minorEastAsia"/>
                <w:color w:val="000000" w:themeColor="text1"/>
                <w:sz w:val="21"/>
                <w:szCs w:val="21"/>
              </w:rPr>
            </w:pPr>
          </w:p>
        </w:tc>
        <w:tc>
          <w:tcPr>
            <w:tcW w:w="1212"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240" w:type="dxa"/>
            <w:vMerge w:val="continue"/>
            <w:tcBorders>
              <w:top w:val="nil"/>
            </w:tcBorders>
            <w:vAlign w:val="center"/>
          </w:tcPr>
          <w:p>
            <w:pPr>
              <w:ind w:firstLine="480"/>
              <w:jc w:val="center"/>
              <w:rPr>
                <w:rFonts w:eastAsiaTheme="minorEastAsia"/>
                <w:color w:val="000000" w:themeColor="text1"/>
                <w:szCs w:val="21"/>
              </w:rPr>
            </w:pPr>
          </w:p>
        </w:tc>
        <w:tc>
          <w:tcPr>
            <w:tcW w:w="1646"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施工垃圾</w:t>
            </w:r>
          </w:p>
        </w:tc>
        <w:tc>
          <w:tcPr>
            <w:tcW w:w="1315"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256" w:type="dxa"/>
            <w:vAlign w:val="center"/>
          </w:tcPr>
          <w:p>
            <w:pPr>
              <w:pStyle w:val="617"/>
              <w:ind w:firstLine="0" w:firstLineChars="0"/>
              <w:jc w:val="center"/>
              <w:rPr>
                <w:rFonts w:eastAsiaTheme="minorEastAsia"/>
                <w:color w:val="000000" w:themeColor="text1"/>
                <w:sz w:val="21"/>
                <w:szCs w:val="21"/>
              </w:rPr>
            </w:pPr>
          </w:p>
        </w:tc>
        <w:tc>
          <w:tcPr>
            <w:tcW w:w="1137" w:type="dxa"/>
            <w:vAlign w:val="center"/>
          </w:tcPr>
          <w:p>
            <w:pPr>
              <w:pStyle w:val="617"/>
              <w:ind w:firstLine="0" w:firstLineChars="0"/>
              <w:jc w:val="center"/>
              <w:rPr>
                <w:rFonts w:eastAsiaTheme="minorEastAsia"/>
                <w:color w:val="000000" w:themeColor="text1"/>
                <w:sz w:val="21"/>
                <w:szCs w:val="21"/>
              </w:rPr>
            </w:pPr>
          </w:p>
        </w:tc>
        <w:tc>
          <w:tcPr>
            <w:tcW w:w="1074" w:type="dxa"/>
            <w:vAlign w:val="center"/>
          </w:tcPr>
          <w:p>
            <w:pPr>
              <w:pStyle w:val="617"/>
              <w:ind w:firstLine="0" w:firstLineChars="0"/>
              <w:jc w:val="center"/>
              <w:rPr>
                <w:rFonts w:eastAsiaTheme="minorEastAsia"/>
                <w:color w:val="000000" w:themeColor="text1"/>
                <w:sz w:val="21"/>
                <w:szCs w:val="21"/>
              </w:rPr>
            </w:pPr>
          </w:p>
        </w:tc>
        <w:tc>
          <w:tcPr>
            <w:tcW w:w="120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212"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240" w:type="dxa"/>
            <w:vMerge w:val="continue"/>
            <w:tcBorders>
              <w:top w:val="nil"/>
            </w:tcBorders>
            <w:vAlign w:val="center"/>
          </w:tcPr>
          <w:p>
            <w:pPr>
              <w:ind w:firstLine="480"/>
              <w:jc w:val="center"/>
              <w:rPr>
                <w:rFonts w:eastAsiaTheme="minorEastAsia"/>
                <w:color w:val="000000" w:themeColor="text1"/>
                <w:szCs w:val="21"/>
              </w:rPr>
            </w:pPr>
          </w:p>
        </w:tc>
        <w:tc>
          <w:tcPr>
            <w:tcW w:w="1646"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土石方、占地</w:t>
            </w:r>
          </w:p>
        </w:tc>
        <w:tc>
          <w:tcPr>
            <w:tcW w:w="1315" w:type="dxa"/>
            <w:vAlign w:val="center"/>
          </w:tcPr>
          <w:p>
            <w:pPr>
              <w:pStyle w:val="617"/>
              <w:ind w:firstLine="0" w:firstLineChars="0"/>
              <w:jc w:val="center"/>
              <w:rPr>
                <w:rFonts w:eastAsiaTheme="minorEastAsia"/>
                <w:color w:val="000000" w:themeColor="text1"/>
                <w:sz w:val="21"/>
                <w:szCs w:val="21"/>
              </w:rPr>
            </w:pPr>
          </w:p>
        </w:tc>
        <w:tc>
          <w:tcPr>
            <w:tcW w:w="1256" w:type="dxa"/>
            <w:vAlign w:val="center"/>
          </w:tcPr>
          <w:p>
            <w:pPr>
              <w:pStyle w:val="617"/>
              <w:ind w:firstLine="0" w:firstLineChars="0"/>
              <w:jc w:val="center"/>
              <w:rPr>
                <w:rFonts w:eastAsiaTheme="minorEastAsia"/>
                <w:color w:val="000000" w:themeColor="text1"/>
                <w:sz w:val="21"/>
                <w:szCs w:val="21"/>
              </w:rPr>
            </w:pPr>
          </w:p>
        </w:tc>
        <w:tc>
          <w:tcPr>
            <w:tcW w:w="1137" w:type="dxa"/>
            <w:vAlign w:val="center"/>
          </w:tcPr>
          <w:p>
            <w:pPr>
              <w:pStyle w:val="617"/>
              <w:ind w:firstLine="0" w:firstLineChars="0"/>
              <w:jc w:val="center"/>
              <w:rPr>
                <w:rFonts w:eastAsiaTheme="minorEastAsia"/>
                <w:color w:val="000000" w:themeColor="text1"/>
                <w:sz w:val="21"/>
                <w:szCs w:val="21"/>
              </w:rPr>
            </w:pPr>
          </w:p>
        </w:tc>
        <w:tc>
          <w:tcPr>
            <w:tcW w:w="1074" w:type="dxa"/>
            <w:vAlign w:val="center"/>
          </w:tcPr>
          <w:p>
            <w:pPr>
              <w:pStyle w:val="617"/>
              <w:ind w:firstLine="0" w:firstLineChars="0"/>
              <w:jc w:val="center"/>
              <w:rPr>
                <w:rFonts w:eastAsiaTheme="minorEastAsia"/>
                <w:color w:val="000000" w:themeColor="text1"/>
                <w:sz w:val="21"/>
                <w:szCs w:val="21"/>
              </w:rPr>
            </w:pPr>
          </w:p>
        </w:tc>
        <w:tc>
          <w:tcPr>
            <w:tcW w:w="120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212" w:type="dxa"/>
            <w:vAlign w:val="center"/>
          </w:tcPr>
          <w:p>
            <w:pPr>
              <w:pStyle w:val="617"/>
              <w:ind w:firstLine="0" w:firstLineChars="0"/>
              <w:jc w:val="center"/>
              <w:rPr>
                <w:rFonts w:eastAsiaTheme="minorEastAsia"/>
                <w:color w:val="000000" w:themeColor="text1"/>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240" w:type="dxa"/>
            <w:vMerge w:val="restart"/>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运行期</w:t>
            </w:r>
          </w:p>
        </w:tc>
        <w:tc>
          <w:tcPr>
            <w:tcW w:w="1646"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废气</w:t>
            </w:r>
          </w:p>
        </w:tc>
        <w:tc>
          <w:tcPr>
            <w:tcW w:w="1315"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1256" w:type="dxa"/>
            <w:vAlign w:val="center"/>
          </w:tcPr>
          <w:p>
            <w:pPr>
              <w:pStyle w:val="617"/>
              <w:ind w:firstLine="0" w:firstLineChars="0"/>
              <w:jc w:val="center"/>
              <w:rPr>
                <w:rFonts w:eastAsiaTheme="minorEastAsia"/>
                <w:color w:val="000000" w:themeColor="text1"/>
                <w:sz w:val="21"/>
                <w:szCs w:val="21"/>
              </w:rPr>
            </w:pPr>
          </w:p>
        </w:tc>
        <w:tc>
          <w:tcPr>
            <w:tcW w:w="1137" w:type="dxa"/>
            <w:vAlign w:val="center"/>
          </w:tcPr>
          <w:p>
            <w:pPr>
              <w:pStyle w:val="617"/>
              <w:ind w:firstLine="0" w:firstLineChars="0"/>
              <w:jc w:val="center"/>
              <w:rPr>
                <w:rFonts w:eastAsiaTheme="minorEastAsia"/>
                <w:color w:val="000000" w:themeColor="text1"/>
                <w:sz w:val="21"/>
                <w:szCs w:val="21"/>
              </w:rPr>
            </w:pPr>
          </w:p>
        </w:tc>
        <w:tc>
          <w:tcPr>
            <w:tcW w:w="1074" w:type="dxa"/>
            <w:vAlign w:val="center"/>
          </w:tcPr>
          <w:p>
            <w:pPr>
              <w:pStyle w:val="617"/>
              <w:ind w:firstLine="0" w:firstLineChars="0"/>
              <w:jc w:val="center"/>
              <w:rPr>
                <w:rFonts w:eastAsiaTheme="minorEastAsia"/>
                <w:color w:val="000000" w:themeColor="text1"/>
                <w:sz w:val="21"/>
                <w:szCs w:val="21"/>
              </w:rPr>
            </w:pPr>
          </w:p>
        </w:tc>
        <w:tc>
          <w:tcPr>
            <w:tcW w:w="1201" w:type="dxa"/>
            <w:vAlign w:val="center"/>
          </w:tcPr>
          <w:p>
            <w:pPr>
              <w:pStyle w:val="617"/>
              <w:ind w:firstLine="0" w:firstLineChars="0"/>
              <w:jc w:val="center"/>
              <w:rPr>
                <w:rFonts w:eastAsiaTheme="minorEastAsia"/>
                <w:color w:val="000000" w:themeColor="text1"/>
                <w:sz w:val="21"/>
                <w:szCs w:val="21"/>
              </w:rPr>
            </w:pPr>
          </w:p>
        </w:tc>
        <w:tc>
          <w:tcPr>
            <w:tcW w:w="1212"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240" w:type="dxa"/>
            <w:vMerge w:val="continue"/>
            <w:tcBorders>
              <w:top w:val="nil"/>
            </w:tcBorders>
            <w:vAlign w:val="center"/>
          </w:tcPr>
          <w:p>
            <w:pPr>
              <w:ind w:firstLine="480"/>
              <w:jc w:val="center"/>
              <w:rPr>
                <w:rFonts w:eastAsiaTheme="minorEastAsia"/>
                <w:color w:val="000000" w:themeColor="text1"/>
                <w:szCs w:val="21"/>
              </w:rPr>
            </w:pPr>
          </w:p>
        </w:tc>
        <w:tc>
          <w:tcPr>
            <w:tcW w:w="1646"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废水</w:t>
            </w:r>
          </w:p>
        </w:tc>
        <w:tc>
          <w:tcPr>
            <w:tcW w:w="1315" w:type="dxa"/>
            <w:vAlign w:val="center"/>
          </w:tcPr>
          <w:p>
            <w:pPr>
              <w:pStyle w:val="617"/>
              <w:ind w:firstLine="0" w:firstLineChars="0"/>
              <w:jc w:val="center"/>
              <w:rPr>
                <w:rFonts w:eastAsiaTheme="minorEastAsia"/>
                <w:color w:val="000000" w:themeColor="text1"/>
                <w:sz w:val="21"/>
                <w:szCs w:val="21"/>
              </w:rPr>
            </w:pPr>
          </w:p>
        </w:tc>
        <w:tc>
          <w:tcPr>
            <w:tcW w:w="1256"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137"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074" w:type="dxa"/>
            <w:vAlign w:val="center"/>
          </w:tcPr>
          <w:p>
            <w:pPr>
              <w:pStyle w:val="617"/>
              <w:ind w:firstLine="0" w:firstLineChars="0"/>
              <w:jc w:val="center"/>
              <w:rPr>
                <w:rFonts w:eastAsiaTheme="minorEastAsia"/>
                <w:color w:val="000000" w:themeColor="text1"/>
                <w:sz w:val="21"/>
                <w:szCs w:val="21"/>
              </w:rPr>
            </w:pPr>
          </w:p>
        </w:tc>
        <w:tc>
          <w:tcPr>
            <w:tcW w:w="1201" w:type="dxa"/>
            <w:vAlign w:val="center"/>
          </w:tcPr>
          <w:p>
            <w:pPr>
              <w:pStyle w:val="617"/>
              <w:ind w:firstLine="0" w:firstLineChars="0"/>
              <w:jc w:val="center"/>
              <w:rPr>
                <w:rFonts w:eastAsiaTheme="minorEastAsia"/>
                <w:color w:val="000000" w:themeColor="text1"/>
                <w:sz w:val="21"/>
                <w:szCs w:val="21"/>
              </w:rPr>
            </w:pPr>
          </w:p>
        </w:tc>
        <w:tc>
          <w:tcPr>
            <w:tcW w:w="1212"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240" w:type="dxa"/>
            <w:vMerge w:val="continue"/>
            <w:tcBorders>
              <w:top w:val="nil"/>
            </w:tcBorders>
            <w:vAlign w:val="center"/>
          </w:tcPr>
          <w:p>
            <w:pPr>
              <w:ind w:firstLine="480"/>
              <w:jc w:val="center"/>
              <w:rPr>
                <w:rFonts w:eastAsiaTheme="minorEastAsia"/>
                <w:color w:val="000000" w:themeColor="text1"/>
                <w:szCs w:val="21"/>
              </w:rPr>
            </w:pPr>
          </w:p>
        </w:tc>
        <w:tc>
          <w:tcPr>
            <w:tcW w:w="1646"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噪声</w:t>
            </w:r>
          </w:p>
        </w:tc>
        <w:tc>
          <w:tcPr>
            <w:tcW w:w="1315" w:type="dxa"/>
            <w:vAlign w:val="center"/>
          </w:tcPr>
          <w:p>
            <w:pPr>
              <w:pStyle w:val="617"/>
              <w:ind w:firstLine="0" w:firstLineChars="0"/>
              <w:jc w:val="center"/>
              <w:rPr>
                <w:rFonts w:eastAsiaTheme="minorEastAsia"/>
                <w:color w:val="000000" w:themeColor="text1"/>
                <w:sz w:val="21"/>
                <w:szCs w:val="21"/>
              </w:rPr>
            </w:pPr>
          </w:p>
        </w:tc>
        <w:tc>
          <w:tcPr>
            <w:tcW w:w="1256" w:type="dxa"/>
            <w:vAlign w:val="center"/>
          </w:tcPr>
          <w:p>
            <w:pPr>
              <w:pStyle w:val="617"/>
              <w:ind w:firstLine="0" w:firstLineChars="0"/>
              <w:jc w:val="center"/>
              <w:rPr>
                <w:rFonts w:eastAsiaTheme="minorEastAsia"/>
                <w:color w:val="000000" w:themeColor="text1"/>
                <w:sz w:val="21"/>
                <w:szCs w:val="21"/>
              </w:rPr>
            </w:pPr>
          </w:p>
        </w:tc>
        <w:tc>
          <w:tcPr>
            <w:tcW w:w="1137" w:type="dxa"/>
            <w:vAlign w:val="center"/>
          </w:tcPr>
          <w:p>
            <w:pPr>
              <w:pStyle w:val="617"/>
              <w:ind w:firstLine="0" w:firstLineChars="0"/>
              <w:jc w:val="center"/>
              <w:rPr>
                <w:rFonts w:eastAsiaTheme="minorEastAsia"/>
                <w:color w:val="000000" w:themeColor="text1"/>
                <w:sz w:val="21"/>
                <w:szCs w:val="21"/>
              </w:rPr>
            </w:pPr>
          </w:p>
        </w:tc>
        <w:tc>
          <w:tcPr>
            <w:tcW w:w="107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201" w:type="dxa"/>
            <w:vAlign w:val="center"/>
          </w:tcPr>
          <w:p>
            <w:pPr>
              <w:pStyle w:val="617"/>
              <w:ind w:firstLine="0" w:firstLineChars="0"/>
              <w:jc w:val="center"/>
              <w:rPr>
                <w:rFonts w:eastAsiaTheme="minorEastAsia"/>
                <w:color w:val="000000" w:themeColor="text1"/>
                <w:sz w:val="21"/>
                <w:szCs w:val="21"/>
              </w:rPr>
            </w:pPr>
          </w:p>
        </w:tc>
        <w:tc>
          <w:tcPr>
            <w:tcW w:w="1212" w:type="dxa"/>
            <w:vAlign w:val="center"/>
          </w:tcPr>
          <w:p>
            <w:pPr>
              <w:pStyle w:val="617"/>
              <w:ind w:firstLine="0" w:firstLineChars="0"/>
              <w:jc w:val="center"/>
              <w:rPr>
                <w:rFonts w:eastAsiaTheme="minorEastAsia"/>
                <w:color w:val="000000" w:themeColor="text1"/>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240" w:type="dxa"/>
            <w:vMerge w:val="continue"/>
            <w:tcBorders>
              <w:top w:val="nil"/>
            </w:tcBorders>
            <w:vAlign w:val="center"/>
          </w:tcPr>
          <w:p>
            <w:pPr>
              <w:ind w:firstLine="480"/>
              <w:jc w:val="center"/>
              <w:rPr>
                <w:rFonts w:eastAsiaTheme="minorEastAsia"/>
                <w:color w:val="000000" w:themeColor="text1"/>
                <w:szCs w:val="21"/>
              </w:rPr>
            </w:pPr>
          </w:p>
        </w:tc>
        <w:tc>
          <w:tcPr>
            <w:tcW w:w="1646"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固体废物</w:t>
            </w:r>
          </w:p>
        </w:tc>
        <w:tc>
          <w:tcPr>
            <w:tcW w:w="1315"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1256" w:type="dxa"/>
            <w:vAlign w:val="center"/>
          </w:tcPr>
          <w:p>
            <w:pPr>
              <w:pStyle w:val="617"/>
              <w:ind w:firstLine="0" w:firstLineChars="0"/>
              <w:jc w:val="center"/>
              <w:rPr>
                <w:rFonts w:eastAsiaTheme="minorEastAsia"/>
                <w:color w:val="000000" w:themeColor="text1"/>
                <w:sz w:val="21"/>
                <w:szCs w:val="21"/>
              </w:rPr>
            </w:pPr>
          </w:p>
        </w:tc>
        <w:tc>
          <w:tcPr>
            <w:tcW w:w="1137" w:type="dxa"/>
            <w:vAlign w:val="center"/>
          </w:tcPr>
          <w:p>
            <w:pPr>
              <w:pStyle w:val="617"/>
              <w:ind w:firstLine="0" w:firstLineChars="0"/>
              <w:jc w:val="center"/>
              <w:rPr>
                <w:rFonts w:eastAsiaTheme="minorEastAsia"/>
                <w:color w:val="000000" w:themeColor="text1"/>
                <w:sz w:val="21"/>
                <w:szCs w:val="21"/>
              </w:rPr>
            </w:pPr>
          </w:p>
        </w:tc>
        <w:tc>
          <w:tcPr>
            <w:tcW w:w="1074" w:type="dxa"/>
            <w:vAlign w:val="center"/>
          </w:tcPr>
          <w:p>
            <w:pPr>
              <w:pStyle w:val="617"/>
              <w:ind w:firstLine="0" w:firstLineChars="0"/>
              <w:jc w:val="center"/>
              <w:rPr>
                <w:rFonts w:eastAsiaTheme="minorEastAsia"/>
                <w:color w:val="000000" w:themeColor="text1"/>
                <w:sz w:val="21"/>
                <w:szCs w:val="21"/>
              </w:rPr>
            </w:pPr>
          </w:p>
        </w:tc>
        <w:tc>
          <w:tcPr>
            <w:tcW w:w="120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212"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240" w:type="dxa"/>
            <w:vMerge w:val="continue"/>
            <w:tcBorders>
              <w:top w:val="nil"/>
            </w:tcBorders>
            <w:vAlign w:val="center"/>
          </w:tcPr>
          <w:p>
            <w:pPr>
              <w:ind w:firstLine="480"/>
              <w:jc w:val="center"/>
              <w:rPr>
                <w:rFonts w:eastAsiaTheme="minorEastAsia"/>
                <w:color w:val="000000" w:themeColor="text1"/>
                <w:szCs w:val="21"/>
              </w:rPr>
            </w:pPr>
          </w:p>
        </w:tc>
        <w:tc>
          <w:tcPr>
            <w:tcW w:w="1646"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事故风险</w:t>
            </w:r>
          </w:p>
        </w:tc>
        <w:tc>
          <w:tcPr>
            <w:tcW w:w="1315" w:type="dxa"/>
            <w:vAlign w:val="center"/>
          </w:tcPr>
          <w:p>
            <w:pPr>
              <w:pStyle w:val="617"/>
              <w:ind w:firstLine="0" w:firstLineChars="0"/>
              <w:jc w:val="center"/>
              <w:rPr>
                <w:rFonts w:eastAsiaTheme="minorEastAsia"/>
                <w:color w:val="000000" w:themeColor="text1"/>
                <w:sz w:val="21"/>
                <w:szCs w:val="21"/>
              </w:rPr>
            </w:pPr>
          </w:p>
        </w:tc>
        <w:tc>
          <w:tcPr>
            <w:tcW w:w="1256"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1137"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1074" w:type="dxa"/>
            <w:vAlign w:val="center"/>
          </w:tcPr>
          <w:p>
            <w:pPr>
              <w:pStyle w:val="617"/>
              <w:ind w:firstLine="0" w:firstLineChars="0"/>
              <w:jc w:val="center"/>
              <w:rPr>
                <w:rFonts w:eastAsiaTheme="minorEastAsia"/>
                <w:color w:val="000000" w:themeColor="text1"/>
                <w:sz w:val="21"/>
                <w:szCs w:val="21"/>
              </w:rPr>
            </w:pPr>
          </w:p>
        </w:tc>
        <w:tc>
          <w:tcPr>
            <w:tcW w:w="120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212" w:type="dxa"/>
            <w:tcBorders>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jc w:val="center"/>
        </w:trPr>
        <w:tc>
          <w:tcPr>
            <w:tcW w:w="9081" w:type="dxa"/>
            <w:gridSpan w:val="8"/>
            <w:tcBorders>
              <w:right w:val="single" w:color="auto" w:sz="4" w:space="0"/>
            </w:tcBorders>
            <w:vAlign w:val="center"/>
          </w:tcPr>
          <w:p>
            <w:pPr>
              <w:pStyle w:val="617"/>
              <w:ind w:firstLine="0" w:firstLineChars="0"/>
              <w:rPr>
                <w:rFonts w:eastAsiaTheme="minorEastAsia"/>
                <w:color w:val="000000" w:themeColor="text1"/>
                <w:sz w:val="21"/>
                <w:szCs w:val="21"/>
              </w:rPr>
            </w:pPr>
            <w:r>
              <w:rPr>
                <w:rFonts w:eastAsiaTheme="minorEastAsia"/>
                <w:color w:val="000000" w:themeColor="text1"/>
                <w:sz w:val="21"/>
                <w:szCs w:val="21"/>
              </w:rPr>
              <w:t>注：■/▲：长期/短期影响；涂黑/涂白：不利/有利影响；</w:t>
            </w:r>
          </w:p>
          <w:p>
            <w:pPr>
              <w:pStyle w:val="617"/>
              <w:ind w:firstLine="0" w:firstLineChars="0"/>
              <w:rPr>
                <w:rFonts w:eastAsiaTheme="minorEastAsia"/>
                <w:color w:val="000000" w:themeColor="text1"/>
                <w:sz w:val="21"/>
                <w:szCs w:val="21"/>
              </w:rPr>
            </w:pPr>
            <w:r>
              <w:rPr>
                <w:rFonts w:eastAsiaTheme="minorEastAsia"/>
                <w:color w:val="000000" w:themeColor="text1"/>
                <w:sz w:val="21"/>
                <w:szCs w:val="21"/>
              </w:rPr>
              <w:t>1：影响较大，2：中等影响，3：轻微影响。</w:t>
            </w:r>
          </w:p>
        </w:tc>
      </w:tr>
    </w:tbl>
    <w:p>
      <w:pPr>
        <w:ind w:firstLine="422"/>
        <w:jc w:val="center"/>
        <w:rPr>
          <w:rFonts w:eastAsiaTheme="minorEastAsia"/>
          <w:b/>
          <w:bCs/>
          <w:color w:val="000000" w:themeColor="text1"/>
          <w:sz w:val="21"/>
          <w:szCs w:val="21"/>
        </w:rPr>
      </w:pP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表1.3-2环境影响因子识别表</w:t>
      </w:r>
    </w:p>
    <w:tbl>
      <w:tblPr>
        <w:tblStyle w:val="61"/>
        <w:tblW w:w="9081"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25"/>
        <w:gridCol w:w="2071"/>
        <w:gridCol w:w="1118"/>
        <w:gridCol w:w="1654"/>
        <w:gridCol w:w="1654"/>
        <w:gridCol w:w="165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tblHeader/>
          <w:jc w:val="center"/>
        </w:trPr>
        <w:tc>
          <w:tcPr>
            <w:tcW w:w="2996" w:type="dxa"/>
            <w:gridSpan w:val="2"/>
            <w:vMerge w:val="restart"/>
            <w:vAlign w:val="center"/>
          </w:tcPr>
          <w:p>
            <w:pPr>
              <w:pStyle w:val="617"/>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环境因子</w:t>
            </w:r>
          </w:p>
        </w:tc>
        <w:tc>
          <w:tcPr>
            <w:tcW w:w="1118" w:type="dxa"/>
            <w:vMerge w:val="restart"/>
            <w:vAlign w:val="center"/>
          </w:tcPr>
          <w:p>
            <w:pPr>
              <w:pStyle w:val="617"/>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建设期</w:t>
            </w:r>
          </w:p>
        </w:tc>
        <w:tc>
          <w:tcPr>
            <w:tcW w:w="4967" w:type="dxa"/>
            <w:gridSpan w:val="3"/>
            <w:vAlign w:val="center"/>
          </w:tcPr>
          <w:p>
            <w:pPr>
              <w:pStyle w:val="617"/>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营运期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tblHeader/>
          <w:jc w:val="center"/>
        </w:trPr>
        <w:tc>
          <w:tcPr>
            <w:tcW w:w="2996" w:type="dxa"/>
            <w:gridSpan w:val="2"/>
            <w:vMerge w:val="continue"/>
            <w:tcBorders>
              <w:top w:val="nil"/>
            </w:tcBorders>
            <w:vAlign w:val="center"/>
          </w:tcPr>
          <w:p>
            <w:pPr>
              <w:ind w:firstLine="482"/>
              <w:jc w:val="center"/>
              <w:rPr>
                <w:rFonts w:eastAsiaTheme="minorEastAsia"/>
                <w:b/>
                <w:bCs/>
                <w:color w:val="000000" w:themeColor="text1"/>
                <w:szCs w:val="21"/>
              </w:rPr>
            </w:pPr>
          </w:p>
        </w:tc>
        <w:tc>
          <w:tcPr>
            <w:tcW w:w="1118" w:type="dxa"/>
            <w:vMerge w:val="continue"/>
            <w:tcBorders>
              <w:top w:val="nil"/>
            </w:tcBorders>
            <w:vAlign w:val="center"/>
          </w:tcPr>
          <w:p>
            <w:pPr>
              <w:ind w:firstLine="482"/>
              <w:jc w:val="center"/>
              <w:rPr>
                <w:rFonts w:eastAsiaTheme="minorEastAsia"/>
                <w:b/>
                <w:bCs/>
                <w:color w:val="000000" w:themeColor="text1"/>
                <w:szCs w:val="21"/>
              </w:rPr>
            </w:pPr>
          </w:p>
        </w:tc>
        <w:tc>
          <w:tcPr>
            <w:tcW w:w="1654" w:type="dxa"/>
            <w:vAlign w:val="center"/>
          </w:tcPr>
          <w:p>
            <w:pPr>
              <w:pStyle w:val="617"/>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生产单元</w:t>
            </w:r>
          </w:p>
        </w:tc>
        <w:tc>
          <w:tcPr>
            <w:tcW w:w="1654" w:type="dxa"/>
            <w:vAlign w:val="center"/>
          </w:tcPr>
          <w:p>
            <w:pPr>
              <w:pStyle w:val="617"/>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公用工程</w:t>
            </w:r>
          </w:p>
        </w:tc>
        <w:tc>
          <w:tcPr>
            <w:tcW w:w="1659" w:type="dxa"/>
            <w:vAlign w:val="center"/>
          </w:tcPr>
          <w:p>
            <w:pPr>
              <w:pStyle w:val="617"/>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生活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tcBorders>
              <w:top w:val="nil"/>
            </w:tcBorders>
            <w:vAlign w:val="center"/>
          </w:tcPr>
          <w:p>
            <w:pPr>
              <w:ind w:firstLine="0" w:firstLineChars="0"/>
              <w:jc w:val="center"/>
              <w:rPr>
                <w:rFonts w:eastAsiaTheme="minorEastAsia"/>
                <w:color w:val="000000" w:themeColor="text1"/>
                <w:szCs w:val="21"/>
              </w:rPr>
            </w:pPr>
            <w:r>
              <w:rPr>
                <w:rFonts w:eastAsiaTheme="minorEastAsia"/>
                <w:color w:val="000000" w:themeColor="text1"/>
                <w:sz w:val="21"/>
                <w:szCs w:val="21"/>
              </w:rPr>
              <w:t>大气</w:t>
            </w:r>
          </w:p>
        </w:tc>
        <w:tc>
          <w:tcPr>
            <w:tcW w:w="207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颗粒物</w:t>
            </w:r>
          </w:p>
        </w:tc>
        <w:tc>
          <w:tcPr>
            <w:tcW w:w="1118" w:type="dxa"/>
            <w:vAlign w:val="center"/>
          </w:tcPr>
          <w:p>
            <w:pPr>
              <w:pStyle w:val="617"/>
              <w:ind w:firstLine="0" w:firstLineChars="0"/>
              <w:jc w:val="center"/>
              <w:rPr>
                <w:rFonts w:eastAsiaTheme="minorEastAsia"/>
                <w:color w:val="000000" w:themeColor="text1"/>
                <w:sz w:val="21"/>
                <w:szCs w:val="21"/>
              </w:rPr>
            </w:pP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p>
        </w:tc>
        <w:tc>
          <w:tcPr>
            <w:tcW w:w="1659" w:type="dxa"/>
            <w:vAlign w:val="center"/>
          </w:tcPr>
          <w:p>
            <w:pPr>
              <w:pStyle w:val="617"/>
              <w:ind w:firstLine="0" w:firstLineChars="0"/>
              <w:jc w:val="center"/>
              <w:rPr>
                <w:rFonts w:eastAsiaTheme="minorEastAsia"/>
                <w:color w:val="000000" w:themeColor="text1"/>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vMerge w:val="restart"/>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水</w:t>
            </w:r>
          </w:p>
        </w:tc>
        <w:tc>
          <w:tcPr>
            <w:tcW w:w="207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pH</w:t>
            </w:r>
          </w:p>
        </w:tc>
        <w:tc>
          <w:tcPr>
            <w:tcW w:w="1118" w:type="dxa"/>
            <w:vAlign w:val="center"/>
          </w:tcPr>
          <w:p>
            <w:pPr>
              <w:pStyle w:val="617"/>
              <w:ind w:firstLine="0" w:firstLineChars="0"/>
              <w:jc w:val="center"/>
              <w:rPr>
                <w:rFonts w:eastAsiaTheme="minorEastAsia"/>
                <w:color w:val="000000" w:themeColor="text1"/>
                <w:sz w:val="21"/>
                <w:szCs w:val="21"/>
              </w:rPr>
            </w:pP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p>
        </w:tc>
        <w:tc>
          <w:tcPr>
            <w:tcW w:w="1659"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vMerge w:val="continue"/>
            <w:vAlign w:val="center"/>
          </w:tcPr>
          <w:p>
            <w:pPr>
              <w:ind w:firstLine="480"/>
              <w:jc w:val="center"/>
              <w:rPr>
                <w:rFonts w:eastAsiaTheme="minorEastAsia"/>
                <w:color w:val="000000" w:themeColor="text1"/>
                <w:szCs w:val="21"/>
              </w:rPr>
            </w:pPr>
          </w:p>
        </w:tc>
        <w:tc>
          <w:tcPr>
            <w:tcW w:w="207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COD</w:t>
            </w:r>
          </w:p>
        </w:tc>
        <w:tc>
          <w:tcPr>
            <w:tcW w:w="1118"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9"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vMerge w:val="continue"/>
            <w:vAlign w:val="center"/>
          </w:tcPr>
          <w:p>
            <w:pPr>
              <w:ind w:firstLine="480"/>
              <w:jc w:val="center"/>
              <w:rPr>
                <w:rFonts w:eastAsiaTheme="minorEastAsia"/>
                <w:color w:val="000000" w:themeColor="text1"/>
                <w:szCs w:val="21"/>
              </w:rPr>
            </w:pPr>
          </w:p>
        </w:tc>
        <w:tc>
          <w:tcPr>
            <w:tcW w:w="207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SS</w:t>
            </w:r>
          </w:p>
        </w:tc>
        <w:tc>
          <w:tcPr>
            <w:tcW w:w="1118"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9"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vMerge w:val="continue"/>
            <w:vAlign w:val="center"/>
          </w:tcPr>
          <w:p>
            <w:pPr>
              <w:ind w:firstLine="480"/>
              <w:jc w:val="center"/>
              <w:rPr>
                <w:rFonts w:eastAsiaTheme="minorEastAsia"/>
                <w:color w:val="000000" w:themeColor="text1"/>
                <w:szCs w:val="21"/>
              </w:rPr>
            </w:pPr>
          </w:p>
        </w:tc>
        <w:tc>
          <w:tcPr>
            <w:tcW w:w="207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NH</w:t>
            </w:r>
            <w:r>
              <w:rPr>
                <w:rFonts w:eastAsiaTheme="minorEastAsia"/>
                <w:color w:val="000000" w:themeColor="text1"/>
                <w:sz w:val="21"/>
                <w:szCs w:val="21"/>
                <w:vertAlign w:val="subscript"/>
              </w:rPr>
              <w:t>3</w:t>
            </w:r>
            <w:r>
              <w:rPr>
                <w:rFonts w:eastAsiaTheme="minorEastAsia"/>
                <w:color w:val="000000" w:themeColor="text1"/>
                <w:sz w:val="21"/>
                <w:szCs w:val="21"/>
              </w:rPr>
              <w:t>-N</w:t>
            </w:r>
          </w:p>
        </w:tc>
        <w:tc>
          <w:tcPr>
            <w:tcW w:w="1118"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9"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vMerge w:val="continue"/>
            <w:vAlign w:val="center"/>
          </w:tcPr>
          <w:p>
            <w:pPr>
              <w:ind w:firstLine="480"/>
              <w:jc w:val="center"/>
              <w:rPr>
                <w:rFonts w:eastAsiaTheme="minorEastAsia"/>
                <w:color w:val="000000" w:themeColor="text1"/>
                <w:szCs w:val="21"/>
              </w:rPr>
            </w:pPr>
          </w:p>
        </w:tc>
        <w:tc>
          <w:tcPr>
            <w:tcW w:w="207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TP</w:t>
            </w:r>
          </w:p>
        </w:tc>
        <w:tc>
          <w:tcPr>
            <w:tcW w:w="1118"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9"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vMerge w:val="continue"/>
            <w:vAlign w:val="center"/>
          </w:tcPr>
          <w:p>
            <w:pPr>
              <w:ind w:firstLine="480"/>
              <w:jc w:val="center"/>
              <w:rPr>
                <w:rFonts w:eastAsiaTheme="minorEastAsia"/>
                <w:color w:val="000000" w:themeColor="text1"/>
                <w:szCs w:val="21"/>
              </w:rPr>
            </w:pPr>
          </w:p>
        </w:tc>
        <w:tc>
          <w:tcPr>
            <w:tcW w:w="207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石油类</w:t>
            </w:r>
          </w:p>
        </w:tc>
        <w:tc>
          <w:tcPr>
            <w:tcW w:w="1118" w:type="dxa"/>
            <w:vAlign w:val="center"/>
          </w:tcPr>
          <w:p>
            <w:pPr>
              <w:pStyle w:val="617"/>
              <w:ind w:firstLine="0" w:firstLineChars="0"/>
              <w:jc w:val="center"/>
              <w:rPr>
                <w:rFonts w:eastAsiaTheme="minorEastAsia"/>
                <w:color w:val="000000" w:themeColor="text1"/>
                <w:sz w:val="21"/>
                <w:szCs w:val="21"/>
              </w:rPr>
            </w:pP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9"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vMerge w:val="continue"/>
            <w:vAlign w:val="center"/>
          </w:tcPr>
          <w:p>
            <w:pPr>
              <w:ind w:firstLine="480"/>
              <w:jc w:val="center"/>
              <w:rPr>
                <w:rFonts w:eastAsiaTheme="minorEastAsia"/>
                <w:color w:val="000000" w:themeColor="text1"/>
                <w:szCs w:val="21"/>
              </w:rPr>
            </w:pPr>
          </w:p>
        </w:tc>
        <w:tc>
          <w:tcPr>
            <w:tcW w:w="207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Fe</w:t>
            </w:r>
          </w:p>
        </w:tc>
        <w:tc>
          <w:tcPr>
            <w:tcW w:w="1118" w:type="dxa"/>
            <w:vAlign w:val="center"/>
          </w:tcPr>
          <w:p>
            <w:pPr>
              <w:pStyle w:val="617"/>
              <w:ind w:firstLine="0" w:firstLineChars="0"/>
              <w:jc w:val="center"/>
              <w:rPr>
                <w:rFonts w:eastAsiaTheme="minorEastAsia"/>
                <w:color w:val="000000" w:themeColor="text1"/>
                <w:sz w:val="21"/>
                <w:szCs w:val="21"/>
              </w:rPr>
            </w:pP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p>
        </w:tc>
        <w:tc>
          <w:tcPr>
            <w:tcW w:w="1659" w:type="dxa"/>
            <w:vAlign w:val="center"/>
          </w:tcPr>
          <w:p>
            <w:pPr>
              <w:pStyle w:val="617"/>
              <w:ind w:firstLine="0" w:firstLineChars="0"/>
              <w:jc w:val="center"/>
              <w:rPr>
                <w:rFonts w:eastAsiaTheme="minorEastAsia"/>
                <w:color w:val="000000" w:themeColor="text1"/>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vMerge w:val="continue"/>
            <w:vAlign w:val="center"/>
          </w:tcPr>
          <w:p>
            <w:pPr>
              <w:ind w:firstLine="480"/>
              <w:jc w:val="center"/>
              <w:rPr>
                <w:rFonts w:eastAsiaTheme="minorEastAsia"/>
                <w:color w:val="000000" w:themeColor="text1"/>
                <w:szCs w:val="21"/>
              </w:rPr>
            </w:pPr>
          </w:p>
        </w:tc>
        <w:tc>
          <w:tcPr>
            <w:tcW w:w="207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铜</w:t>
            </w:r>
          </w:p>
        </w:tc>
        <w:tc>
          <w:tcPr>
            <w:tcW w:w="1118" w:type="dxa"/>
            <w:vAlign w:val="center"/>
          </w:tcPr>
          <w:p>
            <w:pPr>
              <w:pStyle w:val="617"/>
              <w:ind w:firstLine="0" w:firstLineChars="0"/>
              <w:jc w:val="center"/>
              <w:rPr>
                <w:rFonts w:eastAsiaTheme="minorEastAsia"/>
                <w:color w:val="000000" w:themeColor="text1"/>
                <w:sz w:val="21"/>
                <w:szCs w:val="21"/>
              </w:rPr>
            </w:pP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p>
        </w:tc>
        <w:tc>
          <w:tcPr>
            <w:tcW w:w="1659" w:type="dxa"/>
            <w:vAlign w:val="center"/>
          </w:tcPr>
          <w:p>
            <w:pPr>
              <w:pStyle w:val="617"/>
              <w:ind w:firstLine="0" w:firstLineChars="0"/>
              <w:jc w:val="center"/>
              <w:rPr>
                <w:rFonts w:eastAsiaTheme="minorEastAsia"/>
                <w:color w:val="000000" w:themeColor="text1"/>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vMerge w:val="continue"/>
            <w:vAlign w:val="center"/>
          </w:tcPr>
          <w:p>
            <w:pPr>
              <w:ind w:firstLine="480"/>
              <w:jc w:val="center"/>
              <w:rPr>
                <w:rFonts w:eastAsiaTheme="minorEastAsia"/>
                <w:color w:val="000000" w:themeColor="text1"/>
                <w:szCs w:val="21"/>
              </w:rPr>
            </w:pPr>
          </w:p>
        </w:tc>
        <w:tc>
          <w:tcPr>
            <w:tcW w:w="2071" w:type="dxa"/>
            <w:vAlign w:val="center"/>
          </w:tcPr>
          <w:p>
            <w:pPr>
              <w:pStyle w:val="617"/>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锰</w:t>
            </w:r>
          </w:p>
        </w:tc>
        <w:tc>
          <w:tcPr>
            <w:tcW w:w="1118" w:type="dxa"/>
            <w:vAlign w:val="center"/>
          </w:tcPr>
          <w:p>
            <w:pPr>
              <w:pStyle w:val="617"/>
              <w:ind w:firstLine="0" w:firstLineChars="0"/>
              <w:jc w:val="center"/>
              <w:rPr>
                <w:rFonts w:eastAsiaTheme="minorEastAsia"/>
                <w:color w:val="000000" w:themeColor="text1"/>
                <w:sz w:val="21"/>
                <w:szCs w:val="21"/>
              </w:rPr>
            </w:pP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p>
        </w:tc>
        <w:tc>
          <w:tcPr>
            <w:tcW w:w="1659" w:type="dxa"/>
            <w:vAlign w:val="center"/>
          </w:tcPr>
          <w:p>
            <w:pPr>
              <w:pStyle w:val="617"/>
              <w:ind w:firstLine="0" w:firstLineChars="0"/>
              <w:jc w:val="center"/>
              <w:rPr>
                <w:rFonts w:eastAsiaTheme="minorEastAsia"/>
                <w:color w:val="000000" w:themeColor="text1"/>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噪声</w:t>
            </w:r>
          </w:p>
        </w:tc>
        <w:tc>
          <w:tcPr>
            <w:tcW w:w="207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等效连续A声级</w:t>
            </w:r>
          </w:p>
        </w:tc>
        <w:tc>
          <w:tcPr>
            <w:tcW w:w="1118"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9" w:type="dxa"/>
            <w:vAlign w:val="center"/>
          </w:tcPr>
          <w:p>
            <w:pPr>
              <w:pStyle w:val="617"/>
              <w:ind w:firstLine="0" w:firstLineChars="0"/>
              <w:jc w:val="center"/>
              <w:rPr>
                <w:rFonts w:eastAsiaTheme="minorEastAsia"/>
                <w:color w:val="000000" w:themeColor="text1"/>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vMerge w:val="restart"/>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固体废物</w:t>
            </w:r>
          </w:p>
        </w:tc>
        <w:tc>
          <w:tcPr>
            <w:tcW w:w="207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一般工业固废</w:t>
            </w:r>
          </w:p>
        </w:tc>
        <w:tc>
          <w:tcPr>
            <w:tcW w:w="1118"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p>
        </w:tc>
        <w:tc>
          <w:tcPr>
            <w:tcW w:w="1659" w:type="dxa"/>
            <w:vAlign w:val="center"/>
          </w:tcPr>
          <w:p>
            <w:pPr>
              <w:pStyle w:val="617"/>
              <w:ind w:firstLine="0" w:firstLineChars="0"/>
              <w:jc w:val="center"/>
              <w:rPr>
                <w:rFonts w:eastAsiaTheme="minorEastAsia"/>
                <w:color w:val="000000" w:themeColor="text1"/>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vMerge w:val="continue"/>
            <w:tcBorders>
              <w:top w:val="nil"/>
            </w:tcBorders>
            <w:vAlign w:val="center"/>
          </w:tcPr>
          <w:p>
            <w:pPr>
              <w:ind w:firstLine="480"/>
              <w:jc w:val="center"/>
              <w:rPr>
                <w:rFonts w:eastAsiaTheme="minorEastAsia"/>
                <w:color w:val="000000" w:themeColor="text1"/>
                <w:szCs w:val="21"/>
              </w:rPr>
            </w:pPr>
          </w:p>
        </w:tc>
        <w:tc>
          <w:tcPr>
            <w:tcW w:w="207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危险废物</w:t>
            </w:r>
          </w:p>
        </w:tc>
        <w:tc>
          <w:tcPr>
            <w:tcW w:w="1118" w:type="dxa"/>
            <w:vAlign w:val="center"/>
          </w:tcPr>
          <w:p>
            <w:pPr>
              <w:pStyle w:val="617"/>
              <w:ind w:firstLine="0" w:firstLineChars="0"/>
              <w:jc w:val="center"/>
              <w:rPr>
                <w:rFonts w:eastAsiaTheme="minorEastAsia"/>
                <w:color w:val="000000" w:themeColor="text1"/>
                <w:sz w:val="21"/>
                <w:szCs w:val="21"/>
              </w:rPr>
            </w:pP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p>
        </w:tc>
        <w:tc>
          <w:tcPr>
            <w:tcW w:w="1659" w:type="dxa"/>
            <w:vAlign w:val="center"/>
          </w:tcPr>
          <w:p>
            <w:pPr>
              <w:pStyle w:val="617"/>
              <w:ind w:firstLine="0" w:firstLineChars="0"/>
              <w:jc w:val="center"/>
              <w:rPr>
                <w:rFonts w:eastAsiaTheme="minorEastAsia"/>
                <w:color w:val="000000" w:themeColor="text1"/>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25" w:type="dxa"/>
            <w:vMerge w:val="continue"/>
            <w:tcBorders>
              <w:top w:val="nil"/>
            </w:tcBorders>
            <w:vAlign w:val="center"/>
          </w:tcPr>
          <w:p>
            <w:pPr>
              <w:ind w:firstLine="480"/>
              <w:jc w:val="center"/>
              <w:rPr>
                <w:rFonts w:eastAsiaTheme="minorEastAsia"/>
                <w:color w:val="000000" w:themeColor="text1"/>
                <w:szCs w:val="21"/>
              </w:rPr>
            </w:pPr>
          </w:p>
        </w:tc>
        <w:tc>
          <w:tcPr>
            <w:tcW w:w="2071"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生活垃圾</w:t>
            </w:r>
          </w:p>
        </w:tc>
        <w:tc>
          <w:tcPr>
            <w:tcW w:w="1118" w:type="dxa"/>
            <w:vAlign w:val="center"/>
          </w:tcPr>
          <w:p>
            <w:pPr>
              <w:pStyle w:val="617"/>
              <w:ind w:firstLine="0" w:firstLineChars="0"/>
              <w:jc w:val="center"/>
              <w:rPr>
                <w:rFonts w:eastAsiaTheme="minorEastAsia"/>
                <w:color w:val="000000" w:themeColor="text1"/>
                <w:sz w:val="21"/>
                <w:szCs w:val="21"/>
              </w:rPr>
            </w:pPr>
          </w:p>
        </w:tc>
        <w:tc>
          <w:tcPr>
            <w:tcW w:w="1654" w:type="dxa"/>
            <w:vAlign w:val="center"/>
          </w:tcPr>
          <w:p>
            <w:pPr>
              <w:pStyle w:val="617"/>
              <w:ind w:firstLine="0" w:firstLineChars="0"/>
              <w:jc w:val="center"/>
              <w:rPr>
                <w:rFonts w:eastAsiaTheme="minorEastAsia"/>
                <w:color w:val="000000" w:themeColor="text1"/>
                <w:sz w:val="21"/>
                <w:szCs w:val="21"/>
              </w:rPr>
            </w:pPr>
          </w:p>
        </w:tc>
        <w:tc>
          <w:tcPr>
            <w:tcW w:w="1654" w:type="dxa"/>
            <w:vAlign w:val="center"/>
          </w:tcPr>
          <w:p>
            <w:pPr>
              <w:pStyle w:val="617"/>
              <w:ind w:firstLine="0" w:firstLineChars="0"/>
              <w:jc w:val="center"/>
              <w:rPr>
                <w:rFonts w:eastAsiaTheme="minorEastAsia"/>
                <w:color w:val="000000" w:themeColor="text1"/>
                <w:sz w:val="21"/>
                <w:szCs w:val="21"/>
              </w:rPr>
            </w:pPr>
          </w:p>
        </w:tc>
        <w:tc>
          <w:tcPr>
            <w:tcW w:w="1659"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2996" w:type="dxa"/>
            <w:gridSpan w:val="2"/>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生态环境</w:t>
            </w:r>
          </w:p>
        </w:tc>
        <w:tc>
          <w:tcPr>
            <w:tcW w:w="1118"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654" w:type="dxa"/>
            <w:vAlign w:val="center"/>
          </w:tcPr>
          <w:p>
            <w:pPr>
              <w:pStyle w:val="617"/>
              <w:ind w:firstLine="0" w:firstLineChars="0"/>
              <w:jc w:val="center"/>
              <w:rPr>
                <w:rFonts w:eastAsiaTheme="minorEastAsia"/>
                <w:color w:val="000000" w:themeColor="text1"/>
                <w:sz w:val="21"/>
                <w:szCs w:val="21"/>
              </w:rPr>
            </w:pPr>
          </w:p>
        </w:tc>
        <w:tc>
          <w:tcPr>
            <w:tcW w:w="1659" w:type="dxa"/>
            <w:vAlign w:val="center"/>
          </w:tcPr>
          <w:p>
            <w:pPr>
              <w:pStyle w:val="617"/>
              <w:ind w:firstLine="0" w:firstLineChars="0"/>
              <w:jc w:val="center"/>
              <w:rPr>
                <w:rFonts w:eastAsiaTheme="minorEastAsia"/>
                <w:color w:val="000000" w:themeColor="text1"/>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7" w:hRule="exact"/>
          <w:jc w:val="center"/>
        </w:trPr>
        <w:tc>
          <w:tcPr>
            <w:tcW w:w="9081" w:type="dxa"/>
            <w:gridSpan w:val="6"/>
            <w:vAlign w:val="center"/>
          </w:tcPr>
          <w:p>
            <w:pPr>
              <w:pStyle w:val="617"/>
              <w:ind w:firstLine="0" w:firstLineChars="0"/>
              <w:rPr>
                <w:rFonts w:eastAsiaTheme="minorEastAsia"/>
                <w:color w:val="000000" w:themeColor="text1"/>
                <w:sz w:val="21"/>
                <w:szCs w:val="21"/>
              </w:rPr>
            </w:pPr>
            <w:r>
              <w:rPr>
                <w:rFonts w:eastAsiaTheme="minorEastAsia"/>
                <w:color w:val="000000" w:themeColor="text1"/>
                <w:sz w:val="21"/>
                <w:szCs w:val="21"/>
              </w:rPr>
              <w:t>注：▲—显著不利影响；△—轻微不利影响；●—显著有利影响。</w:t>
            </w:r>
          </w:p>
        </w:tc>
      </w:tr>
    </w:tbl>
    <w:p>
      <w:pPr>
        <w:tabs>
          <w:tab w:val="left" w:pos="1848"/>
          <w:tab w:val="left" w:pos="6061"/>
          <w:tab w:val="left" w:pos="8665"/>
        </w:tabs>
        <w:snapToGrid w:val="0"/>
        <w:ind w:firstLine="0" w:firstLineChars="0"/>
        <w:jc w:val="both"/>
        <w:rPr>
          <w:rFonts w:eastAsiaTheme="minorEastAsia"/>
          <w:bCs/>
          <w:color w:val="000000" w:themeColor="text1"/>
          <w:szCs w:val="24"/>
        </w:rPr>
      </w:pPr>
      <w:r>
        <w:rPr>
          <w:rFonts w:eastAsiaTheme="minorEastAsia"/>
          <w:bCs/>
          <w:color w:val="000000" w:themeColor="text1"/>
          <w:szCs w:val="24"/>
        </w:rPr>
        <w:t>2、评价因子的筛选</w:t>
      </w:r>
    </w:p>
    <w:p>
      <w:pPr>
        <w:tabs>
          <w:tab w:val="left" w:pos="1848"/>
          <w:tab w:val="left" w:pos="6061"/>
          <w:tab w:val="left" w:pos="8665"/>
        </w:tabs>
        <w:snapToGrid w:val="0"/>
        <w:ind w:left="480" w:leftChars="200" w:firstLine="0" w:firstLineChars="0"/>
        <w:jc w:val="center"/>
        <w:rPr>
          <w:color w:val="000000" w:themeColor="text1"/>
        </w:rPr>
      </w:pPr>
      <w:r>
        <w:rPr>
          <w:rFonts w:eastAsiaTheme="minorEastAsia"/>
          <w:b/>
          <w:color w:val="000000" w:themeColor="text1"/>
          <w:sz w:val="21"/>
          <w:szCs w:val="20"/>
        </w:rPr>
        <w:t>表1.3-3评价因子一览表</w:t>
      </w:r>
    </w:p>
    <w:tbl>
      <w:tblPr>
        <w:tblStyle w:val="61"/>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4"/>
        <w:gridCol w:w="1412"/>
        <w:gridCol w:w="5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2" w:hRule="atLeast"/>
          <w:tblHeader/>
          <w:jc w:val="center"/>
        </w:trPr>
        <w:tc>
          <w:tcPr>
            <w:tcW w:w="1204"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环境要素</w:t>
            </w:r>
          </w:p>
        </w:tc>
        <w:tc>
          <w:tcPr>
            <w:tcW w:w="7324" w:type="dxa"/>
            <w:gridSpan w:val="2"/>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评价因子及评价内容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6" w:hRule="atLeast"/>
          <w:jc w:val="center"/>
        </w:trPr>
        <w:tc>
          <w:tcPr>
            <w:tcW w:w="1204"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环境空气</w:t>
            </w:r>
          </w:p>
        </w:tc>
        <w:tc>
          <w:tcPr>
            <w:tcW w:w="14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现状评价</w:t>
            </w:r>
          </w:p>
        </w:tc>
        <w:tc>
          <w:tcPr>
            <w:tcW w:w="5912" w:type="dxa"/>
            <w:vAlign w:val="center"/>
          </w:tcPr>
          <w:p>
            <w:pPr>
              <w:spacing w:line="240" w:lineRule="auto"/>
              <w:ind w:firstLine="0" w:firstLineChars="0"/>
              <w:jc w:val="center"/>
              <w:rPr>
                <w:color w:val="000000" w:themeColor="text1"/>
                <w:sz w:val="21"/>
                <w:szCs w:val="21"/>
              </w:rPr>
            </w:pPr>
            <w:r>
              <w:rPr>
                <w:color w:val="000000" w:themeColor="text1"/>
                <w:sz w:val="21"/>
                <w:szCs w:val="21"/>
              </w:rPr>
              <w:t>PM</w:t>
            </w:r>
            <w:r>
              <w:rPr>
                <w:color w:val="000000" w:themeColor="text1"/>
                <w:sz w:val="21"/>
                <w:szCs w:val="21"/>
                <w:vertAlign w:val="subscript"/>
              </w:rPr>
              <w:t>10</w:t>
            </w:r>
            <w:r>
              <w:rPr>
                <w:color w:val="000000" w:themeColor="text1"/>
                <w:sz w:val="21"/>
                <w:szCs w:val="21"/>
              </w:rPr>
              <w:t>、PM</w:t>
            </w:r>
            <w:r>
              <w:rPr>
                <w:color w:val="000000" w:themeColor="text1"/>
                <w:sz w:val="21"/>
                <w:szCs w:val="21"/>
                <w:vertAlign w:val="subscript"/>
              </w:rPr>
              <w:t>2.5</w:t>
            </w:r>
            <w:r>
              <w:rPr>
                <w:color w:val="000000" w:themeColor="text1"/>
                <w:sz w:val="21"/>
                <w:szCs w:val="21"/>
              </w:rPr>
              <w:t>、SO</w:t>
            </w:r>
            <w:r>
              <w:rPr>
                <w:color w:val="000000" w:themeColor="text1"/>
                <w:sz w:val="21"/>
                <w:szCs w:val="21"/>
                <w:vertAlign w:val="subscript"/>
              </w:rPr>
              <w:t>2</w:t>
            </w:r>
            <w:r>
              <w:rPr>
                <w:color w:val="000000" w:themeColor="text1"/>
                <w:sz w:val="21"/>
                <w:szCs w:val="21"/>
              </w:rPr>
              <w:t>、NO</w:t>
            </w:r>
            <w:r>
              <w:rPr>
                <w:color w:val="000000" w:themeColor="text1"/>
                <w:sz w:val="21"/>
                <w:szCs w:val="21"/>
                <w:vertAlign w:val="subscript"/>
              </w:rPr>
              <w:t>2</w:t>
            </w:r>
            <w:r>
              <w:rPr>
                <w:color w:val="000000" w:themeColor="text1"/>
                <w:sz w:val="21"/>
                <w:szCs w:val="21"/>
              </w:rPr>
              <w:t>、CO、O</w:t>
            </w:r>
            <w:r>
              <w:rPr>
                <w:color w:val="000000" w:themeColor="text1"/>
                <w:sz w:val="21"/>
                <w:szCs w:val="21"/>
                <w:vertAlign w:val="subscript"/>
              </w:rPr>
              <w:t>3</w:t>
            </w:r>
            <w:r>
              <w:rPr>
                <w:color w:val="000000" w:themeColor="text1"/>
                <w:sz w:val="21"/>
                <w:szCs w:val="21"/>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3" w:hRule="atLeast"/>
          <w:jc w:val="center"/>
        </w:trPr>
        <w:tc>
          <w:tcPr>
            <w:tcW w:w="1204"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4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影响评价</w:t>
            </w:r>
          </w:p>
        </w:tc>
        <w:tc>
          <w:tcPr>
            <w:tcW w:w="59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TSP</w:t>
            </w:r>
            <w:r>
              <w:rPr>
                <w:rFonts w:hint="eastAsia" w:eastAsiaTheme="minorEastAsia"/>
                <w:color w:val="000000" w:themeColor="text1"/>
                <w:sz w:val="21"/>
                <w:szCs w:val="21"/>
              </w:rPr>
              <w:t>、PM</w:t>
            </w:r>
            <w:r>
              <w:rPr>
                <w:rFonts w:hint="eastAsia" w:eastAsiaTheme="minorEastAsia"/>
                <w:color w:val="000000" w:themeColor="text1"/>
                <w:sz w:val="21"/>
                <w:szCs w:val="21"/>
                <w:vertAlign w:val="subscript"/>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6" w:hRule="atLeast"/>
          <w:jc w:val="center"/>
        </w:trPr>
        <w:tc>
          <w:tcPr>
            <w:tcW w:w="1204"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地表水</w:t>
            </w:r>
          </w:p>
        </w:tc>
        <w:tc>
          <w:tcPr>
            <w:tcW w:w="14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现状评价</w:t>
            </w:r>
          </w:p>
        </w:tc>
        <w:tc>
          <w:tcPr>
            <w:tcW w:w="59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pH、SS、COD、BOD</w:t>
            </w:r>
            <w:r>
              <w:rPr>
                <w:rFonts w:eastAsiaTheme="minorEastAsia"/>
                <w:color w:val="000000" w:themeColor="text1"/>
                <w:sz w:val="21"/>
                <w:szCs w:val="21"/>
                <w:vertAlign w:val="subscript"/>
              </w:rPr>
              <w:t>5</w:t>
            </w:r>
            <w:r>
              <w:rPr>
                <w:rFonts w:eastAsiaTheme="minorEastAsia"/>
                <w:color w:val="000000" w:themeColor="text1"/>
                <w:sz w:val="21"/>
                <w:szCs w:val="21"/>
              </w:rPr>
              <w:t>、总磷、NH</w:t>
            </w:r>
            <w:r>
              <w:rPr>
                <w:rFonts w:eastAsiaTheme="minorEastAsia"/>
                <w:color w:val="000000" w:themeColor="text1"/>
                <w:sz w:val="21"/>
                <w:szCs w:val="21"/>
                <w:vertAlign w:val="subscript"/>
              </w:rPr>
              <w:t>3</w:t>
            </w:r>
            <w:r>
              <w:rPr>
                <w:rFonts w:eastAsiaTheme="minorEastAsia"/>
                <w:color w:val="000000" w:themeColor="text1"/>
                <w:sz w:val="21"/>
                <w:szCs w:val="21"/>
              </w:rPr>
              <w:t>-N、石油类、硫化物、氟化物、氰化物、六价铬、铜、铁、</w:t>
            </w:r>
            <w:r>
              <w:rPr>
                <w:rFonts w:hint="eastAsia" w:eastAsiaTheme="minorEastAsia"/>
                <w:color w:val="000000" w:themeColor="text1"/>
                <w:sz w:val="21"/>
                <w:szCs w:val="21"/>
              </w:rPr>
              <w:t>锰、</w:t>
            </w:r>
            <w:r>
              <w:rPr>
                <w:rFonts w:eastAsiaTheme="minorEastAsia"/>
                <w:color w:val="000000" w:themeColor="text1"/>
                <w:sz w:val="21"/>
                <w:szCs w:val="21"/>
              </w:rPr>
              <w:t>锌、铅、砷、镉、汞、粪大肠菌群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6" w:hRule="atLeast"/>
          <w:jc w:val="center"/>
        </w:trPr>
        <w:tc>
          <w:tcPr>
            <w:tcW w:w="1204"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4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影响评价</w:t>
            </w:r>
          </w:p>
        </w:tc>
        <w:tc>
          <w:tcPr>
            <w:tcW w:w="59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项目生活污水经一体化污水处理设备处理后用于绿化，生产废水全部回用不外排，生产</w:t>
            </w:r>
            <w:r>
              <w:rPr>
                <w:rFonts w:hint="eastAsia" w:eastAsiaTheme="minorEastAsia"/>
                <w:color w:val="000000" w:themeColor="text1"/>
                <w:sz w:val="21"/>
                <w:szCs w:val="21"/>
              </w:rPr>
              <w:t>、生活</w:t>
            </w:r>
            <w:r>
              <w:rPr>
                <w:rFonts w:eastAsiaTheme="minorEastAsia"/>
                <w:color w:val="000000" w:themeColor="text1"/>
                <w:sz w:val="21"/>
                <w:szCs w:val="21"/>
              </w:rPr>
              <w:t>废水回用的可行性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204"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地下水</w:t>
            </w:r>
          </w:p>
        </w:tc>
        <w:tc>
          <w:tcPr>
            <w:tcW w:w="14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现状评价</w:t>
            </w:r>
          </w:p>
        </w:tc>
        <w:tc>
          <w:tcPr>
            <w:tcW w:w="5912"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szCs w:val="21"/>
              </w:rPr>
              <w:t>pH、氨氮、硝酸盐、亚硝酸盐、挥发酚、氰化物、砷、汞、铬（六价）、总硬度、铅、氟化物、镉、铁、锰、溶解性总固体、耗氧量、总大肠菌群、细菌总数、铜、锌、铝、阴离子表面活性剂、硫化物、K</w:t>
            </w:r>
            <w:r>
              <w:rPr>
                <w:color w:val="000000" w:themeColor="text1"/>
                <w:sz w:val="21"/>
                <w:szCs w:val="21"/>
                <w:vertAlign w:val="superscript"/>
              </w:rPr>
              <w:t>+</w:t>
            </w:r>
            <w:r>
              <w:rPr>
                <w:color w:val="000000" w:themeColor="text1"/>
                <w:sz w:val="21"/>
                <w:szCs w:val="21"/>
              </w:rPr>
              <w:t>、Na</w:t>
            </w:r>
            <w:r>
              <w:rPr>
                <w:color w:val="000000" w:themeColor="text1"/>
                <w:sz w:val="21"/>
                <w:szCs w:val="21"/>
                <w:vertAlign w:val="superscript"/>
              </w:rPr>
              <w:t>+</w:t>
            </w:r>
            <w:r>
              <w:rPr>
                <w:color w:val="000000" w:themeColor="text1"/>
                <w:sz w:val="21"/>
                <w:szCs w:val="21"/>
              </w:rPr>
              <w:t>、Ca</w:t>
            </w:r>
            <w:r>
              <w:rPr>
                <w:color w:val="000000" w:themeColor="text1"/>
                <w:sz w:val="21"/>
                <w:szCs w:val="21"/>
                <w:vertAlign w:val="superscript"/>
              </w:rPr>
              <w:t>2+</w:t>
            </w:r>
            <w:r>
              <w:rPr>
                <w:color w:val="000000" w:themeColor="text1"/>
                <w:sz w:val="21"/>
                <w:szCs w:val="21"/>
              </w:rPr>
              <w:t>、M</w:t>
            </w:r>
            <w:r>
              <w:rPr>
                <w:rFonts w:hint="eastAsia"/>
                <w:color w:val="000000" w:themeColor="text1"/>
                <w:sz w:val="21"/>
                <w:szCs w:val="21"/>
              </w:rPr>
              <w:t>DA002</w:t>
            </w:r>
            <w:r>
              <w:rPr>
                <w:color w:val="000000" w:themeColor="text1"/>
                <w:sz w:val="21"/>
                <w:szCs w:val="21"/>
                <w:vertAlign w:val="superscript"/>
              </w:rPr>
              <w:t>+</w:t>
            </w:r>
            <w:r>
              <w:rPr>
                <w:color w:val="000000" w:themeColor="text1"/>
                <w:sz w:val="21"/>
                <w:szCs w:val="21"/>
              </w:rPr>
              <w:t>、CO</w:t>
            </w:r>
            <w:r>
              <w:rPr>
                <w:color w:val="000000" w:themeColor="text1"/>
                <w:sz w:val="21"/>
                <w:szCs w:val="21"/>
                <w:vertAlign w:val="subscript"/>
              </w:rPr>
              <w:t>3</w:t>
            </w:r>
            <w:r>
              <w:rPr>
                <w:color w:val="000000" w:themeColor="text1"/>
                <w:sz w:val="21"/>
                <w:szCs w:val="21"/>
                <w:vertAlign w:val="superscript"/>
              </w:rPr>
              <w:t>2-</w:t>
            </w:r>
            <w:r>
              <w:rPr>
                <w:color w:val="000000" w:themeColor="text1"/>
                <w:sz w:val="21"/>
                <w:szCs w:val="21"/>
              </w:rPr>
              <w:t>、HCO</w:t>
            </w:r>
            <w:r>
              <w:rPr>
                <w:color w:val="000000" w:themeColor="text1"/>
                <w:sz w:val="21"/>
                <w:szCs w:val="21"/>
                <w:vertAlign w:val="subscript"/>
              </w:rPr>
              <w:t>3</w:t>
            </w:r>
            <w:r>
              <w:rPr>
                <w:color w:val="000000" w:themeColor="text1"/>
                <w:sz w:val="21"/>
                <w:szCs w:val="21"/>
                <w:vertAlign w:val="superscript"/>
              </w:rPr>
              <w:t>-</w:t>
            </w:r>
            <w:r>
              <w:rPr>
                <w:color w:val="000000" w:themeColor="text1"/>
                <w:sz w:val="21"/>
                <w:szCs w:val="21"/>
              </w:rPr>
              <w:t>、Cl</w:t>
            </w:r>
            <w:r>
              <w:rPr>
                <w:color w:val="000000" w:themeColor="text1"/>
                <w:sz w:val="21"/>
                <w:szCs w:val="21"/>
                <w:vertAlign w:val="superscript"/>
              </w:rPr>
              <w:t>-</w:t>
            </w:r>
            <w:r>
              <w:rPr>
                <w:color w:val="000000" w:themeColor="text1"/>
                <w:sz w:val="21"/>
                <w:szCs w:val="21"/>
              </w:rPr>
              <w:t>、SO</w:t>
            </w:r>
            <w:r>
              <w:rPr>
                <w:color w:val="000000" w:themeColor="text1"/>
                <w:sz w:val="21"/>
                <w:szCs w:val="21"/>
                <w:vertAlign w:val="subscript"/>
              </w:rPr>
              <w:t>4</w:t>
            </w:r>
            <w:r>
              <w:rPr>
                <w:color w:val="000000" w:themeColor="text1"/>
                <w:sz w:val="21"/>
                <w:szCs w:val="21"/>
                <w:vertAlign w:val="superscript"/>
              </w:rPr>
              <w:t>2-</w:t>
            </w:r>
            <w:r>
              <w:rPr>
                <w:color w:val="000000" w:themeColor="text1"/>
                <w:sz w:val="21"/>
                <w:szCs w:val="21"/>
              </w:rPr>
              <w:t>，共32项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204"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4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影响评价</w:t>
            </w:r>
          </w:p>
        </w:tc>
        <w:tc>
          <w:tcPr>
            <w:tcW w:w="59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bCs/>
                <w:color w:val="000000" w:themeColor="text1"/>
                <w:kern w:val="0"/>
                <w:sz w:val="21"/>
                <w:szCs w:val="21"/>
              </w:rPr>
              <w:t>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204"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声环境</w:t>
            </w:r>
          </w:p>
        </w:tc>
        <w:tc>
          <w:tcPr>
            <w:tcW w:w="14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现状评价</w:t>
            </w:r>
          </w:p>
        </w:tc>
        <w:tc>
          <w:tcPr>
            <w:tcW w:w="59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等效连续A声级（L</w:t>
            </w:r>
            <w:r>
              <w:rPr>
                <w:rFonts w:eastAsiaTheme="minorEastAsia"/>
                <w:color w:val="000000" w:themeColor="text1"/>
                <w:sz w:val="21"/>
                <w:szCs w:val="21"/>
                <w:vertAlign w:val="subscript"/>
              </w:rPr>
              <w:t>A</w:t>
            </w:r>
            <w:r>
              <w:rPr>
                <w:rFonts w:eastAsiaTheme="minorEastAsia"/>
                <w:color w:val="000000" w:themeColor="text1"/>
                <w:sz w:val="21"/>
                <w:szCs w:val="21"/>
              </w:rPr>
              <w:t>eq）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204"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4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影响评价</w:t>
            </w:r>
          </w:p>
        </w:tc>
        <w:tc>
          <w:tcPr>
            <w:tcW w:w="59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等效连续A声级（L</w:t>
            </w:r>
            <w:r>
              <w:rPr>
                <w:rFonts w:eastAsiaTheme="minorEastAsia"/>
                <w:color w:val="000000" w:themeColor="text1"/>
                <w:sz w:val="21"/>
                <w:szCs w:val="21"/>
                <w:vertAlign w:val="subscript"/>
              </w:rPr>
              <w:t>Aeq</w:t>
            </w: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204"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土壤环境</w:t>
            </w:r>
          </w:p>
        </w:tc>
        <w:tc>
          <w:tcPr>
            <w:tcW w:w="14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现状评价</w:t>
            </w:r>
          </w:p>
        </w:tc>
        <w:tc>
          <w:tcPr>
            <w:tcW w:w="59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厂界内外土壤中砷、镉、铬（六价铬）、铜、铅、汞、镍</w:t>
            </w:r>
            <w:r>
              <w:rPr>
                <w:rFonts w:hint="eastAsia" w:eastAsiaTheme="minorEastAsia"/>
                <w:color w:val="000000" w:themeColor="text1"/>
                <w:sz w:val="21"/>
                <w:szCs w:val="21"/>
              </w:rPr>
              <w:t>等</w:t>
            </w:r>
            <w:r>
              <w:rPr>
                <w:rFonts w:eastAsiaTheme="minorEastAsia"/>
                <w:color w:val="000000" w:themeColor="text1"/>
                <w:sz w:val="21"/>
                <w:szCs w:val="21"/>
              </w:rPr>
              <w:t>含量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204"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41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影响评价</w:t>
            </w:r>
          </w:p>
        </w:tc>
        <w:tc>
          <w:tcPr>
            <w:tcW w:w="5912"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 xml:space="preserve"> 本项目不对土壤环境进行评价，仅提出分区防渗措施。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204"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生态环境</w:t>
            </w:r>
          </w:p>
        </w:tc>
        <w:tc>
          <w:tcPr>
            <w:tcW w:w="7324" w:type="dxa"/>
            <w:gridSpan w:val="2"/>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对土地利用影响、植被及植物资源、动物的影响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1204"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风险</w:t>
            </w:r>
          </w:p>
        </w:tc>
        <w:tc>
          <w:tcPr>
            <w:tcW w:w="7324" w:type="dxa"/>
            <w:gridSpan w:val="2"/>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精矿堆存场渗滤水下渗对地下水、土壤的环境风险</w:t>
            </w:r>
          </w:p>
        </w:tc>
      </w:tr>
    </w:tbl>
    <w:p>
      <w:pPr>
        <w:pStyle w:val="574"/>
        <w:spacing w:beforeLines="0" w:afterLines="0"/>
        <w:rPr>
          <w:rFonts w:eastAsiaTheme="minorEastAsia"/>
          <w:color w:val="000000" w:themeColor="text1"/>
          <w:sz w:val="30"/>
          <w:szCs w:val="30"/>
        </w:rPr>
      </w:pPr>
      <w:bookmarkStart w:id="318" w:name="_Toc4075"/>
      <w:bookmarkStart w:id="319" w:name="_Toc465156844"/>
      <w:bookmarkStart w:id="320" w:name="_Toc319504002"/>
      <w:r>
        <w:rPr>
          <w:rFonts w:eastAsiaTheme="minorEastAsia"/>
          <w:color w:val="000000" w:themeColor="text1"/>
          <w:sz w:val="30"/>
          <w:szCs w:val="30"/>
        </w:rPr>
        <w:t>1.4环境功能区域及评价标准</w:t>
      </w:r>
      <w:bookmarkEnd w:id="318"/>
      <w:bookmarkEnd w:id="319"/>
      <w:bookmarkEnd w:id="320"/>
    </w:p>
    <w:p>
      <w:pPr>
        <w:pStyle w:val="6"/>
        <w:spacing w:beforeLines="0" w:afterLines="0"/>
        <w:rPr>
          <w:rFonts w:eastAsiaTheme="minorEastAsia"/>
          <w:color w:val="000000" w:themeColor="text1"/>
          <w:sz w:val="28"/>
          <w:szCs w:val="28"/>
        </w:rPr>
      </w:pPr>
      <w:bookmarkStart w:id="321" w:name="_Toc22371"/>
      <w:r>
        <w:rPr>
          <w:rFonts w:eastAsiaTheme="minorEastAsia"/>
          <w:color w:val="000000" w:themeColor="text1"/>
          <w:sz w:val="28"/>
          <w:szCs w:val="28"/>
        </w:rPr>
        <w:t>1.4.1相关规划及环境功能区划</w:t>
      </w:r>
      <w:bookmarkEnd w:id="321"/>
    </w:p>
    <w:p>
      <w:pPr>
        <w:ind w:firstLine="480"/>
        <w:rPr>
          <w:rFonts w:eastAsiaTheme="minorEastAsia"/>
          <w:color w:val="000000" w:themeColor="text1"/>
        </w:rPr>
      </w:pPr>
      <w:r>
        <w:rPr>
          <w:rFonts w:eastAsiaTheme="minorEastAsia"/>
          <w:color w:val="000000" w:themeColor="text1"/>
        </w:rPr>
        <w:t>1、地表水环境功能区划</w:t>
      </w:r>
    </w:p>
    <w:p>
      <w:pPr>
        <w:ind w:firstLine="480"/>
        <w:jc w:val="both"/>
        <w:rPr>
          <w:rFonts w:eastAsiaTheme="minorEastAsia"/>
          <w:color w:val="000000" w:themeColor="text1"/>
        </w:rPr>
      </w:pPr>
      <w:r>
        <w:rPr>
          <w:rFonts w:eastAsiaTheme="minorEastAsia"/>
          <w:color w:val="000000" w:themeColor="text1"/>
        </w:rPr>
        <w:t>项目周边地表水为困龙河及戛洒江，困龙河最终汇入戛洒江，戛洒江属于红河水系（</w:t>
      </w:r>
      <w:r>
        <w:rPr>
          <w:rFonts w:hint="eastAsia" w:eastAsiaTheme="minorEastAsia"/>
          <w:color w:val="000000" w:themeColor="text1"/>
        </w:rPr>
        <w:t>红河巍山</w:t>
      </w:r>
      <w:r>
        <w:rPr>
          <w:rFonts w:eastAsiaTheme="minorEastAsia"/>
          <w:color w:val="000000" w:themeColor="text1"/>
        </w:rPr>
        <w:t>—</w:t>
      </w:r>
      <w:r>
        <w:rPr>
          <w:rFonts w:hint="eastAsia" w:eastAsiaTheme="minorEastAsia"/>
          <w:color w:val="000000" w:themeColor="text1"/>
        </w:rPr>
        <w:t>河口保留区</w:t>
      </w:r>
      <w:r>
        <w:rPr>
          <w:rFonts w:eastAsiaTheme="minorEastAsia"/>
          <w:color w:val="000000" w:themeColor="text1"/>
        </w:rPr>
        <w:t>）。根据《云南省水功能区划》（</w:t>
      </w:r>
      <w:r>
        <w:rPr>
          <w:rFonts w:hint="eastAsia" w:eastAsiaTheme="minorEastAsia"/>
          <w:color w:val="000000" w:themeColor="text1"/>
        </w:rPr>
        <w:t>第二版</w:t>
      </w:r>
      <w:r>
        <w:rPr>
          <w:rFonts w:eastAsiaTheme="minorEastAsia"/>
          <w:color w:val="000000" w:themeColor="text1"/>
        </w:rPr>
        <w:t>），红河（</w:t>
      </w:r>
      <w:r>
        <w:rPr>
          <w:rFonts w:hint="eastAsia" w:eastAsiaTheme="minorEastAsia"/>
          <w:color w:val="000000" w:themeColor="text1"/>
        </w:rPr>
        <w:t>红河巍山</w:t>
      </w:r>
      <w:r>
        <w:rPr>
          <w:rFonts w:eastAsiaTheme="minorEastAsia"/>
          <w:color w:val="000000" w:themeColor="text1"/>
        </w:rPr>
        <w:t>—</w:t>
      </w:r>
      <w:r>
        <w:rPr>
          <w:rFonts w:hint="eastAsia" w:eastAsiaTheme="minorEastAsia"/>
          <w:color w:val="000000" w:themeColor="text1"/>
        </w:rPr>
        <w:t>河口保留区</w:t>
      </w:r>
      <w:r>
        <w:rPr>
          <w:rFonts w:eastAsiaTheme="minorEastAsia"/>
          <w:color w:val="000000" w:themeColor="text1"/>
        </w:rPr>
        <w:t>）水环境功能类别为《地表水环境质量标准》</w:t>
      </w:r>
      <w:r>
        <w:rPr>
          <w:rFonts w:eastAsiaTheme="minorEastAsia"/>
          <w:color w:val="000000" w:themeColor="text1"/>
          <w:spacing w:val="10"/>
          <w:kern w:val="18"/>
          <w:szCs w:val="24"/>
        </w:rPr>
        <w:t>（GB3838-2002）</w:t>
      </w:r>
      <w:r>
        <w:rPr>
          <w:rFonts w:eastAsia="方正仿宋_GBK"/>
          <w:color w:val="000000" w:themeColor="text1"/>
          <w:spacing w:val="10"/>
          <w:kern w:val="18"/>
          <w:szCs w:val="24"/>
        </w:rPr>
        <w:t>Ⅲ</w:t>
      </w:r>
      <w:r>
        <w:rPr>
          <w:rFonts w:eastAsiaTheme="minorEastAsia"/>
          <w:color w:val="000000" w:themeColor="text1"/>
          <w:szCs w:val="24"/>
        </w:rPr>
        <w:t>类。</w:t>
      </w:r>
    </w:p>
    <w:p>
      <w:pPr>
        <w:ind w:firstLine="480"/>
        <w:rPr>
          <w:rFonts w:eastAsiaTheme="minorEastAsia"/>
          <w:color w:val="000000" w:themeColor="text1"/>
        </w:rPr>
      </w:pPr>
      <w:r>
        <w:rPr>
          <w:rFonts w:eastAsiaTheme="minorEastAsia"/>
          <w:color w:val="000000" w:themeColor="text1"/>
        </w:rPr>
        <w:t>2、大气环境功能区划</w:t>
      </w:r>
    </w:p>
    <w:p>
      <w:pPr>
        <w:pStyle w:val="134"/>
        <w:ind w:firstLine="480"/>
        <w:rPr>
          <w:rFonts w:eastAsiaTheme="minorEastAsia"/>
          <w:color w:val="000000" w:themeColor="text1"/>
        </w:rPr>
      </w:pPr>
      <w:r>
        <w:rPr>
          <w:rStyle w:val="73"/>
          <w:color w:val="000000" w:themeColor="text1"/>
          <w:sz w:val="24"/>
          <w:szCs w:val="24"/>
        </w:rPr>
        <w:t>项目处于新平县工业园区戛洒片区，根据规划环评，</w:t>
      </w:r>
      <w:r>
        <w:rPr>
          <w:rFonts w:eastAsiaTheme="minorEastAsia"/>
          <w:color w:val="000000" w:themeColor="text1"/>
        </w:rPr>
        <w:t>项目区属于《环境空气质量标准》（GB3095-2012）二类环境空气质量功能区。</w:t>
      </w:r>
    </w:p>
    <w:p>
      <w:pPr>
        <w:ind w:firstLine="480"/>
        <w:rPr>
          <w:rFonts w:eastAsiaTheme="minorEastAsia"/>
          <w:color w:val="000000" w:themeColor="text1"/>
        </w:rPr>
      </w:pPr>
      <w:r>
        <w:rPr>
          <w:rFonts w:eastAsiaTheme="minorEastAsia"/>
          <w:color w:val="000000" w:themeColor="text1"/>
        </w:rPr>
        <w:t>3、声环境功能区划</w:t>
      </w:r>
    </w:p>
    <w:p>
      <w:pPr>
        <w:pStyle w:val="134"/>
        <w:ind w:firstLine="480"/>
        <w:rPr>
          <w:rFonts w:eastAsiaTheme="minorEastAsia"/>
          <w:color w:val="000000" w:themeColor="text1"/>
        </w:rPr>
      </w:pPr>
      <w:r>
        <w:rPr>
          <w:rFonts w:eastAsiaTheme="minorEastAsia"/>
          <w:color w:val="000000" w:themeColor="text1"/>
        </w:rPr>
        <w:t>项目所在地区属于新平工业园区戛洒片区，根据规划环评，项目所在区域属于《声环境质量标准》（GB3096-2008）3类声环境功能区</w:t>
      </w:r>
      <w:r>
        <w:rPr>
          <w:rFonts w:hint="eastAsia" w:eastAsiaTheme="minorEastAsia"/>
          <w:color w:val="000000" w:themeColor="text1"/>
        </w:rPr>
        <w:t>，选矿区厂界南侧和办公室北侧道路为园区道路</w:t>
      </w:r>
      <w:r>
        <w:rPr>
          <w:rFonts w:eastAsiaTheme="minorEastAsia"/>
          <w:color w:val="000000" w:themeColor="text1"/>
        </w:rPr>
        <w:t>。</w:t>
      </w:r>
    </w:p>
    <w:p>
      <w:pPr>
        <w:ind w:firstLine="480"/>
        <w:rPr>
          <w:rFonts w:eastAsiaTheme="minorEastAsia"/>
          <w:color w:val="000000" w:themeColor="text1"/>
        </w:rPr>
      </w:pPr>
      <w:r>
        <w:rPr>
          <w:rFonts w:eastAsiaTheme="minorEastAsia"/>
          <w:color w:val="000000" w:themeColor="text1"/>
        </w:rPr>
        <w:t>4、生态功能区划</w:t>
      </w:r>
    </w:p>
    <w:p>
      <w:pPr>
        <w:pStyle w:val="134"/>
        <w:ind w:firstLine="480"/>
        <w:rPr>
          <w:rFonts w:eastAsiaTheme="minorEastAsia"/>
          <w:color w:val="000000" w:themeColor="text1"/>
        </w:rPr>
      </w:pPr>
      <w:r>
        <w:rPr>
          <w:rFonts w:eastAsiaTheme="minorEastAsia"/>
          <w:color w:val="000000" w:themeColor="text1"/>
        </w:rPr>
        <w:t>根据《云南省生态功能区划》，项目区域不属于云南省重点生态功能区，属于“</w:t>
      </w:r>
      <w:r>
        <w:rPr>
          <w:rFonts w:eastAsiaTheme="minorEastAsia"/>
          <w:color w:val="000000" w:themeColor="text1"/>
        </w:rPr>
        <w:fldChar w:fldCharType="begin"/>
      </w:r>
      <w:r>
        <w:rPr>
          <w:rFonts w:eastAsiaTheme="minorEastAsia"/>
          <w:color w:val="000000" w:themeColor="text1"/>
        </w:rPr>
        <w:instrText xml:space="preserve"> = 2 \* ROMAN </w:instrText>
      </w:r>
      <w:r>
        <w:rPr>
          <w:rFonts w:eastAsiaTheme="minorEastAsia"/>
          <w:color w:val="000000" w:themeColor="text1"/>
        </w:rPr>
        <w:fldChar w:fldCharType="separate"/>
      </w:r>
      <w:r>
        <w:rPr>
          <w:rFonts w:eastAsiaTheme="minorEastAsia"/>
          <w:color w:val="000000" w:themeColor="text1"/>
        </w:rPr>
        <w:t>II</w:t>
      </w:r>
      <w:r>
        <w:rPr>
          <w:rFonts w:eastAsiaTheme="minorEastAsia"/>
          <w:color w:val="000000" w:themeColor="text1"/>
        </w:rPr>
        <w:fldChar w:fldCharType="end"/>
      </w:r>
      <w:r>
        <w:rPr>
          <w:rFonts w:eastAsiaTheme="minorEastAsia"/>
          <w:color w:val="000000" w:themeColor="text1"/>
        </w:rPr>
        <w:t>高原亚热带南部常绿阔叶林生态区”，“</w:t>
      </w:r>
      <w:r>
        <w:rPr>
          <w:rFonts w:eastAsiaTheme="minorEastAsia"/>
          <w:color w:val="000000" w:themeColor="text1"/>
        </w:rPr>
        <w:fldChar w:fldCharType="begin"/>
      </w:r>
      <w:r>
        <w:rPr>
          <w:rFonts w:eastAsiaTheme="minorEastAsia"/>
          <w:color w:val="000000" w:themeColor="text1"/>
        </w:rPr>
        <w:instrText xml:space="preserve"> = 2 \* ROMAN </w:instrText>
      </w:r>
      <w:r>
        <w:rPr>
          <w:rFonts w:eastAsiaTheme="minorEastAsia"/>
          <w:color w:val="000000" w:themeColor="text1"/>
        </w:rPr>
        <w:fldChar w:fldCharType="separate"/>
      </w:r>
      <w:r>
        <w:rPr>
          <w:rFonts w:eastAsiaTheme="minorEastAsia"/>
          <w:color w:val="000000" w:themeColor="text1"/>
        </w:rPr>
        <w:t>II</w:t>
      </w:r>
      <w:r>
        <w:rPr>
          <w:rFonts w:eastAsiaTheme="minorEastAsia"/>
          <w:color w:val="000000" w:themeColor="text1"/>
        </w:rPr>
        <w:fldChar w:fldCharType="end"/>
      </w:r>
      <w:r>
        <w:rPr>
          <w:rFonts w:eastAsiaTheme="minorEastAsia"/>
          <w:color w:val="000000" w:themeColor="text1"/>
        </w:rPr>
        <w:t>4蒙自、元江岩溶山原暖性针叶林生态亚区”，“</w:t>
      </w:r>
      <w:r>
        <w:rPr>
          <w:rFonts w:eastAsiaTheme="minorEastAsia"/>
          <w:color w:val="000000" w:themeColor="text1"/>
        </w:rPr>
        <w:fldChar w:fldCharType="begin"/>
      </w:r>
      <w:r>
        <w:rPr>
          <w:rFonts w:eastAsiaTheme="minorEastAsia"/>
          <w:color w:val="000000" w:themeColor="text1"/>
        </w:rPr>
        <w:instrText xml:space="preserve"> = 2 \* ROMAN </w:instrText>
      </w:r>
      <w:r>
        <w:rPr>
          <w:rFonts w:eastAsiaTheme="minorEastAsia"/>
          <w:color w:val="000000" w:themeColor="text1"/>
        </w:rPr>
        <w:fldChar w:fldCharType="separate"/>
      </w:r>
      <w:r>
        <w:rPr>
          <w:rFonts w:eastAsiaTheme="minorEastAsia"/>
          <w:color w:val="000000" w:themeColor="text1"/>
        </w:rPr>
        <w:t>II</w:t>
      </w:r>
      <w:r>
        <w:rPr>
          <w:rFonts w:eastAsiaTheme="minorEastAsia"/>
          <w:color w:val="000000" w:themeColor="text1"/>
        </w:rPr>
        <w:fldChar w:fldCharType="end"/>
      </w:r>
      <w:r>
        <w:rPr>
          <w:rFonts w:eastAsiaTheme="minorEastAsia"/>
          <w:color w:val="000000" w:themeColor="text1"/>
        </w:rPr>
        <w:t>4-3新平撮科河中山山原林业与水源涵养生态功能区”。</w:t>
      </w:r>
    </w:p>
    <w:p>
      <w:pPr>
        <w:pStyle w:val="134"/>
        <w:ind w:firstLine="480"/>
        <w:rPr>
          <w:rFonts w:eastAsiaTheme="minorEastAsia"/>
          <w:color w:val="000000" w:themeColor="text1"/>
        </w:rPr>
      </w:pPr>
      <w:r>
        <w:rPr>
          <w:rFonts w:eastAsiaTheme="minorEastAsia"/>
          <w:color w:val="000000" w:themeColor="text1"/>
        </w:rPr>
        <w:t>该生态功能区主要包括新平、峨山、石屏、元江四县交界地带，面积3170.28km</w:t>
      </w:r>
      <w:r>
        <w:rPr>
          <w:rFonts w:eastAsiaTheme="minorEastAsia"/>
          <w:color w:val="000000" w:themeColor="text1"/>
          <w:vertAlign w:val="superscript"/>
        </w:rPr>
        <w:t>2</w:t>
      </w:r>
      <w:r>
        <w:rPr>
          <w:rFonts w:eastAsiaTheme="minorEastAsia"/>
          <w:color w:val="000000" w:themeColor="text1"/>
        </w:rPr>
        <w:t>；主要生态特征以中山河谷地貌为主。降雨量偏少，仅为800-900mm，主要植被类型为云南松林和思茅松林。土壤以紫色土为主；主要生态问题是矿山开采造成的水源林破坏，森林质量差、林种单一；生态环境敏感性是土壤侵蚀中度和高度敏感；主要生态系统服务功能是元江上游地区的水源涵养、预防水土流失；保护措施及发展方向是封山育林、提高森林的数量和质量，调整土地利用方式、严格退耕还林、提高区域的水源涵养能力。</w:t>
      </w:r>
    </w:p>
    <w:p>
      <w:pPr>
        <w:ind w:firstLine="480"/>
        <w:rPr>
          <w:rFonts w:eastAsiaTheme="minorEastAsia"/>
          <w:color w:val="000000" w:themeColor="text1"/>
        </w:rPr>
      </w:pPr>
      <w:r>
        <w:rPr>
          <w:rFonts w:eastAsiaTheme="minorEastAsia"/>
          <w:color w:val="000000" w:themeColor="text1"/>
        </w:rPr>
        <w:t>5、项目所在功能区汇总</w:t>
      </w:r>
    </w:p>
    <w:p>
      <w:pPr>
        <w:ind w:firstLineChars="0"/>
        <w:jc w:val="both"/>
        <w:rPr>
          <w:rFonts w:eastAsiaTheme="minorEastAsia"/>
          <w:color w:val="000000" w:themeColor="text1"/>
          <w:szCs w:val="24"/>
        </w:rPr>
      </w:pPr>
      <w:r>
        <w:rPr>
          <w:rFonts w:eastAsiaTheme="minorEastAsia"/>
          <w:color w:val="000000" w:themeColor="text1"/>
          <w:szCs w:val="24"/>
        </w:rPr>
        <w:t>项目所在区域各类环境功能区划见表1.4-1。</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表1.4-1项目所在环境功能属性</w:t>
      </w:r>
    </w:p>
    <w:tbl>
      <w:tblPr>
        <w:tblStyle w:val="61"/>
        <w:tblW w:w="839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3774"/>
        <w:gridCol w:w="3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atLeast"/>
          <w:tblHeader/>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序号</w:t>
            </w:r>
          </w:p>
        </w:tc>
        <w:tc>
          <w:tcPr>
            <w:tcW w:w="377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项目</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功能属性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1"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1</w:t>
            </w:r>
          </w:p>
        </w:tc>
        <w:tc>
          <w:tcPr>
            <w:tcW w:w="377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地表水环境功能区</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《地表水环境质量标准》（GB3838-2002）</w:t>
            </w:r>
            <w:r>
              <w:rPr>
                <w:rFonts w:eastAsia="方正仿宋_GBK"/>
                <w:color w:val="000000" w:themeColor="text1"/>
                <w:spacing w:val="10"/>
                <w:kern w:val="18"/>
                <w:sz w:val="21"/>
                <w:szCs w:val="21"/>
              </w:rPr>
              <w:t>Ⅲ</w:t>
            </w:r>
            <w:r>
              <w:rPr>
                <w:rFonts w:eastAsiaTheme="minorEastAsia"/>
                <w:color w:val="000000" w:themeColor="text1"/>
                <w:spacing w:val="10"/>
                <w:kern w:val="18"/>
                <w:sz w:val="21"/>
                <w:szCs w:val="21"/>
              </w:rPr>
              <w:t>类水质标准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14"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2</w:t>
            </w:r>
          </w:p>
        </w:tc>
        <w:tc>
          <w:tcPr>
            <w:tcW w:w="377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环境空气质量功能区</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《环境空气质量标准》（GB3095-2012）二类功能区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1"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3</w:t>
            </w:r>
          </w:p>
        </w:tc>
        <w:tc>
          <w:tcPr>
            <w:tcW w:w="377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声环境功能区</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《声环境质量标准》（GB3096-2008）3类声环境功能区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1"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4</w:t>
            </w:r>
          </w:p>
        </w:tc>
        <w:tc>
          <w:tcPr>
            <w:tcW w:w="377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生态功能区</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新平撮科河中山山原林业与水源涵养生态功能区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5</w:t>
            </w:r>
          </w:p>
        </w:tc>
        <w:tc>
          <w:tcPr>
            <w:tcW w:w="377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是否基本农田保护区</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6</w:t>
            </w:r>
          </w:p>
        </w:tc>
        <w:tc>
          <w:tcPr>
            <w:tcW w:w="377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是否风景保护区</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4"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7</w:t>
            </w:r>
          </w:p>
        </w:tc>
        <w:tc>
          <w:tcPr>
            <w:tcW w:w="3774" w:type="dxa"/>
            <w:tcMar>
              <w:left w:w="28" w:type="dxa"/>
              <w:right w:w="28" w:type="dxa"/>
            </w:tcMar>
            <w:vAlign w:val="center"/>
          </w:tcPr>
          <w:p>
            <w:pPr>
              <w:pStyle w:val="607"/>
              <w:ind w:firstLine="420"/>
              <w:rPr>
                <w:rFonts w:eastAsiaTheme="minorEastAsia"/>
                <w:color w:val="000000" w:themeColor="text1"/>
              </w:rPr>
            </w:pPr>
            <w:r>
              <w:rPr>
                <w:rFonts w:eastAsiaTheme="minorEastAsia"/>
                <w:color w:val="000000" w:themeColor="text1"/>
              </w:rPr>
              <w:t>是否自然保护区</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8</w:t>
            </w:r>
          </w:p>
        </w:tc>
        <w:tc>
          <w:tcPr>
            <w:tcW w:w="3774" w:type="dxa"/>
            <w:tcMar>
              <w:left w:w="28" w:type="dxa"/>
              <w:right w:w="28" w:type="dxa"/>
            </w:tcMar>
            <w:vAlign w:val="center"/>
          </w:tcPr>
          <w:p>
            <w:pPr>
              <w:pStyle w:val="607"/>
              <w:ind w:firstLine="420"/>
              <w:rPr>
                <w:rFonts w:eastAsiaTheme="minorEastAsia"/>
                <w:color w:val="000000" w:themeColor="text1"/>
              </w:rPr>
            </w:pPr>
            <w:r>
              <w:rPr>
                <w:rFonts w:eastAsiaTheme="minorEastAsia"/>
                <w:color w:val="000000" w:themeColor="text1"/>
              </w:rPr>
              <w:t>是否森林公园</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9</w:t>
            </w:r>
          </w:p>
        </w:tc>
        <w:tc>
          <w:tcPr>
            <w:tcW w:w="377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是否水库库区</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4"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10</w:t>
            </w:r>
          </w:p>
        </w:tc>
        <w:tc>
          <w:tcPr>
            <w:tcW w:w="377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是否饮用水水源保护区</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11</w:t>
            </w:r>
          </w:p>
        </w:tc>
        <w:tc>
          <w:tcPr>
            <w:tcW w:w="377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是否污水处理厂集水范围</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12</w:t>
            </w:r>
          </w:p>
        </w:tc>
        <w:tc>
          <w:tcPr>
            <w:tcW w:w="3774" w:type="dxa"/>
            <w:tcMar>
              <w:left w:w="28" w:type="dxa"/>
              <w:right w:w="28" w:type="dxa"/>
            </w:tcMar>
            <w:vAlign w:val="center"/>
          </w:tcPr>
          <w:p>
            <w:pPr>
              <w:pStyle w:val="607"/>
              <w:ind w:firstLine="420"/>
              <w:rPr>
                <w:rFonts w:eastAsiaTheme="minorEastAsia"/>
                <w:color w:val="000000" w:themeColor="text1"/>
              </w:rPr>
            </w:pPr>
            <w:r>
              <w:rPr>
                <w:rFonts w:eastAsiaTheme="minorEastAsia"/>
                <w:color w:val="000000" w:themeColor="text1"/>
              </w:rPr>
              <w:t>是否人口密集区</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4"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13</w:t>
            </w:r>
          </w:p>
        </w:tc>
        <w:tc>
          <w:tcPr>
            <w:tcW w:w="3774" w:type="dxa"/>
            <w:tcMar>
              <w:left w:w="28" w:type="dxa"/>
              <w:right w:w="28" w:type="dxa"/>
            </w:tcMar>
            <w:vAlign w:val="center"/>
          </w:tcPr>
          <w:p>
            <w:pPr>
              <w:pStyle w:val="607"/>
              <w:ind w:firstLine="420"/>
              <w:rPr>
                <w:rFonts w:eastAsiaTheme="minorEastAsia"/>
                <w:color w:val="000000" w:themeColor="text1"/>
              </w:rPr>
            </w:pPr>
            <w:r>
              <w:rPr>
                <w:rFonts w:eastAsiaTheme="minorEastAsia"/>
                <w:color w:val="000000" w:themeColor="text1"/>
              </w:rPr>
              <w:t>是否重点文物保护单位</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6" w:hRule="atLeast"/>
          <w:jc w:val="center"/>
        </w:trPr>
        <w:tc>
          <w:tcPr>
            <w:tcW w:w="66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14</w:t>
            </w:r>
          </w:p>
        </w:tc>
        <w:tc>
          <w:tcPr>
            <w:tcW w:w="3774"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是否属于生态敏感与脆弱区</w:t>
            </w:r>
          </w:p>
        </w:tc>
        <w:tc>
          <w:tcPr>
            <w:tcW w:w="3952" w:type="dxa"/>
            <w:tcMar>
              <w:left w:w="28" w:type="dxa"/>
              <w:right w:w="28" w:type="dxa"/>
            </w:tcMar>
            <w:vAlign w:val="center"/>
          </w:tcPr>
          <w:p>
            <w:pPr>
              <w:adjustRightInd w:val="0"/>
              <w:spacing w:line="240" w:lineRule="auto"/>
              <w:ind w:firstLine="0" w:firstLineChars="0"/>
              <w:jc w:val="center"/>
              <w:textAlignment w:val="baseline"/>
              <w:rPr>
                <w:rFonts w:eastAsiaTheme="minorEastAsia"/>
                <w:color w:val="000000" w:themeColor="text1"/>
                <w:spacing w:val="10"/>
                <w:kern w:val="18"/>
                <w:sz w:val="21"/>
                <w:szCs w:val="21"/>
              </w:rPr>
            </w:pPr>
            <w:r>
              <w:rPr>
                <w:rFonts w:eastAsiaTheme="minorEastAsia"/>
                <w:color w:val="000000" w:themeColor="text1"/>
                <w:spacing w:val="10"/>
                <w:kern w:val="18"/>
                <w:sz w:val="21"/>
                <w:szCs w:val="21"/>
              </w:rPr>
              <w:t>否</w:t>
            </w:r>
          </w:p>
        </w:tc>
      </w:tr>
    </w:tbl>
    <w:p>
      <w:pPr>
        <w:pStyle w:val="6"/>
        <w:spacing w:beforeLines="0" w:afterLines="0"/>
        <w:rPr>
          <w:rFonts w:eastAsiaTheme="minorEastAsia"/>
          <w:color w:val="000000" w:themeColor="text1"/>
          <w:sz w:val="28"/>
          <w:szCs w:val="28"/>
        </w:rPr>
      </w:pPr>
      <w:bookmarkStart w:id="322" w:name="_Toc12214"/>
      <w:r>
        <w:rPr>
          <w:rFonts w:eastAsiaTheme="minorEastAsia"/>
          <w:color w:val="000000" w:themeColor="text1"/>
          <w:sz w:val="28"/>
          <w:szCs w:val="28"/>
        </w:rPr>
        <w:t>1.4.2环境质量标准</w:t>
      </w:r>
      <w:bookmarkEnd w:id="322"/>
    </w:p>
    <w:p>
      <w:pPr>
        <w:pStyle w:val="134"/>
        <w:ind w:firstLine="480"/>
        <w:rPr>
          <w:rFonts w:eastAsiaTheme="minorEastAsia"/>
          <w:color w:val="000000" w:themeColor="text1"/>
        </w:rPr>
      </w:pPr>
      <w:r>
        <w:rPr>
          <w:rFonts w:eastAsiaTheme="minorEastAsia"/>
          <w:color w:val="000000" w:themeColor="text1"/>
        </w:rPr>
        <w:t>1、环境空气</w:t>
      </w:r>
    </w:p>
    <w:p>
      <w:pPr>
        <w:pStyle w:val="134"/>
        <w:ind w:firstLine="480"/>
        <w:rPr>
          <w:rFonts w:eastAsiaTheme="minorEastAsia"/>
          <w:b/>
          <w:color w:val="000000" w:themeColor="text1"/>
          <w:sz w:val="21"/>
          <w:szCs w:val="20"/>
        </w:rPr>
      </w:pPr>
      <w:r>
        <w:rPr>
          <w:rFonts w:eastAsiaTheme="minorEastAsia"/>
          <w:color w:val="000000" w:themeColor="text1"/>
        </w:rPr>
        <w:t>项目所在区域属二类区域，环境空气执行《环境空气质量标准》（GB3095-2012）二级标准及2018年修改单，环境空气质量标准值详见表1.4-2。</w:t>
      </w:r>
    </w:p>
    <w:p>
      <w:pPr>
        <w:tabs>
          <w:tab w:val="left" w:pos="1848"/>
          <w:tab w:val="left" w:pos="6061"/>
          <w:tab w:val="left" w:pos="8665"/>
        </w:tabs>
        <w:snapToGrid w:val="0"/>
        <w:ind w:firstLine="0" w:firstLineChars="0"/>
        <w:jc w:val="center"/>
        <w:rPr>
          <w:rFonts w:eastAsiaTheme="minorEastAsia"/>
          <w:b/>
          <w:color w:val="000000" w:themeColor="text1"/>
          <w:sz w:val="21"/>
          <w:szCs w:val="20"/>
        </w:rPr>
      </w:pPr>
      <w:r>
        <w:rPr>
          <w:rFonts w:eastAsiaTheme="minorEastAsia"/>
          <w:b/>
          <w:color w:val="000000" w:themeColor="text1"/>
          <w:sz w:val="21"/>
          <w:szCs w:val="20"/>
        </w:rPr>
        <w:t>表1.4-2环境空气质量标准（摘录）单位</w:t>
      </w:r>
      <w:r>
        <w:rPr>
          <w:rFonts w:eastAsiaTheme="minorEastAsia"/>
          <w:b/>
          <w:color w:val="000000" w:themeColor="text1"/>
          <w:sz w:val="21"/>
          <w:szCs w:val="21"/>
        </w:rPr>
        <w:t>：µg/Nm</w:t>
      </w:r>
      <w:r>
        <w:rPr>
          <w:rFonts w:eastAsiaTheme="minorEastAsia"/>
          <w:b/>
          <w:color w:val="000000" w:themeColor="text1"/>
          <w:sz w:val="21"/>
          <w:szCs w:val="21"/>
          <w:vertAlign w:val="superscript"/>
        </w:rPr>
        <w:t>3</w:t>
      </w:r>
    </w:p>
    <w:tbl>
      <w:tblPr>
        <w:tblStyle w:val="61"/>
        <w:tblW w:w="856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4"/>
        <w:gridCol w:w="2862"/>
        <w:gridCol w:w="28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tblHeader/>
          <w:jc w:val="center"/>
        </w:trPr>
        <w:tc>
          <w:tcPr>
            <w:tcW w:w="2844"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污染物名称</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取值时间</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restart"/>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总悬浮颗粒（TSP）</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年平均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continue"/>
            <w:vAlign w:val="center"/>
          </w:tcPr>
          <w:p>
            <w:pPr>
              <w:ind w:firstLine="0" w:firstLineChars="0"/>
              <w:jc w:val="center"/>
              <w:rPr>
                <w:rFonts w:eastAsiaTheme="minorEastAsia"/>
                <w:color w:val="000000" w:themeColor="text1"/>
                <w:sz w:val="21"/>
                <w:szCs w:val="21"/>
              </w:rPr>
            </w:pP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24小时平均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restart"/>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颗粒物（PM</w:t>
            </w:r>
            <w:r>
              <w:rPr>
                <w:rFonts w:eastAsiaTheme="minorEastAsia"/>
                <w:color w:val="000000" w:themeColor="text1"/>
                <w:sz w:val="21"/>
                <w:szCs w:val="21"/>
                <w:vertAlign w:val="subscript"/>
              </w:rPr>
              <w:t>10</w:t>
            </w:r>
            <w:r>
              <w:rPr>
                <w:rFonts w:eastAsiaTheme="minorEastAsia"/>
                <w:color w:val="000000" w:themeColor="text1"/>
                <w:sz w:val="21"/>
                <w:szCs w:val="21"/>
              </w:rPr>
              <w:t>）</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年平均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continue"/>
            <w:vAlign w:val="center"/>
          </w:tcPr>
          <w:p>
            <w:pPr>
              <w:ind w:firstLine="0" w:firstLineChars="0"/>
              <w:jc w:val="center"/>
              <w:rPr>
                <w:rFonts w:eastAsiaTheme="minorEastAsia"/>
                <w:color w:val="000000" w:themeColor="text1"/>
                <w:sz w:val="21"/>
                <w:szCs w:val="21"/>
              </w:rPr>
            </w:pP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24小时平均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restart"/>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颗粒物（PM</w:t>
            </w:r>
            <w:r>
              <w:rPr>
                <w:rFonts w:hint="eastAsia" w:eastAsiaTheme="minorEastAsia"/>
                <w:color w:val="000000" w:themeColor="text1"/>
                <w:sz w:val="21"/>
                <w:szCs w:val="21"/>
                <w:vertAlign w:val="subscript"/>
              </w:rPr>
              <w:t>2.5</w:t>
            </w:r>
            <w:r>
              <w:rPr>
                <w:rFonts w:eastAsiaTheme="minorEastAsia"/>
                <w:color w:val="000000" w:themeColor="text1"/>
                <w:sz w:val="21"/>
                <w:szCs w:val="21"/>
              </w:rPr>
              <w:t>）</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年平均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continue"/>
            <w:vAlign w:val="center"/>
          </w:tcPr>
          <w:p>
            <w:pPr>
              <w:ind w:firstLine="0" w:firstLineChars="0"/>
              <w:jc w:val="center"/>
              <w:rPr>
                <w:rFonts w:eastAsiaTheme="minorEastAsia"/>
                <w:color w:val="000000" w:themeColor="text1"/>
                <w:sz w:val="21"/>
                <w:szCs w:val="21"/>
              </w:rPr>
            </w:pP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24小时平均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restart"/>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O</w:t>
            </w:r>
            <w:r>
              <w:rPr>
                <w:rFonts w:eastAsiaTheme="minorEastAsia"/>
                <w:color w:val="000000" w:themeColor="text1"/>
                <w:sz w:val="21"/>
                <w:szCs w:val="21"/>
                <w:vertAlign w:val="subscript"/>
              </w:rPr>
              <w:t>3</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日最大8小时平均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continue"/>
            <w:vAlign w:val="center"/>
          </w:tcPr>
          <w:p>
            <w:pPr>
              <w:ind w:firstLine="0" w:firstLineChars="0"/>
              <w:jc w:val="center"/>
              <w:rPr>
                <w:rFonts w:eastAsiaTheme="minorEastAsia"/>
                <w:color w:val="000000" w:themeColor="text1"/>
                <w:sz w:val="21"/>
                <w:szCs w:val="21"/>
              </w:rPr>
            </w:pP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1小时平均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restart"/>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二氧化硫（SO</w:t>
            </w:r>
            <w:r>
              <w:rPr>
                <w:rFonts w:eastAsiaTheme="minorEastAsia"/>
                <w:color w:val="000000" w:themeColor="text1"/>
                <w:sz w:val="21"/>
                <w:szCs w:val="21"/>
                <w:vertAlign w:val="subscript"/>
              </w:rPr>
              <w:t>2</w:t>
            </w:r>
            <w:r>
              <w:rPr>
                <w:rFonts w:eastAsiaTheme="minorEastAsia"/>
                <w:color w:val="000000" w:themeColor="text1"/>
                <w:sz w:val="21"/>
                <w:szCs w:val="21"/>
              </w:rPr>
              <w:t>）</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年平均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continue"/>
            <w:vAlign w:val="center"/>
          </w:tcPr>
          <w:p>
            <w:pPr>
              <w:ind w:firstLine="0" w:firstLineChars="0"/>
              <w:jc w:val="center"/>
              <w:rPr>
                <w:rFonts w:eastAsiaTheme="minorEastAsia"/>
                <w:color w:val="000000" w:themeColor="text1"/>
                <w:sz w:val="21"/>
                <w:szCs w:val="21"/>
              </w:rPr>
            </w:pP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24小时平均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continue"/>
            <w:vAlign w:val="center"/>
          </w:tcPr>
          <w:p>
            <w:pPr>
              <w:ind w:firstLine="0" w:firstLineChars="0"/>
              <w:jc w:val="center"/>
              <w:rPr>
                <w:rFonts w:eastAsiaTheme="minorEastAsia"/>
                <w:color w:val="000000" w:themeColor="text1"/>
                <w:sz w:val="21"/>
                <w:szCs w:val="21"/>
              </w:rPr>
            </w:pP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1小时平均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restart"/>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二氧化氮（NO</w:t>
            </w:r>
            <w:r>
              <w:rPr>
                <w:rFonts w:eastAsiaTheme="minorEastAsia"/>
                <w:color w:val="000000" w:themeColor="text1"/>
                <w:sz w:val="21"/>
                <w:szCs w:val="21"/>
                <w:vertAlign w:val="subscript"/>
              </w:rPr>
              <w:t>2</w:t>
            </w:r>
            <w:r>
              <w:rPr>
                <w:rFonts w:eastAsiaTheme="minorEastAsia"/>
                <w:color w:val="000000" w:themeColor="text1"/>
                <w:sz w:val="21"/>
                <w:szCs w:val="21"/>
              </w:rPr>
              <w:t>）</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年平均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continue"/>
            <w:vAlign w:val="center"/>
          </w:tcPr>
          <w:p>
            <w:pPr>
              <w:ind w:firstLine="0" w:firstLineChars="0"/>
              <w:jc w:val="center"/>
              <w:rPr>
                <w:rFonts w:eastAsiaTheme="minorEastAsia"/>
                <w:color w:val="000000" w:themeColor="text1"/>
                <w:sz w:val="21"/>
                <w:szCs w:val="21"/>
              </w:rPr>
            </w:pP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24小时平均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continue"/>
            <w:vAlign w:val="center"/>
          </w:tcPr>
          <w:p>
            <w:pPr>
              <w:ind w:firstLine="0" w:firstLineChars="0"/>
              <w:jc w:val="center"/>
              <w:rPr>
                <w:rFonts w:eastAsiaTheme="minorEastAsia"/>
                <w:color w:val="000000" w:themeColor="text1"/>
                <w:sz w:val="21"/>
                <w:szCs w:val="21"/>
              </w:rPr>
            </w:pP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1小时平均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restart"/>
            <w:vAlign w:val="center"/>
          </w:tcPr>
          <w:p>
            <w:pPr>
              <w:ind w:firstLine="0" w:firstLineChars="0"/>
              <w:jc w:val="center"/>
              <w:rPr>
                <w:rFonts w:eastAsiaTheme="minorEastAsia"/>
                <w:color w:val="000000" w:themeColor="text1"/>
                <w:sz w:val="21"/>
                <w:szCs w:val="21"/>
              </w:rPr>
            </w:pPr>
            <w:r>
              <w:rPr>
                <w:color w:val="000000" w:themeColor="text1"/>
                <w:szCs w:val="21"/>
              </w:rPr>
              <w:t>一氧化碳（CO）</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24小时平均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continue"/>
            <w:vAlign w:val="center"/>
          </w:tcPr>
          <w:p>
            <w:pPr>
              <w:ind w:firstLine="0" w:firstLineChars="0"/>
              <w:jc w:val="center"/>
              <w:rPr>
                <w:rFonts w:eastAsiaTheme="minorEastAsia"/>
                <w:color w:val="000000" w:themeColor="text1"/>
                <w:sz w:val="21"/>
                <w:szCs w:val="21"/>
              </w:rPr>
            </w:pP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1小时平均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restart"/>
            <w:vAlign w:val="center"/>
          </w:tcPr>
          <w:p>
            <w:pPr>
              <w:ind w:firstLine="0" w:firstLineChars="0"/>
              <w:jc w:val="center"/>
              <w:rPr>
                <w:rFonts w:eastAsiaTheme="minorEastAsia"/>
                <w:color w:val="000000" w:themeColor="text1"/>
                <w:sz w:val="21"/>
                <w:szCs w:val="21"/>
              </w:rPr>
            </w:pPr>
            <w:r>
              <w:rPr>
                <w:color w:val="000000" w:themeColor="text1"/>
                <w:szCs w:val="21"/>
              </w:rPr>
              <w:t>氮氧化物（NOx）</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年平均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continue"/>
            <w:vAlign w:val="center"/>
          </w:tcPr>
          <w:p>
            <w:pPr>
              <w:ind w:firstLine="0" w:firstLineChars="0"/>
              <w:jc w:val="center"/>
              <w:rPr>
                <w:color w:val="000000" w:themeColor="text1"/>
                <w:szCs w:val="21"/>
              </w:rPr>
            </w:pP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24小时平均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exact"/>
          <w:jc w:val="center"/>
        </w:trPr>
        <w:tc>
          <w:tcPr>
            <w:tcW w:w="2844" w:type="dxa"/>
            <w:vMerge w:val="continue"/>
            <w:vAlign w:val="center"/>
          </w:tcPr>
          <w:p>
            <w:pPr>
              <w:ind w:firstLine="0" w:firstLineChars="0"/>
              <w:jc w:val="center"/>
              <w:rPr>
                <w:color w:val="000000" w:themeColor="text1"/>
                <w:szCs w:val="21"/>
              </w:rPr>
            </w:pP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1小时平均</w:t>
            </w:r>
          </w:p>
        </w:tc>
        <w:tc>
          <w:tcPr>
            <w:tcW w:w="2862"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250</w:t>
            </w:r>
          </w:p>
        </w:tc>
      </w:tr>
    </w:tbl>
    <w:p>
      <w:pPr>
        <w:ind w:firstLine="480"/>
        <w:rPr>
          <w:rFonts w:eastAsiaTheme="minorEastAsia"/>
          <w:color w:val="000000" w:themeColor="text1"/>
        </w:rPr>
      </w:pPr>
      <w:r>
        <w:rPr>
          <w:rFonts w:eastAsiaTheme="minorEastAsia"/>
          <w:color w:val="000000" w:themeColor="text1"/>
        </w:rPr>
        <w:t>2、地表水环境</w:t>
      </w:r>
    </w:p>
    <w:p>
      <w:pPr>
        <w:pStyle w:val="134"/>
        <w:ind w:firstLine="480"/>
        <w:rPr>
          <w:rFonts w:eastAsiaTheme="minorEastAsia"/>
          <w:b/>
          <w:color w:val="000000" w:themeColor="text1"/>
          <w:sz w:val="21"/>
          <w:szCs w:val="20"/>
        </w:rPr>
      </w:pPr>
      <w:r>
        <w:rPr>
          <w:rFonts w:eastAsiaTheme="minorEastAsia"/>
          <w:color w:val="000000" w:themeColor="text1"/>
        </w:rPr>
        <w:t>项目地处困龙河径流区，困龙河进入戛洒江，戛洒江</w:t>
      </w:r>
      <w:r>
        <w:rPr>
          <w:rFonts w:hint="eastAsia" w:eastAsiaTheme="minorEastAsia"/>
          <w:color w:val="000000" w:themeColor="text1"/>
        </w:rPr>
        <w:t>又称为元江，</w:t>
      </w:r>
      <w:r>
        <w:rPr>
          <w:rFonts w:eastAsiaTheme="minorEastAsia"/>
          <w:color w:val="000000" w:themeColor="text1"/>
        </w:rPr>
        <w:t>属于红河水系（</w:t>
      </w:r>
      <w:r>
        <w:rPr>
          <w:rFonts w:hint="eastAsia" w:eastAsiaTheme="minorEastAsia"/>
          <w:color w:val="000000" w:themeColor="text1"/>
        </w:rPr>
        <w:t>红河巍山</w:t>
      </w:r>
      <w:r>
        <w:rPr>
          <w:rFonts w:eastAsiaTheme="minorEastAsia"/>
          <w:color w:val="000000" w:themeColor="text1"/>
        </w:rPr>
        <w:t>—</w:t>
      </w:r>
      <w:r>
        <w:rPr>
          <w:rFonts w:hint="eastAsia" w:eastAsiaTheme="minorEastAsia"/>
          <w:color w:val="000000" w:themeColor="text1"/>
        </w:rPr>
        <w:t>河口保留区</w:t>
      </w:r>
      <w:r>
        <w:rPr>
          <w:rFonts w:eastAsiaTheme="minorEastAsia"/>
          <w:color w:val="000000" w:themeColor="text1"/>
        </w:rPr>
        <w:t>）。根据《云南省</w:t>
      </w:r>
      <w:r>
        <w:rPr>
          <w:rFonts w:hint="eastAsia" w:eastAsiaTheme="minorEastAsia"/>
          <w:color w:val="000000" w:themeColor="text1"/>
        </w:rPr>
        <w:t>水</w:t>
      </w:r>
      <w:r>
        <w:rPr>
          <w:rFonts w:eastAsiaTheme="minorEastAsia"/>
          <w:color w:val="000000" w:themeColor="text1"/>
        </w:rPr>
        <w:t>功能区划（</w:t>
      </w:r>
      <w:r>
        <w:rPr>
          <w:rFonts w:hint="eastAsia" w:eastAsiaTheme="minorEastAsia"/>
          <w:color w:val="000000" w:themeColor="text1"/>
        </w:rPr>
        <w:t>第二版</w:t>
      </w:r>
      <w:r>
        <w:rPr>
          <w:rFonts w:eastAsiaTheme="minorEastAsia"/>
          <w:color w:val="000000" w:themeColor="text1"/>
        </w:rPr>
        <w:t>）》，红河（</w:t>
      </w:r>
      <w:r>
        <w:rPr>
          <w:rFonts w:hint="eastAsia" w:eastAsiaTheme="minorEastAsia"/>
          <w:color w:val="000000" w:themeColor="text1"/>
        </w:rPr>
        <w:t>红河巍山</w:t>
      </w:r>
      <w:r>
        <w:rPr>
          <w:rFonts w:eastAsiaTheme="minorEastAsia"/>
          <w:color w:val="000000" w:themeColor="text1"/>
        </w:rPr>
        <w:t>—</w:t>
      </w:r>
      <w:r>
        <w:rPr>
          <w:rFonts w:hint="eastAsia" w:eastAsiaTheme="minorEastAsia"/>
          <w:color w:val="000000" w:themeColor="text1"/>
        </w:rPr>
        <w:t>河口保留区</w:t>
      </w:r>
      <w:r>
        <w:rPr>
          <w:rFonts w:eastAsiaTheme="minorEastAsia"/>
          <w:color w:val="000000" w:themeColor="text1"/>
        </w:rPr>
        <w:t>）执行《地表水环境质量标准》（GB3838-2002）</w:t>
      </w:r>
      <w:r>
        <w:rPr>
          <w:color w:val="000000" w:themeColor="text1"/>
        </w:rPr>
        <w:t>Ⅲ</w:t>
      </w:r>
      <w:r>
        <w:rPr>
          <w:rFonts w:eastAsiaTheme="minorEastAsia"/>
          <w:color w:val="000000" w:themeColor="text1"/>
        </w:rPr>
        <w:t>类水质标准。因此，困龙河和戛洒江均执行《地表水环境质量标准》（GB3838-2002）</w:t>
      </w:r>
      <w:r>
        <w:rPr>
          <w:color w:val="000000" w:themeColor="text1"/>
        </w:rPr>
        <w:t>Ⅲ</w:t>
      </w:r>
      <w:r>
        <w:rPr>
          <w:rFonts w:eastAsiaTheme="minorEastAsia"/>
          <w:color w:val="000000" w:themeColor="text1"/>
        </w:rPr>
        <w:t>类水质标准，详细标准值见表1.4-3。</w:t>
      </w:r>
    </w:p>
    <w:p>
      <w:pPr>
        <w:ind w:firstLine="422"/>
        <w:jc w:val="center"/>
        <w:rPr>
          <w:rFonts w:eastAsiaTheme="minorEastAsia"/>
          <w:b/>
          <w:color w:val="000000" w:themeColor="text1"/>
          <w:sz w:val="21"/>
          <w:szCs w:val="21"/>
        </w:rPr>
      </w:pPr>
      <w:r>
        <w:rPr>
          <w:rFonts w:eastAsiaTheme="minorEastAsia"/>
          <w:b/>
          <w:color w:val="000000" w:themeColor="text1"/>
          <w:sz w:val="21"/>
          <w:szCs w:val="20"/>
        </w:rPr>
        <w:t>表1.4-3地表水环境质量标准</w:t>
      </w:r>
      <w:r>
        <w:rPr>
          <w:rFonts w:eastAsiaTheme="minorEastAsia"/>
          <w:b/>
          <w:color w:val="000000" w:themeColor="text1"/>
          <w:sz w:val="21"/>
          <w:szCs w:val="21"/>
        </w:rPr>
        <w:t>单位：mg/L</w:t>
      </w:r>
    </w:p>
    <w:tbl>
      <w:tblPr>
        <w:tblStyle w:val="61"/>
        <w:tblW w:w="85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4162"/>
        <w:gridCol w:w="3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ind w:firstLine="0" w:firstLineChars="0"/>
              <w:jc w:val="center"/>
              <w:rPr>
                <w:color w:val="000000" w:themeColor="text1"/>
                <w:sz w:val="21"/>
              </w:rPr>
            </w:pPr>
            <w:r>
              <w:rPr>
                <w:color w:val="000000" w:themeColor="text1"/>
                <w:sz w:val="21"/>
              </w:rPr>
              <w:t>序号</w:t>
            </w:r>
          </w:p>
        </w:tc>
        <w:tc>
          <w:tcPr>
            <w:tcW w:w="4162" w:type="dxa"/>
            <w:vAlign w:val="center"/>
          </w:tcPr>
          <w:p>
            <w:pPr>
              <w:adjustRightInd w:val="0"/>
              <w:snapToGrid w:val="0"/>
              <w:ind w:firstLine="0" w:firstLineChars="0"/>
              <w:jc w:val="center"/>
              <w:rPr>
                <w:color w:val="000000" w:themeColor="text1"/>
                <w:sz w:val="21"/>
              </w:rPr>
            </w:pPr>
            <w:r>
              <w:rPr>
                <w:color w:val="000000" w:themeColor="text1"/>
                <w:sz w:val="21"/>
              </w:rPr>
              <w:t>项目</w:t>
            </w:r>
          </w:p>
        </w:tc>
        <w:tc>
          <w:tcPr>
            <w:tcW w:w="3172" w:type="dxa"/>
            <w:vAlign w:val="center"/>
          </w:tcPr>
          <w:p>
            <w:pPr>
              <w:adjustRightInd w:val="0"/>
              <w:snapToGrid w:val="0"/>
              <w:ind w:firstLine="0" w:firstLineChars="0"/>
              <w:jc w:val="center"/>
              <w:rPr>
                <w:color w:val="000000" w:themeColor="text1"/>
                <w:sz w:val="21"/>
                <w:szCs w:val="21"/>
              </w:rPr>
            </w:pPr>
            <w:r>
              <w:rPr>
                <w:color w:val="000000" w:themeColor="text1"/>
                <w:sz w:val="21"/>
                <w:szCs w:val="21"/>
              </w:rPr>
              <w:t>Ⅲ类标准值（单位mg/L）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1</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pH值                  （无量纲）</w:t>
            </w:r>
          </w:p>
        </w:tc>
        <w:tc>
          <w:tcPr>
            <w:tcW w:w="3172" w:type="dxa"/>
            <w:vAlign w:val="center"/>
          </w:tcPr>
          <w:p>
            <w:pPr>
              <w:adjustRightInd w:val="0"/>
              <w:snapToGrid w:val="0"/>
              <w:spacing w:line="240" w:lineRule="atLeast"/>
              <w:ind w:firstLine="0" w:firstLineChars="0"/>
              <w:jc w:val="center"/>
              <w:rPr>
                <w:bCs/>
                <w:color w:val="000000" w:themeColor="text1"/>
                <w:sz w:val="21"/>
              </w:rPr>
            </w:pPr>
            <w:r>
              <w:rPr>
                <w:bCs/>
                <w:color w:val="000000" w:themeColor="text1"/>
                <w:sz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2</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溶解氧                          ≥</w:t>
            </w:r>
          </w:p>
        </w:tc>
        <w:tc>
          <w:tcPr>
            <w:tcW w:w="3172" w:type="dxa"/>
            <w:vAlign w:val="center"/>
          </w:tcPr>
          <w:p>
            <w:pPr>
              <w:adjustRightInd w:val="0"/>
              <w:snapToGrid w:val="0"/>
              <w:spacing w:line="240" w:lineRule="atLeast"/>
              <w:ind w:firstLine="0" w:firstLineChars="0"/>
              <w:jc w:val="center"/>
              <w:rPr>
                <w:bCs/>
                <w:color w:val="000000" w:themeColor="text1"/>
                <w:sz w:val="21"/>
              </w:rPr>
            </w:pPr>
            <w:r>
              <w:rPr>
                <w:bCs/>
                <w:color w:val="000000" w:themeColor="text1"/>
                <w:sz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3</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高锰酸盐指数                    ≤</w:t>
            </w:r>
          </w:p>
        </w:tc>
        <w:tc>
          <w:tcPr>
            <w:tcW w:w="3172" w:type="dxa"/>
            <w:vAlign w:val="center"/>
          </w:tcPr>
          <w:p>
            <w:pPr>
              <w:adjustRightInd w:val="0"/>
              <w:snapToGrid w:val="0"/>
              <w:spacing w:line="240" w:lineRule="atLeast"/>
              <w:ind w:firstLine="0" w:firstLineChars="0"/>
              <w:jc w:val="center"/>
              <w:rPr>
                <w:bCs/>
                <w:color w:val="000000" w:themeColor="text1"/>
                <w:sz w:val="21"/>
              </w:rPr>
            </w:pPr>
            <w:r>
              <w:rPr>
                <w:bCs/>
                <w:color w:val="000000" w:themeColor="text1"/>
                <w:sz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4</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 xml:space="preserve">化学需氧量（COD）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2"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5</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五日生化需氧量（BOD</w:t>
            </w:r>
            <w:r>
              <w:rPr>
                <w:color w:val="000000" w:themeColor="text1"/>
                <w:sz w:val="21"/>
                <w:vertAlign w:val="subscript"/>
              </w:rPr>
              <w:t>5</w:t>
            </w:r>
            <w:r>
              <w:rPr>
                <w:color w:val="000000" w:themeColor="text1"/>
                <w:sz w:val="21"/>
              </w:rPr>
              <w:t xml:space="preserve">）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6</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氨氮（NH</w:t>
            </w:r>
            <w:r>
              <w:rPr>
                <w:color w:val="000000" w:themeColor="text1"/>
                <w:sz w:val="21"/>
                <w:vertAlign w:val="subscript"/>
              </w:rPr>
              <w:t>3</w:t>
            </w:r>
            <w:r>
              <w:rPr>
                <w:color w:val="000000" w:themeColor="text1"/>
                <w:sz w:val="21"/>
              </w:rPr>
              <w:t>-N）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7</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 xml:space="preserve">总磷（以P计）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8</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 xml:space="preserve">铜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9</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 xml:space="preserve">锌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10</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氟化物（以F</w:t>
            </w:r>
            <w:r>
              <w:rPr>
                <w:color w:val="000000" w:themeColor="text1"/>
                <w:sz w:val="21"/>
                <w:vertAlign w:val="superscript"/>
              </w:rPr>
              <w:t>-</w:t>
            </w:r>
            <w:r>
              <w:rPr>
                <w:color w:val="000000" w:themeColor="text1"/>
                <w:sz w:val="21"/>
              </w:rPr>
              <w:t xml:space="preserve">计）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11</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 xml:space="preserve">硒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12</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 xml:space="preserve">砷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rFonts w:hint="eastAsia"/>
                <w:color w:val="000000" w:themeColor="text1"/>
                <w:sz w:val="21"/>
              </w:rPr>
              <w:t>13</w:t>
            </w:r>
          </w:p>
        </w:tc>
        <w:tc>
          <w:tcPr>
            <w:tcW w:w="4162" w:type="dxa"/>
            <w:vAlign w:val="center"/>
          </w:tcPr>
          <w:p>
            <w:pPr>
              <w:adjustRightInd w:val="0"/>
              <w:snapToGrid w:val="0"/>
              <w:spacing w:line="240" w:lineRule="auto"/>
              <w:ind w:firstLine="0" w:firstLineChars="0"/>
              <w:jc w:val="both"/>
              <w:rPr>
                <w:color w:val="000000" w:themeColor="text1"/>
                <w:sz w:val="21"/>
              </w:rPr>
            </w:pPr>
            <w:r>
              <w:rPr>
                <w:rFonts w:hint="eastAsia"/>
                <w:color w:val="000000" w:themeColor="text1"/>
                <w:sz w:val="21"/>
              </w:rPr>
              <w:t>铁</w:t>
            </w:r>
            <w:r>
              <w:rPr>
                <w:color w:val="000000" w:themeColor="text1"/>
                <w:sz w:val="21"/>
              </w:rPr>
              <w:t xml:space="preserve"> </w:t>
            </w:r>
            <w:r>
              <w:rPr>
                <w:rFonts w:hint="eastAsia"/>
                <w:color w:val="000000" w:themeColor="text1"/>
                <w:sz w:val="21"/>
              </w:rPr>
              <w:t xml:space="preserve">                             </w:t>
            </w:r>
            <w:r>
              <w:rPr>
                <w:color w:val="000000" w:themeColor="text1"/>
                <w:sz w:val="21"/>
              </w:rPr>
              <w:t>≤</w:t>
            </w:r>
          </w:p>
        </w:tc>
        <w:tc>
          <w:tcPr>
            <w:tcW w:w="3172" w:type="dxa"/>
            <w:vAlign w:val="center"/>
          </w:tcPr>
          <w:p>
            <w:pPr>
              <w:adjustRightInd w:val="0"/>
              <w:snapToGrid w:val="0"/>
              <w:spacing w:line="240" w:lineRule="atLeast"/>
              <w:ind w:firstLine="0" w:firstLineChars="0"/>
              <w:jc w:val="center"/>
              <w:rPr>
                <w:color w:val="000000" w:themeColor="text1"/>
                <w:sz w:val="21"/>
              </w:rPr>
            </w:pPr>
            <w:r>
              <w:rPr>
                <w:rFonts w:hint="eastAsia"/>
                <w:color w:val="000000" w:themeColor="text1"/>
                <w:sz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rFonts w:hint="eastAsia"/>
                <w:color w:val="000000" w:themeColor="text1"/>
                <w:sz w:val="21"/>
              </w:rPr>
              <w:t>14</w:t>
            </w:r>
          </w:p>
        </w:tc>
        <w:tc>
          <w:tcPr>
            <w:tcW w:w="4162" w:type="dxa"/>
            <w:vAlign w:val="center"/>
          </w:tcPr>
          <w:p>
            <w:pPr>
              <w:adjustRightInd w:val="0"/>
              <w:snapToGrid w:val="0"/>
              <w:spacing w:line="240" w:lineRule="auto"/>
              <w:ind w:firstLine="0" w:firstLineChars="0"/>
              <w:jc w:val="both"/>
              <w:rPr>
                <w:color w:val="000000" w:themeColor="text1"/>
                <w:sz w:val="21"/>
              </w:rPr>
            </w:pPr>
            <w:r>
              <w:rPr>
                <w:rFonts w:hint="eastAsia"/>
                <w:color w:val="000000" w:themeColor="text1"/>
                <w:sz w:val="21"/>
              </w:rPr>
              <w:t xml:space="preserve">锰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rFonts w:hint="eastAsia"/>
                <w:color w:val="000000" w:themeColor="text1"/>
                <w:sz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1</w:t>
            </w:r>
            <w:r>
              <w:rPr>
                <w:rFonts w:hint="eastAsia"/>
                <w:color w:val="000000" w:themeColor="text1"/>
                <w:sz w:val="21"/>
              </w:rPr>
              <w:t>5</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 xml:space="preserve">汞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1</w:t>
            </w:r>
            <w:r>
              <w:rPr>
                <w:rFonts w:hint="eastAsia"/>
                <w:color w:val="000000" w:themeColor="text1"/>
                <w:sz w:val="21"/>
              </w:rPr>
              <w:t>6</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 xml:space="preserve">镉                            </w:t>
            </w:r>
            <w:r>
              <w:rPr>
                <w:rFonts w:hint="eastAsia"/>
                <w:color w:val="000000" w:themeColor="text1"/>
                <w:sz w:val="21"/>
              </w:rPr>
              <w:t xml:space="preserve">  </w:t>
            </w:r>
            <w:r>
              <w:rPr>
                <w:color w:val="000000" w:themeColor="text1"/>
                <w:sz w:val="21"/>
              </w:rPr>
              <w:t>≤</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1</w:t>
            </w:r>
            <w:r>
              <w:rPr>
                <w:rFonts w:hint="eastAsia"/>
                <w:color w:val="000000" w:themeColor="text1"/>
                <w:sz w:val="21"/>
              </w:rPr>
              <w:t>7</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 xml:space="preserve">铬（六价）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1</w:t>
            </w:r>
            <w:r>
              <w:rPr>
                <w:rFonts w:hint="eastAsia"/>
                <w:color w:val="000000" w:themeColor="text1"/>
                <w:sz w:val="21"/>
              </w:rPr>
              <w:t>8</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 xml:space="preserve">铅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1</w:t>
            </w:r>
            <w:r>
              <w:rPr>
                <w:rFonts w:hint="eastAsia"/>
                <w:color w:val="000000" w:themeColor="text1"/>
                <w:sz w:val="21"/>
              </w:rPr>
              <w:t>9</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 xml:space="preserve">氰化物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rFonts w:hint="eastAsia"/>
                <w:color w:val="000000" w:themeColor="text1"/>
                <w:sz w:val="21"/>
              </w:rPr>
              <w:t>20</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 xml:space="preserve">挥发酚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rFonts w:hint="eastAsia"/>
                <w:color w:val="000000" w:themeColor="text1"/>
                <w:sz w:val="21"/>
              </w:rPr>
              <w:t>21</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 xml:space="preserve">石油类                        </w:t>
            </w:r>
            <w:r>
              <w:rPr>
                <w:rFonts w:hint="eastAsia"/>
                <w:color w:val="000000" w:themeColor="text1"/>
                <w:sz w:val="21"/>
              </w:rPr>
              <w:t xml:space="preserve"> </w:t>
            </w:r>
            <w:r>
              <w:rPr>
                <w:color w:val="000000" w:themeColor="text1"/>
                <w:sz w:val="21"/>
              </w:rPr>
              <w:t xml:space="preserve">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2</w:t>
            </w:r>
            <w:r>
              <w:rPr>
                <w:rFonts w:hint="eastAsia"/>
                <w:color w:val="000000" w:themeColor="text1"/>
                <w:sz w:val="21"/>
              </w:rPr>
              <w:t>2</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阴离子表面活性剂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2</w:t>
            </w:r>
            <w:r>
              <w:rPr>
                <w:rFonts w:hint="eastAsia"/>
                <w:color w:val="000000" w:themeColor="text1"/>
                <w:sz w:val="21"/>
              </w:rPr>
              <w:t>3</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硫化物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86" w:type="dxa"/>
            <w:vAlign w:val="center"/>
          </w:tcPr>
          <w:p>
            <w:pPr>
              <w:adjustRightInd w:val="0"/>
              <w:snapToGrid w:val="0"/>
              <w:spacing w:line="240" w:lineRule="auto"/>
              <w:ind w:firstLine="0" w:firstLineChars="0"/>
              <w:jc w:val="center"/>
              <w:rPr>
                <w:color w:val="000000" w:themeColor="text1"/>
                <w:sz w:val="21"/>
              </w:rPr>
            </w:pPr>
            <w:r>
              <w:rPr>
                <w:color w:val="000000" w:themeColor="text1"/>
                <w:sz w:val="21"/>
              </w:rPr>
              <w:t>2</w:t>
            </w:r>
            <w:r>
              <w:rPr>
                <w:rFonts w:hint="eastAsia"/>
                <w:color w:val="000000" w:themeColor="text1"/>
                <w:sz w:val="21"/>
              </w:rPr>
              <w:t>4</w:t>
            </w:r>
          </w:p>
        </w:tc>
        <w:tc>
          <w:tcPr>
            <w:tcW w:w="4162" w:type="dxa"/>
            <w:vAlign w:val="center"/>
          </w:tcPr>
          <w:p>
            <w:pPr>
              <w:adjustRightInd w:val="0"/>
              <w:snapToGrid w:val="0"/>
              <w:spacing w:line="240" w:lineRule="auto"/>
              <w:ind w:firstLine="0" w:firstLineChars="0"/>
              <w:jc w:val="both"/>
              <w:rPr>
                <w:color w:val="000000" w:themeColor="text1"/>
                <w:sz w:val="21"/>
              </w:rPr>
            </w:pPr>
            <w:r>
              <w:rPr>
                <w:color w:val="000000" w:themeColor="text1"/>
                <w:sz w:val="21"/>
              </w:rPr>
              <w:t>粪大肠菌群（个/L）              ≤</w:t>
            </w:r>
          </w:p>
        </w:tc>
        <w:tc>
          <w:tcPr>
            <w:tcW w:w="3172" w:type="dxa"/>
            <w:vAlign w:val="center"/>
          </w:tcPr>
          <w:p>
            <w:pPr>
              <w:adjustRightInd w:val="0"/>
              <w:snapToGrid w:val="0"/>
              <w:spacing w:line="240" w:lineRule="atLeast"/>
              <w:ind w:firstLine="0" w:firstLineChars="0"/>
              <w:jc w:val="center"/>
              <w:rPr>
                <w:color w:val="000000" w:themeColor="text1"/>
                <w:sz w:val="21"/>
              </w:rPr>
            </w:pPr>
            <w:r>
              <w:rPr>
                <w:color w:val="000000" w:themeColor="text1"/>
                <w:sz w:val="21"/>
              </w:rPr>
              <w:t>10000</w:t>
            </w:r>
          </w:p>
        </w:tc>
      </w:tr>
    </w:tbl>
    <w:p>
      <w:pPr>
        <w:adjustRightInd w:val="0"/>
        <w:snapToGrid w:val="0"/>
        <w:ind w:firstLine="0" w:firstLineChars="0"/>
        <w:rPr>
          <w:rFonts w:eastAsiaTheme="minorEastAsia"/>
          <w:color w:val="000000" w:themeColor="text1"/>
          <w:kern w:val="0"/>
          <w:sz w:val="21"/>
          <w:szCs w:val="21"/>
        </w:rPr>
      </w:pPr>
    </w:p>
    <w:p>
      <w:pPr>
        <w:adjustRightInd w:val="0"/>
        <w:snapToGrid w:val="0"/>
        <w:ind w:firstLine="0" w:firstLineChars="0"/>
        <w:rPr>
          <w:rFonts w:eastAsiaTheme="minorEastAsia"/>
          <w:color w:val="000000" w:themeColor="text1"/>
          <w:kern w:val="0"/>
          <w:sz w:val="21"/>
          <w:szCs w:val="21"/>
        </w:rPr>
      </w:pPr>
      <w:r>
        <w:rPr>
          <w:rFonts w:eastAsiaTheme="minorEastAsia"/>
          <w:color w:val="000000" w:themeColor="text1"/>
          <w:kern w:val="0"/>
          <w:sz w:val="21"/>
          <w:szCs w:val="21"/>
        </w:rPr>
        <w:t>注：pH无量纲</w:t>
      </w:r>
      <w:r>
        <w:rPr>
          <w:rFonts w:eastAsiaTheme="minorEastAsia"/>
          <w:color w:val="000000" w:themeColor="text1"/>
          <w:szCs w:val="24"/>
        </w:rPr>
        <w:t>，</w:t>
      </w:r>
      <w:r>
        <w:rPr>
          <w:rFonts w:eastAsiaTheme="minorEastAsia"/>
          <w:color w:val="000000" w:themeColor="text1"/>
          <w:kern w:val="0"/>
          <w:sz w:val="21"/>
          <w:szCs w:val="21"/>
        </w:rPr>
        <w:t>粪大肠菌群单位为（个/L）。</w:t>
      </w:r>
    </w:p>
    <w:p>
      <w:pPr>
        <w:pStyle w:val="134"/>
        <w:ind w:firstLine="480"/>
        <w:rPr>
          <w:rFonts w:eastAsiaTheme="minorEastAsia"/>
          <w:color w:val="000000" w:themeColor="text1"/>
        </w:rPr>
      </w:pPr>
      <w:r>
        <w:rPr>
          <w:rFonts w:eastAsiaTheme="minorEastAsia"/>
          <w:color w:val="000000" w:themeColor="text1"/>
        </w:rPr>
        <w:t>3、地下水环境</w:t>
      </w:r>
    </w:p>
    <w:p>
      <w:pPr>
        <w:pStyle w:val="134"/>
        <w:ind w:firstLine="480"/>
        <w:rPr>
          <w:rFonts w:eastAsiaTheme="minorEastAsia"/>
          <w:b/>
          <w:color w:val="000000" w:themeColor="text1"/>
          <w:sz w:val="21"/>
          <w:szCs w:val="20"/>
        </w:rPr>
      </w:pPr>
      <w:r>
        <w:rPr>
          <w:rFonts w:eastAsiaTheme="minorEastAsia"/>
          <w:color w:val="000000" w:themeColor="text1"/>
          <w:szCs w:val="24"/>
        </w:rPr>
        <w:t>项目区地下水执行《地下水质量标准》（GB/T14848-2017）</w:t>
      </w:r>
      <w:r>
        <w:rPr>
          <w:rFonts w:eastAsiaTheme="minorEastAsia"/>
          <w:color w:val="000000" w:themeColor="text1"/>
          <w:szCs w:val="24"/>
        </w:rPr>
        <w:fldChar w:fldCharType="begin"/>
      </w:r>
      <w:r>
        <w:rPr>
          <w:rFonts w:eastAsiaTheme="minorEastAsia"/>
          <w:color w:val="000000" w:themeColor="text1"/>
          <w:szCs w:val="24"/>
        </w:rPr>
        <w:instrText xml:space="preserve"> = 3 \* ROMAN </w:instrText>
      </w:r>
      <w:r>
        <w:rPr>
          <w:rFonts w:eastAsiaTheme="minorEastAsia"/>
          <w:color w:val="000000" w:themeColor="text1"/>
          <w:szCs w:val="24"/>
        </w:rPr>
        <w:fldChar w:fldCharType="separate"/>
      </w:r>
      <w:r>
        <w:rPr>
          <w:rFonts w:eastAsiaTheme="minorEastAsia"/>
          <w:color w:val="000000" w:themeColor="text1"/>
          <w:szCs w:val="24"/>
        </w:rPr>
        <w:t>III</w:t>
      </w:r>
      <w:r>
        <w:rPr>
          <w:rFonts w:eastAsiaTheme="minorEastAsia"/>
          <w:color w:val="000000" w:themeColor="text1"/>
          <w:szCs w:val="24"/>
        </w:rPr>
        <w:fldChar w:fldCharType="end"/>
      </w:r>
      <w:r>
        <w:rPr>
          <w:rFonts w:eastAsiaTheme="minorEastAsia"/>
          <w:color w:val="000000" w:themeColor="text1"/>
          <w:szCs w:val="24"/>
        </w:rPr>
        <w:t>类标准，见表1.4-4。</w:t>
      </w:r>
    </w:p>
    <w:p>
      <w:pPr>
        <w:adjustRightInd w:val="0"/>
        <w:snapToGrid w:val="0"/>
        <w:ind w:firstLine="0" w:firstLineChars="0"/>
        <w:jc w:val="center"/>
        <w:rPr>
          <w:rFonts w:eastAsiaTheme="minorEastAsia"/>
          <w:b/>
          <w:color w:val="000000" w:themeColor="text1"/>
          <w:kern w:val="0"/>
          <w:sz w:val="21"/>
          <w:szCs w:val="21"/>
        </w:rPr>
      </w:pPr>
      <w:r>
        <w:rPr>
          <w:rFonts w:eastAsiaTheme="minorEastAsia"/>
          <w:b/>
          <w:color w:val="000000" w:themeColor="text1"/>
          <w:sz w:val="21"/>
          <w:szCs w:val="20"/>
        </w:rPr>
        <w:t>表1.4-4地下水质量标准</w:t>
      </w:r>
      <w:r>
        <w:rPr>
          <w:rFonts w:eastAsiaTheme="minorEastAsia"/>
          <w:b/>
          <w:color w:val="000000" w:themeColor="text1"/>
          <w:kern w:val="0"/>
          <w:sz w:val="21"/>
          <w:szCs w:val="21"/>
        </w:rPr>
        <w:t>单位：mg/L</w:t>
      </w:r>
    </w:p>
    <w:tbl>
      <w:tblPr>
        <w:tblStyle w:val="6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0"/>
        <w:gridCol w:w="42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bCs/>
                <w:color w:val="000000" w:themeColor="text1"/>
                <w:sz w:val="21"/>
                <w:szCs w:val="21"/>
              </w:rPr>
            </w:pPr>
            <w:r>
              <w:rPr>
                <w:rFonts w:eastAsiaTheme="minorEastAsia"/>
                <w:bCs/>
                <w:color w:val="000000" w:themeColor="text1"/>
                <w:sz w:val="21"/>
                <w:szCs w:val="21"/>
              </w:rPr>
              <w:t>项目</w:t>
            </w:r>
          </w:p>
        </w:tc>
        <w:tc>
          <w:tcPr>
            <w:tcW w:w="4262" w:type="dxa"/>
            <w:vAlign w:val="center"/>
          </w:tcPr>
          <w:p>
            <w:pPr>
              <w:ind w:left="103" w:hanging="102" w:hangingChars="49"/>
              <w:jc w:val="center"/>
              <w:rPr>
                <w:bCs/>
                <w:color w:val="000000" w:themeColor="text1"/>
                <w:sz w:val="21"/>
                <w:szCs w:val="21"/>
              </w:rPr>
            </w:pPr>
            <w:r>
              <w:rPr>
                <w:color w:val="000000" w:themeColor="text1"/>
                <w:sz w:val="21"/>
                <w:szCs w:val="21"/>
              </w:rPr>
              <w:t>Ⅲ类</w:t>
            </w:r>
            <w:r>
              <w:rPr>
                <w:bCs/>
                <w:color w:val="000000" w:themeColor="text1"/>
                <w:sz w:val="21"/>
                <w:szCs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bCs/>
                <w:color w:val="000000" w:themeColor="text1"/>
                <w:sz w:val="21"/>
                <w:szCs w:val="21"/>
              </w:rPr>
            </w:pPr>
            <w:r>
              <w:rPr>
                <w:bCs/>
                <w:color w:val="000000" w:themeColor="text1"/>
                <w:sz w:val="21"/>
                <w:szCs w:val="21"/>
              </w:rPr>
              <w:t>色度</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bCs/>
                <w:color w:val="000000" w:themeColor="text1"/>
                <w:sz w:val="21"/>
                <w:szCs w:val="21"/>
              </w:rPr>
            </w:pPr>
            <w:r>
              <w:rPr>
                <w:bCs/>
                <w:color w:val="000000" w:themeColor="text1"/>
                <w:sz w:val="21"/>
                <w:szCs w:val="21"/>
              </w:rPr>
              <w:t>嗅和味</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bCs/>
                <w:color w:val="000000" w:themeColor="text1"/>
                <w:sz w:val="21"/>
                <w:szCs w:val="21"/>
              </w:rPr>
            </w:pPr>
            <w:r>
              <w:rPr>
                <w:bCs/>
                <w:color w:val="000000" w:themeColor="text1"/>
                <w:sz w:val="21"/>
                <w:szCs w:val="21"/>
              </w:rPr>
              <w:t>浑浊度</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bCs/>
                <w:color w:val="000000" w:themeColor="text1"/>
                <w:sz w:val="21"/>
                <w:szCs w:val="21"/>
              </w:rPr>
            </w:pPr>
            <w:r>
              <w:rPr>
                <w:bCs/>
                <w:color w:val="000000" w:themeColor="text1"/>
                <w:sz w:val="21"/>
                <w:szCs w:val="21"/>
              </w:rPr>
              <w:t>肉眼可见物</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bCs/>
                <w:color w:val="000000" w:themeColor="text1"/>
                <w:sz w:val="21"/>
                <w:szCs w:val="21"/>
              </w:rPr>
              <w:t>pH（无量纲）</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firstLine="420"/>
              <w:jc w:val="center"/>
              <w:rPr>
                <w:color w:val="000000" w:themeColor="text1"/>
                <w:sz w:val="21"/>
                <w:szCs w:val="21"/>
              </w:rPr>
            </w:pPr>
            <w:r>
              <w:rPr>
                <w:color w:val="000000" w:themeColor="text1"/>
                <w:sz w:val="21"/>
                <w:szCs w:val="21"/>
              </w:rPr>
              <w:t>溶解性总固体</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firstLine="420"/>
              <w:jc w:val="center"/>
              <w:rPr>
                <w:color w:val="000000" w:themeColor="text1"/>
                <w:sz w:val="21"/>
                <w:szCs w:val="21"/>
              </w:rPr>
            </w:pPr>
            <w:r>
              <w:rPr>
                <w:color w:val="000000" w:themeColor="text1"/>
                <w:sz w:val="21"/>
                <w:szCs w:val="21"/>
              </w:rPr>
              <w:t>氨氮</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挥发性酚类</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氟化物</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碘化物</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硝酸盐</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硫酸盐</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硫化物</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氰化物</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亚硝酸盐</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镉</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铬（六价）</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铅</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铁</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铜</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锌</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铝</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钠</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锰</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砷</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硒</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汞</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总硬度</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氯化物</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阴离子表面活性剂</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耗氧量</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color w:val="000000" w:themeColor="text1"/>
                <w:sz w:val="21"/>
                <w:szCs w:val="21"/>
              </w:rPr>
              <w:t>高锰酸盐指数</w:t>
            </w:r>
          </w:p>
        </w:tc>
        <w:tc>
          <w:tcPr>
            <w:tcW w:w="4262" w:type="dxa"/>
            <w:vAlign w:val="center"/>
          </w:tcPr>
          <w:p>
            <w:pPr>
              <w:ind w:left="103" w:hanging="102" w:hangingChars="49"/>
              <w:jc w:val="center"/>
              <w:rPr>
                <w:bCs/>
                <w:color w:val="000000" w:themeColor="text1"/>
                <w:sz w:val="21"/>
                <w:szCs w:val="21"/>
              </w:rPr>
            </w:pPr>
            <w:r>
              <w:rPr>
                <w:bCs/>
                <w:color w:val="000000" w:themeColor="text1"/>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bCs/>
                <w:color w:val="000000" w:themeColor="text1"/>
                <w:sz w:val="21"/>
                <w:szCs w:val="21"/>
              </w:rPr>
              <w:t>总大肠菌群个（</w:t>
            </w:r>
            <w:r>
              <w:rPr>
                <w:color w:val="000000" w:themeColor="text1"/>
                <w:sz w:val="21"/>
                <w:szCs w:val="21"/>
              </w:rPr>
              <w:t>CFU/100mL</w:t>
            </w:r>
            <w:r>
              <w:rPr>
                <w:bCs/>
                <w:color w:val="000000" w:themeColor="text1"/>
                <w:sz w:val="21"/>
                <w:szCs w:val="21"/>
              </w:rPr>
              <w:t>）</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60" w:type="dxa"/>
            <w:vAlign w:val="center"/>
          </w:tcPr>
          <w:p>
            <w:pPr>
              <w:ind w:left="103" w:hanging="102" w:hangingChars="49"/>
              <w:jc w:val="center"/>
              <w:rPr>
                <w:color w:val="000000" w:themeColor="text1"/>
                <w:sz w:val="21"/>
                <w:szCs w:val="21"/>
              </w:rPr>
            </w:pPr>
            <w:r>
              <w:rPr>
                <w:bCs/>
                <w:color w:val="000000" w:themeColor="text1"/>
                <w:sz w:val="21"/>
                <w:szCs w:val="21"/>
              </w:rPr>
              <w:t>菌落总数（</w:t>
            </w:r>
            <w:r>
              <w:rPr>
                <w:color w:val="000000" w:themeColor="text1"/>
                <w:sz w:val="21"/>
                <w:szCs w:val="21"/>
              </w:rPr>
              <w:t>CFU/mL</w:t>
            </w:r>
            <w:r>
              <w:rPr>
                <w:bCs/>
                <w:color w:val="000000" w:themeColor="text1"/>
                <w:sz w:val="21"/>
                <w:szCs w:val="21"/>
              </w:rPr>
              <w:t>）</w:t>
            </w:r>
          </w:p>
        </w:tc>
        <w:tc>
          <w:tcPr>
            <w:tcW w:w="4262" w:type="dxa"/>
            <w:vAlign w:val="center"/>
          </w:tcPr>
          <w:p>
            <w:pPr>
              <w:ind w:left="103" w:hanging="102" w:hangingChars="49"/>
              <w:jc w:val="center"/>
              <w:rPr>
                <w:color w:val="000000" w:themeColor="text1"/>
                <w:sz w:val="21"/>
                <w:szCs w:val="21"/>
              </w:rPr>
            </w:pPr>
            <w:r>
              <w:rPr>
                <w:bCs/>
                <w:color w:val="000000" w:themeColor="text1"/>
                <w:sz w:val="21"/>
                <w:szCs w:val="21"/>
              </w:rPr>
              <w:t>100</w:t>
            </w:r>
          </w:p>
        </w:tc>
      </w:tr>
    </w:tbl>
    <w:p>
      <w:pPr>
        <w:pStyle w:val="134"/>
        <w:ind w:firstLine="480"/>
        <w:rPr>
          <w:rFonts w:eastAsiaTheme="minorEastAsia"/>
          <w:color w:val="000000" w:themeColor="text1"/>
        </w:rPr>
      </w:pPr>
    </w:p>
    <w:p>
      <w:pPr>
        <w:pStyle w:val="134"/>
        <w:ind w:firstLine="480"/>
        <w:rPr>
          <w:rFonts w:eastAsiaTheme="minorEastAsia"/>
          <w:color w:val="000000" w:themeColor="text1"/>
        </w:rPr>
      </w:pPr>
      <w:r>
        <w:rPr>
          <w:rFonts w:eastAsiaTheme="minorEastAsia"/>
          <w:color w:val="000000" w:themeColor="text1"/>
        </w:rPr>
        <w:t>4、声环境</w:t>
      </w:r>
    </w:p>
    <w:p>
      <w:pPr>
        <w:pStyle w:val="134"/>
        <w:ind w:firstLine="480"/>
        <w:rPr>
          <w:rFonts w:eastAsiaTheme="minorEastAsia"/>
          <w:color w:val="000000" w:themeColor="text1"/>
          <w:szCs w:val="20"/>
        </w:rPr>
      </w:pPr>
      <w:r>
        <w:rPr>
          <w:rFonts w:eastAsiaTheme="minorEastAsia"/>
          <w:color w:val="000000" w:themeColor="text1"/>
          <w:szCs w:val="20"/>
        </w:rPr>
        <w:t>项目位于新平工业园区（戛洒片区），</w:t>
      </w:r>
      <w:r>
        <w:rPr>
          <w:rFonts w:hint="eastAsia" w:eastAsiaTheme="minorEastAsia"/>
          <w:color w:val="000000" w:themeColor="text1"/>
          <w:szCs w:val="20"/>
        </w:rPr>
        <w:t>项目所在区域为</w:t>
      </w:r>
      <w:r>
        <w:rPr>
          <w:rFonts w:eastAsiaTheme="minorEastAsia"/>
          <w:color w:val="000000" w:themeColor="text1"/>
          <w:szCs w:val="20"/>
        </w:rPr>
        <w:t>《声环境质量标准》（GB3096-2008）3类声环境功能区声</w:t>
      </w:r>
      <w:r>
        <w:rPr>
          <w:rFonts w:hint="eastAsia" w:eastAsiaTheme="minorEastAsia"/>
          <w:color w:val="000000" w:themeColor="text1"/>
          <w:szCs w:val="20"/>
        </w:rPr>
        <w:t>，</w:t>
      </w:r>
      <w:r>
        <w:rPr>
          <w:rFonts w:eastAsiaTheme="minorEastAsia"/>
          <w:color w:val="000000" w:themeColor="text1"/>
          <w:szCs w:val="20"/>
        </w:rPr>
        <w:t>执行《声环境质量标准》（GB3096-2008）3类标准限值。标准值见表1.4-5。</w:t>
      </w:r>
    </w:p>
    <w:p>
      <w:pPr>
        <w:adjustRightInd w:val="0"/>
        <w:snapToGrid w:val="0"/>
        <w:ind w:firstLine="738" w:firstLineChars="350"/>
        <w:jc w:val="center"/>
        <w:textAlignment w:val="baseline"/>
        <w:rPr>
          <w:rFonts w:eastAsiaTheme="minorEastAsia"/>
          <w:b/>
          <w:bCs/>
          <w:color w:val="000000" w:themeColor="text1"/>
          <w:sz w:val="21"/>
          <w:szCs w:val="21"/>
        </w:rPr>
      </w:pPr>
      <w:r>
        <w:rPr>
          <w:rFonts w:eastAsiaTheme="minorEastAsia"/>
          <w:b/>
          <w:color w:val="000000" w:themeColor="text1"/>
          <w:sz w:val="21"/>
          <w:szCs w:val="20"/>
        </w:rPr>
        <w:t>表1.4-5环境噪声限值</w:t>
      </w:r>
      <w:r>
        <w:rPr>
          <w:rFonts w:eastAsiaTheme="minorEastAsia"/>
          <w:b/>
          <w:color w:val="000000" w:themeColor="text1"/>
          <w:sz w:val="21"/>
          <w:szCs w:val="21"/>
        </w:rPr>
        <w:t>单位：dB（A）</w:t>
      </w:r>
    </w:p>
    <w:tbl>
      <w:tblPr>
        <w:tblStyle w:val="61"/>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30"/>
        <w:gridCol w:w="2485"/>
        <w:gridCol w:w="21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0" w:hRule="exact"/>
          <w:jc w:val="center"/>
        </w:trPr>
        <w:tc>
          <w:tcPr>
            <w:tcW w:w="3930" w:type="dxa"/>
            <w:shd w:val="clear" w:color="auto" w:fill="auto"/>
            <w:vAlign w:val="center"/>
          </w:tcPr>
          <w:p>
            <w:pPr>
              <w:ind w:firstLine="0" w:firstLineChars="0"/>
              <w:jc w:val="center"/>
              <w:rPr>
                <w:rFonts w:eastAsiaTheme="minorEastAsia"/>
                <w:color w:val="000000" w:themeColor="text1"/>
                <w:sz w:val="21"/>
                <w:szCs w:val="21"/>
                <w:lang w:val="zh-CN"/>
              </w:rPr>
            </w:pPr>
            <w:r>
              <w:rPr>
                <w:rFonts w:eastAsiaTheme="minorEastAsia"/>
                <w:color w:val="000000" w:themeColor="text1"/>
                <w:sz w:val="21"/>
                <w:szCs w:val="21"/>
                <w:lang w:val="zh-CN"/>
              </w:rPr>
              <w:t>声环境功能区类别</w:t>
            </w:r>
          </w:p>
        </w:tc>
        <w:tc>
          <w:tcPr>
            <w:tcW w:w="2485" w:type="dxa"/>
            <w:shd w:val="clear" w:color="auto" w:fill="auto"/>
            <w:vAlign w:val="center"/>
          </w:tcPr>
          <w:p>
            <w:pPr>
              <w:ind w:firstLine="0" w:firstLineChars="0"/>
              <w:jc w:val="center"/>
              <w:rPr>
                <w:rFonts w:eastAsiaTheme="minorEastAsia"/>
                <w:color w:val="000000" w:themeColor="text1"/>
                <w:sz w:val="21"/>
                <w:szCs w:val="21"/>
                <w:lang w:val="zh-CN"/>
              </w:rPr>
            </w:pPr>
            <w:r>
              <w:rPr>
                <w:rFonts w:eastAsiaTheme="minorEastAsia"/>
                <w:color w:val="000000" w:themeColor="text1"/>
                <w:sz w:val="21"/>
                <w:szCs w:val="21"/>
                <w:lang w:val="zh-CN"/>
              </w:rPr>
              <w:t>昼间</w:t>
            </w:r>
          </w:p>
        </w:tc>
        <w:tc>
          <w:tcPr>
            <w:tcW w:w="2113" w:type="dxa"/>
            <w:shd w:val="clear" w:color="auto" w:fill="auto"/>
            <w:vAlign w:val="center"/>
          </w:tcPr>
          <w:p>
            <w:pPr>
              <w:ind w:firstLine="0" w:firstLineChars="0"/>
              <w:jc w:val="center"/>
              <w:rPr>
                <w:rFonts w:eastAsiaTheme="minorEastAsia"/>
                <w:color w:val="000000" w:themeColor="text1"/>
                <w:sz w:val="21"/>
                <w:szCs w:val="21"/>
                <w:lang w:val="zh-CN"/>
              </w:rPr>
            </w:pPr>
            <w:r>
              <w:rPr>
                <w:rFonts w:eastAsiaTheme="minorEastAsia"/>
                <w:color w:val="000000" w:themeColor="text1"/>
                <w:sz w:val="21"/>
                <w:szCs w:val="21"/>
                <w:lang w:val="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8" w:hRule="exact"/>
          <w:jc w:val="center"/>
        </w:trPr>
        <w:tc>
          <w:tcPr>
            <w:tcW w:w="3930" w:type="dxa"/>
            <w:shd w:val="clear" w:color="auto" w:fill="auto"/>
            <w:vAlign w:val="center"/>
          </w:tcPr>
          <w:p>
            <w:pPr>
              <w:ind w:firstLine="0" w:firstLineChars="0"/>
              <w:jc w:val="center"/>
              <w:rPr>
                <w:rFonts w:eastAsiaTheme="minorEastAsia"/>
                <w:color w:val="000000" w:themeColor="text1"/>
                <w:sz w:val="21"/>
                <w:szCs w:val="21"/>
                <w:lang w:val="zh-CN"/>
              </w:rPr>
            </w:pPr>
            <w:r>
              <w:rPr>
                <w:rFonts w:eastAsiaTheme="minorEastAsia"/>
                <w:color w:val="000000" w:themeColor="text1"/>
                <w:sz w:val="21"/>
                <w:szCs w:val="21"/>
                <w:lang w:val="zh-CN"/>
              </w:rPr>
              <w:t>3类</w:t>
            </w:r>
          </w:p>
        </w:tc>
        <w:tc>
          <w:tcPr>
            <w:tcW w:w="2485" w:type="dxa"/>
            <w:shd w:val="clear" w:color="auto" w:fill="auto"/>
            <w:vAlign w:val="center"/>
          </w:tcPr>
          <w:p>
            <w:pPr>
              <w:ind w:firstLine="0" w:firstLineChars="0"/>
              <w:jc w:val="center"/>
              <w:rPr>
                <w:rFonts w:eastAsiaTheme="minorEastAsia"/>
                <w:color w:val="000000" w:themeColor="text1"/>
                <w:sz w:val="21"/>
                <w:szCs w:val="21"/>
                <w:lang w:val="zh-CN"/>
              </w:rPr>
            </w:pPr>
            <w:r>
              <w:rPr>
                <w:rFonts w:eastAsiaTheme="minorEastAsia"/>
                <w:color w:val="000000" w:themeColor="text1"/>
                <w:sz w:val="21"/>
                <w:szCs w:val="21"/>
                <w:lang w:val="zh-CN"/>
              </w:rPr>
              <w:t>65</w:t>
            </w:r>
          </w:p>
        </w:tc>
        <w:tc>
          <w:tcPr>
            <w:tcW w:w="2113" w:type="dxa"/>
            <w:shd w:val="clear" w:color="auto" w:fill="auto"/>
            <w:vAlign w:val="center"/>
          </w:tcPr>
          <w:p>
            <w:pPr>
              <w:ind w:firstLine="0" w:firstLineChars="0"/>
              <w:jc w:val="center"/>
              <w:rPr>
                <w:rFonts w:eastAsiaTheme="minorEastAsia"/>
                <w:color w:val="000000" w:themeColor="text1"/>
                <w:sz w:val="21"/>
                <w:szCs w:val="21"/>
                <w:lang w:val="zh-CN"/>
              </w:rPr>
            </w:pPr>
            <w:r>
              <w:rPr>
                <w:rFonts w:eastAsiaTheme="minorEastAsia"/>
                <w:color w:val="000000" w:themeColor="text1"/>
                <w:sz w:val="21"/>
                <w:szCs w:val="21"/>
                <w:lang w:val="zh-CN"/>
              </w:rPr>
              <w:t>55</w:t>
            </w:r>
          </w:p>
        </w:tc>
      </w:tr>
    </w:tbl>
    <w:p>
      <w:pPr>
        <w:adjustRightInd w:val="0"/>
        <w:snapToGrid w:val="0"/>
        <w:ind w:firstLine="480"/>
        <w:rPr>
          <w:rFonts w:eastAsiaTheme="minorEastAsia"/>
          <w:color w:val="000000" w:themeColor="text1"/>
          <w:szCs w:val="24"/>
        </w:rPr>
      </w:pPr>
      <w:r>
        <w:rPr>
          <w:rFonts w:eastAsiaTheme="minorEastAsia"/>
          <w:color w:val="000000" w:themeColor="text1"/>
          <w:szCs w:val="24"/>
        </w:rPr>
        <w:t>5、土壤环境</w:t>
      </w:r>
    </w:p>
    <w:p>
      <w:pPr>
        <w:adjustRightInd w:val="0"/>
        <w:snapToGrid w:val="0"/>
        <w:ind w:firstLine="480"/>
        <w:jc w:val="both"/>
        <w:rPr>
          <w:rFonts w:eastAsiaTheme="minorEastAsia"/>
          <w:b/>
          <w:bCs/>
          <w:color w:val="000000" w:themeColor="text1"/>
          <w:sz w:val="21"/>
          <w:szCs w:val="21"/>
        </w:rPr>
      </w:pPr>
      <w:r>
        <w:rPr>
          <w:rFonts w:eastAsiaTheme="minorEastAsia"/>
          <w:color w:val="000000" w:themeColor="text1"/>
        </w:rPr>
        <w:t>项目位于</w:t>
      </w:r>
      <w:r>
        <w:rPr>
          <w:rFonts w:eastAsiaTheme="minorEastAsia"/>
          <w:color w:val="000000" w:themeColor="text1"/>
          <w:szCs w:val="20"/>
        </w:rPr>
        <w:t>新平工业园区（戛洒片区）</w:t>
      </w:r>
      <w:r>
        <w:rPr>
          <w:rFonts w:eastAsiaTheme="minorEastAsia"/>
          <w:color w:val="000000" w:themeColor="text1"/>
        </w:rPr>
        <w:t>，故土壤环境质量执行《土壤环境质量建设用地土壤污染风险管控标准（试行）》（GB36600—2018）中第二类用地标准。具体标准值见表1.4-6。</w:t>
      </w:r>
    </w:p>
    <w:p>
      <w:pPr>
        <w:ind w:firstLine="422"/>
        <w:jc w:val="center"/>
        <w:rPr>
          <w:rFonts w:eastAsiaTheme="minorEastAsia"/>
          <w:b/>
          <w:bCs/>
          <w:color w:val="000000" w:themeColor="text1"/>
          <w:sz w:val="21"/>
          <w:szCs w:val="21"/>
        </w:rPr>
      </w:pPr>
    </w:p>
    <w:p>
      <w:pPr>
        <w:ind w:firstLine="422"/>
        <w:jc w:val="center"/>
        <w:rPr>
          <w:rFonts w:eastAsiaTheme="minorEastAsia"/>
          <w:b/>
          <w:bCs/>
          <w:color w:val="000000" w:themeColor="text1"/>
          <w:sz w:val="21"/>
          <w:szCs w:val="21"/>
        </w:rPr>
      </w:pPr>
    </w:p>
    <w:p>
      <w:pPr>
        <w:ind w:firstLine="422"/>
        <w:jc w:val="center"/>
        <w:rPr>
          <w:rFonts w:eastAsiaTheme="minorEastAsia"/>
          <w:b/>
          <w:bCs/>
          <w:color w:val="000000" w:themeColor="text1"/>
          <w:sz w:val="21"/>
          <w:szCs w:val="21"/>
        </w:rPr>
      </w:pP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表1.4-6土壤环境质量评价标准（第二类用地）单位：mg/kg</w:t>
      </w:r>
    </w:p>
    <w:tbl>
      <w:tblPr>
        <w:tblStyle w:val="62"/>
        <w:tblW w:w="841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9"/>
        <w:gridCol w:w="1726"/>
        <w:gridCol w:w="1726"/>
        <w:gridCol w:w="1726"/>
        <w:gridCol w:w="1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379"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序号</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污染物项目</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CAS编号</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筛选值mg/kg</w:t>
            </w:r>
          </w:p>
        </w:tc>
        <w:tc>
          <w:tcPr>
            <w:tcW w:w="185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管制值mg/kg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8413" w:type="dxa"/>
            <w:gridSpan w:val="5"/>
            <w:vAlign w:val="center"/>
          </w:tcPr>
          <w:p>
            <w:pPr>
              <w:ind w:firstLine="0" w:firstLineChars="0"/>
              <w:jc w:val="center"/>
              <w:rPr>
                <w:rFonts w:eastAsiaTheme="minorEastAsia"/>
                <w:color w:val="000000" w:themeColor="text1"/>
                <w:sz w:val="21"/>
              </w:rPr>
            </w:pPr>
            <w:r>
              <w:rPr>
                <w:rFonts w:eastAsiaTheme="minorEastAsia"/>
                <w:color w:val="000000" w:themeColor="text1"/>
                <w:sz w:val="21"/>
              </w:rPr>
              <w:t>重金属和无机物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379"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1</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砷</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7400-38-2</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60</w:t>
            </w:r>
          </w:p>
        </w:tc>
        <w:tc>
          <w:tcPr>
            <w:tcW w:w="185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379"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2</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镉</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7400-43-9</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65</w:t>
            </w:r>
          </w:p>
        </w:tc>
        <w:tc>
          <w:tcPr>
            <w:tcW w:w="185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379"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3</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铬（六价）</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18540-29-9</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5.7</w:t>
            </w:r>
          </w:p>
        </w:tc>
        <w:tc>
          <w:tcPr>
            <w:tcW w:w="185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379"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4</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铜</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7400-50-8</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18000</w:t>
            </w:r>
          </w:p>
        </w:tc>
        <w:tc>
          <w:tcPr>
            <w:tcW w:w="185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379"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5</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铅</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7439-92-1</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800</w:t>
            </w:r>
          </w:p>
        </w:tc>
        <w:tc>
          <w:tcPr>
            <w:tcW w:w="185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379"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6</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汞</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7439-97-6</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38</w:t>
            </w:r>
          </w:p>
        </w:tc>
        <w:tc>
          <w:tcPr>
            <w:tcW w:w="185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1379"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7</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镍</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7400-02-0</w:t>
            </w:r>
          </w:p>
        </w:tc>
        <w:tc>
          <w:tcPr>
            <w:tcW w:w="172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900</w:t>
            </w:r>
          </w:p>
        </w:tc>
        <w:tc>
          <w:tcPr>
            <w:tcW w:w="1856" w:type="dxa"/>
            <w:vAlign w:val="center"/>
          </w:tcPr>
          <w:p>
            <w:pPr>
              <w:ind w:firstLine="0" w:firstLineChars="0"/>
              <w:jc w:val="center"/>
              <w:rPr>
                <w:rFonts w:eastAsiaTheme="minorEastAsia"/>
                <w:color w:val="000000" w:themeColor="text1"/>
                <w:sz w:val="21"/>
              </w:rPr>
            </w:pPr>
            <w:r>
              <w:rPr>
                <w:rFonts w:eastAsiaTheme="minorEastAsia"/>
                <w:color w:val="000000" w:themeColor="text1"/>
                <w:sz w:val="21"/>
              </w:rPr>
              <w:t>2000</w:t>
            </w:r>
          </w:p>
        </w:tc>
      </w:tr>
    </w:tbl>
    <w:p>
      <w:pPr>
        <w:pStyle w:val="6"/>
        <w:spacing w:beforeLines="0" w:afterLines="0"/>
        <w:rPr>
          <w:rFonts w:eastAsiaTheme="minorEastAsia"/>
          <w:color w:val="000000" w:themeColor="text1"/>
          <w:sz w:val="28"/>
          <w:szCs w:val="28"/>
        </w:rPr>
      </w:pPr>
      <w:bookmarkStart w:id="323" w:name="_Toc21432"/>
      <w:r>
        <w:rPr>
          <w:rFonts w:eastAsiaTheme="minorEastAsia"/>
          <w:color w:val="000000" w:themeColor="text1"/>
          <w:sz w:val="28"/>
          <w:szCs w:val="28"/>
        </w:rPr>
        <w:t>1.4.3污染物排放标准</w:t>
      </w:r>
      <w:bookmarkEnd w:id="323"/>
    </w:p>
    <w:p>
      <w:pPr>
        <w:pStyle w:val="134"/>
        <w:numPr>
          <w:ilvl w:val="0"/>
          <w:numId w:val="22"/>
        </w:numPr>
        <w:ind w:firstLine="480"/>
        <w:rPr>
          <w:rFonts w:eastAsiaTheme="minorEastAsia"/>
          <w:color w:val="000000" w:themeColor="text1"/>
          <w:lang w:bidi="en-US"/>
        </w:rPr>
      </w:pPr>
      <w:r>
        <w:rPr>
          <w:rFonts w:eastAsiaTheme="minorEastAsia"/>
          <w:color w:val="000000" w:themeColor="text1"/>
          <w:lang w:bidi="en-US"/>
        </w:rPr>
        <w:t>大气污染物</w:t>
      </w:r>
    </w:p>
    <w:p>
      <w:pPr>
        <w:pStyle w:val="134"/>
        <w:numPr>
          <w:ilvl w:val="0"/>
          <w:numId w:val="23"/>
        </w:numPr>
        <w:ind w:firstLine="480"/>
        <w:rPr>
          <w:rFonts w:eastAsiaTheme="minorEastAsia"/>
          <w:color w:val="000000" w:themeColor="text1"/>
          <w:lang w:bidi="en-US"/>
        </w:rPr>
      </w:pPr>
      <w:r>
        <w:rPr>
          <w:rFonts w:eastAsiaTheme="minorEastAsia"/>
          <w:color w:val="000000" w:themeColor="text1"/>
          <w:lang w:bidi="en-US"/>
        </w:rPr>
        <w:t>施工期</w:t>
      </w:r>
    </w:p>
    <w:p>
      <w:pPr>
        <w:adjustRightInd w:val="0"/>
        <w:snapToGrid w:val="0"/>
        <w:ind w:firstLine="480"/>
        <w:rPr>
          <w:rFonts w:eastAsiaTheme="minorEastAsia"/>
          <w:b/>
          <w:bCs/>
          <w:color w:val="000000" w:themeColor="text1"/>
          <w:sz w:val="21"/>
          <w:szCs w:val="21"/>
        </w:rPr>
      </w:pPr>
      <w:r>
        <w:rPr>
          <w:rFonts w:eastAsiaTheme="minorEastAsia"/>
          <w:color w:val="000000" w:themeColor="text1"/>
          <w:szCs w:val="24"/>
        </w:rPr>
        <w:t>本项目施工期粉尘排放执行《大气污染物综合排放标准》（GB16297-1996）表2中的无组织排放监控浓度限值，排放标准值详见表1.4-7。</w:t>
      </w: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表1.4-7新污染源大气污染物排放限值单位：mg/m</w:t>
      </w:r>
      <w:r>
        <w:rPr>
          <w:rFonts w:eastAsiaTheme="minorEastAsia"/>
          <w:b/>
          <w:bCs/>
          <w:color w:val="000000" w:themeColor="text1"/>
          <w:sz w:val="21"/>
          <w:szCs w:val="21"/>
          <w:vertAlign w:val="superscript"/>
        </w:rPr>
        <w:t>3</w:t>
      </w:r>
    </w:p>
    <w:tbl>
      <w:tblPr>
        <w:tblStyle w:val="61"/>
        <w:tblW w:w="870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5"/>
        <w:gridCol w:w="3868"/>
        <w:gridCol w:w="2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tblHeader/>
          <w:jc w:val="center"/>
        </w:trPr>
        <w:tc>
          <w:tcPr>
            <w:tcW w:w="1915" w:type="dxa"/>
            <w:vMerge w:val="restart"/>
            <w:vAlign w:val="center"/>
          </w:tcPr>
          <w:p>
            <w:pPr>
              <w:adjustRightInd w:val="0"/>
              <w:snapToGrid w:val="0"/>
              <w:spacing w:line="240" w:lineRule="auto"/>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污染物</w:t>
            </w:r>
          </w:p>
        </w:tc>
        <w:tc>
          <w:tcPr>
            <w:tcW w:w="6787" w:type="dxa"/>
            <w:gridSpan w:val="2"/>
            <w:vAlign w:val="center"/>
          </w:tcPr>
          <w:p>
            <w:pPr>
              <w:adjustRightInd w:val="0"/>
              <w:snapToGrid w:val="0"/>
              <w:spacing w:line="240" w:lineRule="auto"/>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tblHeader/>
          <w:jc w:val="center"/>
        </w:trPr>
        <w:tc>
          <w:tcPr>
            <w:tcW w:w="1915" w:type="dxa"/>
            <w:vMerge w:val="continue"/>
            <w:vAlign w:val="center"/>
          </w:tcPr>
          <w:p>
            <w:pPr>
              <w:adjustRightInd w:val="0"/>
              <w:snapToGrid w:val="0"/>
              <w:spacing w:line="240" w:lineRule="auto"/>
              <w:ind w:firstLine="422"/>
              <w:jc w:val="center"/>
              <w:rPr>
                <w:rFonts w:eastAsiaTheme="minorEastAsia"/>
                <w:b/>
                <w:bCs/>
                <w:color w:val="000000" w:themeColor="text1"/>
                <w:sz w:val="21"/>
                <w:szCs w:val="21"/>
              </w:rPr>
            </w:pPr>
          </w:p>
        </w:tc>
        <w:tc>
          <w:tcPr>
            <w:tcW w:w="3868" w:type="dxa"/>
            <w:vAlign w:val="center"/>
          </w:tcPr>
          <w:p>
            <w:pPr>
              <w:adjustRightInd w:val="0"/>
              <w:snapToGrid w:val="0"/>
              <w:spacing w:line="240" w:lineRule="auto"/>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监控点</w:t>
            </w:r>
          </w:p>
        </w:tc>
        <w:tc>
          <w:tcPr>
            <w:tcW w:w="2919" w:type="dxa"/>
            <w:vAlign w:val="center"/>
          </w:tcPr>
          <w:p>
            <w:pPr>
              <w:adjustRightInd w:val="0"/>
              <w:snapToGrid w:val="0"/>
              <w:spacing w:line="240" w:lineRule="auto"/>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915"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颗粒物</w:t>
            </w:r>
          </w:p>
        </w:tc>
        <w:tc>
          <w:tcPr>
            <w:tcW w:w="3868"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周界外浓度最高点</w:t>
            </w:r>
          </w:p>
        </w:tc>
        <w:tc>
          <w:tcPr>
            <w:tcW w:w="2919"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r>
    </w:tbl>
    <w:p>
      <w:pPr>
        <w:pStyle w:val="134"/>
        <w:ind w:firstLine="480"/>
        <w:rPr>
          <w:rFonts w:eastAsiaTheme="minorEastAsia"/>
          <w:color w:val="000000" w:themeColor="text1"/>
          <w:lang w:bidi="en-US"/>
        </w:rPr>
      </w:pPr>
      <w:r>
        <w:rPr>
          <w:rFonts w:eastAsiaTheme="minorEastAsia"/>
          <w:color w:val="000000" w:themeColor="text1"/>
          <w:lang w:bidi="en-US"/>
        </w:rPr>
        <w:t>（2）运营期</w:t>
      </w:r>
    </w:p>
    <w:p>
      <w:pPr>
        <w:pStyle w:val="134"/>
        <w:ind w:firstLine="480"/>
        <w:rPr>
          <w:rFonts w:eastAsiaTheme="minorEastAsia"/>
          <w:color w:val="000000" w:themeColor="text1"/>
        </w:rPr>
      </w:pPr>
      <w:r>
        <w:rPr>
          <w:rFonts w:eastAsiaTheme="minorEastAsia"/>
          <w:color w:val="000000" w:themeColor="text1"/>
        </w:rPr>
        <w:t>大气有组织排放颗粒物执行《铁矿采选工业污染物排放标准》（GB28661-2012）表5标准限值，无组织排放执行《铁矿采选工业污染物排放标准》（GB28661-2012）</w:t>
      </w:r>
      <w:r>
        <w:rPr>
          <w:rFonts w:eastAsiaTheme="minorEastAsia"/>
          <w:color w:val="000000" w:themeColor="text1"/>
          <w:szCs w:val="24"/>
        </w:rPr>
        <w:t>中表7的现有和新建企业边界大气污染物浓度限值要求。</w:t>
      </w:r>
      <w:r>
        <w:rPr>
          <w:rFonts w:eastAsiaTheme="minorEastAsia"/>
          <w:color w:val="000000" w:themeColor="text1"/>
        </w:rPr>
        <w:t>见表1.4-8。</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表1.4-8大气污染物浓度限值</w:t>
      </w:r>
    </w:p>
    <w:tbl>
      <w:tblPr>
        <w:tblStyle w:val="61"/>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7"/>
        <w:gridCol w:w="2487"/>
        <w:gridCol w:w="2487"/>
        <w:gridCol w:w="24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3" w:hRule="atLeast"/>
        </w:trPr>
        <w:tc>
          <w:tcPr>
            <w:tcW w:w="1057" w:type="dxa"/>
            <w:vAlign w:val="center"/>
          </w:tcPr>
          <w:p>
            <w:pPr>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污染物</w:t>
            </w:r>
          </w:p>
        </w:tc>
        <w:tc>
          <w:tcPr>
            <w:tcW w:w="2487" w:type="dxa"/>
            <w:vAlign w:val="center"/>
          </w:tcPr>
          <w:p>
            <w:pPr>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排气筒高度（m）</w:t>
            </w:r>
          </w:p>
        </w:tc>
        <w:tc>
          <w:tcPr>
            <w:tcW w:w="2487" w:type="dxa"/>
            <w:vAlign w:val="center"/>
          </w:tcPr>
          <w:p>
            <w:pPr>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有组织排气筒排放浓度限值（mg/m</w:t>
            </w:r>
            <w:r>
              <w:rPr>
                <w:rFonts w:eastAsiaTheme="minorEastAsia"/>
                <w:color w:val="000000" w:themeColor="text1"/>
                <w:kern w:val="0"/>
                <w:sz w:val="21"/>
                <w:szCs w:val="21"/>
                <w:vertAlign w:val="superscript"/>
              </w:rPr>
              <w:t>3</w:t>
            </w:r>
            <w:r>
              <w:rPr>
                <w:rFonts w:eastAsiaTheme="minorEastAsia"/>
                <w:color w:val="000000" w:themeColor="text1"/>
                <w:kern w:val="0"/>
                <w:sz w:val="21"/>
                <w:szCs w:val="21"/>
              </w:rPr>
              <w:t>）</w:t>
            </w:r>
          </w:p>
        </w:tc>
        <w:tc>
          <w:tcPr>
            <w:tcW w:w="2488" w:type="dxa"/>
            <w:vAlign w:val="center"/>
          </w:tcPr>
          <w:p>
            <w:pPr>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无组织排放监控浓度限值（mg/m</w:t>
            </w:r>
            <w:r>
              <w:rPr>
                <w:rFonts w:eastAsiaTheme="minorEastAsia"/>
                <w:color w:val="000000" w:themeColor="text1"/>
                <w:kern w:val="0"/>
                <w:sz w:val="21"/>
                <w:szCs w:val="21"/>
                <w:vertAlign w:val="superscript"/>
              </w:rPr>
              <w:t>3</w:t>
            </w:r>
            <w:r>
              <w:rPr>
                <w:rFonts w:eastAsiaTheme="minorEastAsia"/>
                <w:color w:val="000000" w:themeColor="text1"/>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6" w:hRule="atLeast"/>
        </w:trPr>
        <w:tc>
          <w:tcPr>
            <w:tcW w:w="1057" w:type="dxa"/>
            <w:vAlign w:val="center"/>
          </w:tcPr>
          <w:p>
            <w:pPr>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颗粒物</w:t>
            </w:r>
          </w:p>
        </w:tc>
        <w:tc>
          <w:tcPr>
            <w:tcW w:w="2487" w:type="dxa"/>
            <w:vAlign w:val="center"/>
          </w:tcPr>
          <w:p>
            <w:pPr>
              <w:autoSpaceDE w:val="0"/>
              <w:autoSpaceDN w:val="0"/>
              <w:adjustRightInd w:val="0"/>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不低于15m</w:t>
            </w:r>
          </w:p>
        </w:tc>
        <w:tc>
          <w:tcPr>
            <w:tcW w:w="2487" w:type="dxa"/>
            <w:vAlign w:val="center"/>
          </w:tcPr>
          <w:p>
            <w:pPr>
              <w:autoSpaceDE w:val="0"/>
              <w:autoSpaceDN w:val="0"/>
              <w:adjustRightInd w:val="0"/>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20</w:t>
            </w:r>
          </w:p>
        </w:tc>
        <w:tc>
          <w:tcPr>
            <w:tcW w:w="2488" w:type="dxa"/>
            <w:vAlign w:val="center"/>
          </w:tcPr>
          <w:p>
            <w:pPr>
              <w:autoSpaceDE w:val="0"/>
              <w:autoSpaceDN w:val="0"/>
              <w:adjustRightInd w:val="0"/>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w:t>
            </w:r>
          </w:p>
        </w:tc>
      </w:tr>
    </w:tbl>
    <w:p>
      <w:pPr>
        <w:pStyle w:val="134"/>
        <w:ind w:firstLine="480"/>
        <w:rPr>
          <w:rFonts w:eastAsiaTheme="minorEastAsia"/>
          <w:color w:val="000000" w:themeColor="text1"/>
          <w:lang w:bidi="en-US"/>
        </w:rPr>
      </w:pPr>
      <w:r>
        <w:rPr>
          <w:rFonts w:eastAsiaTheme="minorEastAsia"/>
          <w:color w:val="000000" w:themeColor="text1"/>
          <w:lang w:bidi="en-US"/>
        </w:rPr>
        <w:t>2、水污染物</w:t>
      </w:r>
    </w:p>
    <w:p>
      <w:pPr>
        <w:pStyle w:val="134"/>
        <w:ind w:firstLine="480"/>
        <w:rPr>
          <w:rFonts w:eastAsiaTheme="minorEastAsia"/>
          <w:b/>
          <w:color w:val="000000" w:themeColor="text1"/>
          <w:sz w:val="21"/>
          <w:szCs w:val="20"/>
        </w:rPr>
      </w:pPr>
      <w:r>
        <w:rPr>
          <w:rFonts w:eastAsiaTheme="minorEastAsia"/>
          <w:color w:val="000000" w:themeColor="text1"/>
        </w:rPr>
        <w:t>选矿废水</w:t>
      </w:r>
      <w:r>
        <w:rPr>
          <w:rFonts w:hint="eastAsia" w:eastAsiaTheme="minorEastAsia"/>
          <w:color w:val="000000" w:themeColor="text1"/>
          <w:lang w:val="en-US" w:eastAsia="zh-CN"/>
        </w:rPr>
        <w:t>沉淀处理</w:t>
      </w:r>
      <w:r>
        <w:rPr>
          <w:rFonts w:eastAsiaTheme="minorEastAsia"/>
          <w:color w:val="000000" w:themeColor="text1"/>
        </w:rPr>
        <w:t>后全部回用于生产，不外排。</w:t>
      </w:r>
      <w:r>
        <w:rPr>
          <w:rFonts w:hint="eastAsia" w:eastAsiaTheme="minorEastAsia"/>
          <w:color w:val="000000" w:themeColor="text1"/>
          <w:lang w:val="en-US" w:eastAsia="zh-CN"/>
        </w:rPr>
        <w:t>尾矿废水随尾矿携带进入依托的浓密池，</w:t>
      </w:r>
      <w:r>
        <w:rPr>
          <w:rFonts w:eastAsiaTheme="minorEastAsia"/>
          <w:color w:val="000000" w:themeColor="text1"/>
        </w:rPr>
        <w:t>项目生活污水处理达到</w:t>
      </w:r>
      <w:r>
        <w:rPr>
          <w:rFonts w:hint="eastAsia"/>
          <w:bCs/>
          <w:color w:val="000000" w:themeColor="text1"/>
          <w:szCs w:val="24"/>
        </w:rPr>
        <w:t>《城市污水再生利用城市杂用水水质标准》</w:t>
      </w:r>
      <w:r>
        <w:rPr>
          <w:bCs/>
          <w:color w:val="000000" w:themeColor="text1"/>
          <w:szCs w:val="24"/>
        </w:rPr>
        <w:t>（GB/T18920-2020）</w:t>
      </w:r>
      <w:r>
        <w:rPr>
          <w:rFonts w:eastAsiaTheme="minorEastAsia"/>
          <w:color w:val="000000" w:themeColor="text1"/>
          <w:szCs w:val="24"/>
        </w:rPr>
        <w:t>绿化水质标准，</w:t>
      </w:r>
      <w:r>
        <w:rPr>
          <w:rFonts w:eastAsiaTheme="minorEastAsia"/>
          <w:color w:val="000000" w:themeColor="text1"/>
        </w:rPr>
        <w:t>全部回用于绿化，不外排。</w:t>
      </w:r>
      <w:r>
        <w:rPr>
          <w:rFonts w:eastAsiaTheme="minorEastAsia"/>
          <w:color w:val="000000" w:themeColor="text1"/>
          <w:szCs w:val="24"/>
        </w:rPr>
        <w:t>具体标准值见下表。</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表1.4-9城市污水再生利用水质标准</w:t>
      </w:r>
    </w:p>
    <w:tbl>
      <w:tblPr>
        <w:tblStyle w:val="61"/>
        <w:tblW w:w="8258"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59"/>
        <w:gridCol w:w="4051"/>
        <w:gridCol w:w="314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791"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序号</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项目指标</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城市绿化、道路清扫、消防、建筑施工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08"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1</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pH</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6.0～9.0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08"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2</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色（度）</w:t>
            </w:r>
          </w:p>
        </w:tc>
        <w:tc>
          <w:tcPr>
            <w:tcW w:w="3148" w:type="dxa"/>
            <w:tcBorders>
              <w:left w:val="single" w:color="auto" w:sz="4" w:space="0"/>
            </w:tcBorders>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30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08"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3</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嗅</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无不快感觉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08"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4</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浊度（NTU）</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08"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5</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溶解性总固体（mg/L）</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1000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536"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6</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5日生化需氧量BOD</w:t>
            </w:r>
            <w:r>
              <w:rPr>
                <w:color w:val="000000" w:themeColor="text1"/>
                <w:sz w:val="21"/>
                <w:szCs w:val="21"/>
                <w:vertAlign w:val="subscript"/>
              </w:rPr>
              <w:t>5</w:t>
            </w:r>
            <w:r>
              <w:rPr>
                <w:color w:val="000000" w:themeColor="text1"/>
                <w:sz w:val="21"/>
                <w:szCs w:val="21"/>
              </w:rPr>
              <w:t>（mg/L）</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08"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7</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氨氮（mg/L）</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536"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8</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阴离子表面活性剂（mg/L）</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0.5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08"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11</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溶解氧（mg/L）≥</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602"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12</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总余氯（mg/L）≥</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1.0（出厂），0.2（管网末端）</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08"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13</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氯化物</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350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37"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14</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硫酸盐</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color w:val="000000" w:themeColor="text1"/>
                <w:sz w:val="21"/>
                <w:szCs w:val="21"/>
              </w:rPr>
              <w:t>500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37"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rFonts w:hint="eastAsia"/>
                <w:color w:val="000000" w:themeColor="text1"/>
                <w:sz w:val="21"/>
                <w:szCs w:val="21"/>
              </w:rPr>
              <w:t>15</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rFonts w:hint="eastAsia"/>
                <w:color w:val="000000" w:themeColor="text1"/>
                <w:sz w:val="21"/>
                <w:szCs w:val="21"/>
              </w:rPr>
              <w:t>铁</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rFonts w:hint="eastAsia"/>
                <w:color w:val="000000" w:themeColor="text1"/>
                <w:sz w:val="21"/>
                <w:szCs w:val="21"/>
              </w:rPr>
              <w:t>0.3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37"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rFonts w:hint="eastAsia"/>
                <w:color w:val="000000" w:themeColor="text1"/>
                <w:sz w:val="21"/>
                <w:szCs w:val="21"/>
              </w:rPr>
              <w:t>16</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rFonts w:hint="eastAsia"/>
                <w:color w:val="000000" w:themeColor="text1"/>
                <w:sz w:val="21"/>
                <w:szCs w:val="21"/>
              </w:rPr>
              <w:t>锰</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rFonts w:hint="eastAsia"/>
                <w:color w:val="000000" w:themeColor="text1"/>
                <w:sz w:val="21"/>
                <w:szCs w:val="21"/>
              </w:rPr>
              <w:t>0.1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337" w:hRule="atLeast"/>
        </w:trPr>
        <w:tc>
          <w:tcPr>
            <w:tcW w:w="1059"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rFonts w:hint="eastAsia"/>
                <w:color w:val="000000" w:themeColor="text1"/>
                <w:sz w:val="21"/>
                <w:szCs w:val="21"/>
              </w:rPr>
              <w:t>17</w:t>
            </w:r>
          </w:p>
        </w:tc>
        <w:tc>
          <w:tcPr>
            <w:tcW w:w="4051"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rFonts w:hint="eastAsia"/>
                <w:color w:val="000000" w:themeColor="text1"/>
                <w:sz w:val="21"/>
                <w:szCs w:val="21"/>
              </w:rPr>
              <w:t>大肠埃希氏菌（MPN/100mL）</w:t>
            </w:r>
          </w:p>
        </w:tc>
        <w:tc>
          <w:tcPr>
            <w:tcW w:w="3148" w:type="dxa"/>
            <w:vAlign w:val="center"/>
          </w:tcPr>
          <w:p>
            <w:pPr>
              <w:tabs>
                <w:tab w:val="left" w:pos="-1132"/>
                <w:tab w:val="left" w:pos="-566"/>
                <w:tab w:val="left" w:pos="0"/>
              </w:tabs>
              <w:spacing w:line="240" w:lineRule="auto"/>
              <w:ind w:firstLine="0" w:firstLineChars="0"/>
              <w:jc w:val="center"/>
              <w:rPr>
                <w:color w:val="000000" w:themeColor="text1"/>
                <w:sz w:val="21"/>
                <w:szCs w:val="21"/>
              </w:rPr>
            </w:pPr>
            <w:r>
              <w:rPr>
                <w:rFonts w:hint="eastAsia"/>
                <w:color w:val="000000" w:themeColor="text1"/>
                <w:sz w:val="21"/>
                <w:szCs w:val="21"/>
              </w:rPr>
              <w:t>无</w:t>
            </w:r>
          </w:p>
        </w:tc>
      </w:tr>
    </w:tbl>
    <w:p>
      <w:pPr>
        <w:widowControl/>
        <w:ind w:firstLine="480"/>
        <w:rPr>
          <w:rFonts w:eastAsiaTheme="minorEastAsia"/>
          <w:color w:val="000000" w:themeColor="text1"/>
          <w:lang w:bidi="en-US"/>
        </w:rPr>
      </w:pPr>
      <w:r>
        <w:rPr>
          <w:rFonts w:eastAsiaTheme="minorEastAsia"/>
          <w:color w:val="000000" w:themeColor="text1"/>
          <w:lang w:bidi="en-US"/>
        </w:rPr>
        <w:t>3、噪声</w:t>
      </w:r>
    </w:p>
    <w:p>
      <w:pPr>
        <w:ind w:firstLine="480"/>
        <w:jc w:val="both"/>
        <w:rPr>
          <w:rFonts w:eastAsiaTheme="minorEastAsia"/>
          <w:color w:val="000000" w:themeColor="text1"/>
          <w:szCs w:val="20"/>
        </w:rPr>
      </w:pPr>
      <w:r>
        <w:rPr>
          <w:rFonts w:eastAsiaTheme="minorEastAsia"/>
          <w:color w:val="000000" w:themeColor="text1"/>
          <w:szCs w:val="20"/>
        </w:rPr>
        <w:t>（1）施工期</w:t>
      </w:r>
    </w:p>
    <w:p>
      <w:pPr>
        <w:adjustRightInd w:val="0"/>
        <w:snapToGrid w:val="0"/>
        <w:ind w:firstLine="480"/>
        <w:jc w:val="both"/>
        <w:rPr>
          <w:rFonts w:eastAsiaTheme="minorEastAsia"/>
          <w:b/>
          <w:color w:val="000000" w:themeColor="text1"/>
          <w:sz w:val="21"/>
          <w:szCs w:val="20"/>
        </w:rPr>
      </w:pPr>
      <w:r>
        <w:rPr>
          <w:rFonts w:eastAsiaTheme="minorEastAsia"/>
          <w:color w:val="000000" w:themeColor="text1"/>
          <w:szCs w:val="20"/>
        </w:rPr>
        <w:t>施工期噪声执行《建筑施工场界环境噪声排放标准》（GB12523-2011），标准值见表</w:t>
      </w:r>
      <w:r>
        <w:rPr>
          <w:rFonts w:eastAsiaTheme="minorEastAsia"/>
          <w:color w:val="000000" w:themeColor="text1"/>
        </w:rPr>
        <w:t>1.4-10</w:t>
      </w:r>
      <w:r>
        <w:rPr>
          <w:rFonts w:eastAsiaTheme="minorEastAsia"/>
          <w:color w:val="000000" w:themeColor="text1"/>
          <w:szCs w:val="20"/>
        </w:rPr>
        <w:t>。</w:t>
      </w:r>
    </w:p>
    <w:p>
      <w:pPr>
        <w:widowControl/>
        <w:adjustRightInd w:val="0"/>
        <w:snapToGrid w:val="0"/>
        <w:ind w:firstLine="0" w:firstLineChars="0"/>
        <w:jc w:val="center"/>
        <w:rPr>
          <w:rFonts w:eastAsiaTheme="minorEastAsia"/>
          <w:bCs/>
          <w:color w:val="000000" w:themeColor="text1"/>
          <w:szCs w:val="20"/>
        </w:rPr>
      </w:pPr>
      <w:r>
        <w:rPr>
          <w:rFonts w:eastAsiaTheme="minorEastAsia"/>
          <w:b/>
          <w:color w:val="000000" w:themeColor="text1"/>
          <w:sz w:val="21"/>
          <w:szCs w:val="20"/>
        </w:rPr>
        <w:t>表1.4-10建筑施工场界环境噪声排放限值</w:t>
      </w:r>
      <w:r>
        <w:rPr>
          <w:rFonts w:eastAsiaTheme="minorEastAsia"/>
          <w:bCs/>
          <w:color w:val="000000" w:themeColor="text1"/>
          <w:szCs w:val="20"/>
        </w:rPr>
        <w:tab/>
      </w:r>
    </w:p>
    <w:tbl>
      <w:tblPr>
        <w:tblStyle w:val="61"/>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3"/>
        <w:gridCol w:w="4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23" w:type="dxa"/>
            <w:vAlign w:val="center"/>
          </w:tcPr>
          <w:p>
            <w:pPr>
              <w:tabs>
                <w:tab w:val="left" w:pos="5327"/>
                <w:tab w:val="left" w:pos="6326"/>
                <w:tab w:val="left" w:pos="7230"/>
                <w:tab w:val="left" w:pos="9301"/>
              </w:tabs>
              <w:adjustRightInd w:val="0"/>
              <w:snapToGrid w:val="0"/>
              <w:ind w:firstLine="420"/>
              <w:jc w:val="center"/>
              <w:rPr>
                <w:rFonts w:eastAsiaTheme="minorEastAsia"/>
                <w:color w:val="000000" w:themeColor="text1"/>
                <w:sz w:val="21"/>
                <w:szCs w:val="21"/>
              </w:rPr>
            </w:pPr>
            <w:r>
              <w:rPr>
                <w:rFonts w:eastAsiaTheme="minorEastAsia"/>
                <w:color w:val="000000" w:themeColor="text1"/>
                <w:sz w:val="21"/>
                <w:szCs w:val="21"/>
              </w:rPr>
              <w:t>昼间[dB（A）]</w:t>
            </w:r>
          </w:p>
        </w:tc>
        <w:tc>
          <w:tcPr>
            <w:tcW w:w="4305" w:type="dxa"/>
            <w:vAlign w:val="center"/>
          </w:tcPr>
          <w:p>
            <w:pPr>
              <w:tabs>
                <w:tab w:val="left" w:pos="5327"/>
                <w:tab w:val="left" w:pos="6326"/>
                <w:tab w:val="left" w:pos="7230"/>
                <w:tab w:val="left" w:pos="9301"/>
              </w:tabs>
              <w:adjustRightInd w:val="0"/>
              <w:snapToGrid w:val="0"/>
              <w:ind w:firstLine="420"/>
              <w:jc w:val="center"/>
              <w:rPr>
                <w:rFonts w:eastAsiaTheme="minorEastAsia"/>
                <w:color w:val="000000" w:themeColor="text1"/>
                <w:sz w:val="21"/>
                <w:szCs w:val="21"/>
              </w:rPr>
            </w:pPr>
            <w:r>
              <w:rPr>
                <w:rFonts w:eastAsiaTheme="minorEastAsia"/>
                <w:color w:val="000000" w:themeColor="text1"/>
                <w:sz w:val="21"/>
                <w:szCs w:val="21"/>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4223" w:type="dxa"/>
            <w:vAlign w:val="center"/>
          </w:tcPr>
          <w:p>
            <w:pPr>
              <w:tabs>
                <w:tab w:val="left" w:pos="5327"/>
                <w:tab w:val="left" w:pos="6326"/>
                <w:tab w:val="left" w:pos="7230"/>
                <w:tab w:val="left" w:pos="9301"/>
              </w:tabs>
              <w:adjustRightInd w:val="0"/>
              <w:snapToGrid w:val="0"/>
              <w:ind w:firstLine="420"/>
              <w:jc w:val="center"/>
              <w:rPr>
                <w:rFonts w:eastAsiaTheme="minorEastAsia"/>
                <w:color w:val="000000" w:themeColor="text1"/>
                <w:sz w:val="21"/>
                <w:szCs w:val="21"/>
              </w:rPr>
            </w:pPr>
            <w:r>
              <w:rPr>
                <w:rFonts w:eastAsiaTheme="minorEastAsia"/>
                <w:color w:val="000000" w:themeColor="text1"/>
                <w:sz w:val="21"/>
                <w:szCs w:val="21"/>
              </w:rPr>
              <w:t>70</w:t>
            </w:r>
          </w:p>
        </w:tc>
        <w:tc>
          <w:tcPr>
            <w:tcW w:w="4305" w:type="dxa"/>
            <w:vAlign w:val="center"/>
          </w:tcPr>
          <w:p>
            <w:pPr>
              <w:tabs>
                <w:tab w:val="left" w:pos="5327"/>
                <w:tab w:val="left" w:pos="6326"/>
                <w:tab w:val="left" w:pos="7230"/>
                <w:tab w:val="left" w:pos="9301"/>
              </w:tabs>
              <w:adjustRightInd w:val="0"/>
              <w:snapToGrid w:val="0"/>
              <w:ind w:firstLine="420"/>
              <w:jc w:val="center"/>
              <w:rPr>
                <w:rFonts w:eastAsiaTheme="minorEastAsia"/>
                <w:color w:val="000000" w:themeColor="text1"/>
                <w:sz w:val="21"/>
                <w:szCs w:val="21"/>
              </w:rPr>
            </w:pPr>
            <w:r>
              <w:rPr>
                <w:rFonts w:eastAsiaTheme="minorEastAsia"/>
                <w:color w:val="000000" w:themeColor="text1"/>
                <w:sz w:val="21"/>
                <w:szCs w:val="21"/>
              </w:rPr>
              <w:t>55</w:t>
            </w:r>
          </w:p>
        </w:tc>
      </w:tr>
    </w:tbl>
    <w:p>
      <w:pPr>
        <w:pStyle w:val="134"/>
        <w:snapToGrid w:val="0"/>
        <w:ind w:firstLine="480"/>
        <w:rPr>
          <w:rFonts w:eastAsiaTheme="minorEastAsia"/>
          <w:color w:val="000000" w:themeColor="text1"/>
        </w:rPr>
      </w:pPr>
      <w:r>
        <w:rPr>
          <w:rFonts w:eastAsiaTheme="minorEastAsia"/>
          <w:color w:val="000000" w:themeColor="text1"/>
        </w:rPr>
        <w:t>（2）运营期</w:t>
      </w:r>
    </w:p>
    <w:p>
      <w:pPr>
        <w:pStyle w:val="134"/>
        <w:snapToGrid w:val="0"/>
        <w:ind w:firstLine="480"/>
        <w:rPr>
          <w:rFonts w:eastAsiaTheme="minorEastAsia"/>
          <w:b/>
          <w:color w:val="000000" w:themeColor="text1"/>
          <w:sz w:val="21"/>
          <w:szCs w:val="20"/>
        </w:rPr>
      </w:pPr>
      <w:r>
        <w:rPr>
          <w:rFonts w:eastAsiaTheme="minorEastAsia"/>
          <w:color w:val="000000" w:themeColor="text1"/>
        </w:rPr>
        <w:t>营运期</w:t>
      </w:r>
      <w:r>
        <w:rPr>
          <w:rFonts w:hint="eastAsia" w:eastAsiaTheme="minorEastAsia"/>
          <w:color w:val="000000" w:themeColor="text1"/>
          <w:szCs w:val="20"/>
        </w:rPr>
        <w:t>厂界</w:t>
      </w:r>
      <w:r>
        <w:rPr>
          <w:rFonts w:eastAsiaTheme="minorEastAsia"/>
          <w:color w:val="000000" w:themeColor="text1"/>
        </w:rPr>
        <w:t>噪声执行《工业企业厂界环境噪声排放标准》（GB12348-2008）3类标准，标准值见表1.4-11。</w:t>
      </w:r>
    </w:p>
    <w:p>
      <w:pPr>
        <w:widowControl/>
        <w:adjustRightInd w:val="0"/>
        <w:snapToGrid w:val="0"/>
        <w:ind w:firstLine="0" w:firstLineChars="0"/>
        <w:jc w:val="center"/>
        <w:rPr>
          <w:rFonts w:eastAsiaTheme="minorEastAsia"/>
          <w:b/>
          <w:color w:val="000000" w:themeColor="text1"/>
          <w:sz w:val="21"/>
          <w:szCs w:val="20"/>
        </w:rPr>
      </w:pPr>
    </w:p>
    <w:p>
      <w:pPr>
        <w:widowControl/>
        <w:adjustRightInd w:val="0"/>
        <w:snapToGrid w:val="0"/>
        <w:ind w:firstLine="0" w:firstLineChars="0"/>
        <w:jc w:val="center"/>
        <w:rPr>
          <w:rFonts w:eastAsiaTheme="minorEastAsia"/>
          <w:b/>
          <w:color w:val="000000" w:themeColor="text1"/>
          <w:sz w:val="21"/>
          <w:szCs w:val="20"/>
        </w:rPr>
      </w:pPr>
    </w:p>
    <w:p>
      <w:pPr>
        <w:widowControl/>
        <w:adjustRightInd w:val="0"/>
        <w:snapToGrid w:val="0"/>
        <w:ind w:firstLine="0" w:firstLineChars="0"/>
        <w:jc w:val="center"/>
        <w:rPr>
          <w:rFonts w:eastAsiaTheme="minorEastAsia"/>
          <w:b/>
          <w:color w:val="000000" w:themeColor="text1"/>
          <w:sz w:val="21"/>
          <w:szCs w:val="20"/>
        </w:rPr>
      </w:pPr>
    </w:p>
    <w:p>
      <w:pPr>
        <w:widowControl/>
        <w:adjustRightInd w:val="0"/>
        <w:snapToGrid w:val="0"/>
        <w:ind w:firstLine="0" w:firstLineChars="0"/>
        <w:jc w:val="center"/>
        <w:rPr>
          <w:rFonts w:eastAsiaTheme="minorEastAsia"/>
          <w:b/>
          <w:color w:val="000000" w:themeColor="text1"/>
          <w:sz w:val="21"/>
          <w:szCs w:val="20"/>
        </w:rPr>
      </w:pPr>
      <w:r>
        <w:rPr>
          <w:rFonts w:eastAsiaTheme="minorEastAsia"/>
          <w:b/>
          <w:color w:val="000000" w:themeColor="text1"/>
          <w:sz w:val="21"/>
          <w:szCs w:val="20"/>
        </w:rPr>
        <w:t>表1.4-11工业企业厂界环境噪声排放限值</w:t>
      </w:r>
    </w:p>
    <w:tbl>
      <w:tblPr>
        <w:tblStyle w:val="61"/>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5"/>
        <w:gridCol w:w="3251"/>
        <w:gridCol w:w="3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65" w:type="dxa"/>
            <w:vAlign w:val="center"/>
          </w:tcPr>
          <w:p>
            <w:pPr>
              <w:tabs>
                <w:tab w:val="left" w:pos="5327"/>
                <w:tab w:val="left" w:pos="6326"/>
                <w:tab w:val="left" w:pos="7230"/>
                <w:tab w:val="left" w:pos="9301"/>
              </w:tabs>
              <w:adjustRightInd w:val="0"/>
              <w:snapToGrid w:val="0"/>
              <w:ind w:firstLine="420"/>
              <w:jc w:val="center"/>
              <w:rPr>
                <w:rFonts w:eastAsiaTheme="minorEastAsia"/>
                <w:color w:val="000000" w:themeColor="text1"/>
                <w:sz w:val="21"/>
                <w:szCs w:val="21"/>
              </w:rPr>
            </w:pPr>
            <w:r>
              <w:rPr>
                <w:rFonts w:eastAsiaTheme="minorEastAsia"/>
                <w:color w:val="000000" w:themeColor="text1"/>
                <w:sz w:val="21"/>
                <w:szCs w:val="21"/>
              </w:rPr>
              <w:t>类别</w:t>
            </w:r>
          </w:p>
        </w:tc>
        <w:tc>
          <w:tcPr>
            <w:tcW w:w="3251" w:type="dxa"/>
            <w:vAlign w:val="center"/>
          </w:tcPr>
          <w:p>
            <w:pPr>
              <w:tabs>
                <w:tab w:val="left" w:pos="5327"/>
                <w:tab w:val="left" w:pos="6326"/>
                <w:tab w:val="left" w:pos="7230"/>
                <w:tab w:val="left" w:pos="9301"/>
              </w:tabs>
              <w:adjustRightInd w:val="0"/>
              <w:snapToGrid w:val="0"/>
              <w:ind w:firstLine="420"/>
              <w:jc w:val="center"/>
              <w:rPr>
                <w:rFonts w:eastAsiaTheme="minorEastAsia"/>
                <w:color w:val="000000" w:themeColor="text1"/>
                <w:sz w:val="21"/>
                <w:szCs w:val="21"/>
              </w:rPr>
            </w:pPr>
            <w:r>
              <w:rPr>
                <w:rFonts w:eastAsiaTheme="minorEastAsia"/>
                <w:color w:val="000000" w:themeColor="text1"/>
                <w:sz w:val="21"/>
                <w:szCs w:val="21"/>
              </w:rPr>
              <w:t>昼间[dB（A）]</w:t>
            </w:r>
          </w:p>
        </w:tc>
        <w:tc>
          <w:tcPr>
            <w:tcW w:w="3312" w:type="dxa"/>
            <w:vAlign w:val="center"/>
          </w:tcPr>
          <w:p>
            <w:pPr>
              <w:tabs>
                <w:tab w:val="left" w:pos="5327"/>
                <w:tab w:val="left" w:pos="6326"/>
                <w:tab w:val="left" w:pos="7230"/>
                <w:tab w:val="left" w:pos="9301"/>
              </w:tabs>
              <w:adjustRightInd w:val="0"/>
              <w:snapToGrid w:val="0"/>
              <w:ind w:firstLine="420"/>
              <w:jc w:val="center"/>
              <w:rPr>
                <w:rFonts w:eastAsiaTheme="minorEastAsia"/>
                <w:color w:val="000000" w:themeColor="text1"/>
                <w:sz w:val="21"/>
                <w:szCs w:val="21"/>
              </w:rPr>
            </w:pPr>
            <w:r>
              <w:rPr>
                <w:rFonts w:eastAsiaTheme="minorEastAsia"/>
                <w:color w:val="000000" w:themeColor="text1"/>
                <w:sz w:val="21"/>
                <w:szCs w:val="21"/>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965" w:type="dxa"/>
            <w:vAlign w:val="center"/>
          </w:tcPr>
          <w:p>
            <w:pPr>
              <w:tabs>
                <w:tab w:val="left" w:pos="5327"/>
                <w:tab w:val="left" w:pos="6326"/>
                <w:tab w:val="left" w:pos="7230"/>
                <w:tab w:val="left" w:pos="9301"/>
              </w:tabs>
              <w:adjustRightInd w:val="0"/>
              <w:snapToGrid w:val="0"/>
              <w:ind w:firstLine="420"/>
              <w:jc w:val="center"/>
              <w:rPr>
                <w:rFonts w:eastAsiaTheme="minorEastAsia"/>
                <w:color w:val="000000" w:themeColor="text1"/>
                <w:sz w:val="21"/>
                <w:szCs w:val="21"/>
              </w:rPr>
            </w:pPr>
            <w:r>
              <w:rPr>
                <w:rFonts w:eastAsiaTheme="minorEastAsia"/>
                <w:color w:val="000000" w:themeColor="text1"/>
                <w:sz w:val="21"/>
                <w:szCs w:val="21"/>
              </w:rPr>
              <w:t>3类</w:t>
            </w:r>
          </w:p>
        </w:tc>
        <w:tc>
          <w:tcPr>
            <w:tcW w:w="3251" w:type="dxa"/>
            <w:vAlign w:val="center"/>
          </w:tcPr>
          <w:p>
            <w:pPr>
              <w:tabs>
                <w:tab w:val="left" w:pos="5327"/>
                <w:tab w:val="left" w:pos="6326"/>
                <w:tab w:val="left" w:pos="7230"/>
                <w:tab w:val="left" w:pos="9301"/>
              </w:tabs>
              <w:adjustRightInd w:val="0"/>
              <w:snapToGrid w:val="0"/>
              <w:ind w:firstLine="420"/>
              <w:jc w:val="center"/>
              <w:rPr>
                <w:rFonts w:eastAsiaTheme="minorEastAsia"/>
                <w:color w:val="000000" w:themeColor="text1"/>
                <w:sz w:val="21"/>
                <w:szCs w:val="21"/>
              </w:rPr>
            </w:pPr>
            <w:r>
              <w:rPr>
                <w:rFonts w:eastAsiaTheme="minorEastAsia"/>
                <w:color w:val="000000" w:themeColor="text1"/>
                <w:sz w:val="21"/>
                <w:szCs w:val="21"/>
              </w:rPr>
              <w:t>65</w:t>
            </w:r>
          </w:p>
        </w:tc>
        <w:tc>
          <w:tcPr>
            <w:tcW w:w="3312" w:type="dxa"/>
            <w:vAlign w:val="center"/>
          </w:tcPr>
          <w:p>
            <w:pPr>
              <w:tabs>
                <w:tab w:val="left" w:pos="5327"/>
                <w:tab w:val="left" w:pos="6326"/>
                <w:tab w:val="left" w:pos="7230"/>
                <w:tab w:val="left" w:pos="9301"/>
              </w:tabs>
              <w:adjustRightInd w:val="0"/>
              <w:snapToGrid w:val="0"/>
              <w:ind w:firstLine="420"/>
              <w:jc w:val="center"/>
              <w:rPr>
                <w:rFonts w:eastAsiaTheme="minorEastAsia"/>
                <w:color w:val="000000" w:themeColor="text1"/>
                <w:sz w:val="21"/>
                <w:szCs w:val="21"/>
              </w:rPr>
            </w:pPr>
            <w:r>
              <w:rPr>
                <w:rFonts w:eastAsiaTheme="minorEastAsia"/>
                <w:color w:val="000000" w:themeColor="text1"/>
                <w:sz w:val="21"/>
                <w:szCs w:val="21"/>
              </w:rPr>
              <w:t>55</w:t>
            </w:r>
          </w:p>
        </w:tc>
      </w:tr>
    </w:tbl>
    <w:p>
      <w:pPr>
        <w:pStyle w:val="134"/>
        <w:snapToGrid w:val="0"/>
        <w:ind w:firstLine="480"/>
        <w:rPr>
          <w:rFonts w:eastAsiaTheme="minorEastAsia"/>
          <w:color w:val="000000" w:themeColor="text1"/>
          <w:lang w:bidi="en-US"/>
        </w:rPr>
      </w:pPr>
      <w:r>
        <w:rPr>
          <w:rFonts w:eastAsiaTheme="minorEastAsia"/>
          <w:color w:val="000000" w:themeColor="text1"/>
          <w:lang w:bidi="en-US"/>
        </w:rPr>
        <w:t>4、固体废物</w:t>
      </w:r>
    </w:p>
    <w:p>
      <w:pPr>
        <w:pStyle w:val="134"/>
        <w:snapToGrid w:val="0"/>
        <w:ind w:firstLine="480"/>
        <w:rPr>
          <w:rFonts w:eastAsiaTheme="minorEastAsia"/>
          <w:color w:val="000000" w:themeColor="text1"/>
          <w:szCs w:val="20"/>
        </w:rPr>
      </w:pPr>
      <w:r>
        <w:rPr>
          <w:rFonts w:eastAsiaTheme="minorEastAsia"/>
          <w:color w:val="000000" w:themeColor="text1"/>
          <w:szCs w:val="20"/>
        </w:rPr>
        <w:t>一般固体废物贮存、处置执行</w:t>
      </w:r>
      <w:r>
        <w:rPr>
          <w:color w:val="000000" w:themeColor="text1"/>
          <w:szCs w:val="24"/>
        </w:rPr>
        <w:t>《一般工业固体废物贮存和填埋污染控制标准》（GB18599-2020）</w:t>
      </w:r>
      <w:r>
        <w:rPr>
          <w:rFonts w:hint="eastAsia"/>
          <w:color w:val="000000" w:themeColor="text1"/>
          <w:szCs w:val="24"/>
        </w:rPr>
        <w:t>和《一般工业固体废物分类与代码》（GB/T39198-2020）</w:t>
      </w:r>
      <w:r>
        <w:rPr>
          <w:rFonts w:eastAsiaTheme="minorEastAsia"/>
          <w:color w:val="000000" w:themeColor="text1"/>
          <w:szCs w:val="20"/>
        </w:rPr>
        <w:t>。危险废物贮存、处置执行</w:t>
      </w:r>
      <w:r>
        <w:rPr>
          <w:rFonts w:eastAsiaTheme="minorEastAsia"/>
          <w:color w:val="000000" w:themeColor="text1"/>
        </w:rPr>
        <w:t>《危险废物贮存污染控制标准》</w:t>
      </w:r>
      <w:r>
        <w:rPr>
          <w:rFonts w:eastAsiaTheme="minorEastAsia"/>
          <w:color w:val="000000" w:themeColor="text1"/>
          <w:szCs w:val="20"/>
        </w:rPr>
        <w:t>（GB18597-2001）及修改清单（2013）要求。</w:t>
      </w:r>
    </w:p>
    <w:p>
      <w:pPr>
        <w:pStyle w:val="574"/>
        <w:spacing w:beforeLines="0" w:afterLines="0"/>
        <w:rPr>
          <w:rFonts w:eastAsiaTheme="minorEastAsia"/>
          <w:color w:val="000000" w:themeColor="text1"/>
          <w:sz w:val="30"/>
          <w:szCs w:val="30"/>
        </w:rPr>
      </w:pPr>
      <w:bookmarkStart w:id="324" w:name="_Toc321092439"/>
      <w:bookmarkStart w:id="325" w:name="_Toc465156845"/>
      <w:bookmarkStart w:id="326" w:name="_Toc30003"/>
      <w:r>
        <w:rPr>
          <w:rFonts w:eastAsiaTheme="minorEastAsia"/>
          <w:color w:val="000000" w:themeColor="text1"/>
          <w:sz w:val="30"/>
          <w:szCs w:val="30"/>
        </w:rPr>
        <w:t>1.5评价工作等级与</w:t>
      </w:r>
      <w:bookmarkEnd w:id="324"/>
      <w:r>
        <w:rPr>
          <w:rFonts w:eastAsiaTheme="minorEastAsia"/>
          <w:color w:val="000000" w:themeColor="text1"/>
          <w:sz w:val="30"/>
          <w:szCs w:val="30"/>
        </w:rPr>
        <w:t>范围</w:t>
      </w:r>
      <w:bookmarkEnd w:id="325"/>
      <w:bookmarkEnd w:id="326"/>
    </w:p>
    <w:p>
      <w:pPr>
        <w:adjustRightInd w:val="0"/>
        <w:snapToGrid w:val="0"/>
        <w:ind w:firstLine="480"/>
        <w:rPr>
          <w:rFonts w:eastAsiaTheme="minorEastAsia"/>
          <w:color w:val="000000" w:themeColor="text1"/>
        </w:rPr>
      </w:pPr>
      <w:bookmarkStart w:id="327" w:name="_Toc165355257"/>
      <w:r>
        <w:rPr>
          <w:rFonts w:eastAsiaTheme="minorEastAsia"/>
          <w:color w:val="000000" w:themeColor="text1"/>
          <w:szCs w:val="24"/>
        </w:rPr>
        <w:t>按《环境影响评价技术导则-总纲》（HJ2.1-2016）、《环境保护评价技术导则-大气环境》（HJ2.2-2018）、《环境保护评价技术导则-声环境》（HJ2.3-2009）、《环境影响评价技术导则-生态环境》（HJ19-2011）、《环境影响评价技术导则地表水环境》（HJ2.3-2018）、《环境影响评价技术导则-地下水环境》（HJ610-2016）、《建设项目环境风险评价技术导则》（HJ169-2018）、《环境影响评价技术导则-土壤环境》（HJ964-2018）的要求，结合项目工程特点和区域环境特征，本评价工作等级、评价范围和评价因子按如下确定。</w:t>
      </w:r>
    </w:p>
    <w:p>
      <w:pPr>
        <w:pStyle w:val="6"/>
        <w:adjustRightInd w:val="0"/>
        <w:snapToGrid w:val="0"/>
        <w:spacing w:beforeLines="0" w:afterLines="0"/>
        <w:rPr>
          <w:rFonts w:eastAsiaTheme="minorEastAsia"/>
          <w:color w:val="000000" w:themeColor="text1"/>
          <w:sz w:val="28"/>
          <w:szCs w:val="28"/>
        </w:rPr>
      </w:pPr>
      <w:bookmarkStart w:id="328" w:name="_Toc27373"/>
      <w:r>
        <w:rPr>
          <w:rFonts w:eastAsiaTheme="minorEastAsia"/>
          <w:color w:val="000000" w:themeColor="text1"/>
          <w:sz w:val="28"/>
          <w:szCs w:val="28"/>
        </w:rPr>
        <w:t>1.5.1</w:t>
      </w:r>
      <w:bookmarkEnd w:id="327"/>
      <w:r>
        <w:rPr>
          <w:rFonts w:eastAsiaTheme="minorEastAsia"/>
          <w:color w:val="000000" w:themeColor="text1"/>
          <w:sz w:val="28"/>
          <w:szCs w:val="28"/>
        </w:rPr>
        <w:t>评价工作等级</w:t>
      </w:r>
      <w:bookmarkEnd w:id="328"/>
    </w:p>
    <w:p>
      <w:pPr>
        <w:pStyle w:val="134"/>
        <w:snapToGrid w:val="0"/>
        <w:ind w:firstLine="482"/>
        <w:rPr>
          <w:rFonts w:eastAsiaTheme="minorEastAsia"/>
          <w:b/>
          <w:bCs/>
          <w:color w:val="000000" w:themeColor="text1"/>
          <w:szCs w:val="20"/>
        </w:rPr>
      </w:pPr>
      <w:r>
        <w:rPr>
          <w:rFonts w:eastAsiaTheme="minorEastAsia"/>
          <w:b/>
          <w:bCs/>
          <w:color w:val="000000" w:themeColor="text1"/>
          <w:szCs w:val="20"/>
        </w:rPr>
        <w:t>1、大气环境评价等级</w:t>
      </w:r>
    </w:p>
    <w:p>
      <w:pPr>
        <w:adjustRightInd w:val="0"/>
        <w:snapToGrid w:val="0"/>
        <w:ind w:firstLine="480"/>
        <w:rPr>
          <w:rFonts w:eastAsiaTheme="minorEastAsia"/>
          <w:color w:val="000000" w:themeColor="text1"/>
        </w:rPr>
      </w:pPr>
      <w:r>
        <w:rPr>
          <w:rFonts w:eastAsiaTheme="minorEastAsia"/>
          <w:color w:val="000000" w:themeColor="text1"/>
        </w:rPr>
        <w:t>按照《环境影响评价技术导则大气环境》（HJ2.2-2008）规定，分别计算每一种污染物的最大浓度占标率</w:t>
      </w:r>
      <w:r>
        <w:rPr>
          <w:rFonts w:eastAsiaTheme="minorEastAsia"/>
          <w:i/>
          <w:color w:val="000000" w:themeColor="text1"/>
        </w:rPr>
        <w:t>P</w:t>
      </w:r>
      <w:r>
        <w:rPr>
          <w:rFonts w:eastAsiaTheme="minorEastAsia"/>
          <w:i/>
          <w:color w:val="000000" w:themeColor="text1"/>
          <w:vertAlign w:val="subscript"/>
        </w:rPr>
        <w:t>i</w:t>
      </w:r>
      <w:r>
        <w:rPr>
          <w:rFonts w:eastAsiaTheme="minorEastAsia"/>
          <w:color w:val="000000" w:themeColor="text1"/>
        </w:rPr>
        <w:t>（第i个污染物），及第i个污染物的浓度达标准限值的10%时所对应的最远距离</w:t>
      </w:r>
      <w:r>
        <w:rPr>
          <w:rFonts w:eastAsiaTheme="minorEastAsia"/>
          <w:i/>
          <w:color w:val="000000" w:themeColor="text1"/>
        </w:rPr>
        <w:t>D</w:t>
      </w:r>
      <w:r>
        <w:rPr>
          <w:rFonts w:eastAsiaTheme="minorEastAsia"/>
          <w:i/>
          <w:color w:val="000000" w:themeColor="text1"/>
          <w:vertAlign w:val="subscript"/>
        </w:rPr>
        <w:t>10%</w:t>
      </w:r>
      <w:r>
        <w:rPr>
          <w:rFonts w:eastAsiaTheme="minorEastAsia"/>
          <w:color w:val="000000" w:themeColor="text1"/>
        </w:rPr>
        <w:t>，其中</w:t>
      </w:r>
      <w:r>
        <w:rPr>
          <w:rFonts w:eastAsiaTheme="minorEastAsia"/>
          <w:i/>
          <w:color w:val="000000" w:themeColor="text1"/>
        </w:rPr>
        <w:t>Pi</w:t>
      </w:r>
      <w:r>
        <w:rPr>
          <w:rFonts w:eastAsiaTheme="minorEastAsia"/>
          <w:color w:val="000000" w:themeColor="text1"/>
        </w:rPr>
        <w:t>定义为：</w:t>
      </w:r>
    </w:p>
    <w:p>
      <w:pPr>
        <w:ind w:firstLine="480"/>
        <w:jc w:val="center"/>
        <w:rPr>
          <w:rFonts w:eastAsiaTheme="minorEastAsia"/>
          <w:color w:val="000000" w:themeColor="text1"/>
        </w:rPr>
      </w:pPr>
      <w:r>
        <w:rPr>
          <w:rFonts w:eastAsiaTheme="minorEastAsia"/>
          <w:color w:val="000000" w:themeColor="text1"/>
        </w:rPr>
        <w:drawing>
          <wp:inline distT="0" distB="0" distL="114300" distR="114300">
            <wp:extent cx="1895475" cy="628650"/>
            <wp:effectExtent l="0" t="0" r="9525" b="0"/>
            <wp:docPr id="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7"/>
                    <pic:cNvPicPr>
                      <a:picLocks noChangeAspect="1"/>
                    </pic:cNvPicPr>
                  </pic:nvPicPr>
                  <pic:blipFill>
                    <a:blip r:embed="rId31" cstate="print"/>
                    <a:stretch>
                      <a:fillRect/>
                    </a:stretch>
                  </pic:blipFill>
                  <pic:spPr>
                    <a:xfrm>
                      <a:off x="0" y="0"/>
                      <a:ext cx="1895475" cy="628650"/>
                    </a:xfrm>
                    <a:prstGeom prst="rect">
                      <a:avLst/>
                    </a:prstGeom>
                    <a:noFill/>
                    <a:ln>
                      <a:noFill/>
                    </a:ln>
                  </pic:spPr>
                </pic:pic>
              </a:graphicData>
            </a:graphic>
          </wp:inline>
        </w:drawing>
      </w:r>
    </w:p>
    <w:p>
      <w:pPr>
        <w:ind w:firstLine="480"/>
        <w:rPr>
          <w:rFonts w:eastAsiaTheme="minorEastAsia"/>
          <w:color w:val="000000" w:themeColor="text1"/>
        </w:rPr>
      </w:pPr>
      <w:r>
        <w:rPr>
          <w:rFonts w:eastAsiaTheme="minorEastAsia"/>
          <w:color w:val="000000" w:themeColor="text1"/>
        </w:rPr>
        <w:t>式中：</w:t>
      </w:r>
    </w:p>
    <w:p>
      <w:pPr>
        <w:ind w:firstLine="480"/>
        <w:rPr>
          <w:rFonts w:eastAsiaTheme="minorEastAsia"/>
          <w:color w:val="000000" w:themeColor="text1"/>
          <w:szCs w:val="24"/>
        </w:rPr>
      </w:pPr>
      <w:r>
        <w:rPr>
          <w:rFonts w:eastAsiaTheme="minorEastAsia"/>
          <w:i/>
          <w:color w:val="000000" w:themeColor="text1"/>
        </w:rPr>
        <w:t>P</w:t>
      </w:r>
      <w:r>
        <w:rPr>
          <w:rFonts w:eastAsiaTheme="minorEastAsia"/>
          <w:i/>
          <w:color w:val="000000" w:themeColor="text1"/>
          <w:vertAlign w:val="subscript"/>
        </w:rPr>
        <w:t>i</w:t>
      </w:r>
      <w:r>
        <w:rPr>
          <w:rFonts w:eastAsiaTheme="minorEastAsia"/>
          <w:color w:val="000000" w:themeColor="text1"/>
        </w:rPr>
        <w:t>—</w:t>
      </w:r>
      <w:r>
        <w:rPr>
          <w:rFonts w:eastAsiaTheme="minorEastAsia"/>
          <w:color w:val="000000" w:themeColor="text1"/>
          <w:szCs w:val="24"/>
        </w:rPr>
        <w:t>第i个污染物的最大地面空气质量浓度占标率，%；</w:t>
      </w:r>
    </w:p>
    <w:p>
      <w:pPr>
        <w:ind w:firstLine="480"/>
        <w:rPr>
          <w:rFonts w:eastAsiaTheme="minorEastAsia"/>
          <w:color w:val="000000" w:themeColor="text1"/>
        </w:rPr>
      </w:pPr>
      <w:r>
        <w:rPr>
          <w:rFonts w:eastAsiaTheme="minorEastAsia"/>
          <w:color w:val="000000" w:themeColor="text1"/>
          <w:szCs w:val="24"/>
        </w:rPr>
        <w:t>ρ</w:t>
      </w:r>
      <w:r>
        <w:rPr>
          <w:rFonts w:eastAsiaTheme="minorEastAsia"/>
          <w:color w:val="000000" w:themeColor="text1"/>
          <w:szCs w:val="24"/>
          <w:vertAlign w:val="subscript"/>
        </w:rPr>
        <w:t>i</w:t>
      </w:r>
      <w:r>
        <w:rPr>
          <w:rFonts w:eastAsiaTheme="minorEastAsia"/>
          <w:color w:val="000000" w:themeColor="text1"/>
        </w:rPr>
        <w:t>—</w:t>
      </w:r>
      <w:r>
        <w:rPr>
          <w:rFonts w:eastAsiaTheme="minorEastAsia"/>
          <w:color w:val="000000" w:themeColor="text1"/>
          <w:szCs w:val="24"/>
        </w:rPr>
        <w:t>采用估算模式计算出的第i个污染物的最大1小时地面空气质量浓度，mg/m</w:t>
      </w:r>
      <w:r>
        <w:rPr>
          <w:rFonts w:eastAsiaTheme="minorEastAsia"/>
          <w:color w:val="000000" w:themeColor="text1"/>
          <w:szCs w:val="24"/>
          <w:vertAlign w:val="superscript"/>
        </w:rPr>
        <w:t>3</w:t>
      </w:r>
      <w:r>
        <w:rPr>
          <w:rFonts w:eastAsiaTheme="minorEastAsia"/>
          <w:color w:val="000000" w:themeColor="text1"/>
          <w:szCs w:val="24"/>
        </w:rPr>
        <w:t>；</w:t>
      </w:r>
    </w:p>
    <w:p>
      <w:pPr>
        <w:ind w:firstLine="480"/>
        <w:rPr>
          <w:rFonts w:eastAsiaTheme="minorEastAsia"/>
          <w:color w:val="000000" w:themeColor="text1"/>
        </w:rPr>
      </w:pPr>
      <w:r>
        <w:rPr>
          <w:rFonts w:eastAsiaTheme="minorEastAsia"/>
          <w:bCs/>
          <w:color w:val="000000" w:themeColor="text1"/>
          <w:szCs w:val="24"/>
        </w:rPr>
        <w:t>ρ</w:t>
      </w:r>
      <w:r>
        <w:rPr>
          <w:rFonts w:eastAsiaTheme="minorEastAsia"/>
          <w:bCs/>
          <w:color w:val="000000" w:themeColor="text1"/>
          <w:szCs w:val="24"/>
          <w:vertAlign w:val="subscript"/>
        </w:rPr>
        <w:t>0i</w:t>
      </w:r>
      <w:r>
        <w:rPr>
          <w:rFonts w:eastAsiaTheme="minorEastAsia"/>
          <w:color w:val="000000" w:themeColor="text1"/>
        </w:rPr>
        <w:t>—</w:t>
      </w:r>
      <w:r>
        <w:rPr>
          <w:rFonts w:eastAsiaTheme="minorEastAsia"/>
          <w:color w:val="000000" w:themeColor="text1"/>
          <w:szCs w:val="24"/>
        </w:rPr>
        <w:t>第i个污染物的环境空气质量浓度标准，μg/m</w:t>
      </w:r>
      <w:r>
        <w:rPr>
          <w:rFonts w:eastAsiaTheme="minorEastAsia"/>
          <w:color w:val="000000" w:themeColor="text1"/>
          <w:szCs w:val="24"/>
          <w:vertAlign w:val="superscript"/>
        </w:rPr>
        <w:t>3</w:t>
      </w:r>
      <w:r>
        <w:rPr>
          <w:rFonts w:eastAsiaTheme="minorEastAsia"/>
          <w:color w:val="000000" w:themeColor="text1"/>
        </w:rPr>
        <w:t>；</w:t>
      </w:r>
      <w:r>
        <w:rPr>
          <w:rFonts w:eastAsiaTheme="minorEastAsia"/>
          <w:color w:val="000000" w:themeColor="text1"/>
          <w:szCs w:val="24"/>
        </w:rPr>
        <w:t>一般选用GB3095中1h平均质量浓度的二级浓度限值，如项目位于一类环境空气功能区，应选择相应的一级浓度限值；对仅有8h平均质量浓度限值、日平均质量浓度限值或年均质量浓度限值的，可分别按2倍、3倍、6倍折算为1h平均质量浓度限值。</w:t>
      </w:r>
    </w:p>
    <w:p>
      <w:pPr>
        <w:ind w:firstLine="480"/>
        <w:rPr>
          <w:rFonts w:eastAsiaTheme="minorEastAsia"/>
          <w:b/>
          <w:color w:val="000000" w:themeColor="text1"/>
          <w:sz w:val="21"/>
          <w:szCs w:val="20"/>
        </w:rPr>
      </w:pPr>
      <w:r>
        <w:rPr>
          <w:rFonts w:eastAsiaTheme="minorEastAsia"/>
          <w:color w:val="000000" w:themeColor="text1"/>
        </w:rPr>
        <w:t>评价工作等级的判定依据见表1.5-1。</w:t>
      </w:r>
    </w:p>
    <w:p>
      <w:pPr>
        <w:numPr>
          <w:ilvl w:val="0"/>
          <w:numId w:val="8"/>
        </w:numPr>
        <w:tabs>
          <w:tab w:val="left" w:pos="1848"/>
          <w:tab w:val="left" w:pos="6061"/>
          <w:tab w:val="left" w:pos="8665"/>
        </w:tabs>
        <w:snapToGrid w:val="0"/>
        <w:ind w:firstLine="0" w:firstLineChars="0"/>
        <w:jc w:val="center"/>
        <w:rPr>
          <w:rFonts w:eastAsiaTheme="minorEastAsia"/>
          <w:b/>
          <w:color w:val="000000" w:themeColor="text1"/>
          <w:sz w:val="21"/>
          <w:szCs w:val="20"/>
        </w:rPr>
      </w:pPr>
    </w:p>
    <w:p>
      <w:pPr>
        <w:numPr>
          <w:ilvl w:val="0"/>
          <w:numId w:val="8"/>
        </w:numPr>
        <w:tabs>
          <w:tab w:val="left" w:pos="1848"/>
          <w:tab w:val="left" w:pos="6061"/>
          <w:tab w:val="left" w:pos="8665"/>
        </w:tabs>
        <w:snapToGrid w:val="0"/>
        <w:ind w:firstLine="0" w:firstLineChars="0"/>
        <w:jc w:val="center"/>
        <w:rPr>
          <w:rFonts w:eastAsiaTheme="minorEastAsia"/>
          <w:b/>
          <w:color w:val="000000" w:themeColor="text1"/>
          <w:sz w:val="21"/>
          <w:szCs w:val="20"/>
        </w:rPr>
      </w:pPr>
    </w:p>
    <w:p>
      <w:pPr>
        <w:numPr>
          <w:ilvl w:val="0"/>
          <w:numId w:val="8"/>
        </w:numPr>
        <w:tabs>
          <w:tab w:val="left" w:pos="1848"/>
          <w:tab w:val="left" w:pos="6061"/>
          <w:tab w:val="left" w:pos="8665"/>
        </w:tabs>
        <w:snapToGrid w:val="0"/>
        <w:ind w:firstLine="0" w:firstLineChars="0"/>
        <w:jc w:val="center"/>
        <w:rPr>
          <w:rFonts w:eastAsiaTheme="minorEastAsia"/>
          <w:b/>
          <w:color w:val="000000" w:themeColor="text1"/>
          <w:sz w:val="21"/>
          <w:szCs w:val="20"/>
        </w:rPr>
      </w:pPr>
      <w:r>
        <w:rPr>
          <w:rFonts w:eastAsiaTheme="minorEastAsia"/>
          <w:b/>
          <w:color w:val="000000" w:themeColor="text1"/>
          <w:sz w:val="21"/>
          <w:szCs w:val="20"/>
        </w:rPr>
        <w:t>表1.5-1评价工作等级判据</w:t>
      </w:r>
    </w:p>
    <w:tbl>
      <w:tblPr>
        <w:tblStyle w:val="61"/>
        <w:tblW w:w="827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2"/>
        <w:gridCol w:w="6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852"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评价工作等级</w:t>
            </w:r>
          </w:p>
        </w:tc>
        <w:tc>
          <w:tcPr>
            <w:tcW w:w="6421"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852"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6421"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P</w:t>
            </w:r>
            <w:r>
              <w:rPr>
                <w:rFonts w:eastAsiaTheme="minorEastAsia"/>
                <w:color w:val="000000" w:themeColor="text1"/>
                <w:sz w:val="21"/>
                <w:szCs w:val="21"/>
                <w:vertAlign w:val="subscript"/>
              </w:rPr>
              <w:t>max</w:t>
            </w:r>
            <w:r>
              <w:rPr>
                <w:rFonts w:eastAsiaTheme="minorEastAsia"/>
                <w:color w:val="000000" w:themeColor="text1"/>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852"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421"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1%≤P</w:t>
            </w:r>
            <w:r>
              <w:rPr>
                <w:rFonts w:eastAsiaTheme="minorEastAsia"/>
                <w:color w:val="000000" w:themeColor="text1"/>
                <w:sz w:val="21"/>
                <w:szCs w:val="21"/>
                <w:vertAlign w:val="subscript"/>
              </w:rPr>
              <w:t>max</w:t>
            </w:r>
            <w:r>
              <w:rPr>
                <w:rFonts w:eastAsiaTheme="minorEastAsia"/>
                <w:color w:val="000000" w:themeColor="text1"/>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852"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421"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P</w:t>
            </w:r>
            <w:r>
              <w:rPr>
                <w:rFonts w:eastAsiaTheme="minorEastAsia"/>
                <w:color w:val="000000" w:themeColor="text1"/>
                <w:sz w:val="21"/>
                <w:szCs w:val="21"/>
                <w:vertAlign w:val="subscript"/>
              </w:rPr>
              <w:t>max</w:t>
            </w:r>
            <w:r>
              <w:rPr>
                <w:rFonts w:eastAsiaTheme="minorEastAsia"/>
                <w:color w:val="000000" w:themeColor="text1"/>
                <w:sz w:val="21"/>
                <w:szCs w:val="21"/>
              </w:rPr>
              <w:t>＜10%</w:t>
            </w:r>
          </w:p>
        </w:tc>
      </w:tr>
    </w:tbl>
    <w:p>
      <w:pPr>
        <w:ind w:firstLine="480"/>
        <w:rPr>
          <w:rFonts w:eastAsiaTheme="minorEastAsia"/>
          <w:color w:val="000000" w:themeColor="text1"/>
        </w:rPr>
      </w:pPr>
      <w:r>
        <w:rPr>
          <w:rFonts w:hint="eastAsia" w:eastAsiaTheme="minorEastAsia"/>
          <w:color w:val="000000" w:themeColor="text1"/>
        </w:rPr>
        <w:t>计算</w:t>
      </w:r>
      <w:r>
        <w:rPr>
          <w:rFonts w:eastAsiaTheme="minorEastAsia"/>
          <w:color w:val="000000" w:themeColor="text1"/>
        </w:rPr>
        <w:t>筛选结果见表1.5-2。</w:t>
      </w: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表1.5-2</w:t>
      </w:r>
      <w:r>
        <w:rPr>
          <w:rFonts w:hint="eastAsia" w:eastAsiaTheme="minorEastAsia"/>
          <w:b/>
          <w:bCs/>
          <w:color w:val="000000" w:themeColor="text1"/>
          <w:sz w:val="21"/>
          <w:szCs w:val="21"/>
        </w:rPr>
        <w:t>计算</w:t>
      </w:r>
      <w:r>
        <w:rPr>
          <w:rFonts w:eastAsiaTheme="minorEastAsia"/>
          <w:b/>
          <w:bCs/>
          <w:color w:val="000000" w:themeColor="text1"/>
          <w:sz w:val="21"/>
          <w:szCs w:val="21"/>
        </w:rPr>
        <w:t>筛选结果统计表</w:t>
      </w:r>
    </w:p>
    <w:tbl>
      <w:tblPr>
        <w:tblStyle w:val="61"/>
        <w:tblW w:w="85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53"/>
        <w:gridCol w:w="1539"/>
        <w:gridCol w:w="1318"/>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253"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污染源</w:t>
            </w:r>
          </w:p>
        </w:tc>
        <w:tc>
          <w:tcPr>
            <w:tcW w:w="1539"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污染物</w:t>
            </w:r>
          </w:p>
        </w:tc>
        <w:tc>
          <w:tcPr>
            <w:tcW w:w="1318" w:type="dxa"/>
            <w:vAlign w:val="center"/>
          </w:tcPr>
          <w:p>
            <w:pPr>
              <w:spacing w:line="240" w:lineRule="auto"/>
              <w:ind w:firstLine="0" w:firstLineChars="0"/>
              <w:jc w:val="center"/>
              <w:rPr>
                <w:color w:val="000000" w:themeColor="text1"/>
                <w:sz w:val="21"/>
                <w:szCs w:val="21"/>
              </w:rPr>
            </w:pPr>
            <w:r>
              <w:rPr>
                <w:color w:val="000000" w:themeColor="text1"/>
                <w:sz w:val="21"/>
                <w:szCs w:val="21"/>
              </w:rPr>
              <w:t>C</w:t>
            </w:r>
            <w:r>
              <w:rPr>
                <w:color w:val="000000" w:themeColor="text1"/>
                <w:sz w:val="21"/>
                <w:szCs w:val="21"/>
                <w:vertAlign w:val="subscript"/>
              </w:rPr>
              <w:t>max</w:t>
            </w:r>
            <w:r>
              <w:rPr>
                <w:color w:val="000000" w:themeColor="text1"/>
                <w:sz w:val="21"/>
                <w:szCs w:val="21"/>
              </w:rPr>
              <w:t>(μg/m³)</w:t>
            </w:r>
          </w:p>
        </w:tc>
        <w:tc>
          <w:tcPr>
            <w:tcW w:w="1705" w:type="dxa"/>
            <w:vAlign w:val="center"/>
          </w:tcPr>
          <w:p>
            <w:pPr>
              <w:spacing w:line="240" w:lineRule="auto"/>
              <w:ind w:firstLine="0" w:firstLineChars="0"/>
              <w:jc w:val="center"/>
              <w:rPr>
                <w:color w:val="000000" w:themeColor="text1"/>
                <w:sz w:val="21"/>
                <w:szCs w:val="21"/>
              </w:rPr>
            </w:pPr>
            <w:r>
              <w:rPr>
                <w:color w:val="000000" w:themeColor="text1"/>
                <w:sz w:val="21"/>
                <w:szCs w:val="21"/>
              </w:rPr>
              <w:t>P</w:t>
            </w:r>
            <w:r>
              <w:rPr>
                <w:color w:val="000000" w:themeColor="text1"/>
                <w:sz w:val="21"/>
                <w:szCs w:val="21"/>
                <w:vertAlign w:val="subscript"/>
              </w:rPr>
              <w:t>max</w:t>
            </w:r>
            <w:r>
              <w:rPr>
                <w:color w:val="000000" w:themeColor="text1"/>
                <w:sz w:val="21"/>
                <w:szCs w:val="21"/>
              </w:rPr>
              <w:t>(%)</w:t>
            </w:r>
          </w:p>
        </w:tc>
        <w:tc>
          <w:tcPr>
            <w:tcW w:w="1705"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2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DA001</w:t>
            </w:r>
          </w:p>
        </w:tc>
        <w:tc>
          <w:tcPr>
            <w:tcW w:w="153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PM</w:t>
            </w:r>
            <w:r>
              <w:rPr>
                <w:rFonts w:hint="eastAsia"/>
                <w:color w:val="000000" w:themeColor="text1"/>
                <w:sz w:val="21"/>
                <w:szCs w:val="21"/>
                <w:vertAlign w:val="subscript"/>
              </w:rPr>
              <w:t>10</w:t>
            </w:r>
          </w:p>
        </w:tc>
        <w:tc>
          <w:tcPr>
            <w:tcW w:w="131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42.2730</w:t>
            </w:r>
          </w:p>
        </w:tc>
        <w:tc>
          <w:tcPr>
            <w:tcW w:w="170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9.3940</w:t>
            </w:r>
          </w:p>
        </w:tc>
        <w:tc>
          <w:tcPr>
            <w:tcW w:w="1705"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2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DA002</w:t>
            </w:r>
          </w:p>
        </w:tc>
        <w:tc>
          <w:tcPr>
            <w:tcW w:w="153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PM</w:t>
            </w:r>
            <w:r>
              <w:rPr>
                <w:rFonts w:hint="eastAsia"/>
                <w:color w:val="000000" w:themeColor="text1"/>
                <w:sz w:val="21"/>
                <w:szCs w:val="21"/>
                <w:vertAlign w:val="subscript"/>
              </w:rPr>
              <w:t>10</w:t>
            </w:r>
          </w:p>
        </w:tc>
        <w:tc>
          <w:tcPr>
            <w:tcW w:w="131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10.6410</w:t>
            </w:r>
          </w:p>
        </w:tc>
        <w:tc>
          <w:tcPr>
            <w:tcW w:w="170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2.3647</w:t>
            </w:r>
          </w:p>
        </w:tc>
        <w:tc>
          <w:tcPr>
            <w:tcW w:w="1705" w:type="dxa"/>
            <w:vAlign w:val="center"/>
          </w:tcPr>
          <w:p>
            <w:pPr>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2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厂区无组织</w:t>
            </w:r>
          </w:p>
        </w:tc>
        <w:tc>
          <w:tcPr>
            <w:tcW w:w="153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TSP</w:t>
            </w:r>
          </w:p>
        </w:tc>
        <w:tc>
          <w:tcPr>
            <w:tcW w:w="131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147.62</w:t>
            </w:r>
          </w:p>
        </w:tc>
        <w:tc>
          <w:tcPr>
            <w:tcW w:w="170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16.4022</w:t>
            </w:r>
          </w:p>
        </w:tc>
        <w:tc>
          <w:tcPr>
            <w:tcW w:w="1705" w:type="dxa"/>
            <w:vAlign w:val="center"/>
          </w:tcPr>
          <w:p>
            <w:pPr>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一级</w:t>
            </w:r>
          </w:p>
        </w:tc>
      </w:tr>
    </w:tbl>
    <w:p>
      <w:pPr>
        <w:ind w:firstLine="240" w:firstLineChars="100"/>
        <w:rPr>
          <w:rFonts w:eastAsiaTheme="minorEastAsia"/>
          <w:color w:val="000000" w:themeColor="text1"/>
          <w:highlight w:val="red"/>
        </w:rPr>
      </w:pPr>
      <w:r>
        <w:rPr>
          <w:rFonts w:eastAsiaTheme="minorEastAsia"/>
          <w:color w:val="000000" w:themeColor="text1"/>
          <w:szCs w:val="24"/>
        </w:rPr>
        <w:t>根据筛选结果可知，项目污染物最大占标率为</w:t>
      </w:r>
      <w:r>
        <w:rPr>
          <w:rFonts w:hint="eastAsia" w:eastAsiaTheme="minorEastAsia"/>
          <w:color w:val="000000" w:themeColor="text1"/>
          <w:szCs w:val="24"/>
        </w:rPr>
        <w:t>16.4022</w:t>
      </w:r>
      <w:r>
        <w:rPr>
          <w:rFonts w:eastAsiaTheme="minorEastAsia"/>
          <w:color w:val="000000" w:themeColor="text1"/>
          <w:szCs w:val="24"/>
        </w:rPr>
        <w:t>%，根据《环境影响评价技术导则大气环境》（HJ2.2-2018）中的相关规定，确定评价等级为</w:t>
      </w:r>
      <w:r>
        <w:rPr>
          <w:rFonts w:hint="eastAsia" w:eastAsiaTheme="minorEastAsia"/>
          <w:color w:val="000000" w:themeColor="text1"/>
          <w:szCs w:val="24"/>
        </w:rPr>
        <w:t>一</w:t>
      </w:r>
      <w:r>
        <w:rPr>
          <w:rFonts w:eastAsiaTheme="minorEastAsia"/>
          <w:color w:val="000000" w:themeColor="text1"/>
          <w:szCs w:val="24"/>
        </w:rPr>
        <w:t>级。</w:t>
      </w:r>
    </w:p>
    <w:p>
      <w:pPr>
        <w:pStyle w:val="134"/>
        <w:ind w:firstLine="482"/>
        <w:rPr>
          <w:rFonts w:eastAsiaTheme="minorEastAsia"/>
          <w:b/>
          <w:bCs/>
          <w:color w:val="000000" w:themeColor="text1"/>
          <w:szCs w:val="20"/>
        </w:rPr>
      </w:pPr>
      <w:r>
        <w:rPr>
          <w:rFonts w:eastAsiaTheme="minorEastAsia"/>
          <w:b/>
          <w:bCs/>
          <w:color w:val="000000" w:themeColor="text1"/>
          <w:szCs w:val="20"/>
        </w:rPr>
        <w:t>2、地表水环境</w:t>
      </w:r>
    </w:p>
    <w:p>
      <w:pPr>
        <w:tabs>
          <w:tab w:val="left" w:pos="9000"/>
        </w:tabs>
        <w:snapToGrid w:val="0"/>
        <w:ind w:firstLine="480"/>
        <w:rPr>
          <w:rFonts w:eastAsiaTheme="minorEastAsia"/>
          <w:b/>
          <w:bCs/>
          <w:color w:val="000000" w:themeColor="text1"/>
          <w:sz w:val="21"/>
          <w:szCs w:val="21"/>
        </w:rPr>
      </w:pPr>
      <w:r>
        <w:rPr>
          <w:rFonts w:eastAsiaTheme="minorEastAsia"/>
          <w:color w:val="000000" w:themeColor="text1"/>
        </w:rPr>
        <w:t>按《环境影响评价技术导则地表水环境》（HJ2.3-2018）的规定，根据项目废水排放方式、排放量确定地表水环境影响评价工作等级。地表水环境影响评价等级判定如下：</w:t>
      </w: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表1.5-3水污染影响型建设项目评价等级判定表</w:t>
      </w:r>
    </w:p>
    <w:tbl>
      <w:tblPr>
        <w:tblStyle w:val="6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1"/>
        <w:gridCol w:w="1675"/>
        <w:gridCol w:w="51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Merge w:val="restart"/>
            <w:vAlign w:val="center"/>
          </w:tcPr>
          <w:p>
            <w:pPr>
              <w:tabs>
                <w:tab w:val="left" w:pos="9000"/>
              </w:tabs>
              <w:snapToGri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评价等级</w:t>
            </w:r>
          </w:p>
        </w:tc>
        <w:tc>
          <w:tcPr>
            <w:tcW w:w="6811" w:type="dxa"/>
            <w:gridSpan w:val="2"/>
          </w:tcPr>
          <w:p>
            <w:pPr>
              <w:adjustRightInd w:val="0"/>
              <w:snapToGrid w:val="0"/>
              <w:ind w:firstLine="422"/>
              <w:jc w:val="center"/>
              <w:rPr>
                <w:rFonts w:eastAsiaTheme="minorEastAsia"/>
                <w:b/>
                <w:bCs/>
                <w:color w:val="000000" w:themeColor="text1"/>
                <w:sz w:val="21"/>
                <w:szCs w:val="21"/>
              </w:rPr>
            </w:pPr>
            <w:r>
              <w:rPr>
                <w:rFonts w:eastAsiaTheme="minorEastAsia"/>
                <w:b/>
                <w:color w:val="000000" w:themeColor="text1"/>
                <w:sz w:val="21"/>
                <w:szCs w:val="21"/>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Merge w:val="continue"/>
          </w:tcPr>
          <w:p>
            <w:pPr>
              <w:adjustRightInd w:val="0"/>
              <w:snapToGrid w:val="0"/>
              <w:ind w:firstLine="422"/>
              <w:jc w:val="center"/>
              <w:rPr>
                <w:rFonts w:eastAsiaTheme="minorEastAsia"/>
                <w:b/>
                <w:bCs/>
                <w:color w:val="000000" w:themeColor="text1"/>
                <w:sz w:val="21"/>
                <w:szCs w:val="21"/>
              </w:rPr>
            </w:pPr>
          </w:p>
        </w:tc>
        <w:tc>
          <w:tcPr>
            <w:tcW w:w="1675" w:type="dxa"/>
            <w:vAlign w:val="center"/>
          </w:tcPr>
          <w:p>
            <w:pPr>
              <w:tabs>
                <w:tab w:val="left" w:pos="9000"/>
              </w:tabs>
              <w:snapToGri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排放方式</w:t>
            </w:r>
          </w:p>
        </w:tc>
        <w:tc>
          <w:tcPr>
            <w:tcW w:w="5136" w:type="dxa"/>
            <w:vAlign w:val="center"/>
          </w:tcPr>
          <w:p>
            <w:pPr>
              <w:tabs>
                <w:tab w:val="left" w:pos="9000"/>
              </w:tabs>
              <w:snapToGri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废水排放量Q/（m</w:t>
            </w:r>
            <w:r>
              <w:rPr>
                <w:rFonts w:eastAsiaTheme="minorEastAsia"/>
                <w:b/>
                <w:color w:val="000000" w:themeColor="text1"/>
                <w:sz w:val="21"/>
                <w:szCs w:val="21"/>
                <w:vertAlign w:val="superscript"/>
              </w:rPr>
              <w:t>3</w:t>
            </w:r>
            <w:r>
              <w:rPr>
                <w:rFonts w:eastAsiaTheme="minorEastAsia"/>
                <w:b/>
                <w:color w:val="000000" w:themeColor="text1"/>
                <w:sz w:val="21"/>
                <w:szCs w:val="21"/>
              </w:rPr>
              <w:t>/d）；水污染物当量数W/（量纲一）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Align w:val="center"/>
          </w:tcPr>
          <w:p>
            <w:pPr>
              <w:tabs>
                <w:tab w:val="left" w:pos="9000"/>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1675" w:type="dxa"/>
            <w:vAlign w:val="center"/>
          </w:tcPr>
          <w:p>
            <w:pPr>
              <w:tabs>
                <w:tab w:val="left" w:pos="9000"/>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直接排放</w:t>
            </w:r>
          </w:p>
        </w:tc>
        <w:tc>
          <w:tcPr>
            <w:tcW w:w="5136" w:type="dxa"/>
            <w:vAlign w:val="center"/>
          </w:tcPr>
          <w:p>
            <w:pPr>
              <w:tabs>
                <w:tab w:val="left" w:pos="9000"/>
              </w:tabs>
              <w:snapToGrid w:val="0"/>
              <w:ind w:firstLine="0" w:firstLineChars="0"/>
              <w:jc w:val="center"/>
              <w:rPr>
                <w:rFonts w:eastAsiaTheme="minorEastAsia"/>
                <w:color w:val="000000" w:themeColor="text1"/>
                <w:sz w:val="21"/>
                <w:szCs w:val="21"/>
              </w:rPr>
            </w:pPr>
            <w:r>
              <w:rPr>
                <w:rFonts w:eastAsiaTheme="minorEastAsia"/>
                <w:bCs/>
                <w:color w:val="000000" w:themeColor="text1"/>
                <w:sz w:val="21"/>
                <w:szCs w:val="21"/>
              </w:rPr>
              <w:t>Q≥20000或W≥6000000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Align w:val="center"/>
          </w:tcPr>
          <w:p>
            <w:pPr>
              <w:tabs>
                <w:tab w:val="left" w:pos="9000"/>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1675" w:type="dxa"/>
            <w:vAlign w:val="center"/>
          </w:tcPr>
          <w:p>
            <w:pPr>
              <w:tabs>
                <w:tab w:val="left" w:pos="9000"/>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直接排放</w:t>
            </w:r>
          </w:p>
        </w:tc>
        <w:tc>
          <w:tcPr>
            <w:tcW w:w="5136" w:type="dxa"/>
            <w:vAlign w:val="center"/>
          </w:tcPr>
          <w:p>
            <w:pPr>
              <w:tabs>
                <w:tab w:val="left" w:pos="9000"/>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Align w:val="center"/>
          </w:tcPr>
          <w:p>
            <w:pPr>
              <w:tabs>
                <w:tab w:val="left" w:pos="9000"/>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三级A</w:t>
            </w:r>
          </w:p>
        </w:tc>
        <w:tc>
          <w:tcPr>
            <w:tcW w:w="1675" w:type="dxa"/>
            <w:vAlign w:val="center"/>
          </w:tcPr>
          <w:p>
            <w:pPr>
              <w:tabs>
                <w:tab w:val="left" w:pos="9000"/>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直接排放</w:t>
            </w:r>
          </w:p>
        </w:tc>
        <w:tc>
          <w:tcPr>
            <w:tcW w:w="5136" w:type="dxa"/>
            <w:vAlign w:val="center"/>
          </w:tcPr>
          <w:p>
            <w:pPr>
              <w:tabs>
                <w:tab w:val="left" w:pos="9000"/>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Q&lt;200且W&lt;6000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Align w:val="center"/>
          </w:tcPr>
          <w:p>
            <w:pPr>
              <w:tabs>
                <w:tab w:val="left" w:pos="9000"/>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三级B</w:t>
            </w:r>
          </w:p>
        </w:tc>
        <w:tc>
          <w:tcPr>
            <w:tcW w:w="1675" w:type="dxa"/>
            <w:vAlign w:val="center"/>
          </w:tcPr>
          <w:p>
            <w:pPr>
              <w:tabs>
                <w:tab w:val="left" w:pos="9000"/>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间接排放</w:t>
            </w:r>
          </w:p>
        </w:tc>
        <w:tc>
          <w:tcPr>
            <w:tcW w:w="5136" w:type="dxa"/>
            <w:vAlign w:val="center"/>
          </w:tcPr>
          <w:p>
            <w:pPr>
              <w:tabs>
                <w:tab w:val="left" w:pos="9000"/>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2" w:type="dxa"/>
            <w:gridSpan w:val="3"/>
            <w:vAlign w:val="center"/>
          </w:tcPr>
          <w:p>
            <w:pPr>
              <w:ind w:firstLine="0" w:firstLineChars="0"/>
              <w:rPr>
                <w:rFonts w:eastAsiaTheme="minorEastAsia"/>
                <w:color w:val="000000" w:themeColor="text1"/>
                <w:sz w:val="21"/>
                <w:szCs w:val="21"/>
              </w:rPr>
            </w:pPr>
            <w:r>
              <w:rPr>
                <w:rFonts w:eastAsiaTheme="minorEastAsia"/>
                <w:color w:val="000000" w:themeColor="text1"/>
                <w:sz w:val="21"/>
                <w:szCs w:val="21"/>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pPr>
              <w:ind w:firstLine="0" w:firstLineChars="0"/>
              <w:rPr>
                <w:rFonts w:eastAsiaTheme="minorEastAsia"/>
                <w:color w:val="000000" w:themeColor="text1"/>
                <w:sz w:val="21"/>
                <w:szCs w:val="21"/>
              </w:rPr>
            </w:pPr>
            <w:r>
              <w:rPr>
                <w:rFonts w:eastAsiaTheme="minorEastAsia"/>
                <w:color w:val="000000" w:themeColor="text1"/>
                <w:sz w:val="21"/>
                <w:szCs w:val="21"/>
              </w:rPr>
              <w:t>注2：废水排放量按行业排放标准中规定的废水种类统计，没有相关行业排放标准要求的通过工程分析合理确定，应统计含热量大的冷却水的排放量，可不统计间接冷却水、循环水及其他含污染物极少的清净下水的排放量。</w:t>
            </w:r>
          </w:p>
          <w:p>
            <w:pPr>
              <w:ind w:firstLine="0" w:firstLineChars="0"/>
              <w:rPr>
                <w:rFonts w:eastAsiaTheme="minorEastAsia"/>
                <w:color w:val="000000" w:themeColor="text1"/>
                <w:sz w:val="21"/>
                <w:szCs w:val="21"/>
              </w:rPr>
            </w:pPr>
            <w:r>
              <w:rPr>
                <w:rFonts w:eastAsiaTheme="minorEastAsia"/>
                <w:color w:val="000000" w:themeColor="text1"/>
                <w:sz w:val="21"/>
                <w:szCs w:val="21"/>
              </w:rPr>
              <w:t>注3：厂区存在堆积物（露天堆放的原料、燃料、废渣等以及垃圾堆放场）、降尘污染的，应将初期雨污水纳入废水排放量，相应的主要污染物纳入水污染当量计算。</w:t>
            </w:r>
          </w:p>
          <w:p>
            <w:pPr>
              <w:ind w:firstLine="0" w:firstLineChars="0"/>
              <w:rPr>
                <w:rFonts w:eastAsiaTheme="minorEastAsia"/>
                <w:color w:val="000000" w:themeColor="text1"/>
                <w:sz w:val="21"/>
                <w:szCs w:val="21"/>
              </w:rPr>
            </w:pPr>
            <w:r>
              <w:rPr>
                <w:rFonts w:eastAsiaTheme="minorEastAsia"/>
                <w:color w:val="000000" w:themeColor="text1"/>
                <w:sz w:val="21"/>
                <w:szCs w:val="21"/>
              </w:rPr>
              <w:t>注4：建设项目直接排放第一类污染物的，其评价等级为一级；建设项目直接排放的污染物为受纳水体超标因子的，评价等级不低于二级。</w:t>
            </w:r>
          </w:p>
          <w:p>
            <w:pPr>
              <w:ind w:firstLine="0" w:firstLineChars="0"/>
              <w:rPr>
                <w:rFonts w:eastAsiaTheme="minorEastAsia"/>
                <w:color w:val="000000" w:themeColor="text1"/>
                <w:sz w:val="21"/>
                <w:szCs w:val="21"/>
              </w:rPr>
            </w:pPr>
            <w:r>
              <w:rPr>
                <w:rFonts w:eastAsiaTheme="minorEastAsia"/>
                <w:color w:val="000000" w:themeColor="text1"/>
                <w:sz w:val="21"/>
                <w:szCs w:val="21"/>
              </w:rPr>
              <w:t>注5：直接排放受纳水体影响范围涉及饮用水水源保护区、饮用水取水口、重点保护与珍稀水生生物的栖息地、重要水生生物的自然产卵场等保护目标时，评价等级不低于二级。</w:t>
            </w:r>
          </w:p>
          <w:p>
            <w:pPr>
              <w:ind w:firstLine="0" w:firstLineChars="0"/>
              <w:rPr>
                <w:rFonts w:eastAsiaTheme="minorEastAsia"/>
                <w:color w:val="000000" w:themeColor="text1"/>
                <w:sz w:val="21"/>
                <w:szCs w:val="21"/>
              </w:rPr>
            </w:pPr>
            <w:r>
              <w:rPr>
                <w:rFonts w:eastAsiaTheme="minorEastAsia"/>
                <w:color w:val="000000" w:themeColor="text1"/>
                <w:sz w:val="21"/>
                <w:szCs w:val="21"/>
              </w:rPr>
              <w:t>注6：建设项目向河流、湖库排放温排水引起受纳水体水温变化超过水环境质量标准要求，且评价范围有水温敏感目标时，评价等级为一级。</w:t>
            </w:r>
          </w:p>
          <w:p>
            <w:pPr>
              <w:ind w:firstLine="0" w:firstLineChars="0"/>
              <w:rPr>
                <w:rFonts w:eastAsiaTheme="minorEastAsia"/>
                <w:color w:val="000000" w:themeColor="text1"/>
                <w:sz w:val="21"/>
                <w:szCs w:val="21"/>
              </w:rPr>
            </w:pPr>
            <w:r>
              <w:rPr>
                <w:rFonts w:eastAsiaTheme="minorEastAsia"/>
                <w:color w:val="000000" w:themeColor="text1"/>
                <w:sz w:val="21"/>
                <w:szCs w:val="21"/>
              </w:rPr>
              <w:t>注7：建设项目利用海水作为调节温度介质，排水量≥500万m</w:t>
            </w:r>
            <w:r>
              <w:rPr>
                <w:rFonts w:eastAsiaTheme="minorEastAsia"/>
                <w:color w:val="000000" w:themeColor="text1"/>
                <w:sz w:val="21"/>
                <w:szCs w:val="21"/>
                <w:vertAlign w:val="superscript"/>
              </w:rPr>
              <w:t>3</w:t>
            </w:r>
            <w:r>
              <w:rPr>
                <w:rFonts w:eastAsiaTheme="minorEastAsia"/>
                <w:color w:val="000000" w:themeColor="text1"/>
                <w:sz w:val="21"/>
                <w:szCs w:val="21"/>
              </w:rPr>
              <w:t>/d，评价等级为一级；排水量＜500万m</w:t>
            </w:r>
            <w:r>
              <w:rPr>
                <w:rFonts w:eastAsiaTheme="minorEastAsia"/>
                <w:color w:val="000000" w:themeColor="text1"/>
                <w:sz w:val="21"/>
                <w:szCs w:val="21"/>
                <w:vertAlign w:val="superscript"/>
              </w:rPr>
              <w:t>3</w:t>
            </w:r>
            <w:r>
              <w:rPr>
                <w:rFonts w:eastAsiaTheme="minorEastAsia"/>
                <w:color w:val="000000" w:themeColor="text1"/>
                <w:sz w:val="21"/>
                <w:szCs w:val="21"/>
              </w:rPr>
              <w:t>/d，评价等级为二级。</w:t>
            </w:r>
          </w:p>
          <w:p>
            <w:pPr>
              <w:ind w:firstLine="0" w:firstLineChars="0"/>
              <w:rPr>
                <w:rFonts w:eastAsiaTheme="minorEastAsia"/>
                <w:color w:val="000000" w:themeColor="text1"/>
                <w:sz w:val="21"/>
                <w:szCs w:val="21"/>
              </w:rPr>
            </w:pPr>
            <w:r>
              <w:rPr>
                <w:rFonts w:eastAsiaTheme="minorEastAsia"/>
                <w:color w:val="000000" w:themeColor="text1"/>
                <w:sz w:val="21"/>
                <w:szCs w:val="21"/>
              </w:rPr>
              <w:t>注8：仅涉及清净下水排放的，如其排放水质满足受纳水体水环境质量标准要求的，评价等级为三级A。</w:t>
            </w:r>
          </w:p>
          <w:p>
            <w:pPr>
              <w:ind w:firstLine="0" w:firstLineChars="0"/>
              <w:rPr>
                <w:rFonts w:eastAsiaTheme="minorEastAsia"/>
                <w:color w:val="000000" w:themeColor="text1"/>
                <w:sz w:val="21"/>
                <w:szCs w:val="21"/>
              </w:rPr>
            </w:pPr>
            <w:r>
              <w:rPr>
                <w:rFonts w:eastAsiaTheme="minorEastAsia"/>
                <w:color w:val="000000" w:themeColor="text1"/>
                <w:sz w:val="21"/>
                <w:szCs w:val="21"/>
              </w:rPr>
              <w:t>注9：依托现有排放口，且对外环境未新增排放污染物的直接排放建设项目，评价等级参照间接排放，定为三级B。</w:t>
            </w:r>
          </w:p>
          <w:p>
            <w:pPr>
              <w:tabs>
                <w:tab w:val="left" w:pos="9000"/>
              </w:tabs>
              <w:snapToGrid w:val="0"/>
              <w:ind w:firstLine="0" w:firstLineChars="0"/>
              <w:rPr>
                <w:rFonts w:eastAsiaTheme="minorEastAsia"/>
                <w:color w:val="000000" w:themeColor="text1"/>
                <w:sz w:val="21"/>
                <w:szCs w:val="21"/>
              </w:rPr>
            </w:pPr>
            <w:r>
              <w:rPr>
                <w:rFonts w:eastAsiaTheme="minorEastAsia"/>
                <w:color w:val="000000" w:themeColor="text1"/>
                <w:sz w:val="21"/>
                <w:szCs w:val="21"/>
              </w:rPr>
              <w:t>注10：建设项目生产工艺中有废水产生，但作为回水利用，不排放到外环境的，按三级B评价。</w:t>
            </w:r>
          </w:p>
        </w:tc>
      </w:tr>
    </w:tbl>
    <w:p>
      <w:pPr>
        <w:pStyle w:val="134"/>
        <w:ind w:firstLine="480"/>
        <w:rPr>
          <w:rFonts w:eastAsiaTheme="minorEastAsia"/>
          <w:color w:val="000000" w:themeColor="text1"/>
        </w:rPr>
      </w:pPr>
      <w:r>
        <w:rPr>
          <w:rFonts w:eastAsiaTheme="minorEastAsia"/>
          <w:color w:val="000000" w:themeColor="text1"/>
        </w:rPr>
        <w:t>项目区地表水为困龙河、戛洒江，属红河水系，水体功能类别为</w:t>
      </w:r>
      <w:r>
        <w:rPr>
          <w:rFonts w:eastAsia="方正仿宋_GBK"/>
          <w:color w:val="000000" w:themeColor="text1"/>
        </w:rPr>
        <w:t>Ⅲ</w:t>
      </w:r>
      <w:r>
        <w:rPr>
          <w:rFonts w:eastAsiaTheme="minorEastAsia"/>
          <w:color w:val="000000" w:themeColor="text1"/>
        </w:rPr>
        <w:t>类。项目选矿废水处理后全部回用，</w:t>
      </w:r>
      <w:r>
        <w:rPr>
          <w:rFonts w:hint="eastAsia" w:eastAsiaTheme="minorEastAsia"/>
          <w:color w:val="000000" w:themeColor="text1"/>
          <w:lang w:val="en-US" w:eastAsia="zh-CN"/>
        </w:rPr>
        <w:t>技改再选尾矿废水随尾矿携带进入依托的浓密池，</w:t>
      </w:r>
      <w:r>
        <w:rPr>
          <w:rFonts w:eastAsiaTheme="minorEastAsia"/>
          <w:color w:val="000000" w:themeColor="text1"/>
        </w:rPr>
        <w:t>生活污水不外排，冷却水循环使用，初期雨水</w:t>
      </w:r>
      <w:r>
        <w:rPr>
          <w:rFonts w:hint="eastAsia" w:eastAsiaTheme="minorEastAsia"/>
          <w:color w:val="000000" w:themeColor="text1"/>
        </w:rPr>
        <w:t>收集</w:t>
      </w:r>
      <w:r>
        <w:rPr>
          <w:rFonts w:eastAsiaTheme="minorEastAsia"/>
          <w:color w:val="000000" w:themeColor="text1"/>
        </w:rPr>
        <w:t>沉淀后用于降尘，不外排，不需要纳入废水排放量、污染当量</w:t>
      </w:r>
      <w:r>
        <w:rPr>
          <w:rFonts w:hint="eastAsia" w:eastAsiaTheme="minorEastAsia"/>
          <w:color w:val="000000" w:themeColor="text1"/>
        </w:rPr>
        <w:t>计算</w:t>
      </w:r>
      <w:r>
        <w:rPr>
          <w:rFonts w:eastAsiaTheme="minorEastAsia"/>
          <w:color w:val="000000" w:themeColor="text1"/>
        </w:rPr>
        <w:t>。根据《环境影响评价技术导则地</w:t>
      </w:r>
      <w:r>
        <w:rPr>
          <w:rFonts w:hint="eastAsia" w:eastAsiaTheme="minorEastAsia"/>
          <w:color w:val="000000" w:themeColor="text1"/>
        </w:rPr>
        <w:t>表</w:t>
      </w:r>
      <w:r>
        <w:rPr>
          <w:rFonts w:eastAsiaTheme="minorEastAsia"/>
          <w:color w:val="000000" w:themeColor="text1"/>
        </w:rPr>
        <w:t>水环境》要求，地表水评价工作等级定为三级B。</w:t>
      </w:r>
    </w:p>
    <w:p>
      <w:pPr>
        <w:pStyle w:val="134"/>
        <w:ind w:firstLine="482"/>
        <w:rPr>
          <w:rFonts w:eastAsiaTheme="minorEastAsia"/>
          <w:b/>
          <w:bCs/>
          <w:color w:val="000000" w:themeColor="text1"/>
          <w:szCs w:val="20"/>
        </w:rPr>
      </w:pPr>
      <w:r>
        <w:rPr>
          <w:rFonts w:eastAsiaTheme="minorEastAsia"/>
          <w:b/>
          <w:bCs/>
          <w:color w:val="000000" w:themeColor="text1"/>
          <w:szCs w:val="20"/>
        </w:rPr>
        <w:t>3、地下水环境</w:t>
      </w:r>
    </w:p>
    <w:p>
      <w:pPr>
        <w:adjustRightInd w:val="0"/>
        <w:snapToGrid w:val="0"/>
        <w:ind w:firstLine="480"/>
        <w:rPr>
          <w:rFonts w:eastAsiaTheme="minorEastAsia"/>
          <w:b/>
          <w:bCs/>
          <w:color w:val="000000" w:themeColor="text1"/>
          <w:sz w:val="21"/>
          <w:szCs w:val="21"/>
        </w:rPr>
      </w:pPr>
      <w:r>
        <w:rPr>
          <w:rFonts w:eastAsiaTheme="minorEastAsia"/>
          <w:color w:val="000000" w:themeColor="text1"/>
          <w:kern w:val="0"/>
        </w:rPr>
        <w:t>根据《环境影响评价技术导则-地下水环境》（HJ610-2016），该项目属于“附录A中G黑色金属42、采选（含单独尾矿库）”类别，选矿厂地下水环境影响评价项目类别为</w:t>
      </w:r>
      <w:r>
        <w:rPr>
          <w:rFonts w:eastAsiaTheme="minorEastAsia"/>
          <w:color w:val="000000" w:themeColor="text1"/>
          <w:kern w:val="0"/>
        </w:rPr>
        <w:fldChar w:fldCharType="begin"/>
      </w:r>
      <w:r>
        <w:rPr>
          <w:rFonts w:eastAsiaTheme="minorEastAsia"/>
          <w:color w:val="000000" w:themeColor="text1"/>
          <w:kern w:val="0"/>
        </w:rPr>
        <w:instrText xml:space="preserve"> = 2 \* ROMAN </w:instrText>
      </w:r>
      <w:r>
        <w:rPr>
          <w:rFonts w:eastAsiaTheme="minorEastAsia"/>
          <w:color w:val="000000" w:themeColor="text1"/>
          <w:kern w:val="0"/>
        </w:rPr>
        <w:fldChar w:fldCharType="separate"/>
      </w:r>
      <w:r>
        <w:rPr>
          <w:rFonts w:eastAsiaTheme="minorEastAsia"/>
          <w:color w:val="000000" w:themeColor="text1"/>
          <w:kern w:val="0"/>
        </w:rPr>
        <w:t>II</w:t>
      </w:r>
      <w:r>
        <w:rPr>
          <w:rFonts w:eastAsiaTheme="minorEastAsia"/>
          <w:color w:val="000000" w:themeColor="text1"/>
          <w:kern w:val="0"/>
        </w:rPr>
        <w:fldChar w:fldCharType="end"/>
      </w:r>
      <w:r>
        <w:rPr>
          <w:rFonts w:eastAsiaTheme="minorEastAsia"/>
          <w:color w:val="000000" w:themeColor="text1"/>
          <w:kern w:val="0"/>
        </w:rPr>
        <w:t>类，应进行地下水评价。</w:t>
      </w:r>
      <w:r>
        <w:rPr>
          <w:rFonts w:eastAsiaTheme="minorEastAsia"/>
          <w:color w:val="000000" w:themeColor="text1"/>
          <w:szCs w:val="24"/>
        </w:rPr>
        <w:t>建设项目的地下水环境敏感程度可分为敏感、较敏感、不敏感三级，分级原则见下表。</w:t>
      </w: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表1.5-4地下水环境敏感程度分级表</w:t>
      </w:r>
    </w:p>
    <w:tbl>
      <w:tblPr>
        <w:tblStyle w:val="61"/>
        <w:tblW w:w="8520" w:type="dxa"/>
        <w:jc w:val="center"/>
        <w:tblInd w:w="0" w:type="dxa"/>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
      <w:tblGrid>
        <w:gridCol w:w="1215"/>
        <w:gridCol w:w="7305"/>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Ex>
        <w:trPr>
          <w:trHeight w:val="680" w:hRule="atLeast"/>
          <w:tblHeader/>
          <w:jc w:val="center"/>
        </w:trPr>
        <w:tc>
          <w:tcPr>
            <w:tcW w:w="1215" w:type="dxa"/>
            <w:tcBorders>
              <w:top w:val="single" w:color="auto" w:sz="2" w:space="0"/>
              <w:left w:val="single" w:color="auto" w:sz="2" w:space="0"/>
              <w:bottom w:val="single" w:color="auto" w:sz="6" w:space="0"/>
              <w:right w:val="single" w:color="auto" w:sz="6" w:space="0"/>
            </w:tcBorders>
            <w:vAlign w:val="center"/>
          </w:tcPr>
          <w:p>
            <w:pPr>
              <w:adjustRightInd w:val="0"/>
              <w:snapToGrid w:val="0"/>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敏感程度</w:t>
            </w:r>
          </w:p>
        </w:tc>
        <w:tc>
          <w:tcPr>
            <w:tcW w:w="7305" w:type="dxa"/>
            <w:tcBorders>
              <w:top w:val="single" w:color="auto" w:sz="2" w:space="0"/>
              <w:left w:val="single" w:color="auto" w:sz="6" w:space="0"/>
              <w:bottom w:val="single" w:color="auto" w:sz="6" w:space="0"/>
              <w:right w:val="single" w:color="auto" w:sz="2" w:space="0"/>
            </w:tcBorders>
            <w:vAlign w:val="center"/>
          </w:tcPr>
          <w:p>
            <w:pPr>
              <w:adjustRightInd w:val="0"/>
              <w:snapToGrid w:val="0"/>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地下水环境敏感特征</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Ex>
        <w:trPr>
          <w:trHeight w:val="680" w:hRule="atLeast"/>
          <w:jc w:val="center"/>
        </w:trPr>
        <w:tc>
          <w:tcPr>
            <w:tcW w:w="1215" w:type="dxa"/>
            <w:tcBorders>
              <w:top w:val="single" w:color="auto" w:sz="6" w:space="0"/>
              <w:left w:val="single" w:color="auto" w:sz="2" w:space="0"/>
              <w:bottom w:val="single" w:color="auto" w:sz="6" w:space="0"/>
              <w:right w:val="single" w:color="auto" w:sz="6" w:space="0"/>
            </w:tcBorders>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敏感</w:t>
            </w:r>
          </w:p>
        </w:tc>
        <w:tc>
          <w:tcPr>
            <w:tcW w:w="7305" w:type="dxa"/>
            <w:tcBorders>
              <w:top w:val="single" w:color="auto" w:sz="6" w:space="0"/>
              <w:left w:val="single" w:color="auto" w:sz="6" w:space="0"/>
              <w:bottom w:val="single" w:color="auto" w:sz="6" w:space="0"/>
              <w:right w:val="single" w:color="auto" w:sz="2" w:space="0"/>
            </w:tcBorders>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集中式饮用水水源（包括已建成的在用、备用、应急水源，在建和规划的饮用水水源）准保护区；除集中饮用水水源以外的国家或地方政府设定的与地下水环境相关的其他保护区，如热水、矿泉水、温泉等特殊地下水资源保护区。</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Ex>
        <w:trPr>
          <w:trHeight w:val="680" w:hRule="atLeast"/>
          <w:jc w:val="center"/>
        </w:trPr>
        <w:tc>
          <w:tcPr>
            <w:tcW w:w="1215" w:type="dxa"/>
            <w:tcBorders>
              <w:top w:val="single" w:color="auto" w:sz="6" w:space="0"/>
              <w:left w:val="single" w:color="auto" w:sz="2" w:space="0"/>
              <w:bottom w:val="single" w:color="auto" w:sz="6" w:space="0"/>
              <w:right w:val="single" w:color="auto" w:sz="6" w:space="0"/>
            </w:tcBorders>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较敏感</w:t>
            </w:r>
          </w:p>
        </w:tc>
        <w:tc>
          <w:tcPr>
            <w:tcW w:w="7305" w:type="dxa"/>
            <w:tcBorders>
              <w:top w:val="single" w:color="auto" w:sz="6" w:space="0"/>
              <w:left w:val="single" w:color="auto" w:sz="6" w:space="0"/>
              <w:bottom w:val="single" w:color="auto" w:sz="6" w:space="0"/>
              <w:right w:val="single" w:color="auto" w:sz="2" w:space="0"/>
            </w:tcBorders>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矿泉水、温泉等）保护区以外的分布区等其他未列入上述敏感分级的环境敏感区。</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Ex>
        <w:trPr>
          <w:trHeight w:val="680" w:hRule="atLeast"/>
          <w:jc w:val="center"/>
        </w:trPr>
        <w:tc>
          <w:tcPr>
            <w:tcW w:w="1215" w:type="dxa"/>
            <w:tcBorders>
              <w:top w:val="single" w:color="auto" w:sz="6" w:space="0"/>
              <w:left w:val="single" w:color="auto" w:sz="2" w:space="0"/>
              <w:bottom w:val="single" w:color="auto" w:sz="6" w:space="0"/>
              <w:right w:val="single" w:color="auto" w:sz="6" w:space="0"/>
            </w:tcBorders>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不敏感</w:t>
            </w:r>
          </w:p>
        </w:tc>
        <w:tc>
          <w:tcPr>
            <w:tcW w:w="7305" w:type="dxa"/>
            <w:tcBorders>
              <w:top w:val="single" w:color="auto" w:sz="6" w:space="0"/>
              <w:left w:val="single" w:color="auto" w:sz="6" w:space="0"/>
              <w:bottom w:val="single" w:color="auto" w:sz="6" w:space="0"/>
              <w:right w:val="single" w:color="auto" w:sz="2" w:space="0"/>
            </w:tcBorders>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上述地区之外的其他地区。</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Ex>
        <w:trPr>
          <w:trHeight w:val="680" w:hRule="atLeast"/>
          <w:jc w:val="center"/>
        </w:trPr>
        <w:tc>
          <w:tcPr>
            <w:tcW w:w="8520" w:type="dxa"/>
            <w:gridSpan w:val="2"/>
            <w:tcBorders>
              <w:top w:val="single" w:color="auto" w:sz="6" w:space="0"/>
              <w:left w:val="single" w:color="auto" w:sz="2" w:space="0"/>
              <w:bottom w:val="single" w:color="auto" w:sz="2" w:space="0"/>
              <w:right w:val="single" w:color="auto" w:sz="2" w:space="0"/>
            </w:tcBorders>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注：a“环境敏感区”是指《建设项目环境影响评价分类管理名录》中所界定的涉及地下水的环境敏感区。</w:t>
            </w:r>
          </w:p>
        </w:tc>
      </w:tr>
    </w:tbl>
    <w:p>
      <w:pPr>
        <w:pStyle w:val="134"/>
        <w:ind w:firstLine="480"/>
        <w:rPr>
          <w:rFonts w:eastAsiaTheme="minorEastAsia"/>
          <w:b/>
          <w:color w:val="000000" w:themeColor="text1"/>
          <w:sz w:val="21"/>
          <w:szCs w:val="20"/>
        </w:rPr>
      </w:pPr>
      <w:r>
        <w:rPr>
          <w:rFonts w:eastAsiaTheme="minorEastAsia"/>
          <w:color w:val="000000" w:themeColor="text1"/>
        </w:rPr>
        <w:t>地下水环境评价等级划分见表1.5-5。</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表1.5-5地下水环境评价等级划分情况表</w:t>
      </w:r>
    </w:p>
    <w:tbl>
      <w:tblPr>
        <w:tblStyle w:val="61"/>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8"/>
        <w:gridCol w:w="1557"/>
        <w:gridCol w:w="1985"/>
        <w:gridCol w:w="1842"/>
        <w:gridCol w:w="1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blHeader/>
        </w:trPr>
        <w:tc>
          <w:tcPr>
            <w:tcW w:w="1528"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项目</w:t>
            </w:r>
          </w:p>
        </w:tc>
        <w:tc>
          <w:tcPr>
            <w:tcW w:w="1557"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环境敏感程度</w:t>
            </w:r>
          </w:p>
        </w:tc>
        <w:tc>
          <w:tcPr>
            <w:tcW w:w="1985"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fldChar w:fldCharType="begin"/>
            </w:r>
            <w:r>
              <w:rPr>
                <w:rFonts w:eastAsiaTheme="minorEastAsia"/>
                <w:color w:val="000000" w:themeColor="text1"/>
                <w:kern w:val="0"/>
                <w:sz w:val="21"/>
                <w:szCs w:val="21"/>
              </w:rPr>
              <w:instrText xml:space="preserve"> = 1 \* ROMAN </w:instrText>
            </w:r>
            <w:r>
              <w:rPr>
                <w:rFonts w:eastAsiaTheme="minorEastAsia"/>
                <w:color w:val="000000" w:themeColor="text1"/>
                <w:kern w:val="0"/>
                <w:sz w:val="21"/>
                <w:szCs w:val="21"/>
              </w:rPr>
              <w:fldChar w:fldCharType="separate"/>
            </w:r>
            <w:r>
              <w:rPr>
                <w:rFonts w:eastAsiaTheme="minorEastAsia"/>
                <w:color w:val="000000" w:themeColor="text1"/>
                <w:kern w:val="0"/>
                <w:sz w:val="21"/>
                <w:szCs w:val="21"/>
              </w:rPr>
              <w:t>I</w:t>
            </w:r>
            <w:r>
              <w:rPr>
                <w:rFonts w:eastAsiaTheme="minorEastAsia"/>
                <w:color w:val="000000" w:themeColor="text1"/>
                <w:kern w:val="0"/>
                <w:sz w:val="21"/>
                <w:szCs w:val="21"/>
              </w:rPr>
              <w:fldChar w:fldCharType="end"/>
            </w:r>
            <w:r>
              <w:rPr>
                <w:rFonts w:eastAsiaTheme="minorEastAsia"/>
                <w:color w:val="000000" w:themeColor="text1"/>
                <w:kern w:val="0"/>
                <w:sz w:val="21"/>
                <w:szCs w:val="21"/>
              </w:rPr>
              <w:t>类</w:t>
            </w:r>
          </w:p>
        </w:tc>
        <w:tc>
          <w:tcPr>
            <w:tcW w:w="1842"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fldChar w:fldCharType="begin"/>
            </w:r>
            <w:r>
              <w:rPr>
                <w:rFonts w:eastAsiaTheme="minorEastAsia"/>
                <w:color w:val="000000" w:themeColor="text1"/>
                <w:kern w:val="0"/>
                <w:sz w:val="21"/>
                <w:szCs w:val="21"/>
              </w:rPr>
              <w:instrText xml:space="preserve"> = 2 \* ROMAN </w:instrText>
            </w:r>
            <w:r>
              <w:rPr>
                <w:rFonts w:eastAsiaTheme="minorEastAsia"/>
                <w:color w:val="000000" w:themeColor="text1"/>
                <w:kern w:val="0"/>
                <w:sz w:val="21"/>
                <w:szCs w:val="21"/>
              </w:rPr>
              <w:fldChar w:fldCharType="separate"/>
            </w:r>
            <w:r>
              <w:rPr>
                <w:rFonts w:eastAsiaTheme="minorEastAsia"/>
                <w:color w:val="000000" w:themeColor="text1"/>
                <w:kern w:val="0"/>
                <w:sz w:val="21"/>
                <w:szCs w:val="21"/>
              </w:rPr>
              <w:t>II</w:t>
            </w:r>
            <w:r>
              <w:rPr>
                <w:rFonts w:eastAsiaTheme="minorEastAsia"/>
                <w:color w:val="000000" w:themeColor="text1"/>
                <w:kern w:val="0"/>
                <w:sz w:val="21"/>
                <w:szCs w:val="21"/>
              </w:rPr>
              <w:fldChar w:fldCharType="end"/>
            </w:r>
            <w:r>
              <w:rPr>
                <w:rFonts w:eastAsiaTheme="minorEastAsia"/>
                <w:color w:val="000000" w:themeColor="text1"/>
                <w:kern w:val="0"/>
                <w:sz w:val="21"/>
                <w:szCs w:val="21"/>
              </w:rPr>
              <w:t>类</w:t>
            </w:r>
          </w:p>
        </w:tc>
        <w:tc>
          <w:tcPr>
            <w:tcW w:w="1616"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fldChar w:fldCharType="begin"/>
            </w:r>
            <w:r>
              <w:rPr>
                <w:rFonts w:eastAsiaTheme="minorEastAsia"/>
                <w:color w:val="000000" w:themeColor="text1"/>
                <w:kern w:val="0"/>
                <w:sz w:val="21"/>
                <w:szCs w:val="21"/>
              </w:rPr>
              <w:instrText xml:space="preserve"> = 3 \* ROMAN </w:instrText>
            </w:r>
            <w:r>
              <w:rPr>
                <w:rFonts w:eastAsiaTheme="minorEastAsia"/>
                <w:color w:val="000000" w:themeColor="text1"/>
                <w:kern w:val="0"/>
                <w:sz w:val="21"/>
                <w:szCs w:val="21"/>
              </w:rPr>
              <w:fldChar w:fldCharType="separate"/>
            </w:r>
            <w:r>
              <w:rPr>
                <w:rFonts w:eastAsiaTheme="minorEastAsia"/>
                <w:color w:val="000000" w:themeColor="text1"/>
                <w:kern w:val="0"/>
                <w:sz w:val="21"/>
                <w:szCs w:val="21"/>
              </w:rPr>
              <w:t>III</w:t>
            </w:r>
            <w:r>
              <w:rPr>
                <w:rFonts w:eastAsiaTheme="minorEastAsia"/>
                <w:color w:val="000000" w:themeColor="text1"/>
                <w:kern w:val="0"/>
                <w:sz w:val="21"/>
                <w:szCs w:val="21"/>
              </w:rPr>
              <w:fldChar w:fldCharType="end"/>
            </w:r>
            <w:r>
              <w:rPr>
                <w:rFonts w:eastAsiaTheme="minorEastAsia"/>
                <w:color w:val="000000" w:themeColor="text1"/>
                <w:kern w:val="0"/>
                <w:sz w:val="21"/>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blHeader/>
        </w:trPr>
        <w:tc>
          <w:tcPr>
            <w:tcW w:w="1528" w:type="dxa"/>
            <w:vMerge w:val="restart"/>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判别标准</w:t>
            </w:r>
          </w:p>
        </w:tc>
        <w:tc>
          <w:tcPr>
            <w:tcW w:w="1557"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敏感</w:t>
            </w:r>
          </w:p>
        </w:tc>
        <w:tc>
          <w:tcPr>
            <w:tcW w:w="1985"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一级</w:t>
            </w:r>
          </w:p>
        </w:tc>
        <w:tc>
          <w:tcPr>
            <w:tcW w:w="1842"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一级</w:t>
            </w:r>
          </w:p>
        </w:tc>
        <w:tc>
          <w:tcPr>
            <w:tcW w:w="1616"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blHeader/>
        </w:trPr>
        <w:tc>
          <w:tcPr>
            <w:tcW w:w="1528" w:type="dxa"/>
            <w:vMerge w:val="continue"/>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p>
        </w:tc>
        <w:tc>
          <w:tcPr>
            <w:tcW w:w="1557"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较敏感</w:t>
            </w:r>
          </w:p>
        </w:tc>
        <w:tc>
          <w:tcPr>
            <w:tcW w:w="1985"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一级</w:t>
            </w:r>
          </w:p>
        </w:tc>
        <w:tc>
          <w:tcPr>
            <w:tcW w:w="1842"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二级</w:t>
            </w:r>
          </w:p>
        </w:tc>
        <w:tc>
          <w:tcPr>
            <w:tcW w:w="1616"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tblHeader/>
        </w:trPr>
        <w:tc>
          <w:tcPr>
            <w:tcW w:w="1528" w:type="dxa"/>
            <w:vMerge w:val="continue"/>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p>
        </w:tc>
        <w:tc>
          <w:tcPr>
            <w:tcW w:w="1557"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不敏感</w:t>
            </w:r>
          </w:p>
        </w:tc>
        <w:tc>
          <w:tcPr>
            <w:tcW w:w="1985"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二级</w:t>
            </w:r>
          </w:p>
        </w:tc>
        <w:tc>
          <w:tcPr>
            <w:tcW w:w="1842"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三级</w:t>
            </w:r>
          </w:p>
        </w:tc>
        <w:tc>
          <w:tcPr>
            <w:tcW w:w="1616" w:type="dxa"/>
            <w:shd w:val="clear" w:color="auto" w:fill="auto"/>
            <w:vAlign w:val="center"/>
          </w:tcPr>
          <w:p>
            <w:pPr>
              <w:tabs>
                <w:tab w:val="left" w:pos="7020"/>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三级</w:t>
            </w:r>
          </w:p>
        </w:tc>
      </w:tr>
    </w:tbl>
    <w:p>
      <w:pPr>
        <w:pStyle w:val="134"/>
        <w:ind w:firstLine="480"/>
        <w:rPr>
          <w:rFonts w:eastAsiaTheme="minorEastAsia"/>
          <w:color w:val="000000" w:themeColor="text1"/>
        </w:rPr>
      </w:pPr>
      <w:r>
        <w:rPr>
          <w:rFonts w:eastAsiaTheme="minorEastAsia"/>
          <w:color w:val="000000" w:themeColor="text1"/>
        </w:rPr>
        <w:t>地下水评价范围内无集中式饮用水水源地、分散式饮用水水源地、特殊地下水资源等地下水环境敏感区，为不敏感区。由表1.5-5可知，该项目地下水环境评价等级为三级。</w:t>
      </w:r>
    </w:p>
    <w:p>
      <w:pPr>
        <w:pStyle w:val="134"/>
        <w:ind w:firstLine="482"/>
        <w:rPr>
          <w:rFonts w:eastAsiaTheme="minorEastAsia"/>
          <w:b/>
          <w:bCs/>
          <w:color w:val="000000" w:themeColor="text1"/>
          <w:szCs w:val="20"/>
        </w:rPr>
      </w:pPr>
      <w:r>
        <w:rPr>
          <w:rFonts w:eastAsiaTheme="minorEastAsia"/>
          <w:b/>
          <w:bCs/>
          <w:color w:val="000000" w:themeColor="text1"/>
          <w:szCs w:val="20"/>
        </w:rPr>
        <w:t>4、声环境</w:t>
      </w:r>
    </w:p>
    <w:p>
      <w:pPr>
        <w:adjustRightInd w:val="0"/>
        <w:snapToGrid w:val="0"/>
        <w:ind w:firstLine="480"/>
        <w:rPr>
          <w:rFonts w:eastAsiaTheme="minorEastAsia"/>
          <w:color w:val="000000" w:themeColor="text1"/>
        </w:rPr>
      </w:pPr>
      <w:r>
        <w:rPr>
          <w:rFonts w:eastAsiaTheme="minorEastAsia"/>
          <w:color w:val="000000" w:themeColor="text1"/>
          <w:szCs w:val="24"/>
        </w:rPr>
        <w:t>根据《环境影响评价技术导则—声环境》（HJ2.4—2009）中规定，“建设项目所处功能区为GB3096规定的3类地区，或建设项目建设前后评价范围内敏感目标噪声及增高量达3dB（A）</w:t>
      </w:r>
      <w:r>
        <w:rPr>
          <w:rFonts w:hint="eastAsia" w:eastAsiaTheme="minorEastAsia"/>
          <w:color w:val="000000" w:themeColor="text1"/>
          <w:szCs w:val="24"/>
        </w:rPr>
        <w:t>以下</w:t>
      </w:r>
      <w:r>
        <w:rPr>
          <w:rFonts w:eastAsiaTheme="minorEastAsia"/>
          <w:color w:val="000000" w:themeColor="text1"/>
          <w:szCs w:val="24"/>
        </w:rPr>
        <w:t>，或噪声影响人口数量</w:t>
      </w:r>
      <w:r>
        <w:rPr>
          <w:rFonts w:hint="eastAsia" w:eastAsiaTheme="minorEastAsia"/>
          <w:color w:val="000000" w:themeColor="text1"/>
          <w:szCs w:val="24"/>
        </w:rPr>
        <w:t>变化不大</w:t>
      </w:r>
      <w:r>
        <w:rPr>
          <w:rFonts w:eastAsiaTheme="minorEastAsia"/>
          <w:color w:val="000000" w:themeColor="text1"/>
          <w:szCs w:val="24"/>
        </w:rPr>
        <w:t>时，按三级评价”。项目区域范围内声环境执行《声环境质量标准》（GB3096-2008）3类区标准，确定本项目声环境影响评价级别为三级。</w:t>
      </w:r>
    </w:p>
    <w:p>
      <w:pPr>
        <w:pStyle w:val="134"/>
        <w:ind w:firstLine="482"/>
        <w:rPr>
          <w:rFonts w:eastAsiaTheme="minorEastAsia"/>
          <w:b/>
          <w:bCs/>
          <w:color w:val="000000" w:themeColor="text1"/>
          <w:szCs w:val="20"/>
        </w:rPr>
      </w:pPr>
      <w:r>
        <w:rPr>
          <w:rFonts w:eastAsiaTheme="minorEastAsia"/>
          <w:b/>
          <w:bCs/>
          <w:color w:val="000000" w:themeColor="text1"/>
          <w:szCs w:val="20"/>
        </w:rPr>
        <w:t>5、生态环境</w:t>
      </w:r>
    </w:p>
    <w:p>
      <w:pPr>
        <w:adjustRightInd w:val="0"/>
        <w:snapToGrid w:val="0"/>
        <w:ind w:firstLine="480"/>
        <w:rPr>
          <w:rFonts w:eastAsiaTheme="minorEastAsia"/>
          <w:color w:val="000000" w:themeColor="text1"/>
          <w:szCs w:val="24"/>
        </w:rPr>
      </w:pPr>
      <w:r>
        <w:rPr>
          <w:rFonts w:eastAsiaTheme="minorEastAsia"/>
          <w:color w:val="000000" w:themeColor="text1"/>
          <w:szCs w:val="24"/>
        </w:rPr>
        <w:t>本技改项目总用地面积15370m</w:t>
      </w:r>
      <w:r>
        <w:rPr>
          <w:rFonts w:eastAsiaTheme="minorEastAsia"/>
          <w:color w:val="000000" w:themeColor="text1"/>
          <w:szCs w:val="24"/>
          <w:vertAlign w:val="superscript"/>
        </w:rPr>
        <w:t>2</w:t>
      </w:r>
      <w:r>
        <w:rPr>
          <w:rFonts w:eastAsiaTheme="minorEastAsia"/>
          <w:color w:val="000000" w:themeColor="text1"/>
          <w:szCs w:val="24"/>
        </w:rPr>
        <w:t>＜2km</w:t>
      </w:r>
      <w:r>
        <w:rPr>
          <w:rFonts w:eastAsiaTheme="minorEastAsia"/>
          <w:color w:val="000000" w:themeColor="text1"/>
          <w:szCs w:val="24"/>
          <w:vertAlign w:val="superscript"/>
        </w:rPr>
        <w:t>2</w:t>
      </w:r>
      <w:r>
        <w:rPr>
          <w:rFonts w:eastAsiaTheme="minorEastAsia"/>
          <w:color w:val="000000" w:themeColor="text1"/>
          <w:szCs w:val="24"/>
        </w:rPr>
        <w:t>，</w:t>
      </w:r>
      <w:r>
        <w:rPr>
          <w:rStyle w:val="73"/>
          <w:color w:val="000000" w:themeColor="text1"/>
          <w:kern w:val="0"/>
          <w:sz w:val="24"/>
          <w:szCs w:val="24"/>
        </w:rPr>
        <w:t>不涉及</w:t>
      </w:r>
      <w:r>
        <w:rPr>
          <w:rStyle w:val="73"/>
          <w:rFonts w:hint="eastAsia"/>
          <w:color w:val="000000" w:themeColor="text1"/>
          <w:kern w:val="0"/>
          <w:sz w:val="24"/>
          <w:szCs w:val="24"/>
        </w:rPr>
        <w:t>新增</w:t>
      </w:r>
      <w:r>
        <w:rPr>
          <w:rStyle w:val="73"/>
          <w:color w:val="000000" w:themeColor="text1"/>
          <w:kern w:val="0"/>
          <w:sz w:val="24"/>
          <w:szCs w:val="24"/>
        </w:rPr>
        <w:t>占地，在原有项目场地内技改，</w:t>
      </w:r>
      <w:r>
        <w:rPr>
          <w:rFonts w:eastAsiaTheme="minorEastAsia"/>
          <w:color w:val="000000" w:themeColor="text1"/>
          <w:szCs w:val="24"/>
        </w:rPr>
        <w:t>所在地为工业</w:t>
      </w:r>
      <w:r>
        <w:rPr>
          <w:rFonts w:hint="eastAsia" w:eastAsiaTheme="minorEastAsia"/>
          <w:color w:val="000000" w:themeColor="text1"/>
          <w:szCs w:val="24"/>
        </w:rPr>
        <w:t>用地</w:t>
      </w:r>
      <w:r>
        <w:rPr>
          <w:rFonts w:eastAsiaTheme="minorEastAsia"/>
          <w:color w:val="000000" w:themeColor="text1"/>
          <w:szCs w:val="24"/>
        </w:rPr>
        <w:t>，无自然遗产、文化遗产、自然保护区、风景名胜区、水源保护地等特殊及重要生态敏感区，据调查所在区域无濒危野生动植物，属生态一般区域。依据《环境影响评价技术导则生态影响》（HJ19-2011）的规定，位于原厂界范围内的工业类改扩建项目，不设等级，简单分析。</w:t>
      </w:r>
    </w:p>
    <w:p>
      <w:pPr>
        <w:adjustRightInd w:val="0"/>
        <w:snapToGrid w:val="0"/>
        <w:ind w:firstLine="482"/>
        <w:rPr>
          <w:rFonts w:eastAsiaTheme="minorEastAsia"/>
          <w:b/>
          <w:bCs/>
          <w:color w:val="000000" w:themeColor="text1"/>
          <w:szCs w:val="24"/>
        </w:rPr>
      </w:pPr>
      <w:r>
        <w:rPr>
          <w:rFonts w:eastAsiaTheme="minorEastAsia"/>
          <w:b/>
          <w:bCs/>
          <w:color w:val="000000" w:themeColor="text1"/>
          <w:szCs w:val="24"/>
        </w:rPr>
        <w:t>6、土壤环境评价等级</w:t>
      </w:r>
    </w:p>
    <w:p>
      <w:pPr>
        <w:ind w:firstLine="480"/>
        <w:jc w:val="both"/>
        <w:rPr>
          <w:rFonts w:eastAsiaTheme="minorEastAsia"/>
          <w:color w:val="000000" w:themeColor="text1"/>
          <w:szCs w:val="24"/>
        </w:rPr>
      </w:pPr>
      <w:r>
        <w:rPr>
          <w:rFonts w:eastAsiaTheme="minorEastAsia"/>
          <w:color w:val="000000" w:themeColor="text1"/>
          <w:szCs w:val="24"/>
        </w:rPr>
        <w:t>本项目属于污染影响型，根据《环境影响评价技术导则土壤环境（试行）》（HJ964-2018），将污染影响型建设项目占地规模分为大型（≥50hm</w:t>
      </w:r>
      <w:r>
        <w:rPr>
          <w:rFonts w:eastAsiaTheme="minorEastAsia"/>
          <w:color w:val="000000" w:themeColor="text1"/>
          <w:szCs w:val="24"/>
          <w:vertAlign w:val="superscript"/>
        </w:rPr>
        <w:t>2</w:t>
      </w:r>
      <w:r>
        <w:rPr>
          <w:rFonts w:eastAsiaTheme="minorEastAsia"/>
          <w:color w:val="000000" w:themeColor="text1"/>
          <w:szCs w:val="24"/>
        </w:rPr>
        <w:t>）、中型（5~50hm</w:t>
      </w:r>
      <w:r>
        <w:rPr>
          <w:rFonts w:eastAsiaTheme="minorEastAsia"/>
          <w:color w:val="000000" w:themeColor="text1"/>
          <w:szCs w:val="24"/>
          <w:vertAlign w:val="superscript"/>
        </w:rPr>
        <w:t>2</w:t>
      </w:r>
      <w:r>
        <w:rPr>
          <w:rFonts w:eastAsiaTheme="minorEastAsia"/>
          <w:color w:val="000000" w:themeColor="text1"/>
          <w:szCs w:val="24"/>
        </w:rPr>
        <w:t>）、小型（≤5hm</w:t>
      </w:r>
      <w:r>
        <w:rPr>
          <w:rFonts w:eastAsiaTheme="minorEastAsia"/>
          <w:color w:val="000000" w:themeColor="text1"/>
          <w:szCs w:val="24"/>
          <w:vertAlign w:val="superscript"/>
        </w:rPr>
        <w:t>2</w:t>
      </w:r>
      <w:r>
        <w:rPr>
          <w:rFonts w:eastAsiaTheme="minorEastAsia"/>
          <w:color w:val="000000" w:themeColor="text1"/>
          <w:szCs w:val="24"/>
        </w:rPr>
        <w:t>），</w:t>
      </w:r>
      <w:r>
        <w:rPr>
          <w:rFonts w:eastAsiaTheme="minorEastAsia"/>
          <w:color w:val="000000" w:themeColor="text1"/>
        </w:rPr>
        <w:t>本项目</w:t>
      </w:r>
      <w:r>
        <w:rPr>
          <w:rFonts w:hint="eastAsia" w:eastAsiaTheme="minorEastAsia"/>
          <w:color w:val="000000" w:themeColor="text1"/>
        </w:rPr>
        <w:t>不新增占地，在原厂区内技改，选厂占地</w:t>
      </w:r>
      <w:r>
        <w:rPr>
          <w:rFonts w:eastAsiaTheme="minorEastAsia"/>
          <w:color w:val="000000" w:themeColor="text1"/>
        </w:rPr>
        <w:t>面积为15.37hm</w:t>
      </w:r>
      <w:r>
        <w:rPr>
          <w:rFonts w:eastAsiaTheme="minorEastAsia"/>
          <w:color w:val="000000" w:themeColor="text1"/>
          <w:vertAlign w:val="superscript"/>
        </w:rPr>
        <w:t>2</w:t>
      </w:r>
      <w:r>
        <w:rPr>
          <w:rFonts w:eastAsiaTheme="minorEastAsia"/>
          <w:color w:val="000000" w:themeColor="text1"/>
        </w:rPr>
        <w:t>，为中型项目</w:t>
      </w:r>
      <w:r>
        <w:rPr>
          <w:rFonts w:eastAsiaTheme="minorEastAsia"/>
          <w:color w:val="000000" w:themeColor="text1"/>
          <w:szCs w:val="24"/>
        </w:rPr>
        <w:t>。</w:t>
      </w:r>
    </w:p>
    <w:p>
      <w:pPr>
        <w:ind w:firstLine="480"/>
        <w:rPr>
          <w:rFonts w:eastAsiaTheme="minorEastAsia"/>
          <w:b/>
          <w:bCs/>
          <w:color w:val="000000" w:themeColor="text1"/>
          <w:sz w:val="21"/>
          <w:szCs w:val="21"/>
        </w:rPr>
      </w:pPr>
      <w:r>
        <w:rPr>
          <w:rFonts w:eastAsiaTheme="minorEastAsia"/>
          <w:color w:val="000000" w:themeColor="text1"/>
          <w:szCs w:val="24"/>
        </w:rPr>
        <w:t>建设项目所在地周边的土壤环境敏感程度分为敏感、较敏感、不敏感，判别依据见表1.5-6。</w:t>
      </w: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表1.5-6污染影响型敏感程度分级表</w:t>
      </w:r>
    </w:p>
    <w:tbl>
      <w:tblPr>
        <w:tblStyle w:val="61"/>
        <w:tblW w:w="853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7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125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敏感程度</w:t>
            </w:r>
          </w:p>
        </w:tc>
        <w:tc>
          <w:tcPr>
            <w:tcW w:w="7284"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125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敏感</w:t>
            </w:r>
          </w:p>
        </w:tc>
        <w:tc>
          <w:tcPr>
            <w:tcW w:w="7284" w:type="dxa"/>
            <w:vAlign w:val="center"/>
          </w:tcPr>
          <w:p>
            <w:pPr>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建设项目周边存在耕地、园地、牧草地、饮用水水源地或居民区、学校、医院、疗养院、养老院等土壤环境敏感目标的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125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较敏感</w:t>
            </w:r>
          </w:p>
        </w:tc>
        <w:tc>
          <w:tcPr>
            <w:tcW w:w="7284" w:type="dxa"/>
            <w:vAlign w:val="center"/>
          </w:tcPr>
          <w:p>
            <w:pPr>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jc w:val="center"/>
        </w:trPr>
        <w:tc>
          <w:tcPr>
            <w:tcW w:w="125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不敏感</w:t>
            </w:r>
          </w:p>
        </w:tc>
        <w:tc>
          <w:tcPr>
            <w:tcW w:w="7284" w:type="dxa"/>
            <w:vAlign w:val="center"/>
          </w:tcPr>
          <w:p>
            <w:pPr>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其他情况</w:t>
            </w:r>
          </w:p>
        </w:tc>
      </w:tr>
    </w:tbl>
    <w:p>
      <w:pPr>
        <w:ind w:firstLine="480"/>
        <w:rPr>
          <w:rFonts w:eastAsiaTheme="minorEastAsia"/>
          <w:color w:val="000000" w:themeColor="text1"/>
          <w:szCs w:val="24"/>
        </w:rPr>
      </w:pPr>
      <w:r>
        <w:rPr>
          <w:rFonts w:eastAsiaTheme="minorEastAsia"/>
          <w:color w:val="000000" w:themeColor="text1"/>
          <w:szCs w:val="24"/>
        </w:rPr>
        <w:t>根据土壤环境影响评价类别、占地规模与敏感程度划分评价工作等级，详见下表。</w:t>
      </w: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表1.5-7污染影响型评价工作等级划分表</w:t>
      </w:r>
    </w:p>
    <w:tbl>
      <w:tblPr>
        <w:tblStyle w:val="61"/>
        <w:tblW w:w="861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82"/>
        <w:gridCol w:w="693"/>
        <w:gridCol w:w="693"/>
        <w:gridCol w:w="693"/>
        <w:gridCol w:w="693"/>
        <w:gridCol w:w="693"/>
        <w:gridCol w:w="693"/>
        <w:gridCol w:w="693"/>
        <w:gridCol w:w="693"/>
        <w:gridCol w:w="6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5" w:hRule="atLeast"/>
          <w:jc w:val="center"/>
        </w:trPr>
        <w:tc>
          <w:tcPr>
            <w:tcW w:w="2382" w:type="dxa"/>
            <w:vMerge w:val="restart"/>
            <w:vAlign w:val="center"/>
          </w:tcPr>
          <w:p>
            <w:pPr>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mc:AlternateContent>
                <mc:Choice Requires="wps">
                  <w:drawing>
                    <wp:anchor distT="0" distB="0" distL="114300" distR="114300" simplePos="0" relativeHeight="251667456" behindDoc="0" locked="0" layoutInCell="1" allowOverlap="1">
                      <wp:simplePos x="0" y="0"/>
                      <wp:positionH relativeFrom="column">
                        <wp:posOffset>567055</wp:posOffset>
                      </wp:positionH>
                      <wp:positionV relativeFrom="paragraph">
                        <wp:posOffset>9525</wp:posOffset>
                      </wp:positionV>
                      <wp:extent cx="883920" cy="565785"/>
                      <wp:effectExtent l="2540" t="3810" r="8890" b="20955"/>
                      <wp:wrapNone/>
                      <wp:docPr id="5" name="直接连接符 5"/>
                      <wp:cNvGraphicFramePr/>
                      <a:graphic xmlns:a="http://schemas.openxmlformats.org/drawingml/2006/main">
                        <a:graphicData uri="http://schemas.microsoft.com/office/word/2010/wordprocessingShape">
                          <wps:wsp>
                            <wps:cNvCnPr/>
                            <wps:spPr>
                              <a:xfrm>
                                <a:off x="0" y="0"/>
                                <a:ext cx="883920" cy="565785"/>
                              </a:xfrm>
                              <a:prstGeom prst="line">
                                <a:avLst/>
                              </a:prstGeom>
                              <a:noFill/>
                              <a:ln w="9525" cap="flat" cmpd="sng" algn="ctr">
                                <a:solidFill>
                                  <a:srgbClr val="000000"/>
                                </a:solidFill>
                                <a:prstDash val="solid"/>
                              </a:ln>
                              <a:effectLst/>
                            </wps:spPr>
                            <wps:bodyPr/>
                          </wps:wsp>
                        </a:graphicData>
                      </a:graphic>
                    </wp:anchor>
                  </w:drawing>
                </mc:Choice>
                <mc:Fallback>
                  <w:pict>
                    <v:line id="_x0000_s1026" o:spid="_x0000_s1026" o:spt="20" style="position:absolute;left:0pt;margin-left:44.65pt;margin-top:0.75pt;height:44.55pt;width:69.6pt;z-index:251667456;mso-width-relative:page;mso-height-relative:page;" filled="f" stroked="t" coordsize="21600,21600" o:gfxdata="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JnqJvDVAAAABwEAAA8AAAAAAAAAAQAgAAAAIgAAAGRycy9kb3ducmV2&#10;LnhtbFBLAQIUABQAAAAIAIdO4kC7VbuCxgEAAF4DAAAOAAAAAAAAAAEAIAAAACQBAABkcnMvZTJv&#10;RG9jLnhtbFBLBQYAAAAABgAGAFkBAABcBQAAAAA=&#10;">
                      <v:fill on="f" focussize="0,0"/>
                      <v:stroke color="#000000" joinstyle="round"/>
                      <v:imagedata o:title=""/>
                      <o:lock v:ext="edit" aspectratio="f"/>
                    </v:line>
                  </w:pict>
                </mc:Fallback>
              </mc:AlternateContent>
            </w:r>
            <w:r>
              <w:rPr>
                <w:rFonts w:eastAsiaTheme="minorEastAsia"/>
                <w:color w:val="000000" w:themeColor="text1"/>
                <w:sz w:val="21"/>
                <w:szCs w:val="21"/>
              </w:rPr>
              <w:t>占地规模</w:t>
            </w:r>
          </w:p>
          <w:p>
            <w:pPr>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评价工作等级</w:t>
            </w:r>
          </w:p>
          <w:p>
            <w:pPr>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mc:AlternateContent>
                <mc:Choice Requires="wps">
                  <w:drawing>
                    <wp:anchor distT="0" distB="0" distL="114300" distR="114300" simplePos="0" relativeHeight="251668480" behindDoc="0" locked="0" layoutInCell="1" allowOverlap="1">
                      <wp:simplePos x="0" y="0"/>
                      <wp:positionH relativeFrom="column">
                        <wp:posOffset>-72390</wp:posOffset>
                      </wp:positionH>
                      <wp:positionV relativeFrom="paragraph">
                        <wp:posOffset>26035</wp:posOffset>
                      </wp:positionV>
                      <wp:extent cx="1518285" cy="300355"/>
                      <wp:effectExtent l="635" t="4445" r="5080" b="19050"/>
                      <wp:wrapNone/>
                      <wp:docPr id="10" name="直接连接符 11"/>
                      <wp:cNvGraphicFramePr/>
                      <a:graphic xmlns:a="http://schemas.openxmlformats.org/drawingml/2006/main">
                        <a:graphicData uri="http://schemas.microsoft.com/office/word/2010/wordprocessingShape">
                          <wps:wsp>
                            <wps:cNvCnPr/>
                            <wps:spPr>
                              <a:xfrm>
                                <a:off x="0" y="0"/>
                                <a:ext cx="1518541" cy="300251"/>
                              </a:xfrm>
                              <a:prstGeom prst="line">
                                <a:avLst/>
                              </a:prstGeom>
                              <a:noFill/>
                              <a:ln w="9525" cap="flat" cmpd="sng" algn="ctr">
                                <a:solidFill>
                                  <a:srgbClr val="000000"/>
                                </a:solidFill>
                                <a:prstDash val="solid"/>
                              </a:ln>
                              <a:effectLst/>
                            </wps:spPr>
                            <wps:bodyPr/>
                          </wps:wsp>
                        </a:graphicData>
                      </a:graphic>
                    </wp:anchor>
                  </w:drawing>
                </mc:Choice>
                <mc:Fallback>
                  <w:pict>
                    <v:line id="直接连接符 11" o:spid="_x0000_s1026" o:spt="20" style="position:absolute;left:0pt;margin-left:-5.7pt;margin-top:2.05pt;height:23.65pt;width:119.55pt;z-index:251668480;mso-width-relative:page;mso-height-relative:page;" filled="f" stroked="t" coordsize="21600,21600" o:gfxdata="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AKndo7WAAAACAEAAA8AAAAAAAAAAQAgAAAAIgAAAGRycy9kb3du&#10;cmV2LnhtbFBLAQIUABQAAAAIAIdO4kAlsObMyAEAAGEDAAAOAAAAAAAAAAEAIAAAACUBAABkcnMv&#10;ZTJvRG9jLnhtbFBLBQYAAAAABgAGAFkBAABfBQAAAAA=&#10;">
                      <v:fill on="f" focussize="0,0"/>
                      <v:stroke color="#000000" joinstyle="round"/>
                      <v:imagedata o:title=""/>
                      <o:lock v:ext="edit" aspectratio="f"/>
                    </v:line>
                  </w:pict>
                </mc:Fallback>
              </mc:AlternateContent>
            </w:r>
          </w:p>
          <w:p>
            <w:pPr>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敏感程度</w:t>
            </w:r>
          </w:p>
        </w:tc>
        <w:tc>
          <w:tcPr>
            <w:tcW w:w="2079" w:type="dxa"/>
            <w:gridSpan w:val="3"/>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fldChar w:fldCharType="begin"/>
            </w:r>
            <w:r>
              <w:rPr>
                <w:rFonts w:eastAsiaTheme="minorEastAsia"/>
                <w:color w:val="000000" w:themeColor="text1"/>
                <w:sz w:val="21"/>
                <w:szCs w:val="21"/>
              </w:rPr>
              <w:instrText xml:space="preserve"> = 1 \* ROMAN \* MERGEFORMAT </w:instrText>
            </w:r>
            <w:r>
              <w:rPr>
                <w:rFonts w:eastAsiaTheme="minorEastAsia"/>
                <w:color w:val="000000" w:themeColor="text1"/>
                <w:sz w:val="21"/>
                <w:szCs w:val="21"/>
              </w:rPr>
              <w:fldChar w:fldCharType="separate"/>
            </w:r>
            <w:r>
              <w:rPr>
                <w:rFonts w:eastAsiaTheme="minorEastAsia"/>
                <w:color w:val="000000" w:themeColor="text1"/>
                <w:sz w:val="21"/>
                <w:szCs w:val="21"/>
              </w:rPr>
              <w:t>I</w:t>
            </w:r>
            <w:r>
              <w:rPr>
                <w:rFonts w:eastAsiaTheme="minorEastAsia"/>
                <w:color w:val="000000" w:themeColor="text1"/>
                <w:sz w:val="21"/>
                <w:szCs w:val="21"/>
              </w:rPr>
              <w:fldChar w:fldCharType="end"/>
            </w:r>
            <w:r>
              <w:rPr>
                <w:rFonts w:eastAsiaTheme="minorEastAsia"/>
                <w:color w:val="000000" w:themeColor="text1"/>
                <w:sz w:val="21"/>
                <w:szCs w:val="21"/>
              </w:rPr>
              <w:t>类</w:t>
            </w:r>
          </w:p>
        </w:tc>
        <w:tc>
          <w:tcPr>
            <w:tcW w:w="2079" w:type="dxa"/>
            <w:gridSpan w:val="3"/>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fldChar w:fldCharType="begin"/>
            </w:r>
            <w:r>
              <w:rPr>
                <w:rFonts w:eastAsiaTheme="minorEastAsia"/>
                <w:color w:val="000000" w:themeColor="text1"/>
                <w:sz w:val="21"/>
                <w:szCs w:val="21"/>
              </w:rPr>
              <w:instrText xml:space="preserve"> = 2 \* ROMAN \* MERGEFORMAT </w:instrText>
            </w:r>
            <w:r>
              <w:rPr>
                <w:rFonts w:eastAsiaTheme="minorEastAsia"/>
                <w:color w:val="000000" w:themeColor="text1"/>
                <w:sz w:val="21"/>
                <w:szCs w:val="21"/>
              </w:rPr>
              <w:fldChar w:fldCharType="separate"/>
            </w:r>
            <w:r>
              <w:rPr>
                <w:rFonts w:eastAsiaTheme="minorEastAsia"/>
                <w:color w:val="000000" w:themeColor="text1"/>
                <w:sz w:val="21"/>
                <w:szCs w:val="21"/>
              </w:rPr>
              <w:t>II</w:t>
            </w:r>
            <w:r>
              <w:rPr>
                <w:rFonts w:eastAsiaTheme="minorEastAsia"/>
                <w:color w:val="000000" w:themeColor="text1"/>
                <w:sz w:val="21"/>
                <w:szCs w:val="21"/>
              </w:rPr>
              <w:fldChar w:fldCharType="end"/>
            </w:r>
            <w:r>
              <w:rPr>
                <w:rFonts w:eastAsiaTheme="minorEastAsia"/>
                <w:color w:val="000000" w:themeColor="text1"/>
                <w:sz w:val="21"/>
                <w:szCs w:val="21"/>
              </w:rPr>
              <w:t>类</w:t>
            </w:r>
          </w:p>
        </w:tc>
        <w:tc>
          <w:tcPr>
            <w:tcW w:w="2079" w:type="dxa"/>
            <w:gridSpan w:val="3"/>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fldChar w:fldCharType="begin"/>
            </w:r>
            <w:r>
              <w:rPr>
                <w:rFonts w:eastAsiaTheme="minorEastAsia"/>
                <w:color w:val="000000" w:themeColor="text1"/>
                <w:sz w:val="21"/>
                <w:szCs w:val="21"/>
              </w:rPr>
              <w:instrText xml:space="preserve"> = 3 \* ROMAN \* MERGEFORMAT </w:instrText>
            </w:r>
            <w:r>
              <w:rPr>
                <w:rFonts w:eastAsiaTheme="minorEastAsia"/>
                <w:color w:val="000000" w:themeColor="text1"/>
                <w:sz w:val="21"/>
                <w:szCs w:val="21"/>
              </w:rPr>
              <w:fldChar w:fldCharType="separate"/>
            </w:r>
            <w:r>
              <w:rPr>
                <w:rFonts w:eastAsiaTheme="minorEastAsia"/>
                <w:color w:val="000000" w:themeColor="text1"/>
                <w:sz w:val="21"/>
                <w:szCs w:val="21"/>
              </w:rPr>
              <w:t>III</w:t>
            </w:r>
            <w:r>
              <w:rPr>
                <w:rFonts w:eastAsiaTheme="minorEastAsia"/>
                <w:color w:val="000000" w:themeColor="text1"/>
                <w:sz w:val="21"/>
                <w:szCs w:val="21"/>
              </w:rPr>
              <w:fldChar w:fldCharType="end"/>
            </w:r>
            <w:r>
              <w:rPr>
                <w:rFonts w:eastAsiaTheme="minorEastAsia"/>
                <w:color w:val="000000" w:themeColor="text1"/>
                <w:sz w:val="21"/>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5" w:hRule="atLeast"/>
          <w:jc w:val="center"/>
        </w:trPr>
        <w:tc>
          <w:tcPr>
            <w:tcW w:w="2382" w:type="dxa"/>
            <w:vMerge w:val="continue"/>
            <w:vAlign w:val="center"/>
          </w:tcPr>
          <w:p>
            <w:pPr>
              <w:spacing w:line="240" w:lineRule="auto"/>
              <w:ind w:firstLine="420"/>
              <w:jc w:val="center"/>
              <w:rPr>
                <w:rFonts w:eastAsiaTheme="minorEastAsia"/>
                <w:color w:val="000000" w:themeColor="text1"/>
                <w:sz w:val="21"/>
                <w:szCs w:val="21"/>
              </w:rPr>
            </w:pP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中</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小</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中</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小</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中</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238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敏感</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238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较敏感</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238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不敏感</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69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619" w:type="dxa"/>
            <w:gridSpan w:val="10"/>
            <w:vAlign w:val="center"/>
          </w:tcPr>
          <w:p>
            <w:pPr>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注：“—”表示可不开展土壤环境影响评价工作。</w:t>
            </w:r>
          </w:p>
        </w:tc>
      </w:tr>
    </w:tbl>
    <w:p>
      <w:pPr>
        <w:adjustRightInd w:val="0"/>
        <w:snapToGrid w:val="0"/>
        <w:ind w:firstLine="480"/>
        <w:jc w:val="both"/>
        <w:rPr>
          <w:rFonts w:eastAsiaTheme="minorEastAsia"/>
          <w:color w:val="000000" w:themeColor="text1"/>
        </w:rPr>
      </w:pPr>
      <w:r>
        <w:rPr>
          <w:rFonts w:eastAsiaTheme="minorEastAsia"/>
          <w:color w:val="000000" w:themeColor="text1"/>
          <w:szCs w:val="24"/>
        </w:rPr>
        <w:t>根据《环境影响评价技术导则土壤环境（试行）》（HJ964-2018）表A.1，采矿业中“其他”为</w:t>
      </w:r>
      <w:r>
        <w:rPr>
          <w:color w:val="000000" w:themeColor="text1"/>
          <w:szCs w:val="24"/>
        </w:rPr>
        <w:t>Ⅲ</w:t>
      </w:r>
      <w:r>
        <w:rPr>
          <w:rFonts w:eastAsiaTheme="minorEastAsia"/>
          <w:color w:val="000000" w:themeColor="text1"/>
          <w:szCs w:val="24"/>
        </w:rPr>
        <w:t>类项目，根据“表1.5-6”，项目周边主要为建设用地，因此敏感程度为不敏感。结合“表1.5-7”，本项目土壤不设评价等级，</w:t>
      </w:r>
      <w:r>
        <w:rPr>
          <w:rFonts w:hint="eastAsia" w:eastAsiaTheme="minorEastAsia"/>
          <w:color w:val="000000" w:themeColor="text1"/>
          <w:szCs w:val="24"/>
        </w:rPr>
        <w:t>可不开展土壤评价</w:t>
      </w:r>
      <w:r>
        <w:rPr>
          <w:rFonts w:eastAsiaTheme="minorEastAsia"/>
          <w:color w:val="000000" w:themeColor="text1"/>
          <w:szCs w:val="24"/>
        </w:rPr>
        <w:t>。</w:t>
      </w:r>
    </w:p>
    <w:p>
      <w:pPr>
        <w:adjustRightInd w:val="0"/>
        <w:snapToGrid w:val="0"/>
        <w:ind w:firstLine="482"/>
        <w:rPr>
          <w:rFonts w:eastAsiaTheme="minorEastAsia"/>
          <w:b/>
          <w:bCs/>
          <w:color w:val="000000" w:themeColor="text1"/>
          <w:szCs w:val="20"/>
        </w:rPr>
      </w:pPr>
      <w:r>
        <w:rPr>
          <w:rFonts w:eastAsiaTheme="minorEastAsia"/>
          <w:b/>
          <w:bCs/>
          <w:color w:val="000000" w:themeColor="text1"/>
          <w:szCs w:val="20"/>
        </w:rPr>
        <w:t>7、环境风险</w:t>
      </w:r>
      <w:r>
        <w:rPr>
          <w:rFonts w:eastAsiaTheme="minorEastAsia"/>
          <w:b/>
          <w:bCs/>
          <w:color w:val="000000" w:themeColor="text1"/>
          <w:szCs w:val="24"/>
        </w:rPr>
        <w:t>评价等级</w:t>
      </w:r>
    </w:p>
    <w:p>
      <w:pPr>
        <w:ind w:firstLine="480"/>
        <w:rPr>
          <w:rStyle w:val="73"/>
          <w:color w:val="000000" w:themeColor="text1"/>
          <w:kern w:val="0"/>
          <w:sz w:val="24"/>
          <w:szCs w:val="24"/>
        </w:rPr>
      </w:pPr>
      <w:bookmarkStart w:id="329" w:name="_Toc465156847"/>
      <w:r>
        <w:rPr>
          <w:rFonts w:eastAsiaTheme="minorEastAsia"/>
          <w:color w:val="000000" w:themeColor="text1"/>
          <w:szCs w:val="24"/>
        </w:rPr>
        <w:t>根据《建设项目环境风险评价技术导则》（HJ169-2018）</w:t>
      </w:r>
      <w:r>
        <w:rPr>
          <w:rStyle w:val="73"/>
          <w:color w:val="000000" w:themeColor="text1"/>
          <w:kern w:val="0"/>
          <w:sz w:val="24"/>
          <w:szCs w:val="24"/>
        </w:rPr>
        <w:t>，该导则适用于涉及有毒有害和易燃易爆物质生产、使用、储存（包括使用管线输运）的建设项目可能发生的突发性事故（不包括认为破坏及自然灾害引发的事故）的环境风险评价，不适用于生态风险评价及核与辐射类建设项目的环境风险评价。</w:t>
      </w:r>
    </w:p>
    <w:p>
      <w:pPr>
        <w:ind w:firstLine="480"/>
        <w:rPr>
          <w:rStyle w:val="73"/>
          <w:rFonts w:eastAsiaTheme="minorEastAsia"/>
          <w:color w:val="000000" w:themeColor="text1"/>
          <w:kern w:val="0"/>
          <w:sz w:val="24"/>
          <w:szCs w:val="24"/>
        </w:rPr>
      </w:pPr>
      <w:r>
        <w:rPr>
          <w:rStyle w:val="73"/>
          <w:color w:val="000000" w:themeColor="text1"/>
          <w:kern w:val="0"/>
          <w:sz w:val="24"/>
          <w:szCs w:val="24"/>
        </w:rPr>
        <w:t>本项目尾矿库主要风险为尾矿库溃坝对下游河流、村庄、农田植被等的影响，属于生态风险，因此本项目尾矿库风险评价根据《尾矿库环境风险评估技术导则》（HJ740-2015）进行评价。选厂风险评价根据</w:t>
      </w:r>
      <w:r>
        <w:rPr>
          <w:rFonts w:eastAsiaTheme="minorEastAsia"/>
          <w:color w:val="000000" w:themeColor="text1"/>
          <w:szCs w:val="24"/>
        </w:rPr>
        <w:t>《建设项目环境风险评价技术导则》（HJ169-2018）进行评价。</w:t>
      </w:r>
    </w:p>
    <w:p>
      <w:pPr>
        <w:ind w:firstLine="480"/>
        <w:rPr>
          <w:rFonts w:eastAsiaTheme="minorEastAsia"/>
          <w:color w:val="000000" w:themeColor="text1"/>
        </w:rPr>
      </w:pPr>
      <w:r>
        <w:rPr>
          <w:rFonts w:eastAsiaTheme="minorEastAsia"/>
          <w:color w:val="000000" w:themeColor="text1"/>
        </w:rPr>
        <w:t>（1）选厂风险评价等级</w:t>
      </w:r>
    </w:p>
    <w:p>
      <w:pPr>
        <w:ind w:firstLine="480"/>
        <w:rPr>
          <w:rFonts w:eastAsiaTheme="minorEastAsia"/>
          <w:b/>
          <w:bCs/>
          <w:color w:val="000000" w:themeColor="text1"/>
          <w:sz w:val="21"/>
          <w:szCs w:val="21"/>
        </w:rPr>
      </w:pPr>
      <w:r>
        <w:rPr>
          <w:rFonts w:eastAsiaTheme="minorEastAsia"/>
          <w:color w:val="000000" w:themeColor="text1"/>
        </w:rPr>
        <w:t>根据《建设项目环境风险评价技术导则》（HJ169-2018）判别依据，见表1.5-8。</w:t>
      </w: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表1.5-8环境风险评价工作等级划分表</w:t>
      </w:r>
    </w:p>
    <w:tbl>
      <w:tblPr>
        <w:tblStyle w:val="61"/>
        <w:tblW w:w="853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6"/>
        <w:gridCol w:w="1708"/>
        <w:gridCol w:w="1707"/>
        <w:gridCol w:w="1707"/>
        <w:gridCol w:w="17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06"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环境风险潜势</w:t>
            </w:r>
          </w:p>
        </w:tc>
        <w:tc>
          <w:tcPr>
            <w:tcW w:w="1708"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IV、IV</w:t>
            </w:r>
            <w:r>
              <w:rPr>
                <w:rFonts w:eastAsiaTheme="minorEastAsia"/>
                <w:color w:val="000000" w:themeColor="text1"/>
                <w:sz w:val="21"/>
                <w:szCs w:val="21"/>
                <w:vertAlign w:val="superscript"/>
              </w:rPr>
              <w:t>+</w:t>
            </w:r>
          </w:p>
        </w:tc>
        <w:tc>
          <w:tcPr>
            <w:tcW w:w="1707"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III</w:t>
            </w:r>
          </w:p>
        </w:tc>
        <w:tc>
          <w:tcPr>
            <w:tcW w:w="1707"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II</w:t>
            </w:r>
          </w:p>
        </w:tc>
        <w:tc>
          <w:tcPr>
            <w:tcW w:w="1707"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06"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评价工作等级</w:t>
            </w:r>
          </w:p>
        </w:tc>
        <w:tc>
          <w:tcPr>
            <w:tcW w:w="1708"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一</w:t>
            </w:r>
          </w:p>
        </w:tc>
        <w:tc>
          <w:tcPr>
            <w:tcW w:w="1707"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二</w:t>
            </w:r>
          </w:p>
        </w:tc>
        <w:tc>
          <w:tcPr>
            <w:tcW w:w="1707"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三</w:t>
            </w:r>
          </w:p>
        </w:tc>
        <w:tc>
          <w:tcPr>
            <w:tcW w:w="1707"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8535" w:type="dxa"/>
            <w:gridSpan w:val="5"/>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*是相对于详细评价工作内容而言，在描述危险物质、环境影响途径、环境危害后果、风险防范措施等方面给出定性的说明</w:t>
            </w:r>
          </w:p>
        </w:tc>
      </w:tr>
    </w:tbl>
    <w:p>
      <w:pPr>
        <w:adjustRightInd w:val="0"/>
        <w:snapToGrid w:val="0"/>
        <w:ind w:firstLine="439" w:firstLineChars="183"/>
        <w:rPr>
          <w:rFonts w:eastAsiaTheme="minorEastAsia"/>
          <w:color w:val="000000" w:themeColor="text1"/>
        </w:rPr>
      </w:pPr>
      <w:r>
        <w:rPr>
          <w:rFonts w:eastAsiaTheme="minorEastAsia"/>
          <w:color w:val="000000" w:themeColor="text1"/>
        </w:rPr>
        <w:t>根据《建设项目环境风险评价技术导则》（HJ169-2018）环境风险潜势划分为Ⅰ、Ⅱ、Ⅲ、Ⅳ/Ⅳ</w:t>
      </w:r>
      <w:r>
        <w:rPr>
          <w:rFonts w:eastAsiaTheme="minorEastAsia"/>
          <w:color w:val="000000" w:themeColor="text1"/>
          <w:vertAlign w:val="superscript"/>
        </w:rPr>
        <w:t>+</w:t>
      </w:r>
      <w:r>
        <w:rPr>
          <w:rFonts w:eastAsiaTheme="minorEastAsia"/>
          <w:color w:val="000000" w:themeColor="text1"/>
        </w:rPr>
        <w:t>级。环境风险潜势划分依据见表1.5-9。</w:t>
      </w: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表1.5-9建设项目环境风险潜势划分表</w:t>
      </w:r>
    </w:p>
    <w:tbl>
      <w:tblPr>
        <w:tblStyle w:val="61"/>
        <w:tblW w:w="85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2"/>
        <w:gridCol w:w="1612"/>
        <w:gridCol w:w="1612"/>
        <w:gridCol w:w="1612"/>
        <w:gridCol w:w="1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72" w:type="dxa"/>
            <w:vMerge w:val="restart"/>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环境敏感程度（E）</w:t>
            </w:r>
          </w:p>
        </w:tc>
        <w:tc>
          <w:tcPr>
            <w:tcW w:w="6448" w:type="dxa"/>
            <w:gridSpan w:val="4"/>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72" w:type="dxa"/>
            <w:vMerge w:val="continue"/>
            <w:vAlign w:val="center"/>
          </w:tcPr>
          <w:p>
            <w:pPr>
              <w:widowControl/>
              <w:spacing w:line="240" w:lineRule="auto"/>
              <w:ind w:firstLine="420"/>
              <w:jc w:val="center"/>
              <w:rPr>
                <w:rFonts w:eastAsiaTheme="minorEastAsia"/>
                <w:color w:val="000000" w:themeColor="text1"/>
                <w:sz w:val="21"/>
                <w:szCs w:val="21"/>
              </w:rPr>
            </w:pP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极高危害（P1）</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极高危害（P2）</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极高危害（P3）</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极高危害（P4）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7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环境高度敏感区（E1）</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Ⅳ</w:t>
            </w:r>
            <w:r>
              <w:rPr>
                <w:rFonts w:eastAsiaTheme="minorEastAsia"/>
                <w:color w:val="000000" w:themeColor="text1"/>
                <w:sz w:val="21"/>
                <w:szCs w:val="21"/>
                <w:vertAlign w:val="superscript"/>
              </w:rPr>
              <w:t>+</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Ⅳ</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Ⅲ</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7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环境中度敏感区（E2）</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Ⅳ</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Ⅲ</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Ⅲ</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07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环境低度敏感区（E3）</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Ⅲ</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Ⅲ</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Ⅱ</w:t>
            </w:r>
          </w:p>
        </w:tc>
        <w:tc>
          <w:tcPr>
            <w:tcW w:w="1612"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520" w:type="dxa"/>
            <w:gridSpan w:val="5"/>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注：Ⅳ</w:t>
            </w:r>
            <w:r>
              <w:rPr>
                <w:rFonts w:eastAsiaTheme="minorEastAsia"/>
                <w:color w:val="000000" w:themeColor="text1"/>
                <w:sz w:val="21"/>
                <w:szCs w:val="21"/>
                <w:vertAlign w:val="superscript"/>
              </w:rPr>
              <w:t>+</w:t>
            </w:r>
            <w:r>
              <w:rPr>
                <w:rFonts w:eastAsiaTheme="minorEastAsia"/>
                <w:color w:val="000000" w:themeColor="text1"/>
                <w:sz w:val="21"/>
                <w:szCs w:val="21"/>
              </w:rPr>
              <w:t>极高环境风险</w:t>
            </w:r>
          </w:p>
        </w:tc>
      </w:tr>
    </w:tbl>
    <w:p>
      <w:pPr>
        <w:ind w:firstLine="480"/>
        <w:rPr>
          <w:rFonts w:eastAsiaTheme="minorEastAsia"/>
          <w:bCs/>
          <w:color w:val="000000" w:themeColor="text1"/>
          <w:szCs w:val="21"/>
        </w:rPr>
      </w:pPr>
      <w:r>
        <w:rPr>
          <w:rFonts w:eastAsiaTheme="minorEastAsia"/>
          <w:bCs/>
          <w:color w:val="000000" w:themeColor="text1"/>
          <w:szCs w:val="21"/>
        </w:rPr>
        <w:t>①Q值判定</w:t>
      </w:r>
    </w:p>
    <w:p>
      <w:pPr>
        <w:ind w:firstLine="480"/>
        <w:rPr>
          <w:rFonts w:eastAsiaTheme="minorEastAsia"/>
          <w:bCs/>
          <w:color w:val="000000" w:themeColor="text1"/>
          <w:szCs w:val="21"/>
        </w:rPr>
      </w:pPr>
      <w:r>
        <w:rPr>
          <w:rFonts w:eastAsiaTheme="minorEastAsia"/>
          <w:bCs/>
          <w:color w:val="000000" w:themeColor="text1"/>
          <w:szCs w:val="21"/>
        </w:rPr>
        <w:t>根据《建设项目环境风险评价技术导则》（HJ169-2018）附录C，危险物质数量与临界量的比值（Q）如下：</w:t>
      </w:r>
    </w:p>
    <w:p>
      <w:pPr>
        <w:adjustRightInd w:val="0"/>
        <w:snapToGrid w:val="0"/>
        <w:ind w:firstLine="439" w:firstLineChars="183"/>
        <w:rPr>
          <w:rFonts w:eastAsiaTheme="minorEastAsia"/>
          <w:bCs/>
          <w:color w:val="000000" w:themeColor="text1"/>
          <w:szCs w:val="21"/>
        </w:rPr>
      </w:pPr>
      <w:r>
        <w:rPr>
          <w:rFonts w:eastAsiaTheme="minorEastAsia"/>
          <w:bCs/>
          <w:color w:val="000000" w:themeColor="text1"/>
          <w:szCs w:val="21"/>
        </w:rPr>
        <w:t>当只涉及一种危险物质时，计算该物质总量与临界量的比值，即为Q；</w:t>
      </w:r>
    </w:p>
    <w:p>
      <w:pPr>
        <w:adjustRightInd w:val="0"/>
        <w:snapToGrid w:val="0"/>
        <w:ind w:firstLine="439" w:firstLineChars="183"/>
        <w:rPr>
          <w:rFonts w:eastAsiaTheme="minorEastAsia"/>
          <w:bCs/>
          <w:color w:val="000000" w:themeColor="text1"/>
          <w:szCs w:val="21"/>
        </w:rPr>
      </w:pPr>
      <w:r>
        <w:rPr>
          <w:rFonts w:eastAsiaTheme="minorEastAsia"/>
          <w:bCs/>
          <w:color w:val="000000" w:themeColor="text1"/>
          <w:szCs w:val="21"/>
        </w:rPr>
        <w:t>当存在多种危险物质时，按照下列公示计算物质总量与临界量的比值（Q）；</w:t>
      </w:r>
    </w:p>
    <w:p>
      <w:pPr>
        <w:adjustRightInd w:val="0"/>
        <w:snapToGrid w:val="0"/>
        <w:ind w:firstLine="439" w:firstLineChars="183"/>
        <w:jc w:val="center"/>
        <w:rPr>
          <w:rFonts w:eastAsiaTheme="minorEastAsia"/>
          <w:color w:val="000000" w:themeColor="text1"/>
        </w:rPr>
      </w:pPr>
      <w:r>
        <w:rPr>
          <w:rFonts w:eastAsiaTheme="minorEastAsia"/>
          <w:color w:val="000000" w:themeColor="text1"/>
        </w:rPr>
        <w:drawing>
          <wp:inline distT="0" distB="0" distL="0" distR="0">
            <wp:extent cx="1962150" cy="56197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1962150" cy="561975"/>
                    </a:xfrm>
                    <a:prstGeom prst="rect">
                      <a:avLst/>
                    </a:prstGeom>
                    <a:noFill/>
                    <a:ln>
                      <a:noFill/>
                    </a:ln>
                  </pic:spPr>
                </pic:pic>
              </a:graphicData>
            </a:graphic>
          </wp:inline>
        </w:drawing>
      </w:r>
    </w:p>
    <w:p>
      <w:pPr>
        <w:ind w:firstLine="480"/>
        <w:rPr>
          <w:rFonts w:eastAsiaTheme="minorEastAsia"/>
          <w:color w:val="000000" w:themeColor="text1"/>
          <w:szCs w:val="24"/>
        </w:rPr>
      </w:pPr>
      <w:r>
        <w:rPr>
          <w:rFonts w:eastAsiaTheme="minorEastAsia"/>
          <w:color w:val="000000" w:themeColor="text1"/>
          <w:szCs w:val="24"/>
        </w:rPr>
        <w:t>式中：q</w:t>
      </w:r>
      <w:r>
        <w:rPr>
          <w:rFonts w:eastAsiaTheme="minorEastAsia"/>
          <w:color w:val="000000" w:themeColor="text1"/>
          <w:szCs w:val="24"/>
          <w:vertAlign w:val="subscript"/>
        </w:rPr>
        <w:t>1</w:t>
      </w:r>
      <w:r>
        <w:rPr>
          <w:rFonts w:eastAsiaTheme="minorEastAsia"/>
          <w:color w:val="000000" w:themeColor="text1"/>
          <w:szCs w:val="24"/>
        </w:rPr>
        <w:t>、q</w:t>
      </w:r>
      <w:r>
        <w:rPr>
          <w:rFonts w:eastAsiaTheme="minorEastAsia"/>
          <w:color w:val="000000" w:themeColor="text1"/>
          <w:szCs w:val="24"/>
          <w:vertAlign w:val="subscript"/>
        </w:rPr>
        <w:t>2</w:t>
      </w:r>
      <w:r>
        <w:rPr>
          <w:rFonts w:eastAsiaTheme="minorEastAsia"/>
          <w:color w:val="000000" w:themeColor="text1"/>
          <w:szCs w:val="24"/>
        </w:rPr>
        <w:t>····q</w:t>
      </w:r>
      <w:r>
        <w:rPr>
          <w:rFonts w:eastAsiaTheme="minorEastAsia"/>
          <w:color w:val="000000" w:themeColor="text1"/>
          <w:szCs w:val="24"/>
          <w:vertAlign w:val="subscript"/>
        </w:rPr>
        <w:t>n</w:t>
      </w:r>
      <w:r>
        <w:rPr>
          <w:rFonts w:eastAsiaTheme="minorEastAsia"/>
          <w:color w:val="000000" w:themeColor="text1"/>
          <w:szCs w:val="24"/>
        </w:rPr>
        <w:t>—每种危险物质最大存在总量（t）。</w:t>
      </w:r>
    </w:p>
    <w:p>
      <w:pPr>
        <w:adjustRightInd w:val="0"/>
        <w:snapToGrid w:val="0"/>
        <w:ind w:firstLine="480"/>
        <w:rPr>
          <w:rFonts w:eastAsiaTheme="minorEastAsia"/>
          <w:color w:val="000000" w:themeColor="text1"/>
          <w:szCs w:val="24"/>
        </w:rPr>
      </w:pPr>
      <w:r>
        <w:rPr>
          <w:rFonts w:eastAsiaTheme="minorEastAsia"/>
          <w:color w:val="000000" w:themeColor="text1"/>
          <w:szCs w:val="24"/>
        </w:rPr>
        <w:t>Q</w:t>
      </w:r>
      <w:r>
        <w:rPr>
          <w:rFonts w:eastAsiaTheme="minorEastAsia"/>
          <w:color w:val="000000" w:themeColor="text1"/>
          <w:szCs w:val="24"/>
          <w:vertAlign w:val="subscript"/>
        </w:rPr>
        <w:t>1</w:t>
      </w:r>
      <w:r>
        <w:rPr>
          <w:rFonts w:eastAsiaTheme="minorEastAsia"/>
          <w:color w:val="000000" w:themeColor="text1"/>
          <w:szCs w:val="24"/>
        </w:rPr>
        <w:t>、Q</w:t>
      </w:r>
      <w:r>
        <w:rPr>
          <w:rFonts w:eastAsiaTheme="minorEastAsia"/>
          <w:color w:val="000000" w:themeColor="text1"/>
          <w:szCs w:val="24"/>
          <w:vertAlign w:val="subscript"/>
        </w:rPr>
        <w:t>2</w:t>
      </w:r>
      <w:r>
        <w:rPr>
          <w:rFonts w:eastAsiaTheme="minorEastAsia"/>
          <w:color w:val="000000" w:themeColor="text1"/>
          <w:szCs w:val="24"/>
        </w:rPr>
        <w:t>····Q</w:t>
      </w:r>
      <w:r>
        <w:rPr>
          <w:rFonts w:eastAsiaTheme="minorEastAsia"/>
          <w:color w:val="000000" w:themeColor="text1"/>
          <w:szCs w:val="24"/>
          <w:vertAlign w:val="subscript"/>
        </w:rPr>
        <w:t>n</w:t>
      </w:r>
      <w:r>
        <w:rPr>
          <w:rFonts w:eastAsiaTheme="minorEastAsia"/>
          <w:color w:val="000000" w:themeColor="text1"/>
          <w:szCs w:val="24"/>
        </w:rPr>
        <w:t>—每种物质的临界量（t）。</w:t>
      </w:r>
    </w:p>
    <w:p>
      <w:pPr>
        <w:adjustRightInd w:val="0"/>
        <w:snapToGrid w:val="0"/>
        <w:ind w:firstLine="1080" w:firstLineChars="450"/>
        <w:rPr>
          <w:rFonts w:eastAsiaTheme="minorEastAsia"/>
          <w:color w:val="000000" w:themeColor="text1"/>
          <w:szCs w:val="24"/>
        </w:rPr>
      </w:pPr>
      <w:r>
        <w:rPr>
          <w:rFonts w:eastAsiaTheme="minorEastAsia"/>
          <w:color w:val="000000" w:themeColor="text1"/>
          <w:szCs w:val="24"/>
        </w:rPr>
        <w:t>当＜1时，该项目环境风险潜势划为Ⅰ。</w:t>
      </w:r>
    </w:p>
    <w:p>
      <w:pPr>
        <w:adjustRightInd w:val="0"/>
        <w:snapToGrid w:val="0"/>
        <w:ind w:firstLine="1080" w:firstLineChars="450"/>
        <w:rPr>
          <w:rFonts w:eastAsiaTheme="minorEastAsia"/>
          <w:color w:val="000000" w:themeColor="text1"/>
          <w:szCs w:val="24"/>
        </w:rPr>
      </w:pPr>
      <w:r>
        <w:rPr>
          <w:rFonts w:eastAsiaTheme="minorEastAsia"/>
          <w:color w:val="000000" w:themeColor="text1"/>
          <w:szCs w:val="24"/>
        </w:rPr>
        <w:t>当Q≥1时，将Q值划分为：（1）1≤Q＜10；（2）10≤Q＜100；（2）Q≥100。</w:t>
      </w:r>
    </w:p>
    <w:p>
      <w:pPr>
        <w:ind w:firstLine="480"/>
        <w:rPr>
          <w:rFonts w:eastAsiaTheme="minorEastAsia"/>
          <w:color w:val="000000" w:themeColor="text1"/>
          <w:szCs w:val="24"/>
        </w:rPr>
      </w:pPr>
      <w:r>
        <w:rPr>
          <w:rFonts w:eastAsiaTheme="minorEastAsia"/>
          <w:color w:val="000000" w:themeColor="text1"/>
          <w:szCs w:val="24"/>
        </w:rPr>
        <w:t>本项目风险物质为生产废水和废机油，生产废水无临界量，废机油临界量为2500t，废机油最大储存量为0.2t，所以Q值为0.00008。</w:t>
      </w:r>
    </w:p>
    <w:p>
      <w:pPr>
        <w:ind w:firstLine="480"/>
        <w:rPr>
          <w:rFonts w:eastAsiaTheme="minorEastAsia"/>
          <w:color w:val="000000" w:themeColor="text1"/>
          <w:szCs w:val="24"/>
        </w:rPr>
      </w:pPr>
      <w:r>
        <w:rPr>
          <w:rFonts w:eastAsiaTheme="minorEastAsia"/>
          <w:color w:val="000000" w:themeColor="text1"/>
          <w:szCs w:val="24"/>
        </w:rPr>
        <w:t>②M值判定</w:t>
      </w:r>
    </w:p>
    <w:p>
      <w:pPr>
        <w:ind w:firstLine="480"/>
        <w:rPr>
          <w:rFonts w:eastAsiaTheme="minorEastAsia"/>
          <w:color w:val="000000" w:themeColor="text1"/>
          <w:szCs w:val="24"/>
        </w:rPr>
      </w:pPr>
      <w:r>
        <w:rPr>
          <w:rFonts w:eastAsiaTheme="minorEastAsia"/>
          <w:color w:val="000000" w:themeColor="text1"/>
          <w:szCs w:val="24"/>
        </w:rPr>
        <w:t>对照《建设项目环境风险评价技术导则》（HJ169-2018）附录C，行业及生产工艺M见表1.5-10。</w:t>
      </w: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表1.5-10行业及生产工艺（M）</w:t>
      </w:r>
    </w:p>
    <w:tbl>
      <w:tblPr>
        <w:tblStyle w:val="61"/>
        <w:tblW w:w="853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1"/>
        <w:gridCol w:w="5376"/>
        <w:gridCol w:w="1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041"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行业</w:t>
            </w:r>
          </w:p>
        </w:tc>
        <w:tc>
          <w:tcPr>
            <w:tcW w:w="5376"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评估依据</w:t>
            </w:r>
          </w:p>
        </w:tc>
        <w:tc>
          <w:tcPr>
            <w:tcW w:w="1118"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041" w:type="dxa"/>
            <w:vMerge w:val="restart"/>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石化、化工、医药、轻工、化纤、有色冶炼等</w:t>
            </w:r>
          </w:p>
        </w:tc>
        <w:tc>
          <w:tcPr>
            <w:tcW w:w="5376"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1118"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10/套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041" w:type="dxa"/>
            <w:vMerge w:val="continue"/>
            <w:vAlign w:val="center"/>
          </w:tcPr>
          <w:p>
            <w:pPr>
              <w:widowControl/>
              <w:ind w:firstLine="420"/>
              <w:rPr>
                <w:rFonts w:eastAsiaTheme="minorEastAsia"/>
                <w:color w:val="000000" w:themeColor="text1"/>
                <w:sz w:val="21"/>
                <w:szCs w:val="21"/>
              </w:rPr>
            </w:pPr>
          </w:p>
        </w:tc>
        <w:tc>
          <w:tcPr>
            <w:tcW w:w="5376"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无机酸制酸工艺、焦化工艺</w:t>
            </w:r>
          </w:p>
        </w:tc>
        <w:tc>
          <w:tcPr>
            <w:tcW w:w="1118"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5/套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041" w:type="dxa"/>
            <w:vMerge w:val="continue"/>
            <w:vAlign w:val="center"/>
          </w:tcPr>
          <w:p>
            <w:pPr>
              <w:widowControl/>
              <w:ind w:firstLine="420"/>
              <w:rPr>
                <w:rFonts w:eastAsiaTheme="minorEastAsia"/>
                <w:color w:val="000000" w:themeColor="text1"/>
                <w:sz w:val="21"/>
                <w:szCs w:val="21"/>
              </w:rPr>
            </w:pPr>
          </w:p>
        </w:tc>
        <w:tc>
          <w:tcPr>
            <w:tcW w:w="5376"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其他高温或高压，且涉及危险物质的工艺过</w:t>
            </w:r>
            <w:r>
              <w:rPr>
                <w:rFonts w:eastAsiaTheme="minorEastAsia"/>
                <w:color w:val="000000" w:themeColor="text1"/>
                <w:sz w:val="21"/>
                <w:szCs w:val="21"/>
                <w:vertAlign w:val="superscript"/>
              </w:rPr>
              <w:t>a</w:t>
            </w:r>
            <w:r>
              <w:rPr>
                <w:rFonts w:eastAsiaTheme="minorEastAsia"/>
                <w:color w:val="000000" w:themeColor="text1"/>
                <w:sz w:val="21"/>
                <w:szCs w:val="21"/>
              </w:rPr>
              <w:t>、危险物质贮存罐区</w:t>
            </w:r>
          </w:p>
        </w:tc>
        <w:tc>
          <w:tcPr>
            <w:tcW w:w="1118"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5/套（罐区）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041"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管道、港口/码头等</w:t>
            </w:r>
          </w:p>
        </w:tc>
        <w:tc>
          <w:tcPr>
            <w:tcW w:w="5376"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涉及危险物质管道运输项目、港口/码头等</w:t>
            </w:r>
          </w:p>
        </w:tc>
        <w:tc>
          <w:tcPr>
            <w:tcW w:w="1118"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00" w:hRule="atLeast"/>
          <w:jc w:val="center"/>
        </w:trPr>
        <w:tc>
          <w:tcPr>
            <w:tcW w:w="2041"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石油天然气</w:t>
            </w:r>
          </w:p>
        </w:tc>
        <w:tc>
          <w:tcPr>
            <w:tcW w:w="5376"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石油、天然气、页岩气开采（含净化），气库（不含加气站的气库），油库（不含加气站的油库）、油气管线</w:t>
            </w:r>
            <w:r>
              <w:rPr>
                <w:rFonts w:eastAsiaTheme="minorEastAsia"/>
                <w:color w:val="000000" w:themeColor="text1"/>
                <w:sz w:val="21"/>
                <w:szCs w:val="21"/>
                <w:vertAlign w:val="superscript"/>
              </w:rPr>
              <w:t>b</w:t>
            </w:r>
            <w:r>
              <w:rPr>
                <w:rFonts w:eastAsiaTheme="minorEastAsia"/>
                <w:color w:val="000000" w:themeColor="text1"/>
                <w:sz w:val="21"/>
                <w:szCs w:val="21"/>
              </w:rPr>
              <w:t>（不含城镇燃气管线）</w:t>
            </w:r>
          </w:p>
        </w:tc>
        <w:tc>
          <w:tcPr>
            <w:tcW w:w="1118"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041"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其他</w:t>
            </w:r>
          </w:p>
        </w:tc>
        <w:tc>
          <w:tcPr>
            <w:tcW w:w="5376"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涉及危险物质使用、贮存的项目</w:t>
            </w:r>
          </w:p>
        </w:tc>
        <w:tc>
          <w:tcPr>
            <w:tcW w:w="1118"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8535" w:type="dxa"/>
            <w:gridSpan w:val="3"/>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a高温指工艺温度≥300℃，高压指压力容器的设计压力（P）≥10.0MPa；</w:t>
            </w:r>
          </w:p>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b长输管道运输项目应按站场、管线分段进行评价。</w:t>
            </w:r>
          </w:p>
        </w:tc>
      </w:tr>
    </w:tbl>
    <w:p>
      <w:pPr>
        <w:ind w:firstLine="480"/>
        <w:rPr>
          <w:rFonts w:eastAsiaTheme="minorEastAsia"/>
          <w:color w:val="000000" w:themeColor="text1"/>
          <w:szCs w:val="24"/>
        </w:rPr>
      </w:pPr>
      <w:r>
        <w:rPr>
          <w:rFonts w:eastAsiaTheme="minorEastAsia"/>
          <w:color w:val="000000" w:themeColor="text1"/>
          <w:szCs w:val="24"/>
        </w:rPr>
        <w:t>具有多套工艺单元的项目，对每套生产工艺分别评分并求和。将M划分为（1）M＞20；（2）10＜M≤20；（3）5＜M≤10；（4）M=5，分别以M1、M2、M3和M4表示。本项目不涉及以上风险工艺，所以M值为0。</w:t>
      </w:r>
    </w:p>
    <w:p>
      <w:pPr>
        <w:adjustRightInd w:val="0"/>
        <w:snapToGrid w:val="0"/>
        <w:ind w:firstLine="480"/>
        <w:rPr>
          <w:rFonts w:eastAsiaTheme="minorEastAsia"/>
          <w:color w:val="000000" w:themeColor="text1"/>
          <w:szCs w:val="24"/>
        </w:rPr>
      </w:pPr>
      <w:r>
        <w:rPr>
          <w:color w:val="000000" w:themeColor="text1"/>
          <w:szCs w:val="24"/>
        </w:rPr>
        <w:t>③</w:t>
      </w:r>
      <w:r>
        <w:rPr>
          <w:rFonts w:eastAsiaTheme="minorEastAsia"/>
          <w:color w:val="000000" w:themeColor="text1"/>
          <w:szCs w:val="24"/>
        </w:rPr>
        <w:t>E级判定</w:t>
      </w:r>
    </w:p>
    <w:p>
      <w:pPr>
        <w:pStyle w:val="618"/>
        <w:numPr>
          <w:ilvl w:val="0"/>
          <w:numId w:val="24"/>
        </w:numPr>
        <w:ind w:left="0" w:firstLine="482"/>
        <w:rPr>
          <w:rFonts w:eastAsiaTheme="minorEastAsia"/>
          <w:b/>
          <w:color w:val="000000" w:themeColor="text1"/>
          <w:szCs w:val="24"/>
        </w:rPr>
      </w:pPr>
      <w:r>
        <w:rPr>
          <w:rFonts w:eastAsiaTheme="minorEastAsia"/>
          <w:b/>
          <w:color w:val="000000" w:themeColor="text1"/>
          <w:szCs w:val="24"/>
        </w:rPr>
        <w:t>大气环境</w:t>
      </w:r>
    </w:p>
    <w:p>
      <w:pPr>
        <w:ind w:firstLine="480"/>
        <w:rPr>
          <w:rFonts w:eastAsiaTheme="minorEastAsia"/>
          <w:b/>
          <w:bCs/>
          <w:color w:val="000000" w:themeColor="text1"/>
          <w:sz w:val="21"/>
          <w:szCs w:val="21"/>
        </w:rPr>
      </w:pPr>
      <w:r>
        <w:rPr>
          <w:rFonts w:eastAsiaTheme="minorEastAsia"/>
          <w:color w:val="000000" w:themeColor="text1"/>
          <w:szCs w:val="24"/>
        </w:rPr>
        <w:t>对照根据《建设项目环境风险评价技术导则》（HJ169-2018）附录D，依据环境敏感目标环境敏感性及人口密度划分环境风险受体的敏感性，共分为三种类型，E1为环境高度敏感区，E2为环境中度敏感区，E3为环境低度敏感区，分级原则见表1.5-11。</w:t>
      </w: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表1.5-11大气环境敏感程度分级（E）</w:t>
      </w:r>
    </w:p>
    <w:tbl>
      <w:tblPr>
        <w:tblStyle w:val="61"/>
        <w:tblW w:w="853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7"/>
        <w:gridCol w:w="74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atLeast"/>
          <w:jc w:val="center"/>
        </w:trPr>
        <w:tc>
          <w:tcPr>
            <w:tcW w:w="1077"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分级</w:t>
            </w:r>
          </w:p>
        </w:tc>
        <w:tc>
          <w:tcPr>
            <w:tcW w:w="7458"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大气环境敏感性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61" w:hRule="atLeast"/>
          <w:jc w:val="center"/>
        </w:trPr>
        <w:tc>
          <w:tcPr>
            <w:tcW w:w="1077"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E1</w:t>
            </w:r>
          </w:p>
        </w:tc>
        <w:tc>
          <w:tcPr>
            <w:tcW w:w="7458"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61" w:hRule="atLeast"/>
          <w:jc w:val="center"/>
        </w:trPr>
        <w:tc>
          <w:tcPr>
            <w:tcW w:w="1077"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E2</w:t>
            </w:r>
          </w:p>
        </w:tc>
        <w:tc>
          <w:tcPr>
            <w:tcW w:w="7458"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周边5km范围内居住区、医疗卫生、文化教育、科研、行政办公等机构人口总数大于1万人，小于5万人；或周边500m范围内人口总数大于500人，小于1000人；油气、化学品输送管线管段周边200m范围内，每千米管段人口数大于100人，小于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61" w:hRule="atLeast"/>
          <w:jc w:val="center"/>
        </w:trPr>
        <w:tc>
          <w:tcPr>
            <w:tcW w:w="1077"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E3</w:t>
            </w:r>
          </w:p>
        </w:tc>
        <w:tc>
          <w:tcPr>
            <w:tcW w:w="7458"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周边5km范围内居住区、医疗卫生、文化教育、科研、行政办公等机构人口总数小于1万人；或周边500m范围内人口总数小于500人；油气、化学品输送管线管段周边200m范围内，每千米管段人口数小于100人</w:t>
            </w:r>
          </w:p>
        </w:tc>
      </w:tr>
    </w:tbl>
    <w:p>
      <w:pPr>
        <w:snapToGrid w:val="0"/>
        <w:ind w:firstLine="480"/>
        <w:rPr>
          <w:rFonts w:eastAsiaTheme="minorEastAsia"/>
          <w:color w:val="000000" w:themeColor="text1"/>
          <w:szCs w:val="24"/>
        </w:rPr>
      </w:pPr>
      <w:r>
        <w:rPr>
          <w:rFonts w:eastAsiaTheme="minorEastAsia"/>
          <w:color w:val="000000" w:themeColor="text1"/>
          <w:szCs w:val="24"/>
        </w:rPr>
        <w:t>根据调查，项目区周边5km范围内人口数小于1万人，项目区周边500m范围内人数小于500人，本项目大气环境E级判定为E3。</w:t>
      </w:r>
    </w:p>
    <w:p>
      <w:pPr>
        <w:pStyle w:val="618"/>
        <w:numPr>
          <w:ilvl w:val="0"/>
          <w:numId w:val="24"/>
        </w:numPr>
        <w:ind w:left="0" w:firstLine="482"/>
        <w:rPr>
          <w:rFonts w:eastAsiaTheme="minorEastAsia"/>
          <w:b/>
          <w:color w:val="000000" w:themeColor="text1"/>
          <w:szCs w:val="24"/>
        </w:rPr>
      </w:pPr>
      <w:r>
        <w:rPr>
          <w:rFonts w:eastAsiaTheme="minorEastAsia"/>
          <w:b/>
          <w:color w:val="000000" w:themeColor="text1"/>
          <w:szCs w:val="24"/>
        </w:rPr>
        <w:t>地表水环境</w:t>
      </w:r>
    </w:p>
    <w:p>
      <w:pPr>
        <w:ind w:firstLine="480"/>
        <w:rPr>
          <w:rFonts w:eastAsiaTheme="minorEastAsia"/>
          <w:b/>
          <w:bCs/>
          <w:color w:val="000000" w:themeColor="text1"/>
          <w:sz w:val="21"/>
          <w:szCs w:val="21"/>
        </w:rPr>
      </w:pPr>
      <w:r>
        <w:rPr>
          <w:rFonts w:eastAsiaTheme="minorEastAsia"/>
          <w:color w:val="000000" w:themeColor="text1"/>
          <w:szCs w:val="24"/>
        </w:rPr>
        <w:t>根据事故情况下危险物质泄漏到水体的排放点受纳地表水体功能敏感性，与下游环境敏感目标情况，共分为三种类型，E1为环境高度敏感区，E2为环境中度敏感区，E3为环境低度敏感区，分级原则见表1.5-12。</w:t>
      </w:r>
    </w:p>
    <w:p>
      <w:pPr>
        <w:adjustRightInd w:val="0"/>
        <w:snapToGrid w:val="0"/>
        <w:ind w:firstLine="422"/>
        <w:jc w:val="center"/>
        <w:rPr>
          <w:rFonts w:eastAsiaTheme="minorEastAsia"/>
          <w:b/>
          <w:bCs/>
          <w:color w:val="000000" w:themeColor="text1"/>
          <w:sz w:val="21"/>
          <w:szCs w:val="21"/>
        </w:rPr>
      </w:pP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表1.5-12地表水环境敏感程度分级（E）</w:t>
      </w:r>
    </w:p>
    <w:tbl>
      <w:tblPr>
        <w:tblStyle w:val="61"/>
        <w:tblW w:w="85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0"/>
        <w:gridCol w:w="1913"/>
        <w:gridCol w:w="1914"/>
        <w:gridCol w:w="1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780" w:type="dxa"/>
            <w:vMerge w:val="restart"/>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环境敏感目标</w:t>
            </w:r>
          </w:p>
        </w:tc>
        <w:tc>
          <w:tcPr>
            <w:tcW w:w="5740" w:type="dxa"/>
            <w:gridSpan w:val="3"/>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地表水功能敏感性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780" w:type="dxa"/>
            <w:vMerge w:val="continue"/>
            <w:vAlign w:val="center"/>
          </w:tcPr>
          <w:p>
            <w:pPr>
              <w:widowControl/>
              <w:ind w:firstLine="420"/>
              <w:rPr>
                <w:rFonts w:eastAsiaTheme="minorEastAsia"/>
                <w:color w:val="000000" w:themeColor="text1"/>
                <w:sz w:val="21"/>
                <w:szCs w:val="21"/>
              </w:rPr>
            </w:pP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F1</w:t>
            </w:r>
          </w:p>
        </w:tc>
        <w:tc>
          <w:tcPr>
            <w:tcW w:w="1914"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F2</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F3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78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S1</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E1</w:t>
            </w:r>
          </w:p>
        </w:tc>
        <w:tc>
          <w:tcPr>
            <w:tcW w:w="1914"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E1</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78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S2</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E1</w:t>
            </w:r>
          </w:p>
        </w:tc>
        <w:tc>
          <w:tcPr>
            <w:tcW w:w="1914"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E2</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278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S3</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E1</w:t>
            </w:r>
          </w:p>
        </w:tc>
        <w:tc>
          <w:tcPr>
            <w:tcW w:w="1914"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E2</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E3</w:t>
            </w:r>
          </w:p>
        </w:tc>
      </w:tr>
    </w:tbl>
    <w:p>
      <w:pPr>
        <w:ind w:firstLine="480"/>
        <w:jc w:val="both"/>
        <w:rPr>
          <w:rFonts w:eastAsiaTheme="minorEastAsia"/>
          <w:color w:val="000000" w:themeColor="text1"/>
          <w:szCs w:val="24"/>
        </w:rPr>
      </w:pPr>
      <w:r>
        <w:rPr>
          <w:rFonts w:eastAsiaTheme="minorEastAsia"/>
          <w:color w:val="000000" w:themeColor="text1"/>
          <w:szCs w:val="24"/>
        </w:rPr>
        <w:t>根据现场踏勘可知，项目地处困龙河径流区内，困龙河水进入</w:t>
      </w:r>
      <w:r>
        <w:rPr>
          <w:rFonts w:eastAsiaTheme="minorEastAsia"/>
          <w:color w:val="000000" w:themeColor="text1"/>
        </w:rPr>
        <w:t>戛洒江，戛洒江属于红河水系（</w:t>
      </w:r>
      <w:r>
        <w:rPr>
          <w:rFonts w:hint="eastAsia" w:eastAsiaTheme="minorEastAsia"/>
          <w:color w:val="000000" w:themeColor="text1"/>
        </w:rPr>
        <w:t>红河巍山</w:t>
      </w:r>
      <w:r>
        <w:rPr>
          <w:rFonts w:eastAsiaTheme="minorEastAsia"/>
          <w:color w:val="000000" w:themeColor="text1"/>
        </w:rPr>
        <w:t>—</w:t>
      </w:r>
      <w:r>
        <w:rPr>
          <w:rFonts w:hint="eastAsia" w:eastAsiaTheme="minorEastAsia"/>
          <w:color w:val="000000" w:themeColor="text1"/>
        </w:rPr>
        <w:t>河口保留区</w:t>
      </w:r>
      <w:r>
        <w:rPr>
          <w:rFonts w:eastAsiaTheme="minorEastAsia"/>
          <w:color w:val="000000" w:themeColor="text1"/>
        </w:rPr>
        <w:t>）。根据《云南省水功能区划（</w:t>
      </w:r>
      <w:r>
        <w:rPr>
          <w:rFonts w:hint="eastAsia" w:eastAsiaTheme="minorEastAsia"/>
          <w:color w:val="000000" w:themeColor="text1"/>
        </w:rPr>
        <w:t>第二版</w:t>
      </w:r>
      <w:r>
        <w:rPr>
          <w:rFonts w:eastAsiaTheme="minorEastAsia"/>
          <w:color w:val="000000" w:themeColor="text1"/>
        </w:rPr>
        <w:t>）》，红河（</w:t>
      </w:r>
      <w:r>
        <w:rPr>
          <w:rFonts w:hint="eastAsia" w:eastAsiaTheme="minorEastAsia"/>
          <w:color w:val="000000" w:themeColor="text1"/>
        </w:rPr>
        <w:t>红河巍山</w:t>
      </w:r>
      <w:r>
        <w:rPr>
          <w:rFonts w:eastAsiaTheme="minorEastAsia"/>
          <w:color w:val="000000" w:themeColor="text1"/>
        </w:rPr>
        <w:t>—</w:t>
      </w:r>
      <w:r>
        <w:rPr>
          <w:rFonts w:hint="eastAsia" w:eastAsiaTheme="minorEastAsia"/>
          <w:color w:val="000000" w:themeColor="text1"/>
        </w:rPr>
        <w:t>河口保留区</w:t>
      </w:r>
      <w:r>
        <w:rPr>
          <w:rFonts w:eastAsiaTheme="minorEastAsia"/>
          <w:color w:val="000000" w:themeColor="text1"/>
        </w:rPr>
        <w:t>）执行《地表水环境质量标准》（GB3838-2002）</w:t>
      </w:r>
      <w:r>
        <w:rPr>
          <w:rFonts w:eastAsia="方正仿宋_GBK"/>
          <w:color w:val="000000" w:themeColor="text1"/>
        </w:rPr>
        <w:t>Ⅲ</w:t>
      </w:r>
      <w:r>
        <w:rPr>
          <w:rFonts w:eastAsiaTheme="minorEastAsia"/>
          <w:color w:val="000000" w:themeColor="text1"/>
        </w:rPr>
        <w:t>类水质标准。</w:t>
      </w:r>
      <w:r>
        <w:rPr>
          <w:rFonts w:eastAsiaTheme="minorEastAsia"/>
          <w:color w:val="000000" w:themeColor="text1"/>
          <w:szCs w:val="24"/>
        </w:rPr>
        <w:t>根据《建设项目环境风险评价技术导则》（HJ169-2018）附录D的相关规定，本项目地表水功能敏感性为</w:t>
      </w:r>
      <w:r>
        <w:rPr>
          <w:rFonts w:hint="eastAsia" w:eastAsiaTheme="minorEastAsia"/>
          <w:color w:val="000000" w:themeColor="text1"/>
          <w:szCs w:val="24"/>
        </w:rPr>
        <w:t>较</w:t>
      </w:r>
      <w:r>
        <w:rPr>
          <w:rFonts w:eastAsiaTheme="minorEastAsia"/>
          <w:color w:val="000000" w:themeColor="text1"/>
          <w:szCs w:val="24"/>
        </w:rPr>
        <w:t>敏感F</w:t>
      </w:r>
      <w:r>
        <w:rPr>
          <w:rFonts w:hint="eastAsia" w:eastAsiaTheme="minorEastAsia"/>
          <w:color w:val="000000" w:themeColor="text1"/>
          <w:szCs w:val="24"/>
        </w:rPr>
        <w:t>2</w:t>
      </w:r>
      <w:r>
        <w:rPr>
          <w:rFonts w:eastAsiaTheme="minorEastAsia"/>
          <w:color w:val="000000" w:themeColor="text1"/>
          <w:szCs w:val="24"/>
        </w:rPr>
        <w:t>，而</w:t>
      </w:r>
      <w:r>
        <w:rPr>
          <w:rFonts w:eastAsiaTheme="minorEastAsia"/>
          <w:color w:val="000000" w:themeColor="text1"/>
        </w:rPr>
        <w:t>困龙河</w:t>
      </w:r>
      <w:r>
        <w:rPr>
          <w:rFonts w:eastAsiaTheme="minorEastAsia"/>
          <w:color w:val="000000" w:themeColor="text1"/>
          <w:szCs w:val="24"/>
        </w:rPr>
        <w:t>排放点下游（顺水流向）10km范围内无集中式地表水饮用水源保护区、农村及分散式饮用水水源保护区、自然保护区、重要湿地、珍稀濒危野生动植物天然集中分布区、重要水生生物的自然产卵场及索饵场、越冬场、洄游通道、世界文化和自然遗产地、红树林、珊瑚礁等滨海湿地生态系统、珍惜、濒危海洋生物的天然集中分布区、海洋特别保护区、海上自然保护区、盐场保护区、海水浴场、海洋自然历史遗迹、风景名胜区、或其他特殊重要保护区域，故本项目环境敏感目标分级为S3。本项目地表水环境敏感程度分级为E</w:t>
      </w:r>
      <w:r>
        <w:rPr>
          <w:rFonts w:hint="eastAsia" w:eastAsiaTheme="minorEastAsia"/>
          <w:color w:val="000000" w:themeColor="text1"/>
          <w:szCs w:val="24"/>
        </w:rPr>
        <w:t>2</w:t>
      </w:r>
      <w:r>
        <w:rPr>
          <w:rFonts w:eastAsiaTheme="minorEastAsia"/>
          <w:color w:val="000000" w:themeColor="text1"/>
          <w:szCs w:val="24"/>
        </w:rPr>
        <w:t>。</w:t>
      </w:r>
    </w:p>
    <w:p>
      <w:pPr>
        <w:pStyle w:val="618"/>
        <w:numPr>
          <w:ilvl w:val="0"/>
          <w:numId w:val="24"/>
        </w:numPr>
        <w:ind w:left="0" w:firstLine="482"/>
        <w:rPr>
          <w:rFonts w:eastAsiaTheme="minorEastAsia"/>
          <w:b/>
          <w:color w:val="000000" w:themeColor="text1"/>
          <w:szCs w:val="24"/>
        </w:rPr>
      </w:pPr>
      <w:r>
        <w:rPr>
          <w:rFonts w:eastAsiaTheme="minorEastAsia"/>
          <w:b/>
          <w:color w:val="000000" w:themeColor="text1"/>
          <w:szCs w:val="24"/>
        </w:rPr>
        <w:t>地下水环境</w:t>
      </w:r>
    </w:p>
    <w:p>
      <w:pPr>
        <w:autoSpaceDE w:val="0"/>
        <w:autoSpaceDN w:val="0"/>
        <w:ind w:firstLine="480"/>
        <w:rPr>
          <w:rFonts w:eastAsiaTheme="minorEastAsia"/>
          <w:color w:val="000000" w:themeColor="text1"/>
          <w:szCs w:val="24"/>
        </w:rPr>
      </w:pPr>
      <w:r>
        <w:rPr>
          <w:rFonts w:eastAsiaTheme="minorEastAsia"/>
          <w:color w:val="000000" w:themeColor="text1"/>
          <w:szCs w:val="24"/>
        </w:rPr>
        <w:t>依据地下水功能敏感性与包气带防污性能，共分为三种类型，E1为环境高度敏感区，E2为环境中度敏感区，E3为环境低度敏感区，分级原则见表1.5-13。</w:t>
      </w: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表1.5-13地下水环境敏感程度分级（E）</w:t>
      </w:r>
    </w:p>
    <w:tbl>
      <w:tblPr>
        <w:tblStyle w:val="61"/>
        <w:tblW w:w="85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0"/>
        <w:gridCol w:w="1913"/>
        <w:gridCol w:w="1914"/>
        <w:gridCol w:w="1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780" w:type="dxa"/>
            <w:vMerge w:val="restart"/>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环境敏感目标</w:t>
            </w:r>
          </w:p>
        </w:tc>
        <w:tc>
          <w:tcPr>
            <w:tcW w:w="5740" w:type="dxa"/>
            <w:gridSpan w:val="3"/>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地下水功能敏感性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780" w:type="dxa"/>
            <w:vMerge w:val="continue"/>
            <w:vAlign w:val="center"/>
          </w:tcPr>
          <w:p>
            <w:pPr>
              <w:widowControl/>
              <w:ind w:firstLine="420"/>
              <w:rPr>
                <w:rFonts w:eastAsiaTheme="minorEastAsia"/>
                <w:color w:val="000000" w:themeColor="text1"/>
                <w:sz w:val="21"/>
                <w:szCs w:val="21"/>
              </w:rPr>
            </w:pP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G1</w:t>
            </w:r>
          </w:p>
        </w:tc>
        <w:tc>
          <w:tcPr>
            <w:tcW w:w="1914" w:type="dxa"/>
            <w:vAlign w:val="center"/>
          </w:tcPr>
          <w:p>
            <w:pPr>
              <w:adjustRightInd w:val="0"/>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G2</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G3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78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D1</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E1</w:t>
            </w:r>
          </w:p>
        </w:tc>
        <w:tc>
          <w:tcPr>
            <w:tcW w:w="1914"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E1</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78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D2</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E1</w:t>
            </w:r>
          </w:p>
        </w:tc>
        <w:tc>
          <w:tcPr>
            <w:tcW w:w="1914"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E2</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78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D3</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E2</w:t>
            </w:r>
          </w:p>
        </w:tc>
        <w:tc>
          <w:tcPr>
            <w:tcW w:w="1914"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E3</w:t>
            </w:r>
          </w:p>
        </w:tc>
        <w:tc>
          <w:tcPr>
            <w:tcW w:w="191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E3</w:t>
            </w:r>
          </w:p>
        </w:tc>
      </w:tr>
    </w:tbl>
    <w:p>
      <w:pPr>
        <w:ind w:firstLine="480"/>
        <w:rPr>
          <w:rFonts w:eastAsiaTheme="minorEastAsia"/>
          <w:color w:val="000000" w:themeColor="text1"/>
          <w:szCs w:val="24"/>
        </w:rPr>
      </w:pPr>
      <w:r>
        <w:rPr>
          <w:rFonts w:eastAsiaTheme="minorEastAsia"/>
          <w:color w:val="000000" w:themeColor="text1"/>
          <w:szCs w:val="24"/>
        </w:rPr>
        <w:t>由于本项目不涉及集中式饮用水源准保护区和准保护区以外的补给径流区、除集中式饮用水水源以外的国家或地方政府设定的与地下水环境相关的其他保护区、未划定准保护区的集中式饮用水源、分散式饮用水源地、特殊地下水资源保护区以外的分布区等其他未列入上述敏感分级的环境敏感区，故本项目地下水功能敏感性为不敏感G3。根据资料，项目建设场地</w:t>
      </w:r>
      <w:r>
        <w:rPr>
          <w:rFonts w:eastAsiaTheme="minorEastAsia"/>
          <w:color w:val="000000" w:themeColor="text1"/>
        </w:rPr>
        <w:t>K=0.0011~0.0302m/d</w:t>
      </w:r>
      <w:r>
        <w:rPr>
          <w:rFonts w:hint="eastAsia" w:eastAsiaTheme="minorEastAsia"/>
          <w:color w:val="000000" w:themeColor="text1"/>
        </w:rPr>
        <w:t>（1.27</w:t>
      </w:r>
      <w:r>
        <w:rPr>
          <w:rFonts w:ascii="Arial" w:hAnsi="Arial" w:cs="Arial" w:eastAsiaTheme="minorEastAsia"/>
          <w:color w:val="000000" w:themeColor="text1"/>
        </w:rPr>
        <w:t>×</w:t>
      </w:r>
      <w:r>
        <w:rPr>
          <w:rFonts w:hint="eastAsia" w:eastAsiaTheme="minorEastAsia"/>
          <w:color w:val="000000" w:themeColor="text1"/>
        </w:rPr>
        <w:t>10</w:t>
      </w:r>
      <w:r>
        <w:rPr>
          <w:rFonts w:hint="eastAsia" w:eastAsiaTheme="minorEastAsia"/>
          <w:color w:val="000000" w:themeColor="text1"/>
          <w:vertAlign w:val="superscript"/>
        </w:rPr>
        <w:t>-10</w:t>
      </w:r>
      <w:r>
        <w:rPr>
          <w:rFonts w:hint="eastAsia" w:eastAsiaTheme="minorEastAsia"/>
          <w:color w:val="000000" w:themeColor="text1"/>
        </w:rPr>
        <w:t>~3.5</w:t>
      </w:r>
      <w:r>
        <w:rPr>
          <w:rFonts w:ascii="Arial" w:hAnsi="Arial" w:cs="Arial" w:eastAsiaTheme="minorEastAsia"/>
          <w:color w:val="000000" w:themeColor="text1"/>
        </w:rPr>
        <w:t>×</w:t>
      </w:r>
      <w:r>
        <w:rPr>
          <w:rFonts w:hint="eastAsia" w:eastAsiaTheme="minorEastAsia"/>
          <w:color w:val="000000" w:themeColor="text1"/>
        </w:rPr>
        <w:t>10</w:t>
      </w:r>
      <w:r>
        <w:rPr>
          <w:rFonts w:hint="eastAsia" w:eastAsiaTheme="minorEastAsia"/>
          <w:color w:val="000000" w:themeColor="text1"/>
          <w:vertAlign w:val="superscript"/>
        </w:rPr>
        <w:t>-9</w:t>
      </w:r>
      <w:r>
        <w:rPr>
          <w:rFonts w:hint="eastAsia" w:eastAsiaTheme="minorEastAsia"/>
          <w:color w:val="000000" w:themeColor="text1"/>
        </w:rPr>
        <w:t>cm/s）</w:t>
      </w:r>
      <w:r>
        <w:rPr>
          <w:rFonts w:eastAsiaTheme="minorEastAsia"/>
          <w:color w:val="000000" w:themeColor="text1"/>
        </w:rPr>
        <w:t>，</w:t>
      </w:r>
      <w:r>
        <w:rPr>
          <w:rFonts w:hint="eastAsia" w:eastAsiaTheme="minorEastAsia"/>
          <w:color w:val="000000" w:themeColor="text1"/>
        </w:rPr>
        <w:t>且Mb</w:t>
      </w:r>
      <w:r>
        <w:rPr>
          <w:rFonts w:ascii="Arial" w:hAnsi="Arial" w:cs="Arial" w:eastAsiaTheme="minorEastAsia"/>
          <w:color w:val="000000" w:themeColor="text1"/>
        </w:rPr>
        <w:t>≥</w:t>
      </w:r>
      <w:r>
        <w:rPr>
          <w:rFonts w:hint="eastAsia" w:eastAsiaTheme="minorEastAsia"/>
          <w:color w:val="000000" w:themeColor="text1"/>
        </w:rPr>
        <w:t>1m，</w:t>
      </w:r>
      <w:r>
        <w:rPr>
          <w:rFonts w:eastAsiaTheme="minorEastAsia"/>
          <w:color w:val="000000" w:themeColor="text1"/>
          <w:szCs w:val="24"/>
        </w:rPr>
        <w:t>项目区包气带防污性能分级为D3，因此，本项目地下水环境敏感程度分级为E3。</w:t>
      </w:r>
    </w:p>
    <w:p>
      <w:pPr>
        <w:ind w:firstLine="480"/>
        <w:rPr>
          <w:rFonts w:eastAsiaTheme="minorEastAsia"/>
          <w:color w:val="000000" w:themeColor="text1"/>
          <w:szCs w:val="24"/>
        </w:rPr>
      </w:pPr>
      <w:r>
        <w:rPr>
          <w:rFonts w:eastAsiaTheme="minorEastAsia"/>
          <w:color w:val="000000" w:themeColor="text1"/>
          <w:szCs w:val="24"/>
        </w:rPr>
        <w:t>综上分析，本项目涉及的风险物质为生产废水和废机油，根据以上判定，项目危险物质数量与临界量的比值Q=0.00008；根据调查，项目区周边5km范围内人口数为小于1万人</w:t>
      </w:r>
      <w:r>
        <w:rPr>
          <w:rFonts w:hint="eastAsia" w:eastAsiaTheme="minorEastAsia"/>
          <w:color w:val="000000" w:themeColor="text1"/>
          <w:szCs w:val="24"/>
        </w:rPr>
        <w:t>，</w:t>
      </w:r>
      <w:r>
        <w:rPr>
          <w:rFonts w:eastAsiaTheme="minorEastAsia"/>
          <w:color w:val="000000" w:themeColor="text1"/>
          <w:szCs w:val="24"/>
        </w:rPr>
        <w:t>周边500m范围内人口小于500人，本项目大气环境E级判定为E3；因此项目大气环境风险潜势为</w:t>
      </w:r>
      <w:r>
        <w:rPr>
          <w:rFonts w:eastAsiaTheme="minorEastAsia"/>
          <w:color w:val="000000" w:themeColor="text1"/>
          <w:szCs w:val="24"/>
        </w:rPr>
        <w:fldChar w:fldCharType="begin"/>
      </w:r>
      <w:r>
        <w:rPr>
          <w:rFonts w:eastAsiaTheme="minorEastAsia"/>
          <w:color w:val="000000" w:themeColor="text1"/>
          <w:szCs w:val="24"/>
        </w:rPr>
        <w:instrText xml:space="preserve"> = 1 \* ROMAN </w:instrText>
      </w:r>
      <w:r>
        <w:rPr>
          <w:rFonts w:eastAsiaTheme="minorEastAsia"/>
          <w:color w:val="000000" w:themeColor="text1"/>
          <w:szCs w:val="24"/>
        </w:rPr>
        <w:fldChar w:fldCharType="separate"/>
      </w:r>
      <w:r>
        <w:rPr>
          <w:rFonts w:eastAsiaTheme="minorEastAsia"/>
          <w:color w:val="000000" w:themeColor="text1"/>
          <w:szCs w:val="24"/>
        </w:rPr>
        <w:t>I</w:t>
      </w:r>
      <w:r>
        <w:rPr>
          <w:rFonts w:eastAsiaTheme="minorEastAsia"/>
          <w:color w:val="000000" w:themeColor="text1"/>
          <w:szCs w:val="24"/>
        </w:rPr>
        <w:fldChar w:fldCharType="end"/>
      </w:r>
      <w:r>
        <w:rPr>
          <w:rFonts w:eastAsiaTheme="minorEastAsia"/>
          <w:color w:val="000000" w:themeColor="text1"/>
          <w:szCs w:val="24"/>
        </w:rPr>
        <w:t>；地表水环境敏感程度分级为E3，项目地表水环境风险潜势为</w:t>
      </w:r>
      <w:r>
        <w:rPr>
          <w:rFonts w:eastAsiaTheme="minorEastAsia"/>
          <w:color w:val="000000" w:themeColor="text1"/>
          <w:szCs w:val="24"/>
        </w:rPr>
        <w:fldChar w:fldCharType="begin"/>
      </w:r>
      <w:r>
        <w:rPr>
          <w:rFonts w:eastAsiaTheme="minorEastAsia"/>
          <w:color w:val="000000" w:themeColor="text1"/>
          <w:szCs w:val="24"/>
        </w:rPr>
        <w:instrText xml:space="preserve"> = 1 \* ROMAN </w:instrText>
      </w:r>
      <w:r>
        <w:rPr>
          <w:rFonts w:eastAsiaTheme="minorEastAsia"/>
          <w:color w:val="000000" w:themeColor="text1"/>
          <w:szCs w:val="24"/>
        </w:rPr>
        <w:fldChar w:fldCharType="separate"/>
      </w:r>
      <w:r>
        <w:rPr>
          <w:rFonts w:eastAsiaTheme="minorEastAsia"/>
          <w:color w:val="000000" w:themeColor="text1"/>
          <w:szCs w:val="24"/>
        </w:rPr>
        <w:t>I</w:t>
      </w:r>
      <w:r>
        <w:rPr>
          <w:rFonts w:eastAsiaTheme="minorEastAsia"/>
          <w:color w:val="000000" w:themeColor="text1"/>
          <w:szCs w:val="24"/>
        </w:rPr>
        <w:fldChar w:fldCharType="end"/>
      </w:r>
      <w:r>
        <w:rPr>
          <w:rFonts w:eastAsiaTheme="minorEastAsia"/>
          <w:color w:val="000000" w:themeColor="text1"/>
          <w:szCs w:val="24"/>
        </w:rPr>
        <w:t>；地下水环境敏感程度分级为E3，项目地下水环境风险潜势为</w:t>
      </w:r>
      <w:r>
        <w:rPr>
          <w:rFonts w:eastAsiaTheme="minorEastAsia"/>
          <w:color w:val="000000" w:themeColor="text1"/>
          <w:szCs w:val="24"/>
        </w:rPr>
        <w:fldChar w:fldCharType="begin"/>
      </w:r>
      <w:r>
        <w:rPr>
          <w:rFonts w:eastAsiaTheme="minorEastAsia"/>
          <w:color w:val="000000" w:themeColor="text1"/>
          <w:szCs w:val="24"/>
        </w:rPr>
        <w:instrText xml:space="preserve"> = 1 \* ROMAN </w:instrText>
      </w:r>
      <w:r>
        <w:rPr>
          <w:rFonts w:eastAsiaTheme="minorEastAsia"/>
          <w:color w:val="000000" w:themeColor="text1"/>
          <w:szCs w:val="24"/>
        </w:rPr>
        <w:fldChar w:fldCharType="separate"/>
      </w:r>
      <w:r>
        <w:rPr>
          <w:rFonts w:eastAsiaTheme="minorEastAsia"/>
          <w:color w:val="000000" w:themeColor="text1"/>
          <w:szCs w:val="24"/>
        </w:rPr>
        <w:t>I</w:t>
      </w:r>
      <w:r>
        <w:rPr>
          <w:rFonts w:eastAsiaTheme="minorEastAsia"/>
          <w:color w:val="000000" w:themeColor="text1"/>
          <w:szCs w:val="24"/>
        </w:rPr>
        <w:fldChar w:fldCharType="end"/>
      </w:r>
      <w:r>
        <w:rPr>
          <w:rFonts w:eastAsiaTheme="minorEastAsia"/>
          <w:color w:val="000000" w:themeColor="text1"/>
          <w:szCs w:val="24"/>
        </w:rPr>
        <w:t>。</w:t>
      </w:r>
    </w:p>
    <w:p>
      <w:pPr>
        <w:autoSpaceDE w:val="0"/>
        <w:autoSpaceDN w:val="0"/>
        <w:adjustRightInd w:val="0"/>
        <w:ind w:firstLine="480"/>
        <w:rPr>
          <w:rFonts w:eastAsiaTheme="minorEastAsia"/>
          <w:color w:val="000000" w:themeColor="text1"/>
          <w:szCs w:val="24"/>
        </w:rPr>
      </w:pPr>
      <w:r>
        <w:rPr>
          <w:rFonts w:eastAsiaTheme="minorEastAsia"/>
          <w:color w:val="000000" w:themeColor="text1"/>
          <w:szCs w:val="24"/>
        </w:rPr>
        <w:t>综上所述，按照《建设项目环境风险评价技术导则》(HJ/T169-2018)中的有关规定，本项目选厂大气环境风险潜势为I，地表水风险潜势为I，地下水风险潜势为I，因此本项目风险评级等级为简单分析。</w:t>
      </w:r>
    </w:p>
    <w:p>
      <w:pPr>
        <w:pStyle w:val="78"/>
        <w:ind w:firstLine="480"/>
        <w:rPr>
          <w:color w:val="000000" w:themeColor="text1"/>
          <w:szCs w:val="24"/>
        </w:rPr>
      </w:pPr>
      <w:r>
        <w:rPr>
          <w:color w:val="000000" w:themeColor="text1"/>
          <w:szCs w:val="24"/>
        </w:rPr>
        <w:t>（2）尾矿库风险评价等级</w:t>
      </w:r>
    </w:p>
    <w:p>
      <w:pPr>
        <w:pStyle w:val="23"/>
        <w:spacing w:line="360" w:lineRule="auto"/>
        <w:ind w:firstLine="480"/>
        <w:rPr>
          <w:color w:val="000000" w:themeColor="text1"/>
          <w:sz w:val="24"/>
        </w:rPr>
      </w:pPr>
      <w:r>
        <w:rPr>
          <w:color w:val="000000" w:themeColor="text1"/>
          <w:sz w:val="24"/>
        </w:rPr>
        <w:t>根据《尾矿库环境风险评估技术导则》（HJ740-2015）从尾矿库的环境危害性（H）、周边环境敏感性（S）、控制机制可靠性（R）三方面进行评分，采用环境风险等级划分模型，将重点环境监管尾矿库环境风险划分为重大、较大、一般三个等级。</w:t>
      </w:r>
    </w:p>
    <w:p>
      <w:pPr>
        <w:pStyle w:val="23"/>
        <w:spacing w:line="360" w:lineRule="auto"/>
        <w:ind w:firstLine="480"/>
        <w:rPr>
          <w:color w:val="000000" w:themeColor="text1"/>
          <w:sz w:val="24"/>
        </w:rPr>
      </w:pPr>
      <w:r>
        <w:rPr>
          <w:color w:val="000000" w:themeColor="text1"/>
          <w:sz w:val="24"/>
        </w:rPr>
        <w:t>2018年8月煤炭科学技术研究院有限公司西南分公司编制了《新平金凯工贸有限公司辣子箐尾矿库突发环境事件风险评估报告》及《新平金凯工贸有限公司辣子箐尾矿库突发环境事件专项应急预案》，并于2018年11月21日在原新平县环保局备案，故本报告书中不再对辣子箐尾矿库环境风险着重分析。根据《新平金凯工贸有限公司辣子箐尾矿库突发环境事件风险评估报告》中对辣子箐尾矿库的风险等级评价，该尾矿库环境危害性（H）等别代码为：H2；尾矿库周边环境敏感性（S）等别代码为：S2；尾矿库控制机制可靠性（R）等别代码为R3，故尾矿库环境风险等级划分为：一般（H2S2R3）。</w:t>
      </w:r>
    </w:p>
    <w:p>
      <w:pPr>
        <w:pStyle w:val="23"/>
        <w:spacing w:line="360" w:lineRule="auto"/>
        <w:ind w:firstLine="480"/>
        <w:rPr>
          <w:color w:val="000000" w:themeColor="text1"/>
          <w:sz w:val="24"/>
        </w:rPr>
      </w:pPr>
      <w:r>
        <w:rPr>
          <w:rFonts w:eastAsiaTheme="minorEastAsia"/>
          <w:color w:val="000000" w:themeColor="text1"/>
          <w:kern w:val="2"/>
          <w:sz w:val="24"/>
        </w:rPr>
        <w:t>玉溪矿业有限公司于2013年5月委托昆明有色冶金设计研究院股份公司编制了《大红山龙都尾矿库中后期筑坝工程初步设计》，2016年9月，玉溪矿业有限公司委托云南安科安全技术有限公司编制了《玉溪矿业有限公司大红山铜矿龙都尾矿库安全现状评价报告》，2019年5月24日玉溪矿业有限公司编制了《玉溪矿业有限公司大红山龙都尾矿库突发环境事件专项应急预案（第三版）》和《玉溪矿业有限公司大红山龙都尾矿库突发环境事件风险评估报告（第三版）》，2019年8月，委托中国有色金属工业昆明勘察设计研究院有限公司编制了《大红山龙都尾矿库中前期尾矿堆坝稳定性分析岩土工程勘察报告》。根据《玉溪矿业有限公司大红山龙都尾矿库突发环境事件风险评估报告（第三版）》</w:t>
      </w:r>
      <w:r>
        <w:rPr>
          <w:color w:val="000000" w:themeColor="text1"/>
          <w:sz w:val="24"/>
        </w:rPr>
        <w:t>中对龙都尾矿库的风险等级评价，该尾矿库环境危害性（H）等别代码为：H1；尾矿库周边环境敏感性（S）等别代码为：S2；尾矿库控制机制可靠性（R）等别代码为R3，故尾矿库环境风险等级划分为：较大（H1S2R3）。龙都尾矿库并于2019年5月31日在玉溪市生态环境局新平备案，故本报告书中不再对大红山龙都尾矿库环境风险着重分析。</w:t>
      </w:r>
    </w:p>
    <w:p>
      <w:pPr>
        <w:pStyle w:val="6"/>
        <w:spacing w:beforeLines="0" w:afterLines="0"/>
        <w:rPr>
          <w:rFonts w:eastAsiaTheme="minorEastAsia"/>
          <w:color w:val="000000" w:themeColor="text1"/>
          <w:sz w:val="28"/>
          <w:szCs w:val="28"/>
        </w:rPr>
      </w:pPr>
      <w:bookmarkStart w:id="330" w:name="_Toc13096"/>
      <w:r>
        <w:rPr>
          <w:rFonts w:eastAsiaTheme="minorEastAsia"/>
          <w:color w:val="000000" w:themeColor="text1"/>
          <w:sz w:val="28"/>
          <w:szCs w:val="28"/>
        </w:rPr>
        <w:t>1.5.2评价范围</w:t>
      </w:r>
      <w:bookmarkEnd w:id="330"/>
    </w:p>
    <w:p>
      <w:pPr>
        <w:adjustRightInd w:val="0"/>
        <w:snapToGrid w:val="0"/>
        <w:ind w:firstLine="480"/>
        <w:jc w:val="both"/>
        <w:rPr>
          <w:rFonts w:eastAsiaTheme="minorEastAsia"/>
          <w:color w:val="000000" w:themeColor="text1"/>
          <w:szCs w:val="24"/>
        </w:rPr>
      </w:pPr>
      <w:r>
        <w:rPr>
          <w:rFonts w:eastAsiaTheme="minorEastAsia"/>
          <w:color w:val="000000" w:themeColor="text1"/>
          <w:szCs w:val="24"/>
        </w:rPr>
        <w:t>1、环境空气：根据《环境影响评价技术导则大气环境》（HJ2.2-2018），</w:t>
      </w:r>
      <w:r>
        <w:rPr>
          <w:rFonts w:hint="eastAsia" w:eastAsiaTheme="minorEastAsia"/>
          <w:color w:val="000000" w:themeColor="text1"/>
          <w:szCs w:val="24"/>
        </w:rPr>
        <w:t>本项目为一级评价等级，排放污染物的最远影响距离D10%为500m，小于2.5km，故评价范围边长为5km，所以</w:t>
      </w:r>
      <w:r>
        <w:rPr>
          <w:rFonts w:eastAsiaTheme="minorEastAsia"/>
          <w:color w:val="000000" w:themeColor="text1"/>
          <w:szCs w:val="24"/>
        </w:rPr>
        <w:t>大气环境评价范围为边长</w:t>
      </w:r>
      <w:r>
        <w:rPr>
          <w:rFonts w:hint="eastAsia" w:eastAsiaTheme="minorEastAsia"/>
          <w:color w:val="000000" w:themeColor="text1"/>
          <w:szCs w:val="24"/>
        </w:rPr>
        <w:t>5</w:t>
      </w:r>
      <w:r>
        <w:rPr>
          <w:rFonts w:eastAsiaTheme="minorEastAsia"/>
          <w:color w:val="000000" w:themeColor="text1"/>
          <w:szCs w:val="24"/>
        </w:rPr>
        <w:t>km的</w:t>
      </w:r>
      <w:r>
        <w:rPr>
          <w:rFonts w:hint="eastAsia" w:eastAsiaTheme="minorEastAsia"/>
          <w:color w:val="000000" w:themeColor="text1"/>
          <w:szCs w:val="24"/>
        </w:rPr>
        <w:t>矩形</w:t>
      </w:r>
      <w:r>
        <w:rPr>
          <w:rFonts w:eastAsiaTheme="minorEastAsia"/>
          <w:color w:val="000000" w:themeColor="text1"/>
          <w:szCs w:val="24"/>
        </w:rPr>
        <w:t>。</w:t>
      </w:r>
    </w:p>
    <w:p>
      <w:pPr>
        <w:adjustRightInd w:val="0"/>
        <w:snapToGrid w:val="0"/>
        <w:ind w:firstLine="480"/>
        <w:rPr>
          <w:rFonts w:eastAsiaTheme="minorEastAsia"/>
          <w:color w:val="000000" w:themeColor="text1"/>
        </w:rPr>
      </w:pPr>
      <w:r>
        <w:rPr>
          <w:rFonts w:eastAsiaTheme="minorEastAsia"/>
          <w:color w:val="000000" w:themeColor="text1"/>
          <w:szCs w:val="24"/>
        </w:rPr>
        <w:t>2、地表水：根据</w:t>
      </w:r>
      <w:r>
        <w:rPr>
          <w:rFonts w:eastAsiaTheme="minorEastAsia"/>
          <w:color w:val="000000" w:themeColor="text1"/>
        </w:rPr>
        <w:t>《环境影响评价技术导则地表水环境》（HJ2.3-2018），</w:t>
      </w:r>
    </w:p>
    <w:p>
      <w:pPr>
        <w:adjustRightInd w:val="0"/>
        <w:snapToGrid w:val="0"/>
        <w:ind w:firstLine="480"/>
        <w:rPr>
          <w:rFonts w:eastAsiaTheme="minorEastAsia"/>
          <w:color w:val="000000" w:themeColor="text1"/>
        </w:rPr>
      </w:pPr>
      <w:r>
        <w:rPr>
          <w:rFonts w:eastAsiaTheme="minorEastAsia"/>
          <w:color w:val="000000" w:themeColor="text1"/>
        </w:rPr>
        <w:t>项目现场调查范围：以项目区困龙河上游500m处、项目区下游2600m（困龙河），共3100m范围。</w:t>
      </w:r>
    </w:p>
    <w:p>
      <w:pPr>
        <w:adjustRightInd w:val="0"/>
        <w:snapToGrid w:val="0"/>
        <w:ind w:firstLine="480"/>
        <w:rPr>
          <w:rFonts w:eastAsiaTheme="minorEastAsia"/>
          <w:color w:val="000000" w:themeColor="text1"/>
          <w:szCs w:val="24"/>
        </w:rPr>
      </w:pPr>
      <w:r>
        <w:rPr>
          <w:rFonts w:eastAsiaTheme="minorEastAsia"/>
          <w:color w:val="000000" w:themeColor="text1"/>
        </w:rPr>
        <w:t>影响评价范围：项目生产废水处理后全部回用于生产，不外排。项目生活污水处理达到</w:t>
      </w:r>
      <w:r>
        <w:rPr>
          <w:rFonts w:eastAsiaTheme="minorEastAsia"/>
          <w:color w:val="000000" w:themeColor="text1"/>
          <w:szCs w:val="24"/>
        </w:rPr>
        <w:t>《城市污水再生利用城市杂用水水质》（GB/T18920-20</w:t>
      </w:r>
      <w:r>
        <w:rPr>
          <w:rFonts w:hint="eastAsia" w:eastAsiaTheme="minorEastAsia"/>
          <w:color w:val="000000" w:themeColor="text1"/>
          <w:szCs w:val="24"/>
        </w:rPr>
        <w:t>20</w:t>
      </w:r>
      <w:r>
        <w:rPr>
          <w:rFonts w:eastAsiaTheme="minorEastAsia"/>
          <w:color w:val="000000" w:themeColor="text1"/>
          <w:szCs w:val="24"/>
        </w:rPr>
        <w:t>）绿化水质标准，</w:t>
      </w:r>
      <w:r>
        <w:rPr>
          <w:rFonts w:eastAsiaTheme="minorEastAsia"/>
          <w:color w:val="000000" w:themeColor="text1"/>
        </w:rPr>
        <w:t>全部回用于绿化，不外排，</w:t>
      </w:r>
      <w:r>
        <w:rPr>
          <w:rFonts w:eastAsiaTheme="minorEastAsia"/>
          <w:color w:val="000000" w:themeColor="text1"/>
          <w:szCs w:val="24"/>
        </w:rPr>
        <w:t>不设评价范围。</w:t>
      </w:r>
    </w:p>
    <w:p>
      <w:pPr>
        <w:adjustRightInd w:val="0"/>
        <w:snapToGrid w:val="0"/>
        <w:ind w:firstLine="480"/>
        <w:rPr>
          <w:rFonts w:eastAsiaTheme="minorEastAsia"/>
          <w:color w:val="000000" w:themeColor="text1"/>
          <w:szCs w:val="24"/>
        </w:rPr>
      </w:pPr>
      <w:r>
        <w:rPr>
          <w:rFonts w:eastAsiaTheme="minorEastAsia"/>
          <w:color w:val="000000" w:themeColor="text1"/>
          <w:szCs w:val="24"/>
        </w:rPr>
        <w:t>3、地下水：</w:t>
      </w:r>
      <w:r>
        <w:rPr>
          <w:color w:val="000000" w:themeColor="text1"/>
        </w:rPr>
        <w:t>根据</w:t>
      </w:r>
      <w:r>
        <w:rPr>
          <w:rFonts w:hint="eastAsia"/>
          <w:color w:val="000000" w:themeColor="text1"/>
        </w:rPr>
        <w:t>自定义法及</w:t>
      </w:r>
      <w:r>
        <w:rPr>
          <w:color w:val="000000" w:themeColor="text1"/>
        </w:rPr>
        <w:t>项目区地形、地下水流向、含水层岩性等确定地下水环境调查评价范围面积约3.2km</w:t>
      </w:r>
      <w:r>
        <w:rPr>
          <w:color w:val="000000" w:themeColor="text1"/>
          <w:vertAlign w:val="superscript"/>
        </w:rPr>
        <w:t>2</w:t>
      </w:r>
      <w:r>
        <w:rPr>
          <w:color w:val="000000" w:themeColor="text1"/>
        </w:rPr>
        <w:t>。</w:t>
      </w:r>
    </w:p>
    <w:p>
      <w:pPr>
        <w:adjustRightInd w:val="0"/>
        <w:snapToGrid w:val="0"/>
        <w:ind w:firstLine="480"/>
        <w:rPr>
          <w:rFonts w:eastAsiaTheme="minorEastAsia"/>
          <w:color w:val="000000" w:themeColor="text1"/>
          <w:szCs w:val="24"/>
        </w:rPr>
      </w:pPr>
      <w:r>
        <w:rPr>
          <w:rFonts w:eastAsiaTheme="minorEastAsia"/>
          <w:color w:val="000000" w:themeColor="text1"/>
          <w:szCs w:val="24"/>
        </w:rPr>
        <w:t>4、声环境：项目厂界外200m范围内。</w:t>
      </w:r>
    </w:p>
    <w:p>
      <w:pPr>
        <w:adjustRightInd w:val="0"/>
        <w:snapToGrid w:val="0"/>
        <w:ind w:firstLine="480"/>
        <w:rPr>
          <w:rFonts w:eastAsiaTheme="minorEastAsia"/>
          <w:color w:val="000000" w:themeColor="text1"/>
          <w:szCs w:val="24"/>
        </w:rPr>
      </w:pPr>
      <w:r>
        <w:rPr>
          <w:rFonts w:eastAsiaTheme="minorEastAsia"/>
          <w:color w:val="000000" w:themeColor="text1"/>
          <w:szCs w:val="24"/>
        </w:rPr>
        <w:t>5、生态环境：项目厂界外200m范围内。</w:t>
      </w:r>
    </w:p>
    <w:p>
      <w:pPr>
        <w:adjustRightInd w:val="0"/>
        <w:snapToGrid w:val="0"/>
        <w:ind w:firstLine="480"/>
        <w:rPr>
          <w:rFonts w:eastAsiaTheme="minorEastAsia"/>
          <w:color w:val="000000" w:themeColor="text1"/>
          <w:szCs w:val="24"/>
        </w:rPr>
      </w:pPr>
      <w:r>
        <w:rPr>
          <w:rFonts w:eastAsiaTheme="minorEastAsia"/>
          <w:color w:val="000000" w:themeColor="text1"/>
          <w:szCs w:val="24"/>
        </w:rPr>
        <w:t>6、土壤环境：根据导则，本项目可不对土壤环境评价分析。</w:t>
      </w:r>
    </w:p>
    <w:p>
      <w:pPr>
        <w:adjustRightInd w:val="0"/>
        <w:snapToGrid w:val="0"/>
        <w:ind w:firstLine="480"/>
        <w:rPr>
          <w:rFonts w:eastAsiaTheme="minorEastAsia"/>
          <w:color w:val="000000" w:themeColor="text1"/>
          <w:szCs w:val="24"/>
          <w:highlight w:val="red"/>
        </w:rPr>
      </w:pPr>
      <w:r>
        <w:rPr>
          <w:rFonts w:eastAsiaTheme="minorEastAsia"/>
          <w:color w:val="000000" w:themeColor="text1"/>
          <w:szCs w:val="24"/>
        </w:rPr>
        <w:t>7、环境风险：根据《建设项目环境风险评价技术导则》（HJ169-2018）要求，本项目选厂风险评价等级为简单分析，不设评价范围。</w:t>
      </w:r>
      <w:r>
        <w:rPr>
          <w:color w:val="000000" w:themeColor="text1"/>
          <w:szCs w:val="24"/>
        </w:rPr>
        <w:t>根据《尾矿库环境风险评估技术导则》（HJ740-2015），辣子箐和龙都</w:t>
      </w:r>
      <w:r>
        <w:rPr>
          <w:rFonts w:eastAsiaTheme="minorEastAsia"/>
          <w:color w:val="000000" w:themeColor="text1"/>
          <w:szCs w:val="24"/>
        </w:rPr>
        <w:t>尾矿库环境风险评价范围以尾矿库初期坝为起点下游10km的范围。</w:t>
      </w: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表1.5-14项目评价等级与评价范围一览表</w:t>
      </w:r>
    </w:p>
    <w:tbl>
      <w:tblPr>
        <w:tblStyle w:val="61"/>
        <w:tblW w:w="85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4"/>
        <w:gridCol w:w="1179"/>
        <w:gridCol w:w="5033"/>
        <w:gridCol w:w="1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714" w:type="dxa"/>
            <w:vAlign w:val="center"/>
          </w:tcPr>
          <w:p>
            <w:pPr>
              <w:adjustRightInd w:val="0"/>
              <w:snapToGrid w:val="0"/>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序号</w:t>
            </w:r>
          </w:p>
        </w:tc>
        <w:tc>
          <w:tcPr>
            <w:tcW w:w="1179" w:type="dxa"/>
            <w:vAlign w:val="center"/>
          </w:tcPr>
          <w:p>
            <w:pPr>
              <w:adjustRightInd w:val="0"/>
              <w:snapToGrid w:val="0"/>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评价因子</w:t>
            </w:r>
          </w:p>
        </w:tc>
        <w:tc>
          <w:tcPr>
            <w:tcW w:w="5033" w:type="dxa"/>
            <w:vAlign w:val="center"/>
          </w:tcPr>
          <w:p>
            <w:pPr>
              <w:adjustRightInd w:val="0"/>
              <w:snapToGrid w:val="0"/>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评价范围</w:t>
            </w:r>
          </w:p>
        </w:tc>
        <w:tc>
          <w:tcPr>
            <w:tcW w:w="1590" w:type="dxa"/>
            <w:vAlign w:val="center"/>
          </w:tcPr>
          <w:p>
            <w:pPr>
              <w:adjustRightInd w:val="0"/>
              <w:snapToGrid w:val="0"/>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4"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1179"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大气环境</w:t>
            </w:r>
          </w:p>
        </w:tc>
        <w:tc>
          <w:tcPr>
            <w:tcW w:w="5033"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边长</w:t>
            </w:r>
            <w:r>
              <w:rPr>
                <w:rFonts w:hint="eastAsia" w:eastAsiaTheme="minorEastAsia"/>
                <w:color w:val="000000" w:themeColor="text1"/>
                <w:sz w:val="21"/>
                <w:szCs w:val="21"/>
              </w:rPr>
              <w:t>5</w:t>
            </w:r>
            <w:r>
              <w:rPr>
                <w:rFonts w:eastAsiaTheme="minorEastAsia"/>
                <w:color w:val="000000" w:themeColor="text1"/>
                <w:sz w:val="21"/>
                <w:szCs w:val="21"/>
              </w:rPr>
              <w:t>km的</w:t>
            </w:r>
            <w:r>
              <w:rPr>
                <w:rFonts w:hint="eastAsia" w:eastAsiaTheme="minorEastAsia"/>
                <w:color w:val="000000" w:themeColor="text1"/>
                <w:sz w:val="21"/>
                <w:szCs w:val="21"/>
              </w:rPr>
              <w:t>矩形</w:t>
            </w:r>
            <w:r>
              <w:rPr>
                <w:rFonts w:eastAsiaTheme="minorEastAsia"/>
                <w:color w:val="000000" w:themeColor="text1"/>
                <w:sz w:val="21"/>
                <w:szCs w:val="21"/>
              </w:rPr>
              <w:t>，面积</w:t>
            </w:r>
            <w:r>
              <w:rPr>
                <w:rFonts w:hint="eastAsia" w:eastAsiaTheme="minorEastAsia"/>
                <w:color w:val="000000" w:themeColor="text1"/>
                <w:sz w:val="21"/>
                <w:szCs w:val="21"/>
              </w:rPr>
              <w:t>25</w:t>
            </w:r>
            <w:r>
              <w:rPr>
                <w:rFonts w:eastAsiaTheme="minorEastAsia"/>
                <w:color w:val="000000" w:themeColor="text1"/>
                <w:sz w:val="21"/>
                <w:szCs w:val="21"/>
              </w:rPr>
              <w:t>km</w:t>
            </w:r>
            <w:r>
              <w:rPr>
                <w:rFonts w:eastAsiaTheme="minorEastAsia"/>
                <w:color w:val="000000" w:themeColor="text1"/>
                <w:sz w:val="21"/>
                <w:szCs w:val="21"/>
                <w:vertAlign w:val="superscript"/>
              </w:rPr>
              <w:t>2</w:t>
            </w:r>
          </w:p>
        </w:tc>
        <w:tc>
          <w:tcPr>
            <w:tcW w:w="1590" w:type="dxa"/>
            <w:vAlign w:val="center"/>
          </w:tcPr>
          <w:p>
            <w:pPr>
              <w:adjustRightInd w:val="0"/>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一</w:t>
            </w:r>
            <w:r>
              <w:rPr>
                <w:rFonts w:eastAsiaTheme="minorEastAsia"/>
                <w:color w:val="000000" w:themeColor="text1"/>
                <w:sz w:val="21"/>
                <w:szCs w:val="21"/>
              </w:rPr>
              <w:t>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4"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1179"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地表水环境</w:t>
            </w:r>
          </w:p>
        </w:tc>
        <w:tc>
          <w:tcPr>
            <w:tcW w:w="5033"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项目现场调查范围：以项目区困龙河上游500m处、项目区下游2600m（困龙河），共3100m范围。</w:t>
            </w:r>
          </w:p>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影响评价范围：项目生产废水处理达标后全部回用于生产，不外排。项目生活污水处理达到《城市污水再生利用城市杂用水水质》（GB/T18920-20</w:t>
            </w:r>
            <w:r>
              <w:rPr>
                <w:rFonts w:hint="eastAsia" w:eastAsiaTheme="minorEastAsia"/>
                <w:color w:val="000000" w:themeColor="text1"/>
                <w:sz w:val="21"/>
                <w:szCs w:val="21"/>
              </w:rPr>
              <w:t>20</w:t>
            </w:r>
            <w:r>
              <w:rPr>
                <w:rFonts w:eastAsiaTheme="minorEastAsia"/>
                <w:color w:val="000000" w:themeColor="text1"/>
                <w:sz w:val="21"/>
                <w:szCs w:val="21"/>
              </w:rPr>
              <w:t>）绿化水质标准，全部回用于绿化，不外排，不设评价范围。</w:t>
            </w:r>
          </w:p>
        </w:tc>
        <w:tc>
          <w:tcPr>
            <w:tcW w:w="159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三级B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4"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179"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地下水环境</w:t>
            </w:r>
          </w:p>
        </w:tc>
        <w:tc>
          <w:tcPr>
            <w:tcW w:w="5033" w:type="dxa"/>
            <w:vAlign w:val="center"/>
          </w:tcPr>
          <w:p>
            <w:pPr>
              <w:adjustRightInd w:val="0"/>
              <w:snapToGrid w:val="0"/>
              <w:ind w:firstLine="0" w:firstLineChars="0"/>
              <w:rPr>
                <w:rFonts w:eastAsiaTheme="minorEastAsia"/>
                <w:color w:val="000000" w:themeColor="text1"/>
                <w:sz w:val="21"/>
                <w:szCs w:val="21"/>
              </w:rPr>
            </w:pPr>
            <w:r>
              <w:rPr>
                <w:color w:val="000000" w:themeColor="text1"/>
                <w:sz w:val="21"/>
                <w:szCs w:val="21"/>
              </w:rPr>
              <w:t>以厂区附近断层开始向东南展布的含水层，面积约3.2km</w:t>
            </w:r>
            <w:r>
              <w:rPr>
                <w:color w:val="000000" w:themeColor="text1"/>
                <w:sz w:val="21"/>
                <w:szCs w:val="21"/>
                <w:vertAlign w:val="superscript"/>
              </w:rPr>
              <w:t>2</w:t>
            </w:r>
            <w:r>
              <w:rPr>
                <w:color w:val="000000" w:themeColor="text1"/>
                <w:sz w:val="21"/>
                <w:szCs w:val="21"/>
              </w:rPr>
              <w:t>。</w:t>
            </w:r>
          </w:p>
        </w:tc>
        <w:tc>
          <w:tcPr>
            <w:tcW w:w="159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4"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4</w:t>
            </w:r>
          </w:p>
        </w:tc>
        <w:tc>
          <w:tcPr>
            <w:tcW w:w="1179"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声环境</w:t>
            </w:r>
          </w:p>
        </w:tc>
        <w:tc>
          <w:tcPr>
            <w:tcW w:w="5033"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项目内及四周边界外200m范围内</w:t>
            </w:r>
          </w:p>
        </w:tc>
        <w:tc>
          <w:tcPr>
            <w:tcW w:w="159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4"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5</w:t>
            </w:r>
          </w:p>
        </w:tc>
        <w:tc>
          <w:tcPr>
            <w:tcW w:w="1179"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生态环境</w:t>
            </w:r>
          </w:p>
        </w:tc>
        <w:tc>
          <w:tcPr>
            <w:tcW w:w="5033"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项目厂界外200m范围内</w:t>
            </w:r>
          </w:p>
        </w:tc>
        <w:tc>
          <w:tcPr>
            <w:tcW w:w="159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一般影响分析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4"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6</w:t>
            </w:r>
          </w:p>
        </w:tc>
        <w:tc>
          <w:tcPr>
            <w:tcW w:w="1179"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土壤环境</w:t>
            </w:r>
          </w:p>
        </w:tc>
        <w:tc>
          <w:tcPr>
            <w:tcW w:w="5033"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根据导则，本项目可不对土壤环境评价分析</w:t>
            </w:r>
          </w:p>
        </w:tc>
        <w:tc>
          <w:tcPr>
            <w:tcW w:w="159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4" w:type="dxa"/>
            <w:vMerge w:val="restart"/>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7</w:t>
            </w:r>
          </w:p>
        </w:tc>
        <w:tc>
          <w:tcPr>
            <w:tcW w:w="1179" w:type="dxa"/>
            <w:vMerge w:val="restart"/>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环境风险</w:t>
            </w:r>
          </w:p>
        </w:tc>
        <w:tc>
          <w:tcPr>
            <w:tcW w:w="5033" w:type="dxa"/>
            <w:vAlign w:val="center"/>
          </w:tcPr>
          <w:p>
            <w:pPr>
              <w:adjustRightInd w:val="0"/>
              <w:snapToGrid w:val="0"/>
              <w:ind w:firstLine="0" w:firstLineChars="0"/>
              <w:rPr>
                <w:rFonts w:eastAsiaTheme="minorEastAsia"/>
                <w:color w:val="000000" w:themeColor="text1"/>
                <w:sz w:val="21"/>
                <w:szCs w:val="21"/>
              </w:rPr>
            </w:pPr>
            <w:r>
              <w:rPr>
                <w:rFonts w:hint="eastAsia" w:eastAsiaTheme="minorEastAsia"/>
                <w:color w:val="000000" w:themeColor="text1"/>
                <w:sz w:val="21"/>
                <w:szCs w:val="21"/>
              </w:rPr>
              <w:t>不设评价范围</w:t>
            </w:r>
          </w:p>
        </w:tc>
        <w:tc>
          <w:tcPr>
            <w:tcW w:w="159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4" w:type="dxa"/>
            <w:vMerge w:val="continue"/>
            <w:vAlign w:val="center"/>
          </w:tcPr>
          <w:p>
            <w:pPr>
              <w:adjustRightInd w:val="0"/>
              <w:snapToGrid w:val="0"/>
              <w:ind w:firstLine="0" w:firstLineChars="0"/>
              <w:jc w:val="center"/>
              <w:rPr>
                <w:rFonts w:eastAsiaTheme="minorEastAsia"/>
                <w:color w:val="000000" w:themeColor="text1"/>
                <w:sz w:val="21"/>
                <w:szCs w:val="21"/>
              </w:rPr>
            </w:pPr>
          </w:p>
        </w:tc>
        <w:tc>
          <w:tcPr>
            <w:tcW w:w="1179" w:type="dxa"/>
            <w:vMerge w:val="continue"/>
            <w:vAlign w:val="center"/>
          </w:tcPr>
          <w:p>
            <w:pPr>
              <w:adjustRightInd w:val="0"/>
              <w:snapToGrid w:val="0"/>
              <w:ind w:firstLine="0" w:firstLineChars="0"/>
              <w:jc w:val="center"/>
              <w:rPr>
                <w:rFonts w:eastAsiaTheme="minorEastAsia"/>
                <w:color w:val="000000" w:themeColor="text1"/>
                <w:sz w:val="21"/>
                <w:szCs w:val="21"/>
              </w:rPr>
            </w:pPr>
          </w:p>
        </w:tc>
        <w:tc>
          <w:tcPr>
            <w:tcW w:w="5033" w:type="dxa"/>
            <w:vAlign w:val="center"/>
          </w:tcPr>
          <w:p>
            <w:pPr>
              <w:adjustRightInd w:val="0"/>
              <w:snapToGrid w:val="0"/>
              <w:ind w:firstLine="0" w:firstLineChars="0"/>
              <w:rPr>
                <w:rFonts w:eastAsiaTheme="minorEastAsia"/>
                <w:color w:val="000000" w:themeColor="text1"/>
                <w:sz w:val="21"/>
                <w:szCs w:val="21"/>
              </w:rPr>
            </w:pPr>
            <w:r>
              <w:rPr>
                <w:rFonts w:eastAsiaTheme="minorEastAsia"/>
                <w:color w:val="000000" w:themeColor="text1"/>
                <w:sz w:val="21"/>
                <w:szCs w:val="21"/>
              </w:rPr>
              <w:t>辣子箐尾矿库初期坝为起点下游10km的范围</w:t>
            </w:r>
          </w:p>
        </w:tc>
        <w:tc>
          <w:tcPr>
            <w:tcW w:w="159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一般（H2S2R3）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4" w:type="dxa"/>
            <w:vMerge w:val="continue"/>
            <w:vAlign w:val="center"/>
          </w:tcPr>
          <w:p>
            <w:pPr>
              <w:adjustRightInd w:val="0"/>
              <w:snapToGrid w:val="0"/>
              <w:ind w:firstLine="0" w:firstLineChars="0"/>
              <w:jc w:val="center"/>
              <w:rPr>
                <w:rFonts w:eastAsiaTheme="minorEastAsia"/>
                <w:color w:val="000000" w:themeColor="text1"/>
                <w:sz w:val="21"/>
                <w:szCs w:val="21"/>
              </w:rPr>
            </w:pPr>
          </w:p>
        </w:tc>
        <w:tc>
          <w:tcPr>
            <w:tcW w:w="1179" w:type="dxa"/>
            <w:vMerge w:val="continue"/>
            <w:vAlign w:val="center"/>
          </w:tcPr>
          <w:p>
            <w:pPr>
              <w:adjustRightInd w:val="0"/>
              <w:snapToGrid w:val="0"/>
              <w:ind w:firstLine="0" w:firstLineChars="0"/>
              <w:jc w:val="center"/>
              <w:rPr>
                <w:rFonts w:eastAsiaTheme="minorEastAsia"/>
                <w:color w:val="000000" w:themeColor="text1"/>
                <w:sz w:val="21"/>
                <w:szCs w:val="21"/>
              </w:rPr>
            </w:pPr>
          </w:p>
        </w:tc>
        <w:tc>
          <w:tcPr>
            <w:tcW w:w="5033" w:type="dxa"/>
            <w:vAlign w:val="center"/>
          </w:tcPr>
          <w:p>
            <w:pPr>
              <w:adjustRightInd w:val="0"/>
              <w:snapToGrid w:val="0"/>
              <w:ind w:firstLine="0" w:firstLineChars="0"/>
              <w:rPr>
                <w:rFonts w:eastAsiaTheme="minorEastAsia"/>
                <w:color w:val="000000" w:themeColor="text1"/>
                <w:sz w:val="21"/>
                <w:szCs w:val="21"/>
                <w:highlight w:val="red"/>
              </w:rPr>
            </w:pPr>
            <w:r>
              <w:rPr>
                <w:rFonts w:eastAsiaTheme="minorEastAsia"/>
                <w:color w:val="000000" w:themeColor="text1"/>
                <w:sz w:val="21"/>
                <w:szCs w:val="21"/>
              </w:rPr>
              <w:t>龙都尾矿库初期坝为起点下游10km的范围</w:t>
            </w:r>
          </w:p>
        </w:tc>
        <w:tc>
          <w:tcPr>
            <w:tcW w:w="1590" w:type="dxa"/>
            <w:vAlign w:val="center"/>
          </w:tcPr>
          <w:p>
            <w:pPr>
              <w:adjustRightInd w:val="0"/>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较大（H1S2R3）</w:t>
            </w:r>
          </w:p>
        </w:tc>
      </w:tr>
    </w:tbl>
    <w:p>
      <w:pPr>
        <w:pStyle w:val="574"/>
        <w:spacing w:beforeLines="0" w:afterLines="0"/>
        <w:rPr>
          <w:rFonts w:eastAsiaTheme="minorEastAsia"/>
          <w:color w:val="000000" w:themeColor="text1"/>
          <w:sz w:val="30"/>
          <w:szCs w:val="30"/>
        </w:rPr>
      </w:pPr>
      <w:bookmarkStart w:id="331" w:name="_Toc30318"/>
      <w:r>
        <w:rPr>
          <w:rFonts w:eastAsiaTheme="minorEastAsia"/>
          <w:color w:val="000000" w:themeColor="text1"/>
          <w:sz w:val="30"/>
          <w:szCs w:val="30"/>
        </w:rPr>
        <w:t>1.6评价内容及评价重点</w:t>
      </w:r>
      <w:bookmarkEnd w:id="331"/>
    </w:p>
    <w:p>
      <w:pPr>
        <w:pStyle w:val="6"/>
        <w:spacing w:beforeLines="0" w:afterLines="0"/>
        <w:rPr>
          <w:rFonts w:eastAsiaTheme="minorEastAsia"/>
          <w:color w:val="000000" w:themeColor="text1"/>
          <w:sz w:val="28"/>
          <w:szCs w:val="28"/>
        </w:rPr>
      </w:pPr>
      <w:bookmarkStart w:id="332" w:name="_Toc18518007"/>
      <w:bookmarkStart w:id="333" w:name="_Toc20519"/>
      <w:r>
        <w:rPr>
          <w:rFonts w:eastAsiaTheme="minorEastAsia"/>
          <w:color w:val="000000" w:themeColor="text1"/>
          <w:sz w:val="28"/>
          <w:szCs w:val="28"/>
        </w:rPr>
        <w:t>1.6.1评价内容</w:t>
      </w:r>
      <w:bookmarkEnd w:id="332"/>
      <w:bookmarkEnd w:id="333"/>
    </w:p>
    <w:p>
      <w:pPr>
        <w:ind w:firstLine="480"/>
        <w:rPr>
          <w:rFonts w:eastAsiaTheme="minorEastAsia"/>
          <w:color w:val="000000" w:themeColor="text1"/>
          <w:szCs w:val="24"/>
        </w:rPr>
      </w:pPr>
      <w:r>
        <w:rPr>
          <w:rFonts w:eastAsiaTheme="minorEastAsia"/>
          <w:color w:val="000000" w:themeColor="text1"/>
          <w:szCs w:val="24"/>
        </w:rPr>
        <w:t>1、工程分析及污染源项调查，确定主要污染源和主要污染物的排放参数，并论证有关环保治理措施的技术及经济可行性；</w:t>
      </w:r>
    </w:p>
    <w:p>
      <w:pPr>
        <w:ind w:firstLine="480"/>
        <w:rPr>
          <w:rFonts w:eastAsiaTheme="minorEastAsia"/>
          <w:color w:val="000000" w:themeColor="text1"/>
          <w:szCs w:val="24"/>
        </w:rPr>
      </w:pPr>
      <w:r>
        <w:rPr>
          <w:rFonts w:eastAsiaTheme="minorEastAsia"/>
          <w:color w:val="000000" w:themeColor="text1"/>
          <w:szCs w:val="24"/>
        </w:rPr>
        <w:t>2、调查了解建设地区环境质量现状；</w:t>
      </w:r>
    </w:p>
    <w:p>
      <w:pPr>
        <w:ind w:firstLine="480"/>
        <w:rPr>
          <w:rFonts w:eastAsiaTheme="minorEastAsia"/>
          <w:color w:val="000000" w:themeColor="text1"/>
          <w:szCs w:val="24"/>
        </w:rPr>
      </w:pPr>
      <w:r>
        <w:rPr>
          <w:rFonts w:eastAsiaTheme="minorEastAsia"/>
          <w:color w:val="000000" w:themeColor="text1"/>
          <w:szCs w:val="24"/>
        </w:rPr>
        <w:t>3、环境影响预测</w:t>
      </w:r>
    </w:p>
    <w:p>
      <w:pPr>
        <w:ind w:firstLine="480"/>
        <w:rPr>
          <w:rFonts w:eastAsiaTheme="minorEastAsia"/>
          <w:color w:val="000000" w:themeColor="text1"/>
          <w:szCs w:val="24"/>
        </w:rPr>
      </w:pPr>
      <w:r>
        <w:rPr>
          <w:rFonts w:eastAsiaTheme="minorEastAsia"/>
          <w:color w:val="000000" w:themeColor="text1"/>
          <w:szCs w:val="24"/>
        </w:rPr>
        <w:t>（1）废气排放的环境影响评价：包括污染物达标排放分析和环境影响预测；</w:t>
      </w:r>
    </w:p>
    <w:p>
      <w:pPr>
        <w:ind w:firstLine="480"/>
        <w:rPr>
          <w:rFonts w:eastAsiaTheme="minorEastAsia"/>
          <w:color w:val="000000" w:themeColor="text1"/>
          <w:szCs w:val="24"/>
        </w:rPr>
      </w:pPr>
      <w:r>
        <w:rPr>
          <w:rFonts w:eastAsiaTheme="minorEastAsia"/>
          <w:color w:val="000000" w:themeColor="text1"/>
          <w:szCs w:val="24"/>
        </w:rPr>
        <w:t>（2）地表水环境影响评价：分析废水去向的可行性，对废水不外排的可行性和可靠性进行论证；</w:t>
      </w:r>
    </w:p>
    <w:p>
      <w:pPr>
        <w:ind w:firstLine="480"/>
        <w:rPr>
          <w:color w:val="000000" w:themeColor="text1"/>
        </w:rPr>
      </w:pPr>
      <w:r>
        <w:rPr>
          <w:rFonts w:eastAsiaTheme="minorEastAsia"/>
          <w:color w:val="000000" w:themeColor="text1"/>
          <w:szCs w:val="24"/>
        </w:rPr>
        <w:t>（3）地下水环境影响评价：调查选矿活动对评价区水资源、水质的影响和对周围饮用水的影响；</w:t>
      </w:r>
    </w:p>
    <w:p>
      <w:pPr>
        <w:ind w:firstLine="480"/>
        <w:rPr>
          <w:rFonts w:eastAsiaTheme="minorEastAsia"/>
          <w:color w:val="000000" w:themeColor="text1"/>
          <w:szCs w:val="24"/>
        </w:rPr>
      </w:pPr>
      <w:r>
        <w:rPr>
          <w:rFonts w:eastAsiaTheme="minorEastAsia"/>
          <w:color w:val="000000" w:themeColor="text1"/>
          <w:szCs w:val="24"/>
        </w:rPr>
        <w:t>（4）噪声对环境的影响分析；</w:t>
      </w:r>
    </w:p>
    <w:p>
      <w:pPr>
        <w:ind w:firstLine="480"/>
        <w:rPr>
          <w:rFonts w:eastAsiaTheme="minorEastAsia"/>
          <w:color w:val="000000" w:themeColor="text1"/>
          <w:szCs w:val="24"/>
        </w:rPr>
      </w:pPr>
      <w:r>
        <w:rPr>
          <w:rFonts w:eastAsiaTheme="minorEastAsia"/>
          <w:color w:val="000000" w:themeColor="text1"/>
          <w:szCs w:val="24"/>
        </w:rPr>
        <w:t>（5）各种固体废物处置措施的可行性分析；</w:t>
      </w:r>
    </w:p>
    <w:p>
      <w:pPr>
        <w:ind w:firstLine="480"/>
        <w:rPr>
          <w:rFonts w:eastAsiaTheme="minorEastAsia"/>
          <w:color w:val="000000" w:themeColor="text1"/>
          <w:szCs w:val="24"/>
        </w:rPr>
      </w:pPr>
      <w:r>
        <w:rPr>
          <w:rFonts w:eastAsiaTheme="minorEastAsia"/>
          <w:color w:val="000000" w:themeColor="text1"/>
          <w:szCs w:val="24"/>
        </w:rPr>
        <w:t>（6）环境风险预测分析；</w:t>
      </w:r>
    </w:p>
    <w:p>
      <w:pPr>
        <w:ind w:firstLine="480"/>
        <w:rPr>
          <w:rFonts w:eastAsiaTheme="minorEastAsia"/>
          <w:color w:val="000000" w:themeColor="text1"/>
          <w:szCs w:val="24"/>
        </w:rPr>
      </w:pPr>
      <w:r>
        <w:rPr>
          <w:rFonts w:eastAsiaTheme="minorEastAsia"/>
          <w:color w:val="000000" w:themeColor="text1"/>
          <w:szCs w:val="24"/>
        </w:rPr>
        <w:t>4、污染物的排放总量控制分析；</w:t>
      </w:r>
    </w:p>
    <w:p>
      <w:pPr>
        <w:ind w:firstLine="480"/>
        <w:rPr>
          <w:rFonts w:eastAsiaTheme="minorEastAsia"/>
          <w:color w:val="000000" w:themeColor="text1"/>
          <w:szCs w:val="24"/>
        </w:rPr>
      </w:pPr>
      <w:r>
        <w:rPr>
          <w:rFonts w:eastAsiaTheme="minorEastAsia"/>
          <w:color w:val="000000" w:themeColor="text1"/>
          <w:szCs w:val="24"/>
        </w:rPr>
        <w:t>5、进行环境经济损益分析；</w:t>
      </w:r>
    </w:p>
    <w:p>
      <w:pPr>
        <w:ind w:firstLine="480"/>
        <w:rPr>
          <w:rFonts w:eastAsiaTheme="minorEastAsia"/>
          <w:color w:val="000000" w:themeColor="text1"/>
          <w:szCs w:val="24"/>
        </w:rPr>
      </w:pPr>
      <w:r>
        <w:rPr>
          <w:rFonts w:eastAsiaTheme="minorEastAsia"/>
          <w:color w:val="000000" w:themeColor="text1"/>
          <w:szCs w:val="24"/>
        </w:rPr>
        <w:t>6、综合论证拟建项目环境可行性，针对项目特点，对污染治理，环境管理与监测等提出对策建议。</w:t>
      </w:r>
    </w:p>
    <w:p>
      <w:pPr>
        <w:pStyle w:val="6"/>
        <w:spacing w:beforeLines="0" w:afterLines="0"/>
        <w:rPr>
          <w:rFonts w:eastAsiaTheme="minorEastAsia"/>
          <w:color w:val="000000" w:themeColor="text1"/>
          <w:sz w:val="28"/>
          <w:szCs w:val="28"/>
        </w:rPr>
      </w:pPr>
      <w:bookmarkStart w:id="334" w:name="_Toc12814"/>
      <w:bookmarkStart w:id="335" w:name="_Toc18518008"/>
      <w:r>
        <w:rPr>
          <w:rFonts w:eastAsiaTheme="minorEastAsia"/>
          <w:color w:val="000000" w:themeColor="text1"/>
          <w:sz w:val="28"/>
          <w:szCs w:val="28"/>
        </w:rPr>
        <w:t>1.6.2评价重点</w:t>
      </w:r>
      <w:bookmarkEnd w:id="334"/>
      <w:bookmarkEnd w:id="335"/>
    </w:p>
    <w:p>
      <w:pPr>
        <w:autoSpaceDE w:val="0"/>
        <w:autoSpaceDN w:val="0"/>
        <w:adjustRightInd w:val="0"/>
        <w:ind w:firstLine="480"/>
        <w:rPr>
          <w:color w:val="000000" w:themeColor="text1"/>
          <w:szCs w:val="24"/>
        </w:rPr>
      </w:pPr>
      <w:r>
        <w:rPr>
          <w:color w:val="000000" w:themeColor="text1"/>
          <w:szCs w:val="24"/>
        </w:rPr>
        <w:t>通过对本项目的环境影响进行分析、识别，确定环评报告书的重点内容为：</w:t>
      </w:r>
    </w:p>
    <w:p>
      <w:pPr>
        <w:numPr>
          <w:ilvl w:val="0"/>
          <w:numId w:val="25"/>
        </w:numPr>
        <w:autoSpaceDE w:val="0"/>
        <w:autoSpaceDN w:val="0"/>
        <w:adjustRightInd w:val="0"/>
        <w:ind w:firstLine="480"/>
        <w:rPr>
          <w:color w:val="000000" w:themeColor="text1"/>
          <w:szCs w:val="24"/>
        </w:rPr>
      </w:pPr>
      <w:r>
        <w:rPr>
          <w:color w:val="000000" w:themeColor="text1"/>
          <w:szCs w:val="24"/>
        </w:rPr>
        <w:t>工程分析</w:t>
      </w:r>
    </w:p>
    <w:p>
      <w:pPr>
        <w:numPr>
          <w:ilvl w:val="0"/>
          <w:numId w:val="25"/>
        </w:numPr>
        <w:autoSpaceDE w:val="0"/>
        <w:autoSpaceDN w:val="0"/>
        <w:adjustRightInd w:val="0"/>
        <w:ind w:firstLine="480"/>
        <w:rPr>
          <w:color w:val="000000" w:themeColor="text1"/>
          <w:szCs w:val="24"/>
        </w:rPr>
      </w:pPr>
      <w:r>
        <w:rPr>
          <w:color w:val="000000" w:themeColor="text1"/>
          <w:szCs w:val="24"/>
        </w:rPr>
        <w:t>项目生产废水不外排的可行性、可靠性论证；</w:t>
      </w:r>
    </w:p>
    <w:p>
      <w:pPr>
        <w:pStyle w:val="618"/>
        <w:autoSpaceDE w:val="0"/>
        <w:autoSpaceDN w:val="0"/>
        <w:adjustRightInd w:val="0"/>
        <w:ind w:firstLine="480"/>
        <w:rPr>
          <w:color w:val="000000" w:themeColor="text1"/>
          <w:szCs w:val="24"/>
        </w:rPr>
      </w:pPr>
      <w:r>
        <w:rPr>
          <w:color w:val="000000" w:themeColor="text1"/>
          <w:szCs w:val="24"/>
        </w:rPr>
        <w:t>3、固体废物处置的可行性、可靠性分析评述，提出防止固体废物环境污染的对策、措施；</w:t>
      </w:r>
    </w:p>
    <w:p>
      <w:pPr>
        <w:pStyle w:val="618"/>
        <w:autoSpaceDE w:val="0"/>
        <w:autoSpaceDN w:val="0"/>
        <w:adjustRightInd w:val="0"/>
        <w:ind w:firstLine="480"/>
        <w:rPr>
          <w:color w:val="000000" w:themeColor="text1"/>
          <w:szCs w:val="24"/>
        </w:rPr>
      </w:pPr>
      <w:r>
        <w:rPr>
          <w:color w:val="000000" w:themeColor="text1"/>
          <w:szCs w:val="24"/>
        </w:rPr>
        <w:t>4、对项目环境风险源识别，源项分析，说明影响范围和程度，提出防范、减缓和应急措施；</w:t>
      </w:r>
    </w:p>
    <w:p>
      <w:pPr>
        <w:pStyle w:val="23"/>
        <w:spacing w:line="360" w:lineRule="auto"/>
        <w:ind w:firstLine="480"/>
        <w:rPr>
          <w:rFonts w:eastAsiaTheme="minorEastAsia"/>
          <w:color w:val="000000" w:themeColor="text1"/>
        </w:rPr>
      </w:pPr>
      <w:r>
        <w:rPr>
          <w:color w:val="000000" w:themeColor="text1"/>
          <w:sz w:val="24"/>
        </w:rPr>
        <w:t>5、对照相关规范分析项目尾矿依托原有尾矿库的条件和影响。</w:t>
      </w:r>
    </w:p>
    <w:p>
      <w:pPr>
        <w:pStyle w:val="574"/>
        <w:spacing w:beforeLines="0" w:afterLines="0"/>
        <w:rPr>
          <w:rFonts w:eastAsiaTheme="minorEastAsia"/>
          <w:color w:val="000000" w:themeColor="text1"/>
          <w:sz w:val="30"/>
          <w:szCs w:val="30"/>
        </w:rPr>
      </w:pPr>
      <w:bookmarkStart w:id="336" w:name="_Toc29208"/>
      <w:r>
        <w:rPr>
          <w:rFonts w:eastAsiaTheme="minorEastAsia"/>
          <w:color w:val="000000" w:themeColor="text1"/>
          <w:sz w:val="30"/>
          <w:szCs w:val="30"/>
        </w:rPr>
        <w:t>1.7主要环境保护目标</w:t>
      </w:r>
      <w:bookmarkEnd w:id="329"/>
      <w:bookmarkEnd w:id="336"/>
    </w:p>
    <w:p>
      <w:pPr>
        <w:pStyle w:val="134"/>
        <w:ind w:firstLine="480"/>
        <w:rPr>
          <w:rFonts w:eastAsiaTheme="minorEastAsia"/>
          <w:color w:val="000000" w:themeColor="text1"/>
        </w:rPr>
      </w:pPr>
      <w:r>
        <w:rPr>
          <w:rFonts w:eastAsiaTheme="minorEastAsia"/>
          <w:color w:val="000000" w:themeColor="text1"/>
        </w:rPr>
        <w:t>根据现场踏勘调查，选厂评价范围及生态评价范围内无风景名胜区、森林公园、文物古迹、珍稀野生动植物等环境敏感点；地表无铁路、高速公路等大型建（构）筑物等。</w:t>
      </w:r>
    </w:p>
    <w:p>
      <w:pPr>
        <w:pStyle w:val="134"/>
        <w:ind w:firstLine="480"/>
        <w:rPr>
          <w:rFonts w:eastAsiaTheme="minorEastAsia"/>
          <w:color w:val="000000" w:themeColor="text1"/>
        </w:rPr>
      </w:pPr>
      <w:r>
        <w:rPr>
          <w:rFonts w:eastAsiaTheme="minorEastAsia"/>
          <w:color w:val="000000" w:themeColor="text1"/>
        </w:rPr>
        <w:t>该项目选厂环境保护目标见表1.7-1。</w:t>
      </w:r>
    </w:p>
    <w:p>
      <w:pPr>
        <w:widowControl/>
        <w:ind w:firstLine="0" w:firstLineChars="0"/>
        <w:jc w:val="center"/>
        <w:rPr>
          <w:rFonts w:eastAsiaTheme="minorEastAsia"/>
          <w:color w:val="000000" w:themeColor="text1"/>
          <w:szCs w:val="24"/>
        </w:rPr>
      </w:pPr>
      <w:r>
        <w:rPr>
          <w:rFonts w:eastAsiaTheme="minorEastAsia"/>
          <w:b/>
          <w:color w:val="000000" w:themeColor="text1"/>
          <w:sz w:val="21"/>
          <w:szCs w:val="20"/>
        </w:rPr>
        <w:t>表1.7-1选厂主要环境保护目标一览表</w:t>
      </w:r>
    </w:p>
    <w:tbl>
      <w:tblPr>
        <w:tblStyle w:val="61"/>
        <w:tblW w:w="856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5"/>
        <w:gridCol w:w="960"/>
        <w:gridCol w:w="1320"/>
        <w:gridCol w:w="1473"/>
        <w:gridCol w:w="983"/>
        <w:gridCol w:w="780"/>
        <w:gridCol w:w="792"/>
        <w:gridCol w:w="17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455"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环境</w:t>
            </w:r>
          </w:p>
        </w:tc>
        <w:tc>
          <w:tcPr>
            <w:tcW w:w="960"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保护目标</w:t>
            </w:r>
          </w:p>
        </w:tc>
        <w:tc>
          <w:tcPr>
            <w:tcW w:w="2793" w:type="dxa"/>
            <w:gridSpan w:val="2"/>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坐标</w:t>
            </w:r>
          </w:p>
        </w:tc>
        <w:tc>
          <w:tcPr>
            <w:tcW w:w="983"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人口（人）</w:t>
            </w:r>
          </w:p>
        </w:tc>
        <w:tc>
          <w:tcPr>
            <w:tcW w:w="780"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与厂界的方位</w:t>
            </w:r>
          </w:p>
        </w:tc>
        <w:tc>
          <w:tcPr>
            <w:tcW w:w="792"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与选厂的距离（m）</w:t>
            </w:r>
          </w:p>
        </w:tc>
        <w:tc>
          <w:tcPr>
            <w:tcW w:w="1799"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环境功能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jc w:val="center"/>
        </w:trPr>
        <w:tc>
          <w:tcPr>
            <w:tcW w:w="455" w:type="dxa"/>
            <w:vMerge w:val="continue"/>
            <w:vAlign w:val="center"/>
          </w:tcPr>
          <w:p>
            <w:pPr>
              <w:spacing w:line="240" w:lineRule="auto"/>
              <w:ind w:firstLine="420"/>
              <w:jc w:val="center"/>
              <w:rPr>
                <w:rFonts w:eastAsiaTheme="minorEastAsia"/>
                <w:color w:val="000000" w:themeColor="text1"/>
                <w:sz w:val="21"/>
                <w:szCs w:val="21"/>
              </w:rPr>
            </w:pPr>
          </w:p>
        </w:tc>
        <w:tc>
          <w:tcPr>
            <w:tcW w:w="960" w:type="dxa"/>
            <w:vMerge w:val="continue"/>
            <w:vAlign w:val="center"/>
          </w:tcPr>
          <w:p>
            <w:pPr>
              <w:spacing w:line="240" w:lineRule="auto"/>
              <w:ind w:firstLine="420"/>
              <w:jc w:val="center"/>
              <w:rPr>
                <w:rFonts w:eastAsiaTheme="minorEastAsia"/>
                <w:color w:val="000000" w:themeColor="text1"/>
                <w:sz w:val="21"/>
                <w:szCs w:val="21"/>
              </w:rPr>
            </w:pPr>
          </w:p>
        </w:tc>
        <w:tc>
          <w:tcPr>
            <w:tcW w:w="13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纬度</w:t>
            </w:r>
          </w:p>
        </w:tc>
        <w:tc>
          <w:tcPr>
            <w:tcW w:w="1473"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经度</w:t>
            </w:r>
          </w:p>
        </w:tc>
        <w:tc>
          <w:tcPr>
            <w:tcW w:w="983" w:type="dxa"/>
            <w:vMerge w:val="continue"/>
            <w:vAlign w:val="center"/>
          </w:tcPr>
          <w:p>
            <w:pPr>
              <w:spacing w:line="240" w:lineRule="auto"/>
              <w:ind w:firstLine="420"/>
              <w:jc w:val="center"/>
              <w:rPr>
                <w:rFonts w:eastAsiaTheme="minorEastAsia"/>
                <w:color w:val="000000" w:themeColor="text1"/>
                <w:sz w:val="21"/>
                <w:szCs w:val="21"/>
              </w:rPr>
            </w:pPr>
          </w:p>
        </w:tc>
        <w:tc>
          <w:tcPr>
            <w:tcW w:w="780" w:type="dxa"/>
            <w:vMerge w:val="continue"/>
            <w:vAlign w:val="center"/>
          </w:tcPr>
          <w:p>
            <w:pPr>
              <w:spacing w:line="240" w:lineRule="auto"/>
              <w:ind w:firstLine="420"/>
              <w:jc w:val="center"/>
              <w:rPr>
                <w:rFonts w:eastAsiaTheme="minorEastAsia"/>
                <w:color w:val="000000" w:themeColor="text1"/>
                <w:sz w:val="21"/>
                <w:szCs w:val="21"/>
              </w:rPr>
            </w:pPr>
          </w:p>
        </w:tc>
        <w:tc>
          <w:tcPr>
            <w:tcW w:w="792" w:type="dxa"/>
            <w:vMerge w:val="continue"/>
            <w:vAlign w:val="center"/>
          </w:tcPr>
          <w:p>
            <w:pPr>
              <w:spacing w:line="240" w:lineRule="auto"/>
              <w:ind w:firstLine="420"/>
              <w:jc w:val="center"/>
              <w:rPr>
                <w:rFonts w:eastAsiaTheme="minorEastAsia"/>
                <w:color w:val="000000" w:themeColor="text1"/>
                <w:sz w:val="21"/>
                <w:szCs w:val="21"/>
              </w:rPr>
            </w:pPr>
          </w:p>
        </w:tc>
        <w:tc>
          <w:tcPr>
            <w:tcW w:w="1799" w:type="dxa"/>
            <w:vMerge w:val="continue"/>
            <w:vAlign w:val="center"/>
          </w:tcPr>
          <w:p>
            <w:pPr>
              <w:spacing w:line="240" w:lineRule="auto"/>
              <w:ind w:firstLine="42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7" w:hRule="atLeast"/>
          <w:jc w:val="center"/>
        </w:trPr>
        <w:tc>
          <w:tcPr>
            <w:tcW w:w="455"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大气环境</w:t>
            </w:r>
          </w:p>
        </w:tc>
        <w:tc>
          <w:tcPr>
            <w:tcW w:w="960"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四坡斗村</w:t>
            </w:r>
          </w:p>
        </w:tc>
        <w:tc>
          <w:tcPr>
            <w:tcW w:w="1320"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24.079605</w:t>
            </w:r>
          </w:p>
        </w:tc>
        <w:tc>
          <w:tcPr>
            <w:tcW w:w="1473"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101.609019</w:t>
            </w:r>
          </w:p>
        </w:tc>
        <w:tc>
          <w:tcPr>
            <w:tcW w:w="983"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180</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东北</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1098</w:t>
            </w:r>
          </w:p>
        </w:tc>
        <w:tc>
          <w:tcPr>
            <w:tcW w:w="1799"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《环境空气质量标准》（GB3095-2012）二类</w:t>
            </w:r>
            <w:r>
              <w:rPr>
                <w:rFonts w:hint="eastAsia" w:eastAsiaTheme="minorEastAsia"/>
                <w:color w:val="000000" w:themeColor="text1"/>
                <w:sz w:val="21"/>
                <w:szCs w:val="21"/>
              </w:rPr>
              <w:t>及2018年修改单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7" w:hRule="atLeast"/>
          <w:jc w:val="center"/>
        </w:trPr>
        <w:tc>
          <w:tcPr>
            <w:tcW w:w="455" w:type="dxa"/>
            <w:vMerge w:val="continue"/>
            <w:vAlign w:val="center"/>
          </w:tcPr>
          <w:p>
            <w:pPr>
              <w:spacing w:line="240" w:lineRule="auto"/>
              <w:ind w:firstLine="420"/>
              <w:jc w:val="center"/>
              <w:rPr>
                <w:rFonts w:eastAsiaTheme="minorEastAsia"/>
                <w:color w:val="000000" w:themeColor="text1"/>
                <w:sz w:val="21"/>
                <w:szCs w:val="21"/>
              </w:rPr>
            </w:pPr>
          </w:p>
        </w:tc>
        <w:tc>
          <w:tcPr>
            <w:tcW w:w="960"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大平掌</w:t>
            </w:r>
          </w:p>
        </w:tc>
        <w:tc>
          <w:tcPr>
            <w:tcW w:w="13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24.080381</w:t>
            </w:r>
          </w:p>
        </w:tc>
        <w:tc>
          <w:tcPr>
            <w:tcW w:w="1473"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101.620386</w:t>
            </w:r>
          </w:p>
        </w:tc>
        <w:tc>
          <w:tcPr>
            <w:tcW w:w="983"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300</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东北</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1905</w:t>
            </w:r>
          </w:p>
        </w:tc>
        <w:tc>
          <w:tcPr>
            <w:tcW w:w="1799" w:type="dxa"/>
            <w:vMerge w:val="continue"/>
            <w:vAlign w:val="center"/>
          </w:tcPr>
          <w:p>
            <w:pPr>
              <w:spacing w:line="240" w:lineRule="auto"/>
              <w:ind w:firstLine="42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7" w:hRule="atLeast"/>
          <w:jc w:val="center"/>
        </w:trPr>
        <w:tc>
          <w:tcPr>
            <w:tcW w:w="455" w:type="dxa"/>
            <w:vMerge w:val="continue"/>
            <w:vAlign w:val="center"/>
          </w:tcPr>
          <w:p>
            <w:pPr>
              <w:spacing w:line="240" w:lineRule="auto"/>
              <w:ind w:firstLine="420"/>
              <w:jc w:val="center"/>
              <w:rPr>
                <w:rFonts w:eastAsiaTheme="minorEastAsia"/>
                <w:color w:val="000000" w:themeColor="text1"/>
                <w:sz w:val="21"/>
                <w:szCs w:val="21"/>
              </w:rPr>
            </w:pPr>
          </w:p>
        </w:tc>
        <w:tc>
          <w:tcPr>
            <w:tcW w:w="960"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东磨村</w:t>
            </w:r>
          </w:p>
        </w:tc>
        <w:tc>
          <w:tcPr>
            <w:tcW w:w="13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24.067978</w:t>
            </w:r>
          </w:p>
        </w:tc>
        <w:tc>
          <w:tcPr>
            <w:tcW w:w="1473"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101.580765</w:t>
            </w:r>
          </w:p>
        </w:tc>
        <w:tc>
          <w:tcPr>
            <w:tcW w:w="983"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450</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西</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1952</w:t>
            </w:r>
          </w:p>
        </w:tc>
        <w:tc>
          <w:tcPr>
            <w:tcW w:w="1799" w:type="dxa"/>
            <w:vMerge w:val="continue"/>
            <w:vAlign w:val="center"/>
          </w:tcPr>
          <w:p>
            <w:pPr>
              <w:spacing w:line="240" w:lineRule="auto"/>
              <w:ind w:firstLine="42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7" w:hRule="atLeast"/>
          <w:jc w:val="center"/>
        </w:trPr>
        <w:tc>
          <w:tcPr>
            <w:tcW w:w="455" w:type="dxa"/>
            <w:vMerge w:val="continue"/>
            <w:vAlign w:val="center"/>
          </w:tcPr>
          <w:p>
            <w:pPr>
              <w:spacing w:line="240" w:lineRule="auto"/>
              <w:ind w:firstLine="420"/>
              <w:jc w:val="center"/>
              <w:rPr>
                <w:rFonts w:eastAsiaTheme="minorEastAsia"/>
                <w:color w:val="000000" w:themeColor="text1"/>
                <w:sz w:val="21"/>
                <w:szCs w:val="21"/>
              </w:rPr>
            </w:pPr>
          </w:p>
        </w:tc>
        <w:tc>
          <w:tcPr>
            <w:tcW w:w="960" w:type="dxa"/>
            <w:vAlign w:val="center"/>
          </w:tcPr>
          <w:p>
            <w:pPr>
              <w:widowControl/>
              <w:spacing w:line="240" w:lineRule="auto"/>
              <w:ind w:firstLine="0" w:firstLineChars="0"/>
              <w:jc w:val="center"/>
              <w:rPr>
                <w:rFonts w:eastAsiaTheme="minorEastAsia"/>
                <w:color w:val="000000" w:themeColor="text1"/>
                <w:sz w:val="21"/>
                <w:szCs w:val="21"/>
              </w:rPr>
            </w:pPr>
            <w:r>
              <w:rPr>
                <w:color w:val="000000" w:themeColor="text1"/>
                <w:sz w:val="21"/>
                <w:szCs w:val="21"/>
              </w:rPr>
              <w:t>白糯格</w:t>
            </w:r>
          </w:p>
        </w:tc>
        <w:tc>
          <w:tcPr>
            <w:tcW w:w="1320" w:type="dxa"/>
            <w:vAlign w:val="center"/>
          </w:tcPr>
          <w:p>
            <w:pPr>
              <w:spacing w:line="240" w:lineRule="auto"/>
              <w:ind w:firstLine="0" w:firstLineChars="0"/>
              <w:jc w:val="center"/>
              <w:rPr>
                <w:color w:val="000000" w:themeColor="text1"/>
                <w:sz w:val="21"/>
                <w:szCs w:val="21"/>
              </w:rPr>
            </w:pPr>
            <w:r>
              <w:rPr>
                <w:color w:val="000000" w:themeColor="text1"/>
                <w:sz w:val="21"/>
                <w:szCs w:val="21"/>
              </w:rPr>
              <w:t>101.578996</w:t>
            </w:r>
          </w:p>
        </w:tc>
        <w:tc>
          <w:tcPr>
            <w:tcW w:w="1473" w:type="dxa"/>
            <w:vAlign w:val="center"/>
          </w:tcPr>
          <w:p>
            <w:pPr>
              <w:spacing w:line="240" w:lineRule="auto"/>
              <w:ind w:firstLine="0" w:firstLineChars="0"/>
              <w:jc w:val="center"/>
              <w:rPr>
                <w:color w:val="000000" w:themeColor="text1"/>
                <w:sz w:val="21"/>
                <w:szCs w:val="21"/>
              </w:rPr>
            </w:pPr>
            <w:r>
              <w:rPr>
                <w:color w:val="000000" w:themeColor="text1"/>
                <w:sz w:val="21"/>
                <w:szCs w:val="21"/>
              </w:rPr>
              <w:t>24.086134</w:t>
            </w:r>
          </w:p>
        </w:tc>
        <w:tc>
          <w:tcPr>
            <w:tcW w:w="983"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302</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西北</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2648</w:t>
            </w:r>
          </w:p>
        </w:tc>
        <w:tc>
          <w:tcPr>
            <w:tcW w:w="1799" w:type="dxa"/>
            <w:vMerge w:val="continue"/>
            <w:vAlign w:val="center"/>
          </w:tcPr>
          <w:p>
            <w:pPr>
              <w:spacing w:line="240" w:lineRule="auto"/>
              <w:ind w:firstLine="42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7" w:hRule="atLeast"/>
          <w:jc w:val="center"/>
        </w:trPr>
        <w:tc>
          <w:tcPr>
            <w:tcW w:w="455" w:type="dxa"/>
            <w:vMerge w:val="continue"/>
            <w:vAlign w:val="center"/>
          </w:tcPr>
          <w:p>
            <w:pPr>
              <w:spacing w:line="240" w:lineRule="auto"/>
              <w:ind w:firstLine="420"/>
              <w:jc w:val="center"/>
              <w:rPr>
                <w:rFonts w:eastAsiaTheme="minorEastAsia"/>
                <w:color w:val="000000" w:themeColor="text1"/>
                <w:sz w:val="21"/>
                <w:szCs w:val="21"/>
              </w:rPr>
            </w:pPr>
          </w:p>
        </w:tc>
        <w:tc>
          <w:tcPr>
            <w:tcW w:w="960"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絮波陡</w:t>
            </w:r>
          </w:p>
        </w:tc>
        <w:tc>
          <w:tcPr>
            <w:tcW w:w="1320" w:type="dxa"/>
            <w:vAlign w:val="center"/>
          </w:tcPr>
          <w:p>
            <w:pPr>
              <w:spacing w:line="240" w:lineRule="auto"/>
              <w:ind w:firstLine="0" w:firstLineChars="0"/>
              <w:jc w:val="center"/>
              <w:rPr>
                <w:color w:val="000000" w:themeColor="text1"/>
                <w:sz w:val="21"/>
                <w:szCs w:val="21"/>
              </w:rPr>
            </w:pPr>
            <w:r>
              <w:rPr>
                <w:color w:val="000000" w:themeColor="text1"/>
                <w:sz w:val="21"/>
                <w:szCs w:val="21"/>
              </w:rPr>
              <w:t>101.615671</w:t>
            </w:r>
          </w:p>
        </w:tc>
        <w:tc>
          <w:tcPr>
            <w:tcW w:w="1473" w:type="dxa"/>
            <w:vAlign w:val="center"/>
          </w:tcPr>
          <w:p>
            <w:pPr>
              <w:spacing w:line="240" w:lineRule="auto"/>
              <w:ind w:firstLine="0" w:firstLineChars="0"/>
              <w:jc w:val="center"/>
              <w:rPr>
                <w:color w:val="000000" w:themeColor="text1"/>
                <w:sz w:val="21"/>
                <w:szCs w:val="21"/>
              </w:rPr>
            </w:pPr>
            <w:r>
              <w:rPr>
                <w:color w:val="000000" w:themeColor="text1"/>
                <w:sz w:val="21"/>
                <w:szCs w:val="21"/>
              </w:rPr>
              <w:t>24.049787</w:t>
            </w:r>
          </w:p>
        </w:tc>
        <w:tc>
          <w:tcPr>
            <w:tcW w:w="98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20</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东南</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2764</w:t>
            </w:r>
          </w:p>
        </w:tc>
        <w:tc>
          <w:tcPr>
            <w:tcW w:w="1799" w:type="dxa"/>
            <w:vMerge w:val="continue"/>
            <w:vAlign w:val="center"/>
          </w:tcPr>
          <w:p>
            <w:pPr>
              <w:spacing w:line="240" w:lineRule="auto"/>
              <w:ind w:firstLine="42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7" w:hRule="atLeast"/>
          <w:jc w:val="center"/>
        </w:trPr>
        <w:tc>
          <w:tcPr>
            <w:tcW w:w="455" w:type="dxa"/>
            <w:vMerge w:val="continue"/>
            <w:vAlign w:val="center"/>
          </w:tcPr>
          <w:p>
            <w:pPr>
              <w:spacing w:line="240" w:lineRule="auto"/>
              <w:ind w:firstLine="420"/>
              <w:jc w:val="center"/>
              <w:rPr>
                <w:rFonts w:eastAsiaTheme="minorEastAsia"/>
                <w:color w:val="000000" w:themeColor="text1"/>
                <w:sz w:val="21"/>
                <w:szCs w:val="21"/>
              </w:rPr>
            </w:pPr>
          </w:p>
        </w:tc>
        <w:tc>
          <w:tcPr>
            <w:tcW w:w="960"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大红山</w:t>
            </w:r>
          </w:p>
        </w:tc>
        <w:tc>
          <w:tcPr>
            <w:tcW w:w="1320" w:type="dxa"/>
            <w:vAlign w:val="center"/>
          </w:tcPr>
          <w:p>
            <w:pPr>
              <w:spacing w:line="240" w:lineRule="auto"/>
              <w:ind w:firstLine="0" w:firstLineChars="0"/>
              <w:jc w:val="center"/>
              <w:rPr>
                <w:color w:val="000000" w:themeColor="text1"/>
                <w:sz w:val="21"/>
                <w:szCs w:val="21"/>
              </w:rPr>
            </w:pPr>
            <w:r>
              <w:rPr>
                <w:color w:val="000000" w:themeColor="text1"/>
                <w:sz w:val="21"/>
                <w:szCs w:val="21"/>
              </w:rPr>
              <w:t>101.619115</w:t>
            </w:r>
          </w:p>
        </w:tc>
        <w:tc>
          <w:tcPr>
            <w:tcW w:w="1473" w:type="dxa"/>
            <w:vAlign w:val="center"/>
          </w:tcPr>
          <w:p>
            <w:pPr>
              <w:spacing w:line="240" w:lineRule="auto"/>
              <w:ind w:firstLine="0" w:firstLineChars="0"/>
              <w:jc w:val="center"/>
              <w:rPr>
                <w:color w:val="000000" w:themeColor="text1"/>
                <w:sz w:val="21"/>
                <w:szCs w:val="21"/>
              </w:rPr>
            </w:pPr>
            <w:r>
              <w:rPr>
                <w:color w:val="000000" w:themeColor="text1"/>
                <w:sz w:val="21"/>
                <w:szCs w:val="21"/>
              </w:rPr>
              <w:t>24.097901</w:t>
            </w:r>
          </w:p>
        </w:tc>
        <w:tc>
          <w:tcPr>
            <w:tcW w:w="98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553</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东北</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2956</w:t>
            </w:r>
          </w:p>
        </w:tc>
        <w:tc>
          <w:tcPr>
            <w:tcW w:w="1799" w:type="dxa"/>
            <w:vMerge w:val="continue"/>
            <w:vAlign w:val="center"/>
          </w:tcPr>
          <w:p>
            <w:pPr>
              <w:spacing w:line="240" w:lineRule="auto"/>
              <w:ind w:firstLine="42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7" w:hRule="atLeast"/>
          <w:jc w:val="center"/>
        </w:trPr>
        <w:tc>
          <w:tcPr>
            <w:tcW w:w="455" w:type="dxa"/>
            <w:vMerge w:val="continue"/>
            <w:vAlign w:val="center"/>
          </w:tcPr>
          <w:p>
            <w:pPr>
              <w:spacing w:line="240" w:lineRule="auto"/>
              <w:ind w:firstLine="420"/>
              <w:jc w:val="center"/>
              <w:rPr>
                <w:rFonts w:eastAsiaTheme="minorEastAsia"/>
                <w:color w:val="000000" w:themeColor="text1"/>
                <w:sz w:val="21"/>
                <w:szCs w:val="21"/>
              </w:rPr>
            </w:pPr>
          </w:p>
        </w:tc>
        <w:tc>
          <w:tcPr>
            <w:tcW w:w="960"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小红山</w:t>
            </w:r>
          </w:p>
        </w:tc>
        <w:tc>
          <w:tcPr>
            <w:tcW w:w="1320" w:type="dxa"/>
            <w:vAlign w:val="center"/>
          </w:tcPr>
          <w:p>
            <w:pPr>
              <w:spacing w:line="240" w:lineRule="auto"/>
              <w:ind w:firstLine="0" w:firstLineChars="0"/>
              <w:jc w:val="center"/>
              <w:rPr>
                <w:color w:val="000000" w:themeColor="text1"/>
                <w:sz w:val="21"/>
                <w:szCs w:val="21"/>
              </w:rPr>
            </w:pPr>
            <w:r>
              <w:rPr>
                <w:color w:val="000000" w:themeColor="text1"/>
                <w:sz w:val="21"/>
                <w:szCs w:val="21"/>
              </w:rPr>
              <w:t>101.624383</w:t>
            </w:r>
          </w:p>
        </w:tc>
        <w:tc>
          <w:tcPr>
            <w:tcW w:w="1473" w:type="dxa"/>
            <w:vAlign w:val="center"/>
          </w:tcPr>
          <w:p>
            <w:pPr>
              <w:spacing w:line="240" w:lineRule="auto"/>
              <w:ind w:firstLine="0" w:firstLineChars="0"/>
              <w:jc w:val="center"/>
              <w:rPr>
                <w:color w:val="000000" w:themeColor="text1"/>
                <w:sz w:val="21"/>
                <w:szCs w:val="21"/>
              </w:rPr>
            </w:pPr>
            <w:r>
              <w:rPr>
                <w:color w:val="000000" w:themeColor="text1"/>
                <w:sz w:val="21"/>
                <w:szCs w:val="21"/>
              </w:rPr>
              <w:t>24.092064</w:t>
            </w:r>
          </w:p>
        </w:tc>
        <w:tc>
          <w:tcPr>
            <w:tcW w:w="98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377</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东北</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2978</w:t>
            </w:r>
          </w:p>
        </w:tc>
        <w:tc>
          <w:tcPr>
            <w:tcW w:w="1799" w:type="dxa"/>
            <w:vMerge w:val="continue"/>
            <w:vAlign w:val="center"/>
          </w:tcPr>
          <w:p>
            <w:pPr>
              <w:spacing w:line="240" w:lineRule="auto"/>
              <w:ind w:firstLine="42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7" w:hRule="atLeast"/>
          <w:jc w:val="center"/>
        </w:trPr>
        <w:tc>
          <w:tcPr>
            <w:tcW w:w="455" w:type="dxa"/>
            <w:vMerge w:val="continue"/>
            <w:vAlign w:val="center"/>
          </w:tcPr>
          <w:p>
            <w:pPr>
              <w:spacing w:line="240" w:lineRule="auto"/>
              <w:ind w:firstLine="420"/>
              <w:jc w:val="center"/>
              <w:rPr>
                <w:rFonts w:eastAsiaTheme="minorEastAsia"/>
                <w:color w:val="000000" w:themeColor="text1"/>
                <w:sz w:val="21"/>
                <w:szCs w:val="21"/>
              </w:rPr>
            </w:pPr>
          </w:p>
        </w:tc>
        <w:tc>
          <w:tcPr>
            <w:tcW w:w="960"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戛洒镇</w:t>
            </w:r>
          </w:p>
        </w:tc>
        <w:tc>
          <w:tcPr>
            <w:tcW w:w="1320" w:type="dxa"/>
            <w:vAlign w:val="center"/>
          </w:tcPr>
          <w:p>
            <w:pPr>
              <w:spacing w:line="240" w:lineRule="auto"/>
              <w:ind w:firstLine="0" w:firstLineChars="0"/>
              <w:jc w:val="center"/>
              <w:rPr>
                <w:color w:val="000000" w:themeColor="text1"/>
                <w:sz w:val="21"/>
                <w:szCs w:val="21"/>
              </w:rPr>
            </w:pPr>
            <w:r>
              <w:rPr>
                <w:color w:val="000000" w:themeColor="text1"/>
                <w:sz w:val="21"/>
                <w:szCs w:val="21"/>
              </w:rPr>
              <w:t>101.577578</w:t>
            </w:r>
          </w:p>
        </w:tc>
        <w:tc>
          <w:tcPr>
            <w:tcW w:w="1473" w:type="dxa"/>
            <w:vAlign w:val="center"/>
          </w:tcPr>
          <w:p>
            <w:pPr>
              <w:spacing w:line="240" w:lineRule="auto"/>
              <w:ind w:firstLine="0" w:firstLineChars="0"/>
              <w:jc w:val="center"/>
              <w:rPr>
                <w:color w:val="000000" w:themeColor="text1"/>
                <w:sz w:val="21"/>
                <w:szCs w:val="21"/>
              </w:rPr>
            </w:pPr>
            <w:r>
              <w:rPr>
                <w:color w:val="000000" w:themeColor="text1"/>
                <w:sz w:val="21"/>
                <w:szCs w:val="21"/>
              </w:rPr>
              <w:t>24.054325</w:t>
            </w:r>
          </w:p>
        </w:tc>
        <w:tc>
          <w:tcPr>
            <w:tcW w:w="98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3506</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西南</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2823</w:t>
            </w:r>
          </w:p>
        </w:tc>
        <w:tc>
          <w:tcPr>
            <w:tcW w:w="1799" w:type="dxa"/>
            <w:vMerge w:val="continue"/>
            <w:vAlign w:val="center"/>
          </w:tcPr>
          <w:p>
            <w:pPr>
              <w:spacing w:line="240" w:lineRule="auto"/>
              <w:ind w:firstLine="42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7" w:hRule="atLeast"/>
          <w:jc w:val="center"/>
        </w:trPr>
        <w:tc>
          <w:tcPr>
            <w:tcW w:w="455" w:type="dxa"/>
            <w:vMerge w:val="continue"/>
            <w:vAlign w:val="center"/>
          </w:tcPr>
          <w:p>
            <w:pPr>
              <w:spacing w:line="240" w:lineRule="auto"/>
              <w:ind w:firstLine="420"/>
              <w:jc w:val="center"/>
              <w:rPr>
                <w:rFonts w:eastAsiaTheme="minorEastAsia"/>
                <w:color w:val="000000" w:themeColor="text1"/>
                <w:sz w:val="21"/>
                <w:szCs w:val="21"/>
              </w:rPr>
            </w:pPr>
          </w:p>
        </w:tc>
        <w:tc>
          <w:tcPr>
            <w:tcW w:w="960"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速都</w:t>
            </w:r>
          </w:p>
        </w:tc>
        <w:tc>
          <w:tcPr>
            <w:tcW w:w="1320" w:type="dxa"/>
            <w:vAlign w:val="center"/>
          </w:tcPr>
          <w:p>
            <w:pPr>
              <w:spacing w:line="240" w:lineRule="auto"/>
              <w:ind w:firstLine="0" w:firstLineChars="0"/>
              <w:jc w:val="center"/>
              <w:rPr>
                <w:color w:val="000000" w:themeColor="text1"/>
                <w:sz w:val="21"/>
                <w:szCs w:val="21"/>
              </w:rPr>
            </w:pPr>
            <w:r>
              <w:rPr>
                <w:color w:val="000000" w:themeColor="text1"/>
                <w:sz w:val="21"/>
                <w:szCs w:val="21"/>
              </w:rPr>
              <w:t>101.581333</w:t>
            </w:r>
          </w:p>
        </w:tc>
        <w:tc>
          <w:tcPr>
            <w:tcW w:w="1473" w:type="dxa"/>
            <w:vAlign w:val="center"/>
          </w:tcPr>
          <w:p>
            <w:pPr>
              <w:spacing w:line="240" w:lineRule="auto"/>
              <w:ind w:firstLine="0" w:firstLineChars="0"/>
              <w:jc w:val="center"/>
              <w:rPr>
                <w:color w:val="000000" w:themeColor="text1"/>
                <w:sz w:val="21"/>
                <w:szCs w:val="21"/>
              </w:rPr>
            </w:pPr>
            <w:r>
              <w:rPr>
                <w:color w:val="000000" w:themeColor="text1"/>
                <w:sz w:val="21"/>
                <w:szCs w:val="21"/>
              </w:rPr>
              <w:t>24.051107</w:t>
            </w:r>
          </w:p>
        </w:tc>
        <w:tc>
          <w:tcPr>
            <w:tcW w:w="98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221</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西南</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2949</w:t>
            </w:r>
          </w:p>
        </w:tc>
        <w:tc>
          <w:tcPr>
            <w:tcW w:w="1799" w:type="dxa"/>
            <w:vMerge w:val="continue"/>
            <w:vAlign w:val="center"/>
          </w:tcPr>
          <w:p>
            <w:pPr>
              <w:spacing w:line="240" w:lineRule="auto"/>
              <w:ind w:firstLine="42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7" w:hRule="atLeast"/>
          <w:jc w:val="center"/>
        </w:trPr>
        <w:tc>
          <w:tcPr>
            <w:tcW w:w="455" w:type="dxa"/>
            <w:vMerge w:val="continue"/>
            <w:vAlign w:val="center"/>
          </w:tcPr>
          <w:p>
            <w:pPr>
              <w:spacing w:line="240" w:lineRule="auto"/>
              <w:ind w:firstLine="420"/>
              <w:jc w:val="center"/>
              <w:rPr>
                <w:rFonts w:eastAsiaTheme="minorEastAsia"/>
                <w:color w:val="000000" w:themeColor="text1"/>
                <w:sz w:val="21"/>
                <w:szCs w:val="21"/>
              </w:rPr>
            </w:pPr>
          </w:p>
        </w:tc>
        <w:tc>
          <w:tcPr>
            <w:tcW w:w="960"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曼秀</w:t>
            </w:r>
          </w:p>
        </w:tc>
        <w:tc>
          <w:tcPr>
            <w:tcW w:w="1320" w:type="dxa"/>
            <w:vAlign w:val="center"/>
          </w:tcPr>
          <w:p>
            <w:pPr>
              <w:spacing w:line="240" w:lineRule="auto"/>
              <w:ind w:firstLine="0" w:firstLineChars="0"/>
              <w:jc w:val="center"/>
              <w:rPr>
                <w:color w:val="000000" w:themeColor="text1"/>
                <w:sz w:val="21"/>
                <w:szCs w:val="21"/>
              </w:rPr>
            </w:pPr>
            <w:r>
              <w:rPr>
                <w:color w:val="000000" w:themeColor="text1"/>
                <w:sz w:val="21"/>
                <w:szCs w:val="21"/>
              </w:rPr>
              <w:t>101.583393</w:t>
            </w:r>
          </w:p>
        </w:tc>
        <w:tc>
          <w:tcPr>
            <w:tcW w:w="1473" w:type="dxa"/>
            <w:vAlign w:val="center"/>
          </w:tcPr>
          <w:p>
            <w:pPr>
              <w:spacing w:line="240" w:lineRule="auto"/>
              <w:ind w:firstLine="0" w:firstLineChars="0"/>
              <w:jc w:val="center"/>
              <w:rPr>
                <w:color w:val="000000" w:themeColor="text1"/>
                <w:sz w:val="21"/>
                <w:szCs w:val="21"/>
              </w:rPr>
            </w:pPr>
            <w:r>
              <w:rPr>
                <w:color w:val="000000" w:themeColor="text1"/>
                <w:sz w:val="21"/>
                <w:szCs w:val="21"/>
              </w:rPr>
              <w:t>24.048746</w:t>
            </w:r>
          </w:p>
        </w:tc>
        <w:tc>
          <w:tcPr>
            <w:tcW w:w="98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302</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西南</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2961</w:t>
            </w:r>
          </w:p>
        </w:tc>
        <w:tc>
          <w:tcPr>
            <w:tcW w:w="1799" w:type="dxa"/>
            <w:vMerge w:val="continue"/>
            <w:vAlign w:val="center"/>
          </w:tcPr>
          <w:p>
            <w:pPr>
              <w:spacing w:line="240" w:lineRule="auto"/>
              <w:ind w:firstLine="42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7" w:hRule="atLeast"/>
          <w:jc w:val="center"/>
        </w:trPr>
        <w:tc>
          <w:tcPr>
            <w:tcW w:w="455" w:type="dxa"/>
            <w:vMerge w:val="continue"/>
            <w:vAlign w:val="center"/>
          </w:tcPr>
          <w:p>
            <w:pPr>
              <w:spacing w:line="240" w:lineRule="auto"/>
              <w:ind w:firstLine="420"/>
              <w:jc w:val="center"/>
              <w:rPr>
                <w:rFonts w:eastAsiaTheme="minorEastAsia"/>
                <w:color w:val="000000" w:themeColor="text1"/>
                <w:sz w:val="21"/>
                <w:szCs w:val="21"/>
              </w:rPr>
            </w:pPr>
          </w:p>
        </w:tc>
        <w:tc>
          <w:tcPr>
            <w:tcW w:w="960"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曼湾</w:t>
            </w:r>
          </w:p>
        </w:tc>
        <w:tc>
          <w:tcPr>
            <w:tcW w:w="1320" w:type="dxa"/>
            <w:vAlign w:val="center"/>
          </w:tcPr>
          <w:p>
            <w:pPr>
              <w:spacing w:line="240" w:lineRule="auto"/>
              <w:ind w:firstLine="0" w:firstLineChars="0"/>
              <w:jc w:val="center"/>
              <w:rPr>
                <w:color w:val="000000" w:themeColor="text1"/>
                <w:sz w:val="21"/>
                <w:szCs w:val="21"/>
              </w:rPr>
            </w:pPr>
            <w:r>
              <w:rPr>
                <w:color w:val="000000" w:themeColor="text1"/>
                <w:sz w:val="21"/>
                <w:szCs w:val="21"/>
              </w:rPr>
              <w:t>101.584359</w:t>
            </w:r>
          </w:p>
        </w:tc>
        <w:tc>
          <w:tcPr>
            <w:tcW w:w="1473" w:type="dxa"/>
            <w:vAlign w:val="center"/>
          </w:tcPr>
          <w:p>
            <w:pPr>
              <w:spacing w:line="240" w:lineRule="auto"/>
              <w:ind w:firstLine="0" w:firstLineChars="0"/>
              <w:jc w:val="center"/>
              <w:rPr>
                <w:color w:val="000000" w:themeColor="text1"/>
                <w:sz w:val="21"/>
                <w:szCs w:val="21"/>
              </w:rPr>
            </w:pPr>
            <w:r>
              <w:rPr>
                <w:color w:val="000000" w:themeColor="text1"/>
                <w:sz w:val="21"/>
                <w:szCs w:val="21"/>
              </w:rPr>
              <w:t>24.047931</w:t>
            </w:r>
          </w:p>
        </w:tc>
        <w:tc>
          <w:tcPr>
            <w:tcW w:w="98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307</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西南</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3036</w:t>
            </w:r>
          </w:p>
        </w:tc>
        <w:tc>
          <w:tcPr>
            <w:tcW w:w="1799" w:type="dxa"/>
            <w:vMerge w:val="continue"/>
            <w:vAlign w:val="center"/>
          </w:tcPr>
          <w:p>
            <w:pPr>
              <w:spacing w:line="240" w:lineRule="auto"/>
              <w:ind w:firstLine="42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7" w:hRule="atLeast"/>
          <w:jc w:val="center"/>
        </w:trPr>
        <w:tc>
          <w:tcPr>
            <w:tcW w:w="455" w:type="dxa"/>
            <w:vMerge w:val="restart"/>
            <w:vAlign w:val="center"/>
          </w:tcPr>
          <w:p>
            <w:pPr>
              <w:spacing w:line="240" w:lineRule="auto"/>
              <w:ind w:firstLine="0" w:firstLineChars="0"/>
              <w:jc w:val="both"/>
              <w:rPr>
                <w:rFonts w:eastAsiaTheme="minorEastAsia"/>
                <w:color w:val="000000" w:themeColor="text1"/>
                <w:sz w:val="21"/>
                <w:szCs w:val="21"/>
              </w:rPr>
            </w:pPr>
            <w:r>
              <w:rPr>
                <w:rFonts w:eastAsiaTheme="minorEastAsia"/>
                <w:color w:val="000000" w:themeColor="text1"/>
                <w:sz w:val="21"/>
                <w:szCs w:val="21"/>
              </w:rPr>
              <w:t>地表水</w:t>
            </w:r>
          </w:p>
        </w:tc>
        <w:tc>
          <w:tcPr>
            <w:tcW w:w="4736" w:type="dxa"/>
            <w:gridSpan w:val="4"/>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困龙河</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南面</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145</w:t>
            </w:r>
          </w:p>
        </w:tc>
        <w:tc>
          <w:tcPr>
            <w:tcW w:w="1799" w:type="dxa"/>
            <w:vMerge w:val="restart"/>
            <w:vAlign w:val="center"/>
          </w:tcPr>
          <w:p>
            <w:pPr>
              <w:spacing w:line="240" w:lineRule="auto"/>
              <w:ind w:firstLine="0" w:firstLineChars="0"/>
              <w:jc w:val="both"/>
              <w:rPr>
                <w:rFonts w:eastAsiaTheme="minorEastAsia"/>
                <w:color w:val="000000" w:themeColor="text1"/>
                <w:sz w:val="21"/>
                <w:szCs w:val="21"/>
              </w:rPr>
            </w:pPr>
            <w:r>
              <w:rPr>
                <w:rFonts w:eastAsiaTheme="minorEastAsia"/>
                <w:color w:val="000000" w:themeColor="text1"/>
                <w:sz w:val="21"/>
                <w:szCs w:val="21"/>
              </w:rPr>
              <w:t>《地表水环境质量标准》（GB3838-2002）</w:t>
            </w:r>
            <w:r>
              <w:rPr>
                <w:rFonts w:eastAsia="方正仿宋_GBK"/>
                <w:color w:val="000000" w:themeColor="text1"/>
                <w:sz w:val="21"/>
                <w:szCs w:val="21"/>
              </w:rPr>
              <w:t>Ⅲ</w:t>
            </w:r>
            <w:r>
              <w:rPr>
                <w:rFonts w:eastAsiaTheme="minorEastAsia"/>
                <w:color w:val="000000" w:themeColor="text1"/>
                <w:sz w:val="21"/>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3" w:hRule="atLeast"/>
          <w:jc w:val="center"/>
        </w:trPr>
        <w:tc>
          <w:tcPr>
            <w:tcW w:w="455" w:type="dxa"/>
            <w:vMerge w:val="continue"/>
            <w:vAlign w:val="center"/>
          </w:tcPr>
          <w:p>
            <w:pPr>
              <w:spacing w:line="240" w:lineRule="auto"/>
              <w:ind w:firstLine="420"/>
              <w:jc w:val="center"/>
              <w:rPr>
                <w:rFonts w:eastAsiaTheme="minorEastAsia"/>
                <w:color w:val="000000" w:themeColor="text1"/>
                <w:sz w:val="21"/>
                <w:szCs w:val="21"/>
              </w:rPr>
            </w:pPr>
          </w:p>
        </w:tc>
        <w:tc>
          <w:tcPr>
            <w:tcW w:w="4736" w:type="dxa"/>
            <w:gridSpan w:val="4"/>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戛洒江</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西面</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1824</w:t>
            </w:r>
          </w:p>
        </w:tc>
        <w:tc>
          <w:tcPr>
            <w:tcW w:w="1799" w:type="dxa"/>
            <w:vMerge w:val="continue"/>
            <w:vAlign w:val="center"/>
          </w:tcPr>
          <w:p>
            <w:pPr>
              <w:spacing w:line="240" w:lineRule="auto"/>
              <w:ind w:firstLine="42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3" w:hRule="atLeast"/>
          <w:jc w:val="center"/>
        </w:trPr>
        <w:tc>
          <w:tcPr>
            <w:tcW w:w="455" w:type="dxa"/>
            <w:vAlign w:val="center"/>
          </w:tcPr>
          <w:p>
            <w:pPr>
              <w:spacing w:line="240" w:lineRule="auto"/>
              <w:ind w:firstLine="0" w:firstLineChars="0"/>
              <w:jc w:val="both"/>
              <w:rPr>
                <w:rFonts w:eastAsiaTheme="minorEastAsia"/>
                <w:color w:val="000000" w:themeColor="text1"/>
                <w:sz w:val="21"/>
                <w:szCs w:val="21"/>
              </w:rPr>
            </w:pPr>
            <w:r>
              <w:rPr>
                <w:rFonts w:eastAsiaTheme="minorEastAsia"/>
                <w:color w:val="000000" w:themeColor="text1"/>
                <w:sz w:val="21"/>
                <w:szCs w:val="21"/>
              </w:rPr>
              <w:t>地下水</w:t>
            </w:r>
          </w:p>
        </w:tc>
        <w:tc>
          <w:tcPr>
            <w:tcW w:w="6308" w:type="dxa"/>
            <w:gridSpan w:val="6"/>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项目区东南面的泉点J1</w:t>
            </w:r>
            <w:r>
              <w:rPr>
                <w:rFonts w:hint="eastAsia" w:eastAsiaTheme="minorEastAsia"/>
                <w:color w:val="000000" w:themeColor="text1"/>
                <w:sz w:val="21"/>
                <w:szCs w:val="21"/>
              </w:rPr>
              <w:t>（不具饮用功能）</w:t>
            </w:r>
            <w:r>
              <w:rPr>
                <w:rFonts w:eastAsiaTheme="minorEastAsia"/>
                <w:color w:val="000000" w:themeColor="text1"/>
                <w:sz w:val="21"/>
                <w:szCs w:val="21"/>
              </w:rPr>
              <w:t>、</w:t>
            </w:r>
            <w:r>
              <w:rPr>
                <w:bCs/>
                <w:color w:val="000000" w:themeColor="text1"/>
                <w:sz w:val="21"/>
                <w:szCs w:val="21"/>
              </w:rPr>
              <w:t>项目区附近200m处的井水</w:t>
            </w:r>
            <w:r>
              <w:rPr>
                <w:color w:val="000000" w:themeColor="text1"/>
                <w:sz w:val="21"/>
                <w:szCs w:val="21"/>
              </w:rPr>
              <w:t>J2</w:t>
            </w:r>
            <w:r>
              <w:rPr>
                <w:rFonts w:hint="eastAsia" w:eastAsiaTheme="minorEastAsia"/>
                <w:color w:val="000000" w:themeColor="text1"/>
                <w:sz w:val="21"/>
                <w:szCs w:val="21"/>
              </w:rPr>
              <w:t>（不具饮用功能）</w:t>
            </w:r>
            <w:r>
              <w:rPr>
                <w:color w:val="000000" w:themeColor="text1"/>
                <w:sz w:val="21"/>
                <w:szCs w:val="21"/>
              </w:rPr>
              <w:t>、</w:t>
            </w:r>
            <w:r>
              <w:rPr>
                <w:rFonts w:eastAsiaTheme="minorEastAsia"/>
                <w:color w:val="000000" w:themeColor="text1"/>
                <w:sz w:val="21"/>
                <w:szCs w:val="21"/>
              </w:rPr>
              <w:t>在项目选矿生产区东北侧的四坡斗村水井</w:t>
            </w:r>
            <w:r>
              <w:rPr>
                <w:rFonts w:hint="eastAsia" w:eastAsiaTheme="minorEastAsia"/>
                <w:color w:val="000000" w:themeColor="text1"/>
                <w:sz w:val="21"/>
                <w:szCs w:val="21"/>
              </w:rPr>
              <w:t>W1（不具饮用功能）</w:t>
            </w:r>
          </w:p>
        </w:tc>
        <w:tc>
          <w:tcPr>
            <w:tcW w:w="179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《地下水质量标准》（GB/T14848-2017）III类标准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hRule="atLeast"/>
          <w:jc w:val="center"/>
        </w:trPr>
        <w:tc>
          <w:tcPr>
            <w:tcW w:w="455" w:type="dxa"/>
            <w:vMerge w:val="restart"/>
            <w:vAlign w:val="center"/>
          </w:tcPr>
          <w:p>
            <w:pPr>
              <w:spacing w:line="240" w:lineRule="auto"/>
              <w:ind w:firstLine="0" w:firstLineChars="0"/>
              <w:jc w:val="both"/>
              <w:rPr>
                <w:rFonts w:eastAsiaTheme="minorEastAsia"/>
                <w:color w:val="000000" w:themeColor="text1"/>
                <w:sz w:val="21"/>
                <w:szCs w:val="21"/>
              </w:rPr>
            </w:pPr>
            <w:r>
              <w:rPr>
                <w:rFonts w:eastAsiaTheme="minorEastAsia"/>
                <w:color w:val="000000" w:themeColor="text1"/>
                <w:sz w:val="21"/>
                <w:szCs w:val="21"/>
              </w:rPr>
              <w:t>环境风险</w:t>
            </w:r>
          </w:p>
        </w:tc>
        <w:tc>
          <w:tcPr>
            <w:tcW w:w="4736" w:type="dxa"/>
            <w:gridSpan w:val="4"/>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困龙河</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南面</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145</w:t>
            </w:r>
          </w:p>
        </w:tc>
        <w:tc>
          <w:tcPr>
            <w:tcW w:w="1799" w:type="dxa"/>
            <w:vMerge w:val="restart"/>
            <w:vAlign w:val="center"/>
          </w:tcPr>
          <w:p>
            <w:pPr>
              <w:spacing w:line="240" w:lineRule="auto"/>
              <w:ind w:firstLine="0" w:firstLineChars="0"/>
              <w:jc w:val="both"/>
              <w:rPr>
                <w:rFonts w:eastAsiaTheme="minorEastAsia"/>
                <w:color w:val="000000" w:themeColor="text1"/>
                <w:sz w:val="21"/>
                <w:szCs w:val="21"/>
              </w:rPr>
            </w:pPr>
            <w:r>
              <w:rPr>
                <w:rFonts w:eastAsiaTheme="minorEastAsia"/>
                <w:color w:val="000000" w:themeColor="text1"/>
                <w:sz w:val="21"/>
                <w:szCs w:val="21"/>
              </w:rPr>
              <w:t>《地表水环境质量标准》（GB3838-2002）</w:t>
            </w:r>
            <w:r>
              <w:rPr>
                <w:rFonts w:eastAsia="方正仿宋_GBK"/>
                <w:color w:val="000000" w:themeColor="text1"/>
                <w:sz w:val="21"/>
                <w:szCs w:val="21"/>
              </w:rPr>
              <w:t>Ⅲ</w:t>
            </w:r>
            <w:r>
              <w:rPr>
                <w:rFonts w:eastAsiaTheme="minorEastAsia"/>
                <w:color w:val="000000" w:themeColor="text1"/>
                <w:sz w:val="21"/>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3" w:hRule="atLeast"/>
          <w:jc w:val="center"/>
        </w:trPr>
        <w:tc>
          <w:tcPr>
            <w:tcW w:w="455" w:type="dxa"/>
            <w:vMerge w:val="continue"/>
            <w:vAlign w:val="center"/>
          </w:tcPr>
          <w:p>
            <w:pPr>
              <w:spacing w:line="240" w:lineRule="auto"/>
              <w:ind w:firstLine="0" w:firstLineChars="0"/>
              <w:jc w:val="both"/>
              <w:rPr>
                <w:rFonts w:eastAsiaTheme="minorEastAsia"/>
                <w:color w:val="000000" w:themeColor="text1"/>
                <w:sz w:val="21"/>
                <w:szCs w:val="21"/>
              </w:rPr>
            </w:pPr>
          </w:p>
        </w:tc>
        <w:tc>
          <w:tcPr>
            <w:tcW w:w="4736" w:type="dxa"/>
            <w:gridSpan w:val="4"/>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戛洒江</w:t>
            </w:r>
          </w:p>
        </w:tc>
        <w:tc>
          <w:tcPr>
            <w:tcW w:w="780"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西面</w:t>
            </w:r>
          </w:p>
        </w:tc>
        <w:tc>
          <w:tcPr>
            <w:tcW w:w="792"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1824</w:t>
            </w:r>
          </w:p>
        </w:tc>
        <w:tc>
          <w:tcPr>
            <w:tcW w:w="1799" w:type="dxa"/>
            <w:vMerge w:val="continue"/>
            <w:vAlign w:val="center"/>
          </w:tcPr>
          <w:p>
            <w:pPr>
              <w:spacing w:line="240" w:lineRule="auto"/>
              <w:ind w:firstLine="42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3" w:hRule="atLeast"/>
          <w:jc w:val="center"/>
        </w:trPr>
        <w:tc>
          <w:tcPr>
            <w:tcW w:w="455" w:type="dxa"/>
            <w:vAlign w:val="center"/>
          </w:tcPr>
          <w:p>
            <w:pPr>
              <w:spacing w:line="240" w:lineRule="auto"/>
              <w:ind w:firstLine="0" w:firstLineChars="0"/>
              <w:jc w:val="both"/>
              <w:rPr>
                <w:rFonts w:eastAsiaTheme="minorEastAsia"/>
                <w:color w:val="000000" w:themeColor="text1"/>
                <w:sz w:val="21"/>
                <w:szCs w:val="21"/>
              </w:rPr>
            </w:pPr>
            <w:r>
              <w:rPr>
                <w:rFonts w:eastAsiaTheme="minorEastAsia"/>
                <w:color w:val="000000" w:themeColor="text1"/>
                <w:sz w:val="21"/>
                <w:szCs w:val="21"/>
              </w:rPr>
              <w:t>生态环境</w:t>
            </w:r>
          </w:p>
        </w:tc>
        <w:tc>
          <w:tcPr>
            <w:tcW w:w="6308" w:type="dxa"/>
            <w:gridSpan w:val="6"/>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生产区影响范围内的动植物</w:t>
            </w:r>
          </w:p>
        </w:tc>
        <w:tc>
          <w:tcPr>
            <w:tcW w:w="1799" w:type="dxa"/>
            <w:vAlign w:val="center"/>
          </w:tcPr>
          <w:p>
            <w:pPr>
              <w:spacing w:line="240" w:lineRule="auto"/>
              <w:ind w:firstLine="0" w:firstLineChars="0"/>
              <w:jc w:val="both"/>
              <w:rPr>
                <w:rFonts w:eastAsiaTheme="minorEastAsia"/>
                <w:color w:val="000000" w:themeColor="text1"/>
                <w:sz w:val="21"/>
                <w:szCs w:val="21"/>
              </w:rPr>
            </w:pPr>
            <w:r>
              <w:rPr>
                <w:rFonts w:eastAsiaTheme="minorEastAsia"/>
                <w:color w:val="000000" w:themeColor="text1"/>
                <w:sz w:val="21"/>
                <w:szCs w:val="21"/>
              </w:rPr>
              <w:t>保护现有植被</w:t>
            </w:r>
          </w:p>
        </w:tc>
      </w:tr>
    </w:tbl>
    <w:p>
      <w:pPr>
        <w:pStyle w:val="574"/>
        <w:spacing w:beforeLines="0" w:afterLines="0"/>
        <w:rPr>
          <w:rFonts w:eastAsiaTheme="minorEastAsia"/>
          <w:color w:val="000000" w:themeColor="text1"/>
          <w:sz w:val="30"/>
          <w:szCs w:val="30"/>
        </w:rPr>
      </w:pPr>
      <w:bookmarkStart w:id="337" w:name="_Toc10219"/>
      <w:bookmarkStart w:id="338" w:name="_Toc15197935"/>
      <w:r>
        <w:rPr>
          <w:rFonts w:eastAsiaTheme="minorEastAsia"/>
          <w:color w:val="000000" w:themeColor="text1"/>
          <w:sz w:val="30"/>
          <w:szCs w:val="30"/>
        </w:rPr>
        <w:t>1.8评价时段和工作程序</w:t>
      </w:r>
      <w:bookmarkEnd w:id="337"/>
    </w:p>
    <w:bookmarkEnd w:id="338"/>
    <w:p>
      <w:pPr>
        <w:numPr>
          <w:ilvl w:val="0"/>
          <w:numId w:val="26"/>
        </w:numPr>
        <w:ind w:firstLine="480"/>
        <w:rPr>
          <w:rFonts w:eastAsiaTheme="minorEastAsia"/>
          <w:color w:val="000000" w:themeColor="text1"/>
        </w:rPr>
      </w:pPr>
      <w:r>
        <w:rPr>
          <w:rFonts w:eastAsiaTheme="minorEastAsia"/>
          <w:color w:val="000000" w:themeColor="text1"/>
        </w:rPr>
        <w:t>评价时段</w:t>
      </w:r>
    </w:p>
    <w:p>
      <w:pPr>
        <w:pStyle w:val="23"/>
        <w:spacing w:line="360" w:lineRule="auto"/>
        <w:ind w:firstLine="480"/>
        <w:rPr>
          <w:bCs/>
          <w:color w:val="000000" w:themeColor="text1"/>
          <w:sz w:val="24"/>
        </w:rPr>
      </w:pPr>
      <w:r>
        <w:rPr>
          <w:bCs/>
          <w:color w:val="000000" w:themeColor="text1"/>
          <w:sz w:val="24"/>
        </w:rPr>
        <w:t>本项目评价时段为施工期和运营期，重点为运营期。</w:t>
      </w:r>
    </w:p>
    <w:p>
      <w:pPr>
        <w:ind w:firstLine="480"/>
        <w:rPr>
          <w:color w:val="000000" w:themeColor="text1"/>
        </w:rPr>
      </w:pPr>
      <w:r>
        <w:rPr>
          <w:color w:val="000000" w:themeColor="text1"/>
        </w:rPr>
        <w:t>评价方法：对建设项目的污染源及污染物进行调查，核实废气、废水、噪声等污染物的排放量和排放方式，并用物料衡算法，分析类比法和模式预测法完成项目的环境影响评价工作。</w:t>
      </w:r>
    </w:p>
    <w:p>
      <w:pPr>
        <w:pStyle w:val="78"/>
        <w:numPr>
          <w:ilvl w:val="0"/>
          <w:numId w:val="26"/>
        </w:numPr>
        <w:ind w:firstLine="480"/>
        <w:rPr>
          <w:color w:val="000000" w:themeColor="text1"/>
        </w:rPr>
      </w:pPr>
      <w:r>
        <w:rPr>
          <w:color w:val="000000" w:themeColor="text1"/>
        </w:rPr>
        <w:t>工作程序</w:t>
      </w:r>
    </w:p>
    <w:p>
      <w:pPr>
        <w:pStyle w:val="78"/>
        <w:ind w:firstLine="480"/>
        <w:rPr>
          <w:color w:val="000000" w:themeColor="text1"/>
        </w:rPr>
      </w:pPr>
      <w:r>
        <w:rPr>
          <w:color w:val="000000" w:themeColor="text1"/>
        </w:rPr>
        <w:t>环境影响评价工作分为三个阶段，即调查分析和工作方案制定阶段，分析论证和预测评价阶段，环境影响报告书编制阶段。</w:t>
      </w:r>
    </w:p>
    <w:p>
      <w:pPr>
        <w:ind w:firstLine="480"/>
        <w:rPr>
          <w:color w:val="000000" w:themeColor="text1"/>
        </w:rPr>
      </w:pPr>
      <w:r>
        <w:rPr>
          <w:rFonts w:eastAsiaTheme="minorEastAsia"/>
          <w:color w:val="000000" w:themeColor="text1"/>
        </w:rPr>
        <w:t>项目环境影响评价工作程序详见图1.8-1。</w:t>
      </w:r>
    </w:p>
    <w:p>
      <w:pPr>
        <w:pStyle w:val="134"/>
        <w:ind w:firstLine="480"/>
        <w:rPr>
          <w:rFonts w:eastAsiaTheme="minorEastAsia"/>
          <w:color w:val="000000" w:themeColor="text1"/>
        </w:rPr>
      </w:pPr>
      <w:r>
        <w:rPr>
          <w:rFonts w:eastAsiaTheme="minorEastAsia"/>
          <w:color w:val="000000" w:themeColor="text1"/>
        </w:rPr>
        <w:drawing>
          <wp:inline distT="0" distB="0" distL="114300" distR="114300">
            <wp:extent cx="4352925" cy="5867400"/>
            <wp:effectExtent l="0" t="0" r="9525" b="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33"/>
                    <a:stretch>
                      <a:fillRect/>
                    </a:stretch>
                  </pic:blipFill>
                  <pic:spPr>
                    <a:xfrm>
                      <a:off x="0" y="0"/>
                      <a:ext cx="4352925" cy="5867400"/>
                    </a:xfrm>
                    <a:prstGeom prst="rect">
                      <a:avLst/>
                    </a:prstGeom>
                    <a:noFill/>
                    <a:ln>
                      <a:noFill/>
                    </a:ln>
                  </pic:spPr>
                </pic:pic>
              </a:graphicData>
            </a:graphic>
          </wp:inline>
        </w:drawing>
      </w:r>
    </w:p>
    <w:p>
      <w:pPr>
        <w:pStyle w:val="134"/>
        <w:ind w:firstLine="480"/>
        <w:rPr>
          <w:rFonts w:eastAsiaTheme="minorEastAsia"/>
          <w:color w:val="000000" w:themeColor="text1"/>
        </w:rPr>
      </w:pPr>
    </w:p>
    <w:p>
      <w:pPr>
        <w:pStyle w:val="619"/>
        <w:spacing w:afterLines="0"/>
        <w:rPr>
          <w:rFonts w:cs="Times New Roman" w:eastAsiaTheme="minorEastAsia"/>
          <w:color w:val="000000" w:themeColor="text1"/>
        </w:rPr>
      </w:pPr>
      <w:r>
        <w:rPr>
          <w:rFonts w:cs="Times New Roman" w:eastAsiaTheme="minorEastAsia"/>
          <w:color w:val="000000" w:themeColor="text1"/>
        </w:rPr>
        <w:t>图1.8-1环境影响评价工作程序图</w:t>
      </w:r>
    </w:p>
    <w:p>
      <w:pPr>
        <w:pStyle w:val="134"/>
        <w:ind w:firstLine="480"/>
        <w:rPr>
          <w:rFonts w:eastAsiaTheme="minorEastAsia"/>
          <w:color w:val="000000" w:themeColor="text1"/>
        </w:rPr>
        <w:sectPr>
          <w:pgSz w:w="11906" w:h="16838"/>
          <w:pgMar w:top="1440" w:right="1800" w:bottom="1440" w:left="1800" w:header="851" w:footer="992" w:gutter="0"/>
          <w:pgNumType w:fmt="numberInDash"/>
          <w:cols w:space="425" w:num="1"/>
          <w:docGrid w:type="lines" w:linePitch="312" w:charSpace="0"/>
        </w:sectPr>
      </w:pPr>
    </w:p>
    <w:p>
      <w:pPr>
        <w:keepNext/>
        <w:widowControl/>
        <w:ind w:firstLine="0" w:firstLineChars="0"/>
        <w:outlineLvl w:val="0"/>
        <w:rPr>
          <w:rFonts w:eastAsiaTheme="minorEastAsia"/>
          <w:b/>
          <w:bCs/>
          <w:color w:val="000000" w:themeColor="text1"/>
          <w:kern w:val="32"/>
          <w:sz w:val="32"/>
          <w:szCs w:val="32"/>
          <w:lang w:bidi="en-US"/>
        </w:rPr>
      </w:pPr>
      <w:bookmarkStart w:id="339" w:name="_Toc28434"/>
      <w:r>
        <w:rPr>
          <w:rFonts w:eastAsiaTheme="minorEastAsia"/>
          <w:b/>
          <w:bCs/>
          <w:color w:val="000000" w:themeColor="text1"/>
          <w:kern w:val="32"/>
          <w:sz w:val="32"/>
          <w:szCs w:val="32"/>
          <w:lang w:bidi="en-US"/>
        </w:rPr>
        <w:t>2</w:t>
      </w:r>
      <w:r>
        <w:rPr>
          <w:rFonts w:hint="eastAsia" w:eastAsiaTheme="minorEastAsia"/>
          <w:b/>
          <w:bCs/>
          <w:color w:val="000000" w:themeColor="text1"/>
          <w:kern w:val="32"/>
          <w:sz w:val="32"/>
          <w:szCs w:val="32"/>
          <w:lang w:bidi="en-US"/>
        </w:rPr>
        <w:t>原</w:t>
      </w:r>
      <w:r>
        <w:rPr>
          <w:rFonts w:eastAsiaTheme="minorEastAsia"/>
          <w:b/>
          <w:bCs/>
          <w:color w:val="000000" w:themeColor="text1"/>
          <w:kern w:val="32"/>
          <w:sz w:val="32"/>
          <w:szCs w:val="32"/>
          <w:lang w:bidi="en-US"/>
        </w:rPr>
        <w:t>有工程概况</w:t>
      </w:r>
      <w:bookmarkEnd w:id="9"/>
      <w:bookmarkEnd w:id="10"/>
      <w:r>
        <w:rPr>
          <w:rFonts w:eastAsiaTheme="minorEastAsia"/>
          <w:b/>
          <w:bCs/>
          <w:color w:val="000000" w:themeColor="text1"/>
          <w:kern w:val="32"/>
          <w:sz w:val="32"/>
          <w:szCs w:val="32"/>
          <w:lang w:bidi="en-US"/>
        </w:rPr>
        <w:t>及污染物排放情况</w:t>
      </w:r>
      <w:bookmarkEnd w:id="339"/>
    </w:p>
    <w:p>
      <w:pPr>
        <w:pStyle w:val="574"/>
        <w:spacing w:beforeLines="0" w:afterLines="0"/>
        <w:rPr>
          <w:rFonts w:eastAsiaTheme="minorEastAsia"/>
          <w:color w:val="000000" w:themeColor="text1"/>
          <w:sz w:val="30"/>
          <w:szCs w:val="30"/>
        </w:rPr>
      </w:pPr>
      <w:bookmarkStart w:id="340" w:name="_Toc319504008"/>
      <w:bookmarkStart w:id="341" w:name="_Toc465156853"/>
      <w:bookmarkStart w:id="342" w:name="_Toc16490"/>
      <w:r>
        <w:rPr>
          <w:rFonts w:eastAsiaTheme="minorEastAsia"/>
          <w:color w:val="000000" w:themeColor="text1"/>
          <w:sz w:val="30"/>
          <w:szCs w:val="30"/>
        </w:rPr>
        <w:t>2.1</w:t>
      </w:r>
      <w:bookmarkEnd w:id="340"/>
      <w:bookmarkEnd w:id="341"/>
      <w:r>
        <w:rPr>
          <w:rFonts w:eastAsiaTheme="minorEastAsia"/>
          <w:color w:val="000000" w:themeColor="text1"/>
          <w:sz w:val="30"/>
          <w:szCs w:val="30"/>
        </w:rPr>
        <w:t>原有项目建设历史及工程内容</w:t>
      </w:r>
      <w:bookmarkEnd w:id="342"/>
    </w:p>
    <w:p>
      <w:pPr>
        <w:ind w:firstLine="480"/>
        <w:rPr>
          <w:rStyle w:val="73"/>
          <w:color w:val="000000" w:themeColor="text1"/>
          <w:sz w:val="24"/>
          <w:szCs w:val="24"/>
        </w:rPr>
      </w:pPr>
      <w:r>
        <w:rPr>
          <w:rStyle w:val="73"/>
          <w:rFonts w:hint="eastAsia"/>
          <w:color w:val="000000" w:themeColor="text1"/>
          <w:sz w:val="24"/>
          <w:szCs w:val="24"/>
        </w:rPr>
        <w:t>新平平安矿业开发有限公司选矿厂目前有东磨选厂和辣子箐口选厂，本技改项目在东磨选厂</w:t>
      </w:r>
      <w:r>
        <w:rPr>
          <w:rStyle w:val="73"/>
          <w:rFonts w:hint="eastAsia"/>
          <w:color w:val="000000" w:themeColor="text1"/>
          <w:kern w:val="0"/>
          <w:sz w:val="24"/>
          <w:szCs w:val="24"/>
        </w:rPr>
        <w:t>的基础上技改</w:t>
      </w:r>
      <w:r>
        <w:rPr>
          <w:rStyle w:val="73"/>
          <w:rFonts w:hint="eastAsia"/>
          <w:color w:val="000000" w:themeColor="text1"/>
          <w:sz w:val="24"/>
          <w:szCs w:val="24"/>
        </w:rPr>
        <w:t>，原有项目主要针对东磨选厂。</w:t>
      </w:r>
    </w:p>
    <w:p>
      <w:pPr>
        <w:ind w:firstLine="480"/>
        <w:rPr>
          <w:rStyle w:val="73"/>
          <w:color w:val="000000" w:themeColor="text1"/>
          <w:sz w:val="24"/>
          <w:szCs w:val="24"/>
        </w:rPr>
      </w:pPr>
      <w:r>
        <w:rPr>
          <w:rStyle w:val="73"/>
          <w:rFonts w:hint="eastAsia"/>
          <w:color w:val="000000" w:themeColor="text1"/>
          <w:sz w:val="24"/>
          <w:szCs w:val="24"/>
        </w:rPr>
        <w:t>东磨选厂</w:t>
      </w:r>
      <w:r>
        <w:rPr>
          <w:rStyle w:val="73"/>
          <w:color w:val="000000" w:themeColor="text1"/>
          <w:sz w:val="24"/>
          <w:szCs w:val="24"/>
        </w:rPr>
        <w:t>建设历史及工程概况见下表所示：</w:t>
      </w:r>
    </w:p>
    <w:p>
      <w:pPr>
        <w:pStyle w:val="78"/>
        <w:ind w:firstLine="422"/>
        <w:jc w:val="center"/>
        <w:rPr>
          <w:b/>
          <w:bCs/>
          <w:color w:val="000000" w:themeColor="text1"/>
        </w:rPr>
      </w:pPr>
      <w:r>
        <w:rPr>
          <w:rStyle w:val="73"/>
          <w:b/>
          <w:bCs/>
          <w:color w:val="000000" w:themeColor="text1"/>
        </w:rPr>
        <w:t>表2.1-1现有工程建设历史及工程内容一览表</w:t>
      </w:r>
    </w:p>
    <w:tbl>
      <w:tblPr>
        <w:tblStyle w:val="62"/>
        <w:tblW w:w="8670" w:type="dxa"/>
        <w:tblInd w:w="-4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3930"/>
        <w:gridCol w:w="2895"/>
        <w:gridCol w:w="1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0" w:type="dxa"/>
            <w:vAlign w:val="center"/>
          </w:tcPr>
          <w:p>
            <w:pPr>
              <w:pStyle w:val="134"/>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序号</w:t>
            </w:r>
          </w:p>
        </w:tc>
        <w:tc>
          <w:tcPr>
            <w:tcW w:w="3930" w:type="dxa"/>
            <w:vAlign w:val="center"/>
          </w:tcPr>
          <w:p>
            <w:pPr>
              <w:pStyle w:val="134"/>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手续办理情况</w:t>
            </w:r>
          </w:p>
        </w:tc>
        <w:tc>
          <w:tcPr>
            <w:tcW w:w="2895" w:type="dxa"/>
            <w:vAlign w:val="center"/>
          </w:tcPr>
          <w:p>
            <w:pPr>
              <w:pStyle w:val="134"/>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建设内容</w:t>
            </w:r>
          </w:p>
        </w:tc>
        <w:tc>
          <w:tcPr>
            <w:tcW w:w="1185" w:type="dxa"/>
            <w:vAlign w:val="center"/>
          </w:tcPr>
          <w:p>
            <w:pPr>
              <w:pStyle w:val="134"/>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备注说明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0" w:type="dxa"/>
            <w:vAlign w:val="center"/>
          </w:tcPr>
          <w:p>
            <w:pPr>
              <w:pStyle w:val="134"/>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1</w:t>
            </w:r>
          </w:p>
        </w:tc>
        <w:tc>
          <w:tcPr>
            <w:tcW w:w="3930" w:type="dxa"/>
            <w:vAlign w:val="center"/>
          </w:tcPr>
          <w:p>
            <w:pPr>
              <w:pStyle w:val="134"/>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2004年1月峨山万茂有限公司（原</w:t>
            </w:r>
            <w:r>
              <w:rPr>
                <w:rFonts w:eastAsiaTheme="minorEastAsia"/>
                <w:color w:val="000000" w:themeColor="text1"/>
                <w:sz w:val="21"/>
                <w:szCs w:val="21"/>
              </w:rPr>
              <w:t>新平锦茂工贸有限公司前身</w:t>
            </w:r>
            <w:r>
              <w:rPr>
                <w:rFonts w:eastAsiaTheme="minorEastAsia"/>
                <w:bCs/>
                <w:color w:val="000000" w:themeColor="text1"/>
                <w:sz w:val="21"/>
                <w:szCs w:val="21"/>
              </w:rPr>
              <w:t>）委托昆明理工大学编制了《戛洒选厂500吨/日选矿工程项目环境影响报告表》，并于2004年1月20日取得了原新平县环境保护局对《戛洒选厂500吨/日选矿工程项目环境影响报告表》的审批意见。</w:t>
            </w:r>
            <w:r>
              <w:rPr>
                <w:rFonts w:hint="eastAsia" w:eastAsiaTheme="minorEastAsia"/>
                <w:bCs/>
                <w:color w:val="000000" w:themeColor="text1"/>
                <w:sz w:val="21"/>
                <w:szCs w:val="21"/>
              </w:rPr>
              <w:t>原</w:t>
            </w:r>
            <w:r>
              <w:rPr>
                <w:rFonts w:eastAsiaTheme="minorEastAsia"/>
                <w:bCs/>
                <w:color w:val="000000" w:themeColor="text1"/>
                <w:sz w:val="21"/>
                <w:szCs w:val="21"/>
              </w:rPr>
              <w:t>戛洒选厂500吨/日选矿工程</w:t>
            </w:r>
            <w:r>
              <w:rPr>
                <w:rFonts w:hint="eastAsia" w:eastAsiaTheme="minorEastAsia"/>
                <w:bCs/>
                <w:color w:val="000000" w:themeColor="text1"/>
                <w:sz w:val="21"/>
                <w:szCs w:val="21"/>
              </w:rPr>
              <w:t>项目已于2005年建成，由于项目建设时间较早，且业主几经变更，验收相关资料已遗失。</w:t>
            </w:r>
          </w:p>
        </w:tc>
        <w:tc>
          <w:tcPr>
            <w:tcW w:w="2895" w:type="dxa"/>
            <w:vAlign w:val="center"/>
          </w:tcPr>
          <w:p>
            <w:pPr>
              <w:pStyle w:val="134"/>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建设一条原矿处理规模为250吨/d的铜选矿</w:t>
            </w:r>
            <w:r>
              <w:rPr>
                <w:rFonts w:hint="eastAsia" w:eastAsiaTheme="minorEastAsia"/>
                <w:bCs/>
                <w:color w:val="000000" w:themeColor="text1"/>
                <w:sz w:val="21"/>
                <w:szCs w:val="21"/>
              </w:rPr>
              <w:t>和</w:t>
            </w:r>
            <w:r>
              <w:rPr>
                <w:rFonts w:eastAsiaTheme="minorEastAsia"/>
                <w:bCs/>
                <w:color w:val="000000" w:themeColor="text1"/>
                <w:sz w:val="21"/>
                <w:szCs w:val="21"/>
              </w:rPr>
              <w:t>规模为250吨/d的铁选矿</w:t>
            </w:r>
            <w:r>
              <w:rPr>
                <w:rFonts w:hint="eastAsia" w:eastAsiaTheme="minorEastAsia"/>
                <w:bCs/>
                <w:color w:val="000000" w:themeColor="text1"/>
                <w:sz w:val="21"/>
                <w:szCs w:val="21"/>
              </w:rPr>
              <w:t>的</w:t>
            </w:r>
            <w:r>
              <w:rPr>
                <w:rFonts w:eastAsiaTheme="minorEastAsia"/>
                <w:bCs/>
                <w:color w:val="000000" w:themeColor="text1"/>
                <w:sz w:val="21"/>
                <w:szCs w:val="21"/>
              </w:rPr>
              <w:t>生产</w:t>
            </w:r>
            <w:r>
              <w:rPr>
                <w:rFonts w:hint="eastAsia" w:eastAsiaTheme="minorEastAsia"/>
                <w:bCs/>
                <w:color w:val="000000" w:themeColor="text1"/>
                <w:sz w:val="21"/>
                <w:szCs w:val="21"/>
              </w:rPr>
              <w:t>项目</w:t>
            </w:r>
            <w:r>
              <w:rPr>
                <w:rFonts w:eastAsiaTheme="minorEastAsia"/>
                <w:bCs/>
                <w:color w:val="000000" w:themeColor="text1"/>
                <w:sz w:val="21"/>
                <w:szCs w:val="21"/>
              </w:rPr>
              <w:t>。该项目洗选出来的铁精矿品位达54%，铜精矿品位达18%</w:t>
            </w:r>
            <w:r>
              <w:rPr>
                <w:rFonts w:hint="eastAsia" w:eastAsiaTheme="minorEastAsia"/>
                <w:bCs/>
                <w:color w:val="000000" w:themeColor="text1"/>
                <w:sz w:val="21"/>
                <w:szCs w:val="21"/>
              </w:rPr>
              <w:t>。</w:t>
            </w:r>
          </w:p>
        </w:tc>
        <w:tc>
          <w:tcPr>
            <w:tcW w:w="1185" w:type="dxa"/>
            <w:vMerge w:val="restart"/>
            <w:vAlign w:val="center"/>
          </w:tcPr>
          <w:p>
            <w:pPr>
              <w:pStyle w:val="134"/>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由于公司所属权发生变更，故由原峨山万茂有限公司更名为</w:t>
            </w:r>
            <w:r>
              <w:rPr>
                <w:rFonts w:eastAsiaTheme="minorEastAsia"/>
                <w:color w:val="000000" w:themeColor="text1"/>
                <w:sz w:val="21"/>
                <w:szCs w:val="21"/>
              </w:rPr>
              <w:t>新平锦茂工贸有限公司</w:t>
            </w:r>
          </w:p>
          <w:p>
            <w:pPr>
              <w:pStyle w:val="134"/>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，现该选厂被新平县平安矿业开发有限公司收购，技改项目建设单位现为新平县平安矿业开发有限公司</w:t>
            </w:r>
            <w:r>
              <w:rPr>
                <w:rFonts w:hint="eastAsia" w:eastAsiaTheme="minorEastAsia"/>
                <w:bCs/>
                <w:color w:val="000000" w:themeColor="text1"/>
                <w:sz w:val="21"/>
                <w:szCs w:val="21"/>
              </w:rPr>
              <w:t>（选厂为东磨选厂）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0" w:type="dxa"/>
            <w:vAlign w:val="center"/>
          </w:tcPr>
          <w:p>
            <w:pPr>
              <w:pStyle w:val="134"/>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2</w:t>
            </w:r>
          </w:p>
        </w:tc>
        <w:tc>
          <w:tcPr>
            <w:tcW w:w="3930" w:type="dxa"/>
            <w:vAlign w:val="center"/>
          </w:tcPr>
          <w:p>
            <w:pPr>
              <w:pStyle w:val="134"/>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2005年5月，原新平锦茂工贸有限公司委托玉溪市环境科学研究所编制了《新平锦茂公司东磨选厂尾矿库新建项目环境影响报告表》，并于2005年8月10日取得原新平县环保局对《新平锦茂公司东磨选厂尾矿库环境影响报告表》的审批意见。2011年12月，原新平锦茂工贸有限公司委托玉溪市环境监测站编制了《新平锦茂公司东磨选厂尾矿库新建项目竣工环境保护验收监测表》，并通过原新平县环保局验收。</w:t>
            </w:r>
          </w:p>
        </w:tc>
        <w:tc>
          <w:tcPr>
            <w:tcW w:w="2895" w:type="dxa"/>
            <w:vAlign w:val="center"/>
          </w:tcPr>
          <w:p>
            <w:pPr>
              <w:pStyle w:val="134"/>
              <w:spacing w:line="240" w:lineRule="auto"/>
              <w:ind w:firstLine="0" w:firstLineChars="0"/>
              <w:jc w:val="center"/>
              <w:rPr>
                <w:rFonts w:eastAsiaTheme="minorEastAsia"/>
                <w:bCs/>
                <w:color w:val="000000" w:themeColor="text1"/>
                <w:sz w:val="21"/>
                <w:szCs w:val="21"/>
              </w:rPr>
            </w:pPr>
            <w:r>
              <w:rPr>
                <w:rFonts w:hint="eastAsia" w:eastAsiaTheme="minorEastAsia"/>
                <w:color w:val="000000" w:themeColor="text1"/>
                <w:sz w:val="21"/>
                <w:szCs w:val="21"/>
              </w:rPr>
              <w:t>建设</w:t>
            </w:r>
            <w:r>
              <w:rPr>
                <w:rFonts w:eastAsiaTheme="minorEastAsia"/>
                <w:color w:val="000000" w:themeColor="text1"/>
                <w:sz w:val="21"/>
                <w:szCs w:val="21"/>
              </w:rPr>
              <w:t>辣子箐尾矿库，占地面积60亩，库容44.95万m</w:t>
            </w:r>
            <w:r>
              <w:rPr>
                <w:rFonts w:eastAsiaTheme="minorEastAsia"/>
                <w:color w:val="000000" w:themeColor="text1"/>
                <w:sz w:val="21"/>
                <w:szCs w:val="21"/>
                <w:vertAlign w:val="superscript"/>
              </w:rPr>
              <w:t>3</w:t>
            </w:r>
            <w:r>
              <w:rPr>
                <w:rFonts w:eastAsiaTheme="minorEastAsia"/>
                <w:color w:val="000000" w:themeColor="text1"/>
                <w:sz w:val="21"/>
                <w:szCs w:val="21"/>
              </w:rPr>
              <w:t>，设计服务年限7年，目前尾矿库已用库容35万m</w:t>
            </w:r>
            <w:r>
              <w:rPr>
                <w:rFonts w:eastAsiaTheme="minorEastAsia"/>
                <w:color w:val="000000" w:themeColor="text1"/>
                <w:sz w:val="21"/>
                <w:szCs w:val="21"/>
                <w:vertAlign w:val="superscript"/>
              </w:rPr>
              <w:t>3</w:t>
            </w:r>
            <w:r>
              <w:rPr>
                <w:rFonts w:eastAsiaTheme="minorEastAsia"/>
                <w:color w:val="000000" w:themeColor="text1"/>
                <w:sz w:val="21"/>
                <w:szCs w:val="21"/>
              </w:rPr>
              <w:t>，剩余</w:t>
            </w:r>
            <w:r>
              <w:rPr>
                <w:rFonts w:hint="eastAsia" w:eastAsiaTheme="minorEastAsia"/>
                <w:color w:val="000000" w:themeColor="text1"/>
                <w:sz w:val="21"/>
                <w:szCs w:val="21"/>
              </w:rPr>
              <w:t>4</w:t>
            </w:r>
            <w:r>
              <w:rPr>
                <w:rFonts w:eastAsiaTheme="minorEastAsia"/>
                <w:color w:val="000000" w:themeColor="text1"/>
                <w:sz w:val="21"/>
                <w:szCs w:val="21"/>
              </w:rPr>
              <w:t>万m</w:t>
            </w:r>
            <w:r>
              <w:rPr>
                <w:rFonts w:eastAsiaTheme="minorEastAsia"/>
                <w:color w:val="000000" w:themeColor="text1"/>
                <w:sz w:val="21"/>
                <w:szCs w:val="21"/>
                <w:vertAlign w:val="superscript"/>
              </w:rPr>
              <w:t>3</w:t>
            </w:r>
            <w:r>
              <w:rPr>
                <w:rFonts w:eastAsiaTheme="minorEastAsia"/>
                <w:color w:val="000000" w:themeColor="text1"/>
                <w:sz w:val="21"/>
                <w:szCs w:val="21"/>
              </w:rPr>
              <w:t>。</w:t>
            </w:r>
          </w:p>
        </w:tc>
        <w:tc>
          <w:tcPr>
            <w:tcW w:w="1185" w:type="dxa"/>
            <w:vMerge w:val="continue"/>
            <w:vAlign w:val="center"/>
          </w:tcPr>
          <w:p>
            <w:pPr>
              <w:pStyle w:val="134"/>
              <w:spacing w:line="240" w:lineRule="auto"/>
              <w:ind w:firstLine="0" w:firstLineChars="0"/>
              <w:jc w:val="center"/>
              <w:rPr>
                <w:rFonts w:eastAsiaTheme="minorEastAsia"/>
                <w:b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60" w:type="dxa"/>
            <w:vAlign w:val="center"/>
          </w:tcPr>
          <w:p>
            <w:pPr>
              <w:pStyle w:val="134"/>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3</w:t>
            </w:r>
          </w:p>
        </w:tc>
        <w:tc>
          <w:tcPr>
            <w:tcW w:w="3930" w:type="dxa"/>
            <w:vAlign w:val="center"/>
          </w:tcPr>
          <w:p>
            <w:pPr>
              <w:pStyle w:val="134"/>
              <w:spacing w:line="240" w:lineRule="auto"/>
              <w:ind w:firstLine="0" w:firstLineChars="0"/>
              <w:jc w:val="center"/>
              <w:rPr>
                <w:rFonts w:eastAsiaTheme="minorEastAsia"/>
                <w:bCs/>
                <w:color w:val="000000" w:themeColor="text1"/>
                <w:sz w:val="21"/>
                <w:szCs w:val="21"/>
              </w:rPr>
            </w:pPr>
            <w:r>
              <w:rPr>
                <w:rFonts w:eastAsiaTheme="minorEastAsia"/>
                <w:color w:val="000000" w:themeColor="text1"/>
                <w:sz w:val="21"/>
                <w:szCs w:val="21"/>
              </w:rPr>
              <w:t>2009年，</w:t>
            </w:r>
            <w:r>
              <w:rPr>
                <w:rFonts w:eastAsiaTheme="minorEastAsia"/>
                <w:bCs/>
                <w:color w:val="000000" w:themeColor="text1"/>
                <w:sz w:val="21"/>
                <w:szCs w:val="21"/>
              </w:rPr>
              <w:t>原</w:t>
            </w:r>
            <w:r>
              <w:rPr>
                <w:rFonts w:eastAsiaTheme="minorEastAsia"/>
                <w:color w:val="000000" w:themeColor="text1"/>
                <w:sz w:val="21"/>
                <w:szCs w:val="21"/>
              </w:rPr>
              <w:t>新平锦茂工贸有限公司由于铁铜精矿品位无法满足市场需要，</w:t>
            </w:r>
            <w:r>
              <w:rPr>
                <w:color w:val="000000" w:themeColor="text1"/>
                <w:sz w:val="21"/>
                <w:szCs w:val="21"/>
              </w:rPr>
              <w:t>决定对铜铁两矿选厂进行技改扩建，并</w:t>
            </w:r>
            <w:r>
              <w:rPr>
                <w:rFonts w:eastAsiaTheme="minorEastAsia"/>
                <w:color w:val="000000" w:themeColor="text1"/>
                <w:sz w:val="21"/>
                <w:szCs w:val="21"/>
              </w:rPr>
              <w:t>于2009年2月委托玉溪市环境科学研究院编制了《新平锦茂工贸有限责任公司东磨选厂技改扩建项目环境影响报告表》，于2009年4月8日取得了原新平县环境保护局对《新平锦茂工贸有限责任公司东磨选厂技改扩建项目环境影响报告表》的审批意见（新环许证〔2009〕67号）。2011年12月，</w:t>
            </w:r>
            <w:r>
              <w:rPr>
                <w:rFonts w:eastAsiaTheme="minorEastAsia"/>
                <w:bCs/>
                <w:color w:val="000000" w:themeColor="text1"/>
                <w:sz w:val="21"/>
                <w:szCs w:val="21"/>
              </w:rPr>
              <w:t>原</w:t>
            </w:r>
            <w:r>
              <w:rPr>
                <w:rFonts w:eastAsiaTheme="minorEastAsia"/>
                <w:color w:val="000000" w:themeColor="text1"/>
                <w:sz w:val="21"/>
                <w:szCs w:val="21"/>
              </w:rPr>
              <w:t>新平锦茂工贸有限公司委托云南高科环境保护科技有限公司分析测试中心编制了《新平锦茂工贸有限责任公司东磨选厂技改扩建项目竣工环境保护验收监测表》，并于2011年12月22日取得了原新平县环境保护局对《新平锦茂工贸有限责任公司东磨选厂技改扩建项目竣工环境保护验收监测表》的验收意见（新环验〔2011〕75号）。</w:t>
            </w:r>
          </w:p>
          <w:p>
            <w:pPr>
              <w:pStyle w:val="134"/>
              <w:spacing w:line="240" w:lineRule="auto"/>
              <w:ind w:firstLine="0" w:firstLineChars="0"/>
              <w:jc w:val="center"/>
              <w:rPr>
                <w:rFonts w:eastAsiaTheme="minorEastAsia"/>
                <w:bCs/>
                <w:color w:val="000000" w:themeColor="text1"/>
                <w:sz w:val="21"/>
                <w:szCs w:val="21"/>
              </w:rPr>
            </w:pPr>
          </w:p>
        </w:tc>
        <w:tc>
          <w:tcPr>
            <w:tcW w:w="2895" w:type="dxa"/>
            <w:vAlign w:val="center"/>
          </w:tcPr>
          <w:p>
            <w:pPr>
              <w:pStyle w:val="134"/>
              <w:spacing w:line="240" w:lineRule="auto"/>
              <w:ind w:firstLine="0" w:firstLineChars="0"/>
              <w:jc w:val="center"/>
              <w:rPr>
                <w:rFonts w:eastAsiaTheme="minorEastAsia"/>
                <w:bCs/>
                <w:color w:val="000000" w:themeColor="text1"/>
                <w:sz w:val="21"/>
                <w:szCs w:val="21"/>
              </w:rPr>
            </w:pPr>
            <w:r>
              <w:rPr>
                <w:rFonts w:eastAsiaTheme="minorEastAsia"/>
                <w:color w:val="000000" w:themeColor="text1"/>
                <w:sz w:val="21"/>
                <w:szCs w:val="21"/>
              </w:rPr>
              <w:t>项目生产规模不变，仅提高铜精矿和铁精矿的品位，该项目</w:t>
            </w:r>
            <w:r>
              <w:rPr>
                <w:rFonts w:eastAsiaTheme="minorEastAsia"/>
                <w:bCs/>
                <w:color w:val="000000" w:themeColor="text1"/>
                <w:sz w:val="21"/>
                <w:szCs w:val="21"/>
              </w:rPr>
              <w:t>选出来的铁精矿品位达6</w:t>
            </w:r>
            <w:r>
              <w:rPr>
                <w:rFonts w:hint="eastAsia" w:eastAsiaTheme="minorEastAsia"/>
                <w:bCs/>
                <w:color w:val="000000" w:themeColor="text1"/>
                <w:sz w:val="21"/>
                <w:szCs w:val="21"/>
              </w:rPr>
              <w:t>2</w:t>
            </w:r>
            <w:r>
              <w:rPr>
                <w:rFonts w:eastAsiaTheme="minorEastAsia"/>
                <w:bCs/>
                <w:color w:val="000000" w:themeColor="text1"/>
                <w:sz w:val="21"/>
                <w:szCs w:val="21"/>
              </w:rPr>
              <w:t>%，铜精矿品位达20%</w:t>
            </w:r>
            <w:r>
              <w:rPr>
                <w:rFonts w:eastAsiaTheme="minorEastAsia"/>
                <w:color w:val="000000" w:themeColor="text1"/>
                <w:sz w:val="21"/>
                <w:szCs w:val="21"/>
              </w:rPr>
              <w:t>。</w:t>
            </w:r>
          </w:p>
        </w:tc>
        <w:tc>
          <w:tcPr>
            <w:tcW w:w="1185" w:type="dxa"/>
            <w:vMerge w:val="continue"/>
            <w:vAlign w:val="center"/>
          </w:tcPr>
          <w:p>
            <w:pPr>
              <w:pStyle w:val="134"/>
              <w:spacing w:line="240" w:lineRule="auto"/>
              <w:ind w:firstLine="0" w:firstLineChars="0"/>
              <w:jc w:val="center"/>
              <w:rPr>
                <w:rFonts w:eastAsiaTheme="minorEastAsia"/>
                <w:bCs/>
                <w:color w:val="000000" w:themeColor="text1"/>
                <w:sz w:val="21"/>
                <w:szCs w:val="21"/>
              </w:rPr>
            </w:pPr>
          </w:p>
        </w:tc>
      </w:tr>
    </w:tbl>
    <w:p>
      <w:pPr>
        <w:pStyle w:val="134"/>
        <w:ind w:firstLine="480"/>
        <w:rPr>
          <w:rFonts w:eastAsiaTheme="minorEastAsia"/>
          <w:color w:val="000000" w:themeColor="text1"/>
        </w:rPr>
      </w:pPr>
      <w:r>
        <w:rPr>
          <w:rFonts w:eastAsiaTheme="minorEastAsia"/>
          <w:color w:val="000000" w:themeColor="text1"/>
        </w:rPr>
        <w:t>新平县平安矿业开发有限公司</w:t>
      </w:r>
      <w:r>
        <w:rPr>
          <w:rFonts w:hint="eastAsia" w:eastAsiaTheme="minorEastAsia"/>
          <w:color w:val="000000" w:themeColor="text1"/>
        </w:rPr>
        <w:t>项目情况见下表所示：</w:t>
      </w:r>
    </w:p>
    <w:p>
      <w:pPr>
        <w:pStyle w:val="134"/>
        <w:ind w:firstLine="0" w:firstLineChars="0"/>
        <w:jc w:val="center"/>
        <w:rPr>
          <w:rFonts w:eastAsiaTheme="minorEastAsia"/>
          <w:b/>
          <w:bCs/>
          <w:color w:val="000000" w:themeColor="text1"/>
          <w:sz w:val="21"/>
          <w:szCs w:val="21"/>
        </w:rPr>
      </w:pPr>
      <w:r>
        <w:rPr>
          <w:rFonts w:hint="eastAsia" w:eastAsiaTheme="minorEastAsia"/>
          <w:b/>
          <w:bCs/>
          <w:color w:val="000000" w:themeColor="text1"/>
          <w:sz w:val="21"/>
          <w:szCs w:val="21"/>
        </w:rPr>
        <w:t>表2.1-2新平</w:t>
      </w:r>
      <w:r>
        <w:rPr>
          <w:rFonts w:eastAsiaTheme="minorEastAsia"/>
          <w:b/>
          <w:bCs/>
          <w:color w:val="000000" w:themeColor="text1"/>
          <w:sz w:val="21"/>
          <w:szCs w:val="21"/>
        </w:rPr>
        <w:t>平安矿业开发有限公司</w:t>
      </w:r>
      <w:r>
        <w:rPr>
          <w:rFonts w:hint="eastAsia" w:eastAsiaTheme="minorEastAsia"/>
          <w:b/>
          <w:bCs/>
          <w:color w:val="000000" w:themeColor="text1"/>
          <w:sz w:val="21"/>
          <w:szCs w:val="21"/>
        </w:rPr>
        <w:t>项目情况一览表</w:t>
      </w:r>
    </w:p>
    <w:tbl>
      <w:tblPr>
        <w:tblStyle w:val="62"/>
        <w:tblW w:w="8700" w:type="dxa"/>
        <w:tblInd w:w="-4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4050"/>
        <w:gridCol w:w="2745"/>
        <w:gridCol w:w="1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90" w:type="dxa"/>
            <w:vAlign w:val="center"/>
          </w:tcPr>
          <w:p>
            <w:pPr>
              <w:pStyle w:val="134"/>
              <w:kinsoku w:val="0"/>
              <w:overflowPunct w:val="0"/>
              <w:autoSpaceDE w:val="0"/>
              <w:autoSpaceDN w:val="0"/>
              <w:adjustRightInd/>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序号</w:t>
            </w:r>
          </w:p>
        </w:tc>
        <w:tc>
          <w:tcPr>
            <w:tcW w:w="4050" w:type="dxa"/>
            <w:vAlign w:val="center"/>
          </w:tcPr>
          <w:p>
            <w:pPr>
              <w:pStyle w:val="134"/>
              <w:kinsoku w:val="0"/>
              <w:overflowPunct w:val="0"/>
              <w:autoSpaceDE w:val="0"/>
              <w:autoSpaceDN w:val="0"/>
              <w:adjustRightInd/>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手续办理情况</w:t>
            </w:r>
          </w:p>
        </w:tc>
        <w:tc>
          <w:tcPr>
            <w:tcW w:w="2745" w:type="dxa"/>
            <w:vAlign w:val="center"/>
          </w:tcPr>
          <w:p>
            <w:pPr>
              <w:pStyle w:val="134"/>
              <w:kinsoku w:val="0"/>
              <w:overflowPunct w:val="0"/>
              <w:autoSpaceDE w:val="0"/>
              <w:autoSpaceDN w:val="0"/>
              <w:adjustRightInd/>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建设内容</w:t>
            </w:r>
          </w:p>
        </w:tc>
        <w:tc>
          <w:tcPr>
            <w:tcW w:w="1215" w:type="dxa"/>
            <w:vAlign w:val="center"/>
          </w:tcPr>
          <w:p>
            <w:pPr>
              <w:pStyle w:val="134"/>
              <w:kinsoku w:val="0"/>
              <w:overflowPunct w:val="0"/>
              <w:autoSpaceDE w:val="0"/>
              <w:autoSpaceDN w:val="0"/>
              <w:adjustRightInd/>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备注说明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90" w:type="dxa"/>
            <w:vAlign w:val="center"/>
          </w:tcPr>
          <w:p>
            <w:pPr>
              <w:pStyle w:val="574"/>
              <w:keepNext w:val="0"/>
              <w:keepLines w:val="0"/>
              <w:kinsoku w:val="0"/>
              <w:overflowPunct w:val="0"/>
              <w:autoSpaceDE w:val="0"/>
              <w:autoSpaceDN w:val="0"/>
              <w:spacing w:beforeLines="0" w:afterLines="0" w:line="240" w:lineRule="auto"/>
              <w:jc w:val="center"/>
              <w:rPr>
                <w:rFonts w:eastAsiaTheme="minorEastAsia"/>
                <w:b w:val="0"/>
                <w:bCs w:val="0"/>
                <w:color w:val="000000" w:themeColor="text1"/>
                <w:sz w:val="21"/>
                <w:szCs w:val="21"/>
              </w:rPr>
            </w:pPr>
            <w:bookmarkStart w:id="343" w:name="_Toc30182"/>
            <w:bookmarkStart w:id="344" w:name="_Toc24427"/>
            <w:bookmarkStart w:id="345" w:name="_Toc1199"/>
            <w:bookmarkStart w:id="346" w:name="_Toc32192"/>
            <w:bookmarkStart w:id="347" w:name="_Toc19780"/>
            <w:r>
              <w:rPr>
                <w:rFonts w:hint="eastAsia" w:eastAsiaTheme="minorEastAsia"/>
                <w:b w:val="0"/>
                <w:bCs w:val="0"/>
                <w:color w:val="000000" w:themeColor="text1"/>
                <w:sz w:val="21"/>
                <w:szCs w:val="21"/>
              </w:rPr>
              <w:t>1</w:t>
            </w:r>
            <w:bookmarkEnd w:id="343"/>
            <w:bookmarkEnd w:id="344"/>
            <w:bookmarkEnd w:id="345"/>
            <w:bookmarkEnd w:id="346"/>
            <w:bookmarkEnd w:id="347"/>
          </w:p>
        </w:tc>
        <w:tc>
          <w:tcPr>
            <w:tcW w:w="4050" w:type="dxa"/>
            <w:vAlign w:val="center"/>
          </w:tcPr>
          <w:p>
            <w:pPr>
              <w:pStyle w:val="134"/>
              <w:kinsoku w:val="0"/>
              <w:overflowPunct w:val="0"/>
              <w:autoSpaceDE w:val="0"/>
              <w:autoSpaceDN w:val="0"/>
              <w:adjustRightInd/>
              <w:spacing w:line="240" w:lineRule="auto"/>
              <w:ind w:firstLine="420"/>
              <w:jc w:val="center"/>
              <w:rPr>
                <w:color w:val="000000" w:themeColor="text1"/>
                <w:sz w:val="21"/>
                <w:szCs w:val="21"/>
              </w:rPr>
            </w:pPr>
            <w:r>
              <w:rPr>
                <w:color w:val="000000" w:themeColor="text1"/>
                <w:sz w:val="21"/>
                <w:szCs w:val="21"/>
              </w:rPr>
              <w:t>2006年，平安矿业出资建设“新平县戛洒磁选厂”，建设地点位于新平县戛洒镇辣子箐，占地面积61亩。2006年4月新平矿业委托玉溪市环科所编制了《新平县戛洒磁选厂建设项目环境影响报告书》，2006年6月</w:t>
            </w:r>
            <w:r>
              <w:rPr>
                <w:rFonts w:hint="eastAsia"/>
                <w:color w:val="000000" w:themeColor="text1"/>
                <w:sz w:val="21"/>
                <w:szCs w:val="21"/>
              </w:rPr>
              <w:t>取得了</w:t>
            </w:r>
            <w:r>
              <w:rPr>
                <w:color w:val="000000" w:themeColor="text1"/>
                <w:sz w:val="21"/>
                <w:szCs w:val="21"/>
              </w:rPr>
              <w:t>新平县环保局审批（新环发[2006]14号），2006年8月项目建设并投入生产，2006年9月项目通过新平县环保局</w:t>
            </w:r>
            <w:r>
              <w:rPr>
                <w:rFonts w:hint="eastAsia"/>
                <w:color w:val="000000" w:themeColor="text1"/>
                <w:sz w:val="21"/>
                <w:szCs w:val="21"/>
              </w:rPr>
              <w:t>组织的</w:t>
            </w:r>
            <w:r>
              <w:rPr>
                <w:color w:val="000000" w:themeColor="text1"/>
                <w:sz w:val="21"/>
                <w:szCs w:val="21"/>
              </w:rPr>
              <w:t>环境保护竣工验收（新环验[2006]03号）。</w:t>
            </w:r>
          </w:p>
        </w:tc>
        <w:tc>
          <w:tcPr>
            <w:tcW w:w="2745" w:type="dxa"/>
            <w:vAlign w:val="center"/>
          </w:tcPr>
          <w:p>
            <w:pPr>
              <w:pStyle w:val="574"/>
              <w:keepNext w:val="0"/>
              <w:keepLines w:val="0"/>
              <w:kinsoku w:val="0"/>
              <w:overflowPunct w:val="0"/>
              <w:autoSpaceDE w:val="0"/>
              <w:autoSpaceDN w:val="0"/>
              <w:spacing w:beforeLines="0" w:afterLines="0" w:line="240" w:lineRule="auto"/>
              <w:jc w:val="center"/>
              <w:rPr>
                <w:rFonts w:eastAsia="宋体"/>
                <w:b w:val="0"/>
                <w:bCs w:val="0"/>
                <w:color w:val="000000" w:themeColor="text1"/>
                <w:sz w:val="21"/>
                <w:szCs w:val="21"/>
              </w:rPr>
            </w:pPr>
            <w:bookmarkStart w:id="348" w:name="_Toc6459"/>
            <w:bookmarkStart w:id="349" w:name="_Toc15317"/>
            <w:bookmarkStart w:id="350" w:name="_Toc20854"/>
            <w:bookmarkStart w:id="351" w:name="_Toc16269"/>
            <w:bookmarkStart w:id="352" w:name="_Toc16152"/>
            <w:r>
              <w:rPr>
                <w:rFonts w:eastAsia="宋体"/>
                <w:b w:val="0"/>
                <w:bCs w:val="0"/>
                <w:color w:val="000000" w:themeColor="text1"/>
                <w:sz w:val="21"/>
                <w:szCs w:val="21"/>
              </w:rPr>
              <w:t>项目占地面积61亩，其中生产区占地29亩，尾矿库占地32亩</w:t>
            </w:r>
            <w:r>
              <w:rPr>
                <w:rFonts w:hint="eastAsia" w:eastAsia="宋体"/>
                <w:b w:val="0"/>
                <w:bCs w:val="0"/>
                <w:color w:val="000000" w:themeColor="text1"/>
                <w:sz w:val="21"/>
                <w:szCs w:val="21"/>
              </w:rPr>
              <w:t>。处理原铁矿300t/d，日产铁精矿150t，铁精矿平均品位62%。</w:t>
            </w:r>
            <w:bookmarkEnd w:id="348"/>
            <w:bookmarkEnd w:id="349"/>
            <w:bookmarkEnd w:id="350"/>
            <w:bookmarkEnd w:id="351"/>
            <w:bookmarkEnd w:id="352"/>
          </w:p>
        </w:tc>
        <w:tc>
          <w:tcPr>
            <w:tcW w:w="1215" w:type="dxa"/>
            <w:vAlign w:val="center"/>
          </w:tcPr>
          <w:p>
            <w:pPr>
              <w:pStyle w:val="574"/>
              <w:keepNext w:val="0"/>
              <w:keepLines w:val="0"/>
              <w:kinsoku w:val="0"/>
              <w:overflowPunct w:val="0"/>
              <w:autoSpaceDE w:val="0"/>
              <w:autoSpaceDN w:val="0"/>
              <w:spacing w:beforeLines="0" w:afterLines="0" w:line="240" w:lineRule="auto"/>
              <w:jc w:val="center"/>
              <w:rPr>
                <w:rFonts w:eastAsiaTheme="minorEastAsia"/>
                <w:color w:val="000000" w:themeColor="text1"/>
                <w:sz w:val="30"/>
                <w:szCs w:val="30"/>
              </w:rPr>
            </w:pPr>
            <w:bookmarkStart w:id="353" w:name="_Toc26140"/>
            <w:bookmarkStart w:id="354" w:name="_Toc23328"/>
            <w:bookmarkStart w:id="355" w:name="_Toc16784"/>
            <w:bookmarkStart w:id="356" w:name="_Toc24388"/>
            <w:bookmarkStart w:id="357" w:name="_Toc13316"/>
            <w:r>
              <w:rPr>
                <w:rFonts w:eastAsiaTheme="minorEastAsia"/>
                <w:b w:val="0"/>
                <w:bCs w:val="0"/>
                <w:color w:val="000000" w:themeColor="text1"/>
                <w:sz w:val="21"/>
                <w:szCs w:val="21"/>
              </w:rPr>
              <w:t>平安矿业开发有限公司</w:t>
            </w:r>
            <w:r>
              <w:rPr>
                <w:rFonts w:hint="eastAsia" w:eastAsiaTheme="minorEastAsia"/>
                <w:b w:val="0"/>
                <w:bCs w:val="0"/>
                <w:color w:val="000000" w:themeColor="text1"/>
                <w:sz w:val="21"/>
                <w:szCs w:val="21"/>
              </w:rPr>
              <w:t>原有项目（选厂为辣子箐口选厂）</w:t>
            </w:r>
            <w:bookmarkEnd w:id="353"/>
            <w:bookmarkEnd w:id="354"/>
            <w:bookmarkEnd w:id="355"/>
            <w:bookmarkEnd w:id="356"/>
            <w:r>
              <w:rPr>
                <w:rFonts w:hint="eastAsia" w:eastAsiaTheme="minorEastAsia"/>
                <w:b w:val="0"/>
                <w:bCs w:val="0"/>
                <w:color w:val="000000" w:themeColor="text1"/>
                <w:sz w:val="21"/>
                <w:szCs w:val="21"/>
              </w:rPr>
              <w:t>，该选厂位于大红山线以南</w:t>
            </w:r>
            <w:bookmarkEnd w:id="35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90" w:type="dxa"/>
            <w:vAlign w:val="center"/>
          </w:tcPr>
          <w:p>
            <w:pPr>
              <w:pStyle w:val="574"/>
              <w:keepNext w:val="0"/>
              <w:keepLines w:val="0"/>
              <w:kinsoku w:val="0"/>
              <w:overflowPunct w:val="0"/>
              <w:autoSpaceDE w:val="0"/>
              <w:autoSpaceDN w:val="0"/>
              <w:spacing w:beforeLines="0" w:afterLines="0" w:line="240" w:lineRule="auto"/>
              <w:jc w:val="center"/>
              <w:rPr>
                <w:rFonts w:eastAsiaTheme="minorEastAsia"/>
                <w:b w:val="0"/>
                <w:bCs w:val="0"/>
                <w:color w:val="000000" w:themeColor="text1"/>
                <w:sz w:val="21"/>
                <w:szCs w:val="21"/>
              </w:rPr>
            </w:pPr>
            <w:bookmarkStart w:id="358" w:name="_Toc31593"/>
            <w:bookmarkStart w:id="359" w:name="_Toc6600"/>
            <w:bookmarkStart w:id="360" w:name="_Toc2230"/>
            <w:bookmarkStart w:id="361" w:name="_Toc2694"/>
            <w:bookmarkStart w:id="362" w:name="_Toc32131"/>
            <w:r>
              <w:rPr>
                <w:rFonts w:hint="eastAsia" w:eastAsiaTheme="minorEastAsia"/>
                <w:b w:val="0"/>
                <w:bCs w:val="0"/>
                <w:color w:val="000000" w:themeColor="text1"/>
                <w:sz w:val="21"/>
                <w:szCs w:val="21"/>
              </w:rPr>
              <w:t>2</w:t>
            </w:r>
            <w:bookmarkEnd w:id="358"/>
            <w:bookmarkEnd w:id="359"/>
            <w:bookmarkEnd w:id="360"/>
            <w:bookmarkEnd w:id="361"/>
            <w:bookmarkEnd w:id="362"/>
          </w:p>
        </w:tc>
        <w:tc>
          <w:tcPr>
            <w:tcW w:w="4050" w:type="dxa"/>
            <w:vAlign w:val="center"/>
          </w:tcPr>
          <w:p>
            <w:pPr>
              <w:kinsoku w:val="0"/>
              <w:overflowPunct w:val="0"/>
              <w:autoSpaceDE w:val="0"/>
              <w:autoSpaceDN w:val="0"/>
              <w:spacing w:line="240" w:lineRule="auto"/>
              <w:ind w:firstLine="420"/>
              <w:jc w:val="center"/>
              <w:rPr>
                <w:rFonts w:eastAsiaTheme="minorEastAsia"/>
                <w:color w:val="000000" w:themeColor="text1"/>
                <w:sz w:val="30"/>
                <w:szCs w:val="30"/>
              </w:rPr>
            </w:pPr>
            <w:r>
              <w:rPr>
                <w:color w:val="000000" w:themeColor="text1"/>
                <w:sz w:val="21"/>
                <w:szCs w:val="21"/>
              </w:rPr>
              <w:t>2017年4月10日，新平县平安矿业有限公司委托河北德源环保科技有限公司编制了《新平县平安矿业开发有限公司铁浮选生产回收项目环境影响报告书》，并于2018年5月10日取得了新平县环境环境保护局出具的《新平县平安矿业开发有限公司铁浮选生产回收项目环境影响报告书的批复》（新环审〔2018〕5号），2020年9月委托云南绿诚环境科技有限公司编制了《新平县平安矿业开发有限公司铁浮选生产回收项目竣工环境保护验收监测报告》，2020年9月14日，企业组织了环境保护自主验收会议。</w:t>
            </w:r>
          </w:p>
        </w:tc>
        <w:tc>
          <w:tcPr>
            <w:tcW w:w="2745" w:type="dxa"/>
            <w:vAlign w:val="center"/>
          </w:tcPr>
          <w:p>
            <w:pPr>
              <w:pStyle w:val="574"/>
              <w:keepNext w:val="0"/>
              <w:keepLines w:val="0"/>
              <w:kinsoku w:val="0"/>
              <w:overflowPunct w:val="0"/>
              <w:autoSpaceDE w:val="0"/>
              <w:autoSpaceDN w:val="0"/>
              <w:spacing w:beforeLines="0" w:afterLines="0" w:line="240" w:lineRule="auto"/>
              <w:jc w:val="center"/>
              <w:rPr>
                <w:rFonts w:eastAsiaTheme="minorEastAsia"/>
                <w:color w:val="000000" w:themeColor="text1"/>
                <w:sz w:val="30"/>
                <w:szCs w:val="30"/>
              </w:rPr>
            </w:pPr>
            <w:bookmarkStart w:id="363" w:name="_Toc22474"/>
            <w:bookmarkStart w:id="364" w:name="_Toc11181"/>
            <w:bookmarkStart w:id="365" w:name="_Toc31514"/>
            <w:bookmarkStart w:id="366" w:name="_Toc27121"/>
            <w:bookmarkStart w:id="367" w:name="_Toc519"/>
            <w:r>
              <w:rPr>
                <w:rFonts w:eastAsia="宋体"/>
                <w:b w:val="0"/>
                <w:bCs w:val="0"/>
                <w:color w:val="000000" w:themeColor="text1"/>
                <w:sz w:val="21"/>
                <w:szCs w:val="21"/>
              </w:rPr>
              <w:t>在现有生产流程末端增加一条铁浮选生产回收生产线，从现有尾矿浆中进一步回收铁资源，减少尾矿排放，建设受矿仓</w:t>
            </w:r>
            <w:r>
              <w:rPr>
                <w:rFonts w:hint="eastAsia" w:eastAsia="宋体"/>
                <w:b w:val="0"/>
                <w:bCs w:val="0"/>
                <w:color w:val="000000" w:themeColor="text1"/>
                <w:sz w:val="21"/>
                <w:szCs w:val="21"/>
              </w:rPr>
              <w:t>、</w:t>
            </w:r>
            <w:r>
              <w:rPr>
                <w:rFonts w:eastAsia="宋体"/>
                <w:b w:val="0"/>
                <w:bCs w:val="0"/>
                <w:color w:val="000000" w:themeColor="text1"/>
                <w:sz w:val="21"/>
                <w:szCs w:val="21"/>
              </w:rPr>
              <w:t>给料机、弱磁选机、高梯度磁选机、浮选机、过滤机等设备，对流程尾矿进行回收，每年回收铁精矿1.2万吨，每年减少尾矿排放量1.2万吨。</w:t>
            </w:r>
            <w:bookmarkEnd w:id="363"/>
            <w:bookmarkEnd w:id="364"/>
            <w:bookmarkEnd w:id="365"/>
            <w:bookmarkEnd w:id="366"/>
            <w:bookmarkEnd w:id="367"/>
          </w:p>
        </w:tc>
        <w:tc>
          <w:tcPr>
            <w:tcW w:w="1215" w:type="dxa"/>
            <w:vAlign w:val="center"/>
          </w:tcPr>
          <w:p>
            <w:pPr>
              <w:pStyle w:val="574"/>
              <w:keepNext w:val="0"/>
              <w:keepLines w:val="0"/>
              <w:kinsoku w:val="0"/>
              <w:overflowPunct w:val="0"/>
              <w:autoSpaceDE w:val="0"/>
              <w:autoSpaceDN w:val="0"/>
              <w:spacing w:beforeLines="0" w:afterLines="0" w:line="240" w:lineRule="auto"/>
              <w:jc w:val="center"/>
              <w:rPr>
                <w:rFonts w:eastAsiaTheme="minorEastAsia"/>
                <w:color w:val="000000" w:themeColor="text1"/>
                <w:sz w:val="30"/>
                <w:szCs w:val="30"/>
              </w:rPr>
            </w:pPr>
            <w:bookmarkStart w:id="368" w:name="_Toc28638"/>
            <w:bookmarkStart w:id="369" w:name="_Toc11122"/>
            <w:bookmarkStart w:id="370" w:name="_Toc6338"/>
            <w:bookmarkStart w:id="371" w:name="_Toc7068"/>
            <w:bookmarkStart w:id="372" w:name="_Toc23734"/>
            <w:r>
              <w:rPr>
                <w:rFonts w:eastAsiaTheme="minorEastAsia"/>
                <w:b w:val="0"/>
                <w:bCs w:val="0"/>
                <w:color w:val="000000" w:themeColor="text1"/>
                <w:sz w:val="21"/>
                <w:szCs w:val="21"/>
              </w:rPr>
              <w:t>平安矿业开发有限公司</w:t>
            </w:r>
            <w:r>
              <w:rPr>
                <w:rFonts w:hint="eastAsia" w:eastAsiaTheme="minorEastAsia"/>
                <w:b w:val="0"/>
                <w:bCs w:val="0"/>
                <w:color w:val="000000" w:themeColor="text1"/>
                <w:sz w:val="21"/>
                <w:szCs w:val="21"/>
              </w:rPr>
              <w:t>原有项目（选厂为辣子箐口选厂）</w:t>
            </w:r>
            <w:bookmarkEnd w:id="368"/>
            <w:bookmarkEnd w:id="369"/>
            <w:bookmarkEnd w:id="370"/>
            <w:bookmarkEnd w:id="371"/>
            <w:r>
              <w:rPr>
                <w:rFonts w:hint="eastAsia" w:eastAsiaTheme="minorEastAsia"/>
                <w:b w:val="0"/>
                <w:bCs w:val="0"/>
                <w:color w:val="000000" w:themeColor="text1"/>
                <w:sz w:val="21"/>
                <w:szCs w:val="21"/>
              </w:rPr>
              <w:t>，该选厂位于大红山线以南</w:t>
            </w:r>
            <w:bookmarkEnd w:id="37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63" w:hRule="atLeast"/>
        </w:trPr>
        <w:tc>
          <w:tcPr>
            <w:tcW w:w="690" w:type="dxa"/>
            <w:vAlign w:val="center"/>
          </w:tcPr>
          <w:p>
            <w:pPr>
              <w:pStyle w:val="574"/>
              <w:keepNext w:val="0"/>
              <w:keepLines w:val="0"/>
              <w:kinsoku w:val="0"/>
              <w:overflowPunct w:val="0"/>
              <w:autoSpaceDE w:val="0"/>
              <w:autoSpaceDN w:val="0"/>
              <w:spacing w:beforeLines="0" w:afterLines="0" w:line="240" w:lineRule="auto"/>
              <w:jc w:val="center"/>
              <w:rPr>
                <w:rFonts w:eastAsiaTheme="minorEastAsia"/>
                <w:b w:val="0"/>
                <w:bCs w:val="0"/>
                <w:color w:val="000000" w:themeColor="text1"/>
                <w:sz w:val="21"/>
                <w:szCs w:val="21"/>
              </w:rPr>
            </w:pPr>
            <w:bookmarkStart w:id="373" w:name="_Toc4877"/>
            <w:bookmarkStart w:id="374" w:name="_Toc23299"/>
            <w:bookmarkStart w:id="375" w:name="_Toc9920"/>
            <w:bookmarkStart w:id="376" w:name="_Toc17549"/>
            <w:bookmarkStart w:id="377" w:name="_Toc23024"/>
            <w:r>
              <w:rPr>
                <w:rFonts w:hint="eastAsia" w:eastAsiaTheme="minorEastAsia"/>
                <w:b w:val="0"/>
                <w:bCs w:val="0"/>
                <w:color w:val="000000" w:themeColor="text1"/>
                <w:sz w:val="21"/>
                <w:szCs w:val="21"/>
              </w:rPr>
              <w:t>3</w:t>
            </w:r>
            <w:bookmarkEnd w:id="373"/>
            <w:bookmarkEnd w:id="374"/>
            <w:bookmarkEnd w:id="375"/>
            <w:bookmarkEnd w:id="376"/>
            <w:bookmarkEnd w:id="377"/>
          </w:p>
        </w:tc>
        <w:tc>
          <w:tcPr>
            <w:tcW w:w="4050" w:type="dxa"/>
            <w:vAlign w:val="center"/>
          </w:tcPr>
          <w:p>
            <w:pPr>
              <w:widowControl/>
              <w:spacing w:line="240" w:lineRule="auto"/>
              <w:ind w:firstLine="420"/>
              <w:jc w:val="center"/>
              <w:rPr>
                <w:rFonts w:eastAsiaTheme="minorEastAsia"/>
                <w:color w:val="000000" w:themeColor="text1"/>
                <w:sz w:val="30"/>
                <w:szCs w:val="30"/>
              </w:rPr>
            </w:pPr>
            <w:r>
              <w:rPr>
                <w:rFonts w:eastAsiaTheme="minorEastAsia"/>
                <w:color w:val="000000" w:themeColor="text1"/>
                <w:kern w:val="0"/>
                <w:sz w:val="21"/>
                <w:szCs w:val="21"/>
              </w:rPr>
              <w:t>新平县平安矿业开发有限公司与玉溪大红山矿业有限公司达成协议，新平县平安矿业开发有限公司尾矿排入大红山龙都尾矿库，2018年11月重庆浩力环境影响评价有限公司为其编制了《尾矿输送管道建设及尾矿库环境治理项目》，并于2019年10月25日取得了原新平县环境保护局的环评批复《关于尾矿输送管道建设及尾矿库环境治理项目环境影响报告表的批复》（玉环新局〔2019〕15号），2020年8月10日，委托云南绿诚环境科技有限公司编制了《尾矿输送管道建设及尾矿库环境治理项目（一期）竣工环境保护验收监测报告表》，并在2020年9月14日对该项目进行验收。</w:t>
            </w:r>
          </w:p>
        </w:tc>
        <w:tc>
          <w:tcPr>
            <w:tcW w:w="2745" w:type="dxa"/>
            <w:vAlign w:val="center"/>
          </w:tcPr>
          <w:p>
            <w:pPr>
              <w:pStyle w:val="574"/>
              <w:keepNext w:val="0"/>
              <w:keepLines w:val="0"/>
              <w:kinsoku w:val="0"/>
              <w:overflowPunct w:val="0"/>
              <w:autoSpaceDE w:val="0"/>
              <w:autoSpaceDN w:val="0"/>
              <w:spacing w:beforeLines="0" w:afterLines="0" w:line="240" w:lineRule="auto"/>
              <w:jc w:val="center"/>
              <w:rPr>
                <w:rFonts w:eastAsia="宋体"/>
                <w:color w:val="000000" w:themeColor="text1"/>
                <w:sz w:val="30"/>
                <w:szCs w:val="30"/>
              </w:rPr>
            </w:pPr>
            <w:bookmarkStart w:id="378" w:name="_Toc6888"/>
            <w:bookmarkStart w:id="379" w:name="_Toc522"/>
            <w:bookmarkStart w:id="380" w:name="_Toc7703"/>
            <w:bookmarkStart w:id="381" w:name="_Toc14533"/>
            <w:bookmarkStart w:id="382" w:name="_Toc4872"/>
            <w:r>
              <w:rPr>
                <w:rFonts w:eastAsia="宋体"/>
                <w:b w:val="0"/>
                <w:bCs w:val="0"/>
                <w:color w:val="000000" w:themeColor="text1"/>
                <w:sz w:val="21"/>
                <w:szCs w:val="21"/>
              </w:rPr>
              <w:t>一期：尾矿输送管道全长1620m，年输送磁选尾矿30万吨，尾矿输送管道起于新平县平安矿业发展有限公司戛洒磁选厂尾矿沉淀池，在管道中部设置泵站，终点接入玉溪大红山矿业有限公司856m结合池前的尾矿沟，最终进入龙都尾矿库。</w:t>
            </w:r>
            <w:r>
              <w:rPr>
                <w:rFonts w:hint="eastAsia" w:eastAsia="宋体"/>
                <w:b w:val="0"/>
                <w:bCs w:val="0"/>
                <w:color w:val="000000" w:themeColor="text1"/>
                <w:sz w:val="21"/>
                <w:szCs w:val="21"/>
              </w:rPr>
              <w:t>项目二期工程（尾矿库环境治理项目）未开展实施。</w:t>
            </w:r>
            <w:bookmarkEnd w:id="378"/>
            <w:bookmarkEnd w:id="379"/>
            <w:bookmarkEnd w:id="380"/>
            <w:bookmarkEnd w:id="381"/>
            <w:bookmarkEnd w:id="382"/>
          </w:p>
        </w:tc>
        <w:tc>
          <w:tcPr>
            <w:tcW w:w="1215" w:type="dxa"/>
            <w:vAlign w:val="center"/>
          </w:tcPr>
          <w:p>
            <w:pPr>
              <w:pStyle w:val="574"/>
              <w:keepNext w:val="0"/>
              <w:keepLines w:val="0"/>
              <w:kinsoku w:val="0"/>
              <w:overflowPunct w:val="0"/>
              <w:autoSpaceDE w:val="0"/>
              <w:autoSpaceDN w:val="0"/>
              <w:spacing w:beforeLines="0" w:afterLines="0" w:line="240" w:lineRule="auto"/>
              <w:jc w:val="center"/>
              <w:rPr>
                <w:rFonts w:eastAsiaTheme="minorEastAsia"/>
                <w:color w:val="000000" w:themeColor="text1"/>
                <w:sz w:val="30"/>
                <w:szCs w:val="30"/>
              </w:rPr>
            </w:pPr>
            <w:bookmarkStart w:id="383" w:name="_Toc16057"/>
            <w:bookmarkStart w:id="384" w:name="_Toc30776"/>
            <w:bookmarkStart w:id="385" w:name="_Toc15384"/>
            <w:bookmarkStart w:id="386" w:name="_Toc1316"/>
            <w:bookmarkStart w:id="387" w:name="_Toc12838"/>
            <w:r>
              <w:rPr>
                <w:rFonts w:eastAsiaTheme="minorEastAsia"/>
                <w:b w:val="0"/>
                <w:bCs w:val="0"/>
                <w:color w:val="000000" w:themeColor="text1"/>
                <w:sz w:val="21"/>
                <w:szCs w:val="21"/>
              </w:rPr>
              <w:t>平安矿业开发有限公司</w:t>
            </w:r>
            <w:r>
              <w:rPr>
                <w:rFonts w:hint="eastAsia" w:eastAsiaTheme="minorEastAsia"/>
                <w:b w:val="0"/>
                <w:bCs w:val="0"/>
                <w:color w:val="000000" w:themeColor="text1"/>
                <w:sz w:val="21"/>
                <w:szCs w:val="21"/>
              </w:rPr>
              <w:t>原有项目（选厂为辣子箐口选厂），，目前该项目一期工程已经建设完成，已开始运行</w:t>
            </w:r>
            <w:bookmarkEnd w:id="383"/>
            <w:bookmarkEnd w:id="384"/>
            <w:bookmarkEnd w:id="385"/>
            <w:bookmarkEnd w:id="386"/>
            <w:r>
              <w:rPr>
                <w:rFonts w:hint="eastAsia" w:eastAsiaTheme="minorEastAsia"/>
                <w:b w:val="0"/>
                <w:bCs w:val="0"/>
                <w:color w:val="000000" w:themeColor="text1"/>
                <w:sz w:val="21"/>
                <w:szCs w:val="21"/>
              </w:rPr>
              <w:t>，该选厂位于大红山线以南。</w:t>
            </w:r>
            <w:bookmarkEnd w:id="38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90" w:type="dxa"/>
            <w:vAlign w:val="center"/>
          </w:tcPr>
          <w:p>
            <w:pPr>
              <w:pStyle w:val="574"/>
              <w:keepNext w:val="0"/>
              <w:keepLines w:val="0"/>
              <w:kinsoku w:val="0"/>
              <w:overflowPunct w:val="0"/>
              <w:autoSpaceDE w:val="0"/>
              <w:autoSpaceDN w:val="0"/>
              <w:spacing w:beforeLines="0" w:afterLines="0" w:line="240" w:lineRule="auto"/>
              <w:jc w:val="center"/>
              <w:rPr>
                <w:rFonts w:eastAsiaTheme="minorEastAsia"/>
                <w:b w:val="0"/>
                <w:bCs w:val="0"/>
                <w:color w:val="000000" w:themeColor="text1"/>
                <w:sz w:val="21"/>
                <w:szCs w:val="21"/>
              </w:rPr>
            </w:pPr>
            <w:bookmarkStart w:id="388" w:name="_Toc18689"/>
            <w:bookmarkStart w:id="389" w:name="_Toc4381"/>
            <w:bookmarkStart w:id="390" w:name="_Toc30315"/>
            <w:bookmarkStart w:id="391" w:name="_Toc4524"/>
            <w:bookmarkStart w:id="392" w:name="_Toc16020"/>
            <w:r>
              <w:rPr>
                <w:rFonts w:hint="eastAsia" w:eastAsiaTheme="minorEastAsia"/>
                <w:b w:val="0"/>
                <w:bCs w:val="0"/>
                <w:color w:val="000000" w:themeColor="text1"/>
                <w:sz w:val="21"/>
                <w:szCs w:val="21"/>
              </w:rPr>
              <w:t>4</w:t>
            </w:r>
            <w:bookmarkEnd w:id="388"/>
            <w:bookmarkEnd w:id="389"/>
            <w:bookmarkEnd w:id="390"/>
            <w:bookmarkEnd w:id="391"/>
            <w:bookmarkEnd w:id="392"/>
          </w:p>
        </w:tc>
        <w:tc>
          <w:tcPr>
            <w:tcW w:w="4050" w:type="dxa"/>
            <w:vAlign w:val="center"/>
          </w:tcPr>
          <w:p>
            <w:pPr>
              <w:pStyle w:val="574"/>
              <w:keepNext w:val="0"/>
              <w:keepLines w:val="0"/>
              <w:kinsoku w:val="0"/>
              <w:overflowPunct w:val="0"/>
              <w:autoSpaceDE w:val="0"/>
              <w:autoSpaceDN w:val="0"/>
              <w:spacing w:beforeLines="0" w:afterLines="0" w:line="240" w:lineRule="auto"/>
              <w:jc w:val="center"/>
              <w:rPr>
                <w:rFonts w:eastAsia="宋体"/>
                <w:b w:val="0"/>
                <w:bCs w:val="0"/>
                <w:color w:val="000000" w:themeColor="text1"/>
                <w:sz w:val="21"/>
                <w:szCs w:val="21"/>
              </w:rPr>
            </w:pPr>
            <w:bookmarkStart w:id="393" w:name="_Toc26309"/>
            <w:bookmarkStart w:id="394" w:name="_Toc26942"/>
            <w:bookmarkStart w:id="395" w:name="_Toc2897"/>
            <w:r>
              <w:rPr>
                <w:rFonts w:hint="eastAsia" w:eastAsia="宋体"/>
                <w:b w:val="0"/>
                <w:bCs w:val="0"/>
                <w:color w:val="000000" w:themeColor="text1"/>
                <w:sz w:val="21"/>
                <w:szCs w:val="21"/>
              </w:rPr>
              <w:t>东磨选厂</w:t>
            </w:r>
            <w:bookmarkEnd w:id="393"/>
            <w:bookmarkEnd w:id="394"/>
            <w:bookmarkEnd w:id="395"/>
          </w:p>
        </w:tc>
        <w:tc>
          <w:tcPr>
            <w:tcW w:w="2745" w:type="dxa"/>
            <w:vAlign w:val="center"/>
          </w:tcPr>
          <w:p>
            <w:pPr>
              <w:pStyle w:val="574"/>
              <w:keepNext w:val="0"/>
              <w:keepLines w:val="0"/>
              <w:kinsoku w:val="0"/>
              <w:overflowPunct w:val="0"/>
              <w:autoSpaceDE w:val="0"/>
              <w:autoSpaceDN w:val="0"/>
              <w:spacing w:beforeLines="0" w:afterLines="0" w:line="240" w:lineRule="auto"/>
              <w:jc w:val="center"/>
              <w:rPr>
                <w:rFonts w:eastAsia="宋体"/>
                <w:b w:val="0"/>
                <w:bCs w:val="0"/>
                <w:color w:val="000000" w:themeColor="text1"/>
                <w:sz w:val="21"/>
                <w:szCs w:val="21"/>
              </w:rPr>
            </w:pPr>
            <w:bookmarkStart w:id="396" w:name="_Toc1780"/>
            <w:bookmarkStart w:id="397" w:name="_Toc8017"/>
            <w:bookmarkStart w:id="398" w:name="_Toc10712"/>
            <w:bookmarkStart w:id="399" w:name="_Toc28637"/>
            <w:bookmarkStart w:id="400" w:name="_Toc8750"/>
            <w:r>
              <w:rPr>
                <w:rFonts w:eastAsia="宋体"/>
                <w:b w:val="0"/>
                <w:bCs w:val="0"/>
                <w:color w:val="000000" w:themeColor="text1"/>
                <w:sz w:val="21"/>
                <w:szCs w:val="21"/>
              </w:rPr>
              <w:t>本次技改</w:t>
            </w:r>
            <w:r>
              <w:rPr>
                <w:rFonts w:hint="eastAsia" w:eastAsia="宋体"/>
                <w:b w:val="0"/>
                <w:bCs w:val="0"/>
                <w:color w:val="000000" w:themeColor="text1"/>
                <w:sz w:val="21"/>
                <w:szCs w:val="21"/>
              </w:rPr>
              <w:t>，</w:t>
            </w:r>
            <w:r>
              <w:rPr>
                <w:rFonts w:eastAsia="宋体"/>
                <w:b w:val="0"/>
                <w:bCs w:val="0"/>
                <w:color w:val="000000" w:themeColor="text1"/>
                <w:sz w:val="21"/>
                <w:szCs w:val="21"/>
              </w:rPr>
              <w:t>年产10万吨铁精矿</w:t>
            </w:r>
            <w:bookmarkEnd w:id="396"/>
            <w:bookmarkEnd w:id="397"/>
            <w:bookmarkEnd w:id="398"/>
            <w:r>
              <w:rPr>
                <w:rFonts w:eastAsia="宋体"/>
                <w:b w:val="0"/>
                <w:bCs w:val="0"/>
                <w:color w:val="000000" w:themeColor="text1"/>
                <w:sz w:val="21"/>
                <w:szCs w:val="21"/>
              </w:rPr>
              <w:t>项目</w:t>
            </w:r>
            <w:bookmarkEnd w:id="399"/>
            <w:bookmarkEnd w:id="400"/>
          </w:p>
        </w:tc>
        <w:tc>
          <w:tcPr>
            <w:tcW w:w="1215" w:type="dxa"/>
            <w:vAlign w:val="center"/>
          </w:tcPr>
          <w:p>
            <w:pPr>
              <w:pStyle w:val="574"/>
              <w:keepNext w:val="0"/>
              <w:keepLines w:val="0"/>
              <w:kinsoku w:val="0"/>
              <w:overflowPunct w:val="0"/>
              <w:autoSpaceDE w:val="0"/>
              <w:autoSpaceDN w:val="0"/>
              <w:spacing w:beforeLines="0" w:afterLines="0" w:line="240" w:lineRule="auto"/>
              <w:jc w:val="center"/>
              <w:rPr>
                <w:rFonts w:eastAsia="宋体"/>
                <w:b w:val="0"/>
                <w:bCs w:val="0"/>
                <w:color w:val="000000" w:themeColor="text1"/>
                <w:sz w:val="21"/>
                <w:szCs w:val="21"/>
              </w:rPr>
            </w:pPr>
            <w:bookmarkStart w:id="401" w:name="_Toc7745"/>
            <w:bookmarkStart w:id="402" w:name="_Toc4855"/>
            <w:bookmarkStart w:id="403" w:name="_Toc13733"/>
            <w:bookmarkStart w:id="404" w:name="_Toc7556"/>
            <w:bookmarkStart w:id="405" w:name="_Toc16074"/>
            <w:r>
              <w:rPr>
                <w:rFonts w:eastAsia="宋体"/>
                <w:b w:val="0"/>
                <w:bCs w:val="0"/>
                <w:color w:val="000000" w:themeColor="text1"/>
                <w:sz w:val="21"/>
                <w:szCs w:val="21"/>
              </w:rPr>
              <w:t>平安矿业开发有限公司收购新平金凯公司后新立项项目</w:t>
            </w:r>
            <w:r>
              <w:rPr>
                <w:rFonts w:hint="eastAsia" w:eastAsia="宋体"/>
                <w:b w:val="0"/>
                <w:bCs w:val="0"/>
                <w:color w:val="000000" w:themeColor="text1"/>
                <w:sz w:val="21"/>
                <w:szCs w:val="21"/>
              </w:rPr>
              <w:t>（选厂为东磨选厂）</w:t>
            </w:r>
            <w:bookmarkEnd w:id="401"/>
            <w:bookmarkEnd w:id="402"/>
            <w:bookmarkEnd w:id="403"/>
            <w:bookmarkEnd w:id="404"/>
            <w:r>
              <w:rPr>
                <w:rFonts w:hint="eastAsia" w:eastAsia="宋体"/>
                <w:b w:val="0"/>
                <w:bCs w:val="0"/>
                <w:color w:val="000000" w:themeColor="text1"/>
                <w:sz w:val="21"/>
                <w:szCs w:val="21"/>
              </w:rPr>
              <w:t>，该选厂位于公戛线以北</w:t>
            </w:r>
            <w:bookmarkEnd w:id="405"/>
          </w:p>
        </w:tc>
      </w:tr>
    </w:tbl>
    <w:p>
      <w:pPr>
        <w:pStyle w:val="574"/>
        <w:spacing w:beforeLines="0" w:afterLines="0"/>
        <w:rPr>
          <w:rFonts w:eastAsiaTheme="minorEastAsia"/>
          <w:color w:val="000000" w:themeColor="text1"/>
          <w:sz w:val="30"/>
          <w:szCs w:val="30"/>
        </w:rPr>
      </w:pPr>
      <w:bookmarkStart w:id="406" w:name="_Toc16287"/>
      <w:r>
        <w:rPr>
          <w:rFonts w:eastAsiaTheme="minorEastAsia"/>
          <w:color w:val="000000" w:themeColor="text1"/>
          <w:sz w:val="30"/>
          <w:szCs w:val="30"/>
        </w:rPr>
        <w:t>2.2原有项目</w:t>
      </w:r>
      <w:r>
        <w:rPr>
          <w:rFonts w:hint="eastAsia" w:eastAsiaTheme="minorEastAsia"/>
          <w:color w:val="000000" w:themeColor="text1"/>
          <w:sz w:val="30"/>
          <w:szCs w:val="30"/>
        </w:rPr>
        <w:t>（东磨选厂）</w:t>
      </w:r>
      <w:r>
        <w:rPr>
          <w:rFonts w:eastAsiaTheme="minorEastAsia"/>
          <w:color w:val="000000" w:themeColor="text1"/>
          <w:sz w:val="30"/>
          <w:szCs w:val="30"/>
        </w:rPr>
        <w:t>概况</w:t>
      </w:r>
      <w:bookmarkEnd w:id="406"/>
    </w:p>
    <w:p>
      <w:pPr>
        <w:pStyle w:val="134"/>
        <w:ind w:firstLine="480"/>
        <w:rPr>
          <w:rFonts w:eastAsiaTheme="minorEastAsia"/>
          <w:color w:val="000000" w:themeColor="text1"/>
        </w:rPr>
      </w:pPr>
      <w:r>
        <w:rPr>
          <w:rFonts w:eastAsiaTheme="minorEastAsia"/>
          <w:color w:val="000000" w:themeColor="text1"/>
        </w:rPr>
        <w:t>生产规模：处理原矿500t/d。</w:t>
      </w:r>
    </w:p>
    <w:p>
      <w:pPr>
        <w:pStyle w:val="134"/>
        <w:ind w:firstLine="480"/>
        <w:rPr>
          <w:rFonts w:eastAsiaTheme="minorEastAsia"/>
          <w:color w:val="000000" w:themeColor="text1"/>
        </w:rPr>
      </w:pPr>
      <w:r>
        <w:rPr>
          <w:rFonts w:eastAsiaTheme="minorEastAsia"/>
          <w:color w:val="000000" w:themeColor="text1"/>
        </w:rPr>
        <w:t>产品：年产铁精矿40000t，三级精铁矿平均品位6</w:t>
      </w:r>
      <w:r>
        <w:rPr>
          <w:rFonts w:hint="eastAsia" w:eastAsiaTheme="minorEastAsia"/>
          <w:color w:val="000000" w:themeColor="text1"/>
        </w:rPr>
        <w:t>2</w:t>
      </w:r>
      <w:r>
        <w:rPr>
          <w:rFonts w:eastAsiaTheme="minorEastAsia"/>
          <w:color w:val="000000" w:themeColor="text1"/>
        </w:rPr>
        <w:t>%；年产铜精矿650t，铜精矿平均品位20%。</w:t>
      </w:r>
    </w:p>
    <w:p>
      <w:pPr>
        <w:pStyle w:val="134"/>
        <w:ind w:firstLine="480"/>
        <w:rPr>
          <w:rFonts w:eastAsiaTheme="minorEastAsia"/>
          <w:color w:val="000000" w:themeColor="text1"/>
        </w:rPr>
      </w:pPr>
      <w:r>
        <w:rPr>
          <w:rFonts w:eastAsiaTheme="minorEastAsia"/>
          <w:color w:val="000000" w:themeColor="text1"/>
        </w:rPr>
        <w:t>建设地点：新平县戛洒镇东磨村。</w:t>
      </w:r>
    </w:p>
    <w:p>
      <w:pPr>
        <w:pStyle w:val="134"/>
        <w:ind w:firstLine="480"/>
        <w:rPr>
          <w:rFonts w:eastAsiaTheme="minorEastAsia"/>
          <w:color w:val="000000" w:themeColor="text1"/>
        </w:rPr>
      </w:pPr>
      <w:r>
        <w:rPr>
          <w:rFonts w:eastAsiaTheme="minorEastAsia"/>
          <w:color w:val="000000" w:themeColor="text1"/>
        </w:rPr>
        <w:t>占地面积：项目占地面积158亩，其中生产区及老尾矿库占地98亩，辣子箐尾矿库占地60亩。</w:t>
      </w:r>
    </w:p>
    <w:p>
      <w:pPr>
        <w:pStyle w:val="6"/>
        <w:spacing w:beforeLines="0" w:afterLines="0"/>
        <w:rPr>
          <w:rFonts w:eastAsiaTheme="minorEastAsia"/>
          <w:color w:val="000000" w:themeColor="text1"/>
          <w:sz w:val="28"/>
          <w:szCs w:val="28"/>
        </w:rPr>
      </w:pPr>
      <w:bookmarkStart w:id="407" w:name="_Toc12175"/>
      <w:r>
        <w:rPr>
          <w:rFonts w:eastAsiaTheme="minorEastAsia"/>
          <w:color w:val="000000" w:themeColor="text1"/>
          <w:sz w:val="28"/>
          <w:szCs w:val="28"/>
        </w:rPr>
        <w:t>2.2.1</w:t>
      </w:r>
      <w:r>
        <w:rPr>
          <w:rFonts w:hint="eastAsia" w:eastAsiaTheme="minorEastAsia"/>
          <w:color w:val="000000" w:themeColor="text1"/>
          <w:sz w:val="28"/>
          <w:szCs w:val="28"/>
        </w:rPr>
        <w:t>原有项目排污许可及执行情况</w:t>
      </w:r>
      <w:bookmarkEnd w:id="407"/>
    </w:p>
    <w:p>
      <w:pPr>
        <w:ind w:firstLine="480"/>
        <w:rPr>
          <w:color w:val="000000" w:themeColor="text1"/>
        </w:rPr>
      </w:pPr>
      <w:r>
        <w:rPr>
          <w:rFonts w:hint="eastAsia"/>
          <w:color w:val="000000" w:themeColor="text1"/>
        </w:rPr>
        <w:t>原有项目排污许可管理类别为登记管理，已排污许可管理平台进行登记备案，并取得登记编号为91530427MA6K72026W001Y。</w:t>
      </w:r>
    </w:p>
    <w:p>
      <w:pPr>
        <w:pStyle w:val="6"/>
        <w:spacing w:beforeLines="0" w:afterLines="0"/>
        <w:rPr>
          <w:rFonts w:eastAsiaTheme="minorEastAsia"/>
          <w:color w:val="000000" w:themeColor="text1"/>
          <w:sz w:val="28"/>
          <w:szCs w:val="28"/>
        </w:rPr>
      </w:pPr>
      <w:bookmarkStart w:id="408" w:name="_Toc25889"/>
      <w:r>
        <w:rPr>
          <w:rFonts w:eastAsiaTheme="minorEastAsia"/>
          <w:color w:val="000000" w:themeColor="text1"/>
          <w:sz w:val="28"/>
          <w:szCs w:val="28"/>
        </w:rPr>
        <w:t>2.2.</w:t>
      </w:r>
      <w:r>
        <w:rPr>
          <w:rFonts w:hint="eastAsia" w:eastAsiaTheme="minorEastAsia"/>
          <w:color w:val="000000" w:themeColor="text1"/>
          <w:sz w:val="28"/>
          <w:szCs w:val="28"/>
        </w:rPr>
        <w:t>2</w:t>
      </w:r>
      <w:r>
        <w:rPr>
          <w:rFonts w:eastAsiaTheme="minorEastAsia"/>
          <w:color w:val="000000" w:themeColor="text1"/>
          <w:sz w:val="28"/>
          <w:szCs w:val="28"/>
        </w:rPr>
        <w:t>生产规模及主要生产设备</w:t>
      </w:r>
      <w:bookmarkEnd w:id="408"/>
    </w:p>
    <w:p>
      <w:pPr>
        <w:pStyle w:val="134"/>
        <w:ind w:firstLine="480"/>
        <w:rPr>
          <w:rFonts w:eastAsiaTheme="minorEastAsia"/>
          <w:b/>
          <w:color w:val="000000" w:themeColor="text1"/>
          <w:sz w:val="21"/>
          <w:szCs w:val="20"/>
        </w:rPr>
      </w:pPr>
      <w:r>
        <w:rPr>
          <w:rFonts w:eastAsiaTheme="minorEastAsia"/>
          <w:color w:val="000000" w:themeColor="text1"/>
        </w:rPr>
        <w:t>原有项目的生产规模为500t/d，年产铁精矿40000t，铁精矿平均品位在6</w:t>
      </w:r>
      <w:r>
        <w:rPr>
          <w:rFonts w:hint="eastAsia" w:eastAsiaTheme="minorEastAsia"/>
          <w:color w:val="000000" w:themeColor="text1"/>
        </w:rPr>
        <w:t>2</w:t>
      </w:r>
      <w:r>
        <w:rPr>
          <w:rFonts w:eastAsiaTheme="minorEastAsia"/>
          <w:color w:val="000000" w:themeColor="text1"/>
        </w:rPr>
        <w:t>%；年产铜精矿650t，铜精矿平均品位20%。主要生产设备见表2.2-1。</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表2.2-1原有项目主要设备表</w:t>
      </w:r>
    </w:p>
    <w:tbl>
      <w:tblPr>
        <w:tblStyle w:val="61"/>
        <w:tblW w:w="8415"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2111"/>
        <w:gridCol w:w="2526"/>
        <w:gridCol w:w="1002"/>
        <w:gridCol w:w="1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1111"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序号</w:t>
            </w:r>
          </w:p>
        </w:tc>
        <w:tc>
          <w:tcPr>
            <w:tcW w:w="2111"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设备名称</w:t>
            </w:r>
          </w:p>
        </w:tc>
        <w:tc>
          <w:tcPr>
            <w:tcW w:w="2526"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规格型号</w:t>
            </w:r>
          </w:p>
        </w:tc>
        <w:tc>
          <w:tcPr>
            <w:tcW w:w="1002"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数量</w:t>
            </w:r>
          </w:p>
        </w:tc>
        <w:tc>
          <w:tcPr>
            <w:tcW w:w="1665"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与评价技改项目的关系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1"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1</w:t>
            </w:r>
          </w:p>
        </w:tc>
        <w:tc>
          <w:tcPr>
            <w:tcW w:w="2111"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给料机</w:t>
            </w:r>
          </w:p>
        </w:tc>
        <w:tc>
          <w:tcPr>
            <w:tcW w:w="2526"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00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1台</w:t>
            </w:r>
          </w:p>
        </w:tc>
        <w:tc>
          <w:tcPr>
            <w:tcW w:w="166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1"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2</w:t>
            </w:r>
          </w:p>
        </w:tc>
        <w:tc>
          <w:tcPr>
            <w:tcW w:w="2111"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破碎机</w:t>
            </w:r>
          </w:p>
        </w:tc>
        <w:tc>
          <w:tcPr>
            <w:tcW w:w="2526"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400×600</w:t>
            </w:r>
          </w:p>
        </w:tc>
        <w:tc>
          <w:tcPr>
            <w:tcW w:w="1002"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2</w:t>
            </w:r>
            <w:r>
              <w:rPr>
                <w:rFonts w:eastAsiaTheme="minorEastAsia"/>
                <w:color w:val="000000" w:themeColor="text1"/>
                <w:lang w:eastAsia="zh-CN"/>
              </w:rPr>
              <w:t>台</w:t>
            </w:r>
          </w:p>
        </w:tc>
        <w:tc>
          <w:tcPr>
            <w:tcW w:w="166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1"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3</w:t>
            </w:r>
          </w:p>
        </w:tc>
        <w:tc>
          <w:tcPr>
            <w:tcW w:w="2111"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筛分机</w:t>
            </w:r>
          </w:p>
        </w:tc>
        <w:tc>
          <w:tcPr>
            <w:tcW w:w="2526"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SEZ-1200×2500</w:t>
            </w:r>
          </w:p>
        </w:tc>
        <w:tc>
          <w:tcPr>
            <w:tcW w:w="1002"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1</w:t>
            </w:r>
            <w:r>
              <w:rPr>
                <w:rFonts w:eastAsiaTheme="minorEastAsia"/>
                <w:color w:val="000000" w:themeColor="text1"/>
                <w:lang w:eastAsia="zh-CN"/>
              </w:rPr>
              <w:t>台</w:t>
            </w:r>
          </w:p>
        </w:tc>
        <w:tc>
          <w:tcPr>
            <w:tcW w:w="166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1"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4</w:t>
            </w:r>
          </w:p>
        </w:tc>
        <w:tc>
          <w:tcPr>
            <w:tcW w:w="2111"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球磨机</w:t>
            </w:r>
          </w:p>
        </w:tc>
        <w:tc>
          <w:tcPr>
            <w:tcW w:w="2526"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w:t>
            </w:r>
          </w:p>
        </w:tc>
        <w:tc>
          <w:tcPr>
            <w:tcW w:w="1002"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3台</w:t>
            </w:r>
          </w:p>
        </w:tc>
        <w:tc>
          <w:tcPr>
            <w:tcW w:w="1665"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111"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5</w:t>
            </w:r>
          </w:p>
        </w:tc>
        <w:tc>
          <w:tcPr>
            <w:tcW w:w="2111"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螺旋溜槽</w:t>
            </w:r>
          </w:p>
        </w:tc>
        <w:tc>
          <w:tcPr>
            <w:tcW w:w="2526"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1500</w:t>
            </w:r>
          </w:p>
        </w:tc>
        <w:tc>
          <w:tcPr>
            <w:tcW w:w="1002"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lang w:eastAsia="zh-CN"/>
              </w:rPr>
              <w:t>3台</w:t>
            </w:r>
          </w:p>
        </w:tc>
        <w:tc>
          <w:tcPr>
            <w:tcW w:w="1665"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1"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6</w:t>
            </w:r>
          </w:p>
        </w:tc>
        <w:tc>
          <w:tcPr>
            <w:tcW w:w="2111"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永磁磁选机</w:t>
            </w:r>
          </w:p>
        </w:tc>
        <w:tc>
          <w:tcPr>
            <w:tcW w:w="2526"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CTB-900×210</w:t>
            </w:r>
          </w:p>
        </w:tc>
        <w:tc>
          <w:tcPr>
            <w:tcW w:w="1002"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lang w:eastAsia="zh-CN"/>
              </w:rPr>
              <w:t>12台</w:t>
            </w:r>
          </w:p>
        </w:tc>
        <w:tc>
          <w:tcPr>
            <w:tcW w:w="1665" w:type="dxa"/>
            <w:tcBorders>
              <w:tl2br w:val="nil"/>
              <w:tr2bl w:val="nil"/>
            </w:tcBorders>
            <w:vAlign w:val="center"/>
          </w:tcPr>
          <w:p>
            <w:pPr>
              <w:pStyle w:val="126"/>
              <w:tabs>
                <w:tab w:val="left" w:pos="1960"/>
              </w:tabs>
              <w:rPr>
                <w:rFonts w:eastAsiaTheme="minorEastAsia"/>
                <w:color w:val="000000" w:themeColor="text1"/>
              </w:rPr>
            </w:pPr>
            <w:r>
              <w:rPr>
                <w:rFonts w:hint="eastAsia" w:eastAsiaTheme="minorEastAsia"/>
                <w:color w:val="000000" w:themeColor="text1"/>
                <w:lang w:eastAsia="zh-CN"/>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1"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7</w:t>
            </w:r>
          </w:p>
        </w:tc>
        <w:tc>
          <w:tcPr>
            <w:tcW w:w="2111"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高梯度磁选机</w:t>
            </w:r>
          </w:p>
        </w:tc>
        <w:tc>
          <w:tcPr>
            <w:tcW w:w="2526"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00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5台</w:t>
            </w:r>
          </w:p>
        </w:tc>
        <w:tc>
          <w:tcPr>
            <w:tcW w:w="1665"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1"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8</w:t>
            </w:r>
          </w:p>
        </w:tc>
        <w:tc>
          <w:tcPr>
            <w:tcW w:w="2111"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摇床</w:t>
            </w:r>
          </w:p>
        </w:tc>
        <w:tc>
          <w:tcPr>
            <w:tcW w:w="2526"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00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64台</w:t>
            </w:r>
          </w:p>
        </w:tc>
        <w:tc>
          <w:tcPr>
            <w:tcW w:w="1665"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11"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9</w:t>
            </w:r>
          </w:p>
        </w:tc>
        <w:tc>
          <w:tcPr>
            <w:tcW w:w="2111"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浮选槽</w:t>
            </w:r>
          </w:p>
        </w:tc>
        <w:tc>
          <w:tcPr>
            <w:tcW w:w="2526"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24槽</w:t>
            </w:r>
          </w:p>
        </w:tc>
        <w:tc>
          <w:tcPr>
            <w:tcW w:w="100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2套</w:t>
            </w:r>
          </w:p>
        </w:tc>
        <w:tc>
          <w:tcPr>
            <w:tcW w:w="1665"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保留</w:t>
            </w:r>
          </w:p>
        </w:tc>
      </w:tr>
    </w:tbl>
    <w:p>
      <w:pPr>
        <w:pStyle w:val="6"/>
        <w:spacing w:beforeLines="0" w:afterLines="0"/>
        <w:rPr>
          <w:rFonts w:eastAsiaTheme="minorEastAsia"/>
          <w:color w:val="000000" w:themeColor="text1"/>
          <w:sz w:val="28"/>
          <w:szCs w:val="28"/>
        </w:rPr>
      </w:pPr>
      <w:bookmarkStart w:id="409" w:name="_Toc24119"/>
      <w:r>
        <w:rPr>
          <w:rFonts w:eastAsiaTheme="minorEastAsia"/>
          <w:color w:val="000000" w:themeColor="text1"/>
          <w:sz w:val="28"/>
          <w:szCs w:val="28"/>
        </w:rPr>
        <w:t>2.2.</w:t>
      </w:r>
      <w:r>
        <w:rPr>
          <w:rFonts w:hint="eastAsia" w:eastAsiaTheme="minorEastAsia"/>
          <w:color w:val="000000" w:themeColor="text1"/>
          <w:sz w:val="28"/>
          <w:szCs w:val="28"/>
        </w:rPr>
        <w:t>3</w:t>
      </w:r>
      <w:r>
        <w:rPr>
          <w:rFonts w:eastAsiaTheme="minorEastAsia"/>
          <w:color w:val="000000" w:themeColor="text1"/>
          <w:sz w:val="28"/>
          <w:szCs w:val="28"/>
        </w:rPr>
        <w:t>原矿成分及能源消耗</w:t>
      </w:r>
      <w:bookmarkEnd w:id="409"/>
    </w:p>
    <w:p>
      <w:pPr>
        <w:ind w:firstLine="720" w:firstLineChars="300"/>
        <w:rPr>
          <w:rFonts w:eastAsiaTheme="minorEastAsia"/>
          <w:color w:val="000000" w:themeColor="text1"/>
        </w:rPr>
      </w:pPr>
      <w:r>
        <w:rPr>
          <w:rFonts w:eastAsiaTheme="minorEastAsia"/>
          <w:color w:val="000000" w:themeColor="text1"/>
        </w:rPr>
        <w:t>本选厂购买玉溪矿业公司大红山铁矿露天</w:t>
      </w:r>
      <w:r>
        <w:rPr>
          <w:rFonts w:hint="eastAsia" w:eastAsiaTheme="minorEastAsia"/>
          <w:color w:val="000000" w:themeColor="text1"/>
        </w:rPr>
        <w:t>开采</w:t>
      </w:r>
      <w:r>
        <w:rPr>
          <w:rFonts w:eastAsiaTheme="minorEastAsia"/>
          <w:color w:val="000000" w:themeColor="text1"/>
        </w:rPr>
        <w:t>的原矿加工，原有项目主要原材料及能源消耗见表2.2-2。</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表2.2-2主要原材料及水电用量</w:t>
      </w:r>
    </w:p>
    <w:tbl>
      <w:tblPr>
        <w:tblStyle w:val="61"/>
        <w:tblW w:w="852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5"/>
        <w:gridCol w:w="1215"/>
        <w:gridCol w:w="1215"/>
        <w:gridCol w:w="1215"/>
        <w:gridCol w:w="928"/>
        <w:gridCol w:w="1502"/>
        <w:gridCol w:w="1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8" w:hRule="atLeast"/>
          <w:jc w:val="center"/>
        </w:trPr>
        <w:tc>
          <w:tcPr>
            <w:tcW w:w="123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序号</w:t>
            </w:r>
          </w:p>
        </w:tc>
        <w:tc>
          <w:tcPr>
            <w:tcW w:w="121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材料名称</w:t>
            </w:r>
          </w:p>
        </w:tc>
        <w:tc>
          <w:tcPr>
            <w:tcW w:w="121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原</w:t>
            </w:r>
            <w:r>
              <w:rPr>
                <w:rFonts w:eastAsiaTheme="minorEastAsia"/>
                <w:color w:val="000000" w:themeColor="text1"/>
                <w:lang w:eastAsia="zh-CN"/>
              </w:rPr>
              <w:t>材料</w:t>
            </w:r>
            <w:r>
              <w:rPr>
                <w:rFonts w:eastAsiaTheme="minorEastAsia"/>
                <w:color w:val="000000" w:themeColor="text1"/>
              </w:rPr>
              <w:t>消耗量</w:t>
            </w:r>
          </w:p>
        </w:tc>
        <w:tc>
          <w:tcPr>
            <w:tcW w:w="121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年用量</w:t>
            </w:r>
          </w:p>
        </w:tc>
        <w:tc>
          <w:tcPr>
            <w:tcW w:w="928"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最大储存量</w:t>
            </w:r>
          </w:p>
        </w:tc>
        <w:tc>
          <w:tcPr>
            <w:tcW w:w="150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来源</w:t>
            </w:r>
          </w:p>
        </w:tc>
        <w:tc>
          <w:tcPr>
            <w:tcW w:w="121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8" w:hRule="atLeast"/>
          <w:jc w:val="center"/>
        </w:trPr>
        <w:tc>
          <w:tcPr>
            <w:tcW w:w="123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1</w:t>
            </w:r>
          </w:p>
        </w:tc>
        <w:tc>
          <w:tcPr>
            <w:tcW w:w="121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原矿</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50</w:t>
            </w:r>
            <w:r>
              <w:rPr>
                <w:rFonts w:eastAsiaTheme="minorEastAsia"/>
                <w:color w:val="000000" w:themeColor="text1"/>
              </w:rPr>
              <w:t>0t</w:t>
            </w:r>
            <w:r>
              <w:rPr>
                <w:rFonts w:eastAsiaTheme="minorEastAsia"/>
                <w:color w:val="000000" w:themeColor="text1"/>
                <w:lang w:eastAsia="zh-CN"/>
              </w:rPr>
              <w:t>/d</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15万t</w:t>
            </w:r>
          </w:p>
        </w:tc>
        <w:tc>
          <w:tcPr>
            <w:tcW w:w="928"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1200t</w:t>
            </w:r>
          </w:p>
        </w:tc>
        <w:tc>
          <w:tcPr>
            <w:tcW w:w="150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从玉溪矿业公司大红山购买</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123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2</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黄药</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0.067t/d</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20t</w:t>
            </w:r>
          </w:p>
        </w:tc>
        <w:tc>
          <w:tcPr>
            <w:tcW w:w="928"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2t</w:t>
            </w:r>
          </w:p>
        </w:tc>
        <w:tc>
          <w:tcPr>
            <w:tcW w:w="150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昆明</w:t>
            </w:r>
          </w:p>
        </w:tc>
        <w:tc>
          <w:tcPr>
            <w:tcW w:w="1215" w:type="dxa"/>
            <w:vMerge w:val="restart"/>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浮选用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123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3</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松油</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0.067t/d</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20t</w:t>
            </w:r>
          </w:p>
        </w:tc>
        <w:tc>
          <w:tcPr>
            <w:tcW w:w="928"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2t</w:t>
            </w:r>
          </w:p>
        </w:tc>
        <w:tc>
          <w:tcPr>
            <w:tcW w:w="150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昆明</w:t>
            </w:r>
          </w:p>
        </w:tc>
        <w:tc>
          <w:tcPr>
            <w:tcW w:w="1215" w:type="dxa"/>
            <w:vMerge w:val="continue"/>
            <w:tcBorders>
              <w:tl2br w:val="nil"/>
              <w:tr2bl w:val="nil"/>
            </w:tcBorders>
            <w:vAlign w:val="center"/>
          </w:tcPr>
          <w:p>
            <w:pPr>
              <w:pStyle w:val="126"/>
              <w:tabs>
                <w:tab w:val="left" w:pos="1960"/>
              </w:tabs>
              <w:rPr>
                <w:rFonts w:eastAsiaTheme="minorEastAsia"/>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123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4</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润滑油</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3t</w:t>
            </w:r>
          </w:p>
        </w:tc>
        <w:tc>
          <w:tcPr>
            <w:tcW w:w="928"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0.85t</w:t>
            </w:r>
          </w:p>
        </w:tc>
        <w:tc>
          <w:tcPr>
            <w:tcW w:w="150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昆明</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机械润滑用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123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5</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聚合氯化铝</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0.1t/d</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30t</w:t>
            </w:r>
          </w:p>
        </w:tc>
        <w:tc>
          <w:tcPr>
            <w:tcW w:w="928"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5t</w:t>
            </w:r>
          </w:p>
        </w:tc>
        <w:tc>
          <w:tcPr>
            <w:tcW w:w="150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昆明</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污水</w:t>
            </w:r>
            <w:r>
              <w:rPr>
                <w:rFonts w:hint="eastAsia" w:eastAsiaTheme="minorEastAsia"/>
                <w:color w:val="000000" w:themeColor="text1"/>
                <w:lang w:eastAsia="zh-CN"/>
              </w:rPr>
              <w:t>处理剂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123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6</w:t>
            </w:r>
          </w:p>
        </w:tc>
        <w:tc>
          <w:tcPr>
            <w:tcW w:w="121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电</w:t>
            </w:r>
          </w:p>
        </w:tc>
        <w:tc>
          <w:tcPr>
            <w:tcW w:w="121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lang w:eastAsia="zh-CN"/>
              </w:rPr>
              <w:t>8300</w:t>
            </w:r>
            <w:r>
              <w:rPr>
                <w:rFonts w:eastAsiaTheme="minorEastAsia"/>
                <w:color w:val="000000" w:themeColor="text1"/>
              </w:rPr>
              <w:t>kWh</w:t>
            </w:r>
          </w:p>
        </w:tc>
        <w:tc>
          <w:tcPr>
            <w:tcW w:w="121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lang w:eastAsia="zh-CN"/>
              </w:rPr>
              <w:t>250万</w:t>
            </w:r>
            <w:r>
              <w:rPr>
                <w:rFonts w:eastAsiaTheme="minorEastAsia"/>
                <w:color w:val="000000" w:themeColor="text1"/>
              </w:rPr>
              <w:t>kWh</w:t>
            </w:r>
          </w:p>
        </w:tc>
        <w:tc>
          <w:tcPr>
            <w:tcW w:w="928"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50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rPr>
              <w:t>市政供给</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6" w:hRule="atLeast"/>
          <w:jc w:val="center"/>
        </w:trPr>
        <w:tc>
          <w:tcPr>
            <w:tcW w:w="123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7</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水</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77665.5</w:t>
            </w:r>
            <w:r>
              <w:rPr>
                <w:rFonts w:eastAsiaTheme="minorEastAsia"/>
                <w:color w:val="000000" w:themeColor="text1"/>
                <w:lang w:eastAsia="zh-CN"/>
              </w:rPr>
              <w:t>吨</w:t>
            </w:r>
          </w:p>
        </w:tc>
        <w:tc>
          <w:tcPr>
            <w:tcW w:w="928"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50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生产用水为困龙河水，生活用水来自市政管网</w:t>
            </w:r>
          </w:p>
        </w:tc>
        <w:tc>
          <w:tcPr>
            <w:tcW w:w="121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r>
    </w:tbl>
    <w:p>
      <w:pPr>
        <w:widowControl/>
        <w:ind w:firstLine="0" w:firstLineChars="0"/>
        <w:jc w:val="center"/>
        <w:rPr>
          <w:rFonts w:eastAsiaTheme="minorEastAsia"/>
          <w:b/>
          <w:color w:val="000000" w:themeColor="text1"/>
          <w:sz w:val="21"/>
          <w:szCs w:val="20"/>
        </w:rPr>
      </w:pP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表2.2-3原矿化学多元素分析（%）</w:t>
      </w:r>
    </w:p>
    <w:tbl>
      <w:tblPr>
        <w:tblStyle w:val="61"/>
        <w:tblW w:w="85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898"/>
        <w:gridCol w:w="1009"/>
        <w:gridCol w:w="1009"/>
        <w:gridCol w:w="1110"/>
        <w:gridCol w:w="1008"/>
        <w:gridCol w:w="1008"/>
        <w:gridCol w:w="959"/>
        <w:gridCol w:w="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9"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元素</w:t>
            </w:r>
          </w:p>
        </w:tc>
        <w:tc>
          <w:tcPr>
            <w:tcW w:w="898"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TFe</w:t>
            </w:r>
          </w:p>
        </w:tc>
        <w:tc>
          <w:tcPr>
            <w:tcW w:w="1009"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S</w:t>
            </w:r>
          </w:p>
        </w:tc>
        <w:tc>
          <w:tcPr>
            <w:tcW w:w="1009"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SiO</w:t>
            </w:r>
            <w:r>
              <w:rPr>
                <w:rFonts w:eastAsiaTheme="minorEastAsia"/>
                <w:color w:val="000000" w:themeColor="text1"/>
                <w:sz w:val="21"/>
                <w:szCs w:val="21"/>
                <w:vertAlign w:val="subscript"/>
              </w:rPr>
              <w:t>2</w:t>
            </w:r>
          </w:p>
        </w:tc>
        <w:tc>
          <w:tcPr>
            <w:tcW w:w="1110"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P</w:t>
            </w:r>
          </w:p>
        </w:tc>
        <w:tc>
          <w:tcPr>
            <w:tcW w:w="1008"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Cu</w:t>
            </w:r>
          </w:p>
        </w:tc>
        <w:tc>
          <w:tcPr>
            <w:tcW w:w="1008"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P</w:t>
            </w:r>
          </w:p>
        </w:tc>
        <w:tc>
          <w:tcPr>
            <w:tcW w:w="959"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Zn</w:t>
            </w:r>
          </w:p>
        </w:tc>
        <w:tc>
          <w:tcPr>
            <w:tcW w:w="804"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As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719"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eastAsiaTheme="minorEastAsia"/>
                <w:color w:val="000000" w:themeColor="text1"/>
                <w:sz w:val="21"/>
                <w:szCs w:val="21"/>
              </w:rPr>
              <w:t>含量%</w:t>
            </w:r>
          </w:p>
        </w:tc>
        <w:tc>
          <w:tcPr>
            <w:tcW w:w="898"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22.3</w:t>
            </w:r>
          </w:p>
        </w:tc>
        <w:tc>
          <w:tcPr>
            <w:tcW w:w="1009"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0.046</w:t>
            </w:r>
          </w:p>
        </w:tc>
        <w:tc>
          <w:tcPr>
            <w:tcW w:w="1009"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31.8</w:t>
            </w:r>
          </w:p>
        </w:tc>
        <w:tc>
          <w:tcPr>
            <w:tcW w:w="1110"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0.14</w:t>
            </w:r>
          </w:p>
        </w:tc>
        <w:tc>
          <w:tcPr>
            <w:tcW w:w="1008"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0.14</w:t>
            </w:r>
          </w:p>
        </w:tc>
        <w:tc>
          <w:tcPr>
            <w:tcW w:w="1008"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0.01</w:t>
            </w:r>
          </w:p>
        </w:tc>
        <w:tc>
          <w:tcPr>
            <w:tcW w:w="959"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0.02</w:t>
            </w:r>
          </w:p>
        </w:tc>
        <w:tc>
          <w:tcPr>
            <w:tcW w:w="804" w:type="dxa"/>
            <w:vAlign w:val="center"/>
          </w:tcPr>
          <w:p>
            <w:pPr>
              <w:tabs>
                <w:tab w:val="center" w:pos="4153"/>
                <w:tab w:val="right" w:pos="8306"/>
              </w:tabs>
              <w:snapToGrid w:val="0"/>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0.011</w:t>
            </w:r>
          </w:p>
        </w:tc>
      </w:tr>
    </w:tbl>
    <w:p>
      <w:pPr>
        <w:pStyle w:val="6"/>
        <w:spacing w:beforeLines="0" w:afterLines="0"/>
        <w:rPr>
          <w:rFonts w:eastAsiaTheme="minorEastAsia"/>
          <w:color w:val="000000" w:themeColor="text1"/>
          <w:sz w:val="28"/>
          <w:szCs w:val="28"/>
        </w:rPr>
      </w:pPr>
      <w:bookmarkStart w:id="410" w:name="_Toc26564"/>
      <w:r>
        <w:rPr>
          <w:rFonts w:eastAsiaTheme="minorEastAsia"/>
          <w:color w:val="000000" w:themeColor="text1"/>
          <w:sz w:val="28"/>
          <w:szCs w:val="28"/>
        </w:rPr>
        <w:t>2.2.</w:t>
      </w:r>
      <w:r>
        <w:rPr>
          <w:rFonts w:hint="eastAsia" w:eastAsiaTheme="minorEastAsia"/>
          <w:color w:val="000000" w:themeColor="text1"/>
          <w:sz w:val="28"/>
          <w:szCs w:val="28"/>
        </w:rPr>
        <w:t>4</w:t>
      </w:r>
      <w:r>
        <w:rPr>
          <w:rFonts w:eastAsiaTheme="minorEastAsia"/>
          <w:color w:val="000000" w:themeColor="text1"/>
          <w:sz w:val="28"/>
          <w:szCs w:val="28"/>
        </w:rPr>
        <w:t>原有项目组成</w:t>
      </w:r>
      <w:bookmarkEnd w:id="410"/>
    </w:p>
    <w:p>
      <w:pPr>
        <w:pStyle w:val="127"/>
        <w:rPr>
          <w:rFonts w:eastAsiaTheme="minorEastAsia"/>
          <w:color w:val="000000" w:themeColor="text1"/>
          <w:lang w:val="en-GB"/>
        </w:rPr>
      </w:pPr>
      <w:r>
        <w:rPr>
          <w:rFonts w:eastAsiaTheme="minorEastAsia"/>
          <w:color w:val="000000" w:themeColor="text1"/>
        </w:rPr>
        <w:t>原有项目主要建设内容有：</w:t>
      </w:r>
      <w:r>
        <w:rPr>
          <w:rFonts w:hint="eastAsia" w:eastAsiaTheme="minorEastAsia"/>
          <w:color w:val="000000" w:themeColor="text1"/>
        </w:rPr>
        <w:t>原料加工生产线</w:t>
      </w:r>
      <w:r>
        <w:rPr>
          <w:rFonts w:eastAsiaTheme="minorEastAsia"/>
          <w:color w:val="000000" w:themeColor="text1"/>
        </w:rPr>
        <w:t>、生产车间、</w:t>
      </w:r>
      <w:r>
        <w:rPr>
          <w:rFonts w:hint="eastAsia" w:eastAsiaTheme="minorEastAsia"/>
          <w:color w:val="000000" w:themeColor="text1"/>
        </w:rPr>
        <w:t>原矿</w:t>
      </w:r>
      <w:r>
        <w:rPr>
          <w:rFonts w:eastAsiaTheme="minorEastAsia"/>
          <w:color w:val="000000" w:themeColor="text1"/>
        </w:rPr>
        <w:t>堆场、仓库、辣子箐尾矿库、尾矿输送设施、精矿池、高位水池、尾矿浆沉淀池、应急池、配电室及办公生活区等。具体建设内容见表2.2-</w:t>
      </w:r>
      <w:r>
        <w:rPr>
          <w:rFonts w:hint="eastAsia" w:eastAsiaTheme="minorEastAsia"/>
          <w:color w:val="000000" w:themeColor="text1"/>
        </w:rPr>
        <w:t>4</w:t>
      </w:r>
      <w:r>
        <w:rPr>
          <w:rFonts w:eastAsiaTheme="minorEastAsia"/>
          <w:color w:val="000000" w:themeColor="text1"/>
        </w:rPr>
        <w:t>。</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表2.2-</w:t>
      </w:r>
      <w:r>
        <w:rPr>
          <w:rFonts w:hint="eastAsia" w:eastAsiaTheme="minorEastAsia"/>
          <w:b/>
          <w:color w:val="000000" w:themeColor="text1"/>
          <w:sz w:val="21"/>
          <w:szCs w:val="20"/>
        </w:rPr>
        <w:t>4</w:t>
      </w:r>
      <w:r>
        <w:rPr>
          <w:rFonts w:eastAsiaTheme="minorEastAsia"/>
          <w:b/>
          <w:color w:val="000000" w:themeColor="text1"/>
          <w:sz w:val="21"/>
          <w:szCs w:val="20"/>
        </w:rPr>
        <w:t>原有项目主要建设内容</w:t>
      </w:r>
    </w:p>
    <w:tbl>
      <w:tblPr>
        <w:tblStyle w:val="61"/>
        <w:tblW w:w="85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101"/>
        <w:gridCol w:w="4251"/>
        <w:gridCol w:w="1418"/>
        <w:gridCol w:w="13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28" w:type="dxa"/>
            <w:gridSpan w:val="2"/>
            <w:vAlign w:val="center"/>
          </w:tcPr>
          <w:p>
            <w:pPr>
              <w:pStyle w:val="126"/>
              <w:tabs>
                <w:tab w:val="left" w:pos="1960"/>
              </w:tabs>
              <w:rPr>
                <w:rFonts w:eastAsiaTheme="minorEastAsia"/>
                <w:color w:val="000000" w:themeColor="text1"/>
              </w:rPr>
            </w:pPr>
            <w:r>
              <w:rPr>
                <w:rFonts w:eastAsiaTheme="minorEastAsia"/>
                <w:color w:val="000000" w:themeColor="text1"/>
              </w:rPr>
              <w:t>项目组成</w:t>
            </w:r>
          </w:p>
        </w:tc>
        <w:tc>
          <w:tcPr>
            <w:tcW w:w="4251" w:type="dxa"/>
            <w:vAlign w:val="center"/>
          </w:tcPr>
          <w:p>
            <w:pPr>
              <w:pStyle w:val="126"/>
              <w:tabs>
                <w:tab w:val="left" w:pos="1960"/>
              </w:tabs>
              <w:rPr>
                <w:rFonts w:eastAsiaTheme="minorEastAsia"/>
                <w:color w:val="000000" w:themeColor="text1"/>
              </w:rPr>
            </w:pPr>
            <w:r>
              <w:rPr>
                <w:rFonts w:eastAsiaTheme="minorEastAsia"/>
                <w:color w:val="000000" w:themeColor="text1"/>
              </w:rPr>
              <w:t>主要建设内容</w:t>
            </w:r>
          </w:p>
        </w:tc>
        <w:tc>
          <w:tcPr>
            <w:tcW w:w="1418" w:type="dxa"/>
            <w:vAlign w:val="center"/>
          </w:tcPr>
          <w:p>
            <w:pPr>
              <w:pStyle w:val="126"/>
              <w:tabs>
                <w:tab w:val="left" w:pos="1960"/>
              </w:tabs>
              <w:rPr>
                <w:rFonts w:eastAsiaTheme="minorEastAsia"/>
                <w:color w:val="000000" w:themeColor="text1"/>
              </w:rPr>
            </w:pPr>
            <w:r>
              <w:rPr>
                <w:rFonts w:eastAsiaTheme="minorEastAsia"/>
                <w:color w:val="000000" w:themeColor="text1"/>
              </w:rPr>
              <w:t>备注</w:t>
            </w:r>
          </w:p>
        </w:tc>
        <w:tc>
          <w:tcPr>
            <w:tcW w:w="1326" w:type="dxa"/>
            <w:vAlign w:val="center"/>
          </w:tcPr>
          <w:p>
            <w:pPr>
              <w:pStyle w:val="126"/>
              <w:tabs>
                <w:tab w:val="left" w:pos="1960"/>
              </w:tabs>
              <w:rPr>
                <w:rFonts w:eastAsiaTheme="minorEastAsia"/>
                <w:color w:val="000000" w:themeColor="text1"/>
              </w:rPr>
            </w:pPr>
            <w:r>
              <w:rPr>
                <w:rFonts w:eastAsiaTheme="minorEastAsia"/>
                <w:color w:val="000000" w:themeColor="text1"/>
                <w:lang w:eastAsia="zh-CN"/>
              </w:rPr>
              <w:t>技改</w:t>
            </w:r>
            <w:r>
              <w:rPr>
                <w:rFonts w:eastAsiaTheme="minorEastAsia"/>
                <w:color w:val="000000" w:themeColor="text1"/>
              </w:rPr>
              <w:t>后情况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7" w:hRule="atLeast"/>
        </w:trPr>
        <w:tc>
          <w:tcPr>
            <w:tcW w:w="427" w:type="dxa"/>
            <w:vMerge w:val="restart"/>
            <w:vAlign w:val="center"/>
          </w:tcPr>
          <w:p>
            <w:pPr>
              <w:pStyle w:val="126"/>
              <w:tabs>
                <w:tab w:val="left" w:pos="1960"/>
              </w:tabs>
              <w:rPr>
                <w:rFonts w:eastAsiaTheme="minorEastAsia"/>
                <w:color w:val="000000" w:themeColor="text1"/>
              </w:rPr>
            </w:pPr>
            <w:r>
              <w:rPr>
                <w:rFonts w:eastAsiaTheme="minorEastAsia"/>
                <w:color w:val="000000" w:themeColor="text1"/>
              </w:rPr>
              <w:t>主体工程</w:t>
            </w:r>
          </w:p>
        </w:tc>
        <w:tc>
          <w:tcPr>
            <w:tcW w:w="1101" w:type="dxa"/>
            <w:vAlign w:val="center"/>
          </w:tcPr>
          <w:p>
            <w:pPr>
              <w:pStyle w:val="126"/>
              <w:tabs>
                <w:tab w:val="left" w:pos="1960"/>
              </w:tabs>
              <w:rPr>
                <w:rFonts w:eastAsiaTheme="minorEastAsia"/>
                <w:color w:val="000000" w:themeColor="text1"/>
              </w:rPr>
            </w:pPr>
            <w:r>
              <w:rPr>
                <w:rFonts w:eastAsiaTheme="minorEastAsia"/>
                <w:color w:val="000000" w:themeColor="text1"/>
              </w:rPr>
              <w:t>生产车间</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总占地面积3258m</w:t>
            </w:r>
            <w:r>
              <w:rPr>
                <w:rFonts w:eastAsiaTheme="minorEastAsia"/>
                <w:color w:val="000000" w:themeColor="text1"/>
                <w:vertAlign w:val="superscript"/>
                <w:lang w:eastAsia="zh-CN"/>
              </w:rPr>
              <w:t>2</w:t>
            </w:r>
            <w:r>
              <w:rPr>
                <w:rFonts w:eastAsiaTheme="minorEastAsia"/>
                <w:color w:val="000000" w:themeColor="text1"/>
                <w:lang w:eastAsia="zh-CN"/>
              </w:rPr>
              <w:t>，项目采用破碎筛分+球磨+弱磁粗选+弱磁精选+浮选+重选</w:t>
            </w:r>
            <w:r>
              <w:rPr>
                <w:rStyle w:val="73"/>
                <w:rFonts w:eastAsia="宋体"/>
                <w:color w:val="000000" w:themeColor="text1"/>
                <w:lang w:eastAsia="zh-CN" w:bidi="ar-SA"/>
              </w:rPr>
              <w:t>工艺</w:t>
            </w:r>
            <w:r>
              <w:rPr>
                <w:rFonts w:eastAsiaTheme="minorEastAsia"/>
                <w:color w:val="000000" w:themeColor="text1"/>
                <w:lang w:eastAsia="zh-CN"/>
              </w:rPr>
              <w:t>。建设有重选车间、磨浮车间。重选车间布置3台螺旋分级机和64台粗摇床；磨浮车间布置1套浮选设备和17台磁选设备及3台球磨机。</w:t>
            </w:r>
          </w:p>
        </w:tc>
        <w:tc>
          <w:tcPr>
            <w:tcW w:w="1418" w:type="dxa"/>
            <w:vAlign w:val="center"/>
          </w:tcPr>
          <w:p>
            <w:pPr>
              <w:pStyle w:val="126"/>
              <w:tabs>
                <w:tab w:val="left" w:pos="1960"/>
              </w:tabs>
              <w:rPr>
                <w:rFonts w:eastAsiaTheme="minorEastAsia"/>
                <w:color w:val="000000" w:themeColor="text1"/>
              </w:rPr>
            </w:pPr>
            <w:r>
              <w:rPr>
                <w:rFonts w:eastAsiaTheme="minorEastAsia"/>
                <w:color w:val="000000" w:themeColor="text1"/>
              </w:rPr>
              <w:t>钢结构+彩钢瓦</w:t>
            </w:r>
          </w:p>
        </w:tc>
        <w:tc>
          <w:tcPr>
            <w:tcW w:w="1326"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本次技改拆除破碎筛分系统，其余</w:t>
            </w:r>
          </w:p>
          <w:p>
            <w:pPr>
              <w:pStyle w:val="126"/>
              <w:tabs>
                <w:tab w:val="left" w:pos="1960"/>
              </w:tabs>
              <w:rPr>
                <w:rFonts w:eastAsiaTheme="minorEastAsia"/>
                <w:color w:val="000000" w:themeColor="text1"/>
                <w:lang w:eastAsia="zh-CN"/>
              </w:rPr>
            </w:pPr>
            <w:r>
              <w:rPr>
                <w:rFonts w:eastAsiaTheme="minorEastAsia"/>
                <w:color w:val="000000" w:themeColor="text1"/>
                <w:lang w:eastAsia="zh-CN"/>
              </w:rPr>
              <w:t>继续使用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原料加工</w:t>
            </w:r>
            <w:r>
              <w:rPr>
                <w:rFonts w:eastAsiaTheme="minorEastAsia"/>
                <w:color w:val="000000" w:themeColor="text1"/>
                <w:lang w:eastAsia="zh-CN"/>
              </w:rPr>
              <w:t>生产线</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破碎生产线布置1台给料机和2台破碎机，位于生产车间北侧</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露天</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技改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7"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原矿堆场</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占地面积1000m</w:t>
            </w:r>
            <w:r>
              <w:rPr>
                <w:rFonts w:eastAsiaTheme="minorEastAsia"/>
                <w:color w:val="000000" w:themeColor="text1"/>
                <w:vertAlign w:val="superscript"/>
                <w:lang w:eastAsia="zh-CN"/>
              </w:rPr>
              <w:t>2</w:t>
            </w:r>
            <w:r>
              <w:rPr>
                <w:rFonts w:eastAsiaTheme="minorEastAsia"/>
                <w:color w:val="000000" w:themeColor="text1"/>
                <w:lang w:eastAsia="zh-CN"/>
              </w:rPr>
              <w:t>，主要储存</w:t>
            </w:r>
            <w:r>
              <w:rPr>
                <w:rFonts w:hint="eastAsia" w:eastAsiaTheme="minorEastAsia"/>
                <w:color w:val="000000" w:themeColor="text1"/>
                <w:lang w:eastAsia="zh-CN"/>
              </w:rPr>
              <w:t>原矿</w:t>
            </w:r>
            <w:r>
              <w:rPr>
                <w:rFonts w:eastAsiaTheme="minorEastAsia"/>
                <w:color w:val="000000" w:themeColor="text1"/>
                <w:lang w:eastAsia="zh-CN"/>
              </w:rPr>
              <w:t>石</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露天</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技改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7"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精矿池</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占地面积1300m</w:t>
            </w:r>
            <w:r>
              <w:rPr>
                <w:rFonts w:eastAsiaTheme="minorEastAsia"/>
                <w:color w:val="000000" w:themeColor="text1"/>
                <w:vertAlign w:val="superscript"/>
                <w:lang w:eastAsia="zh-CN"/>
              </w:rPr>
              <w:t>2</w:t>
            </w:r>
            <w:r>
              <w:rPr>
                <w:rFonts w:eastAsiaTheme="minorEastAsia"/>
                <w:color w:val="000000" w:themeColor="text1"/>
                <w:lang w:eastAsia="zh-CN"/>
              </w:rPr>
              <w:t>，设有铜精矿池和铁精矿池，主要储存生产出来的精矿</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露天</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7"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辣子箐尾矿库</w:t>
            </w:r>
          </w:p>
        </w:tc>
        <w:tc>
          <w:tcPr>
            <w:tcW w:w="4251" w:type="dxa"/>
            <w:vAlign w:val="center"/>
          </w:tcPr>
          <w:p>
            <w:pPr>
              <w:pStyle w:val="126"/>
              <w:tabs>
                <w:tab w:val="left" w:pos="1960"/>
              </w:tabs>
              <w:jc w:val="both"/>
              <w:rPr>
                <w:rFonts w:eastAsiaTheme="minorEastAsia"/>
                <w:color w:val="000000" w:themeColor="text1"/>
                <w:lang w:eastAsia="zh-CN"/>
              </w:rPr>
            </w:pPr>
            <w:r>
              <w:rPr>
                <w:rFonts w:eastAsiaTheme="minorEastAsia"/>
                <w:color w:val="000000" w:themeColor="text1"/>
                <w:lang w:eastAsia="zh-CN"/>
              </w:rPr>
              <w:t>位于困龙河东南约300m，距老尾矿库约600m的辣子箐处，占地面积60亩，坝高18m，坝轴长66.4m，尾矿库最终坝高53m，坝顶宽度4m，库容44.95万m</w:t>
            </w:r>
            <w:r>
              <w:rPr>
                <w:rFonts w:eastAsiaTheme="minorEastAsia"/>
                <w:color w:val="000000" w:themeColor="text1"/>
                <w:vertAlign w:val="superscript"/>
                <w:lang w:eastAsia="zh-CN"/>
              </w:rPr>
              <w:t>3</w:t>
            </w:r>
            <w:r>
              <w:rPr>
                <w:rFonts w:eastAsiaTheme="minorEastAsia"/>
                <w:color w:val="000000" w:themeColor="text1"/>
                <w:lang w:eastAsia="zh-CN"/>
              </w:rPr>
              <w:t>，设计服务年限7年</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库区底部已按相关规范要求做了防渗防漏措施</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该尾矿库剩余库容不多，本技改再选工段所排尾矿不利用该尾矿库，再选工段尾矿进入龙都尾矿库，原有选矿尾矿仍然进入辣子箐尾矿库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restart"/>
            <w:vAlign w:val="center"/>
          </w:tcPr>
          <w:p>
            <w:pPr>
              <w:pStyle w:val="126"/>
              <w:tabs>
                <w:tab w:val="left" w:pos="1960"/>
              </w:tabs>
              <w:rPr>
                <w:rFonts w:eastAsiaTheme="minorEastAsia"/>
                <w:color w:val="000000" w:themeColor="text1"/>
              </w:rPr>
            </w:pPr>
            <w:r>
              <w:rPr>
                <w:rFonts w:eastAsiaTheme="minorEastAsia"/>
                <w:color w:val="000000" w:themeColor="text1"/>
                <w:lang w:eastAsia="zh-CN"/>
              </w:rPr>
              <w:t>辅助</w:t>
            </w:r>
            <w:r>
              <w:rPr>
                <w:rFonts w:eastAsiaTheme="minorEastAsia"/>
                <w:color w:val="000000" w:themeColor="text1"/>
              </w:rPr>
              <w:t>设施</w:t>
            </w:r>
          </w:p>
        </w:tc>
        <w:tc>
          <w:tcPr>
            <w:tcW w:w="1101" w:type="dxa"/>
            <w:vAlign w:val="center"/>
          </w:tcPr>
          <w:p>
            <w:pPr>
              <w:pStyle w:val="126"/>
              <w:tabs>
                <w:tab w:val="left" w:pos="1960"/>
              </w:tabs>
              <w:rPr>
                <w:rFonts w:eastAsiaTheme="minorEastAsia"/>
                <w:color w:val="000000" w:themeColor="text1"/>
              </w:rPr>
            </w:pPr>
            <w:r>
              <w:rPr>
                <w:rFonts w:eastAsiaTheme="minorEastAsia"/>
                <w:color w:val="000000" w:themeColor="text1"/>
              </w:rPr>
              <w:t>办公区</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位于戛大公路旁，办公生活区包括办公用房、85m</w:t>
            </w:r>
            <w:r>
              <w:rPr>
                <w:rFonts w:eastAsiaTheme="minorEastAsia"/>
                <w:color w:val="000000" w:themeColor="text1"/>
                <w:vertAlign w:val="superscript"/>
                <w:lang w:eastAsia="zh-CN"/>
              </w:rPr>
              <w:t>2</w:t>
            </w:r>
          </w:p>
        </w:tc>
        <w:tc>
          <w:tcPr>
            <w:tcW w:w="1418" w:type="dxa"/>
            <w:vAlign w:val="center"/>
          </w:tcPr>
          <w:p>
            <w:pPr>
              <w:pStyle w:val="126"/>
              <w:tabs>
                <w:tab w:val="left" w:pos="1960"/>
              </w:tabs>
              <w:rPr>
                <w:rFonts w:eastAsiaTheme="minorEastAsia"/>
                <w:color w:val="000000" w:themeColor="text1"/>
              </w:rPr>
            </w:pPr>
            <w:r>
              <w:rPr>
                <w:rFonts w:eastAsiaTheme="minorEastAsia"/>
                <w:color w:val="000000" w:themeColor="text1"/>
                <w:lang w:eastAsia="zh-CN"/>
              </w:rPr>
              <w:t>一</w:t>
            </w:r>
            <w:r>
              <w:rPr>
                <w:rFonts w:eastAsiaTheme="minorEastAsia"/>
                <w:color w:val="000000" w:themeColor="text1"/>
              </w:rPr>
              <w:t>层砖混结构</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生活区</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主要为工人倒班宿舍，占地面积200m</w:t>
            </w:r>
            <w:r>
              <w:rPr>
                <w:rFonts w:eastAsiaTheme="minorEastAsia"/>
                <w:color w:val="000000" w:themeColor="text1"/>
                <w:vertAlign w:val="superscript"/>
                <w:lang w:eastAsia="zh-CN"/>
              </w:rPr>
              <w:t>2</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一</w:t>
            </w:r>
            <w:r>
              <w:rPr>
                <w:rFonts w:eastAsiaTheme="minorEastAsia"/>
                <w:color w:val="000000" w:themeColor="text1"/>
              </w:rPr>
              <w:t>层砖混结构</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仓库</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占地面积300m</w:t>
            </w:r>
            <w:r>
              <w:rPr>
                <w:rFonts w:eastAsiaTheme="minorEastAsia"/>
                <w:color w:val="000000" w:themeColor="text1"/>
                <w:vertAlign w:val="superscript"/>
                <w:lang w:eastAsia="zh-CN"/>
              </w:rPr>
              <w:t>2</w:t>
            </w:r>
            <w:r>
              <w:rPr>
                <w:rFonts w:eastAsiaTheme="minorEastAsia"/>
                <w:color w:val="000000" w:themeColor="text1"/>
                <w:lang w:eastAsia="zh-CN"/>
              </w:rPr>
              <w:t>，主要储存生产所需药剂等原辅料</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rPr>
              <w:t>钢结构+彩钢瓦</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高位水池</w:t>
            </w:r>
          </w:p>
        </w:tc>
        <w:tc>
          <w:tcPr>
            <w:tcW w:w="4251" w:type="dxa"/>
            <w:vAlign w:val="center"/>
          </w:tcPr>
          <w:p>
            <w:pPr>
              <w:pStyle w:val="126"/>
              <w:tabs>
                <w:tab w:val="left" w:pos="1960"/>
              </w:tabs>
              <w:jc w:val="left"/>
              <w:rPr>
                <w:rFonts w:eastAsiaTheme="minorEastAsia"/>
                <w:color w:val="000000" w:themeColor="text1"/>
                <w:lang w:eastAsia="zh-CN"/>
              </w:rPr>
            </w:pPr>
            <w:r>
              <w:rPr>
                <w:rFonts w:eastAsiaTheme="minorEastAsia"/>
                <w:color w:val="000000" w:themeColor="text1"/>
                <w:lang w:eastAsia="zh-CN"/>
              </w:rPr>
              <w:t>有效容积为500m</w:t>
            </w:r>
            <w:r>
              <w:rPr>
                <w:rFonts w:eastAsiaTheme="minorEastAsia"/>
                <w:color w:val="000000" w:themeColor="text1"/>
                <w:vertAlign w:val="superscript"/>
                <w:lang w:eastAsia="zh-CN"/>
              </w:rPr>
              <w:t>3</w:t>
            </w:r>
            <w:r>
              <w:rPr>
                <w:rFonts w:eastAsiaTheme="minorEastAsia"/>
                <w:color w:val="000000" w:themeColor="text1"/>
                <w:lang w:eastAsia="zh-CN"/>
              </w:rPr>
              <w:t>，主要功能为储存从困龙河抽取的水</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混凝土结构</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spacing w:line="240" w:lineRule="auto"/>
              <w:ind w:firstLine="0" w:firstLineChars="0"/>
              <w:jc w:val="center"/>
              <w:rPr>
                <w:color w:val="000000" w:themeColor="text1"/>
                <w:sz w:val="21"/>
                <w:szCs w:val="21"/>
              </w:rPr>
            </w:pPr>
            <w:r>
              <w:rPr>
                <w:color w:val="000000" w:themeColor="text1"/>
                <w:sz w:val="21"/>
                <w:szCs w:val="21"/>
              </w:rPr>
              <w:t>尾矿输送管</w:t>
            </w:r>
          </w:p>
        </w:tc>
        <w:tc>
          <w:tcPr>
            <w:tcW w:w="4251" w:type="dxa"/>
            <w:vAlign w:val="center"/>
          </w:tcPr>
          <w:p>
            <w:pPr>
              <w:spacing w:line="240" w:lineRule="auto"/>
              <w:ind w:firstLine="0" w:firstLineChars="0"/>
              <w:rPr>
                <w:color w:val="000000" w:themeColor="text1"/>
                <w:sz w:val="21"/>
                <w:szCs w:val="21"/>
              </w:rPr>
            </w:pPr>
            <w:r>
              <w:rPr>
                <w:color w:val="000000" w:themeColor="text1"/>
                <w:sz w:val="21"/>
                <w:szCs w:val="21"/>
              </w:rPr>
              <w:t>尾矿浆在沉淀池沉淀后，将尾矿渣从原有选厂沉淀池用泵输送至尾矿库中，输送管线总长度约860m，采用HDPE管（高密度聚乙烯）和2级泵动力运输</w:t>
            </w:r>
          </w:p>
        </w:tc>
        <w:tc>
          <w:tcPr>
            <w:tcW w:w="1418" w:type="dxa"/>
            <w:vAlign w:val="center"/>
          </w:tcPr>
          <w:p>
            <w:pPr>
              <w:spacing w:line="240" w:lineRule="auto"/>
              <w:ind w:firstLine="0" w:firstLineChars="0"/>
              <w:jc w:val="center"/>
              <w:rPr>
                <w:color w:val="000000" w:themeColor="text1"/>
                <w:sz w:val="21"/>
                <w:szCs w:val="21"/>
              </w:rPr>
            </w:pPr>
            <w:r>
              <w:rPr>
                <w:color w:val="000000" w:themeColor="text1"/>
                <w:sz w:val="21"/>
                <w:szCs w:val="21"/>
              </w:rPr>
              <w:t>HDPE管</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sz w:val="21"/>
                <w:szCs w:val="21"/>
              </w:rPr>
              <w:t>本技改后保留，</w:t>
            </w:r>
            <w:r>
              <w:rPr>
                <w:color w:val="000000" w:themeColor="text1"/>
                <w:sz w:val="21"/>
                <w:szCs w:val="21"/>
              </w:rPr>
              <w:t>仍然供原有项目选矿尾矿输送使用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Align w:val="center"/>
          </w:tcPr>
          <w:p>
            <w:pPr>
              <w:spacing w:line="240" w:lineRule="auto"/>
              <w:ind w:firstLine="0" w:firstLineChars="0"/>
              <w:jc w:val="center"/>
              <w:rPr>
                <w:color w:val="000000" w:themeColor="text1"/>
                <w:sz w:val="21"/>
                <w:szCs w:val="21"/>
              </w:rPr>
            </w:pPr>
            <w:r>
              <w:rPr>
                <w:color w:val="000000" w:themeColor="text1"/>
                <w:sz w:val="21"/>
                <w:szCs w:val="21"/>
              </w:rPr>
              <w:t>现有尾矿浆输送管道</w:t>
            </w:r>
          </w:p>
        </w:tc>
        <w:tc>
          <w:tcPr>
            <w:tcW w:w="4251" w:type="dxa"/>
            <w:vAlign w:val="center"/>
          </w:tcPr>
          <w:p>
            <w:pPr>
              <w:spacing w:line="240" w:lineRule="auto"/>
              <w:ind w:firstLine="0" w:firstLineChars="0"/>
              <w:rPr>
                <w:color w:val="000000" w:themeColor="text1"/>
                <w:sz w:val="21"/>
                <w:szCs w:val="21"/>
              </w:rPr>
            </w:pPr>
            <w:r>
              <w:rPr>
                <w:color w:val="000000" w:themeColor="text1"/>
                <w:sz w:val="21"/>
                <w:szCs w:val="21"/>
              </w:rPr>
              <w:t>将原有项目产生的尾矿浆输送至沉淀池，长度200m</w:t>
            </w:r>
          </w:p>
        </w:tc>
        <w:tc>
          <w:tcPr>
            <w:tcW w:w="1418" w:type="dxa"/>
            <w:vAlign w:val="center"/>
          </w:tcPr>
          <w:p>
            <w:pPr>
              <w:spacing w:line="240" w:lineRule="auto"/>
              <w:ind w:firstLine="0" w:firstLineChars="0"/>
              <w:jc w:val="center"/>
              <w:rPr>
                <w:color w:val="000000" w:themeColor="text1"/>
                <w:sz w:val="21"/>
                <w:szCs w:val="21"/>
              </w:rPr>
            </w:pPr>
            <w:r>
              <w:rPr>
                <w:color w:val="000000" w:themeColor="text1"/>
                <w:sz w:val="21"/>
                <w:szCs w:val="21"/>
              </w:rPr>
              <w:t>HDPE管</w:t>
            </w:r>
          </w:p>
        </w:tc>
        <w:tc>
          <w:tcPr>
            <w:tcW w:w="1326" w:type="dxa"/>
            <w:vAlign w:val="center"/>
          </w:tcPr>
          <w:p>
            <w:pPr>
              <w:tabs>
                <w:tab w:val="left" w:pos="1960"/>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6" w:hRule="atLeast"/>
        </w:trPr>
        <w:tc>
          <w:tcPr>
            <w:tcW w:w="427" w:type="dxa"/>
            <w:vMerge w:val="restart"/>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公用工程</w:t>
            </w:r>
          </w:p>
        </w:tc>
        <w:tc>
          <w:tcPr>
            <w:tcW w:w="1101" w:type="dxa"/>
            <w:vAlign w:val="center"/>
          </w:tcPr>
          <w:p>
            <w:pPr>
              <w:pStyle w:val="126"/>
              <w:tabs>
                <w:tab w:val="left" w:pos="1960"/>
              </w:tabs>
              <w:rPr>
                <w:rFonts w:eastAsiaTheme="minorEastAsia"/>
                <w:color w:val="000000" w:themeColor="text1"/>
              </w:rPr>
            </w:pPr>
            <w:r>
              <w:rPr>
                <w:rFonts w:eastAsiaTheme="minorEastAsia"/>
                <w:color w:val="000000" w:themeColor="text1"/>
              </w:rPr>
              <w:t>供水系统</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选矿区生产用新鲜水从南面距离厂区145m外的困龙河用DN100钢管泵至厂区高位水池（500m</w:t>
            </w:r>
            <w:r>
              <w:rPr>
                <w:rFonts w:eastAsiaTheme="minorEastAsia"/>
                <w:color w:val="000000" w:themeColor="text1"/>
                <w:vertAlign w:val="superscript"/>
                <w:lang w:eastAsia="zh-CN"/>
              </w:rPr>
              <w:t>3</w:t>
            </w:r>
            <w:r>
              <w:rPr>
                <w:rFonts w:eastAsiaTheme="minorEastAsia"/>
                <w:color w:val="000000" w:themeColor="text1"/>
                <w:lang w:eastAsia="zh-CN"/>
              </w:rPr>
              <w:t>），再供给生产车间</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供电系统</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电力由市政供给</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restart"/>
            <w:vAlign w:val="center"/>
          </w:tcPr>
          <w:p>
            <w:pPr>
              <w:pStyle w:val="126"/>
              <w:tabs>
                <w:tab w:val="left" w:pos="1960"/>
              </w:tabs>
              <w:rPr>
                <w:rFonts w:eastAsiaTheme="minorEastAsia"/>
                <w:color w:val="000000" w:themeColor="text1"/>
              </w:rPr>
            </w:pPr>
            <w:r>
              <w:rPr>
                <w:rFonts w:eastAsiaTheme="minorEastAsia"/>
                <w:color w:val="000000" w:themeColor="text1"/>
              </w:rPr>
              <w:t>环保设施</w:t>
            </w: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化粪池</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容积为15m</w:t>
            </w:r>
            <w:r>
              <w:rPr>
                <w:rFonts w:eastAsiaTheme="minorEastAsia"/>
                <w:color w:val="000000" w:themeColor="text1"/>
                <w:vertAlign w:val="superscript"/>
                <w:lang w:eastAsia="zh-CN"/>
              </w:rPr>
              <w:t>3</w:t>
            </w:r>
            <w:r>
              <w:rPr>
                <w:rFonts w:eastAsiaTheme="minorEastAsia"/>
                <w:color w:val="000000" w:themeColor="text1"/>
                <w:lang w:eastAsia="zh-CN"/>
              </w:rPr>
              <w:t>，位于生活区旁</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混泥土结构</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尾矿浆沉淀池</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采用三级沉淀，1个10m</w:t>
            </w:r>
            <w:r>
              <w:rPr>
                <w:rFonts w:eastAsiaTheme="minorEastAsia"/>
                <w:color w:val="000000" w:themeColor="text1"/>
                <w:vertAlign w:val="superscript"/>
                <w:lang w:eastAsia="zh-CN"/>
              </w:rPr>
              <w:t>3</w:t>
            </w:r>
            <w:r>
              <w:rPr>
                <w:rFonts w:eastAsiaTheme="minorEastAsia"/>
                <w:color w:val="000000" w:themeColor="text1"/>
                <w:lang w:eastAsia="zh-CN"/>
              </w:rPr>
              <w:t>，1个300m</w:t>
            </w:r>
            <w:r>
              <w:rPr>
                <w:rFonts w:eastAsiaTheme="minorEastAsia"/>
                <w:color w:val="000000" w:themeColor="text1"/>
                <w:vertAlign w:val="superscript"/>
                <w:lang w:eastAsia="zh-CN"/>
              </w:rPr>
              <w:t>3</w:t>
            </w:r>
            <w:r>
              <w:rPr>
                <w:rFonts w:eastAsiaTheme="minorEastAsia"/>
                <w:color w:val="000000" w:themeColor="text1"/>
                <w:lang w:eastAsia="zh-CN"/>
              </w:rPr>
              <w:t>，1个400m</w:t>
            </w:r>
            <w:r>
              <w:rPr>
                <w:rFonts w:eastAsiaTheme="minorEastAsia"/>
                <w:color w:val="000000" w:themeColor="text1"/>
                <w:vertAlign w:val="superscript"/>
                <w:lang w:eastAsia="zh-CN"/>
              </w:rPr>
              <w:t>3</w:t>
            </w:r>
            <w:r>
              <w:rPr>
                <w:rFonts w:eastAsiaTheme="minorEastAsia"/>
                <w:color w:val="000000" w:themeColor="text1"/>
                <w:lang w:eastAsia="zh-CN"/>
              </w:rPr>
              <w:t>，合计710m</w:t>
            </w:r>
            <w:r>
              <w:rPr>
                <w:rFonts w:eastAsiaTheme="minorEastAsia"/>
                <w:color w:val="000000" w:themeColor="text1"/>
                <w:vertAlign w:val="superscript"/>
                <w:lang w:eastAsia="zh-CN"/>
              </w:rPr>
              <w:t>3</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钢砼结构</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事故应急池</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位于尾矿浆沉淀池旁，容积为200m</w:t>
            </w:r>
            <w:r>
              <w:rPr>
                <w:rFonts w:eastAsiaTheme="minorEastAsia"/>
                <w:color w:val="000000" w:themeColor="text1"/>
                <w:vertAlign w:val="superscript"/>
                <w:lang w:eastAsia="zh-CN"/>
              </w:rPr>
              <w:t>3</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钢砼结构</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辣子箐尾矿库</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尾矿存储和尾矿库废水沉淀处理，尾矿库设截排水沟等，尾矿库初期坝坝尾设置一个15m</w:t>
            </w:r>
            <w:r>
              <w:rPr>
                <w:rFonts w:eastAsiaTheme="minorEastAsia"/>
                <w:color w:val="000000" w:themeColor="text1"/>
                <w:vertAlign w:val="superscript"/>
                <w:lang w:eastAsia="zh-CN"/>
              </w:rPr>
              <w:t>3</w:t>
            </w:r>
            <w:r>
              <w:rPr>
                <w:rFonts w:eastAsiaTheme="minorEastAsia"/>
                <w:color w:val="000000" w:themeColor="text1"/>
                <w:lang w:eastAsia="zh-CN"/>
              </w:rPr>
              <w:t>的沉淀池</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混泥土结构</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该尾矿库剩余库容不多，本技改再选工段所排尾矿不利用该尾矿库，再选工段尾矿进入龙都尾矿库，原有选矿尾矿仍然进入辣子箐尾矿库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辣子箐尾矿库回水系统</w:t>
            </w:r>
          </w:p>
        </w:tc>
        <w:tc>
          <w:tcPr>
            <w:tcW w:w="4251" w:type="dxa"/>
            <w:vAlign w:val="center"/>
          </w:tcPr>
          <w:p>
            <w:pPr>
              <w:tabs>
                <w:tab w:val="left" w:pos="1960"/>
              </w:tabs>
              <w:spacing w:line="240" w:lineRule="auto"/>
              <w:ind w:firstLine="0" w:firstLineChars="0"/>
              <w:rPr>
                <w:color w:val="000000" w:themeColor="text1"/>
                <w:kern w:val="24"/>
                <w:sz w:val="21"/>
                <w:szCs w:val="21"/>
              </w:rPr>
            </w:pPr>
            <w:r>
              <w:rPr>
                <w:color w:val="000000" w:themeColor="text1"/>
                <w:sz w:val="21"/>
                <w:szCs w:val="21"/>
              </w:rPr>
              <w:t>回水方式为库内、库外回水系统相结合，保证废水不外排。回水输送管道长800m，尾矿库回水池容积为30m</w:t>
            </w:r>
            <w:r>
              <w:rPr>
                <w:color w:val="000000" w:themeColor="text1"/>
                <w:sz w:val="21"/>
                <w:szCs w:val="21"/>
                <w:vertAlign w:val="superscript"/>
              </w:rPr>
              <w:t>3</w:t>
            </w:r>
            <w:r>
              <w:rPr>
                <w:color w:val="000000" w:themeColor="text1"/>
                <w:sz w:val="21"/>
                <w:szCs w:val="21"/>
              </w:rPr>
              <w:t>，此回水池为高位水池</w:t>
            </w:r>
          </w:p>
        </w:tc>
        <w:tc>
          <w:tcPr>
            <w:tcW w:w="1418"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color w:val="000000" w:themeColor="text1"/>
                <w:sz w:val="21"/>
                <w:szCs w:val="21"/>
              </w:rPr>
              <w:t>HDPE管</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spacing w:line="240" w:lineRule="auto"/>
              <w:ind w:firstLine="0" w:firstLineChars="0"/>
              <w:jc w:val="center"/>
              <w:rPr>
                <w:color w:val="000000" w:themeColor="text1"/>
                <w:sz w:val="21"/>
                <w:szCs w:val="21"/>
              </w:rPr>
            </w:pPr>
            <w:r>
              <w:rPr>
                <w:rFonts w:eastAsiaTheme="minorEastAsia"/>
                <w:color w:val="000000" w:themeColor="text1"/>
                <w:sz w:val="21"/>
                <w:szCs w:val="21"/>
              </w:rPr>
              <w:t>辣子箐</w:t>
            </w:r>
            <w:r>
              <w:rPr>
                <w:color w:val="000000" w:themeColor="text1"/>
                <w:sz w:val="21"/>
                <w:szCs w:val="21"/>
              </w:rPr>
              <w:t>尾矿库防洪系统</w:t>
            </w:r>
          </w:p>
        </w:tc>
        <w:tc>
          <w:tcPr>
            <w:tcW w:w="4251" w:type="dxa"/>
            <w:vAlign w:val="center"/>
          </w:tcPr>
          <w:p>
            <w:pPr>
              <w:spacing w:line="240" w:lineRule="auto"/>
              <w:ind w:firstLine="0" w:firstLineChars="0"/>
              <w:rPr>
                <w:color w:val="000000" w:themeColor="text1"/>
                <w:sz w:val="21"/>
                <w:szCs w:val="21"/>
              </w:rPr>
            </w:pPr>
            <w:r>
              <w:rPr>
                <w:color w:val="000000" w:themeColor="text1"/>
                <w:sz w:val="21"/>
                <w:szCs w:val="21"/>
              </w:rPr>
              <w:t>排洪方式为库区右岸单边截洪沟排洪，库内采用排水斜槽—排水管排洪</w:t>
            </w:r>
          </w:p>
        </w:tc>
        <w:tc>
          <w:tcPr>
            <w:tcW w:w="1418"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326" w:type="dxa"/>
            <w:vAlign w:val="center"/>
          </w:tcPr>
          <w:p>
            <w:pPr>
              <w:tabs>
                <w:tab w:val="left" w:pos="1960"/>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7"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危废暂存间</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占地面积</w:t>
            </w:r>
            <w:r>
              <w:rPr>
                <w:rFonts w:hint="eastAsia" w:eastAsiaTheme="minorEastAsia"/>
                <w:color w:val="000000" w:themeColor="text1"/>
                <w:lang w:eastAsia="zh-CN"/>
              </w:rPr>
              <w:t>2</w:t>
            </w:r>
            <w:r>
              <w:rPr>
                <w:rFonts w:eastAsiaTheme="minorEastAsia"/>
                <w:color w:val="000000" w:themeColor="text1"/>
                <w:lang w:eastAsia="zh-CN"/>
              </w:rPr>
              <w:t>0m</w:t>
            </w:r>
            <w:r>
              <w:rPr>
                <w:rFonts w:eastAsiaTheme="minorEastAsia"/>
                <w:color w:val="000000" w:themeColor="text1"/>
                <w:vertAlign w:val="superscript"/>
                <w:lang w:eastAsia="zh-CN"/>
              </w:rPr>
              <w:t>2</w:t>
            </w:r>
            <w:r>
              <w:rPr>
                <w:rFonts w:eastAsiaTheme="minorEastAsia"/>
                <w:color w:val="000000" w:themeColor="text1"/>
                <w:lang w:eastAsia="zh-CN"/>
              </w:rPr>
              <w:t>，暂存间</w:t>
            </w:r>
            <w:r>
              <w:rPr>
                <w:rStyle w:val="73"/>
                <w:rFonts w:hint="eastAsia" w:eastAsia="宋体"/>
                <w:color w:val="000000" w:themeColor="text1"/>
                <w:lang w:eastAsia="zh-CN" w:bidi="ar-SA"/>
              </w:rPr>
              <w:t>建设</w:t>
            </w:r>
            <w:r>
              <w:rPr>
                <w:rFonts w:eastAsiaTheme="minorEastAsia"/>
                <w:color w:val="000000" w:themeColor="text1"/>
                <w:lang w:eastAsia="zh-CN"/>
              </w:rPr>
              <w:t>不规范，未做防渗等设施</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砖混结构</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 xml:space="preserve"> 以新带老整改后使用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破碎筛分喷雾降尘</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破碎、筛分工段加装有喷雾降尘设施，降低粉尘排放</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原有原料加工设备拆除，原有喷雾设施一起拆除</w:t>
            </w:r>
          </w:p>
        </w:tc>
      </w:tr>
    </w:tbl>
    <w:p>
      <w:pPr>
        <w:ind w:firstLine="480"/>
        <w:rPr>
          <w:rFonts w:eastAsiaTheme="minorEastAsia"/>
          <w:color w:val="000000" w:themeColor="text1"/>
          <w:szCs w:val="24"/>
        </w:rPr>
      </w:pPr>
      <w:bookmarkStart w:id="411" w:name="_Toc375724420"/>
      <w:r>
        <w:rPr>
          <w:rFonts w:hint="eastAsia" w:eastAsiaTheme="minorEastAsia"/>
          <w:color w:val="000000" w:themeColor="text1"/>
          <w:szCs w:val="24"/>
        </w:rPr>
        <w:t>本次技改项目尾矿输送管道依托的《尾矿输送管道建设及尾矿库环境治理项目（一期）》中已建设的内容情况如下表所示：</w:t>
      </w:r>
    </w:p>
    <w:p>
      <w:pPr>
        <w:widowControl/>
        <w:ind w:firstLine="0" w:firstLineChars="0"/>
        <w:jc w:val="center"/>
        <w:rPr>
          <w:rFonts w:eastAsiaTheme="minorEastAsia"/>
          <w:b/>
          <w:color w:val="000000" w:themeColor="text1"/>
          <w:sz w:val="21"/>
          <w:szCs w:val="20"/>
        </w:rPr>
      </w:pPr>
      <w:r>
        <w:rPr>
          <w:rFonts w:hint="eastAsia" w:eastAsiaTheme="minorEastAsia"/>
          <w:b/>
          <w:color w:val="000000" w:themeColor="text1"/>
          <w:sz w:val="21"/>
          <w:szCs w:val="20"/>
        </w:rPr>
        <w:t>表2.2-5本技改项目所依托的尾矿输送管道项目已建内容一览表</w:t>
      </w:r>
    </w:p>
    <w:tbl>
      <w:tblPr>
        <w:tblStyle w:val="62"/>
        <w:tblW w:w="852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5777"/>
        <w:gridCol w:w="15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92" w:hRule="atLeast"/>
          <w:jc w:val="center"/>
        </w:trPr>
        <w:tc>
          <w:tcPr>
            <w:tcW w:w="117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类别</w:t>
            </w:r>
          </w:p>
        </w:tc>
        <w:tc>
          <w:tcPr>
            <w:tcW w:w="577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实际建设内容</w:t>
            </w:r>
          </w:p>
        </w:tc>
        <w:tc>
          <w:tcPr>
            <w:tcW w:w="156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 xml:space="preserve">与技改项目的关系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2" w:hRule="atLeast"/>
          <w:jc w:val="center"/>
        </w:trPr>
        <w:tc>
          <w:tcPr>
            <w:tcW w:w="1179" w:type="dxa"/>
            <w:vMerge w:val="restart"/>
            <w:tcBorders>
              <w:top w:val="single" w:color="auto" w:sz="4" w:space="0"/>
              <w:left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主体工程</w:t>
            </w:r>
          </w:p>
        </w:tc>
        <w:tc>
          <w:tcPr>
            <w:tcW w:w="577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尾矿管道起点为平安公司辣子箐口选厂的磁选工艺尾矿浓密池，容积为3000m</w:t>
            </w:r>
            <w:r>
              <w:rPr>
                <w:rFonts w:hint="eastAsia"/>
                <w:color w:val="000000" w:themeColor="text1"/>
                <w:sz w:val="21"/>
                <w:szCs w:val="21"/>
                <w:vertAlign w:val="superscript"/>
              </w:rPr>
              <w:t>3</w:t>
            </w:r>
            <w:r>
              <w:rPr>
                <w:rFonts w:hint="eastAsia"/>
                <w:color w:val="000000" w:themeColor="text1"/>
                <w:sz w:val="21"/>
                <w:szCs w:val="21"/>
              </w:rPr>
              <w:t>。</w:t>
            </w:r>
          </w:p>
        </w:tc>
        <w:tc>
          <w:tcPr>
            <w:tcW w:w="156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5" w:hRule="atLeast"/>
          <w:jc w:val="center"/>
        </w:trPr>
        <w:tc>
          <w:tcPr>
            <w:tcW w:w="1179" w:type="dxa"/>
            <w:vMerge w:val="continue"/>
            <w:tcBorders>
              <w:left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p>
        </w:tc>
        <w:tc>
          <w:tcPr>
            <w:tcW w:w="577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尾矿输送管道全长</w:t>
            </w:r>
            <w:r>
              <w:rPr>
                <w:rFonts w:hint="eastAsia"/>
                <w:color w:val="000000" w:themeColor="text1"/>
                <w:sz w:val="21"/>
                <w:szCs w:val="21"/>
              </w:rPr>
              <w:t>2090</w:t>
            </w:r>
            <w:r>
              <w:rPr>
                <w:color w:val="000000" w:themeColor="text1"/>
                <w:sz w:val="21"/>
                <w:szCs w:val="21"/>
              </w:rPr>
              <w:t>m，管道内径为214mm，外径250mm。</w:t>
            </w:r>
          </w:p>
        </w:tc>
        <w:tc>
          <w:tcPr>
            <w:tcW w:w="156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2" w:hRule="atLeast"/>
          <w:jc w:val="center"/>
        </w:trPr>
        <w:tc>
          <w:tcPr>
            <w:tcW w:w="1179" w:type="dxa"/>
            <w:vMerge w:val="continue"/>
            <w:tcBorders>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p>
        </w:tc>
        <w:tc>
          <w:tcPr>
            <w:tcW w:w="577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位于平安公司辣子箐口选厂矿浆池与管道终点之间设置隔膜泵站，占地面积120m</w:t>
            </w:r>
            <w:r>
              <w:rPr>
                <w:rFonts w:hint="eastAsia"/>
                <w:color w:val="000000" w:themeColor="text1"/>
                <w:sz w:val="21"/>
                <w:szCs w:val="21"/>
                <w:vertAlign w:val="superscript"/>
              </w:rPr>
              <w:t>2</w:t>
            </w:r>
            <w:r>
              <w:rPr>
                <w:rFonts w:hint="eastAsia"/>
                <w:color w:val="000000" w:themeColor="text1"/>
                <w:sz w:val="21"/>
                <w:szCs w:val="21"/>
              </w:rPr>
              <w:t>。设置有3台隔膜泵</w:t>
            </w:r>
          </w:p>
        </w:tc>
        <w:tc>
          <w:tcPr>
            <w:tcW w:w="156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7" w:hRule="atLeast"/>
          <w:jc w:val="center"/>
        </w:trPr>
        <w:tc>
          <w:tcPr>
            <w:tcW w:w="1179" w:type="dxa"/>
            <w:vMerge w:val="restart"/>
            <w:tcBorders>
              <w:top w:val="single" w:color="auto" w:sz="4" w:space="0"/>
              <w:left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辅助工程</w:t>
            </w:r>
          </w:p>
        </w:tc>
        <w:tc>
          <w:tcPr>
            <w:tcW w:w="577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泵站</w:t>
            </w:r>
            <w:r>
              <w:rPr>
                <w:color w:val="000000" w:themeColor="text1"/>
                <w:sz w:val="21"/>
                <w:szCs w:val="21"/>
              </w:rPr>
              <w:t>用水由</w:t>
            </w:r>
            <w:r>
              <w:rPr>
                <w:rFonts w:hint="eastAsia"/>
                <w:color w:val="000000" w:themeColor="text1"/>
                <w:sz w:val="21"/>
                <w:szCs w:val="21"/>
              </w:rPr>
              <w:t>戛洒镇</w:t>
            </w:r>
            <w:r>
              <w:rPr>
                <w:color w:val="000000" w:themeColor="text1"/>
                <w:sz w:val="21"/>
                <w:szCs w:val="21"/>
              </w:rPr>
              <w:t>给水管网供给，水质和水量有保证。</w:t>
            </w:r>
          </w:p>
        </w:tc>
        <w:tc>
          <w:tcPr>
            <w:tcW w:w="156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7" w:hRule="atLeast"/>
          <w:jc w:val="center"/>
        </w:trPr>
        <w:tc>
          <w:tcPr>
            <w:tcW w:w="1179" w:type="dxa"/>
            <w:vMerge w:val="continue"/>
            <w:tcBorders>
              <w:left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p>
        </w:tc>
        <w:tc>
          <w:tcPr>
            <w:tcW w:w="5777"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rFonts w:hint="eastAsia" w:hAnsi="宋体"/>
                <w:color w:val="000000" w:themeColor="text1"/>
                <w:sz w:val="21"/>
                <w:szCs w:val="21"/>
                <w:lang w:val="zh-CN"/>
              </w:rPr>
              <w:t>供电</w:t>
            </w:r>
            <w:r>
              <w:rPr>
                <w:rFonts w:hAnsi="宋体"/>
                <w:color w:val="000000" w:themeColor="text1"/>
                <w:sz w:val="21"/>
                <w:szCs w:val="21"/>
                <w:lang w:val="zh-CN"/>
              </w:rPr>
              <w:t>由</w:t>
            </w:r>
            <w:r>
              <w:rPr>
                <w:rFonts w:hint="eastAsia"/>
                <w:color w:val="000000" w:themeColor="text1"/>
                <w:sz w:val="21"/>
                <w:szCs w:val="21"/>
              </w:rPr>
              <w:t>红山线路</w:t>
            </w:r>
            <w:r>
              <w:rPr>
                <w:rFonts w:hAnsi="宋体"/>
                <w:color w:val="000000" w:themeColor="text1"/>
                <w:sz w:val="21"/>
                <w:szCs w:val="21"/>
                <w:lang w:val="zh-CN"/>
              </w:rPr>
              <w:t>引入配电室。</w:t>
            </w:r>
          </w:p>
        </w:tc>
        <w:tc>
          <w:tcPr>
            <w:tcW w:w="1569"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依托</w:t>
            </w:r>
          </w:p>
        </w:tc>
      </w:tr>
    </w:tbl>
    <w:p>
      <w:pPr>
        <w:pStyle w:val="574"/>
        <w:spacing w:beforeLines="0" w:afterLines="0"/>
        <w:rPr>
          <w:rFonts w:eastAsiaTheme="minorEastAsia"/>
          <w:color w:val="000000" w:themeColor="text1"/>
          <w:sz w:val="30"/>
          <w:szCs w:val="30"/>
        </w:rPr>
      </w:pPr>
      <w:bookmarkStart w:id="412" w:name="_Toc26143"/>
      <w:r>
        <w:rPr>
          <w:rFonts w:eastAsiaTheme="minorEastAsia"/>
          <w:color w:val="000000" w:themeColor="text1"/>
          <w:sz w:val="30"/>
          <w:szCs w:val="30"/>
        </w:rPr>
        <w:t>2.3原有项目总平面布置</w:t>
      </w:r>
      <w:bookmarkEnd w:id="411"/>
      <w:bookmarkEnd w:id="412"/>
    </w:p>
    <w:p>
      <w:pPr>
        <w:ind w:firstLine="480"/>
        <w:rPr>
          <w:rFonts w:eastAsiaTheme="minorEastAsia"/>
          <w:color w:val="000000" w:themeColor="text1"/>
          <w:szCs w:val="24"/>
        </w:rPr>
      </w:pPr>
      <w:r>
        <w:rPr>
          <w:rFonts w:eastAsiaTheme="minorEastAsia"/>
          <w:color w:val="000000" w:themeColor="text1"/>
          <w:szCs w:val="24"/>
        </w:rPr>
        <w:t>原有项目总体布置上利用地形分台阶布置，减少物料的提升，由高向低依次为原矿场，破碎筛分工段、磨矿分级工段、磁选工段、浮选工段、重选、精矿池、尾矿浆沉淀池。顺地形布置，形成具有高差的尾矿自流系统。尾矿库位于选矿厂东侧山谷当中，距离较短，便于尾矿输送。</w:t>
      </w:r>
    </w:p>
    <w:p>
      <w:pPr>
        <w:pStyle w:val="574"/>
        <w:spacing w:beforeLines="0" w:afterLines="0"/>
        <w:rPr>
          <w:rFonts w:eastAsiaTheme="minorEastAsia"/>
          <w:color w:val="000000" w:themeColor="text1"/>
          <w:sz w:val="30"/>
          <w:szCs w:val="30"/>
        </w:rPr>
      </w:pPr>
      <w:bookmarkStart w:id="413" w:name="_Toc375724421"/>
      <w:bookmarkStart w:id="414" w:name="_Toc28089"/>
      <w:r>
        <w:rPr>
          <w:rFonts w:eastAsiaTheme="minorEastAsia"/>
          <w:color w:val="000000" w:themeColor="text1"/>
          <w:sz w:val="30"/>
          <w:szCs w:val="30"/>
        </w:rPr>
        <w:t>2.4劳动定员及工作制度</w:t>
      </w:r>
      <w:bookmarkEnd w:id="413"/>
      <w:bookmarkEnd w:id="414"/>
    </w:p>
    <w:p>
      <w:pPr>
        <w:ind w:firstLine="480"/>
        <w:rPr>
          <w:rFonts w:eastAsiaTheme="minorEastAsia"/>
          <w:color w:val="000000" w:themeColor="text1"/>
          <w:szCs w:val="24"/>
        </w:rPr>
      </w:pPr>
      <w:r>
        <w:rPr>
          <w:rFonts w:eastAsiaTheme="minorEastAsia"/>
          <w:color w:val="000000" w:themeColor="text1"/>
          <w:szCs w:val="24"/>
        </w:rPr>
        <w:t>通过收集资料及现场调查，项目实际生产天数300天，选矿生产采用三班制，每班8小时，劳动定员85人</w:t>
      </w:r>
      <w:r>
        <w:rPr>
          <w:rFonts w:hint="eastAsia" w:eastAsiaTheme="minorEastAsia"/>
          <w:color w:val="000000" w:themeColor="text1"/>
          <w:szCs w:val="24"/>
        </w:rPr>
        <w:t>，</w:t>
      </w:r>
      <w:r>
        <w:rPr>
          <w:rFonts w:eastAsiaTheme="minorEastAsia"/>
          <w:color w:val="000000" w:themeColor="text1"/>
          <w:szCs w:val="24"/>
        </w:rPr>
        <w:t>工人为周边村民。</w:t>
      </w:r>
      <w:r>
        <w:rPr>
          <w:rFonts w:hint="eastAsia" w:eastAsiaTheme="minorEastAsia"/>
          <w:color w:val="000000" w:themeColor="text1"/>
          <w:szCs w:val="24"/>
        </w:rPr>
        <w:t>工人不在本厂区内餐饮，部分管理人员餐饮依托于辣子箐口选厂的食堂。上夜班员工在厂区内住宿。</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表2.4-1劳动定员表</w:t>
      </w:r>
    </w:p>
    <w:tbl>
      <w:tblPr>
        <w:tblStyle w:val="6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3222"/>
        <w:gridCol w:w="2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284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序号</w:t>
            </w:r>
          </w:p>
        </w:tc>
        <w:tc>
          <w:tcPr>
            <w:tcW w:w="3222"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名称</w:t>
            </w:r>
          </w:p>
        </w:tc>
        <w:tc>
          <w:tcPr>
            <w:tcW w:w="246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284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3222"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选矿厂厂长</w:t>
            </w:r>
          </w:p>
        </w:tc>
        <w:tc>
          <w:tcPr>
            <w:tcW w:w="246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284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3222"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副厂长</w:t>
            </w:r>
          </w:p>
        </w:tc>
        <w:tc>
          <w:tcPr>
            <w:tcW w:w="246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284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3222"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财务会计与出纳</w:t>
            </w:r>
          </w:p>
        </w:tc>
        <w:tc>
          <w:tcPr>
            <w:tcW w:w="246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284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4</w:t>
            </w:r>
          </w:p>
        </w:tc>
        <w:tc>
          <w:tcPr>
            <w:tcW w:w="3222"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技术人员及管理人员</w:t>
            </w:r>
          </w:p>
        </w:tc>
        <w:tc>
          <w:tcPr>
            <w:tcW w:w="246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284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5</w:t>
            </w:r>
          </w:p>
        </w:tc>
        <w:tc>
          <w:tcPr>
            <w:tcW w:w="3222"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生产工人</w:t>
            </w:r>
          </w:p>
        </w:tc>
        <w:tc>
          <w:tcPr>
            <w:tcW w:w="246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trPr>
        <w:tc>
          <w:tcPr>
            <w:tcW w:w="6062" w:type="dxa"/>
            <w:gridSpan w:val="2"/>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合计</w:t>
            </w:r>
          </w:p>
        </w:tc>
        <w:tc>
          <w:tcPr>
            <w:tcW w:w="246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85</w:t>
            </w:r>
          </w:p>
        </w:tc>
      </w:tr>
    </w:tbl>
    <w:p>
      <w:pPr>
        <w:pStyle w:val="574"/>
        <w:spacing w:beforeLines="0" w:afterLines="0"/>
        <w:rPr>
          <w:rFonts w:eastAsiaTheme="minorEastAsia"/>
          <w:color w:val="000000" w:themeColor="text1"/>
          <w:sz w:val="30"/>
          <w:szCs w:val="30"/>
        </w:rPr>
      </w:pPr>
      <w:bookmarkStart w:id="415" w:name="_Toc5077"/>
      <w:bookmarkStart w:id="416" w:name="_Toc375724422"/>
      <w:r>
        <w:rPr>
          <w:rFonts w:eastAsiaTheme="minorEastAsia"/>
          <w:color w:val="000000" w:themeColor="text1"/>
          <w:sz w:val="30"/>
          <w:szCs w:val="30"/>
        </w:rPr>
        <w:t>2.5选矿工艺及产污节点</w:t>
      </w:r>
      <w:bookmarkEnd w:id="415"/>
      <w:bookmarkEnd w:id="416"/>
    </w:p>
    <w:p>
      <w:pPr>
        <w:ind w:firstLine="480"/>
        <w:rPr>
          <w:rFonts w:eastAsiaTheme="minorEastAsia"/>
          <w:color w:val="000000" w:themeColor="text1"/>
          <w:szCs w:val="24"/>
        </w:rPr>
      </w:pPr>
      <w:r>
        <w:rPr>
          <w:rFonts w:eastAsiaTheme="minorEastAsia"/>
          <w:color w:val="000000" w:themeColor="text1"/>
          <w:szCs w:val="24"/>
        </w:rPr>
        <w:t>原项目通过破碎、筛分</w:t>
      </w:r>
      <w:r>
        <w:rPr>
          <w:rFonts w:hint="eastAsia" w:eastAsiaTheme="minorEastAsia"/>
          <w:color w:val="000000" w:themeColor="text1"/>
          <w:szCs w:val="24"/>
        </w:rPr>
        <w:t>、</w:t>
      </w:r>
      <w:r>
        <w:rPr>
          <w:rFonts w:eastAsiaTheme="minorEastAsia"/>
          <w:color w:val="000000" w:themeColor="text1"/>
          <w:szCs w:val="24"/>
        </w:rPr>
        <w:t>磨矿、浮选、磁选、重选等工艺过程，产出产品。具体工艺流程及产污节点图见2.5-1。</w:t>
      </w:r>
    </w:p>
    <w:p>
      <w:pPr>
        <w:ind w:firstLine="0" w:firstLineChars="0"/>
        <w:jc w:val="both"/>
        <w:rPr>
          <w:rFonts w:eastAsiaTheme="minorEastAsia"/>
          <w:b/>
          <w:color w:val="000000" w:themeColor="text1"/>
          <w:sz w:val="21"/>
          <w:szCs w:val="21"/>
        </w:rPr>
      </w:pPr>
      <w:r>
        <w:rPr>
          <w:rFonts w:eastAsiaTheme="minorEastAsia"/>
          <w:b/>
          <w:color w:val="000000" w:themeColor="text1"/>
          <w:sz w:val="21"/>
          <w:szCs w:val="21"/>
        </w:rPr>
        <w:object>
          <v:shape id="_x0000_i1026" o:spt="75" type="#_x0000_t75" style="height:348.75pt;width:415.5pt;" o:ole="t" filled="f" o:preferrelative="t" stroked="f" coordsize="21600,21600">
            <v:path/>
            <v:fill on="f" focussize="0,0"/>
            <v:stroke on="f" joinstyle="miter"/>
            <v:imagedata r:id="rId35" o:title=""/>
            <o:lock v:ext="edit" aspectratio="f"/>
            <w10:wrap type="none"/>
            <w10:anchorlock/>
          </v:shape>
          <o:OLEObject Type="Embed" ProgID="Visio.Drawing.11" ShapeID="_x0000_i1026" DrawAspect="Content" ObjectID="_1468075725" r:id="rId34">
            <o:LockedField>false</o:LockedField>
          </o:OLEObject>
        </w:object>
      </w:r>
    </w:p>
    <w:p>
      <w:pPr>
        <w:ind w:firstLine="0" w:firstLineChars="0"/>
        <w:jc w:val="center"/>
        <w:rPr>
          <w:rFonts w:eastAsiaTheme="minorEastAsia"/>
          <w:color w:val="000000" w:themeColor="text1"/>
          <w:szCs w:val="24"/>
        </w:rPr>
      </w:pPr>
      <w:r>
        <w:rPr>
          <w:rFonts w:eastAsiaTheme="minorEastAsia"/>
          <w:b/>
          <w:color w:val="000000" w:themeColor="text1"/>
          <w:sz w:val="21"/>
          <w:szCs w:val="21"/>
        </w:rPr>
        <w:t>图2.5-1原有项目工艺流程及污染节点图</w:t>
      </w:r>
    </w:p>
    <w:p>
      <w:pPr>
        <w:ind w:firstLine="480"/>
        <w:rPr>
          <w:rFonts w:eastAsiaTheme="minorEastAsia"/>
          <w:color w:val="000000" w:themeColor="text1"/>
          <w:szCs w:val="24"/>
        </w:rPr>
      </w:pPr>
      <w:r>
        <w:rPr>
          <w:rFonts w:eastAsiaTheme="minorEastAsia"/>
          <w:color w:val="000000" w:themeColor="text1"/>
          <w:szCs w:val="24"/>
        </w:rPr>
        <w:t>选厂生产工艺流程简述如下：</w:t>
      </w:r>
    </w:p>
    <w:p>
      <w:pPr>
        <w:pStyle w:val="127"/>
        <w:ind w:left="480" w:leftChars="200" w:firstLine="0" w:firstLineChars="0"/>
        <w:rPr>
          <w:rFonts w:eastAsiaTheme="minorEastAsia"/>
          <w:color w:val="000000" w:themeColor="text1"/>
        </w:rPr>
      </w:pPr>
      <w:r>
        <w:rPr>
          <w:rFonts w:eastAsiaTheme="minorEastAsia"/>
          <w:color w:val="000000" w:themeColor="text1"/>
        </w:rPr>
        <w:t>1、破碎、筛分</w:t>
      </w:r>
    </w:p>
    <w:p>
      <w:pPr>
        <w:pStyle w:val="127"/>
        <w:rPr>
          <w:rFonts w:eastAsiaTheme="minorEastAsia"/>
          <w:color w:val="000000" w:themeColor="text1"/>
        </w:rPr>
      </w:pPr>
      <w:r>
        <w:rPr>
          <w:rFonts w:eastAsiaTheme="minorEastAsia"/>
          <w:color w:val="000000" w:themeColor="text1"/>
        </w:rPr>
        <w:t>入厂原矿为原矿石，进厂后堆在原矿堆场，通过装载机转运入破碎机经两级破碎</w:t>
      </w:r>
      <w:r>
        <w:rPr>
          <w:rFonts w:hint="eastAsia" w:eastAsiaTheme="minorEastAsia"/>
          <w:color w:val="000000" w:themeColor="text1"/>
        </w:rPr>
        <w:t>（两级破碎相连）</w:t>
      </w:r>
      <w:r>
        <w:rPr>
          <w:rFonts w:eastAsiaTheme="minorEastAsia"/>
          <w:color w:val="000000" w:themeColor="text1"/>
        </w:rPr>
        <w:t>，第一级为粗碎</w:t>
      </w:r>
      <w:r>
        <w:rPr>
          <w:rStyle w:val="73"/>
          <w:rFonts w:eastAsia="宋体"/>
          <w:color w:val="000000" w:themeColor="text1"/>
          <w:kern w:val="0"/>
        </w:rPr>
        <w:t>，</w:t>
      </w:r>
      <w:r>
        <w:rPr>
          <w:rFonts w:eastAsiaTheme="minorEastAsia"/>
          <w:color w:val="000000" w:themeColor="text1"/>
        </w:rPr>
        <w:t>矿石粒度为25-60mm，第二级为细碎，细碎后矿石粒径为12mm以下，细碎后的矿石进入筛分机筛分</w:t>
      </w:r>
      <w:r>
        <w:rPr>
          <w:rFonts w:hint="eastAsia" w:eastAsiaTheme="minorEastAsia"/>
          <w:color w:val="000000" w:themeColor="text1"/>
        </w:rPr>
        <w:t>（工艺设置1台筛分机，两级破碎后才进入筛分机）</w:t>
      </w:r>
      <w:r>
        <w:rPr>
          <w:rFonts w:eastAsiaTheme="minorEastAsia"/>
          <w:color w:val="000000" w:themeColor="text1"/>
        </w:rPr>
        <w:t>，筛分后不合格的再回到第二级破碎机进行细碎，合格的细矿进入钢板原矿仓，原有项目原矿石全部用作选矿。</w:t>
      </w:r>
    </w:p>
    <w:p>
      <w:pPr>
        <w:pStyle w:val="127"/>
        <w:rPr>
          <w:rFonts w:eastAsiaTheme="minorEastAsia"/>
          <w:color w:val="000000" w:themeColor="text1"/>
        </w:rPr>
      </w:pPr>
    </w:p>
    <w:p>
      <w:pPr>
        <w:pStyle w:val="127"/>
        <w:rPr>
          <w:rFonts w:eastAsiaTheme="minorEastAsia"/>
          <w:color w:val="000000" w:themeColor="text1"/>
        </w:rPr>
      </w:pPr>
      <w:r>
        <w:rPr>
          <w:rFonts w:eastAsiaTheme="minorEastAsia"/>
          <w:color w:val="000000" w:themeColor="text1"/>
        </w:rPr>
        <w:t>2、磨碎</w:t>
      </w:r>
    </w:p>
    <w:p>
      <w:pPr>
        <w:pStyle w:val="127"/>
        <w:rPr>
          <w:rFonts w:eastAsiaTheme="minorEastAsia"/>
          <w:color w:val="000000" w:themeColor="text1"/>
        </w:rPr>
      </w:pPr>
      <w:r>
        <w:rPr>
          <w:rFonts w:eastAsiaTheme="minorEastAsia"/>
          <w:color w:val="000000" w:themeColor="text1"/>
        </w:rPr>
        <w:t>原矿仓中的细矿经喂料机送入磨机，补充水从磨头加入，磨矿以后，细度为60%~70%至200目，出磨矿浆进入选矿工序。</w:t>
      </w:r>
    </w:p>
    <w:p>
      <w:pPr>
        <w:pStyle w:val="127"/>
        <w:rPr>
          <w:rFonts w:eastAsiaTheme="minorEastAsia"/>
          <w:color w:val="000000" w:themeColor="text1"/>
        </w:rPr>
      </w:pPr>
      <w:r>
        <w:rPr>
          <w:rFonts w:eastAsiaTheme="minorEastAsia"/>
          <w:color w:val="000000" w:themeColor="text1"/>
        </w:rPr>
        <w:t>3、浮选、磁选、重选作业</w:t>
      </w:r>
    </w:p>
    <w:p>
      <w:pPr>
        <w:pStyle w:val="127"/>
        <w:rPr>
          <w:rFonts w:eastAsiaTheme="minorEastAsia"/>
          <w:color w:val="000000" w:themeColor="text1"/>
        </w:rPr>
      </w:pPr>
      <w:r>
        <w:rPr>
          <w:rFonts w:eastAsiaTheme="minorEastAsia"/>
          <w:color w:val="000000" w:themeColor="text1"/>
        </w:rPr>
        <w:t>经过磨细的矿石进入浮选槽中浮选，在浮选槽中加入丁黄油和松油作为浮选剂。浮选出来的尾矿通过扫选选出铜矿，粗精矿再经过浮选选出铜矿，浮选出来的尾矿浆和扫选出来的尾矿浆进入弱磁粗选，粗选产生的尾矿浆通过螺旋槽后进入重选（摇床）工序，重选出铁精矿，重选和螺旋产生的尾矿进入沉淀池，弱磁粗选出来的低品位精矿再次经过粗选，粗选出铁精矿，弱磁粗选产生的尾矿也进入沉淀池。</w:t>
      </w:r>
    </w:p>
    <w:p>
      <w:pPr>
        <w:pStyle w:val="127"/>
        <w:ind w:left="480" w:leftChars="200" w:firstLine="0" w:firstLineChars="0"/>
        <w:rPr>
          <w:rFonts w:eastAsiaTheme="minorEastAsia"/>
          <w:color w:val="000000" w:themeColor="text1"/>
        </w:rPr>
      </w:pPr>
      <w:r>
        <w:rPr>
          <w:rFonts w:eastAsiaTheme="minorEastAsia"/>
          <w:color w:val="000000" w:themeColor="text1"/>
        </w:rPr>
        <w:t>4、精矿晾晒</w:t>
      </w:r>
    </w:p>
    <w:p>
      <w:pPr>
        <w:pStyle w:val="127"/>
        <w:rPr>
          <w:rFonts w:eastAsiaTheme="minorEastAsia"/>
          <w:color w:val="000000" w:themeColor="text1"/>
        </w:rPr>
      </w:pPr>
      <w:r>
        <w:rPr>
          <w:rFonts w:eastAsiaTheme="minorEastAsia"/>
          <w:color w:val="000000" w:themeColor="text1"/>
        </w:rPr>
        <w:t>产品铁精矿和铜精矿分别排入铁精矿池和铜精矿池，经晾晒干后，装车外运。</w:t>
      </w:r>
    </w:p>
    <w:p>
      <w:pPr>
        <w:ind w:firstLine="480"/>
        <w:rPr>
          <w:rFonts w:eastAsiaTheme="minorEastAsia"/>
          <w:color w:val="000000" w:themeColor="text1"/>
          <w:szCs w:val="24"/>
        </w:rPr>
      </w:pPr>
      <w:r>
        <w:rPr>
          <w:rFonts w:eastAsiaTheme="minorEastAsia"/>
          <w:color w:val="000000" w:themeColor="text1"/>
          <w:szCs w:val="24"/>
        </w:rPr>
        <w:t>流程图中污染源情况见表2.5-1。</w:t>
      </w:r>
    </w:p>
    <w:p>
      <w:pPr>
        <w:widowControl/>
        <w:ind w:firstLine="0" w:firstLineChars="0"/>
        <w:jc w:val="center"/>
        <w:rPr>
          <w:rFonts w:eastAsiaTheme="minorEastAsia"/>
          <w:color w:val="000000" w:themeColor="text1"/>
          <w:szCs w:val="24"/>
        </w:rPr>
      </w:pPr>
      <w:r>
        <w:rPr>
          <w:rFonts w:eastAsiaTheme="minorEastAsia"/>
          <w:b/>
          <w:color w:val="000000" w:themeColor="text1"/>
          <w:sz w:val="21"/>
          <w:szCs w:val="20"/>
        </w:rPr>
        <w:t>表2.5-1污染源情况表</w:t>
      </w:r>
    </w:p>
    <w:tbl>
      <w:tblPr>
        <w:tblStyle w:val="61"/>
        <w:tblW w:w="85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693"/>
        <w:gridCol w:w="2420"/>
        <w:gridCol w:w="2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编号</w:t>
            </w:r>
          </w:p>
        </w:tc>
        <w:tc>
          <w:tcPr>
            <w:tcW w:w="2693"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来源分析</w:t>
            </w:r>
          </w:p>
        </w:tc>
        <w:tc>
          <w:tcPr>
            <w:tcW w:w="2420"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现有</w:t>
            </w:r>
            <w:r>
              <w:rPr>
                <w:rFonts w:hint="eastAsia" w:eastAsiaTheme="minorEastAsia"/>
                <w:color w:val="000000" w:themeColor="text1"/>
                <w:sz w:val="21"/>
                <w:szCs w:val="21"/>
              </w:rPr>
              <w:t xml:space="preserve">污染控制措施 </w:t>
            </w:r>
          </w:p>
        </w:tc>
        <w:tc>
          <w:tcPr>
            <w:tcW w:w="2593"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2693"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原矿堆场粉尘</w:t>
            </w:r>
          </w:p>
        </w:tc>
        <w:tc>
          <w:tcPr>
            <w:tcW w:w="2420"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洒水降尘</w:t>
            </w:r>
          </w:p>
        </w:tc>
        <w:tc>
          <w:tcPr>
            <w:tcW w:w="2593"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2693"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破碎机口</w:t>
            </w:r>
            <w:r>
              <w:rPr>
                <w:rStyle w:val="73"/>
                <w:color w:val="000000" w:themeColor="text1"/>
                <w:kern w:val="0"/>
              </w:rPr>
              <w:t>粉</w:t>
            </w:r>
            <w:r>
              <w:rPr>
                <w:rFonts w:eastAsiaTheme="minorEastAsia"/>
                <w:color w:val="000000" w:themeColor="text1"/>
                <w:sz w:val="21"/>
                <w:szCs w:val="21"/>
              </w:rPr>
              <w:t>尘</w:t>
            </w:r>
          </w:p>
        </w:tc>
        <w:tc>
          <w:tcPr>
            <w:tcW w:w="2420"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喷雾除尘</w:t>
            </w:r>
          </w:p>
        </w:tc>
        <w:tc>
          <w:tcPr>
            <w:tcW w:w="2593"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2693"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破碎机噪声</w:t>
            </w:r>
          </w:p>
        </w:tc>
        <w:tc>
          <w:tcPr>
            <w:tcW w:w="2420" w:type="dxa"/>
            <w:vMerge w:val="restart"/>
            <w:shd w:val="clear" w:color="auto" w:fill="auto"/>
            <w:vAlign w:val="center"/>
          </w:tcPr>
          <w:p>
            <w:pPr>
              <w:ind w:firstLine="0" w:firstLineChars="0"/>
              <w:jc w:val="center"/>
              <w:rPr>
                <w:rFonts w:eastAsiaTheme="minorEastAsia"/>
                <w:color w:val="000000" w:themeColor="text1"/>
                <w:sz w:val="21"/>
                <w:szCs w:val="21"/>
              </w:rPr>
            </w:pPr>
          </w:p>
          <w:p>
            <w:pPr>
              <w:ind w:firstLine="0" w:firstLineChars="0"/>
              <w:jc w:val="center"/>
              <w:rPr>
                <w:rFonts w:eastAsiaTheme="minorEastAsia"/>
                <w:color w:val="000000" w:themeColor="text1"/>
                <w:sz w:val="21"/>
                <w:szCs w:val="21"/>
              </w:rPr>
            </w:pPr>
          </w:p>
          <w:p>
            <w:pPr>
              <w:ind w:firstLine="0" w:firstLineChars="0"/>
              <w:jc w:val="center"/>
              <w:rPr>
                <w:rFonts w:eastAsiaTheme="minorEastAsia"/>
                <w:color w:val="000000" w:themeColor="text1"/>
                <w:sz w:val="21"/>
                <w:szCs w:val="21"/>
              </w:rPr>
            </w:pPr>
            <w:r>
              <w:rPr>
                <w:rFonts w:eastAsiaTheme="minorEastAsia"/>
                <w:color w:val="000000" w:themeColor="text1"/>
                <w:sz w:val="21"/>
                <w:szCs w:val="21"/>
              </w:rPr>
              <w:t>设备减震、</w:t>
            </w:r>
            <w:r>
              <w:rPr>
                <w:rFonts w:hint="eastAsia" w:eastAsiaTheme="minorEastAsia"/>
                <w:color w:val="000000" w:themeColor="text1"/>
                <w:sz w:val="21"/>
                <w:szCs w:val="21"/>
              </w:rPr>
              <w:t>车间墙体隔声</w:t>
            </w:r>
          </w:p>
          <w:p>
            <w:pPr>
              <w:ind w:firstLine="0" w:firstLineChars="0"/>
              <w:jc w:val="center"/>
              <w:rPr>
                <w:rFonts w:eastAsiaTheme="minorEastAsia"/>
                <w:color w:val="000000" w:themeColor="text1"/>
                <w:sz w:val="21"/>
                <w:szCs w:val="21"/>
              </w:rPr>
            </w:pPr>
          </w:p>
        </w:tc>
        <w:tc>
          <w:tcPr>
            <w:tcW w:w="2593"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4</w:t>
            </w:r>
          </w:p>
        </w:tc>
        <w:tc>
          <w:tcPr>
            <w:tcW w:w="2693"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球磨机噪声</w:t>
            </w:r>
          </w:p>
        </w:tc>
        <w:tc>
          <w:tcPr>
            <w:tcW w:w="2420" w:type="dxa"/>
            <w:vMerge w:val="continue"/>
            <w:shd w:val="clear" w:color="auto" w:fill="auto"/>
            <w:vAlign w:val="center"/>
          </w:tcPr>
          <w:p>
            <w:pPr>
              <w:ind w:firstLine="0" w:firstLineChars="0"/>
              <w:jc w:val="center"/>
              <w:rPr>
                <w:rFonts w:eastAsiaTheme="minorEastAsia"/>
                <w:color w:val="000000" w:themeColor="text1"/>
                <w:sz w:val="21"/>
                <w:szCs w:val="21"/>
              </w:rPr>
            </w:pPr>
          </w:p>
        </w:tc>
        <w:tc>
          <w:tcPr>
            <w:tcW w:w="2593"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5</w:t>
            </w:r>
          </w:p>
        </w:tc>
        <w:tc>
          <w:tcPr>
            <w:tcW w:w="2693"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永磁磁选机噪声</w:t>
            </w:r>
          </w:p>
        </w:tc>
        <w:tc>
          <w:tcPr>
            <w:tcW w:w="2420" w:type="dxa"/>
            <w:vMerge w:val="continue"/>
            <w:shd w:val="clear" w:color="auto" w:fill="auto"/>
            <w:vAlign w:val="center"/>
          </w:tcPr>
          <w:p>
            <w:pPr>
              <w:ind w:firstLine="0" w:firstLineChars="0"/>
              <w:jc w:val="center"/>
              <w:rPr>
                <w:rFonts w:eastAsiaTheme="minorEastAsia"/>
                <w:color w:val="000000" w:themeColor="text1"/>
                <w:sz w:val="21"/>
                <w:szCs w:val="21"/>
              </w:rPr>
            </w:pPr>
          </w:p>
        </w:tc>
        <w:tc>
          <w:tcPr>
            <w:tcW w:w="2593"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6</w:t>
            </w:r>
          </w:p>
        </w:tc>
        <w:tc>
          <w:tcPr>
            <w:tcW w:w="2693"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螺旋溜槽噪声</w:t>
            </w:r>
          </w:p>
        </w:tc>
        <w:tc>
          <w:tcPr>
            <w:tcW w:w="2420" w:type="dxa"/>
            <w:vMerge w:val="continue"/>
            <w:shd w:val="clear" w:color="auto" w:fill="auto"/>
            <w:vAlign w:val="center"/>
          </w:tcPr>
          <w:p>
            <w:pPr>
              <w:ind w:firstLine="0" w:firstLineChars="0"/>
              <w:jc w:val="center"/>
              <w:rPr>
                <w:rFonts w:eastAsiaTheme="minorEastAsia"/>
                <w:color w:val="000000" w:themeColor="text1"/>
                <w:sz w:val="21"/>
                <w:szCs w:val="21"/>
              </w:rPr>
            </w:pPr>
          </w:p>
        </w:tc>
        <w:tc>
          <w:tcPr>
            <w:tcW w:w="2593"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7</w:t>
            </w:r>
          </w:p>
        </w:tc>
        <w:tc>
          <w:tcPr>
            <w:tcW w:w="2693"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细振筛噪声</w:t>
            </w:r>
          </w:p>
        </w:tc>
        <w:tc>
          <w:tcPr>
            <w:tcW w:w="2420" w:type="dxa"/>
            <w:vMerge w:val="continue"/>
            <w:shd w:val="clear" w:color="auto" w:fill="auto"/>
            <w:vAlign w:val="center"/>
          </w:tcPr>
          <w:p>
            <w:pPr>
              <w:ind w:firstLine="0" w:firstLineChars="0"/>
              <w:jc w:val="center"/>
              <w:rPr>
                <w:rFonts w:eastAsiaTheme="minorEastAsia"/>
                <w:color w:val="000000" w:themeColor="text1"/>
                <w:sz w:val="21"/>
                <w:szCs w:val="21"/>
              </w:rPr>
            </w:pPr>
          </w:p>
        </w:tc>
        <w:tc>
          <w:tcPr>
            <w:tcW w:w="2593"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8</w:t>
            </w:r>
          </w:p>
        </w:tc>
        <w:tc>
          <w:tcPr>
            <w:tcW w:w="2693"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摇床重选噪声</w:t>
            </w:r>
          </w:p>
        </w:tc>
        <w:tc>
          <w:tcPr>
            <w:tcW w:w="2420" w:type="dxa"/>
            <w:vMerge w:val="continue"/>
            <w:shd w:val="clear" w:color="auto" w:fill="auto"/>
            <w:vAlign w:val="center"/>
          </w:tcPr>
          <w:p>
            <w:pPr>
              <w:ind w:firstLine="0" w:firstLineChars="0"/>
              <w:jc w:val="center"/>
              <w:rPr>
                <w:rFonts w:eastAsiaTheme="minorEastAsia"/>
                <w:color w:val="000000" w:themeColor="text1"/>
                <w:sz w:val="21"/>
                <w:szCs w:val="21"/>
              </w:rPr>
            </w:pPr>
          </w:p>
        </w:tc>
        <w:tc>
          <w:tcPr>
            <w:tcW w:w="2593"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9</w:t>
            </w:r>
          </w:p>
        </w:tc>
        <w:tc>
          <w:tcPr>
            <w:tcW w:w="2693"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浮选槽噪声</w:t>
            </w:r>
          </w:p>
        </w:tc>
        <w:tc>
          <w:tcPr>
            <w:tcW w:w="2420" w:type="dxa"/>
            <w:vMerge w:val="continue"/>
            <w:shd w:val="clear" w:color="auto" w:fill="auto"/>
            <w:vAlign w:val="center"/>
          </w:tcPr>
          <w:p>
            <w:pPr>
              <w:ind w:firstLine="0" w:firstLineChars="0"/>
              <w:jc w:val="center"/>
              <w:rPr>
                <w:rFonts w:eastAsiaTheme="minorEastAsia"/>
                <w:color w:val="000000" w:themeColor="text1"/>
                <w:sz w:val="21"/>
                <w:szCs w:val="21"/>
              </w:rPr>
            </w:pPr>
          </w:p>
        </w:tc>
        <w:tc>
          <w:tcPr>
            <w:tcW w:w="2593"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2693"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尾矿废水</w:t>
            </w:r>
          </w:p>
        </w:tc>
        <w:tc>
          <w:tcPr>
            <w:tcW w:w="2420"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2593"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沉淀池沉淀后回用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17"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11</w:t>
            </w:r>
          </w:p>
        </w:tc>
        <w:tc>
          <w:tcPr>
            <w:tcW w:w="2693"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尾矿渣</w:t>
            </w:r>
          </w:p>
        </w:tc>
        <w:tc>
          <w:tcPr>
            <w:tcW w:w="2420" w:type="dxa"/>
            <w:shd w:val="clear" w:color="auto" w:fill="auto"/>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储存于尾矿库内</w:t>
            </w:r>
          </w:p>
        </w:tc>
        <w:tc>
          <w:tcPr>
            <w:tcW w:w="2593" w:type="dxa"/>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辣子箐尾矿库</w:t>
            </w:r>
          </w:p>
        </w:tc>
      </w:tr>
    </w:tbl>
    <w:p>
      <w:pPr>
        <w:pStyle w:val="574"/>
        <w:spacing w:beforeLines="0" w:afterLines="0"/>
        <w:rPr>
          <w:rFonts w:eastAsiaTheme="minorEastAsia"/>
          <w:color w:val="000000" w:themeColor="text1"/>
          <w:sz w:val="30"/>
          <w:szCs w:val="30"/>
        </w:rPr>
      </w:pPr>
      <w:bookmarkStart w:id="417" w:name="_Toc23538"/>
      <w:bookmarkStart w:id="418" w:name="_Toc375724423"/>
      <w:r>
        <w:rPr>
          <w:rFonts w:eastAsiaTheme="minorEastAsia"/>
          <w:color w:val="000000" w:themeColor="text1"/>
          <w:sz w:val="30"/>
          <w:szCs w:val="30"/>
        </w:rPr>
        <w:t>2.6辣子箐尾矿库</w:t>
      </w:r>
      <w:bookmarkEnd w:id="417"/>
    </w:p>
    <w:p>
      <w:pPr>
        <w:ind w:firstLine="480"/>
        <w:rPr>
          <w:rFonts w:eastAsiaTheme="minorEastAsia"/>
          <w:color w:val="000000" w:themeColor="text1"/>
          <w:szCs w:val="24"/>
        </w:rPr>
      </w:pPr>
      <w:r>
        <w:rPr>
          <w:rFonts w:eastAsiaTheme="minorEastAsia"/>
          <w:color w:val="000000" w:themeColor="text1"/>
          <w:szCs w:val="24"/>
        </w:rPr>
        <w:t>原项目尾矿库名为辣子箐尾矿库，距离选厂500m。为昆明勘查设计研究院进行初步设计，2005年5月，原新平锦茂工贸有限公司委托玉溪市环境科学研究所编制了《新平锦茂公司东磨选厂尾矿库新建项目环境影响报告表》，并于2005年8月10日取得原新平县环保局对《新平锦茂公司东磨选厂尾矿库环境影响报告表》的审批意见。2007年10月由云南巨星安全技术有限公司编制了安全验收评价报告，并通过了安全验收。2011年12月，原新平锦茂工贸有限公司委托玉溪市环境监测站编制了《新平锦茂公司东磨选厂尾矿库新建项目竣工环境保护验收监测表》，并通过原新平县环保局验收。2017年由云南振杰科技有限公司编制了安全现状评价报告，报告明确该辣子箐尾矿库符合安全生产条件。</w:t>
      </w:r>
    </w:p>
    <w:p>
      <w:pPr>
        <w:ind w:firstLine="480"/>
        <w:rPr>
          <w:rFonts w:eastAsiaTheme="minorEastAsia"/>
          <w:color w:val="000000" w:themeColor="text1"/>
          <w:szCs w:val="24"/>
        </w:rPr>
      </w:pPr>
      <w:r>
        <w:rPr>
          <w:rFonts w:eastAsiaTheme="minorEastAsia"/>
          <w:color w:val="000000" w:themeColor="text1"/>
          <w:szCs w:val="24"/>
        </w:rPr>
        <w:t>由于辣子箐尾矿库剩余库容不多，本次技改项目</w:t>
      </w:r>
      <w:r>
        <w:rPr>
          <w:rStyle w:val="73"/>
          <w:rFonts w:hint="eastAsia"/>
          <w:color w:val="000000" w:themeColor="text1"/>
          <w:kern w:val="0"/>
          <w:sz w:val="24"/>
          <w:szCs w:val="24"/>
        </w:rPr>
        <w:t>再选尾矿</w:t>
      </w:r>
      <w:r>
        <w:rPr>
          <w:rFonts w:eastAsiaTheme="minorEastAsia"/>
          <w:color w:val="000000" w:themeColor="text1"/>
          <w:szCs w:val="24"/>
        </w:rPr>
        <w:t>不使用该尾矿库，辣子箐尾矿库暂不闭库，建设单位后期还要对该尾矿库尾矿进行再选，但不包括本项目评价范围内。</w:t>
      </w:r>
    </w:p>
    <w:p>
      <w:pPr>
        <w:pStyle w:val="6"/>
        <w:spacing w:beforeLines="0" w:afterLines="0"/>
        <w:rPr>
          <w:rFonts w:eastAsiaTheme="minorEastAsia"/>
          <w:color w:val="000000" w:themeColor="text1"/>
          <w:sz w:val="28"/>
          <w:szCs w:val="28"/>
        </w:rPr>
      </w:pPr>
      <w:bookmarkStart w:id="419" w:name="_Toc16570"/>
      <w:r>
        <w:rPr>
          <w:rFonts w:eastAsiaTheme="minorEastAsia"/>
          <w:color w:val="000000" w:themeColor="text1"/>
          <w:sz w:val="28"/>
          <w:szCs w:val="28"/>
        </w:rPr>
        <w:t>2.6.1辣子箐尾矿库主要技术指标</w:t>
      </w:r>
      <w:bookmarkEnd w:id="419"/>
    </w:p>
    <w:p>
      <w:pPr>
        <w:pStyle w:val="78"/>
        <w:ind w:firstLine="480"/>
        <w:rPr>
          <w:rFonts w:eastAsiaTheme="minorEastAsia"/>
          <w:color w:val="000000" w:themeColor="text1"/>
          <w:szCs w:val="24"/>
        </w:rPr>
      </w:pPr>
      <w:r>
        <w:rPr>
          <w:rFonts w:eastAsiaTheme="minorEastAsia"/>
          <w:color w:val="000000" w:themeColor="text1"/>
          <w:szCs w:val="24"/>
        </w:rPr>
        <w:t>尾矿库占地约60亩，有效库容44.95万m</w:t>
      </w:r>
      <w:r>
        <w:rPr>
          <w:rFonts w:eastAsiaTheme="minorEastAsia"/>
          <w:color w:val="000000" w:themeColor="text1"/>
          <w:szCs w:val="24"/>
          <w:vertAlign w:val="superscript"/>
        </w:rPr>
        <w:t>3</w:t>
      </w:r>
      <w:r>
        <w:rPr>
          <w:rFonts w:eastAsiaTheme="minorEastAsia"/>
          <w:color w:val="000000" w:themeColor="text1"/>
          <w:szCs w:val="24"/>
        </w:rPr>
        <w:t>，服务年限7.0年；</w:t>
      </w:r>
    </w:p>
    <w:p>
      <w:pPr>
        <w:pStyle w:val="78"/>
        <w:ind w:firstLine="480"/>
        <w:rPr>
          <w:rFonts w:eastAsiaTheme="minorEastAsia"/>
          <w:color w:val="000000" w:themeColor="text1"/>
          <w:szCs w:val="24"/>
        </w:rPr>
      </w:pPr>
      <w:r>
        <w:rPr>
          <w:rFonts w:eastAsiaTheme="minorEastAsia"/>
          <w:color w:val="000000" w:themeColor="text1"/>
          <w:szCs w:val="24"/>
        </w:rPr>
        <w:t>库区汇雨面积3.68km</w:t>
      </w:r>
      <w:r>
        <w:rPr>
          <w:rFonts w:eastAsiaTheme="minorEastAsia"/>
          <w:color w:val="000000" w:themeColor="text1"/>
          <w:szCs w:val="24"/>
          <w:vertAlign w:val="superscript"/>
        </w:rPr>
        <w:t>2</w:t>
      </w:r>
      <w:r>
        <w:rPr>
          <w:rFonts w:eastAsiaTheme="minorEastAsia"/>
          <w:color w:val="000000" w:themeColor="text1"/>
          <w:szCs w:val="24"/>
        </w:rPr>
        <w:t>，防洪标准按200年一遇校核；</w:t>
      </w:r>
    </w:p>
    <w:p>
      <w:pPr>
        <w:pStyle w:val="78"/>
        <w:ind w:firstLine="480"/>
        <w:rPr>
          <w:rFonts w:eastAsiaTheme="minorEastAsia"/>
          <w:color w:val="000000" w:themeColor="text1"/>
          <w:szCs w:val="24"/>
        </w:rPr>
      </w:pPr>
      <w:r>
        <w:rPr>
          <w:rFonts w:eastAsiaTheme="minorEastAsia"/>
          <w:color w:val="000000" w:themeColor="text1"/>
          <w:szCs w:val="24"/>
        </w:rPr>
        <w:t>初期坝坝型为碾压堆石坝，坝高18.0m（含清基l.0m），坝轴线长66.4m；</w:t>
      </w:r>
    </w:p>
    <w:p>
      <w:pPr>
        <w:pStyle w:val="78"/>
        <w:ind w:firstLine="480"/>
        <w:rPr>
          <w:rFonts w:eastAsiaTheme="minorEastAsia"/>
          <w:color w:val="000000" w:themeColor="text1"/>
          <w:szCs w:val="24"/>
        </w:rPr>
      </w:pPr>
      <w:r>
        <w:rPr>
          <w:rFonts w:eastAsiaTheme="minorEastAsia"/>
          <w:color w:val="000000" w:themeColor="text1"/>
          <w:szCs w:val="24"/>
        </w:rPr>
        <w:t>尾矿库最终坝高53.0m；</w:t>
      </w:r>
    </w:p>
    <w:p>
      <w:pPr>
        <w:pStyle w:val="78"/>
        <w:ind w:firstLine="480"/>
        <w:rPr>
          <w:rFonts w:eastAsiaTheme="minorEastAsia"/>
          <w:color w:val="000000" w:themeColor="text1"/>
          <w:szCs w:val="24"/>
        </w:rPr>
      </w:pPr>
      <w:r>
        <w:rPr>
          <w:rFonts w:eastAsiaTheme="minorEastAsia"/>
          <w:color w:val="000000" w:themeColor="text1"/>
          <w:szCs w:val="24"/>
        </w:rPr>
        <w:t>排洪方式为库区右岸单边截洪沟排洪，库内采用排水斜槽－排水管排洪：</w:t>
      </w:r>
    </w:p>
    <w:p>
      <w:pPr>
        <w:pStyle w:val="78"/>
        <w:ind w:firstLine="480"/>
        <w:rPr>
          <w:rFonts w:eastAsiaTheme="minorEastAsia"/>
          <w:color w:val="000000" w:themeColor="text1"/>
          <w:szCs w:val="24"/>
        </w:rPr>
      </w:pPr>
      <w:r>
        <w:rPr>
          <w:rFonts w:eastAsiaTheme="minorEastAsia"/>
          <w:color w:val="000000" w:themeColor="text1"/>
          <w:szCs w:val="24"/>
        </w:rPr>
        <w:t>尾矿压力扬送至尾矿库堆存，尾矿澄清水返回选厂循环使用。</w:t>
      </w:r>
    </w:p>
    <w:p>
      <w:pPr>
        <w:pStyle w:val="6"/>
        <w:spacing w:beforeLines="0" w:afterLines="0"/>
        <w:rPr>
          <w:rFonts w:eastAsiaTheme="minorEastAsia"/>
          <w:color w:val="000000" w:themeColor="text1"/>
          <w:sz w:val="28"/>
          <w:szCs w:val="28"/>
        </w:rPr>
      </w:pPr>
      <w:bookmarkStart w:id="420" w:name="_Toc21942"/>
      <w:r>
        <w:rPr>
          <w:rFonts w:eastAsiaTheme="minorEastAsia"/>
          <w:color w:val="000000" w:themeColor="text1"/>
          <w:sz w:val="28"/>
          <w:szCs w:val="28"/>
        </w:rPr>
        <w:t>2.6.2尾矿输送系统</w:t>
      </w:r>
      <w:bookmarkEnd w:id="420"/>
    </w:p>
    <w:p>
      <w:pPr>
        <w:pStyle w:val="78"/>
        <w:ind w:firstLine="480"/>
        <w:rPr>
          <w:rFonts w:eastAsiaTheme="minorEastAsia"/>
          <w:color w:val="000000" w:themeColor="text1"/>
          <w:szCs w:val="24"/>
        </w:rPr>
      </w:pPr>
      <w:r>
        <w:rPr>
          <w:rFonts w:eastAsiaTheme="minorEastAsia"/>
          <w:color w:val="000000" w:themeColor="text1"/>
          <w:szCs w:val="24"/>
        </w:rPr>
        <w:t>采用渣浆泵一管道压力输送，输送管道采用HDPE（高密度聚乙烯）管。管道平均水力坡降为0.028。矿浆重量浓度P=30%时，矿浆容重为1.25×9.81KN/m</w:t>
      </w:r>
      <w:r>
        <w:rPr>
          <w:rFonts w:eastAsiaTheme="minorEastAsia"/>
          <w:color w:val="000000" w:themeColor="text1"/>
          <w:szCs w:val="24"/>
          <w:vertAlign w:val="superscript"/>
        </w:rPr>
        <w:t>3</w:t>
      </w:r>
      <w:r>
        <w:rPr>
          <w:rFonts w:eastAsiaTheme="minorEastAsia"/>
          <w:color w:val="000000" w:themeColor="text1"/>
          <w:szCs w:val="24"/>
        </w:rPr>
        <w:t>，渣浆流量为33.52m</w:t>
      </w:r>
      <w:r>
        <w:rPr>
          <w:rFonts w:eastAsiaTheme="minorEastAsia"/>
          <w:color w:val="000000" w:themeColor="text1"/>
          <w:szCs w:val="24"/>
          <w:vertAlign w:val="superscript"/>
        </w:rPr>
        <w:t>3</w:t>
      </w:r>
      <w:r>
        <w:rPr>
          <w:rFonts w:eastAsiaTheme="minorEastAsia"/>
          <w:color w:val="000000" w:themeColor="text1"/>
          <w:szCs w:val="24"/>
        </w:rPr>
        <w:t>/h（9.31/s）。输送线路分为二级泵送，一级泵送从选厂送至坝下泵站，几何高差为30m；二级泵送从坝下泵站送至库区最高点，最大几何高差为60m。尾矿输送及回水流程工艺见图2.6-1所示。</w:t>
      </w:r>
    </w:p>
    <w:p>
      <w:pPr>
        <w:pStyle w:val="78"/>
        <w:ind w:firstLine="480"/>
        <w:jc w:val="center"/>
        <w:rPr>
          <w:rFonts w:eastAsiaTheme="minorEastAsia"/>
          <w:color w:val="000000" w:themeColor="text1"/>
          <w:szCs w:val="24"/>
        </w:rPr>
      </w:pPr>
      <w:r>
        <w:rPr>
          <w:rFonts w:eastAsiaTheme="minorEastAsia"/>
          <w:color w:val="000000" w:themeColor="text1"/>
          <w:szCs w:val="24"/>
        </w:rPr>
        <w:object>
          <v:shape id="_x0000_i1027" o:spt="75" type="#_x0000_t75" style="height:311.25pt;width:106.5pt;" o:ole="t" filled="f" o:preferrelative="t" stroked="f" coordsize="21600,21600">
            <v:path/>
            <v:fill on="f" focussize="0,0"/>
            <v:stroke on="f" joinstyle="miter"/>
            <v:imagedata r:id="rId37" o:title=""/>
            <o:lock v:ext="edit" aspectratio="f"/>
            <w10:wrap type="none"/>
            <w10:anchorlock/>
          </v:shape>
          <o:OLEObject Type="Embed" ProgID="Visio.Drawing.11" ShapeID="_x0000_i1027" DrawAspect="Content" ObjectID="_1468075726" r:id="rId36">
            <o:LockedField>false</o:LockedField>
          </o:OLEObject>
        </w:objec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图2.6-1尾矿输送及回水流程工艺图</w:t>
      </w:r>
    </w:p>
    <w:p>
      <w:pPr>
        <w:pStyle w:val="6"/>
        <w:spacing w:beforeLines="0" w:afterLines="0"/>
        <w:rPr>
          <w:rFonts w:eastAsiaTheme="minorEastAsia"/>
          <w:color w:val="000000" w:themeColor="text1"/>
          <w:sz w:val="28"/>
          <w:szCs w:val="28"/>
        </w:rPr>
      </w:pPr>
      <w:bookmarkStart w:id="421" w:name="_Toc7353"/>
      <w:r>
        <w:rPr>
          <w:rFonts w:eastAsiaTheme="minorEastAsia"/>
          <w:color w:val="000000" w:themeColor="text1"/>
          <w:sz w:val="28"/>
          <w:szCs w:val="28"/>
        </w:rPr>
        <w:t>2.6.3辣子箐尾矿库初期坝及堆坝</w:t>
      </w:r>
      <w:bookmarkEnd w:id="421"/>
    </w:p>
    <w:p>
      <w:pPr>
        <w:pStyle w:val="78"/>
        <w:ind w:firstLine="480"/>
        <w:rPr>
          <w:rFonts w:eastAsiaTheme="minorEastAsia"/>
          <w:color w:val="000000" w:themeColor="text1"/>
          <w:szCs w:val="24"/>
        </w:rPr>
      </w:pPr>
      <w:r>
        <w:rPr>
          <w:rFonts w:eastAsiaTheme="minorEastAsia"/>
          <w:color w:val="000000" w:themeColor="text1"/>
          <w:szCs w:val="24"/>
        </w:rPr>
        <w:t>1、初期坝</w:t>
      </w:r>
    </w:p>
    <w:p>
      <w:pPr>
        <w:pStyle w:val="78"/>
        <w:ind w:firstLine="480"/>
        <w:jc w:val="both"/>
        <w:rPr>
          <w:rFonts w:eastAsiaTheme="minorEastAsia"/>
          <w:color w:val="000000" w:themeColor="text1"/>
          <w:szCs w:val="24"/>
        </w:rPr>
      </w:pPr>
      <w:r>
        <w:rPr>
          <w:rFonts w:eastAsiaTheme="minorEastAsia"/>
          <w:color w:val="000000" w:themeColor="text1"/>
          <w:szCs w:val="24"/>
        </w:rPr>
        <w:t>该尾矿库设计初期坝为碾压堆石坝，坝顶标高615m，底部标高597m，初期坝高18m，坝轴线长66.4m，坝顶宽3m，外坡比l:2.0，内坡比1:1.75，坝上游设置反滤层；现状初期坝坝顶标高615m，底部标高597m，初期坝高18m，坝轴线长71m，坝顶宽3m，外坡比l:2.0，内坡比1:1.75。现状坝体整体质量较好，无开裂、明塌等现象。</w:t>
      </w:r>
    </w:p>
    <w:p>
      <w:pPr>
        <w:pStyle w:val="78"/>
        <w:ind w:firstLine="480"/>
        <w:jc w:val="both"/>
        <w:rPr>
          <w:rFonts w:eastAsiaTheme="minorEastAsia"/>
          <w:color w:val="000000" w:themeColor="text1"/>
          <w:szCs w:val="24"/>
        </w:rPr>
      </w:pPr>
      <w:r>
        <w:rPr>
          <w:rFonts w:eastAsiaTheme="minorEastAsia"/>
          <w:color w:val="000000" w:themeColor="text1"/>
          <w:szCs w:val="24"/>
        </w:rPr>
        <w:t>2、尾矿堆坝</w:t>
      </w:r>
    </w:p>
    <w:p>
      <w:pPr>
        <w:pStyle w:val="78"/>
        <w:ind w:firstLine="480"/>
        <w:jc w:val="both"/>
        <w:rPr>
          <w:rFonts w:eastAsiaTheme="minorEastAsia"/>
          <w:color w:val="000000" w:themeColor="text1"/>
          <w:szCs w:val="24"/>
        </w:rPr>
      </w:pPr>
      <w:r>
        <w:rPr>
          <w:rFonts w:eastAsiaTheme="minorEastAsia"/>
          <w:color w:val="000000" w:themeColor="text1"/>
          <w:szCs w:val="24"/>
        </w:rPr>
        <w:t>该尾矿库设计尾矿堆坝坝顶标高650m，底标高615m，堆坝高35m，子坝上、下游坡比分别为1:1和1:3，高度为1.5m，顶宽1m。现状尾矿堆坝底标高为615m，顶标高为647m，共15级子坝，总高32m，顶宽约2m。</w:t>
      </w:r>
    </w:p>
    <w:p>
      <w:pPr>
        <w:pStyle w:val="6"/>
        <w:spacing w:beforeLines="0" w:afterLines="0"/>
        <w:rPr>
          <w:rFonts w:eastAsiaTheme="minorEastAsia"/>
          <w:color w:val="000000" w:themeColor="text1"/>
          <w:sz w:val="28"/>
          <w:szCs w:val="28"/>
        </w:rPr>
      </w:pPr>
      <w:bookmarkStart w:id="422" w:name="_Toc1532"/>
      <w:r>
        <w:rPr>
          <w:rFonts w:eastAsiaTheme="minorEastAsia"/>
          <w:color w:val="000000" w:themeColor="text1"/>
          <w:sz w:val="28"/>
          <w:szCs w:val="28"/>
        </w:rPr>
        <w:t>2.6.4排洪设施</w:t>
      </w:r>
      <w:bookmarkEnd w:id="422"/>
    </w:p>
    <w:p>
      <w:pPr>
        <w:ind w:firstLine="480"/>
        <w:rPr>
          <w:color w:val="000000" w:themeColor="text1"/>
        </w:rPr>
      </w:pPr>
      <w:r>
        <w:rPr>
          <w:color w:val="000000" w:themeColor="text1"/>
        </w:rPr>
        <w:t>1、库区单边截洪沟</w:t>
      </w:r>
    </w:p>
    <w:p>
      <w:pPr>
        <w:ind w:firstLine="480"/>
        <w:rPr>
          <w:color w:val="000000" w:themeColor="text1"/>
        </w:rPr>
      </w:pPr>
      <w:r>
        <w:rPr>
          <w:color w:val="000000" w:themeColor="text1"/>
        </w:rPr>
        <w:t>单边截洪沟的净断面尺寸b×h=l.4×2.0m。由库区右岸尾部沿山坡开挖，按纵坡i=2.0%修筑，过水净断面为1.4×1.7m，设计流量12.40m</w:t>
      </w:r>
      <w:r>
        <w:rPr>
          <w:color w:val="000000" w:themeColor="text1"/>
          <w:vertAlign w:val="superscript"/>
        </w:rPr>
        <w:t>3</w:t>
      </w:r>
      <w:r>
        <w:rPr>
          <w:color w:val="000000" w:themeColor="text1"/>
        </w:rPr>
        <w:t>/s，截洪沟为M7.5砂浆砌MU30毛石。</w:t>
      </w:r>
    </w:p>
    <w:p>
      <w:pPr>
        <w:ind w:left="480" w:leftChars="200" w:firstLine="0" w:firstLineChars="0"/>
        <w:rPr>
          <w:color w:val="000000" w:themeColor="text1"/>
        </w:rPr>
      </w:pPr>
      <w:r>
        <w:rPr>
          <w:color w:val="000000" w:themeColor="text1"/>
        </w:rPr>
        <w:t>2、库内排水管</w:t>
      </w:r>
    </w:p>
    <w:p>
      <w:pPr>
        <w:ind w:firstLine="480"/>
        <w:rPr>
          <w:color w:val="000000" w:themeColor="text1"/>
        </w:rPr>
      </w:pPr>
      <w:r>
        <w:rPr>
          <w:color w:val="000000" w:themeColor="text1"/>
        </w:rPr>
        <w:t>入库的雨季洪水和超过设计水位的尾矿澄清水，由设置在库内的排水斜槽排水管系统排泄，排水斜槽最高进水口设置在650.00m处。排水斜槽为C20钢筋砼，断面尺寸b×h=l.0×1.2m，排水管尺寸1.0×0.2m，材料为C20钢筋砼。</w:t>
      </w:r>
    </w:p>
    <w:p>
      <w:pPr>
        <w:pStyle w:val="6"/>
        <w:spacing w:beforeLines="0" w:afterLines="0"/>
        <w:rPr>
          <w:rFonts w:eastAsiaTheme="minorEastAsia"/>
          <w:color w:val="000000" w:themeColor="text1"/>
          <w:sz w:val="28"/>
          <w:szCs w:val="28"/>
        </w:rPr>
      </w:pPr>
      <w:bookmarkStart w:id="423" w:name="_Toc24253"/>
      <w:r>
        <w:rPr>
          <w:rFonts w:eastAsiaTheme="minorEastAsia"/>
          <w:color w:val="000000" w:themeColor="text1"/>
          <w:sz w:val="28"/>
          <w:szCs w:val="28"/>
        </w:rPr>
        <w:t>2.6.5回水池</w:t>
      </w:r>
      <w:bookmarkEnd w:id="423"/>
    </w:p>
    <w:p>
      <w:pPr>
        <w:ind w:firstLine="480"/>
        <w:rPr>
          <w:color w:val="000000" w:themeColor="text1"/>
        </w:rPr>
      </w:pPr>
      <w:r>
        <w:rPr>
          <w:color w:val="000000" w:themeColor="text1"/>
        </w:rPr>
        <w:t>回水池为M7.5，Mu30浆砌毛石结构，净尺寸为b×L×h=3×5×2.5m，容积为30m</w:t>
      </w:r>
      <w:r>
        <w:rPr>
          <w:color w:val="000000" w:themeColor="text1"/>
          <w:vertAlign w:val="superscript"/>
        </w:rPr>
        <w:t>3</w:t>
      </w:r>
      <w:r>
        <w:rPr>
          <w:color w:val="000000" w:themeColor="text1"/>
        </w:rPr>
        <w:t>，回水池底标高为594.0m。</w:t>
      </w:r>
    </w:p>
    <w:p>
      <w:pPr>
        <w:pStyle w:val="574"/>
        <w:spacing w:beforeLines="0" w:afterLines="0"/>
        <w:rPr>
          <w:rFonts w:eastAsiaTheme="minorEastAsia"/>
          <w:color w:val="000000" w:themeColor="text1"/>
          <w:sz w:val="30"/>
          <w:szCs w:val="30"/>
        </w:rPr>
      </w:pPr>
      <w:bookmarkStart w:id="424" w:name="_Toc26766"/>
      <w:r>
        <w:rPr>
          <w:rFonts w:eastAsiaTheme="minorEastAsia"/>
          <w:color w:val="000000" w:themeColor="text1"/>
          <w:sz w:val="30"/>
          <w:szCs w:val="30"/>
        </w:rPr>
        <w:t>2.7</w:t>
      </w:r>
      <w:bookmarkEnd w:id="418"/>
      <w:r>
        <w:rPr>
          <w:rFonts w:hint="eastAsia" w:eastAsiaTheme="minorEastAsia"/>
          <w:color w:val="000000" w:themeColor="text1"/>
          <w:sz w:val="30"/>
          <w:szCs w:val="30"/>
        </w:rPr>
        <w:t>水量平衡分析</w:t>
      </w:r>
      <w:bookmarkEnd w:id="424"/>
    </w:p>
    <w:p>
      <w:pPr>
        <w:pStyle w:val="6"/>
        <w:spacing w:beforeLines="0" w:afterLines="0"/>
        <w:rPr>
          <w:rFonts w:eastAsiaTheme="minorEastAsia"/>
          <w:color w:val="000000" w:themeColor="text1"/>
          <w:sz w:val="28"/>
          <w:szCs w:val="28"/>
        </w:rPr>
      </w:pPr>
      <w:bookmarkStart w:id="425" w:name="_Toc22986"/>
      <w:r>
        <w:rPr>
          <w:rFonts w:eastAsiaTheme="minorEastAsia"/>
          <w:color w:val="000000" w:themeColor="text1"/>
          <w:sz w:val="28"/>
          <w:szCs w:val="28"/>
        </w:rPr>
        <w:t>2.7.</w:t>
      </w:r>
      <w:r>
        <w:rPr>
          <w:rFonts w:hint="eastAsia" w:eastAsiaTheme="minorEastAsia"/>
          <w:color w:val="000000" w:themeColor="text1"/>
          <w:sz w:val="28"/>
          <w:szCs w:val="28"/>
        </w:rPr>
        <w:t>1</w:t>
      </w:r>
      <w:r>
        <w:rPr>
          <w:rFonts w:eastAsiaTheme="minorEastAsia"/>
          <w:color w:val="000000" w:themeColor="text1"/>
          <w:sz w:val="28"/>
          <w:szCs w:val="28"/>
        </w:rPr>
        <w:t>给水系统</w:t>
      </w:r>
      <w:bookmarkEnd w:id="425"/>
    </w:p>
    <w:p>
      <w:pPr>
        <w:pStyle w:val="127"/>
        <w:rPr>
          <w:rFonts w:eastAsiaTheme="minorEastAsia"/>
          <w:color w:val="000000" w:themeColor="text1"/>
        </w:rPr>
      </w:pPr>
      <w:r>
        <w:rPr>
          <w:rFonts w:eastAsiaTheme="minorEastAsia"/>
          <w:color w:val="000000" w:themeColor="text1"/>
        </w:rPr>
        <w:t>1、生产用水</w:t>
      </w:r>
    </w:p>
    <w:p>
      <w:pPr>
        <w:pStyle w:val="127"/>
        <w:jc w:val="both"/>
        <w:rPr>
          <w:rFonts w:eastAsiaTheme="minorEastAsia"/>
          <w:color w:val="000000" w:themeColor="text1"/>
        </w:rPr>
      </w:pPr>
      <w:r>
        <w:rPr>
          <w:rFonts w:eastAsiaTheme="minorEastAsia"/>
          <w:color w:val="000000" w:themeColor="text1"/>
        </w:rPr>
        <w:t>根据建设单位提供资料，原有项目生产用水量为</w:t>
      </w:r>
      <w:r>
        <w:rPr>
          <w:rFonts w:hint="eastAsia" w:eastAsiaTheme="minorEastAsia"/>
          <w:color w:val="000000" w:themeColor="text1"/>
        </w:rPr>
        <w:t>1465.8</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原料带入水量30</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/d，循环用水量为</w:t>
      </w:r>
      <w:r>
        <w:rPr>
          <w:rFonts w:hint="eastAsia" w:eastAsiaTheme="minorEastAsia"/>
          <w:color w:val="000000" w:themeColor="text1"/>
        </w:rPr>
        <w:t>1241.215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选矿中的水一部分随尾矿进入尾矿库，一部分随产品进入精矿池，</w:t>
      </w:r>
      <w:r>
        <w:rPr>
          <w:rFonts w:eastAsiaTheme="minorEastAsia"/>
          <w:color w:val="000000" w:themeColor="text1"/>
        </w:rPr>
        <w:t>选厂主要用水取自厂区南面困龙河，用钢管供水给选厂。</w:t>
      </w:r>
    </w:p>
    <w:p>
      <w:pPr>
        <w:pStyle w:val="127"/>
        <w:rPr>
          <w:rFonts w:eastAsiaTheme="minorEastAsia"/>
          <w:color w:val="000000" w:themeColor="text1"/>
        </w:rPr>
      </w:pPr>
      <w:r>
        <w:rPr>
          <w:rFonts w:eastAsiaTheme="minorEastAsia"/>
          <w:color w:val="000000" w:themeColor="text1"/>
        </w:rPr>
        <w:t>2、破碎筛分喷雾降尘用水</w:t>
      </w:r>
    </w:p>
    <w:p>
      <w:pPr>
        <w:pStyle w:val="127"/>
        <w:rPr>
          <w:rFonts w:eastAsiaTheme="minorEastAsia"/>
          <w:color w:val="000000" w:themeColor="text1"/>
        </w:rPr>
      </w:pPr>
      <w:r>
        <w:rPr>
          <w:rFonts w:eastAsiaTheme="minorEastAsia"/>
          <w:color w:val="000000" w:themeColor="text1"/>
        </w:rPr>
        <w:t>根据建设单位提供的资料，项目喷雾降尘用水量3m</w:t>
      </w:r>
      <w:r>
        <w:rPr>
          <w:rFonts w:eastAsiaTheme="minorEastAsia"/>
          <w:color w:val="000000" w:themeColor="text1"/>
          <w:vertAlign w:val="superscript"/>
        </w:rPr>
        <w:t>3</w:t>
      </w:r>
      <w:r>
        <w:rPr>
          <w:rFonts w:eastAsiaTheme="minorEastAsia"/>
          <w:color w:val="000000" w:themeColor="text1"/>
        </w:rPr>
        <w:t>/d，喷雾降尘用水取自厂区高位水池。</w:t>
      </w:r>
    </w:p>
    <w:p>
      <w:pPr>
        <w:pStyle w:val="127"/>
        <w:rPr>
          <w:rFonts w:eastAsiaTheme="minorEastAsia"/>
          <w:color w:val="000000" w:themeColor="text1"/>
        </w:rPr>
      </w:pPr>
      <w:r>
        <w:rPr>
          <w:rFonts w:eastAsiaTheme="minorEastAsia"/>
          <w:color w:val="000000" w:themeColor="text1"/>
        </w:rPr>
        <w:t>3、生活用水</w:t>
      </w:r>
    </w:p>
    <w:p>
      <w:pPr>
        <w:pStyle w:val="127"/>
        <w:jc w:val="both"/>
        <w:rPr>
          <w:rFonts w:eastAsiaTheme="minorEastAsia"/>
          <w:color w:val="000000" w:themeColor="text1"/>
          <w:szCs w:val="24"/>
        </w:rPr>
      </w:pPr>
      <w:r>
        <w:rPr>
          <w:rFonts w:eastAsiaTheme="minorEastAsia"/>
          <w:color w:val="000000" w:themeColor="text1"/>
          <w:szCs w:val="24"/>
        </w:rPr>
        <w:t>根据项目多年生产统计资料，厂区内设置旱厕，厂区劳动人员85人，</w:t>
      </w:r>
      <w:r>
        <w:rPr>
          <w:rStyle w:val="73"/>
          <w:rFonts w:hint="eastAsia" w:eastAsia="宋体"/>
          <w:color w:val="000000" w:themeColor="text1"/>
          <w:kern w:val="0"/>
          <w:sz w:val="24"/>
          <w:szCs w:val="24"/>
        </w:rPr>
        <w:t>工人不在厂区内餐饮，</w:t>
      </w:r>
      <w:r>
        <w:rPr>
          <w:rFonts w:hint="eastAsia" w:eastAsiaTheme="minorEastAsia"/>
          <w:color w:val="000000" w:themeColor="text1"/>
          <w:szCs w:val="24"/>
        </w:rPr>
        <w:t>部分管理人员餐饮依托于辣子箐口选厂的食堂</w:t>
      </w:r>
      <w:r>
        <w:rPr>
          <w:rFonts w:eastAsiaTheme="minorEastAsia"/>
          <w:color w:val="000000" w:themeColor="text1"/>
          <w:szCs w:val="24"/>
        </w:rPr>
        <w:t>，</w:t>
      </w:r>
      <w:r>
        <w:rPr>
          <w:rFonts w:hint="eastAsia" w:eastAsiaTheme="minorEastAsia"/>
          <w:color w:val="000000" w:themeColor="text1"/>
          <w:szCs w:val="24"/>
        </w:rPr>
        <w:t>夜班人员在厂区内住宿，平均</w:t>
      </w:r>
      <w:r>
        <w:rPr>
          <w:rFonts w:eastAsiaTheme="minorEastAsia"/>
          <w:color w:val="000000" w:themeColor="text1"/>
          <w:szCs w:val="24"/>
        </w:rPr>
        <w:t>生活用水量为</w:t>
      </w:r>
      <w:r>
        <w:rPr>
          <w:rFonts w:hint="eastAsia" w:eastAsiaTheme="minorEastAsia"/>
          <w:color w:val="000000" w:themeColor="text1"/>
          <w:szCs w:val="24"/>
        </w:rPr>
        <w:t>8</w:t>
      </w:r>
      <w:r>
        <w:rPr>
          <w:rFonts w:eastAsiaTheme="minorEastAsia"/>
          <w:color w:val="000000" w:themeColor="text1"/>
          <w:szCs w:val="24"/>
        </w:rPr>
        <w:t>0</w:t>
      </w:r>
      <w:r>
        <w:rPr>
          <w:rFonts w:hint="eastAsia" w:eastAsiaTheme="minorEastAsia"/>
          <w:color w:val="000000" w:themeColor="text1"/>
          <w:szCs w:val="24"/>
        </w:rPr>
        <w:t>L</w:t>
      </w:r>
      <w:r>
        <w:rPr>
          <w:rFonts w:eastAsiaTheme="minorEastAsia"/>
          <w:color w:val="000000" w:themeColor="text1"/>
          <w:szCs w:val="24"/>
        </w:rPr>
        <w:t>/人·d，用水量约</w:t>
      </w:r>
      <w:r>
        <w:rPr>
          <w:rFonts w:hint="eastAsia" w:eastAsiaTheme="minorEastAsia"/>
          <w:color w:val="000000" w:themeColor="text1"/>
          <w:szCs w:val="24"/>
        </w:rPr>
        <w:t>6.8</w:t>
      </w:r>
      <w:r>
        <w:rPr>
          <w:rFonts w:eastAsiaTheme="minorEastAsia"/>
          <w:color w:val="000000" w:themeColor="text1"/>
          <w:szCs w:val="24"/>
        </w:rPr>
        <w:t>m</w:t>
      </w:r>
      <w:r>
        <w:rPr>
          <w:rFonts w:eastAsiaTheme="minorEastAsia"/>
          <w:color w:val="000000" w:themeColor="text1"/>
          <w:szCs w:val="24"/>
          <w:vertAlign w:val="superscript"/>
        </w:rPr>
        <w:t>3</w:t>
      </w:r>
      <w:r>
        <w:rPr>
          <w:rFonts w:eastAsiaTheme="minorEastAsia"/>
          <w:color w:val="000000" w:themeColor="text1"/>
          <w:szCs w:val="24"/>
        </w:rPr>
        <w:t>/d，</w:t>
      </w:r>
      <w:r>
        <w:rPr>
          <w:rFonts w:hint="eastAsia" w:eastAsiaTheme="minorEastAsia"/>
          <w:color w:val="000000" w:themeColor="text1"/>
          <w:szCs w:val="24"/>
        </w:rPr>
        <w:t>污水产生系数按80%计算，污</w:t>
      </w:r>
      <w:r>
        <w:rPr>
          <w:rFonts w:eastAsiaTheme="minorEastAsia"/>
          <w:color w:val="000000" w:themeColor="text1"/>
          <w:szCs w:val="24"/>
        </w:rPr>
        <w:t>水产生量为</w:t>
      </w:r>
      <w:r>
        <w:rPr>
          <w:rFonts w:hint="eastAsia" w:eastAsiaTheme="minorEastAsia"/>
          <w:color w:val="000000" w:themeColor="text1"/>
          <w:szCs w:val="24"/>
        </w:rPr>
        <w:t>5.44</w:t>
      </w:r>
      <w:r>
        <w:rPr>
          <w:rFonts w:eastAsiaTheme="minorEastAsia"/>
          <w:color w:val="000000" w:themeColor="text1"/>
          <w:szCs w:val="24"/>
        </w:rPr>
        <w:t>m</w:t>
      </w:r>
      <w:r>
        <w:rPr>
          <w:rFonts w:eastAsiaTheme="minorEastAsia"/>
          <w:color w:val="000000" w:themeColor="text1"/>
          <w:szCs w:val="24"/>
          <w:vertAlign w:val="superscript"/>
        </w:rPr>
        <w:t>3</w:t>
      </w:r>
      <w:r>
        <w:rPr>
          <w:rFonts w:eastAsiaTheme="minorEastAsia"/>
          <w:color w:val="000000" w:themeColor="text1"/>
          <w:szCs w:val="24"/>
        </w:rPr>
        <w:t>/d，生活区生活用水从戛洒镇自来水水厂供水管网接入。</w:t>
      </w:r>
    </w:p>
    <w:p>
      <w:pPr>
        <w:pStyle w:val="127"/>
        <w:rPr>
          <w:rFonts w:eastAsiaTheme="minorEastAsia"/>
          <w:color w:val="000000" w:themeColor="text1"/>
        </w:rPr>
      </w:pPr>
      <w:r>
        <w:rPr>
          <w:rFonts w:eastAsiaTheme="minorEastAsia"/>
          <w:color w:val="000000" w:themeColor="text1"/>
        </w:rPr>
        <w:t>4、绿化用水及</w:t>
      </w:r>
      <w:r>
        <w:rPr>
          <w:rFonts w:hint="eastAsia" w:eastAsiaTheme="minorEastAsia"/>
          <w:color w:val="000000" w:themeColor="text1"/>
        </w:rPr>
        <w:t>原料</w:t>
      </w:r>
      <w:r>
        <w:rPr>
          <w:rFonts w:eastAsiaTheme="minorEastAsia"/>
          <w:color w:val="000000" w:themeColor="text1"/>
        </w:rPr>
        <w:t>堆</w:t>
      </w:r>
      <w:r>
        <w:rPr>
          <w:rFonts w:hint="eastAsia" w:eastAsiaTheme="minorEastAsia"/>
          <w:color w:val="000000" w:themeColor="text1"/>
        </w:rPr>
        <w:t>场</w:t>
      </w:r>
      <w:r>
        <w:rPr>
          <w:rFonts w:eastAsiaTheme="minorEastAsia"/>
          <w:color w:val="000000" w:themeColor="text1"/>
        </w:rPr>
        <w:t>、道路降尘用水</w:t>
      </w:r>
    </w:p>
    <w:p>
      <w:pPr>
        <w:pStyle w:val="127"/>
        <w:rPr>
          <w:rFonts w:eastAsiaTheme="minorEastAsia"/>
          <w:color w:val="000000" w:themeColor="text1"/>
        </w:rPr>
      </w:pPr>
      <w:r>
        <w:rPr>
          <w:rFonts w:eastAsiaTheme="minorEastAsia"/>
          <w:color w:val="000000" w:themeColor="text1"/>
        </w:rPr>
        <w:t>根据建设单位提供资料，厂区绿化用水量为</w:t>
      </w:r>
      <w:r>
        <w:rPr>
          <w:rFonts w:hint="eastAsia" w:eastAsiaTheme="minorEastAsia"/>
          <w:color w:val="000000" w:themeColor="text1"/>
        </w:rPr>
        <w:t>9</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/d，厂区道路洒水量为2m</w:t>
      </w:r>
      <w:r>
        <w:rPr>
          <w:rFonts w:eastAsiaTheme="minorEastAsia"/>
          <w:color w:val="000000" w:themeColor="text1"/>
          <w:vertAlign w:val="superscript"/>
        </w:rPr>
        <w:t>3</w:t>
      </w:r>
      <w:r>
        <w:rPr>
          <w:rFonts w:eastAsiaTheme="minorEastAsia"/>
          <w:color w:val="000000" w:themeColor="text1"/>
        </w:rPr>
        <w:t>/d，原矿堆</w:t>
      </w:r>
      <w:r>
        <w:rPr>
          <w:rFonts w:hint="eastAsia" w:eastAsiaTheme="minorEastAsia"/>
          <w:color w:val="000000" w:themeColor="text1"/>
        </w:rPr>
        <w:t>场</w:t>
      </w:r>
      <w:r>
        <w:rPr>
          <w:rFonts w:eastAsiaTheme="minorEastAsia"/>
          <w:color w:val="000000" w:themeColor="text1"/>
        </w:rPr>
        <w:t>洒水量为5m</w:t>
      </w:r>
      <w:r>
        <w:rPr>
          <w:rFonts w:eastAsiaTheme="minorEastAsia"/>
          <w:color w:val="000000" w:themeColor="text1"/>
          <w:vertAlign w:val="superscript"/>
        </w:rPr>
        <w:t>3</w:t>
      </w:r>
      <w:r>
        <w:rPr>
          <w:rFonts w:eastAsiaTheme="minorEastAsia"/>
          <w:color w:val="000000" w:themeColor="text1"/>
        </w:rPr>
        <w:t>/d。</w:t>
      </w:r>
    </w:p>
    <w:p>
      <w:pPr>
        <w:pStyle w:val="127"/>
        <w:rPr>
          <w:rFonts w:eastAsiaTheme="minorEastAsia"/>
          <w:color w:val="000000" w:themeColor="text1"/>
        </w:rPr>
      </w:pPr>
      <w:r>
        <w:rPr>
          <w:rFonts w:eastAsiaTheme="minorEastAsia"/>
          <w:color w:val="000000" w:themeColor="text1"/>
        </w:rPr>
        <w:t>5、实验室及机修用水</w:t>
      </w:r>
    </w:p>
    <w:p>
      <w:pPr>
        <w:pStyle w:val="127"/>
        <w:rPr>
          <w:rFonts w:eastAsiaTheme="minorEastAsia"/>
          <w:color w:val="000000" w:themeColor="text1"/>
        </w:rPr>
      </w:pPr>
      <w:r>
        <w:rPr>
          <w:rFonts w:eastAsiaTheme="minorEastAsia"/>
          <w:color w:val="000000" w:themeColor="text1"/>
        </w:rPr>
        <w:t>根据建设单位资料，项目实验室及机修平均用水量约为0.5m</w:t>
      </w:r>
      <w:r>
        <w:rPr>
          <w:rFonts w:eastAsiaTheme="minorEastAsia"/>
          <w:color w:val="000000" w:themeColor="text1"/>
          <w:vertAlign w:val="superscript"/>
        </w:rPr>
        <w:t>3</w:t>
      </w:r>
      <w:r>
        <w:rPr>
          <w:rFonts w:eastAsiaTheme="minorEastAsia"/>
          <w:color w:val="000000" w:themeColor="text1"/>
        </w:rPr>
        <w:t>/d。</w:t>
      </w:r>
    </w:p>
    <w:p>
      <w:pPr>
        <w:pStyle w:val="127"/>
        <w:numPr>
          <w:ilvl w:val="0"/>
          <w:numId w:val="27"/>
        </w:numPr>
        <w:rPr>
          <w:rFonts w:eastAsiaTheme="minorEastAsia"/>
          <w:color w:val="000000" w:themeColor="text1"/>
        </w:rPr>
      </w:pPr>
      <w:r>
        <w:rPr>
          <w:rFonts w:eastAsiaTheme="minorEastAsia"/>
          <w:color w:val="000000" w:themeColor="text1"/>
        </w:rPr>
        <w:t>冷却用水</w:t>
      </w:r>
    </w:p>
    <w:p>
      <w:pPr>
        <w:pStyle w:val="127"/>
        <w:rPr>
          <w:rFonts w:eastAsiaTheme="minorEastAsia"/>
          <w:color w:val="000000" w:themeColor="text1"/>
        </w:rPr>
      </w:pPr>
      <w:r>
        <w:rPr>
          <w:rStyle w:val="73"/>
          <w:rFonts w:hint="eastAsia" w:eastAsia="宋体"/>
          <w:color w:val="000000" w:themeColor="text1"/>
          <w:kern w:val="0"/>
          <w:sz w:val="24"/>
          <w:szCs w:val="24"/>
        </w:rPr>
        <w:t>球磨机间接</w:t>
      </w:r>
      <w:r>
        <w:rPr>
          <w:rFonts w:eastAsiaTheme="minorEastAsia"/>
          <w:color w:val="000000" w:themeColor="text1"/>
          <w:szCs w:val="24"/>
        </w:rPr>
        <w:t>冷却</w:t>
      </w:r>
      <w:r>
        <w:rPr>
          <w:rFonts w:eastAsiaTheme="minorEastAsia"/>
          <w:color w:val="000000" w:themeColor="text1"/>
        </w:rPr>
        <w:t>水</w:t>
      </w:r>
      <w:r>
        <w:rPr>
          <w:rFonts w:hint="eastAsia" w:eastAsiaTheme="minorEastAsia"/>
          <w:color w:val="000000" w:themeColor="text1"/>
        </w:rPr>
        <w:t>在线用量为85m</w:t>
      </w:r>
      <w:r>
        <w:rPr>
          <w:rFonts w:hint="eastAsia" w:eastAsiaTheme="minorEastAsia"/>
          <w:color w:val="000000" w:themeColor="text1"/>
          <w:vertAlign w:val="superscript"/>
        </w:rPr>
        <w:t>3</w:t>
      </w:r>
      <w:r>
        <w:rPr>
          <w:rFonts w:hint="eastAsia" w:eastAsiaTheme="minorEastAsia"/>
          <w:color w:val="000000" w:themeColor="text1"/>
        </w:rPr>
        <w:t>，循环量为77m</w:t>
      </w:r>
      <w:r>
        <w:rPr>
          <w:rFonts w:hint="eastAsia" w:eastAsiaTheme="minorEastAsia"/>
          <w:color w:val="000000" w:themeColor="text1"/>
          <w:vertAlign w:val="superscript"/>
        </w:rPr>
        <w:t>3</w:t>
      </w:r>
      <w:r>
        <w:rPr>
          <w:rFonts w:hint="eastAsia" w:eastAsiaTheme="minorEastAsia"/>
          <w:color w:val="000000" w:themeColor="text1"/>
        </w:rPr>
        <w:t>，损失量为</w:t>
      </w:r>
      <w:r>
        <w:rPr>
          <w:rFonts w:eastAsiaTheme="minorEastAsia"/>
          <w:color w:val="000000" w:themeColor="text1"/>
        </w:rPr>
        <w:t>8m</w:t>
      </w:r>
      <w:r>
        <w:rPr>
          <w:rFonts w:eastAsiaTheme="minorEastAsia"/>
          <w:color w:val="000000" w:themeColor="text1"/>
          <w:vertAlign w:val="superscript"/>
        </w:rPr>
        <w:t>3</w:t>
      </w:r>
      <w:r>
        <w:rPr>
          <w:rFonts w:eastAsiaTheme="minorEastAsia"/>
          <w:color w:val="000000" w:themeColor="text1"/>
        </w:rPr>
        <w:t>，每天需要补充新鲜水8m</w:t>
      </w:r>
      <w:r>
        <w:rPr>
          <w:rFonts w:eastAsiaTheme="minorEastAsia"/>
          <w:color w:val="000000" w:themeColor="text1"/>
          <w:vertAlign w:val="superscript"/>
        </w:rPr>
        <w:t>3</w:t>
      </w:r>
      <w:r>
        <w:rPr>
          <w:rFonts w:eastAsiaTheme="minorEastAsia"/>
          <w:color w:val="000000" w:themeColor="text1"/>
        </w:rPr>
        <w:t>，为自来水，通过自然消耗，不外排。</w:t>
      </w:r>
    </w:p>
    <w:p>
      <w:pPr>
        <w:pStyle w:val="127"/>
        <w:rPr>
          <w:rFonts w:eastAsiaTheme="minorEastAsia"/>
          <w:color w:val="000000" w:themeColor="text1"/>
        </w:rPr>
      </w:pPr>
      <w:r>
        <w:rPr>
          <w:rFonts w:eastAsiaTheme="minorEastAsia"/>
          <w:color w:val="000000" w:themeColor="text1"/>
        </w:rPr>
        <w:t>该项目用水量见表2.7-</w:t>
      </w:r>
      <w:r>
        <w:rPr>
          <w:rFonts w:hint="eastAsia" w:eastAsiaTheme="minorEastAsia"/>
          <w:color w:val="000000" w:themeColor="text1"/>
        </w:rPr>
        <w:t>1</w:t>
      </w:r>
      <w:r>
        <w:rPr>
          <w:rFonts w:eastAsiaTheme="minorEastAsia"/>
          <w:color w:val="000000" w:themeColor="text1"/>
        </w:rPr>
        <w:t>。</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表2.7-</w:t>
      </w:r>
      <w:r>
        <w:rPr>
          <w:rFonts w:hint="eastAsia" w:eastAsiaTheme="minorEastAsia"/>
          <w:b/>
          <w:color w:val="000000" w:themeColor="text1"/>
          <w:sz w:val="21"/>
          <w:szCs w:val="20"/>
        </w:rPr>
        <w:t>1</w:t>
      </w:r>
      <w:r>
        <w:rPr>
          <w:rFonts w:eastAsiaTheme="minorEastAsia"/>
          <w:b/>
          <w:color w:val="000000" w:themeColor="text1"/>
          <w:sz w:val="21"/>
          <w:szCs w:val="20"/>
        </w:rPr>
        <w:t>项目用水一览表</w:t>
      </w:r>
    </w:p>
    <w:tbl>
      <w:tblPr>
        <w:tblStyle w:val="61"/>
        <w:tblW w:w="898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2454"/>
        <w:gridCol w:w="2977"/>
        <w:gridCol w:w="2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blHeader/>
          <w:jc w:val="center"/>
        </w:trPr>
        <w:tc>
          <w:tcPr>
            <w:tcW w:w="724" w:type="dxa"/>
            <w:shd w:val="clear" w:color="auto" w:fill="auto"/>
            <w:vAlign w:val="center"/>
          </w:tcPr>
          <w:p>
            <w:pPr>
              <w:pStyle w:val="126"/>
              <w:tabs>
                <w:tab w:val="left" w:pos="1960"/>
              </w:tabs>
              <w:rPr>
                <w:rFonts w:eastAsiaTheme="minorEastAsia"/>
                <w:color w:val="000000" w:themeColor="text1"/>
              </w:rPr>
            </w:pPr>
            <w:r>
              <w:rPr>
                <w:rFonts w:eastAsiaTheme="minorEastAsia"/>
                <w:color w:val="000000" w:themeColor="text1"/>
              </w:rPr>
              <w:t>序号</w:t>
            </w:r>
          </w:p>
        </w:tc>
        <w:tc>
          <w:tcPr>
            <w:tcW w:w="2454" w:type="dxa"/>
            <w:shd w:val="clear" w:color="auto" w:fill="auto"/>
            <w:vAlign w:val="center"/>
          </w:tcPr>
          <w:p>
            <w:pPr>
              <w:pStyle w:val="126"/>
              <w:tabs>
                <w:tab w:val="left" w:pos="1960"/>
              </w:tabs>
              <w:rPr>
                <w:rFonts w:eastAsiaTheme="minorEastAsia"/>
                <w:color w:val="000000" w:themeColor="text1"/>
              </w:rPr>
            </w:pPr>
            <w:r>
              <w:rPr>
                <w:rFonts w:eastAsiaTheme="minorEastAsia"/>
                <w:color w:val="000000" w:themeColor="text1"/>
              </w:rPr>
              <w:t>项目</w:t>
            </w:r>
          </w:p>
        </w:tc>
        <w:tc>
          <w:tcPr>
            <w:tcW w:w="2977" w:type="dxa"/>
            <w:shd w:val="clear" w:color="auto" w:fill="auto"/>
            <w:vAlign w:val="center"/>
          </w:tcPr>
          <w:p>
            <w:pPr>
              <w:pStyle w:val="126"/>
              <w:tabs>
                <w:tab w:val="left" w:pos="1960"/>
              </w:tabs>
              <w:rPr>
                <w:rFonts w:eastAsiaTheme="minorEastAsia"/>
                <w:color w:val="000000" w:themeColor="text1"/>
              </w:rPr>
            </w:pPr>
            <w:r>
              <w:rPr>
                <w:rFonts w:eastAsiaTheme="minorEastAsia"/>
                <w:color w:val="000000" w:themeColor="text1"/>
              </w:rPr>
              <w:t>用水量（m</w:t>
            </w:r>
            <w:r>
              <w:rPr>
                <w:rFonts w:eastAsiaTheme="minorEastAsia"/>
                <w:color w:val="000000" w:themeColor="text1"/>
                <w:vertAlign w:val="superscript"/>
              </w:rPr>
              <w:t>3</w:t>
            </w:r>
            <w:r>
              <w:rPr>
                <w:rFonts w:eastAsiaTheme="minorEastAsia"/>
                <w:color w:val="000000" w:themeColor="text1"/>
              </w:rPr>
              <w:t>/d）</w:t>
            </w:r>
          </w:p>
        </w:tc>
        <w:tc>
          <w:tcPr>
            <w:tcW w:w="2830" w:type="dxa"/>
            <w:shd w:val="clear" w:color="auto" w:fill="auto"/>
            <w:vAlign w:val="center"/>
          </w:tcPr>
          <w:p>
            <w:pPr>
              <w:pStyle w:val="126"/>
              <w:tabs>
                <w:tab w:val="left" w:pos="1960"/>
              </w:tabs>
              <w:rPr>
                <w:rFonts w:eastAsiaTheme="minorEastAsia"/>
                <w:color w:val="000000" w:themeColor="text1"/>
              </w:rPr>
            </w:pPr>
            <w:r>
              <w:rPr>
                <w:rFonts w:eastAsiaTheme="minorEastAsia"/>
                <w:color w:val="000000" w:themeColor="text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8985" w:type="dxa"/>
            <w:gridSpan w:val="4"/>
            <w:shd w:val="clear" w:color="auto" w:fill="auto"/>
            <w:vAlign w:val="center"/>
          </w:tcPr>
          <w:p>
            <w:pPr>
              <w:pStyle w:val="126"/>
              <w:tabs>
                <w:tab w:val="left" w:pos="1960"/>
              </w:tabs>
              <w:rPr>
                <w:rFonts w:eastAsiaTheme="minorEastAsia"/>
                <w:color w:val="000000" w:themeColor="text1"/>
              </w:rPr>
            </w:pPr>
            <w:r>
              <w:rPr>
                <w:rFonts w:hint="eastAsia" w:eastAsiaTheme="minorEastAsia"/>
                <w:color w:val="000000" w:themeColor="text1"/>
                <w:lang w:eastAsia="zh-CN"/>
              </w:rPr>
              <w:t>自来</w:t>
            </w:r>
            <w:r>
              <w:rPr>
                <w:rFonts w:eastAsiaTheme="minorEastAsia"/>
                <w:color w:val="000000" w:themeColor="text1"/>
              </w:rPr>
              <w:t>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8" w:hRule="exact"/>
          <w:jc w:val="center"/>
        </w:trPr>
        <w:tc>
          <w:tcPr>
            <w:tcW w:w="724" w:type="dxa"/>
            <w:shd w:val="clear" w:color="auto" w:fill="auto"/>
            <w:vAlign w:val="center"/>
          </w:tcPr>
          <w:p>
            <w:pPr>
              <w:pStyle w:val="126"/>
              <w:tabs>
                <w:tab w:val="left" w:pos="1960"/>
              </w:tabs>
              <w:rPr>
                <w:rFonts w:eastAsiaTheme="minorEastAsia"/>
                <w:color w:val="000000" w:themeColor="text1"/>
              </w:rPr>
            </w:pPr>
            <w:r>
              <w:rPr>
                <w:rFonts w:eastAsiaTheme="minorEastAsia"/>
                <w:color w:val="000000" w:themeColor="text1"/>
              </w:rPr>
              <w:t>1</w:t>
            </w:r>
          </w:p>
        </w:tc>
        <w:tc>
          <w:tcPr>
            <w:tcW w:w="2454"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rPr>
              <w:t>日常生活用水</w:t>
            </w:r>
          </w:p>
        </w:tc>
        <w:tc>
          <w:tcPr>
            <w:tcW w:w="2977"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6.8</w:t>
            </w:r>
          </w:p>
        </w:tc>
        <w:tc>
          <w:tcPr>
            <w:tcW w:w="2830"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生活区用水量</w:t>
            </w:r>
            <w:r>
              <w:rPr>
                <w:rFonts w:hint="eastAsia" w:eastAsiaTheme="minorEastAsia"/>
                <w:color w:val="000000" w:themeColor="text1"/>
                <w:lang w:eastAsia="zh-CN"/>
              </w:rPr>
              <w:t>6.8</w:t>
            </w:r>
            <w:r>
              <w:rPr>
                <w:rFonts w:eastAsiaTheme="minorEastAsia"/>
                <w:color w:val="000000" w:themeColor="text1"/>
                <w:lang w:eastAsia="zh-CN"/>
              </w:rPr>
              <w:t>m</w:t>
            </w:r>
            <w:r>
              <w:rPr>
                <w:rFonts w:eastAsiaTheme="minorEastAsia"/>
                <w:color w:val="000000" w:themeColor="text1"/>
                <w:vertAlign w:val="superscript"/>
                <w:lang w:eastAsia="zh-CN"/>
              </w:rPr>
              <w:t>3</w:t>
            </w:r>
            <w:r>
              <w:rPr>
                <w:rFonts w:eastAsiaTheme="minorEastAsia"/>
                <w:color w:val="000000" w:themeColor="text1"/>
                <w:lang w:eastAsia="zh-CN"/>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8" w:hRule="exact"/>
          <w:jc w:val="center"/>
        </w:trPr>
        <w:tc>
          <w:tcPr>
            <w:tcW w:w="724"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2</w:t>
            </w:r>
          </w:p>
        </w:tc>
        <w:tc>
          <w:tcPr>
            <w:tcW w:w="2454"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机修用水及实验室用水</w:t>
            </w:r>
          </w:p>
        </w:tc>
        <w:tc>
          <w:tcPr>
            <w:tcW w:w="2977"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0.5</w:t>
            </w:r>
          </w:p>
        </w:tc>
        <w:tc>
          <w:tcPr>
            <w:tcW w:w="2830"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8" w:hRule="exact"/>
          <w:jc w:val="center"/>
        </w:trPr>
        <w:tc>
          <w:tcPr>
            <w:tcW w:w="724"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3</w:t>
            </w:r>
          </w:p>
        </w:tc>
        <w:tc>
          <w:tcPr>
            <w:tcW w:w="2454"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设备冷却水</w:t>
            </w:r>
          </w:p>
        </w:tc>
        <w:tc>
          <w:tcPr>
            <w:tcW w:w="2977"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8</w:t>
            </w:r>
          </w:p>
        </w:tc>
        <w:tc>
          <w:tcPr>
            <w:tcW w:w="2830"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补充水量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8" w:hRule="exact"/>
          <w:jc w:val="center"/>
        </w:trPr>
        <w:tc>
          <w:tcPr>
            <w:tcW w:w="3178" w:type="dxa"/>
            <w:gridSpan w:val="2"/>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小计</w:t>
            </w:r>
          </w:p>
        </w:tc>
        <w:tc>
          <w:tcPr>
            <w:tcW w:w="2977"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15.3</w:t>
            </w:r>
          </w:p>
        </w:tc>
        <w:tc>
          <w:tcPr>
            <w:tcW w:w="2830"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自来水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8985" w:type="dxa"/>
            <w:gridSpan w:val="4"/>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困龙河河水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0" w:hRule="exact"/>
          <w:jc w:val="center"/>
        </w:trPr>
        <w:tc>
          <w:tcPr>
            <w:tcW w:w="724" w:type="dxa"/>
            <w:shd w:val="clear" w:color="auto" w:fill="auto"/>
            <w:vAlign w:val="center"/>
          </w:tcPr>
          <w:p>
            <w:pPr>
              <w:pStyle w:val="126"/>
              <w:tabs>
                <w:tab w:val="left" w:pos="1960"/>
              </w:tabs>
              <w:rPr>
                <w:rFonts w:eastAsiaTheme="minorEastAsia"/>
                <w:color w:val="000000" w:themeColor="text1"/>
              </w:rPr>
            </w:pPr>
            <w:r>
              <w:rPr>
                <w:rFonts w:eastAsiaTheme="minorEastAsia"/>
                <w:color w:val="000000" w:themeColor="text1"/>
              </w:rPr>
              <w:t>1</w:t>
            </w:r>
          </w:p>
        </w:tc>
        <w:tc>
          <w:tcPr>
            <w:tcW w:w="2454" w:type="dxa"/>
            <w:shd w:val="clear" w:color="auto" w:fill="auto"/>
            <w:vAlign w:val="center"/>
          </w:tcPr>
          <w:p>
            <w:pPr>
              <w:pStyle w:val="126"/>
              <w:tabs>
                <w:tab w:val="left" w:pos="1960"/>
              </w:tabs>
              <w:rPr>
                <w:rFonts w:eastAsiaTheme="minorEastAsia"/>
                <w:color w:val="000000" w:themeColor="text1"/>
              </w:rPr>
            </w:pPr>
            <w:r>
              <w:rPr>
                <w:rFonts w:eastAsiaTheme="minorEastAsia"/>
                <w:color w:val="000000" w:themeColor="text1"/>
              </w:rPr>
              <w:t>选矿用水</w:t>
            </w:r>
          </w:p>
        </w:tc>
        <w:tc>
          <w:tcPr>
            <w:tcW w:w="2977"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1465.8（循环水量1241.215）</w:t>
            </w:r>
          </w:p>
        </w:tc>
        <w:tc>
          <w:tcPr>
            <w:tcW w:w="2830"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1" w:hRule="exact"/>
          <w:jc w:val="center"/>
        </w:trPr>
        <w:tc>
          <w:tcPr>
            <w:tcW w:w="724"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2</w:t>
            </w:r>
          </w:p>
        </w:tc>
        <w:tc>
          <w:tcPr>
            <w:tcW w:w="2454"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破碎筛分喷雾降尘用水</w:t>
            </w:r>
          </w:p>
        </w:tc>
        <w:tc>
          <w:tcPr>
            <w:tcW w:w="2977"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3</w:t>
            </w:r>
          </w:p>
        </w:tc>
        <w:tc>
          <w:tcPr>
            <w:tcW w:w="2830"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724"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3</w:t>
            </w:r>
          </w:p>
        </w:tc>
        <w:tc>
          <w:tcPr>
            <w:tcW w:w="2454" w:type="dxa"/>
            <w:shd w:val="clear" w:color="auto" w:fill="auto"/>
            <w:vAlign w:val="center"/>
          </w:tcPr>
          <w:p>
            <w:pPr>
              <w:pStyle w:val="126"/>
              <w:tabs>
                <w:tab w:val="left" w:pos="1960"/>
              </w:tabs>
              <w:rPr>
                <w:rFonts w:eastAsiaTheme="minorEastAsia"/>
                <w:color w:val="000000" w:themeColor="text1"/>
              </w:rPr>
            </w:pPr>
            <w:r>
              <w:rPr>
                <w:rFonts w:eastAsiaTheme="minorEastAsia"/>
                <w:color w:val="000000" w:themeColor="text1"/>
              </w:rPr>
              <w:t>绿化用水</w:t>
            </w:r>
          </w:p>
        </w:tc>
        <w:tc>
          <w:tcPr>
            <w:tcW w:w="2977"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9</w:t>
            </w:r>
          </w:p>
        </w:tc>
        <w:tc>
          <w:tcPr>
            <w:tcW w:w="2830"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晴天每天1次（雨天不绿化）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724"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4</w:t>
            </w:r>
          </w:p>
        </w:tc>
        <w:tc>
          <w:tcPr>
            <w:tcW w:w="2454"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道路洒水</w:t>
            </w:r>
          </w:p>
        </w:tc>
        <w:tc>
          <w:tcPr>
            <w:tcW w:w="2977"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2</w:t>
            </w:r>
          </w:p>
        </w:tc>
        <w:tc>
          <w:tcPr>
            <w:tcW w:w="2830"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rPr>
              <w:t>晴天每天</w:t>
            </w:r>
            <w:r>
              <w:rPr>
                <w:rFonts w:hint="eastAsia" w:eastAsiaTheme="minorEastAsia"/>
                <w:color w:val="000000" w:themeColor="text1"/>
                <w:lang w:eastAsia="zh-CN"/>
              </w:rPr>
              <w:t>2</w:t>
            </w:r>
            <w:r>
              <w:rPr>
                <w:rFonts w:eastAsiaTheme="minorEastAsia"/>
                <w:color w:val="000000" w:themeColor="text1"/>
              </w:rPr>
              <w:t>次</w:t>
            </w:r>
            <w:r>
              <w:rPr>
                <w:rFonts w:eastAsiaTheme="minorEastAsia"/>
                <w:color w:val="000000" w:themeColor="text1"/>
                <w:lang w:eastAsia="zh-CN"/>
              </w:rPr>
              <w:t>（雨天不洒水）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5" w:hRule="exact"/>
          <w:jc w:val="center"/>
        </w:trPr>
        <w:tc>
          <w:tcPr>
            <w:tcW w:w="724"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5</w:t>
            </w:r>
          </w:p>
        </w:tc>
        <w:tc>
          <w:tcPr>
            <w:tcW w:w="2454" w:type="dxa"/>
            <w:shd w:val="clear" w:color="auto" w:fill="auto"/>
            <w:vAlign w:val="center"/>
          </w:tcPr>
          <w:p>
            <w:pPr>
              <w:pStyle w:val="126"/>
              <w:tabs>
                <w:tab w:val="left" w:pos="1960"/>
              </w:tabs>
              <w:rPr>
                <w:rFonts w:eastAsiaTheme="minorEastAsia"/>
                <w:color w:val="000000" w:themeColor="text1"/>
              </w:rPr>
            </w:pPr>
            <w:r>
              <w:rPr>
                <w:rFonts w:eastAsiaTheme="minorEastAsia"/>
                <w:color w:val="000000" w:themeColor="text1"/>
              </w:rPr>
              <w:t>原矿堆</w:t>
            </w:r>
            <w:r>
              <w:rPr>
                <w:rFonts w:eastAsiaTheme="minorEastAsia"/>
                <w:color w:val="000000" w:themeColor="text1"/>
                <w:lang w:eastAsia="zh-CN"/>
              </w:rPr>
              <w:t>场</w:t>
            </w:r>
            <w:r>
              <w:rPr>
                <w:rFonts w:eastAsiaTheme="minorEastAsia"/>
                <w:color w:val="000000" w:themeColor="text1"/>
              </w:rPr>
              <w:t>洒水</w:t>
            </w:r>
          </w:p>
        </w:tc>
        <w:tc>
          <w:tcPr>
            <w:tcW w:w="2977"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5</w:t>
            </w:r>
          </w:p>
        </w:tc>
        <w:tc>
          <w:tcPr>
            <w:tcW w:w="2830"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rPr>
              <w:t>晴天每天</w:t>
            </w:r>
            <w:r>
              <w:rPr>
                <w:rFonts w:hint="eastAsia" w:eastAsiaTheme="minorEastAsia"/>
                <w:color w:val="000000" w:themeColor="text1"/>
                <w:lang w:eastAsia="zh-CN"/>
              </w:rPr>
              <w:t>2</w:t>
            </w:r>
            <w:r>
              <w:rPr>
                <w:rFonts w:eastAsiaTheme="minorEastAsia"/>
                <w:color w:val="000000" w:themeColor="text1"/>
              </w:rPr>
              <w:t>次</w:t>
            </w:r>
            <w:r>
              <w:rPr>
                <w:rFonts w:eastAsiaTheme="minorEastAsia"/>
                <w:color w:val="000000" w:themeColor="text1"/>
                <w:lang w:eastAsia="zh-CN"/>
              </w:rPr>
              <w:t>（雨天不洒水）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jc w:val="center"/>
        </w:trPr>
        <w:tc>
          <w:tcPr>
            <w:tcW w:w="3178" w:type="dxa"/>
            <w:gridSpan w:val="2"/>
            <w:shd w:val="clear" w:color="auto" w:fill="auto"/>
            <w:vAlign w:val="center"/>
          </w:tcPr>
          <w:p>
            <w:pPr>
              <w:pStyle w:val="126"/>
              <w:tabs>
                <w:tab w:val="left" w:pos="1960"/>
              </w:tabs>
              <w:rPr>
                <w:rFonts w:eastAsiaTheme="minorEastAsia"/>
                <w:color w:val="000000" w:themeColor="text1"/>
              </w:rPr>
            </w:pPr>
            <w:r>
              <w:rPr>
                <w:rFonts w:eastAsiaTheme="minorEastAsia"/>
                <w:color w:val="000000" w:themeColor="text1"/>
              </w:rPr>
              <w:t>小计</w:t>
            </w:r>
          </w:p>
        </w:tc>
        <w:tc>
          <w:tcPr>
            <w:tcW w:w="2977" w:type="dxa"/>
            <w:shd w:val="clear" w:color="auto" w:fill="auto"/>
            <w:vAlign w:val="center"/>
          </w:tcPr>
          <w:p>
            <w:pPr>
              <w:pStyle w:val="126"/>
              <w:tabs>
                <w:tab w:val="left" w:pos="1960"/>
              </w:tabs>
              <w:rPr>
                <w:rFonts w:eastAsiaTheme="minorEastAsia"/>
                <w:color w:val="000000" w:themeColor="text1"/>
              </w:rPr>
            </w:pPr>
            <w:r>
              <w:rPr>
                <w:rFonts w:hint="eastAsia" w:eastAsiaTheme="minorEastAsia"/>
                <w:color w:val="000000" w:themeColor="text1"/>
                <w:lang w:eastAsia="zh-CN"/>
              </w:rPr>
              <w:t>243.585（补充量）</w:t>
            </w:r>
          </w:p>
        </w:tc>
        <w:tc>
          <w:tcPr>
            <w:tcW w:w="2830"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困龙河河水</w:t>
            </w:r>
          </w:p>
        </w:tc>
      </w:tr>
    </w:tbl>
    <w:p>
      <w:pPr>
        <w:pStyle w:val="6"/>
        <w:spacing w:beforeLines="0" w:afterLines="0"/>
        <w:rPr>
          <w:rFonts w:eastAsiaTheme="minorEastAsia"/>
          <w:color w:val="000000" w:themeColor="text1"/>
          <w:sz w:val="28"/>
          <w:szCs w:val="28"/>
        </w:rPr>
      </w:pPr>
      <w:bookmarkStart w:id="426" w:name="_Toc14653"/>
      <w:r>
        <w:rPr>
          <w:rFonts w:eastAsiaTheme="minorEastAsia"/>
          <w:color w:val="000000" w:themeColor="text1"/>
          <w:sz w:val="28"/>
          <w:szCs w:val="28"/>
        </w:rPr>
        <w:t>2.7.</w:t>
      </w:r>
      <w:r>
        <w:rPr>
          <w:rFonts w:hint="eastAsia" w:eastAsiaTheme="minorEastAsia"/>
          <w:color w:val="000000" w:themeColor="text1"/>
          <w:sz w:val="28"/>
          <w:szCs w:val="28"/>
        </w:rPr>
        <w:t>2</w:t>
      </w:r>
      <w:r>
        <w:rPr>
          <w:rFonts w:eastAsiaTheme="minorEastAsia"/>
          <w:color w:val="000000" w:themeColor="text1"/>
          <w:sz w:val="28"/>
          <w:szCs w:val="28"/>
        </w:rPr>
        <w:t>排水系统</w:t>
      </w:r>
      <w:bookmarkEnd w:id="426"/>
    </w:p>
    <w:p>
      <w:pPr>
        <w:ind w:firstLine="480"/>
        <w:rPr>
          <w:rFonts w:eastAsiaTheme="minorEastAsia"/>
          <w:color w:val="000000" w:themeColor="text1"/>
          <w:szCs w:val="24"/>
        </w:rPr>
      </w:pPr>
      <w:r>
        <w:rPr>
          <w:rFonts w:eastAsiaTheme="minorEastAsia"/>
          <w:color w:val="000000" w:themeColor="text1"/>
          <w:szCs w:val="24"/>
        </w:rPr>
        <w:t>现项目排水主要来自于选矿废水、实验室废水、生活区生活污水等。</w:t>
      </w:r>
    </w:p>
    <w:p>
      <w:pPr>
        <w:pStyle w:val="127"/>
        <w:rPr>
          <w:rFonts w:eastAsiaTheme="minorEastAsia"/>
          <w:color w:val="000000" w:themeColor="text1"/>
        </w:rPr>
      </w:pPr>
      <w:r>
        <w:rPr>
          <w:rFonts w:eastAsiaTheme="minorEastAsia"/>
          <w:color w:val="000000" w:themeColor="text1"/>
        </w:rPr>
        <w:t>1、选矿废水</w:t>
      </w:r>
    </w:p>
    <w:p>
      <w:pPr>
        <w:pStyle w:val="127"/>
        <w:jc w:val="both"/>
        <w:rPr>
          <w:rFonts w:eastAsiaTheme="minorEastAsia"/>
          <w:color w:val="000000" w:themeColor="text1"/>
        </w:rPr>
      </w:pPr>
      <w:r>
        <w:rPr>
          <w:rFonts w:eastAsiaTheme="minorEastAsia"/>
          <w:color w:val="000000" w:themeColor="text1"/>
        </w:rPr>
        <w:t>选矿作业消耗量为</w:t>
      </w:r>
      <w:r>
        <w:rPr>
          <w:rFonts w:hint="eastAsia" w:eastAsiaTheme="minorEastAsia"/>
          <w:color w:val="000000" w:themeColor="text1"/>
        </w:rPr>
        <w:t>11</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/d，尾矿浆沉淀池蒸发消耗量为</w:t>
      </w:r>
      <w:r>
        <w:rPr>
          <w:rFonts w:hint="eastAsia" w:eastAsiaTheme="minorEastAsia"/>
          <w:color w:val="000000" w:themeColor="text1"/>
        </w:rPr>
        <w:t>3.3</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/d，尾矿库余留及蒸发</w:t>
      </w:r>
      <w:r>
        <w:rPr>
          <w:rFonts w:hint="eastAsia" w:eastAsiaTheme="minorEastAsia"/>
          <w:color w:val="000000" w:themeColor="text1"/>
        </w:rPr>
        <w:t>120.285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/d，精矿</w:t>
      </w:r>
      <w:r>
        <w:rPr>
          <w:rFonts w:hint="eastAsia" w:eastAsiaTheme="minorEastAsia"/>
          <w:color w:val="000000" w:themeColor="text1"/>
        </w:rPr>
        <w:t>在精矿池内先浓缩脱水（晾晒的方式），精矿</w:t>
      </w:r>
      <w:r>
        <w:rPr>
          <w:rFonts w:eastAsiaTheme="minorEastAsia"/>
          <w:color w:val="000000" w:themeColor="text1"/>
        </w:rPr>
        <w:t>含水及蒸发</w:t>
      </w:r>
      <w:r>
        <w:rPr>
          <w:rFonts w:hint="eastAsia" w:eastAsiaTheme="minorEastAsia"/>
          <w:color w:val="000000" w:themeColor="text1"/>
        </w:rPr>
        <w:t>水量为40</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/d，尾矿库回水及沉淀池上清液水量共为</w:t>
      </w:r>
      <w:r>
        <w:rPr>
          <w:rFonts w:hint="eastAsia" w:eastAsiaTheme="minorEastAsia"/>
          <w:color w:val="000000" w:themeColor="text1"/>
        </w:rPr>
        <w:t>1241.215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/d，全部回用于选矿生产。</w:t>
      </w:r>
    </w:p>
    <w:p>
      <w:pPr>
        <w:pStyle w:val="127"/>
        <w:rPr>
          <w:rFonts w:eastAsiaTheme="minorEastAsia"/>
          <w:color w:val="000000" w:themeColor="text1"/>
        </w:rPr>
      </w:pPr>
      <w:r>
        <w:rPr>
          <w:rFonts w:eastAsiaTheme="minorEastAsia"/>
          <w:color w:val="000000" w:themeColor="text1"/>
        </w:rPr>
        <w:t>2、破碎筛分喷雾降尘废水</w:t>
      </w:r>
    </w:p>
    <w:p>
      <w:pPr>
        <w:pStyle w:val="127"/>
        <w:rPr>
          <w:rFonts w:eastAsiaTheme="minorEastAsia"/>
          <w:color w:val="000000" w:themeColor="text1"/>
        </w:rPr>
      </w:pPr>
      <w:r>
        <w:rPr>
          <w:rFonts w:eastAsiaTheme="minorEastAsia"/>
          <w:color w:val="000000" w:themeColor="text1"/>
        </w:rPr>
        <w:t>破碎筛分喷雾降尘水全部自然蒸发或者是随细碎产品带走，没有废水产生。</w:t>
      </w:r>
    </w:p>
    <w:p>
      <w:pPr>
        <w:pStyle w:val="127"/>
        <w:rPr>
          <w:rFonts w:eastAsiaTheme="minorEastAsia"/>
          <w:color w:val="000000" w:themeColor="text1"/>
        </w:rPr>
      </w:pPr>
      <w:r>
        <w:rPr>
          <w:rFonts w:eastAsiaTheme="minorEastAsia"/>
          <w:color w:val="000000" w:themeColor="text1"/>
        </w:rPr>
        <w:t>3、生活污水</w:t>
      </w:r>
    </w:p>
    <w:p>
      <w:pPr>
        <w:pStyle w:val="127"/>
        <w:rPr>
          <w:rFonts w:eastAsiaTheme="minorEastAsia"/>
          <w:color w:val="000000" w:themeColor="text1"/>
        </w:rPr>
      </w:pPr>
      <w:r>
        <w:rPr>
          <w:rFonts w:eastAsiaTheme="minorEastAsia"/>
          <w:color w:val="000000" w:themeColor="text1"/>
        </w:rPr>
        <w:t>生产厂区设置旱厕，生活区生活用水量为</w:t>
      </w:r>
      <w:r>
        <w:rPr>
          <w:rFonts w:hint="eastAsia" w:eastAsiaTheme="minorEastAsia"/>
          <w:color w:val="000000" w:themeColor="text1"/>
        </w:rPr>
        <w:t>6.8</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/d，生活污水主要排放系数按0.8计算，则生活污水排放量为</w:t>
      </w:r>
      <w:r>
        <w:rPr>
          <w:rFonts w:hint="eastAsia" w:eastAsiaTheme="minorEastAsia"/>
          <w:color w:val="000000" w:themeColor="text1"/>
        </w:rPr>
        <w:t>5.44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/d，生活污水经化粪池处理后</w:t>
      </w:r>
      <w:r>
        <w:rPr>
          <w:rFonts w:hint="eastAsia" w:eastAsiaTheme="minorEastAsia"/>
          <w:color w:val="000000" w:themeColor="text1"/>
        </w:rPr>
        <w:t>定时给周边农民清掏作为农肥使用</w:t>
      </w:r>
      <w:r>
        <w:rPr>
          <w:rFonts w:eastAsiaTheme="minorEastAsia"/>
          <w:color w:val="000000" w:themeColor="text1"/>
        </w:rPr>
        <w:t>。</w:t>
      </w:r>
    </w:p>
    <w:p>
      <w:pPr>
        <w:pStyle w:val="127"/>
        <w:rPr>
          <w:rFonts w:eastAsiaTheme="minorEastAsia"/>
          <w:color w:val="000000" w:themeColor="text1"/>
        </w:rPr>
      </w:pPr>
      <w:r>
        <w:rPr>
          <w:rFonts w:eastAsiaTheme="minorEastAsia"/>
          <w:color w:val="000000" w:themeColor="text1"/>
        </w:rPr>
        <w:t>4、实验室废水</w:t>
      </w:r>
    </w:p>
    <w:p>
      <w:pPr>
        <w:pStyle w:val="127"/>
        <w:rPr>
          <w:rFonts w:eastAsiaTheme="minorEastAsia"/>
          <w:color w:val="000000" w:themeColor="text1"/>
        </w:rPr>
      </w:pPr>
      <w:r>
        <w:rPr>
          <w:rFonts w:eastAsiaTheme="minorEastAsia"/>
          <w:color w:val="000000" w:themeColor="text1"/>
        </w:rPr>
        <w:t>实验室废水产量0.5m</w:t>
      </w:r>
      <w:r>
        <w:rPr>
          <w:rFonts w:eastAsiaTheme="minorEastAsia"/>
          <w:color w:val="000000" w:themeColor="text1"/>
          <w:vertAlign w:val="superscript"/>
        </w:rPr>
        <w:t>3</w:t>
      </w:r>
      <w:r>
        <w:rPr>
          <w:rFonts w:eastAsiaTheme="minorEastAsia"/>
          <w:color w:val="000000" w:themeColor="text1"/>
        </w:rPr>
        <w:t>/d，该部分废水水量较少，收集后排入沉淀池，与选矿废水一起沉淀处理后全部回用于选矿生产。</w:t>
      </w:r>
    </w:p>
    <w:p>
      <w:pPr>
        <w:pStyle w:val="127"/>
        <w:rPr>
          <w:rFonts w:eastAsiaTheme="minorEastAsia"/>
          <w:color w:val="000000" w:themeColor="text1"/>
        </w:rPr>
      </w:pPr>
      <w:r>
        <w:rPr>
          <w:rFonts w:hint="eastAsia" w:eastAsiaTheme="minorEastAsia"/>
          <w:color w:val="000000" w:themeColor="text1"/>
        </w:rPr>
        <w:t>5.原矿堆场淋滤水</w:t>
      </w:r>
    </w:p>
    <w:p>
      <w:pPr>
        <w:pStyle w:val="127"/>
        <w:rPr>
          <w:rFonts w:eastAsiaTheme="minorEastAsia"/>
          <w:color w:val="000000" w:themeColor="text1"/>
        </w:rPr>
      </w:pPr>
      <w:r>
        <w:rPr>
          <w:rFonts w:hint="eastAsia" w:eastAsiaTheme="minorEastAsia"/>
          <w:color w:val="000000" w:themeColor="text1"/>
        </w:rPr>
        <w:t>原矿堆场为露天开放式，原矿堆场淋滤水计算公式按下列计算：</w:t>
      </w:r>
    </w:p>
    <w:p>
      <w:pPr>
        <w:pStyle w:val="127"/>
        <w:jc w:val="center"/>
        <w:rPr>
          <w:rFonts w:eastAsiaTheme="minorEastAsia"/>
          <w:color w:val="000000" w:themeColor="text1"/>
        </w:rPr>
      </w:pPr>
      <w:r>
        <w:rPr>
          <w:rFonts w:hint="eastAsia" w:eastAsiaTheme="minorEastAsia"/>
          <w:color w:val="000000" w:themeColor="text1"/>
          <w:position w:val="-10"/>
        </w:rPr>
        <w:object>
          <v:shape id="_x0000_i1028" o:spt="75" type="#_x0000_t75" style="height:15.75pt;width:75pt;" o:ole="t" filled="f" o:preferrelative="t" stroked="f" coordsize="21600,21600">
            <v:path/>
            <v:fill on="f" focussize="0,0"/>
            <v:stroke on="f" joinstyle="miter"/>
            <v:imagedata r:id="rId39" o:title=""/>
            <o:lock v:ext="edit" aspectratio="t"/>
            <w10:wrap type="none"/>
            <w10:anchorlock/>
          </v:shape>
          <o:OLEObject Type="Embed" ProgID="Equation.3" ShapeID="_x0000_i1028" DrawAspect="Content" ObjectID="_1468075727" r:id="rId38">
            <o:LockedField>false</o:LockedField>
          </o:OLEObject>
        </w:object>
      </w:r>
    </w:p>
    <w:p>
      <w:pPr>
        <w:pStyle w:val="127"/>
        <w:rPr>
          <w:rFonts w:eastAsiaTheme="minorEastAsia"/>
          <w:color w:val="000000" w:themeColor="text1"/>
        </w:rPr>
      </w:pPr>
      <w:r>
        <w:rPr>
          <w:rFonts w:hint="eastAsia" w:eastAsiaTheme="minorEastAsia"/>
          <w:color w:val="000000" w:themeColor="text1"/>
        </w:rPr>
        <w:t>式中：Q—淋滤水量，m</w:t>
      </w:r>
      <w:r>
        <w:rPr>
          <w:rFonts w:hint="eastAsia" w:eastAsiaTheme="minorEastAsia"/>
          <w:color w:val="000000" w:themeColor="text1"/>
          <w:vertAlign w:val="superscript"/>
        </w:rPr>
        <w:t>3</w:t>
      </w:r>
      <w:r>
        <w:rPr>
          <w:rFonts w:hint="eastAsia" w:eastAsiaTheme="minorEastAsia"/>
          <w:color w:val="000000" w:themeColor="text1"/>
        </w:rPr>
        <w:t>；</w:t>
      </w:r>
    </w:p>
    <w:p>
      <w:pPr>
        <w:pStyle w:val="127"/>
        <w:ind w:firstLine="1200" w:firstLineChars="500"/>
        <w:rPr>
          <w:rFonts w:eastAsiaTheme="minorEastAsia"/>
          <w:color w:val="000000" w:themeColor="text1"/>
        </w:rPr>
      </w:pPr>
      <w:r>
        <w:rPr>
          <w:rFonts w:hint="eastAsia" w:eastAsiaTheme="minorEastAsia"/>
          <w:color w:val="000000" w:themeColor="text1"/>
        </w:rPr>
        <w:t>H—降雨量，m；</w:t>
      </w:r>
    </w:p>
    <w:p>
      <w:pPr>
        <w:pStyle w:val="127"/>
        <w:ind w:firstLine="1200" w:firstLineChars="500"/>
        <w:rPr>
          <w:rFonts w:eastAsiaTheme="minorEastAsia"/>
          <w:color w:val="000000" w:themeColor="text1"/>
        </w:rPr>
      </w:pPr>
      <w:r>
        <w:rPr>
          <w:rFonts w:hint="eastAsia" w:ascii="宋体" w:hAnsi="宋体" w:eastAsia="宋体" w:cs="宋体"/>
          <w:color w:val="000000" w:themeColor="text1"/>
        </w:rPr>
        <w:t>Ψ</w:t>
      </w:r>
      <w:r>
        <w:rPr>
          <w:rFonts w:hint="eastAsia" w:eastAsiaTheme="minorEastAsia"/>
          <w:color w:val="000000" w:themeColor="text1"/>
        </w:rPr>
        <w:t>—径流系数，一般取0.2~0.8，本次取0.8；</w:t>
      </w:r>
    </w:p>
    <w:p>
      <w:pPr>
        <w:pStyle w:val="127"/>
        <w:ind w:firstLine="1200" w:firstLineChars="500"/>
        <w:rPr>
          <w:rFonts w:eastAsiaTheme="minorEastAsia"/>
          <w:color w:val="000000" w:themeColor="text1"/>
        </w:rPr>
      </w:pPr>
      <w:r>
        <w:rPr>
          <w:rFonts w:hint="eastAsia" w:eastAsiaTheme="minorEastAsia"/>
          <w:color w:val="000000" w:themeColor="text1"/>
        </w:rPr>
        <w:t>F—汇水面积，m</w:t>
      </w:r>
      <w:r>
        <w:rPr>
          <w:rFonts w:hint="eastAsia" w:eastAsiaTheme="minorEastAsia"/>
          <w:color w:val="000000" w:themeColor="text1"/>
          <w:vertAlign w:val="superscript"/>
        </w:rPr>
        <w:t>2</w:t>
      </w:r>
      <w:r>
        <w:rPr>
          <w:rFonts w:hint="eastAsia" w:eastAsiaTheme="minorEastAsia"/>
          <w:color w:val="000000" w:themeColor="text1"/>
        </w:rPr>
        <w:t>。</w:t>
      </w:r>
    </w:p>
    <w:p>
      <w:pPr>
        <w:pStyle w:val="127"/>
        <w:rPr>
          <w:rFonts w:hint="eastAsia" w:eastAsiaTheme="minorEastAsia"/>
          <w:color w:val="000000" w:themeColor="text1"/>
        </w:rPr>
      </w:pPr>
      <w:r>
        <w:rPr>
          <w:rFonts w:hint="eastAsia" w:eastAsiaTheme="minorEastAsia"/>
          <w:color w:val="000000" w:themeColor="text1"/>
        </w:rPr>
        <w:t>新平县平均降雨量940.6mm，最大年降雨量为1168mm，最小为713mm，最大日降雨量为86.7mm，本次按最大日降雨量为86.7mm计算，原矿堆场面积为1000m</w:t>
      </w:r>
      <w:r>
        <w:rPr>
          <w:rFonts w:hint="eastAsia" w:eastAsiaTheme="minorEastAsia"/>
          <w:color w:val="000000" w:themeColor="text1"/>
          <w:vertAlign w:val="superscript"/>
        </w:rPr>
        <w:t>2</w:t>
      </w:r>
      <w:r>
        <w:rPr>
          <w:rFonts w:hint="eastAsia" w:eastAsiaTheme="minorEastAsia"/>
          <w:color w:val="000000" w:themeColor="text1"/>
        </w:rPr>
        <w:t>，经计算得出Q为69.36m</w:t>
      </w:r>
      <w:r>
        <w:rPr>
          <w:rFonts w:hint="eastAsia" w:eastAsiaTheme="minorEastAsia"/>
          <w:color w:val="000000" w:themeColor="text1"/>
          <w:vertAlign w:val="superscript"/>
        </w:rPr>
        <w:t>3</w:t>
      </w:r>
      <w:r>
        <w:rPr>
          <w:rFonts w:hint="eastAsia" w:eastAsiaTheme="minorEastAsia"/>
          <w:color w:val="000000" w:themeColor="text1"/>
        </w:rPr>
        <w:t>。原有项目原矿堆场呈露天堆放式，雨季雨水径流经堆场下方的进厂道路排出选厂。</w:t>
      </w:r>
    </w:p>
    <w:p>
      <w:pPr>
        <w:pStyle w:val="127"/>
        <w:rPr>
          <w:rFonts w:eastAsiaTheme="minorEastAsia"/>
          <w:color w:val="000000" w:themeColor="text1"/>
        </w:rPr>
      </w:pPr>
      <w:r>
        <w:rPr>
          <w:rFonts w:hint="eastAsia" w:eastAsiaTheme="minorEastAsia"/>
          <w:color w:val="000000" w:themeColor="text1"/>
        </w:rPr>
        <w:t xml:space="preserve"> 6、初期雨水</w:t>
      </w:r>
    </w:p>
    <w:p>
      <w:pPr>
        <w:adjustRightInd w:val="0"/>
        <w:snapToGrid w:val="0"/>
        <w:ind w:firstLine="480"/>
        <w:rPr>
          <w:color w:val="000000" w:themeColor="text1"/>
          <w:szCs w:val="24"/>
        </w:rPr>
      </w:pPr>
      <w:r>
        <w:rPr>
          <w:color w:val="000000" w:themeColor="text1"/>
        </w:rPr>
        <w:t>原料加工处理站</w:t>
      </w:r>
      <w:r>
        <w:rPr>
          <w:rFonts w:hint="eastAsia"/>
          <w:color w:val="000000" w:themeColor="text1"/>
          <w:lang w:eastAsia="zh-CN"/>
        </w:rPr>
        <w:t>附近（除原矿堆场）雨季</w:t>
      </w:r>
      <w:r>
        <w:rPr>
          <w:color w:val="000000" w:themeColor="text1"/>
        </w:rPr>
        <w:t>汇水面积约</w:t>
      </w:r>
      <w:r>
        <w:rPr>
          <w:rFonts w:hint="eastAsia"/>
          <w:color w:val="000000" w:themeColor="text1"/>
          <w:lang w:val="en-US" w:eastAsia="zh-CN"/>
        </w:rPr>
        <w:t>5</w:t>
      </w:r>
      <w:r>
        <w:rPr>
          <w:rFonts w:hint="eastAsia"/>
          <w:color w:val="000000" w:themeColor="text1"/>
        </w:rPr>
        <w:t>800</w:t>
      </w:r>
      <w:r>
        <w:rPr>
          <w:color w:val="000000" w:themeColor="text1"/>
        </w:rPr>
        <w:t>m</w:t>
      </w:r>
      <w:r>
        <w:rPr>
          <w:color w:val="000000" w:themeColor="text1"/>
          <w:vertAlign w:val="superscript"/>
        </w:rPr>
        <w:t>2</w:t>
      </w:r>
      <w:r>
        <w:rPr>
          <w:rFonts w:hint="eastAsia"/>
          <w:color w:val="000000" w:themeColor="text1"/>
          <w:szCs w:val="24"/>
        </w:rPr>
        <w:t>，初期雨水通过场地顺势往下流，汇集后经厂区内雨水沟排至厂区外，</w:t>
      </w:r>
      <w:r>
        <w:rPr>
          <w:color w:val="000000" w:themeColor="text1"/>
          <w:szCs w:val="24"/>
        </w:rPr>
        <w:t>初期雨水量计算如下：</w:t>
      </w:r>
    </w:p>
    <w:p>
      <w:pPr>
        <w:ind w:firstLine="480"/>
        <w:jc w:val="center"/>
        <w:rPr>
          <w:color w:val="000000" w:themeColor="text1"/>
        </w:rPr>
      </w:pPr>
      <w:r>
        <w:rPr>
          <w:color w:val="000000" w:themeColor="text1"/>
        </w:rPr>
        <w:object>
          <v:shape id="_x0000_i1029" o:spt="75" type="#_x0000_t75" style="height:15.75pt;width:61.5pt;" o:ole="t" filled="f" o:preferrelative="t" stroked="f" coordsize="21600,21600">
            <v:path/>
            <v:fill on="f" focussize="0,0"/>
            <v:stroke on="f" joinstyle="miter"/>
            <v:imagedata r:id="rId41" o:title=""/>
            <o:lock v:ext="edit" aspectratio="t"/>
            <w10:wrap type="none"/>
            <w10:anchorlock/>
          </v:shape>
          <o:OLEObject Type="Embed" ProgID="Equation.3" ShapeID="_x0000_i1029" DrawAspect="Content" ObjectID="_1468075728" r:id="rId40">
            <o:LockedField>false</o:LockedField>
          </o:OLEObject>
        </w:object>
      </w:r>
    </w:p>
    <w:p>
      <w:pPr>
        <w:ind w:firstLine="480"/>
        <w:rPr>
          <w:color w:val="000000" w:themeColor="text1"/>
        </w:rPr>
      </w:pPr>
      <w:r>
        <w:rPr>
          <w:color w:val="000000" w:themeColor="text1"/>
        </w:rPr>
        <w:t>式中：Q—雨水流量，L/s；</w:t>
      </w:r>
    </w:p>
    <w:p>
      <w:pPr>
        <w:ind w:firstLine="480"/>
        <w:rPr>
          <w:color w:val="000000" w:themeColor="text1"/>
        </w:rPr>
      </w:pPr>
      <w:r>
        <w:rPr>
          <w:color w:val="000000" w:themeColor="text1"/>
        </w:rPr>
        <w:object>
          <v:shape id="_x0000_i1030" o:spt="75" type="#_x0000_t75" style="height:12.75pt;width:12pt;" o:ole="t" filled="f" o:preferrelative="t" stroked="f" coordsize="21600,21600">
            <v:path/>
            <v:fill on="f" focussize="0,0"/>
            <v:stroke on="f" joinstyle="miter"/>
            <v:imagedata r:id="rId43" o:title=""/>
            <o:lock v:ext="edit" aspectratio="t"/>
            <w10:wrap type="none"/>
            <w10:anchorlock/>
          </v:shape>
          <o:OLEObject Type="Embed" ProgID="Equation.3" ShapeID="_x0000_i1030" DrawAspect="Content" ObjectID="_1468075729" r:id="rId42">
            <o:LockedField>false</o:LockedField>
          </o:OLEObject>
        </w:object>
      </w:r>
      <w:r>
        <w:rPr>
          <w:color w:val="000000" w:themeColor="text1"/>
        </w:rPr>
        <w:t>—径流系数，场地硬化后经验数值取0.9；</w:t>
      </w:r>
    </w:p>
    <w:p>
      <w:pPr>
        <w:ind w:firstLine="480"/>
        <w:rPr>
          <w:color w:val="000000" w:themeColor="text1"/>
        </w:rPr>
      </w:pPr>
      <w:r>
        <w:rPr>
          <w:color w:val="000000" w:themeColor="text1"/>
        </w:rPr>
        <w:t>q—设计暴雨强度，L/s·hm</w:t>
      </w:r>
      <w:r>
        <w:rPr>
          <w:color w:val="000000" w:themeColor="text1"/>
          <w:vertAlign w:val="superscript"/>
        </w:rPr>
        <w:t>2</w:t>
      </w:r>
      <w:r>
        <w:rPr>
          <w:color w:val="000000" w:themeColor="text1"/>
        </w:rPr>
        <w:t>；</w:t>
      </w:r>
    </w:p>
    <w:p>
      <w:pPr>
        <w:ind w:firstLine="480"/>
        <w:rPr>
          <w:color w:val="000000" w:themeColor="text1"/>
        </w:rPr>
      </w:pPr>
      <w:r>
        <w:rPr>
          <w:color w:val="000000" w:themeColor="text1"/>
        </w:rPr>
        <w:t>F—汇水面积，m</w:t>
      </w:r>
      <w:r>
        <w:rPr>
          <w:color w:val="000000" w:themeColor="text1"/>
          <w:vertAlign w:val="superscript"/>
        </w:rPr>
        <w:t>2</w:t>
      </w:r>
      <w:r>
        <w:rPr>
          <w:color w:val="000000" w:themeColor="text1"/>
        </w:rPr>
        <w:t>，本项目初期雨水收集面积共</w:t>
      </w:r>
      <w:r>
        <w:rPr>
          <w:rFonts w:hint="eastAsia"/>
          <w:color w:val="000000" w:themeColor="text1"/>
          <w:lang w:val="en-US" w:eastAsia="zh-CN"/>
        </w:rPr>
        <w:t>58</w:t>
      </w:r>
      <w:r>
        <w:rPr>
          <w:color w:val="000000" w:themeColor="text1"/>
        </w:rPr>
        <w:t>00m</w:t>
      </w:r>
      <w:r>
        <w:rPr>
          <w:color w:val="000000" w:themeColor="text1"/>
          <w:vertAlign w:val="superscript"/>
        </w:rPr>
        <w:t>2</w:t>
      </w:r>
      <w:r>
        <w:rPr>
          <w:color w:val="000000" w:themeColor="text1"/>
        </w:rPr>
        <w:t>。</w:t>
      </w:r>
    </w:p>
    <w:p>
      <w:pPr>
        <w:ind w:firstLine="480"/>
        <w:rPr>
          <w:color w:val="000000" w:themeColor="text1"/>
        </w:rPr>
      </w:pPr>
      <w:r>
        <w:rPr>
          <w:color w:val="000000" w:themeColor="text1"/>
        </w:rPr>
        <w:t>降雨强度按照玉溪市暴雨强度公式（修订）计算：</w:t>
      </w:r>
    </w:p>
    <w:p>
      <w:pPr>
        <w:ind w:firstLine="480"/>
        <w:rPr>
          <w:color w:val="000000" w:themeColor="text1"/>
        </w:rPr>
      </w:pPr>
      <w:r>
        <w:rPr>
          <w:color w:val="000000" w:themeColor="text1"/>
        </w:rPr>
        <w:t>q=2870.528（1+0.633lgP）/（t+14.742）</w:t>
      </w:r>
      <w:r>
        <w:rPr>
          <w:color w:val="000000" w:themeColor="text1"/>
          <w:vertAlign w:val="superscript"/>
        </w:rPr>
        <w:t>0.818</w:t>
      </w:r>
    </w:p>
    <w:p>
      <w:pPr>
        <w:ind w:firstLine="480"/>
        <w:rPr>
          <w:color w:val="000000" w:themeColor="text1"/>
        </w:rPr>
      </w:pPr>
      <w:r>
        <w:rPr>
          <w:color w:val="000000" w:themeColor="text1"/>
        </w:rPr>
        <w:t>式中：P—设计降雨重现期10a，</w:t>
      </w:r>
    </w:p>
    <w:p>
      <w:pPr>
        <w:ind w:firstLine="600" w:firstLineChars="250"/>
        <w:rPr>
          <w:color w:val="000000" w:themeColor="text1"/>
        </w:rPr>
      </w:pPr>
      <w:r>
        <w:rPr>
          <w:color w:val="000000" w:themeColor="text1"/>
        </w:rPr>
        <w:t>t—降雨历时，min（取15min）。</w:t>
      </w:r>
    </w:p>
    <w:p>
      <w:pPr>
        <w:adjustRightInd w:val="0"/>
        <w:ind w:firstLine="480"/>
        <w:jc w:val="both"/>
        <w:textAlignment w:val="baseline"/>
        <w:rPr>
          <w:rFonts w:eastAsiaTheme="minorEastAsia"/>
          <w:color w:val="000000" w:themeColor="text1"/>
        </w:rPr>
      </w:pPr>
      <w:r>
        <w:rPr>
          <w:color w:val="000000" w:themeColor="text1"/>
        </w:rPr>
        <w:t>根据计算，q值为292.24L/s·hm</w:t>
      </w:r>
      <w:r>
        <w:rPr>
          <w:color w:val="000000" w:themeColor="text1"/>
          <w:vertAlign w:val="superscript"/>
        </w:rPr>
        <w:t>2</w:t>
      </w:r>
      <w:r>
        <w:rPr>
          <w:color w:val="000000" w:themeColor="text1"/>
        </w:rPr>
        <w:t>，</w:t>
      </w:r>
      <w:r>
        <w:rPr>
          <w:rFonts w:hint="eastAsia"/>
          <w:color w:val="000000" w:themeColor="text1"/>
        </w:rPr>
        <w:t>计算前15分钟的初期雨水量为</w:t>
      </w:r>
      <w:r>
        <w:rPr>
          <w:rFonts w:hint="eastAsia"/>
          <w:color w:val="000000" w:themeColor="text1"/>
          <w:lang w:val="en-US" w:eastAsia="zh-CN"/>
        </w:rPr>
        <w:t>137.29</w:t>
      </w:r>
      <w:r>
        <w:rPr>
          <w:rFonts w:hint="eastAsia"/>
          <w:color w:val="000000" w:themeColor="text1"/>
        </w:rPr>
        <w:t>m</w:t>
      </w:r>
      <w:r>
        <w:rPr>
          <w:rFonts w:hint="eastAsia"/>
          <w:color w:val="000000" w:themeColor="text1"/>
          <w:vertAlign w:val="superscript"/>
        </w:rPr>
        <w:t>3</w:t>
      </w:r>
      <w:r>
        <w:rPr>
          <w:rFonts w:hint="eastAsia"/>
          <w:color w:val="000000" w:themeColor="text1"/>
        </w:rPr>
        <w:t>/次</w:t>
      </w:r>
      <w:r>
        <w:rPr>
          <w:rFonts w:hint="eastAsia"/>
          <w:color w:val="000000" w:themeColor="text1"/>
          <w:lang w:eastAsia="zh-CN"/>
        </w:rPr>
        <w:t>。</w:t>
      </w:r>
      <w:r>
        <w:rPr>
          <w:color w:val="000000" w:themeColor="text1"/>
          <w:szCs w:val="24"/>
        </w:rPr>
        <w:t>按上式计算得出</w:t>
      </w:r>
      <w:r>
        <w:rPr>
          <w:rFonts w:hint="eastAsia"/>
          <w:color w:val="000000" w:themeColor="text1"/>
          <w:szCs w:val="24"/>
        </w:rPr>
        <w:t>初期雨水</w:t>
      </w:r>
      <w:r>
        <w:rPr>
          <w:color w:val="000000" w:themeColor="text1"/>
          <w:szCs w:val="24"/>
        </w:rPr>
        <w:t>产生量为</w:t>
      </w:r>
      <w:r>
        <w:rPr>
          <w:rFonts w:hint="eastAsia"/>
          <w:color w:val="000000" w:themeColor="text1"/>
          <w:szCs w:val="24"/>
          <w:lang w:val="en-US" w:eastAsia="zh-CN"/>
        </w:rPr>
        <w:t>137.29</w:t>
      </w:r>
      <w:r>
        <w:rPr>
          <w:color w:val="000000" w:themeColor="text1"/>
          <w:szCs w:val="24"/>
        </w:rPr>
        <w:t>m</w:t>
      </w:r>
      <w:r>
        <w:rPr>
          <w:color w:val="000000" w:themeColor="text1"/>
          <w:szCs w:val="24"/>
          <w:vertAlign w:val="superscript"/>
        </w:rPr>
        <w:t>3</w:t>
      </w:r>
      <w:r>
        <w:rPr>
          <w:color w:val="000000" w:themeColor="text1"/>
          <w:szCs w:val="24"/>
        </w:rPr>
        <w:t>/次，</w:t>
      </w:r>
      <w:r>
        <w:rPr>
          <w:rFonts w:hint="eastAsia"/>
          <w:color w:val="000000" w:themeColor="text1"/>
          <w:szCs w:val="24"/>
        </w:rPr>
        <w:t>雨水经厂区内雨水沟排至厂区外</w:t>
      </w:r>
      <w:r>
        <w:rPr>
          <w:color w:val="000000" w:themeColor="text1"/>
          <w:szCs w:val="24"/>
        </w:rPr>
        <w:t>。</w:t>
      </w:r>
    </w:p>
    <w:p>
      <w:pPr>
        <w:pStyle w:val="6"/>
        <w:spacing w:beforeLines="0" w:afterLines="0"/>
        <w:rPr>
          <w:rFonts w:eastAsiaTheme="minorEastAsia"/>
          <w:color w:val="000000" w:themeColor="text1"/>
          <w:sz w:val="28"/>
          <w:szCs w:val="28"/>
        </w:rPr>
      </w:pPr>
      <w:bookmarkStart w:id="427" w:name="_Toc9185"/>
      <w:r>
        <w:rPr>
          <w:rFonts w:eastAsiaTheme="minorEastAsia"/>
          <w:color w:val="000000" w:themeColor="text1"/>
          <w:sz w:val="28"/>
          <w:szCs w:val="28"/>
        </w:rPr>
        <w:t>2.7.3项目水量平衡</w:t>
      </w:r>
      <w:bookmarkEnd w:id="427"/>
    </w:p>
    <w:p>
      <w:pPr>
        <w:ind w:firstLine="480"/>
        <w:rPr>
          <w:rFonts w:eastAsiaTheme="minorEastAsia"/>
          <w:color w:val="000000" w:themeColor="text1"/>
          <w:szCs w:val="24"/>
        </w:rPr>
      </w:pPr>
      <w:r>
        <w:rPr>
          <w:rFonts w:eastAsiaTheme="minorEastAsia"/>
          <w:color w:val="000000" w:themeColor="text1"/>
          <w:szCs w:val="24"/>
        </w:rPr>
        <w:t>项目生活区生活污水</w:t>
      </w:r>
      <w:r>
        <w:rPr>
          <w:rStyle w:val="73"/>
          <w:rFonts w:hint="eastAsia"/>
          <w:color w:val="000000" w:themeColor="text1"/>
          <w:kern w:val="0"/>
          <w:sz w:val="24"/>
          <w:szCs w:val="24"/>
        </w:rPr>
        <w:t>进入旱厕后定期给周边农民清掏作为农肥使用</w:t>
      </w:r>
      <w:r>
        <w:rPr>
          <w:rFonts w:eastAsiaTheme="minorEastAsia"/>
          <w:color w:val="000000" w:themeColor="text1"/>
          <w:szCs w:val="24"/>
        </w:rPr>
        <w:t>；选矿废水通过厂区尾矿沉淀池处理，沉淀后通过回水系统回用于项目选厂生产各工序用水；项目水量平衡见图2.7-</w:t>
      </w:r>
      <w:r>
        <w:rPr>
          <w:rFonts w:hint="eastAsia" w:eastAsiaTheme="minorEastAsia"/>
          <w:color w:val="000000" w:themeColor="text1"/>
          <w:szCs w:val="24"/>
        </w:rPr>
        <w:t>1</w:t>
      </w:r>
      <w:r>
        <w:rPr>
          <w:rFonts w:eastAsiaTheme="minorEastAsia"/>
          <w:color w:val="000000" w:themeColor="text1"/>
          <w:szCs w:val="24"/>
        </w:rPr>
        <w:t>、2.7-</w:t>
      </w:r>
      <w:r>
        <w:rPr>
          <w:rFonts w:hint="eastAsia" w:eastAsiaTheme="minorEastAsia"/>
          <w:color w:val="000000" w:themeColor="text1"/>
          <w:szCs w:val="24"/>
        </w:rPr>
        <w:t>2</w:t>
      </w:r>
      <w:r>
        <w:rPr>
          <w:rFonts w:eastAsiaTheme="minorEastAsia"/>
          <w:color w:val="000000" w:themeColor="text1"/>
          <w:szCs w:val="24"/>
        </w:rPr>
        <w:t>。</w:t>
      </w:r>
    </w:p>
    <w:p>
      <w:pPr>
        <w:ind w:firstLine="480"/>
        <w:rPr>
          <w:rFonts w:eastAsiaTheme="minorEastAsia"/>
          <w:color w:val="000000" w:themeColor="text1"/>
          <w:szCs w:val="24"/>
        </w:rPr>
      </w:pPr>
    </w:p>
    <w:p>
      <w:pPr>
        <w:widowControl/>
        <w:ind w:firstLine="0" w:firstLineChars="0"/>
        <w:rPr>
          <w:rFonts w:eastAsiaTheme="minorEastAsia"/>
          <w:b/>
          <w:color w:val="000000" w:themeColor="text1"/>
          <w:sz w:val="21"/>
          <w:szCs w:val="20"/>
        </w:rPr>
      </w:pPr>
    </w:p>
    <w:p>
      <w:pPr>
        <w:pStyle w:val="126"/>
        <w:tabs>
          <w:tab w:val="left" w:pos="1960"/>
        </w:tabs>
        <w:spacing w:line="360" w:lineRule="auto"/>
        <w:rPr>
          <w:rFonts w:eastAsiaTheme="minorEastAsia"/>
          <w:color w:val="000000" w:themeColor="text1"/>
        </w:rPr>
      </w:pPr>
      <w:r>
        <w:rPr>
          <w:rFonts w:eastAsiaTheme="minorEastAsia"/>
          <w:color w:val="000000" w:themeColor="text1"/>
        </w:rPr>
        <w:object>
          <v:shape id="_x0000_i1031" o:spt="75" type="#_x0000_t75" style="height:556.5pt;width:415.5pt;" o:ole="t" filled="f" o:preferrelative="t" stroked="f" coordsize="21600,21600">
            <v:path/>
            <v:fill on="f" focussize="0,0"/>
            <v:stroke on="f" joinstyle="miter"/>
            <v:imagedata r:id="rId45" o:title=""/>
            <o:lock v:ext="edit" aspectratio="f"/>
            <w10:wrap type="none"/>
            <w10:anchorlock/>
          </v:shape>
          <o:OLEObject Type="Embed" ProgID="Visio.Drawing.11" ShapeID="_x0000_i1031" DrawAspect="Content" ObjectID="_1468075730" r:id="rId44">
            <o:LockedField>false</o:LockedField>
          </o:OLEObject>
        </w:object>
      </w:r>
    </w:p>
    <w:p>
      <w:pPr>
        <w:ind w:left="297" w:hanging="297" w:hangingChars="141"/>
        <w:jc w:val="center"/>
        <w:rPr>
          <w:rFonts w:eastAsiaTheme="minorEastAsia"/>
          <w:color w:val="000000" w:themeColor="text1"/>
          <w:szCs w:val="24"/>
        </w:rPr>
      </w:pPr>
      <w:r>
        <w:rPr>
          <w:rFonts w:eastAsiaTheme="minorEastAsia"/>
          <w:b/>
          <w:color w:val="000000" w:themeColor="text1"/>
          <w:sz w:val="21"/>
          <w:szCs w:val="21"/>
        </w:rPr>
        <w:t>图2.7-</w:t>
      </w:r>
      <w:r>
        <w:rPr>
          <w:rFonts w:hint="eastAsia" w:eastAsiaTheme="minorEastAsia"/>
          <w:b/>
          <w:color w:val="000000" w:themeColor="text1"/>
          <w:sz w:val="21"/>
          <w:szCs w:val="21"/>
        </w:rPr>
        <w:t>1</w:t>
      </w:r>
      <w:r>
        <w:rPr>
          <w:rFonts w:eastAsiaTheme="minorEastAsia"/>
          <w:b/>
          <w:color w:val="000000" w:themeColor="text1"/>
          <w:sz w:val="21"/>
          <w:szCs w:val="21"/>
        </w:rPr>
        <w:t>原有项目水量平衡图（晴天）单位：m</w:t>
      </w:r>
      <w:r>
        <w:rPr>
          <w:rFonts w:eastAsiaTheme="minorEastAsia"/>
          <w:b/>
          <w:color w:val="000000" w:themeColor="text1"/>
          <w:sz w:val="21"/>
          <w:szCs w:val="21"/>
          <w:vertAlign w:val="superscript"/>
        </w:rPr>
        <w:t>3</w:t>
      </w:r>
      <w:r>
        <w:rPr>
          <w:rFonts w:eastAsiaTheme="minorEastAsia"/>
          <w:b/>
          <w:color w:val="000000" w:themeColor="text1"/>
          <w:sz w:val="21"/>
          <w:szCs w:val="21"/>
        </w:rPr>
        <w:t>/d</w:t>
      </w:r>
    </w:p>
    <w:p>
      <w:pPr>
        <w:pStyle w:val="126"/>
        <w:tabs>
          <w:tab w:val="left" w:pos="1960"/>
        </w:tabs>
        <w:spacing w:line="360" w:lineRule="auto"/>
        <w:jc w:val="left"/>
        <w:rPr>
          <w:rFonts w:eastAsiaTheme="minorEastAsia"/>
          <w:color w:val="000000" w:themeColor="text1"/>
          <w:sz w:val="24"/>
          <w:szCs w:val="24"/>
          <w:lang w:eastAsia="zh-CN"/>
        </w:rPr>
      </w:pPr>
      <w:r>
        <w:rPr>
          <w:rFonts w:eastAsiaTheme="minorEastAsia"/>
          <w:color w:val="000000" w:themeColor="text1"/>
          <w:sz w:val="24"/>
          <w:szCs w:val="24"/>
          <w:lang w:eastAsia="zh-CN"/>
        </w:rPr>
        <w:object>
          <v:shape id="_x0000_i1032" o:spt="75" type="#_x0000_t75" style="height:473.25pt;width:415.5pt;" o:ole="t" filled="f" o:preferrelative="t" stroked="f" coordsize="21600,21600">
            <v:path/>
            <v:fill on="f" focussize="0,0"/>
            <v:stroke on="f"/>
            <v:imagedata r:id="rId47" o:title=""/>
            <o:lock v:ext="edit" aspectratio="f"/>
            <w10:wrap type="none"/>
            <w10:anchorlock/>
          </v:shape>
          <o:OLEObject Type="Embed" ProgID="Visio.Drawing.11" ShapeID="_x0000_i1032" DrawAspect="Content" ObjectID="_1468075731" r:id="rId46">
            <o:LockedField>false</o:LockedField>
          </o:OLEObject>
        </w:object>
      </w:r>
    </w:p>
    <w:p>
      <w:pPr>
        <w:pStyle w:val="126"/>
        <w:tabs>
          <w:tab w:val="left" w:pos="1960"/>
        </w:tabs>
        <w:spacing w:line="360" w:lineRule="auto"/>
        <w:rPr>
          <w:rFonts w:eastAsiaTheme="minorEastAsia"/>
          <w:color w:val="000000" w:themeColor="text1"/>
          <w:lang w:eastAsia="zh-CN"/>
        </w:rPr>
      </w:pPr>
      <w:r>
        <w:rPr>
          <w:rFonts w:eastAsiaTheme="minorEastAsia"/>
          <w:b/>
          <w:color w:val="000000" w:themeColor="text1"/>
          <w:lang w:eastAsia="zh-CN"/>
        </w:rPr>
        <w:t>图2.7-</w:t>
      </w:r>
      <w:r>
        <w:rPr>
          <w:rFonts w:hint="eastAsia" w:eastAsiaTheme="minorEastAsia"/>
          <w:b/>
          <w:color w:val="000000" w:themeColor="text1"/>
          <w:lang w:eastAsia="zh-CN"/>
        </w:rPr>
        <w:t>2</w:t>
      </w:r>
      <w:r>
        <w:rPr>
          <w:rFonts w:eastAsiaTheme="minorEastAsia"/>
          <w:b/>
          <w:color w:val="000000" w:themeColor="text1"/>
          <w:lang w:eastAsia="zh-CN"/>
        </w:rPr>
        <w:t>原有项目水量平衡图（雨天）单位：m</w:t>
      </w:r>
      <w:r>
        <w:rPr>
          <w:rFonts w:eastAsiaTheme="minorEastAsia"/>
          <w:b/>
          <w:color w:val="000000" w:themeColor="text1"/>
          <w:vertAlign w:val="superscript"/>
          <w:lang w:eastAsia="zh-CN"/>
        </w:rPr>
        <w:t>3</w:t>
      </w:r>
      <w:r>
        <w:rPr>
          <w:rFonts w:eastAsiaTheme="minorEastAsia"/>
          <w:b/>
          <w:color w:val="000000" w:themeColor="text1"/>
          <w:lang w:eastAsia="zh-CN"/>
        </w:rPr>
        <w:t>/d</w:t>
      </w:r>
    </w:p>
    <w:p>
      <w:pPr>
        <w:pStyle w:val="574"/>
        <w:spacing w:beforeLines="0" w:afterLines="0"/>
        <w:rPr>
          <w:rFonts w:eastAsiaTheme="minorEastAsia"/>
          <w:color w:val="000000" w:themeColor="text1"/>
          <w:sz w:val="30"/>
          <w:szCs w:val="30"/>
        </w:rPr>
      </w:pPr>
      <w:bookmarkStart w:id="428" w:name="_Toc8618"/>
      <w:bookmarkStart w:id="429" w:name="_Toc375724424"/>
      <w:r>
        <w:rPr>
          <w:rFonts w:eastAsiaTheme="minorEastAsia"/>
          <w:color w:val="000000" w:themeColor="text1"/>
          <w:sz w:val="30"/>
          <w:szCs w:val="30"/>
        </w:rPr>
        <w:t>2.8现有污染物排放</w:t>
      </w:r>
      <w:r>
        <w:rPr>
          <w:rFonts w:hint="eastAsia" w:eastAsiaTheme="minorEastAsia"/>
          <w:color w:val="000000" w:themeColor="text1"/>
          <w:sz w:val="30"/>
          <w:szCs w:val="30"/>
        </w:rPr>
        <w:t>及污染治理设施</w:t>
      </w:r>
      <w:r>
        <w:rPr>
          <w:rFonts w:eastAsiaTheme="minorEastAsia"/>
          <w:color w:val="000000" w:themeColor="text1"/>
          <w:sz w:val="30"/>
          <w:szCs w:val="30"/>
        </w:rPr>
        <w:t>调查</w:t>
      </w:r>
      <w:bookmarkEnd w:id="428"/>
    </w:p>
    <w:p>
      <w:pPr>
        <w:pStyle w:val="127"/>
        <w:rPr>
          <w:rFonts w:eastAsiaTheme="minorEastAsia"/>
          <w:color w:val="000000" w:themeColor="text1"/>
        </w:rPr>
      </w:pPr>
      <w:r>
        <w:rPr>
          <w:rFonts w:eastAsiaTheme="minorEastAsia"/>
          <w:color w:val="000000" w:themeColor="text1"/>
        </w:rPr>
        <w:t>项目运行多年，评价人员通过现场</w:t>
      </w:r>
      <w:r>
        <w:rPr>
          <w:rFonts w:eastAsiaTheme="minorEastAsia"/>
          <w:color w:val="000000" w:themeColor="text1"/>
          <w:szCs w:val="24"/>
        </w:rPr>
        <w:t>勘察</w:t>
      </w:r>
      <w:r>
        <w:rPr>
          <w:rStyle w:val="73"/>
          <w:rFonts w:hint="eastAsia" w:eastAsia="宋体"/>
          <w:color w:val="000000" w:themeColor="text1"/>
          <w:kern w:val="0"/>
          <w:sz w:val="24"/>
          <w:szCs w:val="24"/>
        </w:rPr>
        <w:t>、查阅相关资料</w:t>
      </w:r>
      <w:r>
        <w:rPr>
          <w:rFonts w:eastAsiaTheme="minorEastAsia"/>
          <w:color w:val="000000" w:themeColor="text1"/>
        </w:rPr>
        <w:t>，周边走访及委托监测等方式对选厂现有污染源进行了调查，主要污染有尾矿废水、生活污水、粉尘、尾矿渣、生活垃圾及机械噪声等。</w:t>
      </w:r>
    </w:p>
    <w:p>
      <w:pPr>
        <w:pStyle w:val="6"/>
        <w:spacing w:beforeLines="0" w:afterLines="0"/>
        <w:rPr>
          <w:rFonts w:eastAsiaTheme="minorEastAsia"/>
          <w:color w:val="000000" w:themeColor="text1"/>
          <w:sz w:val="28"/>
          <w:szCs w:val="28"/>
        </w:rPr>
      </w:pPr>
      <w:bookmarkStart w:id="430" w:name="_Toc9506"/>
      <w:r>
        <w:rPr>
          <w:rFonts w:eastAsiaTheme="minorEastAsia"/>
          <w:color w:val="000000" w:themeColor="text1"/>
          <w:sz w:val="28"/>
          <w:szCs w:val="28"/>
        </w:rPr>
        <w:t>2.8.1废水</w:t>
      </w:r>
      <w:bookmarkEnd w:id="430"/>
    </w:p>
    <w:p>
      <w:pPr>
        <w:pStyle w:val="127"/>
        <w:rPr>
          <w:rFonts w:eastAsiaTheme="minorEastAsia"/>
          <w:color w:val="000000" w:themeColor="text1"/>
        </w:rPr>
      </w:pPr>
      <w:r>
        <w:rPr>
          <w:rFonts w:eastAsiaTheme="minorEastAsia"/>
          <w:color w:val="000000" w:themeColor="text1"/>
        </w:rPr>
        <w:t>该项目废水主要有选矿生产废水、实验室化验及机修废水、生活污水等。</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2.8.1.1生产废水</w:t>
      </w:r>
    </w:p>
    <w:p>
      <w:pPr>
        <w:pStyle w:val="127"/>
        <w:rPr>
          <w:rFonts w:eastAsiaTheme="minorEastAsia"/>
          <w:color w:val="000000" w:themeColor="text1"/>
        </w:rPr>
      </w:pPr>
      <w:r>
        <w:rPr>
          <w:rFonts w:eastAsiaTheme="minorEastAsia"/>
          <w:color w:val="000000" w:themeColor="text1"/>
        </w:rPr>
        <w:t>1、污染物产生情况</w:t>
      </w:r>
    </w:p>
    <w:p>
      <w:pPr>
        <w:pStyle w:val="127"/>
        <w:rPr>
          <w:rFonts w:eastAsiaTheme="minorEastAsia"/>
          <w:color w:val="000000" w:themeColor="text1"/>
        </w:rPr>
      </w:pPr>
      <w:r>
        <w:rPr>
          <w:rFonts w:eastAsiaTheme="minorEastAsia"/>
          <w:color w:val="000000" w:themeColor="text1"/>
        </w:rPr>
        <w:t>选矿生产废水日产生量约为</w:t>
      </w:r>
      <w:r>
        <w:rPr>
          <w:rFonts w:hint="eastAsia" w:eastAsiaTheme="minorEastAsia"/>
          <w:color w:val="000000" w:themeColor="text1"/>
        </w:rPr>
        <w:t>1384.8</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p>
    <w:p>
      <w:pPr>
        <w:pStyle w:val="127"/>
        <w:rPr>
          <w:rFonts w:eastAsiaTheme="minorEastAsia"/>
          <w:color w:val="000000" w:themeColor="text1"/>
        </w:rPr>
      </w:pPr>
      <w:r>
        <w:rPr>
          <w:rFonts w:eastAsiaTheme="minorEastAsia"/>
          <w:color w:val="000000" w:themeColor="text1"/>
        </w:rPr>
        <w:t>2、污染物治理措施</w:t>
      </w:r>
    </w:p>
    <w:p>
      <w:pPr>
        <w:pStyle w:val="127"/>
        <w:rPr>
          <w:rFonts w:eastAsiaTheme="minorEastAsia"/>
          <w:color w:val="000000" w:themeColor="text1"/>
        </w:rPr>
      </w:pPr>
      <w:r>
        <w:rPr>
          <w:rFonts w:eastAsiaTheme="minorEastAsia"/>
          <w:color w:val="000000" w:themeColor="text1"/>
        </w:rPr>
        <w:t>选矿废水经沉淀池处理后全部回用不外排，尾矿库设置回水池，随尾矿进入尾矿库的水经尾矿库澄清后，上清液进入回水池，用泵抽回生产使用。</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2.8.1.2实验室废水</w:t>
      </w:r>
    </w:p>
    <w:p>
      <w:pPr>
        <w:pStyle w:val="127"/>
        <w:rPr>
          <w:rFonts w:eastAsiaTheme="minorEastAsia"/>
          <w:color w:val="000000" w:themeColor="text1"/>
        </w:rPr>
      </w:pPr>
      <w:r>
        <w:rPr>
          <w:rFonts w:eastAsiaTheme="minorEastAsia"/>
          <w:color w:val="000000" w:themeColor="text1"/>
        </w:rPr>
        <w:t>项目实验室废水产量约0.5m</w:t>
      </w:r>
      <w:r>
        <w:rPr>
          <w:rFonts w:eastAsiaTheme="minorEastAsia"/>
          <w:color w:val="000000" w:themeColor="text1"/>
          <w:vertAlign w:val="superscript"/>
        </w:rPr>
        <w:t>3</w:t>
      </w:r>
      <w:r>
        <w:rPr>
          <w:rFonts w:eastAsiaTheme="minorEastAsia"/>
          <w:color w:val="000000" w:themeColor="text1"/>
        </w:rPr>
        <w:t>/d，该废水产量较小，且不涉及第一类污染物，不再单独处理，收集后进入沉淀池，沉淀处理后泵至生产线循环使用，不外排。</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2.8.1.3生活污水</w:t>
      </w:r>
    </w:p>
    <w:p>
      <w:pPr>
        <w:pStyle w:val="127"/>
        <w:rPr>
          <w:rFonts w:eastAsiaTheme="minorEastAsia"/>
          <w:color w:val="000000" w:themeColor="text1"/>
        </w:rPr>
      </w:pPr>
      <w:r>
        <w:rPr>
          <w:rFonts w:eastAsiaTheme="minorEastAsia"/>
          <w:color w:val="000000" w:themeColor="text1"/>
        </w:rPr>
        <w:t>1、污染物产生情况</w:t>
      </w:r>
    </w:p>
    <w:p>
      <w:pPr>
        <w:pStyle w:val="127"/>
        <w:rPr>
          <w:rFonts w:eastAsiaTheme="minorEastAsia"/>
          <w:color w:val="000000" w:themeColor="text1"/>
        </w:rPr>
      </w:pPr>
      <w:r>
        <w:rPr>
          <w:rFonts w:eastAsiaTheme="minorEastAsia"/>
          <w:color w:val="000000" w:themeColor="text1"/>
        </w:rPr>
        <w:t>根据建设单位提供资料，原有项目生活区生活污水产生量</w:t>
      </w:r>
      <w:r>
        <w:rPr>
          <w:rFonts w:hint="eastAsia" w:eastAsiaTheme="minorEastAsia"/>
          <w:color w:val="000000" w:themeColor="text1"/>
        </w:rPr>
        <w:t>5.44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主要为洗手、及晚班人员洗漱产生的污水，厂区内不设食堂，</w:t>
      </w:r>
      <w:r>
        <w:rPr>
          <w:rFonts w:eastAsiaTheme="minorEastAsia"/>
          <w:color w:val="000000" w:themeColor="text1"/>
        </w:rPr>
        <w:t>类比同类生活污水，原有项目生活污水污染物产排情况见表2.8-1。</w:t>
      </w:r>
    </w:p>
    <w:p>
      <w:pPr>
        <w:pStyle w:val="127"/>
        <w:ind w:firstLine="422"/>
        <w:jc w:val="center"/>
        <w:rPr>
          <w:rFonts w:eastAsiaTheme="minorEastAsia"/>
          <w:color w:val="000000" w:themeColor="text1"/>
        </w:rPr>
      </w:pPr>
      <w:r>
        <w:rPr>
          <w:rFonts w:eastAsiaTheme="minorEastAsia"/>
          <w:b/>
          <w:color w:val="000000" w:themeColor="text1"/>
          <w:sz w:val="21"/>
          <w:szCs w:val="20"/>
        </w:rPr>
        <w:t>表2.8-1原有项目生活污水污染物产排情况表</w:t>
      </w:r>
    </w:p>
    <w:tbl>
      <w:tblPr>
        <w:tblStyle w:val="61"/>
        <w:tblW w:w="955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1541"/>
        <w:gridCol w:w="1126"/>
        <w:gridCol w:w="1245"/>
        <w:gridCol w:w="1350"/>
        <w:gridCol w:w="1088"/>
        <w:gridCol w:w="1248"/>
        <w:gridCol w:w="1221"/>
        <w:gridCol w:w="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48" w:hRule="atLeast"/>
          <w:jc w:val="center"/>
        </w:trPr>
        <w:tc>
          <w:tcPr>
            <w:tcW w:w="154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项目</w:t>
            </w:r>
          </w:p>
        </w:tc>
        <w:tc>
          <w:tcPr>
            <w:tcW w:w="1126"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进水水质（mg/L）</w:t>
            </w:r>
          </w:p>
        </w:tc>
        <w:tc>
          <w:tcPr>
            <w:tcW w:w="1245"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产生量（t/a）</w:t>
            </w:r>
          </w:p>
        </w:tc>
        <w:tc>
          <w:tcPr>
            <w:tcW w:w="1350"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处置措施</w:t>
            </w:r>
          </w:p>
        </w:tc>
        <w:tc>
          <w:tcPr>
            <w:tcW w:w="108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出水水质（mg/L）</w:t>
            </w:r>
          </w:p>
        </w:tc>
        <w:tc>
          <w:tcPr>
            <w:tcW w:w="124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处置量（t/a）</w:t>
            </w:r>
          </w:p>
        </w:tc>
        <w:tc>
          <w:tcPr>
            <w:tcW w:w="122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削减量（t/a）</w:t>
            </w:r>
          </w:p>
        </w:tc>
        <w:tc>
          <w:tcPr>
            <w:tcW w:w="740"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154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废水量</w:t>
            </w:r>
          </w:p>
        </w:tc>
        <w:tc>
          <w:tcPr>
            <w:tcW w:w="1126" w:type="dxa"/>
            <w:tcBorders>
              <w:tl2br w:val="nil"/>
              <w:tr2bl w:val="nil"/>
            </w:tcBorders>
            <w:shd w:val="clear" w:color="auto" w:fill="auto"/>
            <w:vAlign w:val="center"/>
          </w:tcPr>
          <w:p>
            <w:pPr>
              <w:widowControl/>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245"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kern w:val="0"/>
                <w:sz w:val="21"/>
                <w:szCs w:val="21"/>
              </w:rPr>
              <w:t>1632</w:t>
            </w:r>
          </w:p>
        </w:tc>
        <w:tc>
          <w:tcPr>
            <w:tcW w:w="1350" w:type="dxa"/>
            <w:vMerge w:val="restart"/>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化粪池</w:t>
            </w:r>
          </w:p>
        </w:tc>
        <w:tc>
          <w:tcPr>
            <w:tcW w:w="108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w:t>
            </w:r>
          </w:p>
        </w:tc>
        <w:tc>
          <w:tcPr>
            <w:tcW w:w="124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1632</w:t>
            </w:r>
          </w:p>
        </w:tc>
        <w:tc>
          <w:tcPr>
            <w:tcW w:w="122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0</w:t>
            </w:r>
          </w:p>
        </w:tc>
        <w:tc>
          <w:tcPr>
            <w:tcW w:w="740" w:type="dxa"/>
            <w:vMerge w:val="restart"/>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给周</w:t>
            </w:r>
            <w:r>
              <w:rPr>
                <w:rStyle w:val="73"/>
                <w:rFonts w:hint="eastAsia"/>
                <w:color w:val="000000" w:themeColor="text1"/>
                <w:kern w:val="0"/>
              </w:rPr>
              <w:t>边农民清掏作为农肥使用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154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pH</w:t>
            </w:r>
          </w:p>
        </w:tc>
        <w:tc>
          <w:tcPr>
            <w:tcW w:w="1126"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7.16~7.30</w:t>
            </w:r>
          </w:p>
        </w:tc>
        <w:tc>
          <w:tcPr>
            <w:tcW w:w="1245"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w:t>
            </w:r>
          </w:p>
        </w:tc>
        <w:tc>
          <w:tcPr>
            <w:tcW w:w="1350" w:type="dxa"/>
            <w:vMerge w:val="continue"/>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p>
        </w:tc>
        <w:tc>
          <w:tcPr>
            <w:tcW w:w="108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7.16~7.30</w:t>
            </w:r>
          </w:p>
        </w:tc>
        <w:tc>
          <w:tcPr>
            <w:tcW w:w="124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w:t>
            </w:r>
          </w:p>
        </w:tc>
        <w:tc>
          <w:tcPr>
            <w:tcW w:w="122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w:t>
            </w:r>
          </w:p>
        </w:tc>
        <w:tc>
          <w:tcPr>
            <w:tcW w:w="740" w:type="dxa"/>
            <w:vMerge w:val="continue"/>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154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SS</w:t>
            </w:r>
          </w:p>
        </w:tc>
        <w:tc>
          <w:tcPr>
            <w:tcW w:w="1126"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325</w:t>
            </w:r>
          </w:p>
        </w:tc>
        <w:tc>
          <w:tcPr>
            <w:tcW w:w="1245"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0.53</w:t>
            </w:r>
          </w:p>
        </w:tc>
        <w:tc>
          <w:tcPr>
            <w:tcW w:w="1350" w:type="dxa"/>
            <w:vMerge w:val="continue"/>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p>
        </w:tc>
        <w:tc>
          <w:tcPr>
            <w:tcW w:w="108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195</w:t>
            </w:r>
          </w:p>
        </w:tc>
        <w:tc>
          <w:tcPr>
            <w:tcW w:w="124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0.32</w:t>
            </w:r>
          </w:p>
        </w:tc>
        <w:tc>
          <w:tcPr>
            <w:tcW w:w="122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0.21</w:t>
            </w:r>
          </w:p>
        </w:tc>
        <w:tc>
          <w:tcPr>
            <w:tcW w:w="740" w:type="dxa"/>
            <w:vMerge w:val="continue"/>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154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COD</w:t>
            </w:r>
          </w:p>
        </w:tc>
        <w:tc>
          <w:tcPr>
            <w:tcW w:w="1126"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280</w:t>
            </w:r>
          </w:p>
        </w:tc>
        <w:tc>
          <w:tcPr>
            <w:tcW w:w="1245"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0.46</w:t>
            </w:r>
          </w:p>
        </w:tc>
        <w:tc>
          <w:tcPr>
            <w:tcW w:w="1350" w:type="dxa"/>
            <w:vMerge w:val="continue"/>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p>
        </w:tc>
        <w:tc>
          <w:tcPr>
            <w:tcW w:w="108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255</w:t>
            </w:r>
          </w:p>
        </w:tc>
        <w:tc>
          <w:tcPr>
            <w:tcW w:w="124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0.42</w:t>
            </w:r>
          </w:p>
        </w:tc>
        <w:tc>
          <w:tcPr>
            <w:tcW w:w="122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0.04</w:t>
            </w:r>
          </w:p>
        </w:tc>
        <w:tc>
          <w:tcPr>
            <w:tcW w:w="740" w:type="dxa"/>
            <w:vMerge w:val="continue"/>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345" w:hRule="atLeast"/>
          <w:jc w:val="center"/>
        </w:trPr>
        <w:tc>
          <w:tcPr>
            <w:tcW w:w="154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BOD</w:t>
            </w:r>
            <w:r>
              <w:rPr>
                <w:rFonts w:eastAsiaTheme="minorEastAsia"/>
                <w:color w:val="000000" w:themeColor="text1"/>
                <w:kern w:val="0"/>
                <w:sz w:val="21"/>
                <w:szCs w:val="21"/>
                <w:vertAlign w:val="subscript"/>
              </w:rPr>
              <w:t>5</w:t>
            </w:r>
          </w:p>
        </w:tc>
        <w:tc>
          <w:tcPr>
            <w:tcW w:w="1126"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130</w:t>
            </w:r>
          </w:p>
        </w:tc>
        <w:tc>
          <w:tcPr>
            <w:tcW w:w="1245"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0.21</w:t>
            </w:r>
          </w:p>
        </w:tc>
        <w:tc>
          <w:tcPr>
            <w:tcW w:w="1350" w:type="dxa"/>
            <w:vMerge w:val="continue"/>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p>
        </w:tc>
        <w:tc>
          <w:tcPr>
            <w:tcW w:w="108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108</w:t>
            </w:r>
          </w:p>
        </w:tc>
        <w:tc>
          <w:tcPr>
            <w:tcW w:w="124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0.18</w:t>
            </w:r>
          </w:p>
        </w:tc>
        <w:tc>
          <w:tcPr>
            <w:tcW w:w="122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0.03</w:t>
            </w:r>
          </w:p>
        </w:tc>
        <w:tc>
          <w:tcPr>
            <w:tcW w:w="740" w:type="dxa"/>
            <w:vMerge w:val="continue"/>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154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氨氮</w:t>
            </w:r>
          </w:p>
        </w:tc>
        <w:tc>
          <w:tcPr>
            <w:tcW w:w="1126"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30</w:t>
            </w:r>
          </w:p>
        </w:tc>
        <w:tc>
          <w:tcPr>
            <w:tcW w:w="1245"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0.049</w:t>
            </w:r>
          </w:p>
        </w:tc>
        <w:tc>
          <w:tcPr>
            <w:tcW w:w="1350" w:type="dxa"/>
            <w:vMerge w:val="continue"/>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p>
        </w:tc>
        <w:tc>
          <w:tcPr>
            <w:tcW w:w="108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28</w:t>
            </w:r>
          </w:p>
        </w:tc>
        <w:tc>
          <w:tcPr>
            <w:tcW w:w="124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0.046</w:t>
            </w:r>
          </w:p>
        </w:tc>
        <w:tc>
          <w:tcPr>
            <w:tcW w:w="122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0.003</w:t>
            </w:r>
          </w:p>
        </w:tc>
        <w:tc>
          <w:tcPr>
            <w:tcW w:w="740" w:type="dxa"/>
            <w:vMerge w:val="continue"/>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p>
        </w:tc>
      </w:tr>
    </w:tbl>
    <w:p>
      <w:pPr>
        <w:pStyle w:val="127"/>
        <w:rPr>
          <w:rFonts w:eastAsiaTheme="minorEastAsia"/>
          <w:color w:val="000000" w:themeColor="text1"/>
        </w:rPr>
      </w:pPr>
      <w:r>
        <w:rPr>
          <w:rFonts w:eastAsiaTheme="minorEastAsia"/>
          <w:color w:val="000000" w:themeColor="text1"/>
        </w:rPr>
        <w:t>2、污染物治理措施</w:t>
      </w:r>
    </w:p>
    <w:p>
      <w:pPr>
        <w:pStyle w:val="127"/>
        <w:rPr>
          <w:rFonts w:eastAsiaTheme="minorEastAsia"/>
          <w:color w:val="000000" w:themeColor="text1"/>
        </w:rPr>
      </w:pPr>
      <w:r>
        <w:rPr>
          <w:rFonts w:eastAsiaTheme="minorEastAsia"/>
          <w:color w:val="000000" w:themeColor="text1"/>
        </w:rPr>
        <w:t>生活区生活污水经化粪池处理后</w:t>
      </w:r>
      <w:r>
        <w:rPr>
          <w:rFonts w:hint="eastAsia" w:eastAsiaTheme="minorEastAsia"/>
          <w:color w:val="000000" w:themeColor="text1"/>
        </w:rPr>
        <w:t>定时</w:t>
      </w:r>
      <w:r>
        <w:rPr>
          <w:rFonts w:hint="eastAsia" w:asciiTheme="minorEastAsia" w:hAnsiTheme="minorEastAsia" w:eastAsiaTheme="minorEastAsia"/>
          <w:color w:val="000000" w:themeColor="text1"/>
        </w:rPr>
        <w:t>给周</w:t>
      </w:r>
      <w:r>
        <w:rPr>
          <w:rStyle w:val="73"/>
          <w:rFonts w:hint="eastAsia" w:asciiTheme="minorEastAsia" w:hAnsiTheme="minorEastAsia" w:eastAsiaTheme="minorEastAsia"/>
          <w:color w:val="000000" w:themeColor="text1"/>
          <w:kern w:val="0"/>
          <w:sz w:val="24"/>
          <w:szCs w:val="24"/>
        </w:rPr>
        <w:t>边农民清掏作为农肥使用</w:t>
      </w:r>
      <w:r>
        <w:rPr>
          <w:rFonts w:eastAsiaTheme="minorEastAsia"/>
          <w:color w:val="000000" w:themeColor="text1"/>
        </w:rPr>
        <w:t>。</w:t>
      </w:r>
    </w:p>
    <w:p>
      <w:pPr>
        <w:pStyle w:val="6"/>
        <w:spacing w:beforeLines="0" w:afterLines="0"/>
        <w:rPr>
          <w:rFonts w:eastAsiaTheme="minorEastAsia"/>
          <w:color w:val="000000" w:themeColor="text1"/>
          <w:sz w:val="28"/>
          <w:szCs w:val="28"/>
        </w:rPr>
      </w:pPr>
      <w:bookmarkStart w:id="431" w:name="_Toc17012"/>
      <w:r>
        <w:rPr>
          <w:rFonts w:eastAsiaTheme="minorEastAsia"/>
          <w:color w:val="000000" w:themeColor="text1"/>
          <w:sz w:val="28"/>
          <w:szCs w:val="28"/>
        </w:rPr>
        <w:t>2.8.2</w:t>
      </w:r>
      <w:r>
        <w:rPr>
          <w:rFonts w:hint="eastAsia" w:eastAsiaTheme="minorEastAsia"/>
          <w:color w:val="000000" w:themeColor="text1"/>
          <w:sz w:val="28"/>
          <w:szCs w:val="28"/>
        </w:rPr>
        <w:t>地下水</w:t>
      </w:r>
      <w:bookmarkEnd w:id="431"/>
    </w:p>
    <w:p>
      <w:pPr>
        <w:pStyle w:val="127"/>
        <w:rPr>
          <w:rFonts w:eastAsiaTheme="minorEastAsia"/>
          <w:color w:val="000000" w:themeColor="text1"/>
          <w:sz w:val="28"/>
          <w:szCs w:val="28"/>
        </w:rPr>
      </w:pPr>
      <w:r>
        <w:rPr>
          <w:rFonts w:hint="eastAsia" w:eastAsiaTheme="minorEastAsia"/>
          <w:color w:val="000000" w:themeColor="text1"/>
        </w:rPr>
        <w:t>本报告地下水污染治理措施主要对原有项目防渗情况进行回顾，根据现场调查，原有项目由于建设时期较早，未对尾矿沉淀池、精矿池、事故池进行重点防渗，危废暂存间防渗措施不完善，本次环评要求完善尾矿沉淀池、精矿池、事故池、危废暂存间的防渗工作。</w:t>
      </w:r>
    </w:p>
    <w:p>
      <w:pPr>
        <w:pStyle w:val="6"/>
        <w:spacing w:beforeLines="0" w:afterLines="0"/>
        <w:rPr>
          <w:rFonts w:eastAsiaTheme="minorEastAsia"/>
          <w:color w:val="000000" w:themeColor="text1"/>
          <w:sz w:val="28"/>
          <w:szCs w:val="28"/>
        </w:rPr>
      </w:pPr>
      <w:bookmarkStart w:id="432" w:name="_Toc22717"/>
      <w:r>
        <w:rPr>
          <w:rFonts w:eastAsiaTheme="minorEastAsia"/>
          <w:color w:val="000000" w:themeColor="text1"/>
          <w:sz w:val="28"/>
          <w:szCs w:val="28"/>
        </w:rPr>
        <w:t>2.8.</w:t>
      </w:r>
      <w:r>
        <w:rPr>
          <w:rFonts w:hint="eastAsia" w:eastAsiaTheme="minorEastAsia"/>
          <w:color w:val="000000" w:themeColor="text1"/>
          <w:sz w:val="28"/>
          <w:szCs w:val="28"/>
        </w:rPr>
        <w:t>3</w:t>
      </w:r>
      <w:r>
        <w:rPr>
          <w:rFonts w:eastAsiaTheme="minorEastAsia"/>
          <w:color w:val="000000" w:themeColor="text1"/>
          <w:sz w:val="28"/>
          <w:szCs w:val="28"/>
        </w:rPr>
        <w:t>废气</w:t>
      </w:r>
      <w:bookmarkEnd w:id="432"/>
    </w:p>
    <w:p>
      <w:pPr>
        <w:pStyle w:val="127"/>
        <w:rPr>
          <w:rFonts w:eastAsiaTheme="minorEastAsia"/>
          <w:color w:val="000000" w:themeColor="text1"/>
        </w:rPr>
      </w:pPr>
      <w:r>
        <w:rPr>
          <w:rFonts w:eastAsiaTheme="minorEastAsia"/>
          <w:color w:val="000000" w:themeColor="text1"/>
        </w:rPr>
        <w:t>选厂</w:t>
      </w:r>
      <w:r>
        <w:rPr>
          <w:rFonts w:hint="eastAsia" w:eastAsiaTheme="minorEastAsia"/>
          <w:color w:val="000000" w:themeColor="text1"/>
        </w:rPr>
        <w:t>大气污染物</w:t>
      </w:r>
      <w:r>
        <w:rPr>
          <w:rFonts w:eastAsiaTheme="minorEastAsia"/>
          <w:color w:val="000000" w:themeColor="text1"/>
        </w:rPr>
        <w:t>主要来自于原矿堆场无组织排放粉尘及破碎、筛分生产工序无组织排放点</w:t>
      </w:r>
      <w:r>
        <w:rPr>
          <w:rFonts w:hint="eastAsia" w:eastAsiaTheme="minorEastAsia"/>
          <w:color w:val="000000" w:themeColor="text1"/>
        </w:rPr>
        <w:t>，本厂区内不设食堂</w:t>
      </w:r>
      <w:r>
        <w:rPr>
          <w:rFonts w:eastAsiaTheme="minorEastAsia"/>
          <w:color w:val="000000" w:themeColor="text1"/>
        </w:rPr>
        <w:t>。</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2.8.</w:t>
      </w:r>
      <w:r>
        <w:rPr>
          <w:rFonts w:hint="eastAsia" w:eastAsiaTheme="minorEastAsia"/>
          <w:b/>
          <w:color w:val="000000" w:themeColor="text1"/>
          <w:kern w:val="0"/>
          <w:szCs w:val="24"/>
        </w:rPr>
        <w:t>3</w:t>
      </w:r>
      <w:r>
        <w:rPr>
          <w:rFonts w:eastAsiaTheme="minorEastAsia"/>
          <w:b/>
          <w:color w:val="000000" w:themeColor="text1"/>
          <w:kern w:val="0"/>
          <w:szCs w:val="24"/>
        </w:rPr>
        <w:t>.1原矿堆场扬尘</w:t>
      </w:r>
    </w:p>
    <w:p>
      <w:pPr>
        <w:pStyle w:val="127"/>
        <w:rPr>
          <w:rFonts w:eastAsiaTheme="minorEastAsia"/>
          <w:color w:val="000000" w:themeColor="text1"/>
        </w:rPr>
      </w:pPr>
      <w:r>
        <w:rPr>
          <w:rFonts w:eastAsiaTheme="minorEastAsia"/>
          <w:color w:val="000000" w:themeColor="text1"/>
        </w:rPr>
        <w:t>1、污染物产生情况</w:t>
      </w:r>
    </w:p>
    <w:p>
      <w:pPr>
        <w:ind w:firstLine="480"/>
        <w:rPr>
          <w:rFonts w:eastAsiaTheme="minorEastAsia"/>
          <w:color w:val="000000" w:themeColor="text1"/>
        </w:rPr>
      </w:pPr>
      <w:r>
        <w:rPr>
          <w:rFonts w:eastAsiaTheme="minorEastAsia"/>
          <w:color w:val="000000" w:themeColor="text1"/>
        </w:rPr>
        <w:t>项目原矿堆场为露天堆放，通过定期洒水保持湿度，可以在一定程度上控制堆场的风力扬尘。无组织排放量可按下式计算：</w:t>
      </w:r>
    </w:p>
    <w:p>
      <w:pPr>
        <w:ind w:firstLine="480"/>
        <w:rPr>
          <w:rFonts w:eastAsiaTheme="minorEastAsia"/>
          <w:color w:val="000000" w:themeColor="text1"/>
        </w:rPr>
      </w:pPr>
      <w:r>
        <w:rPr>
          <w:rFonts w:eastAsiaTheme="minorEastAsia"/>
          <w:color w:val="000000" w:themeColor="text1"/>
        </w:rPr>
        <w:t>Q＝4.23×10</w:t>
      </w:r>
      <w:r>
        <w:rPr>
          <w:rFonts w:eastAsiaTheme="minorEastAsia"/>
          <w:color w:val="000000" w:themeColor="text1"/>
          <w:vertAlign w:val="superscript"/>
        </w:rPr>
        <w:t>－4</w:t>
      </w:r>
      <w:r>
        <w:rPr>
          <w:rFonts w:eastAsiaTheme="minorEastAsia"/>
          <w:color w:val="000000" w:themeColor="text1"/>
        </w:rPr>
        <w:t>×V</w:t>
      </w:r>
      <w:r>
        <w:rPr>
          <w:rFonts w:eastAsiaTheme="minorEastAsia"/>
          <w:color w:val="000000" w:themeColor="text1"/>
          <w:vertAlign w:val="superscript"/>
        </w:rPr>
        <w:t>4.9</w:t>
      </w:r>
      <w:r>
        <w:rPr>
          <w:rFonts w:eastAsiaTheme="minorEastAsia"/>
          <w:color w:val="000000" w:themeColor="text1"/>
        </w:rPr>
        <w:t>×S</w:t>
      </w:r>
    </w:p>
    <w:p>
      <w:pPr>
        <w:ind w:firstLine="480"/>
        <w:rPr>
          <w:rFonts w:eastAsiaTheme="minorEastAsia"/>
          <w:color w:val="000000" w:themeColor="text1"/>
        </w:rPr>
      </w:pPr>
      <w:r>
        <w:rPr>
          <w:rFonts w:eastAsiaTheme="minorEastAsia"/>
          <w:color w:val="000000" w:themeColor="text1"/>
        </w:rPr>
        <w:t>式中：——Q为物料无组织排放速率mg/s；</w:t>
      </w:r>
    </w:p>
    <w:p>
      <w:pPr>
        <w:ind w:firstLine="480"/>
        <w:rPr>
          <w:rFonts w:eastAsiaTheme="minorEastAsia"/>
          <w:color w:val="000000" w:themeColor="text1"/>
        </w:rPr>
      </w:pPr>
      <w:r>
        <w:rPr>
          <w:rFonts w:eastAsiaTheme="minorEastAsia"/>
          <w:color w:val="000000" w:themeColor="text1"/>
        </w:rPr>
        <w:t>——其中V平均风速m/s；</w:t>
      </w:r>
    </w:p>
    <w:p>
      <w:pPr>
        <w:ind w:firstLine="480"/>
        <w:rPr>
          <w:rFonts w:eastAsiaTheme="minorEastAsia"/>
          <w:color w:val="000000" w:themeColor="text1"/>
        </w:rPr>
      </w:pPr>
      <w:r>
        <w:rPr>
          <w:rFonts w:eastAsiaTheme="minorEastAsia"/>
          <w:color w:val="000000" w:themeColor="text1"/>
        </w:rPr>
        <w:t>——S为堆场面积m</w:t>
      </w:r>
      <w:r>
        <w:rPr>
          <w:rFonts w:eastAsiaTheme="minorEastAsia"/>
          <w:color w:val="000000" w:themeColor="text1"/>
          <w:vertAlign w:val="superscript"/>
        </w:rPr>
        <w:t>2</w:t>
      </w:r>
      <w:r>
        <w:rPr>
          <w:rFonts w:eastAsiaTheme="minorEastAsia"/>
          <w:color w:val="000000" w:themeColor="text1"/>
        </w:rPr>
        <w:t>，此处取堆矿场合计面积。</w:t>
      </w:r>
    </w:p>
    <w:p>
      <w:pPr>
        <w:ind w:firstLine="480"/>
        <w:rPr>
          <w:rFonts w:eastAsiaTheme="minorEastAsia"/>
          <w:color w:val="000000" w:themeColor="text1"/>
        </w:rPr>
      </w:pPr>
      <w:r>
        <w:rPr>
          <w:rFonts w:eastAsiaTheme="minorEastAsia"/>
          <w:color w:val="000000" w:themeColor="text1"/>
        </w:rPr>
        <w:t>新平的平均风速为2.3m/s，堆放场面积为1000m</w:t>
      </w:r>
      <w:r>
        <w:rPr>
          <w:rFonts w:eastAsiaTheme="minorEastAsia"/>
          <w:color w:val="000000" w:themeColor="text1"/>
          <w:vertAlign w:val="superscript"/>
        </w:rPr>
        <w:t>2</w:t>
      </w:r>
      <w:r>
        <w:rPr>
          <w:rFonts w:eastAsiaTheme="minorEastAsia"/>
          <w:color w:val="000000" w:themeColor="text1"/>
        </w:rPr>
        <w:t>。经计算起</w:t>
      </w:r>
      <w:r>
        <w:rPr>
          <w:rFonts w:hint="eastAsia" w:eastAsiaTheme="minorEastAsia"/>
          <w:color w:val="000000" w:themeColor="text1"/>
        </w:rPr>
        <w:t>尘</w:t>
      </w:r>
      <w:r>
        <w:rPr>
          <w:rFonts w:eastAsiaTheme="minorEastAsia"/>
          <w:color w:val="000000" w:themeColor="text1"/>
        </w:rPr>
        <w:t>速率为25.1mg/s，起尘量为0.65t/a，采取洒水降尘的形式，降尘率为60%，粉尘的排放量为0.26t/a。</w:t>
      </w:r>
    </w:p>
    <w:p>
      <w:pPr>
        <w:pStyle w:val="127"/>
        <w:rPr>
          <w:rFonts w:eastAsiaTheme="minorEastAsia"/>
          <w:color w:val="000000" w:themeColor="text1"/>
        </w:rPr>
      </w:pPr>
      <w:r>
        <w:rPr>
          <w:rFonts w:eastAsiaTheme="minorEastAsia"/>
          <w:color w:val="000000" w:themeColor="text1"/>
        </w:rPr>
        <w:t>2、污染物治理措施</w:t>
      </w:r>
    </w:p>
    <w:p>
      <w:pPr>
        <w:ind w:firstLine="480"/>
        <w:rPr>
          <w:rFonts w:eastAsiaTheme="minorEastAsia"/>
          <w:b/>
          <w:color w:val="000000" w:themeColor="text1"/>
          <w:kern w:val="0"/>
          <w:szCs w:val="24"/>
        </w:rPr>
      </w:pPr>
      <w:r>
        <w:rPr>
          <w:rFonts w:eastAsiaTheme="minorEastAsia"/>
          <w:color w:val="000000" w:themeColor="text1"/>
          <w:szCs w:val="24"/>
        </w:rPr>
        <w:t>据调查，针对原矿堆场产生扬尘，业主采取适时洒水的方式来达到降尘的目的。</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2.8.</w:t>
      </w:r>
      <w:r>
        <w:rPr>
          <w:rFonts w:hint="eastAsia" w:eastAsiaTheme="minorEastAsia"/>
          <w:b/>
          <w:color w:val="000000" w:themeColor="text1"/>
          <w:kern w:val="0"/>
          <w:szCs w:val="24"/>
        </w:rPr>
        <w:t>3</w:t>
      </w:r>
      <w:r>
        <w:rPr>
          <w:rFonts w:eastAsiaTheme="minorEastAsia"/>
          <w:b/>
          <w:color w:val="000000" w:themeColor="text1"/>
          <w:kern w:val="0"/>
          <w:szCs w:val="24"/>
        </w:rPr>
        <w:t>.2选矿破碎生产线粉尘</w:t>
      </w:r>
    </w:p>
    <w:p>
      <w:pPr>
        <w:pStyle w:val="127"/>
        <w:rPr>
          <w:rFonts w:eastAsiaTheme="minorEastAsia"/>
          <w:color w:val="000000" w:themeColor="text1"/>
        </w:rPr>
      </w:pPr>
      <w:r>
        <w:rPr>
          <w:rFonts w:eastAsiaTheme="minorEastAsia"/>
          <w:color w:val="000000" w:themeColor="text1"/>
        </w:rPr>
        <w:t>1、污染物产生情况</w:t>
      </w:r>
    </w:p>
    <w:p>
      <w:pPr>
        <w:ind w:firstLine="480"/>
        <w:rPr>
          <w:rFonts w:eastAsiaTheme="minorEastAsia"/>
          <w:color w:val="000000" w:themeColor="text1"/>
        </w:rPr>
      </w:pPr>
      <w:r>
        <w:rPr>
          <w:rFonts w:hint="eastAsia" w:eastAsiaTheme="minorEastAsia"/>
          <w:color w:val="000000" w:themeColor="text1"/>
          <w:szCs w:val="24"/>
        </w:rPr>
        <w:t>破碎、筛分</w:t>
      </w:r>
      <w:r>
        <w:rPr>
          <w:rFonts w:eastAsiaTheme="minorEastAsia"/>
          <w:color w:val="000000" w:themeColor="text1"/>
          <w:szCs w:val="24"/>
        </w:rPr>
        <w:t>粉尘为无组织排放，主要排放源为二级破碎机口和筛分工段，查阅《工业污染源产排污系数手册》</w:t>
      </w:r>
      <w:r>
        <w:rPr>
          <w:rFonts w:eastAsiaTheme="minorEastAsia"/>
          <w:color w:val="000000" w:themeColor="text1"/>
        </w:rPr>
        <w:t>，</w:t>
      </w:r>
      <w:r>
        <w:rPr>
          <w:color w:val="000000" w:themeColor="text1"/>
        </w:rPr>
        <w:t>给料口粉尘产生系数为0.005</w:t>
      </w:r>
      <w:r>
        <w:rPr>
          <w:rFonts w:eastAsia="Times New Roman"/>
          <w:color w:val="000000" w:themeColor="text1"/>
        </w:rPr>
        <w:t>kg/t</w:t>
      </w:r>
      <w:r>
        <w:rPr>
          <w:color w:val="000000" w:themeColor="text1"/>
        </w:rPr>
        <w:t>-原料，破碎产污系数为</w:t>
      </w:r>
      <w:r>
        <w:rPr>
          <w:rFonts w:eastAsia="Times New Roman"/>
          <w:color w:val="000000" w:themeColor="text1"/>
        </w:rPr>
        <w:t>0.</w:t>
      </w:r>
      <w:r>
        <w:rPr>
          <w:color w:val="000000" w:themeColor="text1"/>
        </w:rPr>
        <w:t>25</w:t>
      </w:r>
      <w:r>
        <w:rPr>
          <w:rFonts w:eastAsia="Times New Roman"/>
          <w:color w:val="000000" w:themeColor="text1"/>
        </w:rPr>
        <w:t>kg/t</w:t>
      </w:r>
      <w:r>
        <w:rPr>
          <w:color w:val="000000" w:themeColor="text1"/>
        </w:rPr>
        <w:t>-原料</w:t>
      </w:r>
      <w:r>
        <w:rPr>
          <w:rFonts w:hint="eastAsia"/>
          <w:color w:val="000000" w:themeColor="text1"/>
        </w:rPr>
        <w:t>，</w:t>
      </w:r>
      <w:r>
        <w:rPr>
          <w:color w:val="000000" w:themeColor="text1"/>
        </w:rPr>
        <w:t>第二次破碎量</w:t>
      </w:r>
      <w:r>
        <w:rPr>
          <w:rFonts w:hint="eastAsia"/>
          <w:color w:val="000000" w:themeColor="text1"/>
        </w:rPr>
        <w:t>和第一次破碎量一致，第三次破碎（筛上物返回二级破碎机）</w:t>
      </w:r>
      <w:r>
        <w:rPr>
          <w:color w:val="000000" w:themeColor="text1"/>
        </w:rPr>
        <w:t>按</w:t>
      </w:r>
      <w:r>
        <w:rPr>
          <w:rFonts w:hint="eastAsia"/>
          <w:color w:val="000000" w:themeColor="text1"/>
        </w:rPr>
        <w:t>第二次</w:t>
      </w:r>
      <w:r>
        <w:rPr>
          <w:color w:val="000000" w:themeColor="text1"/>
        </w:rPr>
        <w:t>破碎量的70%计算，筛分产污系数为0.008</w:t>
      </w:r>
      <w:r>
        <w:rPr>
          <w:rFonts w:eastAsia="Times New Roman"/>
          <w:color w:val="000000" w:themeColor="text1"/>
        </w:rPr>
        <w:t>kg/t</w:t>
      </w:r>
      <w:r>
        <w:rPr>
          <w:color w:val="000000" w:themeColor="text1"/>
        </w:rPr>
        <w:t>-原料</w:t>
      </w:r>
      <w:r>
        <w:rPr>
          <w:rFonts w:eastAsiaTheme="minorEastAsia"/>
          <w:color w:val="000000" w:themeColor="text1"/>
        </w:rPr>
        <w:t>，破碎筛分工段采用喷雾降尘设施进行</w:t>
      </w:r>
      <w:r>
        <w:rPr>
          <w:rFonts w:hint="eastAsia" w:eastAsiaTheme="minorEastAsia"/>
          <w:color w:val="000000" w:themeColor="text1"/>
        </w:rPr>
        <w:t>降</w:t>
      </w:r>
      <w:r>
        <w:rPr>
          <w:rFonts w:eastAsiaTheme="minorEastAsia"/>
          <w:color w:val="000000" w:themeColor="text1"/>
        </w:rPr>
        <w:t>尘，效率按70%计算。</w:t>
      </w:r>
    </w:p>
    <w:p>
      <w:pPr>
        <w:kinsoku w:val="0"/>
        <w:overflowPunct w:val="0"/>
        <w:autoSpaceDE w:val="0"/>
        <w:adjustRightInd w:val="0"/>
        <w:snapToGrid w:val="0"/>
        <w:ind w:firstLine="480"/>
        <w:rPr>
          <w:b/>
          <w:color w:val="000000" w:themeColor="text1"/>
          <w:sz w:val="21"/>
          <w:szCs w:val="21"/>
        </w:rPr>
      </w:pPr>
      <w:r>
        <w:rPr>
          <w:color w:val="000000" w:themeColor="text1"/>
        </w:rPr>
        <w:t>给料口、原料破碎、筛分粉尘产排情况见下表所示：</w:t>
      </w: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表2.8-2各生产设备颗粒物产排情况一览表</w:t>
      </w:r>
    </w:p>
    <w:tbl>
      <w:tblPr>
        <w:tblStyle w:val="61"/>
        <w:tblW w:w="90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41"/>
        <w:gridCol w:w="1112"/>
        <w:gridCol w:w="1081"/>
        <w:gridCol w:w="1008"/>
        <w:gridCol w:w="1184"/>
        <w:gridCol w:w="759"/>
        <w:gridCol w:w="1570"/>
        <w:gridCol w:w="1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9"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序号</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工段</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产污系数</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物料量（t/a）</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产生量（t/a）</w:t>
            </w:r>
          </w:p>
        </w:tc>
        <w:tc>
          <w:tcPr>
            <w:tcW w:w="1184"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降尘措施</w:t>
            </w:r>
          </w:p>
        </w:tc>
        <w:tc>
          <w:tcPr>
            <w:tcW w:w="75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降尘效率</w:t>
            </w:r>
          </w:p>
        </w:tc>
        <w:tc>
          <w:tcPr>
            <w:tcW w:w="1570"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排放量（t/a）</w:t>
            </w:r>
          </w:p>
        </w:tc>
        <w:tc>
          <w:tcPr>
            <w:tcW w:w="1114"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给料口</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0.005kg/t-原料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150000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0.75</w:t>
            </w:r>
          </w:p>
        </w:tc>
        <w:tc>
          <w:tcPr>
            <w:tcW w:w="1184" w:type="dxa"/>
            <w:vMerge w:val="restart"/>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喷雾降尘</w:t>
            </w:r>
          </w:p>
        </w:tc>
        <w:tc>
          <w:tcPr>
            <w:tcW w:w="75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70%</w:t>
            </w:r>
          </w:p>
        </w:tc>
        <w:tc>
          <w:tcPr>
            <w:tcW w:w="1570"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0.225</w:t>
            </w:r>
          </w:p>
        </w:tc>
        <w:tc>
          <w:tcPr>
            <w:tcW w:w="1114"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2</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第一次破碎</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0.25kg/t-原料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150000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37.5</w:t>
            </w:r>
          </w:p>
        </w:tc>
        <w:tc>
          <w:tcPr>
            <w:tcW w:w="1184"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75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70%</w:t>
            </w:r>
          </w:p>
        </w:tc>
        <w:tc>
          <w:tcPr>
            <w:tcW w:w="1570"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11.25</w:t>
            </w:r>
          </w:p>
        </w:tc>
        <w:tc>
          <w:tcPr>
            <w:tcW w:w="1114"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3</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第</w:t>
            </w:r>
            <w:r>
              <w:rPr>
                <w:rFonts w:hint="eastAsia" w:eastAsiaTheme="minorEastAsia"/>
                <w:bCs/>
                <w:color w:val="000000" w:themeColor="text1"/>
                <w:sz w:val="21"/>
                <w:szCs w:val="21"/>
              </w:rPr>
              <w:t>二</w:t>
            </w:r>
            <w:r>
              <w:rPr>
                <w:rFonts w:eastAsiaTheme="minorEastAsia"/>
                <w:bCs/>
                <w:color w:val="000000" w:themeColor="text1"/>
                <w:sz w:val="21"/>
                <w:szCs w:val="21"/>
              </w:rPr>
              <w:t>次破碎</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0.25kg/t-原料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150000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37.5</w:t>
            </w:r>
          </w:p>
        </w:tc>
        <w:tc>
          <w:tcPr>
            <w:tcW w:w="1184"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75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70%</w:t>
            </w:r>
          </w:p>
        </w:tc>
        <w:tc>
          <w:tcPr>
            <w:tcW w:w="1570"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11.25</w:t>
            </w:r>
          </w:p>
        </w:tc>
        <w:tc>
          <w:tcPr>
            <w:tcW w:w="1114"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3</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第一次筛分</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0.08kg/t-原料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150000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12</w:t>
            </w:r>
          </w:p>
        </w:tc>
        <w:tc>
          <w:tcPr>
            <w:tcW w:w="1184"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75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70%</w:t>
            </w:r>
          </w:p>
        </w:tc>
        <w:tc>
          <w:tcPr>
            <w:tcW w:w="1570"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3.6</w:t>
            </w:r>
          </w:p>
        </w:tc>
        <w:tc>
          <w:tcPr>
            <w:tcW w:w="1114"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4</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第</w:t>
            </w:r>
            <w:r>
              <w:rPr>
                <w:rFonts w:hint="eastAsia" w:eastAsiaTheme="minorEastAsia"/>
                <w:bCs/>
                <w:color w:val="000000" w:themeColor="text1"/>
                <w:sz w:val="21"/>
                <w:szCs w:val="21"/>
              </w:rPr>
              <w:t>三</w:t>
            </w:r>
            <w:r>
              <w:rPr>
                <w:rFonts w:eastAsiaTheme="minorEastAsia"/>
                <w:bCs/>
                <w:color w:val="000000" w:themeColor="text1"/>
                <w:sz w:val="21"/>
                <w:szCs w:val="21"/>
              </w:rPr>
              <w:t>次破碎</w:t>
            </w:r>
            <w:r>
              <w:rPr>
                <w:rFonts w:hint="eastAsia" w:eastAsiaTheme="minorEastAsia"/>
                <w:bCs/>
                <w:color w:val="000000" w:themeColor="text1"/>
                <w:sz w:val="21"/>
                <w:szCs w:val="21"/>
              </w:rPr>
              <w:t>（筛上物返回二级破碎机）</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0.25kg/t-原料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105000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26.25</w:t>
            </w:r>
          </w:p>
        </w:tc>
        <w:tc>
          <w:tcPr>
            <w:tcW w:w="1184"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75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70%</w:t>
            </w:r>
          </w:p>
        </w:tc>
        <w:tc>
          <w:tcPr>
            <w:tcW w:w="1570"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7.875</w:t>
            </w:r>
          </w:p>
        </w:tc>
        <w:tc>
          <w:tcPr>
            <w:tcW w:w="1114"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无组织，第</w:t>
            </w:r>
            <w:r>
              <w:rPr>
                <w:rFonts w:hint="eastAsia" w:eastAsiaTheme="minorEastAsia"/>
                <w:bCs/>
                <w:color w:val="000000" w:themeColor="text1"/>
                <w:sz w:val="21"/>
                <w:szCs w:val="21"/>
              </w:rPr>
              <w:t>三</w:t>
            </w:r>
            <w:r>
              <w:rPr>
                <w:rFonts w:eastAsiaTheme="minorEastAsia"/>
                <w:bCs/>
                <w:color w:val="000000" w:themeColor="text1"/>
                <w:sz w:val="21"/>
                <w:szCs w:val="21"/>
              </w:rPr>
              <w:t>次需要破碎</w:t>
            </w:r>
            <w:r>
              <w:rPr>
                <w:rFonts w:hint="eastAsia" w:eastAsiaTheme="minorEastAsia"/>
                <w:bCs/>
                <w:color w:val="000000" w:themeColor="text1"/>
                <w:sz w:val="21"/>
                <w:szCs w:val="21"/>
              </w:rPr>
              <w:t>（筛上物）</w:t>
            </w:r>
            <w:r>
              <w:rPr>
                <w:rFonts w:eastAsiaTheme="minorEastAsia"/>
                <w:bCs/>
                <w:color w:val="000000" w:themeColor="text1"/>
                <w:sz w:val="21"/>
                <w:szCs w:val="21"/>
              </w:rPr>
              <w:t>的量约占总物料的70%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8"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5</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第二次筛分</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0.08kg/t-原料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105000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8.4</w:t>
            </w:r>
          </w:p>
        </w:tc>
        <w:tc>
          <w:tcPr>
            <w:tcW w:w="1184"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75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70%</w:t>
            </w:r>
          </w:p>
        </w:tc>
        <w:tc>
          <w:tcPr>
            <w:tcW w:w="1570"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2.52</w:t>
            </w:r>
          </w:p>
        </w:tc>
        <w:tc>
          <w:tcPr>
            <w:tcW w:w="1114"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8" w:hRule="atLeast"/>
        </w:trPr>
        <w:tc>
          <w:tcPr>
            <w:tcW w:w="3460" w:type="dxa"/>
            <w:gridSpan w:val="4"/>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合计</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122.4</w:t>
            </w:r>
          </w:p>
        </w:tc>
        <w:tc>
          <w:tcPr>
            <w:tcW w:w="1184"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w:t>
            </w:r>
          </w:p>
        </w:tc>
        <w:tc>
          <w:tcPr>
            <w:tcW w:w="75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w:t>
            </w:r>
          </w:p>
        </w:tc>
        <w:tc>
          <w:tcPr>
            <w:tcW w:w="1570"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36.72</w:t>
            </w:r>
          </w:p>
        </w:tc>
        <w:tc>
          <w:tcPr>
            <w:tcW w:w="1114"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w:t>
            </w:r>
          </w:p>
        </w:tc>
      </w:tr>
    </w:tbl>
    <w:p>
      <w:pPr>
        <w:pStyle w:val="2"/>
        <w:ind w:firstLine="480"/>
        <w:rPr>
          <w:rFonts w:ascii="Times New Roman" w:hAnsi="Times New Roman"/>
          <w:color w:val="000000" w:themeColor="text1"/>
        </w:rPr>
      </w:pPr>
    </w:p>
    <w:p>
      <w:pPr>
        <w:pStyle w:val="127"/>
        <w:rPr>
          <w:rFonts w:eastAsiaTheme="minorEastAsia"/>
          <w:color w:val="000000" w:themeColor="text1"/>
        </w:rPr>
      </w:pPr>
      <w:r>
        <w:rPr>
          <w:rFonts w:eastAsiaTheme="minorEastAsia"/>
          <w:color w:val="000000" w:themeColor="text1"/>
        </w:rPr>
        <w:t>2、污染物治理措施</w:t>
      </w:r>
    </w:p>
    <w:p>
      <w:pPr>
        <w:ind w:firstLine="480"/>
        <w:rPr>
          <w:rFonts w:eastAsiaTheme="minorEastAsia"/>
          <w:color w:val="000000" w:themeColor="text1"/>
          <w:szCs w:val="24"/>
        </w:rPr>
      </w:pPr>
      <w:r>
        <w:rPr>
          <w:rFonts w:eastAsiaTheme="minorEastAsia"/>
          <w:color w:val="000000" w:themeColor="text1"/>
          <w:szCs w:val="24"/>
        </w:rPr>
        <w:t>根据实际调查得知，原有项目破碎和筛分工序处</w:t>
      </w:r>
      <w:r>
        <w:rPr>
          <w:rFonts w:hint="eastAsia" w:eastAsiaTheme="minorEastAsia"/>
          <w:color w:val="000000" w:themeColor="text1"/>
          <w:szCs w:val="24"/>
        </w:rPr>
        <w:t>降</w:t>
      </w:r>
      <w:r>
        <w:rPr>
          <w:rFonts w:eastAsiaTheme="minorEastAsia"/>
          <w:color w:val="000000" w:themeColor="text1"/>
          <w:szCs w:val="24"/>
        </w:rPr>
        <w:t>尘方式为喷雾法除尘，粉尘无组织排放。</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2.8.</w:t>
      </w:r>
      <w:r>
        <w:rPr>
          <w:rFonts w:hint="eastAsia" w:eastAsiaTheme="minorEastAsia"/>
          <w:b/>
          <w:color w:val="000000" w:themeColor="text1"/>
          <w:kern w:val="0"/>
          <w:szCs w:val="24"/>
        </w:rPr>
        <w:t>3</w:t>
      </w:r>
      <w:r>
        <w:rPr>
          <w:rFonts w:eastAsiaTheme="minorEastAsia"/>
          <w:b/>
          <w:color w:val="000000" w:themeColor="text1"/>
          <w:kern w:val="0"/>
          <w:szCs w:val="24"/>
        </w:rPr>
        <w:t>.3运输扬尘</w:t>
      </w:r>
    </w:p>
    <w:p>
      <w:pPr>
        <w:pStyle w:val="127"/>
        <w:rPr>
          <w:rFonts w:eastAsiaTheme="minorEastAsia"/>
          <w:color w:val="000000" w:themeColor="text1"/>
        </w:rPr>
      </w:pPr>
      <w:r>
        <w:rPr>
          <w:rFonts w:eastAsiaTheme="minorEastAsia"/>
          <w:bCs/>
          <w:color w:val="000000" w:themeColor="text1"/>
        </w:rPr>
        <w:t>1、</w:t>
      </w:r>
      <w:r>
        <w:rPr>
          <w:rFonts w:eastAsiaTheme="minorEastAsia"/>
          <w:color w:val="000000" w:themeColor="text1"/>
        </w:rPr>
        <w:t>污染物产生情况</w:t>
      </w:r>
    </w:p>
    <w:p>
      <w:pPr>
        <w:kinsoku w:val="0"/>
        <w:overflowPunct w:val="0"/>
        <w:autoSpaceDE w:val="0"/>
        <w:ind w:firstLine="480"/>
        <w:rPr>
          <w:bCs/>
          <w:color w:val="000000" w:themeColor="text1"/>
        </w:rPr>
      </w:pPr>
      <w:r>
        <w:rPr>
          <w:color w:val="000000" w:themeColor="text1"/>
        </w:rPr>
        <w:t>车辆运输过程中道路会产生一定的扬尘，</w:t>
      </w:r>
      <w:r>
        <w:rPr>
          <w:bCs/>
          <w:color w:val="000000" w:themeColor="text1"/>
        </w:rPr>
        <w:t>车辆行驶产生的扬尘，在完全干燥的情况下，可按下列经验公式计算：</w:t>
      </w:r>
    </w:p>
    <w:p>
      <w:pPr>
        <w:kinsoku w:val="0"/>
        <w:overflowPunct w:val="0"/>
        <w:autoSpaceDE w:val="0"/>
        <w:ind w:firstLine="1200" w:firstLineChars="500"/>
        <w:rPr>
          <w:bCs/>
          <w:color w:val="000000" w:themeColor="text1"/>
        </w:rPr>
      </w:pPr>
      <w:bookmarkStart w:id="433" w:name="_Toc263009581"/>
      <w:r>
        <w:rPr>
          <w:bCs/>
          <w:color w:val="000000" w:themeColor="text1"/>
        </w:rPr>
        <w:t>Q＝0.123（V/5）（W/6.8）0.85（P/0.5）</w:t>
      </w:r>
      <w:bookmarkEnd w:id="433"/>
      <w:r>
        <w:rPr>
          <w:bCs/>
          <w:color w:val="000000" w:themeColor="text1"/>
        </w:rPr>
        <w:t>0.72</w:t>
      </w:r>
    </w:p>
    <w:p>
      <w:pPr>
        <w:kinsoku w:val="0"/>
        <w:overflowPunct w:val="0"/>
        <w:autoSpaceDE w:val="0"/>
        <w:ind w:firstLine="480"/>
        <w:rPr>
          <w:bCs/>
          <w:color w:val="000000" w:themeColor="text1"/>
        </w:rPr>
      </w:pPr>
      <w:r>
        <w:rPr>
          <w:bCs/>
          <w:color w:val="000000" w:themeColor="text1"/>
        </w:rPr>
        <w:t>式中：Q——汽车行驶时的扬尘，kg/km•辆；</w:t>
      </w:r>
    </w:p>
    <w:p>
      <w:pPr>
        <w:kinsoku w:val="0"/>
        <w:overflowPunct w:val="0"/>
        <w:autoSpaceDE w:val="0"/>
        <w:ind w:firstLine="1200" w:firstLineChars="500"/>
        <w:rPr>
          <w:bCs/>
          <w:color w:val="000000" w:themeColor="text1"/>
        </w:rPr>
      </w:pPr>
      <w:r>
        <w:rPr>
          <w:bCs/>
          <w:color w:val="000000" w:themeColor="text1"/>
        </w:rPr>
        <w:t>V——汽车速度，km/h，20km/h；</w:t>
      </w:r>
    </w:p>
    <w:p>
      <w:pPr>
        <w:kinsoku w:val="0"/>
        <w:overflowPunct w:val="0"/>
        <w:autoSpaceDE w:val="0"/>
        <w:ind w:firstLine="1200" w:firstLineChars="500"/>
        <w:rPr>
          <w:bCs/>
          <w:color w:val="000000" w:themeColor="text1"/>
        </w:rPr>
      </w:pPr>
      <w:r>
        <w:rPr>
          <w:bCs/>
          <w:color w:val="000000" w:themeColor="text1"/>
        </w:rPr>
        <w:t>W——汽车载重量，吨；</w:t>
      </w:r>
    </w:p>
    <w:p>
      <w:pPr>
        <w:kinsoku w:val="0"/>
        <w:overflowPunct w:val="0"/>
        <w:autoSpaceDE w:val="0"/>
        <w:ind w:firstLine="1200" w:firstLineChars="500"/>
        <w:rPr>
          <w:bCs/>
          <w:color w:val="000000" w:themeColor="text1"/>
        </w:rPr>
      </w:pPr>
      <w:r>
        <w:rPr>
          <w:bCs/>
          <w:color w:val="000000" w:themeColor="text1"/>
        </w:rPr>
        <w:t>P——道路表面粉尘量，kg/m</w:t>
      </w:r>
      <w:r>
        <w:rPr>
          <w:bCs/>
          <w:color w:val="000000" w:themeColor="text1"/>
          <w:vertAlign w:val="superscript"/>
        </w:rPr>
        <w:t>2</w:t>
      </w:r>
      <w:r>
        <w:rPr>
          <w:bCs/>
          <w:color w:val="000000" w:themeColor="text1"/>
        </w:rPr>
        <w:t>，</w:t>
      </w:r>
      <w:r>
        <w:rPr>
          <w:color w:val="000000" w:themeColor="text1"/>
          <w:spacing w:val="-3"/>
        </w:rPr>
        <w:t>取</w:t>
      </w:r>
      <w:r>
        <w:rPr>
          <w:rFonts w:eastAsia="Times New Roman"/>
          <w:color w:val="000000" w:themeColor="text1"/>
          <w:spacing w:val="-3"/>
        </w:rPr>
        <w:t>0.</w:t>
      </w:r>
      <w:r>
        <w:rPr>
          <w:color w:val="000000" w:themeColor="text1"/>
          <w:spacing w:val="-3"/>
        </w:rPr>
        <w:t>1</w:t>
      </w:r>
      <w:r>
        <w:rPr>
          <w:rFonts w:eastAsia="Times New Roman"/>
          <w:color w:val="000000" w:themeColor="text1"/>
          <w:spacing w:val="-3"/>
        </w:rPr>
        <w:t>kg/m</w:t>
      </w:r>
      <w:r>
        <w:rPr>
          <w:rFonts w:eastAsia="Times New Roman"/>
          <w:color w:val="000000" w:themeColor="text1"/>
          <w:spacing w:val="-3"/>
          <w:position w:val="8"/>
          <w:sz w:val="15"/>
          <w:szCs w:val="15"/>
        </w:rPr>
        <w:t>2</w:t>
      </w:r>
      <w:r>
        <w:rPr>
          <w:bCs/>
          <w:color w:val="000000" w:themeColor="text1"/>
        </w:rPr>
        <w:t>。</w:t>
      </w:r>
    </w:p>
    <w:p>
      <w:pPr>
        <w:pStyle w:val="127"/>
        <w:ind w:firstLine="464"/>
        <w:jc w:val="both"/>
        <w:rPr>
          <w:rFonts w:eastAsiaTheme="minorEastAsia"/>
          <w:color w:val="000000" w:themeColor="text1"/>
        </w:rPr>
      </w:pPr>
      <w:r>
        <w:rPr>
          <w:rFonts w:eastAsiaTheme="minorEastAsia"/>
          <w:color w:val="000000" w:themeColor="text1"/>
          <w:spacing w:val="-4"/>
          <w:szCs w:val="24"/>
        </w:rPr>
        <w:t>本项目原矿石消耗量为</w:t>
      </w:r>
      <w:r>
        <w:rPr>
          <w:rFonts w:eastAsiaTheme="minorEastAsia"/>
          <w:bCs/>
          <w:color w:val="000000" w:themeColor="text1"/>
          <w:szCs w:val="24"/>
        </w:rPr>
        <w:t>150000t/a</w:t>
      </w:r>
      <w:r>
        <w:rPr>
          <w:rFonts w:eastAsiaTheme="minorEastAsia"/>
          <w:color w:val="000000" w:themeColor="text1"/>
          <w:spacing w:val="-4"/>
          <w:szCs w:val="24"/>
        </w:rPr>
        <w:t>，</w:t>
      </w:r>
      <w:r>
        <w:rPr>
          <w:rFonts w:hint="eastAsia" w:eastAsiaTheme="minorEastAsia"/>
          <w:color w:val="000000" w:themeColor="text1"/>
          <w:spacing w:val="-4"/>
          <w:szCs w:val="24"/>
        </w:rPr>
        <w:t>产品运输量为40650t，</w:t>
      </w:r>
      <w:r>
        <w:rPr>
          <w:rFonts w:eastAsiaTheme="minorEastAsia"/>
          <w:color w:val="000000" w:themeColor="text1"/>
          <w:spacing w:val="-4"/>
          <w:szCs w:val="24"/>
        </w:rPr>
        <w:t>运输采用载重量为</w:t>
      </w:r>
      <w:r>
        <w:rPr>
          <w:rFonts w:eastAsiaTheme="minorEastAsia"/>
          <w:color w:val="000000" w:themeColor="text1"/>
          <w:szCs w:val="24"/>
        </w:rPr>
        <w:t>25t</w:t>
      </w:r>
      <w:r>
        <w:rPr>
          <w:rFonts w:eastAsiaTheme="minorEastAsia"/>
          <w:color w:val="000000" w:themeColor="text1"/>
          <w:spacing w:val="-3"/>
          <w:szCs w:val="24"/>
        </w:rPr>
        <w:t>级自</w:t>
      </w:r>
      <w:r>
        <w:rPr>
          <w:rFonts w:eastAsiaTheme="minorEastAsia"/>
          <w:color w:val="000000" w:themeColor="text1"/>
          <w:spacing w:val="-5"/>
          <w:szCs w:val="24"/>
        </w:rPr>
        <w:t>卸车辆，车自重</w:t>
      </w:r>
      <w:r>
        <w:rPr>
          <w:rFonts w:eastAsiaTheme="minorEastAsia"/>
          <w:color w:val="000000" w:themeColor="text1"/>
          <w:spacing w:val="-4"/>
          <w:szCs w:val="24"/>
        </w:rPr>
        <w:t>10t，负重时</w:t>
      </w:r>
      <w:r>
        <w:rPr>
          <w:rFonts w:eastAsiaTheme="minorEastAsia"/>
          <w:color w:val="000000" w:themeColor="text1"/>
          <w:spacing w:val="-5"/>
          <w:szCs w:val="24"/>
        </w:rPr>
        <w:t>35t。运输汽车完成一次运输过程包括空载和负载两种情况，则原矿石</w:t>
      </w:r>
      <w:r>
        <w:rPr>
          <w:rFonts w:eastAsiaTheme="minorEastAsia"/>
          <w:color w:val="000000" w:themeColor="text1"/>
          <w:spacing w:val="-9"/>
          <w:szCs w:val="24"/>
        </w:rPr>
        <w:t>量为15万t/a，</w:t>
      </w:r>
      <w:r>
        <w:rPr>
          <w:rFonts w:hint="eastAsia" w:eastAsiaTheme="minorEastAsia"/>
          <w:color w:val="000000" w:themeColor="text1"/>
          <w:spacing w:val="-9"/>
          <w:szCs w:val="24"/>
        </w:rPr>
        <w:t>原矿石</w:t>
      </w:r>
      <w:r>
        <w:rPr>
          <w:rFonts w:eastAsiaTheme="minorEastAsia"/>
          <w:color w:val="000000" w:themeColor="text1"/>
          <w:spacing w:val="-5"/>
          <w:szCs w:val="24"/>
        </w:rPr>
        <w:t>空载和负载的车次均为</w:t>
      </w:r>
      <w:r>
        <w:rPr>
          <w:rFonts w:eastAsiaTheme="minorEastAsia"/>
          <w:color w:val="000000" w:themeColor="text1"/>
          <w:spacing w:val="-9"/>
          <w:szCs w:val="24"/>
        </w:rPr>
        <w:t>6000次/年</w:t>
      </w:r>
      <w:r>
        <w:rPr>
          <w:rFonts w:hint="eastAsia" w:eastAsiaTheme="minorEastAsia"/>
          <w:color w:val="000000" w:themeColor="text1"/>
          <w:spacing w:val="-9"/>
          <w:szCs w:val="24"/>
        </w:rPr>
        <w:t>，产品</w:t>
      </w:r>
      <w:r>
        <w:rPr>
          <w:rFonts w:eastAsiaTheme="minorEastAsia"/>
          <w:color w:val="000000" w:themeColor="text1"/>
          <w:spacing w:val="-5"/>
          <w:szCs w:val="24"/>
        </w:rPr>
        <w:t>空载和负载的车次均为</w:t>
      </w:r>
      <w:r>
        <w:rPr>
          <w:rFonts w:hint="eastAsia" w:eastAsiaTheme="minorEastAsia"/>
          <w:color w:val="000000" w:themeColor="text1"/>
          <w:spacing w:val="-9"/>
          <w:szCs w:val="24"/>
        </w:rPr>
        <w:t>1626</w:t>
      </w:r>
      <w:r>
        <w:rPr>
          <w:rFonts w:eastAsiaTheme="minorEastAsia"/>
          <w:color w:val="000000" w:themeColor="text1"/>
          <w:spacing w:val="-9"/>
          <w:szCs w:val="24"/>
        </w:rPr>
        <w:t>次/年。项目</w:t>
      </w:r>
      <w:r>
        <w:rPr>
          <w:rFonts w:hint="eastAsia" w:eastAsiaTheme="minorEastAsia"/>
          <w:color w:val="000000" w:themeColor="text1"/>
          <w:spacing w:val="-9"/>
          <w:szCs w:val="24"/>
        </w:rPr>
        <w:t>原矿石</w:t>
      </w:r>
      <w:r>
        <w:rPr>
          <w:rFonts w:eastAsiaTheme="minorEastAsia"/>
          <w:color w:val="000000" w:themeColor="text1"/>
          <w:spacing w:val="-9"/>
          <w:szCs w:val="24"/>
        </w:rPr>
        <w:t>厂区内平均运输距离约为</w:t>
      </w:r>
      <w:r>
        <w:rPr>
          <w:rFonts w:eastAsiaTheme="minorEastAsia"/>
          <w:color w:val="000000" w:themeColor="text1"/>
          <w:spacing w:val="-3"/>
          <w:szCs w:val="24"/>
        </w:rPr>
        <w:t>150m</w:t>
      </w:r>
      <w:r>
        <w:rPr>
          <w:rFonts w:hint="eastAsia" w:eastAsiaTheme="minorEastAsia"/>
          <w:color w:val="000000" w:themeColor="text1"/>
          <w:spacing w:val="-3"/>
          <w:szCs w:val="24"/>
        </w:rPr>
        <w:t>，产品</w:t>
      </w:r>
      <w:r>
        <w:rPr>
          <w:rFonts w:eastAsiaTheme="minorEastAsia"/>
          <w:color w:val="000000" w:themeColor="text1"/>
          <w:spacing w:val="-9"/>
          <w:szCs w:val="24"/>
        </w:rPr>
        <w:t>平均运输距离约为</w:t>
      </w:r>
      <w:r>
        <w:rPr>
          <w:rFonts w:eastAsiaTheme="minorEastAsia"/>
          <w:color w:val="000000" w:themeColor="text1"/>
          <w:spacing w:val="-3"/>
          <w:szCs w:val="24"/>
        </w:rPr>
        <w:t>1</w:t>
      </w:r>
      <w:r>
        <w:rPr>
          <w:rFonts w:hint="eastAsia" w:eastAsiaTheme="minorEastAsia"/>
          <w:color w:val="000000" w:themeColor="text1"/>
          <w:spacing w:val="-3"/>
          <w:szCs w:val="24"/>
        </w:rPr>
        <w:t>0</w:t>
      </w:r>
      <w:r>
        <w:rPr>
          <w:rFonts w:eastAsiaTheme="minorEastAsia"/>
          <w:color w:val="000000" w:themeColor="text1"/>
          <w:spacing w:val="-3"/>
          <w:szCs w:val="24"/>
        </w:rPr>
        <w:t>0m</w:t>
      </w:r>
      <w:r>
        <w:rPr>
          <w:rFonts w:hint="eastAsia" w:eastAsiaTheme="minorEastAsia"/>
          <w:color w:val="000000" w:themeColor="text1"/>
          <w:spacing w:val="-3"/>
          <w:szCs w:val="24"/>
        </w:rPr>
        <w:t>，</w:t>
      </w:r>
      <w:r>
        <w:rPr>
          <w:rFonts w:eastAsiaTheme="minorEastAsia"/>
          <w:color w:val="000000" w:themeColor="text1"/>
          <w:spacing w:val="-3"/>
          <w:szCs w:val="24"/>
        </w:rPr>
        <w:t>（此处距离为本项目区内运输距离），</w:t>
      </w:r>
      <w:r>
        <w:rPr>
          <w:rFonts w:eastAsiaTheme="minorEastAsia"/>
          <w:color w:val="000000" w:themeColor="text1"/>
          <w:szCs w:val="24"/>
        </w:rPr>
        <w:t>根据上式计算得每辆运输车辆负载和空载情况下扬尘产生量分别为</w:t>
      </w:r>
      <w:r>
        <w:rPr>
          <w:rFonts w:eastAsiaTheme="minorEastAsia"/>
          <w:color w:val="000000" w:themeColor="text1"/>
          <w:spacing w:val="-2"/>
          <w:szCs w:val="24"/>
        </w:rPr>
        <w:t>0.61kg/km·辆和</w:t>
      </w:r>
      <w:r>
        <w:rPr>
          <w:rFonts w:eastAsiaTheme="minorEastAsia"/>
          <w:color w:val="000000" w:themeColor="text1"/>
          <w:spacing w:val="-1"/>
          <w:szCs w:val="24"/>
        </w:rPr>
        <w:t>0.21kg/km·辆，则厂区运输原矿石的扬尘产生量为</w:t>
      </w:r>
      <w:r>
        <w:rPr>
          <w:rFonts w:eastAsiaTheme="minorEastAsia"/>
          <w:color w:val="000000" w:themeColor="text1"/>
          <w:szCs w:val="24"/>
        </w:rPr>
        <w:t>0.738t/a</w:t>
      </w:r>
      <w:r>
        <w:rPr>
          <w:rFonts w:hint="eastAsia" w:eastAsiaTheme="minorEastAsia"/>
          <w:color w:val="000000" w:themeColor="text1"/>
          <w:szCs w:val="24"/>
        </w:rPr>
        <w:t>，产品运输扬尘为0.13t/a，则车辆运输扬尘合计为0.868t/a，</w:t>
      </w:r>
      <w:r>
        <w:rPr>
          <w:rFonts w:eastAsiaTheme="minorEastAsia"/>
          <w:color w:val="000000" w:themeColor="text1"/>
          <w:szCs w:val="24"/>
        </w:rPr>
        <w:t>通过洒水降尘，洒水降尘率为70%，则粉尘排放量为</w:t>
      </w:r>
      <w:r>
        <w:rPr>
          <w:rFonts w:hint="eastAsia" w:eastAsiaTheme="minorEastAsia"/>
          <w:color w:val="000000" w:themeColor="text1"/>
          <w:szCs w:val="24"/>
        </w:rPr>
        <w:t>0.26</w:t>
      </w:r>
      <w:r>
        <w:rPr>
          <w:rFonts w:eastAsiaTheme="minorEastAsia"/>
          <w:color w:val="000000" w:themeColor="text1"/>
          <w:szCs w:val="24"/>
        </w:rPr>
        <w:t>t/a。</w:t>
      </w:r>
    </w:p>
    <w:p>
      <w:pPr>
        <w:pStyle w:val="127"/>
        <w:rPr>
          <w:rFonts w:eastAsiaTheme="minorEastAsia"/>
          <w:color w:val="000000" w:themeColor="text1"/>
        </w:rPr>
      </w:pPr>
      <w:r>
        <w:rPr>
          <w:rFonts w:eastAsiaTheme="minorEastAsia"/>
          <w:color w:val="000000" w:themeColor="text1"/>
        </w:rPr>
        <w:t>2、污染物治理措施</w:t>
      </w:r>
    </w:p>
    <w:p>
      <w:pPr>
        <w:ind w:firstLine="480"/>
        <w:rPr>
          <w:rFonts w:eastAsiaTheme="minorEastAsia"/>
          <w:color w:val="000000" w:themeColor="text1"/>
          <w:szCs w:val="24"/>
        </w:rPr>
      </w:pPr>
      <w:r>
        <w:rPr>
          <w:rFonts w:eastAsiaTheme="minorEastAsia"/>
          <w:color w:val="000000" w:themeColor="text1"/>
          <w:szCs w:val="24"/>
        </w:rPr>
        <w:t>沿途道路通过洒水抑尘以减少扬尘排放量，旱季适当增加洒水次数。现有废气污染物排放情况见下表2.7-3。</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2.8.</w:t>
      </w:r>
      <w:r>
        <w:rPr>
          <w:rFonts w:hint="eastAsia" w:eastAsiaTheme="minorEastAsia"/>
          <w:b/>
          <w:color w:val="000000" w:themeColor="text1"/>
          <w:kern w:val="0"/>
          <w:szCs w:val="24"/>
        </w:rPr>
        <w:t>3</w:t>
      </w:r>
      <w:r>
        <w:rPr>
          <w:rFonts w:eastAsiaTheme="minorEastAsia"/>
          <w:b/>
          <w:color w:val="000000" w:themeColor="text1"/>
          <w:kern w:val="0"/>
          <w:szCs w:val="24"/>
        </w:rPr>
        <w:t>.4原料卸载粉尘</w:t>
      </w:r>
    </w:p>
    <w:p>
      <w:pPr>
        <w:pStyle w:val="127"/>
        <w:rPr>
          <w:color w:val="000000" w:themeColor="text1"/>
        </w:rPr>
      </w:pPr>
      <w:r>
        <w:rPr>
          <w:rFonts w:eastAsiaTheme="minorEastAsia"/>
          <w:bCs/>
          <w:color w:val="000000" w:themeColor="text1"/>
        </w:rPr>
        <w:t>1、</w:t>
      </w:r>
      <w:r>
        <w:rPr>
          <w:rFonts w:hint="eastAsia" w:eastAsiaTheme="minorEastAsia"/>
          <w:bCs/>
          <w:color w:val="000000" w:themeColor="text1"/>
        </w:rPr>
        <w:t>厂区</w:t>
      </w:r>
      <w:r>
        <w:rPr>
          <w:rFonts w:eastAsiaTheme="minorEastAsia"/>
          <w:color w:val="000000" w:themeColor="text1"/>
        </w:rPr>
        <w:t>污染物产生情况</w:t>
      </w:r>
    </w:p>
    <w:p>
      <w:pPr>
        <w:kinsoku w:val="0"/>
        <w:overflowPunct w:val="0"/>
        <w:autoSpaceDE w:val="0"/>
        <w:ind w:firstLine="470" w:firstLineChars="196"/>
        <w:rPr>
          <w:color w:val="000000" w:themeColor="text1"/>
        </w:rPr>
      </w:pPr>
      <w:r>
        <w:rPr>
          <w:color w:val="000000" w:themeColor="text1"/>
        </w:rPr>
        <w:t>项目原料在场地内卸</w:t>
      </w:r>
      <w:r>
        <w:rPr>
          <w:rFonts w:hint="eastAsia"/>
          <w:color w:val="000000" w:themeColor="text1"/>
        </w:rPr>
        <w:t>料</w:t>
      </w:r>
      <w:r>
        <w:rPr>
          <w:color w:val="000000" w:themeColor="text1"/>
        </w:rPr>
        <w:t>过程中会产生粉尘，当运输车辆进</w:t>
      </w:r>
      <w:r>
        <w:rPr>
          <w:color w:val="000000" w:themeColor="text1"/>
          <w:szCs w:val="24"/>
        </w:rPr>
        <w:t>入原</w:t>
      </w:r>
      <w:r>
        <w:rPr>
          <w:rStyle w:val="73"/>
          <w:rFonts w:hint="eastAsia"/>
          <w:color w:val="000000" w:themeColor="text1"/>
          <w:kern w:val="0"/>
          <w:sz w:val="24"/>
          <w:szCs w:val="24"/>
        </w:rPr>
        <w:t>矿堆场</w:t>
      </w:r>
      <w:r>
        <w:rPr>
          <w:color w:val="000000" w:themeColor="text1"/>
          <w:szCs w:val="24"/>
        </w:rPr>
        <w:t>卸原</w:t>
      </w:r>
      <w:r>
        <w:rPr>
          <w:color w:val="000000" w:themeColor="text1"/>
        </w:rPr>
        <w:t>料时产生的粉尘量由装卸高度、车辆吨位、物料含水率和地面风速决定。</w:t>
      </w:r>
    </w:p>
    <w:p>
      <w:pPr>
        <w:kinsoku w:val="0"/>
        <w:overflowPunct w:val="0"/>
        <w:autoSpaceDE w:val="0"/>
        <w:ind w:firstLine="470" w:firstLineChars="196"/>
        <w:jc w:val="center"/>
        <w:rPr>
          <w:color w:val="000000" w:themeColor="text1"/>
        </w:rPr>
      </w:pPr>
      <w:r>
        <w:rPr>
          <w:color w:val="000000" w:themeColor="text1"/>
        </w:rPr>
        <w:drawing>
          <wp:inline distT="0" distB="0" distL="114300" distR="114300">
            <wp:extent cx="2827655" cy="818515"/>
            <wp:effectExtent l="0" t="0" r="10795" b="635"/>
            <wp:docPr id="7" name="图片 25" descr="C:\Users\Administrator\AppData\Roaming\Tencent\Users\1948171439\TIM\WinTemp\RichOle\X~}@N1PM1)CTHL]TZ8A78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5" descr="C:\Users\Administrator\AppData\Roaming\Tencent\Users\1948171439\TIM\WinTemp\RichOle\X~}@N1PM1)CTHL]TZ8A78AA.png"/>
                    <pic:cNvPicPr>
                      <a:picLocks noChangeAspect="1"/>
                    </pic:cNvPicPr>
                  </pic:nvPicPr>
                  <pic:blipFill>
                    <a:blip r:embed="rId48" cstate="print"/>
                    <a:stretch>
                      <a:fillRect/>
                    </a:stretch>
                  </pic:blipFill>
                  <pic:spPr>
                    <a:xfrm>
                      <a:off x="0" y="0"/>
                      <a:ext cx="2827655" cy="818515"/>
                    </a:xfrm>
                    <a:prstGeom prst="rect">
                      <a:avLst/>
                    </a:prstGeom>
                    <a:noFill/>
                    <a:ln>
                      <a:noFill/>
                    </a:ln>
                  </pic:spPr>
                </pic:pic>
              </a:graphicData>
            </a:graphic>
          </wp:inline>
        </w:drawing>
      </w:r>
    </w:p>
    <w:p>
      <w:pPr>
        <w:kinsoku w:val="0"/>
        <w:overflowPunct w:val="0"/>
        <w:autoSpaceDE w:val="0"/>
        <w:ind w:firstLine="470" w:firstLineChars="196"/>
        <w:rPr>
          <w:color w:val="000000" w:themeColor="text1"/>
        </w:rPr>
      </w:pPr>
      <w:r>
        <w:rPr>
          <w:color w:val="000000" w:themeColor="text1"/>
        </w:rPr>
        <w:t>式中：Q</w:t>
      </w:r>
      <w:r>
        <w:rPr>
          <w:color w:val="000000" w:themeColor="text1"/>
          <w:vertAlign w:val="subscript"/>
        </w:rPr>
        <w:t>2</w:t>
      </w:r>
      <w:r>
        <w:rPr>
          <w:color w:val="000000" w:themeColor="text1"/>
        </w:rPr>
        <w:t>——起尘量，mg/s；</w:t>
      </w:r>
    </w:p>
    <w:p>
      <w:pPr>
        <w:kinsoku w:val="0"/>
        <w:overflowPunct w:val="0"/>
        <w:autoSpaceDE w:val="0"/>
        <w:ind w:firstLine="470" w:firstLineChars="196"/>
        <w:rPr>
          <w:color w:val="000000" w:themeColor="text1"/>
        </w:rPr>
      </w:pPr>
      <w:r>
        <w:rPr>
          <w:color w:val="000000" w:themeColor="text1"/>
        </w:rPr>
        <w:t>M——车辆吨位，t；25t；</w:t>
      </w:r>
    </w:p>
    <w:p>
      <w:pPr>
        <w:kinsoku w:val="0"/>
        <w:overflowPunct w:val="0"/>
        <w:autoSpaceDE w:val="0"/>
        <w:ind w:firstLine="470" w:firstLineChars="196"/>
        <w:rPr>
          <w:color w:val="000000" w:themeColor="text1"/>
        </w:rPr>
      </w:pPr>
      <w:r>
        <w:rPr>
          <w:color w:val="000000" w:themeColor="text1"/>
        </w:rPr>
        <w:t>U——平均风速，当地平均风速为2.3m/s；</w:t>
      </w:r>
    </w:p>
    <w:p>
      <w:pPr>
        <w:kinsoku w:val="0"/>
        <w:overflowPunct w:val="0"/>
        <w:autoSpaceDE w:val="0"/>
        <w:ind w:firstLine="470" w:firstLineChars="196"/>
        <w:rPr>
          <w:color w:val="000000" w:themeColor="text1"/>
        </w:rPr>
      </w:pPr>
      <w:r>
        <w:rPr>
          <w:color w:val="000000" w:themeColor="text1"/>
        </w:rPr>
        <w:t>H——物料装卸高度，m，取0.5m；</w:t>
      </w:r>
    </w:p>
    <w:p>
      <w:pPr>
        <w:kinsoku w:val="0"/>
        <w:overflowPunct w:val="0"/>
        <w:autoSpaceDE w:val="0"/>
        <w:ind w:firstLine="470" w:firstLineChars="196"/>
        <w:rPr>
          <w:color w:val="000000" w:themeColor="text1"/>
        </w:rPr>
      </w:pPr>
      <w:r>
        <w:rPr>
          <w:color w:val="000000" w:themeColor="text1"/>
        </w:rPr>
        <w:t>W——物料含水率，%；取原矿石</w:t>
      </w:r>
      <w:r>
        <w:rPr>
          <w:rFonts w:hint="eastAsia"/>
          <w:color w:val="000000" w:themeColor="text1"/>
        </w:rPr>
        <w:t>6</w:t>
      </w:r>
      <w:r>
        <w:rPr>
          <w:color w:val="000000" w:themeColor="text1"/>
        </w:rPr>
        <w:t>%。</w:t>
      </w:r>
    </w:p>
    <w:p>
      <w:pPr>
        <w:kinsoku w:val="0"/>
        <w:overflowPunct w:val="0"/>
        <w:autoSpaceDE w:val="0"/>
        <w:adjustRightInd w:val="0"/>
        <w:snapToGrid w:val="0"/>
        <w:ind w:firstLine="480"/>
        <w:rPr>
          <w:rFonts w:eastAsiaTheme="minorEastAsia"/>
          <w:b/>
          <w:bCs/>
          <w:color w:val="000000" w:themeColor="text1"/>
        </w:rPr>
      </w:pPr>
      <w:r>
        <w:rPr>
          <w:color w:val="000000" w:themeColor="text1"/>
        </w:rPr>
        <w:t>该公式适用于无人工增湿、晴天、自然状态下的原料装卸过程的起尘量计算，由计算可知，本项目原矿石在装卸过程中起尘速率为</w:t>
      </w:r>
      <w:r>
        <w:rPr>
          <w:rFonts w:hint="eastAsia"/>
          <w:color w:val="000000" w:themeColor="text1"/>
        </w:rPr>
        <w:t>689.76</w:t>
      </w:r>
      <w:r>
        <w:rPr>
          <w:color w:val="000000" w:themeColor="text1"/>
        </w:rPr>
        <w:t>mg/s，原矿石装卸量为150000t/a，每吨卸货时间为5s，则卸货时间为750000s（208.33h），则项目原矿石装卸过程起尘量为0.51</w:t>
      </w:r>
      <w:r>
        <w:rPr>
          <w:rFonts w:hint="eastAsia"/>
          <w:color w:val="000000" w:themeColor="text1"/>
        </w:rPr>
        <w:t>7</w:t>
      </w:r>
      <w:r>
        <w:rPr>
          <w:color w:val="000000" w:themeColor="text1"/>
        </w:rPr>
        <w:t>t/a，呈无组织排放。</w:t>
      </w:r>
    </w:p>
    <w:p>
      <w:pPr>
        <w:pStyle w:val="127"/>
        <w:rPr>
          <w:rFonts w:eastAsiaTheme="minorEastAsia"/>
          <w:color w:val="000000" w:themeColor="text1"/>
        </w:rPr>
      </w:pPr>
      <w:r>
        <w:rPr>
          <w:rFonts w:eastAsiaTheme="minorEastAsia"/>
          <w:color w:val="000000" w:themeColor="text1"/>
        </w:rPr>
        <w:t>2、污染物治理措施</w:t>
      </w:r>
    </w:p>
    <w:p>
      <w:pPr>
        <w:ind w:firstLine="480"/>
        <w:rPr>
          <w:rFonts w:eastAsiaTheme="minorEastAsia"/>
          <w:b/>
          <w:color w:val="000000" w:themeColor="text1"/>
          <w:kern w:val="0"/>
          <w:szCs w:val="24"/>
        </w:rPr>
      </w:pPr>
      <w:r>
        <w:rPr>
          <w:rFonts w:eastAsiaTheme="minorEastAsia"/>
          <w:color w:val="000000" w:themeColor="text1"/>
          <w:szCs w:val="24"/>
        </w:rPr>
        <w:t>根据实际调查得知，原有项目原料装卸粉尘无抑制措施，粉尘无组织排放。</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2.8.</w:t>
      </w:r>
      <w:r>
        <w:rPr>
          <w:rFonts w:hint="eastAsia" w:eastAsiaTheme="minorEastAsia"/>
          <w:b/>
          <w:color w:val="000000" w:themeColor="text1"/>
          <w:kern w:val="0"/>
          <w:szCs w:val="24"/>
        </w:rPr>
        <w:t>3</w:t>
      </w:r>
      <w:r>
        <w:rPr>
          <w:rFonts w:eastAsiaTheme="minorEastAsia"/>
          <w:b/>
          <w:color w:val="000000" w:themeColor="text1"/>
          <w:kern w:val="0"/>
          <w:szCs w:val="24"/>
        </w:rPr>
        <w:t>.</w:t>
      </w:r>
      <w:r>
        <w:rPr>
          <w:rFonts w:hint="eastAsia" w:eastAsiaTheme="minorEastAsia"/>
          <w:b/>
          <w:color w:val="000000" w:themeColor="text1"/>
          <w:kern w:val="0"/>
          <w:szCs w:val="24"/>
        </w:rPr>
        <w:t>5装载机装料（原矿石）粉尘</w:t>
      </w:r>
    </w:p>
    <w:p>
      <w:pPr>
        <w:pStyle w:val="127"/>
        <w:rPr>
          <w:color w:val="000000" w:themeColor="text1"/>
        </w:rPr>
      </w:pPr>
      <w:r>
        <w:rPr>
          <w:rFonts w:eastAsiaTheme="minorEastAsia"/>
          <w:bCs/>
          <w:color w:val="000000" w:themeColor="text1"/>
        </w:rPr>
        <w:t>1、</w:t>
      </w:r>
      <w:r>
        <w:rPr>
          <w:rFonts w:hint="eastAsia" w:eastAsiaTheme="minorEastAsia"/>
          <w:bCs/>
          <w:color w:val="000000" w:themeColor="text1"/>
        </w:rPr>
        <w:t>厂区</w:t>
      </w:r>
      <w:r>
        <w:rPr>
          <w:rFonts w:eastAsiaTheme="minorEastAsia"/>
          <w:color w:val="000000" w:themeColor="text1"/>
        </w:rPr>
        <w:t>污染物产生情况</w:t>
      </w:r>
    </w:p>
    <w:p>
      <w:pPr>
        <w:ind w:firstLine="480"/>
        <w:rPr>
          <w:color w:val="000000" w:themeColor="text1"/>
        </w:rPr>
      </w:pPr>
      <w:r>
        <w:rPr>
          <w:color w:val="000000" w:themeColor="text1"/>
        </w:rPr>
        <w:t>本项目</w:t>
      </w:r>
      <w:r>
        <w:rPr>
          <w:rFonts w:hint="eastAsia"/>
          <w:color w:val="000000" w:themeColor="text1"/>
        </w:rPr>
        <w:t>原矿石从堆场至料口</w:t>
      </w:r>
      <w:r>
        <w:rPr>
          <w:color w:val="000000" w:themeColor="text1"/>
        </w:rPr>
        <w:t>过程中，会产生无组织粉尘。本项目用</w:t>
      </w:r>
      <w:r>
        <w:rPr>
          <w:rFonts w:hint="eastAsia"/>
          <w:color w:val="000000" w:themeColor="text1"/>
        </w:rPr>
        <w:t>1</w:t>
      </w:r>
      <w:r>
        <w:rPr>
          <w:color w:val="000000" w:themeColor="text1"/>
        </w:rPr>
        <w:t>台铲斗容量为5t的装载机进行</w:t>
      </w:r>
      <w:r>
        <w:rPr>
          <w:rFonts w:hint="eastAsia"/>
          <w:color w:val="000000" w:themeColor="text1"/>
        </w:rPr>
        <w:t>装料</w:t>
      </w:r>
      <w:r>
        <w:rPr>
          <w:color w:val="000000" w:themeColor="text1"/>
        </w:rPr>
        <w:t>。</w:t>
      </w:r>
      <w:r>
        <w:rPr>
          <w:rFonts w:hint="eastAsia"/>
          <w:color w:val="000000" w:themeColor="text1"/>
        </w:rPr>
        <w:t>装料</w:t>
      </w:r>
      <w:r>
        <w:rPr>
          <w:color w:val="000000" w:themeColor="text1"/>
        </w:rPr>
        <w:t>过程粉尘产生量的大小与矿岩硬度、自然含湿量、装车高度、风流速度及治理水平等一系列因素关系密切，主要措施为洒水抑尘，增大矿岩湿度。根据</w:t>
      </w:r>
      <w:r>
        <w:rPr>
          <w:rFonts w:hint="eastAsia"/>
          <w:color w:val="000000" w:themeColor="text1"/>
        </w:rPr>
        <w:t>选矿项目统计</w:t>
      </w:r>
      <w:r>
        <w:rPr>
          <w:color w:val="000000" w:themeColor="text1"/>
        </w:rPr>
        <w:t>资料，一般干燥情况下，</w:t>
      </w:r>
      <w:r>
        <w:rPr>
          <w:rFonts w:hint="eastAsia"/>
          <w:color w:val="000000" w:themeColor="text1"/>
        </w:rPr>
        <w:t>装载机</w:t>
      </w:r>
      <w:r>
        <w:rPr>
          <w:color w:val="000000" w:themeColor="text1"/>
        </w:rPr>
        <w:t>粉尘的产生量为2.77kg/h•台，湿度不足时，为0.83kg/h•台，湿度充分情况下为0.</w:t>
      </w:r>
      <w:r>
        <w:rPr>
          <w:rFonts w:hint="eastAsia"/>
          <w:color w:val="000000" w:themeColor="text1"/>
        </w:rPr>
        <w:t>1</w:t>
      </w:r>
      <w:r>
        <w:rPr>
          <w:color w:val="000000" w:themeColor="text1"/>
        </w:rPr>
        <w:t>4kg/h•台。</w:t>
      </w:r>
    </w:p>
    <w:p>
      <w:pPr>
        <w:ind w:firstLine="480"/>
        <w:rPr>
          <w:rFonts w:eastAsiaTheme="minorEastAsia"/>
          <w:b/>
          <w:bCs/>
          <w:color w:val="000000" w:themeColor="text1"/>
        </w:rPr>
      </w:pPr>
      <w:r>
        <w:rPr>
          <w:color w:val="000000" w:themeColor="text1"/>
        </w:rPr>
        <w:t>项目配备装载机</w:t>
      </w:r>
      <w:r>
        <w:rPr>
          <w:rFonts w:hint="eastAsia"/>
          <w:color w:val="000000" w:themeColor="text1"/>
        </w:rPr>
        <w:t>1</w:t>
      </w:r>
      <w:r>
        <w:rPr>
          <w:color w:val="000000" w:themeColor="text1"/>
        </w:rPr>
        <w:t>台，</w:t>
      </w:r>
      <w:r>
        <w:rPr>
          <w:rFonts w:hint="eastAsia"/>
          <w:color w:val="000000" w:themeColor="text1"/>
        </w:rPr>
        <w:t>按每天装载原料量为500t计算，装载机从原料堆场装料至料口每次需要时间为3min，每次装料5t，故计算得出每台设备每天平均作业时间为5</w:t>
      </w:r>
      <w:r>
        <w:rPr>
          <w:color w:val="000000" w:themeColor="text1"/>
        </w:rPr>
        <w:t>小时，300d计。干燥情况下，预计铲装作业粉尘产生量为</w:t>
      </w:r>
      <w:r>
        <w:rPr>
          <w:rFonts w:hint="eastAsia"/>
          <w:color w:val="000000" w:themeColor="text1"/>
        </w:rPr>
        <w:t>4.155</w:t>
      </w:r>
      <w:r>
        <w:rPr>
          <w:color w:val="000000" w:themeColor="text1"/>
        </w:rPr>
        <w:t>t/a（</w:t>
      </w:r>
      <w:r>
        <w:rPr>
          <w:rFonts w:hint="eastAsia"/>
          <w:color w:val="000000" w:themeColor="text1"/>
        </w:rPr>
        <w:t>2.77</w:t>
      </w:r>
      <w:r>
        <w:rPr>
          <w:color w:val="000000" w:themeColor="text1"/>
        </w:rPr>
        <w:t>kg/h）。通过采取洒水</w:t>
      </w:r>
      <w:r>
        <w:rPr>
          <w:rFonts w:hint="eastAsia"/>
          <w:color w:val="000000" w:themeColor="text1"/>
        </w:rPr>
        <w:t>降尘</w:t>
      </w:r>
      <w:r>
        <w:rPr>
          <w:color w:val="000000" w:themeColor="text1"/>
        </w:rPr>
        <w:t>等抑尘措施后，粉尘排放量计算参数取0.14kg/h•台，则铲装作业粉尘排放量</w:t>
      </w:r>
      <w:r>
        <w:rPr>
          <w:rFonts w:hint="eastAsia"/>
          <w:color w:val="000000" w:themeColor="text1"/>
        </w:rPr>
        <w:t>0.21</w:t>
      </w:r>
      <w:r>
        <w:rPr>
          <w:color w:val="000000" w:themeColor="text1"/>
        </w:rPr>
        <w:t>t/a（</w:t>
      </w:r>
      <w:r>
        <w:rPr>
          <w:rFonts w:hint="eastAsia"/>
          <w:color w:val="000000" w:themeColor="text1"/>
        </w:rPr>
        <w:t>0.14</w:t>
      </w:r>
      <w:r>
        <w:rPr>
          <w:color w:val="000000" w:themeColor="text1"/>
        </w:rPr>
        <w:t>kg/h）。</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2.8.</w:t>
      </w:r>
      <w:r>
        <w:rPr>
          <w:rFonts w:hint="eastAsia" w:eastAsiaTheme="minorEastAsia"/>
          <w:b/>
          <w:color w:val="000000" w:themeColor="text1"/>
          <w:kern w:val="0"/>
          <w:szCs w:val="24"/>
        </w:rPr>
        <w:t>3</w:t>
      </w:r>
      <w:r>
        <w:rPr>
          <w:rFonts w:eastAsiaTheme="minorEastAsia"/>
          <w:b/>
          <w:color w:val="000000" w:themeColor="text1"/>
          <w:kern w:val="0"/>
          <w:szCs w:val="24"/>
        </w:rPr>
        <w:t>.</w:t>
      </w:r>
      <w:r>
        <w:rPr>
          <w:rFonts w:hint="eastAsia" w:eastAsiaTheme="minorEastAsia"/>
          <w:b/>
          <w:color w:val="000000" w:themeColor="text1"/>
          <w:kern w:val="0"/>
          <w:szCs w:val="24"/>
        </w:rPr>
        <w:t>6产品装车粉尘</w:t>
      </w:r>
    </w:p>
    <w:p>
      <w:pPr>
        <w:ind w:firstLine="480"/>
        <w:rPr>
          <w:color w:val="000000" w:themeColor="text1"/>
        </w:rPr>
      </w:pPr>
      <w:r>
        <w:rPr>
          <w:color w:val="000000" w:themeColor="text1"/>
        </w:rPr>
        <w:t>本项目</w:t>
      </w:r>
      <w:r>
        <w:rPr>
          <w:rFonts w:hint="eastAsia"/>
          <w:color w:val="000000" w:themeColor="text1"/>
        </w:rPr>
        <w:t>产品装车</w:t>
      </w:r>
      <w:r>
        <w:rPr>
          <w:color w:val="000000" w:themeColor="text1"/>
        </w:rPr>
        <w:t>过程中，会产生无组织粉尘。本项目用</w:t>
      </w:r>
      <w:r>
        <w:rPr>
          <w:rFonts w:hint="eastAsia"/>
          <w:color w:val="000000" w:themeColor="text1"/>
        </w:rPr>
        <w:t>1</w:t>
      </w:r>
      <w:r>
        <w:rPr>
          <w:color w:val="000000" w:themeColor="text1"/>
        </w:rPr>
        <w:t>台铲斗容量为5t的装载机进行</w:t>
      </w:r>
      <w:r>
        <w:rPr>
          <w:rFonts w:hint="eastAsia"/>
          <w:color w:val="000000" w:themeColor="text1"/>
        </w:rPr>
        <w:t>装载</w:t>
      </w:r>
      <w:r>
        <w:rPr>
          <w:color w:val="000000" w:themeColor="text1"/>
        </w:rPr>
        <w:t>。根据</w:t>
      </w:r>
      <w:r>
        <w:rPr>
          <w:rFonts w:hint="eastAsia"/>
          <w:color w:val="000000" w:themeColor="text1"/>
        </w:rPr>
        <w:t>选矿项目统计</w:t>
      </w:r>
      <w:r>
        <w:rPr>
          <w:color w:val="000000" w:themeColor="text1"/>
        </w:rPr>
        <w:t>资料，一般干燥情况下，</w:t>
      </w:r>
      <w:r>
        <w:rPr>
          <w:rFonts w:hint="eastAsia"/>
          <w:color w:val="000000" w:themeColor="text1"/>
        </w:rPr>
        <w:t>装载机</w:t>
      </w:r>
      <w:r>
        <w:rPr>
          <w:color w:val="000000" w:themeColor="text1"/>
        </w:rPr>
        <w:t>粉尘的产生量为2.77kg/h•台，湿度不足时，为0.83kg/h•台，湿度充分情况下为0.</w:t>
      </w:r>
      <w:r>
        <w:rPr>
          <w:rFonts w:hint="eastAsia"/>
          <w:color w:val="000000" w:themeColor="text1"/>
        </w:rPr>
        <w:t>1</w:t>
      </w:r>
      <w:r>
        <w:rPr>
          <w:color w:val="000000" w:themeColor="text1"/>
        </w:rPr>
        <w:t>4kg/h•台。</w:t>
      </w:r>
    </w:p>
    <w:p>
      <w:pPr>
        <w:ind w:firstLine="480"/>
        <w:rPr>
          <w:rFonts w:eastAsiaTheme="minorEastAsia"/>
          <w:b/>
          <w:color w:val="000000" w:themeColor="text1"/>
          <w:kern w:val="0"/>
          <w:szCs w:val="24"/>
        </w:rPr>
      </w:pPr>
      <w:r>
        <w:rPr>
          <w:color w:val="000000" w:themeColor="text1"/>
        </w:rPr>
        <w:t>项目配备装载机</w:t>
      </w:r>
      <w:r>
        <w:rPr>
          <w:rFonts w:hint="eastAsia"/>
          <w:color w:val="000000" w:themeColor="text1"/>
        </w:rPr>
        <w:t>1</w:t>
      </w:r>
      <w:r>
        <w:rPr>
          <w:color w:val="000000" w:themeColor="text1"/>
        </w:rPr>
        <w:t>台，</w:t>
      </w:r>
      <w:r>
        <w:rPr>
          <w:rFonts w:hint="eastAsia"/>
          <w:color w:val="000000" w:themeColor="text1"/>
        </w:rPr>
        <w:t>按装货40650t/a计算（135.5t/d），装载机从产品堆场装料至装车每次需要时间为3min，每次装料5t，故计算得出每台设备每天平均作业时间为1.4h</w:t>
      </w:r>
      <w:r>
        <w:rPr>
          <w:color w:val="000000" w:themeColor="text1"/>
        </w:rPr>
        <w:t>。干燥情况下，预计铲装作业粉尘产生量为</w:t>
      </w:r>
      <w:r>
        <w:rPr>
          <w:rFonts w:hint="eastAsia"/>
          <w:color w:val="000000" w:themeColor="text1"/>
        </w:rPr>
        <w:t>1.163</w:t>
      </w:r>
      <w:r>
        <w:rPr>
          <w:color w:val="000000" w:themeColor="text1"/>
        </w:rPr>
        <w:t>t/a（</w:t>
      </w:r>
      <w:r>
        <w:rPr>
          <w:rFonts w:hint="eastAsia"/>
          <w:color w:val="000000" w:themeColor="text1"/>
        </w:rPr>
        <w:t>2.77</w:t>
      </w:r>
      <w:r>
        <w:rPr>
          <w:color w:val="000000" w:themeColor="text1"/>
        </w:rPr>
        <w:t>kg/h）。通过采取洒水</w:t>
      </w:r>
      <w:r>
        <w:rPr>
          <w:rFonts w:hint="eastAsia"/>
          <w:color w:val="000000" w:themeColor="text1"/>
        </w:rPr>
        <w:t>降尘</w:t>
      </w:r>
      <w:r>
        <w:rPr>
          <w:color w:val="000000" w:themeColor="text1"/>
        </w:rPr>
        <w:t>等抑尘措施后，粉尘排放量计算参数取0.</w:t>
      </w:r>
      <w:r>
        <w:rPr>
          <w:rFonts w:hint="eastAsia"/>
          <w:color w:val="000000" w:themeColor="text1"/>
        </w:rPr>
        <w:t>1</w:t>
      </w:r>
      <w:r>
        <w:rPr>
          <w:color w:val="000000" w:themeColor="text1"/>
        </w:rPr>
        <w:t>4kg/h•台，则铲装作业粉尘排放量</w:t>
      </w:r>
      <w:r>
        <w:rPr>
          <w:rFonts w:hint="eastAsia"/>
          <w:color w:val="000000" w:themeColor="text1"/>
        </w:rPr>
        <w:t>0.059</w:t>
      </w:r>
      <w:r>
        <w:rPr>
          <w:color w:val="000000" w:themeColor="text1"/>
        </w:rPr>
        <w:t>t/a（0.</w:t>
      </w:r>
      <w:r>
        <w:rPr>
          <w:rFonts w:hint="eastAsia"/>
          <w:color w:val="000000" w:themeColor="text1"/>
        </w:rPr>
        <w:t>14</w:t>
      </w:r>
      <w:r>
        <w:rPr>
          <w:color w:val="000000" w:themeColor="text1"/>
        </w:rPr>
        <w:t>kg/h）。</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2.8.</w:t>
      </w:r>
      <w:r>
        <w:rPr>
          <w:rFonts w:hint="eastAsia" w:eastAsiaTheme="minorEastAsia"/>
          <w:b/>
          <w:color w:val="000000" w:themeColor="text1"/>
          <w:kern w:val="0"/>
          <w:szCs w:val="24"/>
        </w:rPr>
        <w:t>3</w:t>
      </w:r>
      <w:r>
        <w:rPr>
          <w:rFonts w:eastAsiaTheme="minorEastAsia"/>
          <w:b/>
          <w:color w:val="000000" w:themeColor="text1"/>
          <w:kern w:val="0"/>
          <w:szCs w:val="24"/>
        </w:rPr>
        <w:t>.</w:t>
      </w:r>
      <w:r>
        <w:rPr>
          <w:rFonts w:hint="eastAsia" w:eastAsiaTheme="minorEastAsia"/>
          <w:b/>
          <w:color w:val="000000" w:themeColor="text1"/>
          <w:kern w:val="0"/>
          <w:szCs w:val="24"/>
        </w:rPr>
        <w:t>7</w:t>
      </w:r>
      <w:r>
        <w:rPr>
          <w:rFonts w:eastAsiaTheme="minorEastAsia"/>
          <w:b/>
          <w:color w:val="000000" w:themeColor="text1"/>
          <w:kern w:val="0"/>
          <w:szCs w:val="24"/>
        </w:rPr>
        <w:t>尾矿库干滩扬尘</w:t>
      </w:r>
    </w:p>
    <w:p>
      <w:pPr>
        <w:ind w:firstLine="480"/>
        <w:rPr>
          <w:rFonts w:eastAsiaTheme="minorEastAsia"/>
          <w:b/>
          <w:color w:val="000000" w:themeColor="text1"/>
          <w:sz w:val="21"/>
          <w:szCs w:val="20"/>
        </w:rPr>
      </w:pPr>
      <w:r>
        <w:rPr>
          <w:color w:val="000000" w:themeColor="text1"/>
        </w:rPr>
        <w:t>项目辣子箐尾矿库尾矿堆放方式为湿式堆渣，尾矿库形成干滩后，在非雨季尾砂表面干化，裸露的干尾矿小颗粒易被风吹起，从而造成尾砂的二次飞扬形成扬尘，呈无组织排放。为防止尾矿库干滩扬尘，尾矿库放矿方式采用上游法中的冲积法放矿，可以提高干坡段的湿润面积，减少干滩形成，降低干滩扬尘的产生。</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表2.8-3废气污染物排放情况</w:t>
      </w:r>
    </w:p>
    <w:tbl>
      <w:tblPr>
        <w:tblStyle w:val="61"/>
        <w:tblW w:w="852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5"/>
        <w:gridCol w:w="1213"/>
        <w:gridCol w:w="1127"/>
        <w:gridCol w:w="1346"/>
        <w:gridCol w:w="992"/>
        <w:gridCol w:w="1745"/>
        <w:gridCol w:w="12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81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序号</w:t>
            </w:r>
          </w:p>
        </w:tc>
        <w:tc>
          <w:tcPr>
            <w:tcW w:w="1213"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产生环节</w:t>
            </w:r>
          </w:p>
        </w:tc>
        <w:tc>
          <w:tcPr>
            <w:tcW w:w="1127"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排放形式</w:t>
            </w:r>
          </w:p>
        </w:tc>
        <w:tc>
          <w:tcPr>
            <w:tcW w:w="1346"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污染物类别</w:t>
            </w:r>
          </w:p>
        </w:tc>
        <w:tc>
          <w:tcPr>
            <w:tcW w:w="992"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产生量</w:t>
            </w:r>
          </w:p>
        </w:tc>
        <w:tc>
          <w:tcPr>
            <w:tcW w:w="174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治理措施</w:t>
            </w:r>
          </w:p>
        </w:tc>
        <w:tc>
          <w:tcPr>
            <w:tcW w:w="128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815" w:type="dxa"/>
            <w:tcBorders>
              <w:tl2br w:val="nil"/>
              <w:tr2bl w:val="nil"/>
            </w:tcBorders>
            <w:vAlign w:val="center"/>
          </w:tcPr>
          <w:p>
            <w:pPr>
              <w:pStyle w:val="126"/>
              <w:tabs>
                <w:tab w:val="left" w:pos="1960"/>
              </w:tabs>
              <w:rPr>
                <w:rFonts w:eastAsiaTheme="minorEastAsia"/>
                <w:color w:val="000000" w:themeColor="text1"/>
                <w:spacing w:val="10"/>
              </w:rPr>
            </w:pPr>
            <w:r>
              <w:rPr>
                <w:rFonts w:eastAsiaTheme="minorEastAsia"/>
                <w:color w:val="000000" w:themeColor="text1"/>
                <w:spacing w:val="10"/>
              </w:rPr>
              <w:t>1</w:t>
            </w:r>
          </w:p>
        </w:tc>
        <w:tc>
          <w:tcPr>
            <w:tcW w:w="1213" w:type="dxa"/>
            <w:tcBorders>
              <w:tl2br w:val="nil"/>
              <w:tr2bl w:val="nil"/>
            </w:tcBorders>
            <w:vAlign w:val="center"/>
          </w:tcPr>
          <w:p>
            <w:pPr>
              <w:pStyle w:val="126"/>
              <w:tabs>
                <w:tab w:val="left" w:pos="1960"/>
              </w:tabs>
              <w:rPr>
                <w:rFonts w:eastAsiaTheme="minorEastAsia"/>
                <w:smallCaps/>
                <w:color w:val="000000" w:themeColor="text1"/>
                <w:lang w:eastAsia="zh-CN"/>
              </w:rPr>
            </w:pPr>
            <w:r>
              <w:rPr>
                <w:rFonts w:eastAsiaTheme="minorEastAsia"/>
                <w:smallCaps/>
                <w:color w:val="000000" w:themeColor="text1"/>
                <w:lang w:eastAsia="zh-CN"/>
              </w:rPr>
              <w:t>原矿堆场</w:t>
            </w:r>
          </w:p>
        </w:tc>
        <w:tc>
          <w:tcPr>
            <w:tcW w:w="1127"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无组织</w:t>
            </w:r>
          </w:p>
        </w:tc>
        <w:tc>
          <w:tcPr>
            <w:tcW w:w="1346"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TSP</w:t>
            </w:r>
          </w:p>
        </w:tc>
        <w:tc>
          <w:tcPr>
            <w:tcW w:w="99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0.65t/a</w:t>
            </w:r>
          </w:p>
        </w:tc>
        <w:tc>
          <w:tcPr>
            <w:tcW w:w="174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洒水降尘</w:t>
            </w:r>
          </w:p>
        </w:tc>
        <w:tc>
          <w:tcPr>
            <w:tcW w:w="128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0.26t/a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815" w:type="dxa"/>
            <w:tcBorders>
              <w:tl2br w:val="nil"/>
              <w:tr2bl w:val="nil"/>
            </w:tcBorders>
            <w:vAlign w:val="center"/>
          </w:tcPr>
          <w:p>
            <w:pPr>
              <w:pStyle w:val="126"/>
              <w:tabs>
                <w:tab w:val="left" w:pos="1960"/>
              </w:tabs>
              <w:rPr>
                <w:rFonts w:eastAsiaTheme="minorEastAsia"/>
                <w:color w:val="000000" w:themeColor="text1"/>
                <w:spacing w:val="10"/>
              </w:rPr>
            </w:pPr>
            <w:r>
              <w:rPr>
                <w:rFonts w:eastAsiaTheme="minorEastAsia"/>
                <w:color w:val="000000" w:themeColor="text1"/>
                <w:spacing w:val="10"/>
              </w:rPr>
              <w:t>2</w:t>
            </w:r>
          </w:p>
        </w:tc>
        <w:tc>
          <w:tcPr>
            <w:tcW w:w="1213" w:type="dxa"/>
            <w:tcBorders>
              <w:tl2br w:val="nil"/>
              <w:tr2bl w:val="nil"/>
            </w:tcBorders>
            <w:vAlign w:val="center"/>
          </w:tcPr>
          <w:p>
            <w:pPr>
              <w:pStyle w:val="126"/>
              <w:tabs>
                <w:tab w:val="left" w:pos="1960"/>
              </w:tabs>
              <w:rPr>
                <w:rFonts w:eastAsiaTheme="minorEastAsia"/>
                <w:smallCaps/>
                <w:color w:val="000000" w:themeColor="text1"/>
              </w:rPr>
            </w:pPr>
            <w:r>
              <w:rPr>
                <w:rFonts w:eastAsiaTheme="minorEastAsia"/>
                <w:smallCaps/>
                <w:color w:val="000000" w:themeColor="text1"/>
                <w:lang w:eastAsia="zh-CN"/>
              </w:rPr>
              <w:t>给料</w:t>
            </w:r>
          </w:p>
        </w:tc>
        <w:tc>
          <w:tcPr>
            <w:tcW w:w="1127"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无组织</w:t>
            </w:r>
          </w:p>
        </w:tc>
        <w:tc>
          <w:tcPr>
            <w:tcW w:w="1346"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TSP</w:t>
            </w:r>
          </w:p>
        </w:tc>
        <w:tc>
          <w:tcPr>
            <w:tcW w:w="992" w:type="dxa"/>
            <w:tcBorders>
              <w:tl2br w:val="nil"/>
              <w:tr2bl w:val="nil"/>
            </w:tcBorders>
            <w:vAlign w:val="center"/>
          </w:tcPr>
          <w:p>
            <w:pPr>
              <w:pStyle w:val="126"/>
              <w:tabs>
                <w:tab w:val="left" w:pos="1960"/>
              </w:tabs>
              <w:rPr>
                <w:rFonts w:eastAsiaTheme="minorEastAsia"/>
                <w:color w:val="000000" w:themeColor="text1"/>
              </w:rPr>
            </w:pPr>
            <w:r>
              <w:rPr>
                <w:rFonts w:eastAsiaTheme="minorEastAsia"/>
                <w:bCs/>
                <w:color w:val="000000" w:themeColor="text1"/>
                <w:lang w:eastAsia="zh-CN"/>
              </w:rPr>
              <w:t>0.75</w:t>
            </w:r>
            <w:r>
              <w:rPr>
                <w:rFonts w:eastAsiaTheme="minorEastAsia"/>
                <w:color w:val="000000" w:themeColor="text1"/>
                <w:lang w:eastAsia="zh-CN"/>
              </w:rPr>
              <w:t>t/a</w:t>
            </w:r>
          </w:p>
        </w:tc>
        <w:tc>
          <w:tcPr>
            <w:tcW w:w="174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喷雾降尘</w:t>
            </w:r>
          </w:p>
        </w:tc>
        <w:tc>
          <w:tcPr>
            <w:tcW w:w="1285" w:type="dxa"/>
            <w:tcBorders>
              <w:tl2br w:val="nil"/>
              <w:tr2bl w:val="nil"/>
            </w:tcBorders>
            <w:vAlign w:val="center"/>
          </w:tcPr>
          <w:p>
            <w:pPr>
              <w:pStyle w:val="126"/>
              <w:tabs>
                <w:tab w:val="left" w:pos="1960"/>
              </w:tabs>
              <w:rPr>
                <w:rFonts w:eastAsiaTheme="minorEastAsia"/>
                <w:color w:val="000000" w:themeColor="text1"/>
              </w:rPr>
            </w:pPr>
            <w:r>
              <w:rPr>
                <w:rFonts w:eastAsiaTheme="minorEastAsia"/>
                <w:bCs/>
                <w:color w:val="000000" w:themeColor="text1"/>
                <w:lang w:eastAsia="zh-CN"/>
              </w:rPr>
              <w:t>0.225</w:t>
            </w:r>
            <w:r>
              <w:rPr>
                <w:rFonts w:eastAsiaTheme="minorEastAsia"/>
                <w:color w:val="000000" w:themeColor="text1"/>
                <w:lang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815" w:type="dxa"/>
            <w:tcBorders>
              <w:tl2br w:val="nil"/>
              <w:tr2bl w:val="nil"/>
            </w:tcBorders>
            <w:vAlign w:val="center"/>
          </w:tcPr>
          <w:p>
            <w:pPr>
              <w:pStyle w:val="126"/>
              <w:tabs>
                <w:tab w:val="left" w:pos="1960"/>
              </w:tabs>
              <w:rPr>
                <w:rFonts w:eastAsiaTheme="minorEastAsia"/>
                <w:color w:val="000000" w:themeColor="text1"/>
                <w:spacing w:val="10"/>
                <w:lang w:eastAsia="zh-CN"/>
              </w:rPr>
            </w:pPr>
            <w:r>
              <w:rPr>
                <w:rFonts w:eastAsiaTheme="minorEastAsia"/>
                <w:color w:val="000000" w:themeColor="text1"/>
                <w:spacing w:val="10"/>
                <w:lang w:eastAsia="zh-CN"/>
              </w:rPr>
              <w:t>3</w:t>
            </w:r>
          </w:p>
        </w:tc>
        <w:tc>
          <w:tcPr>
            <w:tcW w:w="1213" w:type="dxa"/>
            <w:tcBorders>
              <w:tl2br w:val="nil"/>
              <w:tr2bl w:val="nil"/>
            </w:tcBorders>
            <w:vAlign w:val="center"/>
          </w:tcPr>
          <w:p>
            <w:pPr>
              <w:pStyle w:val="126"/>
              <w:tabs>
                <w:tab w:val="left" w:pos="1960"/>
              </w:tabs>
              <w:rPr>
                <w:rFonts w:eastAsiaTheme="minorEastAsia"/>
                <w:smallCaps/>
                <w:color w:val="000000" w:themeColor="text1"/>
                <w:lang w:eastAsia="zh-CN"/>
              </w:rPr>
            </w:pPr>
            <w:r>
              <w:rPr>
                <w:rFonts w:eastAsiaTheme="minorEastAsia"/>
                <w:smallCaps/>
                <w:color w:val="000000" w:themeColor="text1"/>
                <w:lang w:eastAsia="zh-CN"/>
              </w:rPr>
              <w:t>破碎</w:t>
            </w:r>
          </w:p>
        </w:tc>
        <w:tc>
          <w:tcPr>
            <w:tcW w:w="1127"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无组织</w:t>
            </w:r>
          </w:p>
        </w:tc>
        <w:tc>
          <w:tcPr>
            <w:tcW w:w="1346"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TSP</w:t>
            </w:r>
          </w:p>
        </w:tc>
        <w:tc>
          <w:tcPr>
            <w:tcW w:w="99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63.75t/a</w:t>
            </w:r>
          </w:p>
        </w:tc>
        <w:tc>
          <w:tcPr>
            <w:tcW w:w="174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喷雾降尘</w:t>
            </w:r>
          </w:p>
        </w:tc>
        <w:tc>
          <w:tcPr>
            <w:tcW w:w="128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19.125t/a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815" w:type="dxa"/>
            <w:tcBorders>
              <w:tl2br w:val="nil"/>
              <w:tr2bl w:val="nil"/>
            </w:tcBorders>
            <w:vAlign w:val="center"/>
          </w:tcPr>
          <w:p>
            <w:pPr>
              <w:pStyle w:val="126"/>
              <w:tabs>
                <w:tab w:val="left" w:pos="1960"/>
              </w:tabs>
              <w:rPr>
                <w:rFonts w:eastAsiaTheme="minorEastAsia"/>
                <w:color w:val="000000" w:themeColor="text1"/>
                <w:spacing w:val="10"/>
                <w:lang w:eastAsia="zh-CN"/>
              </w:rPr>
            </w:pPr>
            <w:r>
              <w:rPr>
                <w:rFonts w:eastAsiaTheme="minorEastAsia"/>
                <w:color w:val="000000" w:themeColor="text1"/>
                <w:spacing w:val="10"/>
                <w:lang w:eastAsia="zh-CN"/>
              </w:rPr>
              <w:t>4</w:t>
            </w:r>
          </w:p>
        </w:tc>
        <w:tc>
          <w:tcPr>
            <w:tcW w:w="1213" w:type="dxa"/>
            <w:tcBorders>
              <w:tl2br w:val="nil"/>
              <w:tr2bl w:val="nil"/>
            </w:tcBorders>
            <w:vAlign w:val="center"/>
          </w:tcPr>
          <w:p>
            <w:pPr>
              <w:pStyle w:val="126"/>
              <w:tabs>
                <w:tab w:val="left" w:pos="1960"/>
              </w:tabs>
              <w:rPr>
                <w:rFonts w:eastAsiaTheme="minorEastAsia"/>
                <w:smallCaps/>
                <w:color w:val="000000" w:themeColor="text1"/>
                <w:lang w:eastAsia="zh-CN"/>
              </w:rPr>
            </w:pPr>
            <w:r>
              <w:rPr>
                <w:rFonts w:eastAsiaTheme="minorEastAsia"/>
                <w:smallCaps/>
                <w:color w:val="000000" w:themeColor="text1"/>
                <w:lang w:eastAsia="zh-CN"/>
              </w:rPr>
              <w:t>筛分</w:t>
            </w:r>
          </w:p>
        </w:tc>
        <w:tc>
          <w:tcPr>
            <w:tcW w:w="1127"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无组织</w:t>
            </w:r>
          </w:p>
        </w:tc>
        <w:tc>
          <w:tcPr>
            <w:tcW w:w="1346"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TSP</w:t>
            </w:r>
          </w:p>
        </w:tc>
        <w:tc>
          <w:tcPr>
            <w:tcW w:w="99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20.4t/a</w:t>
            </w:r>
          </w:p>
        </w:tc>
        <w:tc>
          <w:tcPr>
            <w:tcW w:w="174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喷雾降尘</w:t>
            </w:r>
          </w:p>
        </w:tc>
        <w:tc>
          <w:tcPr>
            <w:tcW w:w="128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6.12t/a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815" w:type="dxa"/>
            <w:tcBorders>
              <w:tl2br w:val="nil"/>
              <w:tr2bl w:val="nil"/>
            </w:tcBorders>
            <w:vAlign w:val="center"/>
          </w:tcPr>
          <w:p>
            <w:pPr>
              <w:pStyle w:val="126"/>
              <w:tabs>
                <w:tab w:val="left" w:pos="1960"/>
              </w:tabs>
              <w:rPr>
                <w:rFonts w:eastAsiaTheme="minorEastAsia"/>
                <w:color w:val="000000" w:themeColor="text1"/>
                <w:spacing w:val="10"/>
                <w:lang w:eastAsia="zh-CN"/>
              </w:rPr>
            </w:pPr>
            <w:r>
              <w:rPr>
                <w:rFonts w:eastAsiaTheme="minorEastAsia"/>
                <w:color w:val="000000" w:themeColor="text1"/>
                <w:spacing w:val="10"/>
                <w:lang w:eastAsia="zh-CN"/>
              </w:rPr>
              <w:t>5</w:t>
            </w:r>
          </w:p>
        </w:tc>
        <w:tc>
          <w:tcPr>
            <w:tcW w:w="1213" w:type="dxa"/>
            <w:tcBorders>
              <w:tl2br w:val="nil"/>
              <w:tr2bl w:val="nil"/>
            </w:tcBorders>
            <w:vAlign w:val="center"/>
          </w:tcPr>
          <w:p>
            <w:pPr>
              <w:pStyle w:val="126"/>
              <w:tabs>
                <w:tab w:val="left" w:pos="1960"/>
              </w:tabs>
              <w:rPr>
                <w:rFonts w:eastAsiaTheme="minorEastAsia"/>
                <w:color w:val="000000" w:themeColor="text1"/>
                <w:spacing w:val="10"/>
              </w:rPr>
            </w:pPr>
            <w:r>
              <w:rPr>
                <w:rFonts w:eastAsiaTheme="minorEastAsia"/>
                <w:color w:val="000000" w:themeColor="text1"/>
                <w:spacing w:val="10"/>
              </w:rPr>
              <w:t>道路运输</w:t>
            </w:r>
          </w:p>
        </w:tc>
        <w:tc>
          <w:tcPr>
            <w:tcW w:w="1127"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无组织</w:t>
            </w:r>
          </w:p>
        </w:tc>
        <w:tc>
          <w:tcPr>
            <w:tcW w:w="1346"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TSP</w:t>
            </w:r>
          </w:p>
        </w:tc>
        <w:tc>
          <w:tcPr>
            <w:tcW w:w="992"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0.868</w:t>
            </w:r>
            <w:r>
              <w:rPr>
                <w:rFonts w:eastAsiaTheme="minorEastAsia"/>
                <w:color w:val="000000" w:themeColor="text1"/>
              </w:rPr>
              <w:t>t/a</w:t>
            </w:r>
          </w:p>
        </w:tc>
        <w:tc>
          <w:tcPr>
            <w:tcW w:w="174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洒水降尘</w:t>
            </w:r>
          </w:p>
        </w:tc>
        <w:tc>
          <w:tcPr>
            <w:tcW w:w="128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0.2</w:t>
            </w:r>
            <w:r>
              <w:rPr>
                <w:rFonts w:hint="eastAsia" w:eastAsiaTheme="minorEastAsia"/>
                <w:color w:val="000000" w:themeColor="text1"/>
                <w:lang w:eastAsia="zh-CN"/>
              </w:rPr>
              <w:t>6</w:t>
            </w:r>
            <w:r>
              <w:rPr>
                <w:rFonts w:eastAsiaTheme="minorEastAsia"/>
                <w:color w:val="000000" w:themeColor="text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2" w:hRule="exact"/>
          <w:jc w:val="center"/>
        </w:trPr>
        <w:tc>
          <w:tcPr>
            <w:tcW w:w="815" w:type="dxa"/>
            <w:tcBorders>
              <w:tl2br w:val="nil"/>
              <w:tr2bl w:val="nil"/>
            </w:tcBorders>
            <w:vAlign w:val="center"/>
          </w:tcPr>
          <w:p>
            <w:pPr>
              <w:pStyle w:val="126"/>
              <w:tabs>
                <w:tab w:val="left" w:pos="1960"/>
              </w:tabs>
              <w:rPr>
                <w:rFonts w:eastAsiaTheme="minorEastAsia"/>
                <w:color w:val="000000" w:themeColor="text1"/>
                <w:spacing w:val="10"/>
                <w:lang w:eastAsia="zh-CN"/>
              </w:rPr>
            </w:pPr>
            <w:r>
              <w:rPr>
                <w:rFonts w:eastAsiaTheme="minorEastAsia"/>
                <w:color w:val="000000" w:themeColor="text1"/>
                <w:spacing w:val="10"/>
                <w:lang w:eastAsia="zh-CN"/>
              </w:rPr>
              <w:t>6</w:t>
            </w:r>
          </w:p>
        </w:tc>
        <w:tc>
          <w:tcPr>
            <w:tcW w:w="1213" w:type="dxa"/>
            <w:tcBorders>
              <w:tl2br w:val="nil"/>
              <w:tr2bl w:val="nil"/>
            </w:tcBorders>
            <w:vAlign w:val="center"/>
          </w:tcPr>
          <w:p>
            <w:pPr>
              <w:pStyle w:val="126"/>
              <w:tabs>
                <w:tab w:val="left" w:pos="1960"/>
              </w:tabs>
              <w:rPr>
                <w:rFonts w:eastAsiaTheme="minorEastAsia"/>
                <w:color w:val="000000" w:themeColor="text1"/>
                <w:spacing w:val="10"/>
                <w:lang w:eastAsia="zh-CN"/>
              </w:rPr>
            </w:pPr>
            <w:r>
              <w:rPr>
                <w:rFonts w:eastAsiaTheme="minorEastAsia"/>
                <w:color w:val="000000" w:themeColor="text1"/>
                <w:spacing w:val="10"/>
                <w:lang w:eastAsia="zh-CN"/>
              </w:rPr>
              <w:t>原</w:t>
            </w:r>
            <w:r>
              <w:rPr>
                <w:rFonts w:hint="eastAsia" w:eastAsiaTheme="minorEastAsia"/>
                <w:color w:val="000000" w:themeColor="text1"/>
                <w:spacing w:val="10"/>
                <w:lang w:eastAsia="zh-CN"/>
              </w:rPr>
              <w:t>矿</w:t>
            </w:r>
            <w:r>
              <w:rPr>
                <w:rFonts w:eastAsiaTheme="minorEastAsia"/>
                <w:color w:val="000000" w:themeColor="text1"/>
                <w:spacing w:val="10"/>
                <w:lang w:eastAsia="zh-CN"/>
              </w:rPr>
              <w:t>卸</w:t>
            </w:r>
            <w:r>
              <w:rPr>
                <w:rFonts w:hint="eastAsia" w:eastAsiaTheme="minorEastAsia"/>
                <w:color w:val="000000" w:themeColor="text1"/>
                <w:spacing w:val="10"/>
                <w:lang w:eastAsia="zh-CN"/>
              </w:rPr>
              <w:t>货</w:t>
            </w:r>
          </w:p>
        </w:tc>
        <w:tc>
          <w:tcPr>
            <w:tcW w:w="1127"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无组织</w:t>
            </w:r>
          </w:p>
        </w:tc>
        <w:tc>
          <w:tcPr>
            <w:tcW w:w="1346"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TSP</w:t>
            </w:r>
          </w:p>
        </w:tc>
        <w:tc>
          <w:tcPr>
            <w:tcW w:w="99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0.51</w:t>
            </w:r>
            <w:r>
              <w:rPr>
                <w:rFonts w:hint="eastAsia" w:eastAsiaTheme="minorEastAsia"/>
                <w:color w:val="000000" w:themeColor="text1"/>
                <w:lang w:eastAsia="zh-CN"/>
              </w:rPr>
              <w:t>7</w:t>
            </w:r>
            <w:r>
              <w:rPr>
                <w:rFonts w:eastAsiaTheme="minorEastAsia"/>
                <w:color w:val="000000" w:themeColor="text1"/>
              </w:rPr>
              <w:t>t/a</w:t>
            </w:r>
          </w:p>
        </w:tc>
        <w:tc>
          <w:tcPr>
            <w:tcW w:w="174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28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0.51</w:t>
            </w:r>
            <w:r>
              <w:rPr>
                <w:rFonts w:hint="eastAsia" w:eastAsiaTheme="minorEastAsia"/>
                <w:color w:val="000000" w:themeColor="text1"/>
                <w:lang w:eastAsia="zh-CN"/>
              </w:rPr>
              <w:t>7</w:t>
            </w:r>
            <w:r>
              <w:rPr>
                <w:rFonts w:eastAsiaTheme="minorEastAsia"/>
                <w:color w:val="000000" w:themeColor="text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2" w:hRule="exact"/>
          <w:jc w:val="center"/>
        </w:trPr>
        <w:tc>
          <w:tcPr>
            <w:tcW w:w="815" w:type="dxa"/>
            <w:tcBorders>
              <w:tl2br w:val="nil"/>
              <w:tr2bl w:val="nil"/>
            </w:tcBorders>
            <w:vAlign w:val="center"/>
          </w:tcPr>
          <w:p>
            <w:pPr>
              <w:pStyle w:val="126"/>
              <w:tabs>
                <w:tab w:val="left" w:pos="1960"/>
              </w:tabs>
              <w:rPr>
                <w:rFonts w:eastAsiaTheme="minorEastAsia"/>
                <w:color w:val="000000" w:themeColor="text1"/>
                <w:spacing w:val="10"/>
                <w:lang w:eastAsia="zh-CN"/>
              </w:rPr>
            </w:pPr>
            <w:r>
              <w:rPr>
                <w:rFonts w:hint="eastAsia" w:eastAsiaTheme="minorEastAsia"/>
                <w:color w:val="000000" w:themeColor="text1"/>
                <w:spacing w:val="10"/>
                <w:lang w:eastAsia="zh-CN"/>
              </w:rPr>
              <w:t>7</w:t>
            </w:r>
          </w:p>
        </w:tc>
        <w:tc>
          <w:tcPr>
            <w:tcW w:w="1213" w:type="dxa"/>
            <w:tcBorders>
              <w:tl2br w:val="nil"/>
              <w:tr2bl w:val="nil"/>
            </w:tcBorders>
            <w:vAlign w:val="center"/>
          </w:tcPr>
          <w:p>
            <w:pPr>
              <w:pStyle w:val="126"/>
              <w:tabs>
                <w:tab w:val="left" w:pos="1960"/>
              </w:tabs>
              <w:rPr>
                <w:rFonts w:eastAsiaTheme="minorEastAsia"/>
                <w:color w:val="000000" w:themeColor="text1"/>
                <w:spacing w:val="10"/>
                <w:lang w:eastAsia="zh-CN"/>
              </w:rPr>
            </w:pPr>
            <w:r>
              <w:rPr>
                <w:rFonts w:hint="eastAsia" w:eastAsiaTheme="minorEastAsia"/>
                <w:color w:val="000000" w:themeColor="text1"/>
                <w:spacing w:val="10"/>
                <w:lang w:eastAsia="zh-CN"/>
              </w:rPr>
              <w:t>原矿下料</w:t>
            </w:r>
          </w:p>
        </w:tc>
        <w:tc>
          <w:tcPr>
            <w:tcW w:w="1127"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无组织</w:t>
            </w:r>
          </w:p>
        </w:tc>
        <w:tc>
          <w:tcPr>
            <w:tcW w:w="1346"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TSP</w:t>
            </w:r>
          </w:p>
        </w:tc>
        <w:tc>
          <w:tcPr>
            <w:tcW w:w="992"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w:t>
            </w:r>
          </w:p>
        </w:tc>
        <w:tc>
          <w:tcPr>
            <w:tcW w:w="174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rPr>
              <w:t>洒水降尘</w:t>
            </w:r>
          </w:p>
        </w:tc>
        <w:tc>
          <w:tcPr>
            <w:tcW w:w="1285"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0.21</w:t>
            </w:r>
            <w:r>
              <w:rPr>
                <w:rFonts w:eastAsiaTheme="minorEastAsia"/>
                <w:color w:val="000000" w:themeColor="text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2" w:hRule="exact"/>
          <w:jc w:val="center"/>
        </w:trPr>
        <w:tc>
          <w:tcPr>
            <w:tcW w:w="815" w:type="dxa"/>
            <w:tcBorders>
              <w:tl2br w:val="nil"/>
              <w:tr2bl w:val="nil"/>
            </w:tcBorders>
            <w:vAlign w:val="center"/>
          </w:tcPr>
          <w:p>
            <w:pPr>
              <w:pStyle w:val="126"/>
              <w:tabs>
                <w:tab w:val="left" w:pos="1960"/>
              </w:tabs>
              <w:rPr>
                <w:rFonts w:eastAsiaTheme="minorEastAsia"/>
                <w:color w:val="000000" w:themeColor="text1"/>
                <w:spacing w:val="10"/>
                <w:lang w:eastAsia="zh-CN"/>
              </w:rPr>
            </w:pPr>
            <w:r>
              <w:rPr>
                <w:rFonts w:hint="eastAsia" w:eastAsiaTheme="minorEastAsia"/>
                <w:color w:val="000000" w:themeColor="text1"/>
                <w:spacing w:val="10"/>
                <w:lang w:eastAsia="zh-CN"/>
              </w:rPr>
              <w:t>8</w:t>
            </w:r>
          </w:p>
        </w:tc>
        <w:tc>
          <w:tcPr>
            <w:tcW w:w="1213" w:type="dxa"/>
            <w:tcBorders>
              <w:tl2br w:val="nil"/>
              <w:tr2bl w:val="nil"/>
            </w:tcBorders>
            <w:vAlign w:val="center"/>
          </w:tcPr>
          <w:p>
            <w:pPr>
              <w:pStyle w:val="126"/>
              <w:tabs>
                <w:tab w:val="left" w:pos="1960"/>
              </w:tabs>
              <w:rPr>
                <w:rFonts w:eastAsiaTheme="minorEastAsia"/>
                <w:color w:val="000000" w:themeColor="text1"/>
                <w:spacing w:val="10"/>
                <w:lang w:eastAsia="zh-CN"/>
              </w:rPr>
            </w:pPr>
            <w:r>
              <w:rPr>
                <w:rFonts w:hint="eastAsia" w:eastAsiaTheme="minorEastAsia"/>
                <w:color w:val="000000" w:themeColor="text1"/>
                <w:spacing w:val="10"/>
                <w:lang w:eastAsia="zh-CN"/>
              </w:rPr>
              <w:t>产品装车</w:t>
            </w:r>
          </w:p>
        </w:tc>
        <w:tc>
          <w:tcPr>
            <w:tcW w:w="1127"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无组织</w:t>
            </w:r>
          </w:p>
        </w:tc>
        <w:tc>
          <w:tcPr>
            <w:tcW w:w="1346"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TSP</w:t>
            </w:r>
          </w:p>
        </w:tc>
        <w:tc>
          <w:tcPr>
            <w:tcW w:w="992"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w:t>
            </w:r>
          </w:p>
        </w:tc>
        <w:tc>
          <w:tcPr>
            <w:tcW w:w="174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rPr>
              <w:t>洒水降尘</w:t>
            </w:r>
          </w:p>
        </w:tc>
        <w:tc>
          <w:tcPr>
            <w:tcW w:w="1285"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0.059</w:t>
            </w:r>
            <w:r>
              <w:rPr>
                <w:rFonts w:eastAsiaTheme="minorEastAsia"/>
                <w:color w:val="000000" w:themeColor="text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2" w:hRule="exact"/>
          <w:jc w:val="center"/>
        </w:trPr>
        <w:tc>
          <w:tcPr>
            <w:tcW w:w="815" w:type="dxa"/>
            <w:tcBorders>
              <w:tl2br w:val="nil"/>
              <w:tr2bl w:val="nil"/>
            </w:tcBorders>
            <w:vAlign w:val="center"/>
          </w:tcPr>
          <w:p>
            <w:pPr>
              <w:pStyle w:val="126"/>
              <w:tabs>
                <w:tab w:val="left" w:pos="1960"/>
              </w:tabs>
              <w:rPr>
                <w:rFonts w:eastAsiaTheme="minorEastAsia"/>
                <w:color w:val="000000" w:themeColor="text1"/>
                <w:spacing w:val="10"/>
                <w:lang w:eastAsia="zh-CN"/>
              </w:rPr>
            </w:pPr>
            <w:r>
              <w:rPr>
                <w:rFonts w:hint="eastAsia" w:eastAsiaTheme="minorEastAsia"/>
                <w:color w:val="000000" w:themeColor="text1"/>
                <w:spacing w:val="10"/>
                <w:lang w:eastAsia="zh-CN"/>
              </w:rPr>
              <w:t>9</w:t>
            </w:r>
          </w:p>
        </w:tc>
        <w:tc>
          <w:tcPr>
            <w:tcW w:w="1213" w:type="dxa"/>
            <w:tcBorders>
              <w:tl2br w:val="nil"/>
              <w:tr2bl w:val="nil"/>
            </w:tcBorders>
            <w:vAlign w:val="center"/>
          </w:tcPr>
          <w:p>
            <w:pPr>
              <w:pStyle w:val="126"/>
              <w:tabs>
                <w:tab w:val="left" w:pos="1960"/>
              </w:tabs>
              <w:rPr>
                <w:rFonts w:eastAsiaTheme="minorEastAsia"/>
                <w:color w:val="000000" w:themeColor="text1"/>
                <w:spacing w:val="10"/>
                <w:lang w:eastAsia="zh-CN"/>
              </w:rPr>
            </w:pPr>
            <w:r>
              <w:rPr>
                <w:rFonts w:eastAsiaTheme="minorEastAsia"/>
                <w:color w:val="000000" w:themeColor="text1"/>
                <w:spacing w:val="10"/>
                <w:lang w:eastAsia="zh-CN"/>
              </w:rPr>
              <w:t>尾矿库干滩扬尘</w:t>
            </w:r>
          </w:p>
        </w:tc>
        <w:tc>
          <w:tcPr>
            <w:tcW w:w="1127"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无组织</w:t>
            </w:r>
          </w:p>
        </w:tc>
        <w:tc>
          <w:tcPr>
            <w:tcW w:w="1346"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TSP</w:t>
            </w:r>
          </w:p>
        </w:tc>
        <w:tc>
          <w:tcPr>
            <w:tcW w:w="992"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lang w:eastAsia="zh-CN"/>
              </w:rPr>
              <w:t>少量</w:t>
            </w:r>
          </w:p>
        </w:tc>
        <w:tc>
          <w:tcPr>
            <w:tcW w:w="1745"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285"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lang w:eastAsia="zh-CN"/>
              </w:rPr>
              <w:t>少量</w:t>
            </w:r>
          </w:p>
        </w:tc>
      </w:tr>
    </w:tbl>
    <w:p>
      <w:pPr>
        <w:keepNext/>
        <w:keepLines/>
        <w:adjustRightIn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2.8.</w:t>
      </w:r>
      <w:r>
        <w:rPr>
          <w:rFonts w:hint="eastAsia" w:eastAsiaTheme="minorEastAsia"/>
          <w:b/>
          <w:color w:val="000000" w:themeColor="text1"/>
          <w:kern w:val="0"/>
          <w:szCs w:val="24"/>
        </w:rPr>
        <w:t>3</w:t>
      </w:r>
      <w:r>
        <w:rPr>
          <w:rFonts w:eastAsiaTheme="minorEastAsia"/>
          <w:b/>
          <w:color w:val="000000" w:themeColor="text1"/>
          <w:kern w:val="0"/>
          <w:szCs w:val="24"/>
        </w:rPr>
        <w:t>.</w:t>
      </w:r>
      <w:r>
        <w:rPr>
          <w:rFonts w:hint="eastAsia" w:eastAsiaTheme="minorEastAsia"/>
          <w:b/>
          <w:color w:val="000000" w:themeColor="text1"/>
          <w:kern w:val="0"/>
          <w:szCs w:val="24"/>
        </w:rPr>
        <w:t>6</w:t>
      </w:r>
      <w:r>
        <w:rPr>
          <w:rFonts w:eastAsiaTheme="minorEastAsia"/>
          <w:b/>
          <w:color w:val="000000" w:themeColor="text1"/>
          <w:kern w:val="0"/>
          <w:szCs w:val="24"/>
        </w:rPr>
        <w:t>污染物达标分析</w:t>
      </w:r>
    </w:p>
    <w:p>
      <w:pPr>
        <w:ind w:firstLine="480"/>
        <w:rPr>
          <w:rFonts w:eastAsiaTheme="minorEastAsia"/>
          <w:b/>
          <w:color w:val="000000" w:themeColor="text1"/>
          <w:sz w:val="21"/>
          <w:szCs w:val="20"/>
        </w:rPr>
      </w:pPr>
      <w:r>
        <w:rPr>
          <w:rFonts w:eastAsiaTheme="minorEastAsia"/>
          <w:color w:val="000000" w:themeColor="text1"/>
          <w:szCs w:val="24"/>
        </w:rPr>
        <w:t>2018年12月20日建设单位委托玉溪华恒环境科技有限公司对选厂厂界无组织粉尘排放监控点进行了监测。监测结果如表2.8-4。</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表2.8-4选厂厂界浓度检测结果单位：mg/m</w:t>
      </w:r>
      <w:r>
        <w:rPr>
          <w:rFonts w:eastAsiaTheme="minorEastAsia"/>
          <w:b/>
          <w:color w:val="000000" w:themeColor="text1"/>
          <w:sz w:val="21"/>
          <w:szCs w:val="20"/>
          <w:vertAlign w:val="superscript"/>
        </w:rPr>
        <w:t>3</w:t>
      </w:r>
    </w:p>
    <w:tbl>
      <w:tblPr>
        <w:tblStyle w:val="61"/>
        <w:tblW w:w="852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7"/>
        <w:gridCol w:w="1161"/>
        <w:gridCol w:w="1287"/>
        <w:gridCol w:w="1275"/>
        <w:gridCol w:w="1275"/>
        <w:gridCol w:w="1275"/>
        <w:gridCol w:w="1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4" w:hRule="atLeast"/>
          <w:jc w:val="center"/>
        </w:trPr>
        <w:tc>
          <w:tcPr>
            <w:tcW w:w="977"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监测项目</w:t>
            </w:r>
          </w:p>
        </w:tc>
        <w:tc>
          <w:tcPr>
            <w:tcW w:w="116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采样时间</w:t>
            </w:r>
          </w:p>
        </w:tc>
        <w:tc>
          <w:tcPr>
            <w:tcW w:w="1287"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采样时段</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1#上风向</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2#下风向</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3#下风向</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4#下风向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4" w:hRule="atLeast"/>
          <w:jc w:val="center"/>
        </w:trPr>
        <w:tc>
          <w:tcPr>
            <w:tcW w:w="977"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TSP</w:t>
            </w:r>
          </w:p>
        </w:tc>
        <w:tc>
          <w:tcPr>
            <w:tcW w:w="1161"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2018.12.20</w:t>
            </w:r>
          </w:p>
        </w:tc>
        <w:tc>
          <w:tcPr>
            <w:tcW w:w="1287"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02:00~03:00</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0.194</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0.235</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0.262</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jc w:val="center"/>
        </w:trPr>
        <w:tc>
          <w:tcPr>
            <w:tcW w:w="977" w:type="dxa"/>
            <w:vMerge w:val="continue"/>
            <w:vAlign w:val="center"/>
          </w:tcPr>
          <w:p>
            <w:pPr>
              <w:spacing w:line="240" w:lineRule="auto"/>
              <w:ind w:firstLine="0" w:firstLineChars="0"/>
              <w:jc w:val="both"/>
              <w:rPr>
                <w:rFonts w:eastAsiaTheme="minorEastAsia"/>
                <w:color w:val="000000" w:themeColor="text1"/>
                <w:sz w:val="21"/>
                <w:szCs w:val="21"/>
              </w:rPr>
            </w:pPr>
          </w:p>
        </w:tc>
        <w:tc>
          <w:tcPr>
            <w:tcW w:w="1161" w:type="dxa"/>
            <w:vMerge w:val="continue"/>
            <w:vAlign w:val="center"/>
          </w:tcPr>
          <w:p>
            <w:pPr>
              <w:spacing w:line="240" w:lineRule="auto"/>
              <w:ind w:firstLine="0" w:firstLineChars="0"/>
              <w:jc w:val="both"/>
              <w:rPr>
                <w:rFonts w:eastAsiaTheme="minorEastAsia"/>
                <w:color w:val="000000" w:themeColor="text1"/>
                <w:sz w:val="21"/>
                <w:szCs w:val="21"/>
              </w:rPr>
            </w:pPr>
          </w:p>
        </w:tc>
        <w:tc>
          <w:tcPr>
            <w:tcW w:w="1287"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08:00~09:00</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0.224</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0.269</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0.289</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jc w:val="center"/>
        </w:trPr>
        <w:tc>
          <w:tcPr>
            <w:tcW w:w="97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61"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287"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14:00~15:00</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0.287</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0.332</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0.360</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0.347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jc w:val="center"/>
        </w:trPr>
        <w:tc>
          <w:tcPr>
            <w:tcW w:w="97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61"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287"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20:00~21:00</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0.255</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0.290</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0.324</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0.324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jc w:val="center"/>
        </w:trPr>
        <w:tc>
          <w:tcPr>
            <w:tcW w:w="97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61"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287"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浓度范围</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0.194~0.287</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0.235~0.332</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0.262~0.360</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0.245~0.347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jc w:val="center"/>
        </w:trPr>
        <w:tc>
          <w:tcPr>
            <w:tcW w:w="97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2448" w:type="dxa"/>
            <w:gridSpan w:val="2"/>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《铁矿采选工业污染物排放标准》（GB28661-2012）</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jc w:val="center"/>
        </w:trPr>
        <w:tc>
          <w:tcPr>
            <w:tcW w:w="97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2448" w:type="dxa"/>
            <w:gridSpan w:val="2"/>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达标情况</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c>
          <w:tcPr>
            <w:tcW w:w="127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bl>
    <w:p>
      <w:pPr>
        <w:ind w:firstLine="480"/>
        <w:jc w:val="both"/>
        <w:rPr>
          <w:rFonts w:eastAsiaTheme="minorEastAsia"/>
          <w:color w:val="000000" w:themeColor="text1"/>
          <w:szCs w:val="24"/>
        </w:rPr>
      </w:pPr>
      <w:r>
        <w:rPr>
          <w:rFonts w:eastAsiaTheme="minorEastAsia"/>
          <w:color w:val="000000" w:themeColor="text1"/>
          <w:szCs w:val="24"/>
        </w:rPr>
        <w:t>由表2.8-</w:t>
      </w:r>
      <w:r>
        <w:rPr>
          <w:rFonts w:hint="eastAsia" w:eastAsiaTheme="minorEastAsia"/>
          <w:color w:val="000000" w:themeColor="text1"/>
          <w:szCs w:val="24"/>
        </w:rPr>
        <w:t>4</w:t>
      </w:r>
      <w:r>
        <w:rPr>
          <w:rFonts w:eastAsiaTheme="minorEastAsia"/>
          <w:color w:val="000000" w:themeColor="text1"/>
          <w:szCs w:val="24"/>
        </w:rPr>
        <w:t>可知，选厂厂界</w:t>
      </w:r>
      <w:r>
        <w:rPr>
          <w:rStyle w:val="73"/>
          <w:rFonts w:hint="eastAsia"/>
          <w:color w:val="000000" w:themeColor="text1"/>
          <w:kern w:val="0"/>
          <w:sz w:val="24"/>
          <w:szCs w:val="24"/>
        </w:rPr>
        <w:t>粉尘无组织排放监控</w:t>
      </w:r>
      <w:r>
        <w:rPr>
          <w:rFonts w:eastAsiaTheme="minorEastAsia"/>
          <w:color w:val="000000" w:themeColor="text1"/>
          <w:szCs w:val="24"/>
        </w:rPr>
        <w:t>浓度达到</w:t>
      </w:r>
      <w:r>
        <w:rPr>
          <w:rFonts w:eastAsiaTheme="minorEastAsia"/>
          <w:color w:val="000000" w:themeColor="text1"/>
        </w:rPr>
        <w:t>《铁矿采选工业污染物排放标准》（GB28661-2012）</w:t>
      </w:r>
      <w:r>
        <w:rPr>
          <w:rFonts w:eastAsiaTheme="minorEastAsia"/>
          <w:color w:val="000000" w:themeColor="text1"/>
          <w:szCs w:val="24"/>
        </w:rPr>
        <w:t>中的现有和新建企业边界大气污染物浓度限值要求。</w:t>
      </w:r>
    </w:p>
    <w:p>
      <w:pPr>
        <w:pStyle w:val="6"/>
        <w:spacing w:beforeLines="0" w:afterLines="0"/>
        <w:rPr>
          <w:rFonts w:eastAsiaTheme="minorEastAsia"/>
          <w:color w:val="000000" w:themeColor="text1"/>
          <w:sz w:val="28"/>
          <w:szCs w:val="28"/>
        </w:rPr>
      </w:pPr>
      <w:bookmarkStart w:id="434" w:name="_Toc23249"/>
      <w:r>
        <w:rPr>
          <w:rFonts w:eastAsiaTheme="minorEastAsia"/>
          <w:color w:val="000000" w:themeColor="text1"/>
          <w:sz w:val="28"/>
          <w:szCs w:val="28"/>
        </w:rPr>
        <w:t>2.8.</w:t>
      </w:r>
      <w:r>
        <w:rPr>
          <w:rFonts w:hint="eastAsia" w:eastAsiaTheme="minorEastAsia"/>
          <w:color w:val="000000" w:themeColor="text1"/>
          <w:sz w:val="28"/>
          <w:szCs w:val="28"/>
        </w:rPr>
        <w:t>4</w:t>
      </w:r>
      <w:r>
        <w:rPr>
          <w:rFonts w:eastAsiaTheme="minorEastAsia"/>
          <w:color w:val="000000" w:themeColor="text1"/>
          <w:sz w:val="28"/>
          <w:szCs w:val="28"/>
        </w:rPr>
        <w:t>固废</w:t>
      </w:r>
      <w:bookmarkEnd w:id="434"/>
    </w:p>
    <w:p>
      <w:pPr>
        <w:keepNext/>
        <w:keepLines/>
        <w:adjustRightIn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2.8.</w:t>
      </w:r>
      <w:r>
        <w:rPr>
          <w:rFonts w:hint="eastAsia" w:eastAsiaTheme="minorEastAsia"/>
          <w:b/>
          <w:color w:val="000000" w:themeColor="text1"/>
          <w:kern w:val="0"/>
          <w:szCs w:val="24"/>
        </w:rPr>
        <w:t>4</w:t>
      </w:r>
      <w:r>
        <w:rPr>
          <w:rFonts w:eastAsiaTheme="minorEastAsia"/>
          <w:b/>
          <w:color w:val="000000" w:themeColor="text1"/>
          <w:kern w:val="0"/>
          <w:szCs w:val="24"/>
        </w:rPr>
        <w:t>.1尾矿</w:t>
      </w:r>
    </w:p>
    <w:p>
      <w:pPr>
        <w:pStyle w:val="127"/>
        <w:rPr>
          <w:rFonts w:eastAsiaTheme="minorEastAsia"/>
          <w:color w:val="000000" w:themeColor="text1"/>
        </w:rPr>
      </w:pPr>
      <w:r>
        <w:rPr>
          <w:rFonts w:eastAsiaTheme="minorEastAsia"/>
          <w:color w:val="000000" w:themeColor="text1"/>
        </w:rPr>
        <w:t>1、污染物产生情况</w:t>
      </w:r>
    </w:p>
    <w:p>
      <w:pPr>
        <w:ind w:firstLine="480"/>
        <w:rPr>
          <w:rStyle w:val="581"/>
          <w:rFonts w:eastAsiaTheme="minorEastAsia"/>
          <w:color w:val="000000" w:themeColor="text1"/>
        </w:rPr>
      </w:pPr>
      <w:r>
        <w:rPr>
          <w:rFonts w:eastAsiaTheme="minorEastAsia"/>
          <w:color w:val="000000" w:themeColor="text1"/>
          <w:szCs w:val="24"/>
        </w:rPr>
        <w:t>项目每年产生尾矿（</w:t>
      </w:r>
      <w:r>
        <w:rPr>
          <w:rFonts w:hint="eastAsia" w:eastAsiaTheme="minorEastAsia"/>
          <w:color w:val="000000" w:themeColor="text1"/>
          <w:szCs w:val="24"/>
        </w:rPr>
        <w:t>湿</w:t>
      </w:r>
      <w:r>
        <w:rPr>
          <w:rFonts w:eastAsiaTheme="minorEastAsia"/>
          <w:color w:val="000000" w:themeColor="text1"/>
          <w:szCs w:val="24"/>
        </w:rPr>
        <w:t>）</w:t>
      </w:r>
      <w:r>
        <w:rPr>
          <w:rFonts w:hint="eastAsia" w:eastAsiaTheme="minorEastAsia"/>
          <w:color w:val="000000" w:themeColor="text1"/>
          <w:szCs w:val="24"/>
        </w:rPr>
        <w:t>218700</w:t>
      </w:r>
      <w:r>
        <w:rPr>
          <w:rFonts w:eastAsiaTheme="minorEastAsia"/>
          <w:color w:val="000000" w:themeColor="text1"/>
          <w:szCs w:val="24"/>
        </w:rPr>
        <w:t>t/a，根据尾矿浸出实验监测结果，该尾矿属于第І类固废。</w:t>
      </w:r>
    </w:p>
    <w:p>
      <w:pPr>
        <w:pStyle w:val="127"/>
        <w:rPr>
          <w:rFonts w:eastAsiaTheme="minorEastAsia"/>
          <w:color w:val="000000" w:themeColor="text1"/>
        </w:rPr>
      </w:pPr>
      <w:r>
        <w:rPr>
          <w:rFonts w:eastAsiaTheme="minorEastAsia"/>
          <w:color w:val="000000" w:themeColor="text1"/>
        </w:rPr>
        <w:t>2、污染物治理措施</w:t>
      </w:r>
    </w:p>
    <w:p>
      <w:pPr>
        <w:pStyle w:val="127"/>
        <w:rPr>
          <w:rFonts w:eastAsiaTheme="minorEastAsia"/>
          <w:color w:val="000000" w:themeColor="text1"/>
          <w:szCs w:val="24"/>
        </w:rPr>
      </w:pPr>
      <w:r>
        <w:rPr>
          <w:rFonts w:eastAsiaTheme="minorEastAsia"/>
          <w:color w:val="000000" w:themeColor="text1"/>
        </w:rPr>
        <w:t>原有项目设有辣子箐尾矿库，尾矿库按照</w:t>
      </w:r>
      <w:r>
        <w:rPr>
          <w:rFonts w:hint="eastAsia" w:eastAsiaTheme="minorEastAsia"/>
          <w:color w:val="000000" w:themeColor="text1"/>
        </w:rPr>
        <w:t>原</w:t>
      </w:r>
      <w:r>
        <w:rPr>
          <w:rFonts w:eastAsia="宋体"/>
          <w:color w:val="000000" w:themeColor="text1"/>
          <w:szCs w:val="24"/>
        </w:rPr>
        <w:t>《一般工业固体废物贮存</w:t>
      </w:r>
      <w:r>
        <w:rPr>
          <w:rFonts w:hint="eastAsia" w:eastAsia="宋体"/>
          <w:color w:val="000000" w:themeColor="text1"/>
          <w:szCs w:val="24"/>
        </w:rPr>
        <w:t>、处置场</w:t>
      </w:r>
      <w:r>
        <w:rPr>
          <w:rFonts w:eastAsia="宋体"/>
          <w:color w:val="000000" w:themeColor="text1"/>
          <w:szCs w:val="24"/>
        </w:rPr>
        <w:t>污染控制标准》（GB18599-20</w:t>
      </w:r>
      <w:r>
        <w:rPr>
          <w:rFonts w:hint="eastAsia" w:eastAsia="宋体"/>
          <w:color w:val="000000" w:themeColor="text1"/>
          <w:szCs w:val="24"/>
        </w:rPr>
        <w:t>01</w:t>
      </w:r>
      <w:r>
        <w:rPr>
          <w:rFonts w:eastAsia="宋体"/>
          <w:color w:val="000000" w:themeColor="text1"/>
          <w:szCs w:val="24"/>
        </w:rPr>
        <w:t>）</w:t>
      </w:r>
      <w:r>
        <w:rPr>
          <w:rFonts w:eastAsiaTheme="minorEastAsia"/>
          <w:color w:val="000000" w:themeColor="text1"/>
        </w:rPr>
        <w:t>要求设计和建设，现有尾矿库于2007年7月建成，于2011年正式投入使用，从2012年之后项目产生的尾矿排入辣子箐尾矿库堆存</w:t>
      </w:r>
      <w:r>
        <w:rPr>
          <w:rFonts w:eastAsiaTheme="minorEastAsia"/>
          <w:color w:val="000000" w:themeColor="text1"/>
          <w:szCs w:val="24"/>
        </w:rPr>
        <w:t>。设计库容44.95</w:t>
      </w:r>
      <w:r>
        <w:rPr>
          <w:rFonts w:eastAsiaTheme="minorEastAsia"/>
          <w:color w:val="000000" w:themeColor="text1"/>
        </w:rPr>
        <w:t>万m</w:t>
      </w:r>
      <w:r>
        <w:rPr>
          <w:rFonts w:eastAsiaTheme="minorEastAsia"/>
          <w:color w:val="000000" w:themeColor="text1"/>
          <w:vertAlign w:val="superscript"/>
        </w:rPr>
        <w:t>3</w:t>
      </w:r>
      <w:r>
        <w:rPr>
          <w:rFonts w:eastAsiaTheme="minorEastAsia"/>
          <w:color w:val="000000" w:themeColor="text1"/>
        </w:rPr>
        <w:t>，目前剩余库容</w:t>
      </w:r>
      <w:r>
        <w:rPr>
          <w:rFonts w:hint="eastAsia" w:eastAsiaTheme="minorEastAsia"/>
          <w:color w:val="000000" w:themeColor="text1"/>
        </w:rPr>
        <w:t>约4</w:t>
      </w:r>
      <w:r>
        <w:rPr>
          <w:rFonts w:eastAsiaTheme="minorEastAsia"/>
          <w:color w:val="000000" w:themeColor="text1"/>
        </w:rPr>
        <w:t>万m</w:t>
      </w:r>
      <w:r>
        <w:rPr>
          <w:rFonts w:eastAsiaTheme="minorEastAsia"/>
          <w:color w:val="000000" w:themeColor="text1"/>
          <w:vertAlign w:val="superscript"/>
        </w:rPr>
        <w:t>3</w:t>
      </w:r>
      <w:r>
        <w:rPr>
          <w:rFonts w:eastAsiaTheme="minorEastAsia"/>
          <w:color w:val="000000" w:themeColor="text1"/>
        </w:rPr>
        <w:t>。</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2.8.</w:t>
      </w:r>
      <w:r>
        <w:rPr>
          <w:rFonts w:hint="eastAsia" w:eastAsiaTheme="minorEastAsia"/>
          <w:b/>
          <w:color w:val="000000" w:themeColor="text1"/>
          <w:kern w:val="0"/>
          <w:szCs w:val="24"/>
        </w:rPr>
        <w:t>4.</w:t>
      </w:r>
      <w:r>
        <w:rPr>
          <w:rFonts w:eastAsiaTheme="minorEastAsia"/>
          <w:b/>
          <w:color w:val="000000" w:themeColor="text1"/>
          <w:kern w:val="0"/>
          <w:szCs w:val="24"/>
        </w:rPr>
        <w:t>2生活垃圾</w:t>
      </w:r>
    </w:p>
    <w:p>
      <w:pPr>
        <w:ind w:firstLine="480"/>
        <w:rPr>
          <w:rFonts w:eastAsiaTheme="minorEastAsia"/>
          <w:color w:val="000000" w:themeColor="text1"/>
          <w:szCs w:val="24"/>
        </w:rPr>
      </w:pPr>
      <w:r>
        <w:rPr>
          <w:rFonts w:eastAsiaTheme="minorEastAsia"/>
          <w:color w:val="000000" w:themeColor="text1"/>
          <w:szCs w:val="24"/>
        </w:rPr>
        <w:t>1、污染物产生情况</w:t>
      </w:r>
    </w:p>
    <w:p>
      <w:pPr>
        <w:ind w:firstLine="480"/>
        <w:rPr>
          <w:rFonts w:eastAsiaTheme="minorEastAsia"/>
          <w:color w:val="000000" w:themeColor="text1"/>
          <w:szCs w:val="24"/>
        </w:rPr>
      </w:pPr>
      <w:r>
        <w:rPr>
          <w:rFonts w:eastAsiaTheme="minorEastAsia"/>
          <w:color w:val="000000" w:themeColor="text1"/>
          <w:szCs w:val="24"/>
        </w:rPr>
        <w:t>根据选厂运行情况，生活垃圾产生量为12.75t/a。</w:t>
      </w:r>
    </w:p>
    <w:p>
      <w:pPr>
        <w:ind w:firstLine="480"/>
        <w:rPr>
          <w:rFonts w:eastAsiaTheme="minorEastAsia"/>
          <w:color w:val="000000" w:themeColor="text1"/>
          <w:szCs w:val="24"/>
        </w:rPr>
      </w:pPr>
      <w:r>
        <w:rPr>
          <w:rFonts w:eastAsiaTheme="minorEastAsia"/>
          <w:color w:val="000000" w:themeColor="text1"/>
          <w:szCs w:val="24"/>
        </w:rPr>
        <w:t>2、污染物治理措施</w:t>
      </w:r>
    </w:p>
    <w:p>
      <w:pPr>
        <w:ind w:firstLine="480"/>
        <w:rPr>
          <w:rFonts w:eastAsiaTheme="minorEastAsia"/>
          <w:color w:val="000000" w:themeColor="text1"/>
          <w:szCs w:val="24"/>
        </w:rPr>
      </w:pPr>
      <w:r>
        <w:rPr>
          <w:rFonts w:eastAsiaTheme="minorEastAsia"/>
          <w:color w:val="000000" w:themeColor="text1"/>
          <w:szCs w:val="24"/>
        </w:rPr>
        <w:t>生活垃圾集中收集于垃圾池当中，由建设单位定期清理清运至戛洒镇生活垃圾堆存点处理。此外</w:t>
      </w:r>
      <w:r>
        <w:rPr>
          <w:rFonts w:hint="eastAsia" w:eastAsiaTheme="minorEastAsia"/>
          <w:color w:val="000000" w:themeColor="text1"/>
          <w:szCs w:val="24"/>
        </w:rPr>
        <w:t>，</w:t>
      </w:r>
      <w:r>
        <w:rPr>
          <w:rFonts w:eastAsiaTheme="minorEastAsia"/>
          <w:color w:val="000000" w:themeColor="text1"/>
          <w:szCs w:val="24"/>
        </w:rPr>
        <w:t>旱厕粪便定期清掏后由周边村民运输至树木施肥。</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2.</w:t>
      </w:r>
      <w:r>
        <w:rPr>
          <w:rFonts w:hint="eastAsia" w:eastAsiaTheme="minorEastAsia"/>
          <w:b/>
          <w:color w:val="000000" w:themeColor="text1"/>
          <w:kern w:val="0"/>
          <w:szCs w:val="24"/>
        </w:rPr>
        <w:t>8</w:t>
      </w:r>
      <w:r>
        <w:rPr>
          <w:rFonts w:eastAsiaTheme="minorEastAsia"/>
          <w:b/>
          <w:color w:val="000000" w:themeColor="text1"/>
          <w:kern w:val="0"/>
          <w:szCs w:val="24"/>
        </w:rPr>
        <w:t>.</w:t>
      </w:r>
      <w:r>
        <w:rPr>
          <w:rFonts w:hint="eastAsia" w:eastAsiaTheme="minorEastAsia"/>
          <w:b/>
          <w:color w:val="000000" w:themeColor="text1"/>
          <w:kern w:val="0"/>
          <w:szCs w:val="24"/>
        </w:rPr>
        <w:t>4</w:t>
      </w:r>
      <w:r>
        <w:rPr>
          <w:rFonts w:eastAsiaTheme="minorEastAsia"/>
          <w:b/>
          <w:color w:val="000000" w:themeColor="text1"/>
          <w:kern w:val="0"/>
          <w:szCs w:val="24"/>
        </w:rPr>
        <w:t>.3废机油</w:t>
      </w:r>
    </w:p>
    <w:p>
      <w:pPr>
        <w:ind w:firstLine="480"/>
        <w:rPr>
          <w:rFonts w:eastAsiaTheme="minorEastAsia"/>
          <w:color w:val="000000" w:themeColor="text1"/>
          <w:szCs w:val="24"/>
        </w:rPr>
      </w:pPr>
      <w:r>
        <w:rPr>
          <w:rFonts w:eastAsiaTheme="minorEastAsia"/>
          <w:color w:val="000000" w:themeColor="text1"/>
          <w:szCs w:val="24"/>
        </w:rPr>
        <w:t>根据建设单位提供资料，项目机械维修产生的废机油量为0.4t/a，暂存于危废暂存间，根据现场勘查，项目产生的废机油目前</w:t>
      </w:r>
      <w:r>
        <w:rPr>
          <w:rFonts w:hint="eastAsia" w:eastAsiaTheme="minorEastAsia"/>
          <w:color w:val="000000" w:themeColor="text1"/>
          <w:szCs w:val="24"/>
        </w:rPr>
        <w:t>委托云南圣邦科技有限公司处置，该公司具备相应类别危废处置资质</w:t>
      </w:r>
      <w:r>
        <w:rPr>
          <w:rFonts w:eastAsiaTheme="minorEastAsia"/>
          <w:color w:val="000000" w:themeColor="text1"/>
          <w:szCs w:val="24"/>
        </w:rPr>
        <w:t>。</w:t>
      </w:r>
    </w:p>
    <w:p>
      <w:pPr>
        <w:ind w:firstLine="480"/>
        <w:rPr>
          <w:rFonts w:eastAsiaTheme="minorEastAsia"/>
          <w:color w:val="000000" w:themeColor="text1"/>
          <w:szCs w:val="24"/>
        </w:rPr>
      </w:pPr>
      <w:r>
        <w:rPr>
          <w:rFonts w:eastAsiaTheme="minorEastAsia"/>
          <w:color w:val="000000" w:themeColor="text1"/>
          <w:szCs w:val="24"/>
        </w:rPr>
        <w:t>项目固体废物产生情况见下表2.8-5。</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表2.8-5固体废物产生情况</w:t>
      </w:r>
    </w:p>
    <w:tbl>
      <w:tblPr>
        <w:tblStyle w:val="61"/>
        <w:tblW w:w="836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1894"/>
        <w:gridCol w:w="1224"/>
        <w:gridCol w:w="3196"/>
        <w:gridCol w:w="1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trPr>
        <w:tc>
          <w:tcPr>
            <w:tcW w:w="851"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序号</w:t>
            </w:r>
          </w:p>
        </w:tc>
        <w:tc>
          <w:tcPr>
            <w:tcW w:w="1894"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污染物类别</w:t>
            </w:r>
          </w:p>
        </w:tc>
        <w:tc>
          <w:tcPr>
            <w:tcW w:w="1224"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产生量</w:t>
            </w:r>
          </w:p>
        </w:tc>
        <w:tc>
          <w:tcPr>
            <w:tcW w:w="3196"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处置方式</w:t>
            </w:r>
          </w:p>
        </w:tc>
        <w:tc>
          <w:tcPr>
            <w:tcW w:w="1203"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处置率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1" w:hRule="atLeast"/>
        </w:trPr>
        <w:tc>
          <w:tcPr>
            <w:tcW w:w="851"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1894"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尾矿</w:t>
            </w:r>
          </w:p>
        </w:tc>
        <w:tc>
          <w:tcPr>
            <w:tcW w:w="1224"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218700</w:t>
            </w:r>
            <w:r>
              <w:rPr>
                <w:rFonts w:eastAsiaTheme="minorEastAsia"/>
                <w:color w:val="000000" w:themeColor="text1"/>
                <w:sz w:val="21"/>
                <w:szCs w:val="21"/>
              </w:rPr>
              <w:t>t/a</w:t>
            </w:r>
          </w:p>
        </w:tc>
        <w:tc>
          <w:tcPr>
            <w:tcW w:w="3196"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进辣子箐尾矿库</w:t>
            </w:r>
          </w:p>
        </w:tc>
        <w:tc>
          <w:tcPr>
            <w:tcW w:w="1203"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trPr>
        <w:tc>
          <w:tcPr>
            <w:tcW w:w="851"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1894"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生活垃圾</w:t>
            </w:r>
          </w:p>
        </w:tc>
        <w:tc>
          <w:tcPr>
            <w:tcW w:w="1224"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12.75t/a</w:t>
            </w:r>
          </w:p>
        </w:tc>
        <w:tc>
          <w:tcPr>
            <w:tcW w:w="3196"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收集到垃圾池，定期清运至戛洒镇</w:t>
            </w:r>
          </w:p>
        </w:tc>
        <w:tc>
          <w:tcPr>
            <w:tcW w:w="1203"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trPr>
        <w:tc>
          <w:tcPr>
            <w:tcW w:w="851"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894"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废机油</w:t>
            </w:r>
          </w:p>
        </w:tc>
        <w:tc>
          <w:tcPr>
            <w:tcW w:w="1224"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0.4t/a</w:t>
            </w:r>
          </w:p>
        </w:tc>
        <w:tc>
          <w:tcPr>
            <w:tcW w:w="3196"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委托云南圣邦科技有限公司</w:t>
            </w:r>
            <w:r>
              <w:rPr>
                <w:rFonts w:eastAsiaTheme="minorEastAsia"/>
                <w:color w:val="000000" w:themeColor="text1"/>
                <w:sz w:val="21"/>
                <w:szCs w:val="21"/>
              </w:rPr>
              <w:t>处置。</w:t>
            </w:r>
          </w:p>
        </w:tc>
        <w:tc>
          <w:tcPr>
            <w:tcW w:w="1203" w:type="dxa"/>
            <w:tcBorders>
              <w:tl2br w:val="nil"/>
              <w:tr2bl w:val="nil"/>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100%</w:t>
            </w:r>
          </w:p>
        </w:tc>
      </w:tr>
    </w:tbl>
    <w:p>
      <w:pPr>
        <w:pStyle w:val="6"/>
        <w:spacing w:beforeLines="0" w:afterLines="0"/>
        <w:rPr>
          <w:rFonts w:eastAsiaTheme="minorEastAsia"/>
          <w:color w:val="000000" w:themeColor="text1"/>
          <w:sz w:val="28"/>
          <w:szCs w:val="28"/>
        </w:rPr>
      </w:pPr>
      <w:bookmarkStart w:id="435" w:name="_Toc5815"/>
      <w:r>
        <w:rPr>
          <w:rFonts w:eastAsiaTheme="minorEastAsia"/>
          <w:color w:val="000000" w:themeColor="text1"/>
          <w:sz w:val="28"/>
          <w:szCs w:val="28"/>
        </w:rPr>
        <w:t>2.8.</w:t>
      </w:r>
      <w:r>
        <w:rPr>
          <w:rFonts w:hint="eastAsia" w:eastAsiaTheme="minorEastAsia"/>
          <w:color w:val="000000" w:themeColor="text1"/>
          <w:sz w:val="28"/>
          <w:szCs w:val="28"/>
        </w:rPr>
        <w:t>5</w:t>
      </w:r>
      <w:r>
        <w:rPr>
          <w:rFonts w:eastAsiaTheme="minorEastAsia"/>
          <w:color w:val="000000" w:themeColor="text1"/>
          <w:sz w:val="28"/>
          <w:szCs w:val="28"/>
        </w:rPr>
        <w:t>噪声</w:t>
      </w:r>
      <w:bookmarkEnd w:id="435"/>
    </w:p>
    <w:p>
      <w:pPr>
        <w:pStyle w:val="127"/>
        <w:rPr>
          <w:rFonts w:eastAsiaTheme="minorEastAsia"/>
          <w:color w:val="000000" w:themeColor="text1"/>
          <w:lang w:bidi="en-US"/>
        </w:rPr>
      </w:pPr>
      <w:r>
        <w:rPr>
          <w:rFonts w:eastAsiaTheme="minorEastAsia"/>
          <w:color w:val="000000" w:themeColor="text1"/>
          <w:lang w:bidi="en-US"/>
        </w:rPr>
        <w:t>1、污染物产生情况</w:t>
      </w:r>
    </w:p>
    <w:p>
      <w:pPr>
        <w:ind w:firstLine="480"/>
        <w:rPr>
          <w:rFonts w:eastAsiaTheme="minorEastAsia"/>
          <w:b/>
          <w:color w:val="000000" w:themeColor="text1"/>
          <w:sz w:val="21"/>
          <w:szCs w:val="20"/>
        </w:rPr>
      </w:pPr>
      <w:r>
        <w:rPr>
          <w:rFonts w:eastAsiaTheme="minorEastAsia"/>
          <w:color w:val="000000" w:themeColor="text1"/>
          <w:szCs w:val="24"/>
        </w:rPr>
        <w:t>项目主要噪声来自于选厂设备，根据设备实际调查，主要设备噪声源强见表2.8-6。</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表2.8-6主要噪声设备源强一览表</w:t>
      </w:r>
    </w:p>
    <w:tbl>
      <w:tblPr>
        <w:tblStyle w:val="61"/>
        <w:tblW w:w="852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3"/>
        <w:gridCol w:w="1660"/>
        <w:gridCol w:w="1550"/>
        <w:gridCol w:w="1550"/>
        <w:gridCol w:w="1349"/>
        <w:gridCol w:w="16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2" w:hRule="exact"/>
          <w:tblHeader/>
          <w:jc w:val="center"/>
        </w:trPr>
        <w:tc>
          <w:tcPr>
            <w:tcW w:w="783"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位置</w:t>
            </w:r>
          </w:p>
        </w:tc>
        <w:tc>
          <w:tcPr>
            <w:tcW w:w="1660"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噪声设备</w:t>
            </w:r>
          </w:p>
        </w:tc>
        <w:tc>
          <w:tcPr>
            <w:tcW w:w="1550"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数量</w:t>
            </w:r>
          </w:p>
        </w:tc>
        <w:tc>
          <w:tcPr>
            <w:tcW w:w="1550"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声级值〔dB(A)〕</w:t>
            </w:r>
          </w:p>
        </w:tc>
        <w:tc>
          <w:tcPr>
            <w:tcW w:w="1349"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声源分类</w:t>
            </w:r>
          </w:p>
        </w:tc>
        <w:tc>
          <w:tcPr>
            <w:tcW w:w="1633"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排放方式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783" w:type="dxa"/>
            <w:vMerge w:val="restart"/>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选厂</w:t>
            </w:r>
          </w:p>
        </w:tc>
        <w:tc>
          <w:tcPr>
            <w:tcW w:w="1660" w:type="dxa"/>
            <w:tcBorders>
              <w:tl2br w:val="nil"/>
              <w:tr2bl w:val="nil"/>
            </w:tcBorders>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破碎机</w:t>
            </w:r>
          </w:p>
        </w:tc>
        <w:tc>
          <w:tcPr>
            <w:tcW w:w="1550" w:type="dxa"/>
            <w:tcBorders>
              <w:tl2br w:val="nil"/>
              <w:tr2bl w:val="nil"/>
            </w:tcBorders>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2台</w:t>
            </w:r>
          </w:p>
        </w:tc>
        <w:tc>
          <w:tcPr>
            <w:tcW w:w="1550"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95</w:t>
            </w:r>
          </w:p>
        </w:tc>
        <w:tc>
          <w:tcPr>
            <w:tcW w:w="1349"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机械性</w:t>
            </w:r>
          </w:p>
        </w:tc>
        <w:tc>
          <w:tcPr>
            <w:tcW w:w="1633"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783" w:type="dxa"/>
            <w:vMerge w:val="continue"/>
            <w:tcBorders>
              <w:tl2br w:val="nil"/>
              <w:tr2bl w:val="nil"/>
            </w:tcBorders>
            <w:vAlign w:val="center"/>
          </w:tcPr>
          <w:p>
            <w:pPr>
              <w:ind w:firstLine="420"/>
              <w:jc w:val="center"/>
              <w:rPr>
                <w:rFonts w:eastAsiaTheme="minorEastAsia"/>
                <w:color w:val="000000" w:themeColor="text1"/>
                <w:sz w:val="21"/>
                <w:szCs w:val="21"/>
              </w:rPr>
            </w:pPr>
          </w:p>
        </w:tc>
        <w:tc>
          <w:tcPr>
            <w:tcW w:w="1660" w:type="dxa"/>
            <w:tcBorders>
              <w:tl2br w:val="nil"/>
              <w:tr2bl w:val="nil"/>
            </w:tcBorders>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震动筛</w:t>
            </w:r>
          </w:p>
        </w:tc>
        <w:tc>
          <w:tcPr>
            <w:tcW w:w="1550" w:type="dxa"/>
            <w:tcBorders>
              <w:tl2br w:val="nil"/>
              <w:tr2bl w:val="nil"/>
            </w:tcBorders>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1台</w:t>
            </w:r>
          </w:p>
        </w:tc>
        <w:tc>
          <w:tcPr>
            <w:tcW w:w="1550"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90</w:t>
            </w:r>
          </w:p>
        </w:tc>
        <w:tc>
          <w:tcPr>
            <w:tcW w:w="1349"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机械性</w:t>
            </w:r>
          </w:p>
        </w:tc>
        <w:tc>
          <w:tcPr>
            <w:tcW w:w="1633"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783" w:type="dxa"/>
            <w:vMerge w:val="continue"/>
            <w:tcBorders>
              <w:tl2br w:val="nil"/>
              <w:tr2bl w:val="nil"/>
            </w:tcBorders>
            <w:vAlign w:val="center"/>
          </w:tcPr>
          <w:p>
            <w:pPr>
              <w:ind w:firstLine="420"/>
              <w:jc w:val="center"/>
              <w:rPr>
                <w:rFonts w:eastAsiaTheme="minorEastAsia"/>
                <w:color w:val="000000" w:themeColor="text1"/>
                <w:sz w:val="21"/>
                <w:szCs w:val="21"/>
              </w:rPr>
            </w:pPr>
          </w:p>
        </w:tc>
        <w:tc>
          <w:tcPr>
            <w:tcW w:w="1660" w:type="dxa"/>
            <w:tcBorders>
              <w:tl2br w:val="nil"/>
              <w:tr2bl w:val="nil"/>
            </w:tcBorders>
            <w:vAlign w:val="center"/>
          </w:tcPr>
          <w:p>
            <w:pPr>
              <w:pStyle w:val="126"/>
              <w:tabs>
                <w:tab w:val="left" w:pos="1960"/>
              </w:tabs>
              <w:spacing w:line="360" w:lineRule="auto"/>
              <w:rPr>
                <w:rFonts w:eastAsiaTheme="minorEastAsia"/>
                <w:color w:val="000000" w:themeColor="text1"/>
                <w:lang w:eastAsia="zh-CN"/>
              </w:rPr>
            </w:pPr>
            <w:r>
              <w:rPr>
                <w:rFonts w:hint="eastAsia" w:eastAsiaTheme="minorEastAsia"/>
                <w:color w:val="000000" w:themeColor="text1"/>
                <w:lang w:eastAsia="zh-CN"/>
              </w:rPr>
              <w:t>磨机</w:t>
            </w:r>
          </w:p>
        </w:tc>
        <w:tc>
          <w:tcPr>
            <w:tcW w:w="1550" w:type="dxa"/>
            <w:tcBorders>
              <w:tl2br w:val="nil"/>
              <w:tr2bl w:val="nil"/>
            </w:tcBorders>
            <w:vAlign w:val="center"/>
          </w:tcPr>
          <w:p>
            <w:pPr>
              <w:pStyle w:val="126"/>
              <w:tabs>
                <w:tab w:val="left" w:pos="1960"/>
              </w:tabs>
              <w:spacing w:line="360" w:lineRule="auto"/>
              <w:rPr>
                <w:rFonts w:eastAsiaTheme="minorEastAsia"/>
                <w:color w:val="000000" w:themeColor="text1"/>
                <w:lang w:eastAsia="zh-CN"/>
              </w:rPr>
            </w:pPr>
            <w:r>
              <w:rPr>
                <w:rFonts w:hint="eastAsia" w:eastAsiaTheme="minorEastAsia"/>
                <w:color w:val="000000" w:themeColor="text1"/>
                <w:lang w:val="en-US" w:eastAsia="zh-CN"/>
              </w:rPr>
              <w:t>3</w:t>
            </w:r>
            <w:r>
              <w:rPr>
                <w:rFonts w:hint="eastAsia" w:eastAsiaTheme="minorEastAsia"/>
                <w:color w:val="000000" w:themeColor="text1"/>
                <w:lang w:eastAsia="zh-CN"/>
              </w:rPr>
              <w:t>台</w:t>
            </w:r>
          </w:p>
        </w:tc>
        <w:tc>
          <w:tcPr>
            <w:tcW w:w="1550" w:type="dxa"/>
            <w:tcBorders>
              <w:tl2br w:val="nil"/>
              <w:tr2bl w:val="nil"/>
            </w:tcBorders>
            <w:vAlign w:val="center"/>
          </w:tcPr>
          <w:p>
            <w:pPr>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95</w:t>
            </w:r>
          </w:p>
        </w:tc>
        <w:tc>
          <w:tcPr>
            <w:tcW w:w="1349"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机械性</w:t>
            </w:r>
          </w:p>
        </w:tc>
        <w:tc>
          <w:tcPr>
            <w:tcW w:w="1633"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783" w:type="dxa"/>
            <w:vMerge w:val="continue"/>
            <w:tcBorders>
              <w:tl2br w:val="nil"/>
              <w:tr2bl w:val="nil"/>
            </w:tcBorders>
            <w:vAlign w:val="center"/>
          </w:tcPr>
          <w:p>
            <w:pPr>
              <w:ind w:firstLine="420"/>
              <w:jc w:val="center"/>
              <w:rPr>
                <w:rFonts w:eastAsiaTheme="minorEastAsia"/>
                <w:color w:val="000000" w:themeColor="text1"/>
                <w:sz w:val="21"/>
                <w:szCs w:val="21"/>
              </w:rPr>
            </w:pPr>
          </w:p>
        </w:tc>
        <w:tc>
          <w:tcPr>
            <w:tcW w:w="1660" w:type="dxa"/>
            <w:tcBorders>
              <w:tl2br w:val="nil"/>
              <w:tr2bl w:val="nil"/>
            </w:tcBorders>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螺旋溜槽</w:t>
            </w:r>
          </w:p>
        </w:tc>
        <w:tc>
          <w:tcPr>
            <w:tcW w:w="1550" w:type="dxa"/>
            <w:tcBorders>
              <w:tl2br w:val="nil"/>
              <w:tr2bl w:val="nil"/>
            </w:tcBorders>
            <w:vAlign w:val="center"/>
          </w:tcPr>
          <w:p>
            <w:pPr>
              <w:pStyle w:val="126"/>
              <w:tabs>
                <w:tab w:val="left" w:pos="1960"/>
              </w:tabs>
              <w:spacing w:line="360" w:lineRule="auto"/>
              <w:rPr>
                <w:rFonts w:eastAsiaTheme="minorEastAsia"/>
                <w:color w:val="000000" w:themeColor="text1"/>
              </w:rPr>
            </w:pPr>
            <w:r>
              <w:rPr>
                <w:rFonts w:eastAsiaTheme="minorEastAsia"/>
                <w:color w:val="000000" w:themeColor="text1"/>
                <w:lang w:eastAsia="zh-CN"/>
              </w:rPr>
              <w:t>3台</w:t>
            </w:r>
          </w:p>
        </w:tc>
        <w:tc>
          <w:tcPr>
            <w:tcW w:w="1550"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85</w:t>
            </w:r>
          </w:p>
        </w:tc>
        <w:tc>
          <w:tcPr>
            <w:tcW w:w="1349"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机械性</w:t>
            </w:r>
          </w:p>
        </w:tc>
        <w:tc>
          <w:tcPr>
            <w:tcW w:w="1633"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783" w:type="dxa"/>
            <w:vMerge w:val="continue"/>
            <w:tcBorders>
              <w:tl2br w:val="nil"/>
              <w:tr2bl w:val="nil"/>
            </w:tcBorders>
            <w:vAlign w:val="center"/>
          </w:tcPr>
          <w:p>
            <w:pPr>
              <w:ind w:firstLine="420"/>
              <w:jc w:val="center"/>
              <w:rPr>
                <w:rFonts w:eastAsiaTheme="minorEastAsia"/>
                <w:color w:val="000000" w:themeColor="text1"/>
                <w:sz w:val="21"/>
                <w:szCs w:val="21"/>
              </w:rPr>
            </w:pPr>
          </w:p>
        </w:tc>
        <w:tc>
          <w:tcPr>
            <w:tcW w:w="1660" w:type="dxa"/>
            <w:tcBorders>
              <w:tl2br w:val="nil"/>
              <w:tr2bl w:val="nil"/>
            </w:tcBorders>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永磁磁选机</w:t>
            </w:r>
          </w:p>
        </w:tc>
        <w:tc>
          <w:tcPr>
            <w:tcW w:w="1550" w:type="dxa"/>
            <w:tcBorders>
              <w:tl2br w:val="nil"/>
              <w:tr2bl w:val="nil"/>
            </w:tcBorders>
            <w:vAlign w:val="center"/>
          </w:tcPr>
          <w:p>
            <w:pPr>
              <w:pStyle w:val="126"/>
              <w:tabs>
                <w:tab w:val="left" w:pos="1960"/>
              </w:tabs>
              <w:spacing w:line="360" w:lineRule="auto"/>
              <w:rPr>
                <w:rFonts w:eastAsiaTheme="minorEastAsia"/>
                <w:color w:val="000000" w:themeColor="text1"/>
              </w:rPr>
            </w:pPr>
            <w:r>
              <w:rPr>
                <w:rFonts w:eastAsiaTheme="minorEastAsia"/>
                <w:color w:val="000000" w:themeColor="text1"/>
                <w:lang w:eastAsia="zh-CN"/>
              </w:rPr>
              <w:t>12台</w:t>
            </w:r>
          </w:p>
        </w:tc>
        <w:tc>
          <w:tcPr>
            <w:tcW w:w="1550"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80</w:t>
            </w:r>
          </w:p>
        </w:tc>
        <w:tc>
          <w:tcPr>
            <w:tcW w:w="1349"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机械性</w:t>
            </w:r>
          </w:p>
        </w:tc>
        <w:tc>
          <w:tcPr>
            <w:tcW w:w="1633"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783" w:type="dxa"/>
            <w:vMerge w:val="continue"/>
            <w:tcBorders>
              <w:tl2br w:val="nil"/>
              <w:tr2bl w:val="nil"/>
            </w:tcBorders>
            <w:vAlign w:val="center"/>
          </w:tcPr>
          <w:p>
            <w:pPr>
              <w:ind w:firstLine="420"/>
              <w:jc w:val="center"/>
              <w:rPr>
                <w:rFonts w:eastAsiaTheme="minorEastAsia"/>
                <w:color w:val="000000" w:themeColor="text1"/>
                <w:sz w:val="21"/>
                <w:szCs w:val="21"/>
              </w:rPr>
            </w:pPr>
          </w:p>
        </w:tc>
        <w:tc>
          <w:tcPr>
            <w:tcW w:w="1660" w:type="dxa"/>
            <w:tcBorders>
              <w:tl2br w:val="nil"/>
              <w:tr2bl w:val="nil"/>
            </w:tcBorders>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高梯度磁选机</w:t>
            </w:r>
          </w:p>
        </w:tc>
        <w:tc>
          <w:tcPr>
            <w:tcW w:w="1550" w:type="dxa"/>
            <w:tcBorders>
              <w:tl2br w:val="nil"/>
              <w:tr2bl w:val="nil"/>
            </w:tcBorders>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5台</w:t>
            </w:r>
          </w:p>
        </w:tc>
        <w:tc>
          <w:tcPr>
            <w:tcW w:w="1550" w:type="dxa"/>
            <w:tcBorders>
              <w:tl2br w:val="nil"/>
              <w:tr2bl w:val="nil"/>
            </w:tcBorders>
            <w:vAlign w:val="center"/>
          </w:tcPr>
          <w:p>
            <w:pPr>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80</w:t>
            </w:r>
          </w:p>
        </w:tc>
        <w:tc>
          <w:tcPr>
            <w:tcW w:w="1349"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机械性</w:t>
            </w:r>
          </w:p>
        </w:tc>
        <w:tc>
          <w:tcPr>
            <w:tcW w:w="1633" w:type="dxa"/>
            <w:tcBorders>
              <w:tl2br w:val="nil"/>
              <w:tr2bl w:val="nil"/>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783" w:type="dxa"/>
            <w:vMerge w:val="continue"/>
          </w:tcPr>
          <w:p>
            <w:pPr>
              <w:ind w:firstLine="0" w:firstLineChars="0"/>
              <w:jc w:val="center"/>
              <w:rPr>
                <w:rFonts w:eastAsiaTheme="minorEastAsia"/>
                <w:color w:val="000000" w:themeColor="text1"/>
                <w:sz w:val="21"/>
                <w:szCs w:val="21"/>
              </w:rPr>
            </w:pPr>
          </w:p>
        </w:tc>
        <w:tc>
          <w:tcPr>
            <w:tcW w:w="1660"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摇床</w:t>
            </w:r>
          </w:p>
        </w:tc>
        <w:tc>
          <w:tcPr>
            <w:tcW w:w="1550"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64台</w:t>
            </w:r>
          </w:p>
        </w:tc>
        <w:tc>
          <w:tcPr>
            <w:tcW w:w="155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80</w:t>
            </w:r>
          </w:p>
        </w:tc>
        <w:tc>
          <w:tcPr>
            <w:tcW w:w="1349"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机械性</w:t>
            </w:r>
          </w:p>
        </w:tc>
        <w:tc>
          <w:tcPr>
            <w:tcW w:w="1633"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783" w:type="dxa"/>
            <w:vMerge w:val="continue"/>
          </w:tcPr>
          <w:p>
            <w:pPr>
              <w:ind w:firstLine="0" w:firstLineChars="0"/>
              <w:jc w:val="center"/>
              <w:rPr>
                <w:rFonts w:eastAsiaTheme="minorEastAsia"/>
                <w:color w:val="000000" w:themeColor="text1"/>
                <w:sz w:val="21"/>
                <w:szCs w:val="21"/>
              </w:rPr>
            </w:pPr>
          </w:p>
        </w:tc>
        <w:tc>
          <w:tcPr>
            <w:tcW w:w="1660"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浮选槽</w:t>
            </w:r>
          </w:p>
        </w:tc>
        <w:tc>
          <w:tcPr>
            <w:tcW w:w="1550"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1套</w:t>
            </w:r>
          </w:p>
        </w:tc>
        <w:tc>
          <w:tcPr>
            <w:tcW w:w="155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80</w:t>
            </w:r>
          </w:p>
        </w:tc>
        <w:tc>
          <w:tcPr>
            <w:tcW w:w="1349"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机械性</w:t>
            </w:r>
          </w:p>
        </w:tc>
        <w:tc>
          <w:tcPr>
            <w:tcW w:w="1633"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783"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沉淀池</w:t>
            </w:r>
          </w:p>
        </w:tc>
        <w:tc>
          <w:tcPr>
            <w:tcW w:w="1660"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回水泵、泥浆泵</w:t>
            </w:r>
          </w:p>
        </w:tc>
        <w:tc>
          <w:tcPr>
            <w:tcW w:w="155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2</w:t>
            </w:r>
            <w:r>
              <w:rPr>
                <w:rFonts w:eastAsiaTheme="minorEastAsia"/>
                <w:color w:val="000000" w:themeColor="text1"/>
              </w:rPr>
              <w:t>套</w:t>
            </w:r>
          </w:p>
        </w:tc>
        <w:tc>
          <w:tcPr>
            <w:tcW w:w="1550"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85</w:t>
            </w:r>
          </w:p>
        </w:tc>
        <w:tc>
          <w:tcPr>
            <w:tcW w:w="1349"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机械性</w:t>
            </w:r>
          </w:p>
        </w:tc>
        <w:tc>
          <w:tcPr>
            <w:tcW w:w="1633" w:type="dxa"/>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bl>
    <w:p>
      <w:pPr>
        <w:ind w:firstLine="480"/>
        <w:rPr>
          <w:rFonts w:eastAsiaTheme="minorEastAsia"/>
          <w:color w:val="000000" w:themeColor="text1"/>
          <w:szCs w:val="24"/>
        </w:rPr>
      </w:pPr>
      <w:r>
        <w:rPr>
          <w:rFonts w:eastAsiaTheme="minorEastAsia"/>
          <w:color w:val="000000" w:themeColor="text1"/>
          <w:szCs w:val="24"/>
        </w:rPr>
        <w:t>2、污染物治理措施</w:t>
      </w:r>
    </w:p>
    <w:p>
      <w:pPr>
        <w:ind w:firstLine="480"/>
        <w:rPr>
          <w:rFonts w:eastAsiaTheme="minorEastAsia"/>
          <w:color w:val="000000" w:themeColor="text1"/>
          <w:szCs w:val="24"/>
        </w:rPr>
      </w:pPr>
      <w:r>
        <w:rPr>
          <w:rFonts w:eastAsiaTheme="minorEastAsia"/>
          <w:color w:val="000000" w:themeColor="text1"/>
          <w:szCs w:val="24"/>
        </w:rPr>
        <w:t>原有项目针对设备噪声污染，通过减震降低噪声对环境的影响。</w:t>
      </w:r>
    </w:p>
    <w:p>
      <w:pPr>
        <w:ind w:firstLine="480"/>
        <w:rPr>
          <w:rFonts w:eastAsiaTheme="minorEastAsia"/>
          <w:color w:val="000000" w:themeColor="text1"/>
          <w:szCs w:val="24"/>
        </w:rPr>
      </w:pPr>
      <w:r>
        <w:rPr>
          <w:rFonts w:eastAsiaTheme="minorEastAsia"/>
          <w:color w:val="000000" w:themeColor="text1"/>
          <w:szCs w:val="24"/>
        </w:rPr>
        <w:t>3、污染物达标分析</w:t>
      </w:r>
    </w:p>
    <w:p>
      <w:pPr>
        <w:ind w:firstLine="480"/>
        <w:rPr>
          <w:rFonts w:eastAsiaTheme="minorEastAsia"/>
          <w:color w:val="000000" w:themeColor="text1"/>
          <w:szCs w:val="24"/>
        </w:rPr>
      </w:pPr>
      <w:r>
        <w:rPr>
          <w:rFonts w:eastAsiaTheme="minorEastAsia"/>
          <w:color w:val="000000" w:themeColor="text1"/>
          <w:szCs w:val="24"/>
        </w:rPr>
        <w:t>为调查企业厂界噪声达标情况，建设单位于2019年8月29日~30日委托</w:t>
      </w:r>
      <w:r>
        <w:rPr>
          <w:rFonts w:eastAsiaTheme="minorEastAsia"/>
          <w:color w:val="000000" w:themeColor="text1"/>
        </w:rPr>
        <w:t>云南中科检测技术有限公司</w:t>
      </w:r>
      <w:r>
        <w:rPr>
          <w:rFonts w:eastAsiaTheme="minorEastAsia"/>
          <w:color w:val="000000" w:themeColor="text1"/>
          <w:szCs w:val="24"/>
        </w:rPr>
        <w:t>对选厂的厂界噪声进行了监测。</w:t>
      </w:r>
      <w:r>
        <w:rPr>
          <w:rFonts w:hint="eastAsia" w:eastAsiaTheme="minorEastAsia"/>
          <w:color w:val="000000" w:themeColor="text1"/>
          <w:szCs w:val="24"/>
        </w:rPr>
        <w:t>项目自2019年到本技改项目实施前没有进行过改建扩建，生产设施没有变化，因此，该监测值能够代表原有项目厂界噪声达标情况。</w:t>
      </w:r>
      <w:r>
        <w:rPr>
          <w:rFonts w:eastAsiaTheme="minorEastAsia"/>
          <w:color w:val="000000" w:themeColor="text1"/>
          <w:szCs w:val="24"/>
        </w:rPr>
        <w:t>监测结果如表2.8-7所示。</w:t>
      </w:r>
    </w:p>
    <w:p>
      <w:pPr>
        <w:widowControl/>
        <w:wordWrap w:val="0"/>
        <w:ind w:firstLine="0" w:firstLineChars="0"/>
        <w:jc w:val="center"/>
        <w:rPr>
          <w:rFonts w:eastAsiaTheme="minorEastAsia"/>
          <w:b/>
          <w:color w:val="000000" w:themeColor="text1"/>
          <w:sz w:val="21"/>
          <w:szCs w:val="20"/>
        </w:rPr>
      </w:pPr>
      <w:r>
        <w:rPr>
          <w:rFonts w:eastAsiaTheme="minorEastAsia"/>
          <w:b/>
          <w:color w:val="000000" w:themeColor="text1"/>
          <w:sz w:val="21"/>
          <w:szCs w:val="20"/>
        </w:rPr>
        <w:t>表2.8-7选厂的厂界噪声监测结果单位：dB（A）</w:t>
      </w:r>
    </w:p>
    <w:tbl>
      <w:tblPr>
        <w:tblStyle w:val="61"/>
        <w:tblW w:w="9259" w:type="dxa"/>
        <w:tblInd w:w="0" w:type="dxa"/>
        <w:tblLayout w:type="fixed"/>
        <w:tblCellMar>
          <w:top w:w="0" w:type="dxa"/>
          <w:left w:w="0" w:type="dxa"/>
          <w:bottom w:w="0" w:type="dxa"/>
          <w:right w:w="0" w:type="dxa"/>
        </w:tblCellMar>
      </w:tblPr>
      <w:tblGrid>
        <w:gridCol w:w="763"/>
        <w:gridCol w:w="2271"/>
        <w:gridCol w:w="1500"/>
        <w:gridCol w:w="1410"/>
        <w:gridCol w:w="975"/>
        <w:gridCol w:w="1410"/>
        <w:gridCol w:w="930"/>
      </w:tblGrid>
      <w:tr>
        <w:tblPrEx>
          <w:tblLayout w:type="fixed"/>
          <w:tblCellMar>
            <w:top w:w="0" w:type="dxa"/>
            <w:left w:w="0" w:type="dxa"/>
            <w:bottom w:w="0" w:type="dxa"/>
            <w:right w:w="0" w:type="dxa"/>
          </w:tblCellMar>
        </w:tblPrEx>
        <w:trPr>
          <w:trHeight w:val="580" w:hRule="exact"/>
        </w:trPr>
        <w:tc>
          <w:tcPr>
            <w:tcW w:w="763" w:type="dxa"/>
            <w:vMerge w:val="restart"/>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b/>
                <w:bCs/>
                <w:color w:val="000000" w:themeColor="text1"/>
                <w:sz w:val="21"/>
                <w:szCs w:val="21"/>
              </w:rPr>
              <w:t>监测内容</w:t>
            </w:r>
          </w:p>
        </w:tc>
        <w:tc>
          <w:tcPr>
            <w:tcW w:w="2271" w:type="dxa"/>
            <w:vMerge w:val="restart"/>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b/>
                <w:bCs/>
                <w:color w:val="000000" w:themeColor="text1"/>
                <w:sz w:val="21"/>
                <w:szCs w:val="21"/>
              </w:rPr>
              <w:t>监测点位置</w:t>
            </w:r>
          </w:p>
        </w:tc>
        <w:tc>
          <w:tcPr>
            <w:tcW w:w="1500" w:type="dxa"/>
            <w:vMerge w:val="restart"/>
            <w:tcBorders>
              <w:top w:val="single" w:color="000000" w:sz="6" w:space="0"/>
              <w:left w:val="single" w:color="auto" w:sz="4" w:space="0"/>
              <w:right w:val="single" w:color="000000" w:sz="4" w:space="0"/>
            </w:tcBorders>
            <w:vAlign w:val="center"/>
          </w:tcPr>
          <w:p>
            <w:pPr>
              <w:pStyle w:val="617"/>
              <w:ind w:firstLine="0" w:firstLineChars="0"/>
              <w:jc w:val="center"/>
              <w:rPr>
                <w:rFonts w:eastAsiaTheme="minorEastAsia"/>
                <w:color w:val="000000" w:themeColor="text1"/>
                <w:sz w:val="21"/>
                <w:szCs w:val="21"/>
              </w:rPr>
            </w:pPr>
            <w:r>
              <w:rPr>
                <w:rFonts w:eastAsiaTheme="minorEastAsia"/>
                <w:b/>
                <w:bCs/>
                <w:color w:val="000000" w:themeColor="text1"/>
                <w:sz w:val="21"/>
                <w:szCs w:val="21"/>
              </w:rPr>
              <w:t>监测日期</w:t>
            </w:r>
          </w:p>
        </w:tc>
        <w:tc>
          <w:tcPr>
            <w:tcW w:w="4725" w:type="dxa"/>
            <w:gridSpan w:val="4"/>
            <w:tcBorders>
              <w:top w:val="single" w:color="000000" w:sz="6" w:space="0"/>
              <w:left w:val="single" w:color="000000" w:sz="4" w:space="0"/>
              <w:bottom w:val="single" w:color="000000" w:sz="4" w:space="0"/>
              <w:right w:val="single" w:color="000000" w:sz="4" w:space="0"/>
            </w:tcBorders>
            <w:vAlign w:val="center"/>
          </w:tcPr>
          <w:p>
            <w:pPr>
              <w:pStyle w:val="617"/>
              <w:ind w:firstLine="0" w:firstLineChars="0"/>
              <w:jc w:val="center"/>
              <w:rPr>
                <w:rFonts w:eastAsiaTheme="minorEastAsia"/>
                <w:color w:val="000000" w:themeColor="text1"/>
                <w:sz w:val="21"/>
                <w:szCs w:val="21"/>
              </w:rPr>
            </w:pPr>
            <w:r>
              <w:rPr>
                <w:rFonts w:eastAsiaTheme="minorEastAsia"/>
                <w:b/>
                <w:bCs/>
                <w:color w:val="000000" w:themeColor="text1"/>
                <w:sz w:val="21"/>
                <w:szCs w:val="21"/>
              </w:rPr>
              <w:t>监测结果Leq[dB（A）]</w:t>
            </w:r>
          </w:p>
        </w:tc>
      </w:tr>
      <w:tr>
        <w:tblPrEx>
          <w:tblLayout w:type="fixed"/>
          <w:tblCellMar>
            <w:top w:w="0" w:type="dxa"/>
            <w:left w:w="0" w:type="dxa"/>
            <w:bottom w:w="0" w:type="dxa"/>
            <w:right w:w="0" w:type="dxa"/>
          </w:tblCellMar>
        </w:tblPrEx>
        <w:trPr>
          <w:trHeight w:val="584" w:hRule="exact"/>
        </w:trPr>
        <w:tc>
          <w:tcPr>
            <w:tcW w:w="763" w:type="dxa"/>
            <w:vMerge w:val="continue"/>
            <w:tcBorders>
              <w:top w:val="single" w:color="auto" w:sz="4" w:space="0"/>
              <w:left w:val="single" w:color="auto" w:sz="4" w:space="0"/>
              <w:bottom w:val="single" w:color="auto" w:sz="4" w:space="0"/>
              <w:right w:val="single" w:color="auto" w:sz="4" w:space="0"/>
            </w:tcBorders>
            <w:vAlign w:val="center"/>
          </w:tcPr>
          <w:p>
            <w:pPr>
              <w:ind w:firstLine="480"/>
              <w:jc w:val="center"/>
              <w:rPr>
                <w:rFonts w:eastAsiaTheme="minorEastAsia"/>
                <w:color w:val="000000" w:themeColor="text1"/>
              </w:rPr>
            </w:pPr>
          </w:p>
        </w:tc>
        <w:tc>
          <w:tcPr>
            <w:tcW w:w="2271" w:type="dxa"/>
            <w:vMerge w:val="continue"/>
            <w:tcBorders>
              <w:top w:val="single" w:color="auto" w:sz="4" w:space="0"/>
              <w:left w:val="single" w:color="auto" w:sz="4" w:space="0"/>
              <w:bottom w:val="single" w:color="auto" w:sz="4" w:space="0"/>
              <w:right w:val="single" w:color="auto" w:sz="4" w:space="0"/>
            </w:tcBorders>
            <w:vAlign w:val="center"/>
          </w:tcPr>
          <w:p>
            <w:pPr>
              <w:ind w:firstLine="480"/>
              <w:jc w:val="center"/>
              <w:rPr>
                <w:rFonts w:eastAsiaTheme="minorEastAsia"/>
                <w:color w:val="000000" w:themeColor="text1"/>
              </w:rPr>
            </w:pPr>
          </w:p>
        </w:tc>
        <w:tc>
          <w:tcPr>
            <w:tcW w:w="1500" w:type="dxa"/>
            <w:vMerge w:val="continue"/>
            <w:tcBorders>
              <w:left w:val="single" w:color="auto" w:sz="4" w:space="0"/>
              <w:bottom w:val="single" w:color="000000" w:sz="6" w:space="0"/>
              <w:right w:val="single" w:color="000000" w:sz="4" w:space="0"/>
            </w:tcBorders>
            <w:vAlign w:val="center"/>
          </w:tcPr>
          <w:p>
            <w:pPr>
              <w:ind w:firstLine="480"/>
              <w:jc w:val="center"/>
              <w:rPr>
                <w:rFonts w:eastAsiaTheme="minorEastAsia"/>
                <w:color w:val="000000" w:themeColor="text1"/>
              </w:rPr>
            </w:pPr>
          </w:p>
        </w:tc>
        <w:tc>
          <w:tcPr>
            <w:tcW w:w="2385" w:type="dxa"/>
            <w:gridSpan w:val="2"/>
            <w:tcBorders>
              <w:top w:val="single" w:color="000000" w:sz="4" w:space="0"/>
              <w:left w:val="single" w:color="000000" w:sz="4" w:space="0"/>
              <w:bottom w:val="single" w:color="000000" w:sz="4" w:space="0"/>
              <w:right w:val="single" w:color="000000" w:sz="6"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时段（昼间）</w:t>
            </w:r>
          </w:p>
        </w:tc>
        <w:tc>
          <w:tcPr>
            <w:tcW w:w="2340" w:type="dxa"/>
            <w:gridSpan w:val="2"/>
            <w:tcBorders>
              <w:top w:val="single" w:color="000000" w:sz="4" w:space="0"/>
              <w:left w:val="single" w:color="000000" w:sz="6" w:space="0"/>
              <w:bottom w:val="single" w:color="000000" w:sz="4" w:space="0"/>
              <w:right w:val="single" w:color="000000" w:sz="4"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时段（夜间）</w:t>
            </w:r>
          </w:p>
        </w:tc>
      </w:tr>
      <w:tr>
        <w:tblPrEx>
          <w:tblLayout w:type="fixed"/>
          <w:tblCellMar>
            <w:top w:w="0" w:type="dxa"/>
            <w:left w:w="0" w:type="dxa"/>
            <w:bottom w:w="0" w:type="dxa"/>
            <w:right w:w="0" w:type="dxa"/>
          </w:tblCellMar>
        </w:tblPrEx>
        <w:trPr>
          <w:trHeight w:val="582" w:hRule="exact"/>
        </w:trPr>
        <w:tc>
          <w:tcPr>
            <w:tcW w:w="763" w:type="dxa"/>
            <w:vMerge w:val="restart"/>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环境噪声</w:t>
            </w:r>
          </w:p>
        </w:tc>
        <w:tc>
          <w:tcPr>
            <w:tcW w:w="2271"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N1：厂区东外1m处</w:t>
            </w:r>
          </w:p>
        </w:tc>
        <w:tc>
          <w:tcPr>
            <w:tcW w:w="1500" w:type="dxa"/>
            <w:vMerge w:val="restart"/>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rPr>
              <w:t>2019.08.29</w:t>
            </w:r>
          </w:p>
        </w:tc>
        <w:tc>
          <w:tcPr>
            <w:tcW w:w="1410"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w w:val="95"/>
                <w:sz w:val="21"/>
              </w:rPr>
              <w:t>10:08-10:18</w:t>
            </w:r>
          </w:p>
        </w:tc>
        <w:tc>
          <w:tcPr>
            <w:tcW w:w="975" w:type="dxa"/>
            <w:tcBorders>
              <w:top w:val="single" w:color="000000" w:sz="4" w:space="0"/>
              <w:left w:val="single" w:color="auto" w:sz="4"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61.8</w:t>
            </w:r>
          </w:p>
        </w:tc>
        <w:tc>
          <w:tcPr>
            <w:tcW w:w="1410" w:type="dxa"/>
            <w:tcBorders>
              <w:top w:val="single" w:color="000000" w:sz="4" w:space="0"/>
              <w:left w:val="single" w:color="000000" w:sz="6"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22:11-22:21</w:t>
            </w:r>
          </w:p>
        </w:tc>
        <w:tc>
          <w:tcPr>
            <w:tcW w:w="930" w:type="dxa"/>
            <w:tcBorders>
              <w:top w:val="single" w:color="000000" w:sz="4" w:space="0"/>
              <w:left w:val="single" w:color="000000" w:sz="6" w:space="0"/>
              <w:bottom w:val="single" w:color="000000" w:sz="6" w:space="0"/>
              <w:right w:val="single" w:color="000000"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54.4</w:t>
            </w:r>
          </w:p>
        </w:tc>
      </w:tr>
      <w:tr>
        <w:tblPrEx>
          <w:tblLayout w:type="fixed"/>
          <w:tblCellMar>
            <w:top w:w="0" w:type="dxa"/>
            <w:left w:w="0" w:type="dxa"/>
            <w:bottom w:w="0" w:type="dxa"/>
            <w:right w:w="0" w:type="dxa"/>
          </w:tblCellMar>
        </w:tblPrEx>
        <w:trPr>
          <w:trHeight w:val="582" w:hRule="exact"/>
        </w:trPr>
        <w:tc>
          <w:tcPr>
            <w:tcW w:w="763" w:type="dxa"/>
            <w:vMerge w:val="continue"/>
            <w:tcBorders>
              <w:top w:val="single" w:color="auto" w:sz="4" w:space="0"/>
              <w:left w:val="single" w:color="auto" w:sz="4" w:space="0"/>
              <w:bottom w:val="single" w:color="auto" w:sz="4" w:space="0"/>
              <w:right w:val="single" w:color="auto" w:sz="4" w:space="0"/>
            </w:tcBorders>
            <w:vAlign w:val="center"/>
          </w:tcPr>
          <w:p>
            <w:pPr>
              <w:ind w:firstLine="480"/>
              <w:jc w:val="center"/>
              <w:rPr>
                <w:rFonts w:eastAsiaTheme="minorEastAsia"/>
                <w:color w:val="000000" w:themeColor="text1"/>
              </w:rPr>
            </w:pPr>
          </w:p>
        </w:tc>
        <w:tc>
          <w:tcPr>
            <w:tcW w:w="2271"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N2：厂区南外1m处</w:t>
            </w:r>
          </w:p>
        </w:tc>
        <w:tc>
          <w:tcPr>
            <w:tcW w:w="1500" w:type="dxa"/>
            <w:vMerge w:val="continue"/>
            <w:tcBorders>
              <w:top w:val="single" w:color="auto" w:sz="4" w:space="0"/>
              <w:left w:val="single" w:color="auto" w:sz="4" w:space="0"/>
              <w:bottom w:val="single" w:color="auto" w:sz="4" w:space="0"/>
              <w:right w:val="single" w:color="auto" w:sz="4" w:space="0"/>
            </w:tcBorders>
            <w:vAlign w:val="center"/>
          </w:tcPr>
          <w:p>
            <w:pPr>
              <w:ind w:firstLine="480"/>
              <w:jc w:val="center"/>
              <w:rPr>
                <w:rFonts w:eastAsiaTheme="minorEastAsia"/>
                <w:color w:val="000000" w:themeColor="text1"/>
              </w:rPr>
            </w:pPr>
          </w:p>
        </w:tc>
        <w:tc>
          <w:tcPr>
            <w:tcW w:w="1410"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w w:val="95"/>
                <w:sz w:val="21"/>
              </w:rPr>
              <w:t>10:26-10:36</w:t>
            </w:r>
          </w:p>
        </w:tc>
        <w:tc>
          <w:tcPr>
            <w:tcW w:w="975" w:type="dxa"/>
            <w:tcBorders>
              <w:top w:val="single" w:color="000000" w:sz="6" w:space="0"/>
              <w:left w:val="single" w:color="auto" w:sz="4"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63.7</w:t>
            </w:r>
          </w:p>
        </w:tc>
        <w:tc>
          <w:tcPr>
            <w:tcW w:w="1410" w:type="dxa"/>
            <w:tcBorders>
              <w:top w:val="single" w:color="000000" w:sz="6" w:space="0"/>
              <w:left w:val="single" w:color="000000" w:sz="6"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22:32-22:42</w:t>
            </w:r>
          </w:p>
        </w:tc>
        <w:tc>
          <w:tcPr>
            <w:tcW w:w="930" w:type="dxa"/>
            <w:tcBorders>
              <w:top w:val="single" w:color="000000" w:sz="6" w:space="0"/>
              <w:left w:val="single" w:color="000000" w:sz="6" w:space="0"/>
              <w:bottom w:val="single" w:color="000000" w:sz="6" w:space="0"/>
              <w:right w:val="single" w:color="000000"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52.5</w:t>
            </w:r>
          </w:p>
        </w:tc>
      </w:tr>
      <w:tr>
        <w:tblPrEx>
          <w:tblLayout w:type="fixed"/>
          <w:tblCellMar>
            <w:top w:w="0" w:type="dxa"/>
            <w:left w:w="0" w:type="dxa"/>
            <w:bottom w:w="0" w:type="dxa"/>
            <w:right w:w="0" w:type="dxa"/>
          </w:tblCellMar>
        </w:tblPrEx>
        <w:trPr>
          <w:trHeight w:val="582" w:hRule="exact"/>
        </w:trPr>
        <w:tc>
          <w:tcPr>
            <w:tcW w:w="763" w:type="dxa"/>
            <w:vMerge w:val="continue"/>
            <w:tcBorders>
              <w:top w:val="single" w:color="auto" w:sz="4" w:space="0"/>
              <w:left w:val="single" w:color="auto" w:sz="4" w:space="0"/>
              <w:bottom w:val="single" w:color="auto" w:sz="4" w:space="0"/>
              <w:right w:val="single" w:color="auto" w:sz="4" w:space="0"/>
            </w:tcBorders>
            <w:vAlign w:val="center"/>
          </w:tcPr>
          <w:p>
            <w:pPr>
              <w:ind w:firstLine="480"/>
              <w:jc w:val="center"/>
              <w:rPr>
                <w:rFonts w:eastAsiaTheme="minorEastAsia"/>
                <w:color w:val="000000" w:themeColor="text1"/>
              </w:rPr>
            </w:pPr>
          </w:p>
        </w:tc>
        <w:tc>
          <w:tcPr>
            <w:tcW w:w="2271"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N3：厂区西外1m处</w:t>
            </w:r>
          </w:p>
        </w:tc>
        <w:tc>
          <w:tcPr>
            <w:tcW w:w="1500" w:type="dxa"/>
            <w:vMerge w:val="continue"/>
            <w:tcBorders>
              <w:top w:val="single" w:color="auto" w:sz="4" w:space="0"/>
              <w:left w:val="single" w:color="auto" w:sz="4" w:space="0"/>
              <w:bottom w:val="single" w:color="auto" w:sz="4" w:space="0"/>
              <w:right w:val="single" w:color="auto" w:sz="4" w:space="0"/>
            </w:tcBorders>
            <w:vAlign w:val="center"/>
          </w:tcPr>
          <w:p>
            <w:pPr>
              <w:ind w:firstLine="480"/>
              <w:jc w:val="center"/>
              <w:rPr>
                <w:rFonts w:eastAsiaTheme="minorEastAsia"/>
                <w:color w:val="000000" w:themeColor="text1"/>
              </w:rPr>
            </w:pPr>
          </w:p>
        </w:tc>
        <w:tc>
          <w:tcPr>
            <w:tcW w:w="1410"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w w:val="95"/>
                <w:sz w:val="21"/>
              </w:rPr>
              <w:t>10:44-10:54</w:t>
            </w:r>
          </w:p>
        </w:tc>
        <w:tc>
          <w:tcPr>
            <w:tcW w:w="975" w:type="dxa"/>
            <w:tcBorders>
              <w:top w:val="single" w:color="000000" w:sz="6" w:space="0"/>
              <w:left w:val="single" w:color="auto" w:sz="4"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58.4</w:t>
            </w:r>
          </w:p>
        </w:tc>
        <w:tc>
          <w:tcPr>
            <w:tcW w:w="1410" w:type="dxa"/>
            <w:tcBorders>
              <w:top w:val="single" w:color="000000" w:sz="6" w:space="0"/>
              <w:left w:val="single" w:color="000000" w:sz="6"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22:50-23:00</w:t>
            </w:r>
          </w:p>
        </w:tc>
        <w:tc>
          <w:tcPr>
            <w:tcW w:w="930" w:type="dxa"/>
            <w:tcBorders>
              <w:top w:val="single" w:color="000000" w:sz="6" w:space="0"/>
              <w:left w:val="single" w:color="000000" w:sz="6" w:space="0"/>
              <w:bottom w:val="single" w:color="000000" w:sz="6" w:space="0"/>
              <w:right w:val="single" w:color="000000"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49.9</w:t>
            </w:r>
          </w:p>
        </w:tc>
      </w:tr>
      <w:tr>
        <w:tblPrEx>
          <w:tblLayout w:type="fixed"/>
          <w:tblCellMar>
            <w:top w:w="0" w:type="dxa"/>
            <w:left w:w="0" w:type="dxa"/>
            <w:bottom w:w="0" w:type="dxa"/>
            <w:right w:w="0" w:type="dxa"/>
          </w:tblCellMar>
        </w:tblPrEx>
        <w:trPr>
          <w:trHeight w:val="582" w:hRule="exact"/>
        </w:trPr>
        <w:tc>
          <w:tcPr>
            <w:tcW w:w="763" w:type="dxa"/>
            <w:vMerge w:val="continue"/>
            <w:tcBorders>
              <w:top w:val="single" w:color="auto" w:sz="4" w:space="0"/>
              <w:left w:val="single" w:color="auto" w:sz="4" w:space="0"/>
              <w:right w:val="single" w:color="auto" w:sz="4" w:space="0"/>
            </w:tcBorders>
            <w:vAlign w:val="center"/>
          </w:tcPr>
          <w:p>
            <w:pPr>
              <w:ind w:firstLine="480"/>
              <w:jc w:val="center"/>
              <w:rPr>
                <w:rFonts w:eastAsiaTheme="minorEastAsia"/>
                <w:color w:val="000000" w:themeColor="text1"/>
              </w:rPr>
            </w:pPr>
          </w:p>
        </w:tc>
        <w:tc>
          <w:tcPr>
            <w:tcW w:w="2271"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N4：厂区北外1m处</w:t>
            </w:r>
          </w:p>
        </w:tc>
        <w:tc>
          <w:tcPr>
            <w:tcW w:w="1500" w:type="dxa"/>
            <w:vMerge w:val="continue"/>
            <w:tcBorders>
              <w:top w:val="single" w:color="auto" w:sz="4" w:space="0"/>
              <w:left w:val="single" w:color="auto" w:sz="4" w:space="0"/>
              <w:bottom w:val="single" w:color="auto" w:sz="4" w:space="0"/>
              <w:right w:val="single" w:color="auto" w:sz="4" w:space="0"/>
            </w:tcBorders>
            <w:vAlign w:val="center"/>
          </w:tcPr>
          <w:p>
            <w:pPr>
              <w:ind w:firstLine="480"/>
              <w:jc w:val="center"/>
              <w:rPr>
                <w:rFonts w:eastAsiaTheme="minorEastAsia"/>
                <w:color w:val="000000" w:themeColor="text1"/>
              </w:rPr>
            </w:pPr>
          </w:p>
        </w:tc>
        <w:tc>
          <w:tcPr>
            <w:tcW w:w="1410"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pacing w:val="-2"/>
                <w:sz w:val="21"/>
              </w:rPr>
              <w:t>11:02-11:12</w:t>
            </w:r>
          </w:p>
        </w:tc>
        <w:tc>
          <w:tcPr>
            <w:tcW w:w="975" w:type="dxa"/>
            <w:tcBorders>
              <w:top w:val="single" w:color="000000" w:sz="6" w:space="0"/>
              <w:left w:val="single" w:color="auto" w:sz="4"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62.5</w:t>
            </w:r>
          </w:p>
        </w:tc>
        <w:tc>
          <w:tcPr>
            <w:tcW w:w="1410" w:type="dxa"/>
            <w:tcBorders>
              <w:top w:val="single" w:color="000000" w:sz="6" w:space="0"/>
              <w:left w:val="single" w:color="000000" w:sz="6"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23:08-23:18</w:t>
            </w:r>
          </w:p>
        </w:tc>
        <w:tc>
          <w:tcPr>
            <w:tcW w:w="930" w:type="dxa"/>
            <w:tcBorders>
              <w:top w:val="single" w:color="000000" w:sz="6" w:space="0"/>
              <w:left w:val="single" w:color="000000" w:sz="6" w:space="0"/>
              <w:bottom w:val="single" w:color="000000" w:sz="6" w:space="0"/>
              <w:right w:val="single" w:color="000000"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51.7</w:t>
            </w:r>
          </w:p>
        </w:tc>
      </w:tr>
      <w:tr>
        <w:tblPrEx>
          <w:tblLayout w:type="fixed"/>
          <w:tblCellMar>
            <w:top w:w="0" w:type="dxa"/>
            <w:left w:w="0" w:type="dxa"/>
            <w:bottom w:w="0" w:type="dxa"/>
            <w:right w:w="0" w:type="dxa"/>
          </w:tblCellMar>
        </w:tblPrEx>
        <w:trPr>
          <w:trHeight w:val="582" w:hRule="exact"/>
        </w:trPr>
        <w:tc>
          <w:tcPr>
            <w:tcW w:w="763" w:type="dxa"/>
            <w:vMerge w:val="continue"/>
            <w:tcBorders>
              <w:left w:val="single" w:color="auto" w:sz="4" w:space="0"/>
              <w:right w:val="single" w:color="auto" w:sz="4" w:space="0"/>
            </w:tcBorders>
            <w:vAlign w:val="center"/>
          </w:tcPr>
          <w:p>
            <w:pPr>
              <w:ind w:firstLine="480"/>
              <w:jc w:val="center"/>
              <w:rPr>
                <w:rFonts w:eastAsiaTheme="minorEastAsia"/>
                <w:color w:val="000000" w:themeColor="text1"/>
              </w:rPr>
            </w:pPr>
          </w:p>
        </w:tc>
        <w:tc>
          <w:tcPr>
            <w:tcW w:w="2271"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N1：厂区东外1m处</w:t>
            </w:r>
          </w:p>
        </w:tc>
        <w:tc>
          <w:tcPr>
            <w:tcW w:w="1500" w:type="dxa"/>
            <w:vMerge w:val="restart"/>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rPr>
              <w:t>2019.08.30</w:t>
            </w:r>
          </w:p>
        </w:tc>
        <w:tc>
          <w:tcPr>
            <w:tcW w:w="1410"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w w:val="95"/>
                <w:sz w:val="21"/>
              </w:rPr>
              <w:t>10:45-10:55</w:t>
            </w:r>
          </w:p>
        </w:tc>
        <w:tc>
          <w:tcPr>
            <w:tcW w:w="975" w:type="dxa"/>
            <w:tcBorders>
              <w:top w:val="single" w:color="000000" w:sz="6" w:space="0"/>
              <w:left w:val="single" w:color="auto" w:sz="4"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62.5</w:t>
            </w:r>
          </w:p>
        </w:tc>
        <w:tc>
          <w:tcPr>
            <w:tcW w:w="1410" w:type="dxa"/>
            <w:tcBorders>
              <w:top w:val="single" w:color="000000" w:sz="6" w:space="0"/>
              <w:left w:val="single" w:color="000000" w:sz="6"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22:08-22:18</w:t>
            </w:r>
          </w:p>
        </w:tc>
        <w:tc>
          <w:tcPr>
            <w:tcW w:w="930" w:type="dxa"/>
            <w:tcBorders>
              <w:top w:val="single" w:color="000000" w:sz="6" w:space="0"/>
              <w:left w:val="single" w:color="000000" w:sz="6" w:space="0"/>
              <w:bottom w:val="single" w:color="000000" w:sz="6" w:space="0"/>
              <w:right w:val="single" w:color="000000"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53.6</w:t>
            </w:r>
          </w:p>
        </w:tc>
      </w:tr>
      <w:tr>
        <w:tblPrEx>
          <w:tblLayout w:type="fixed"/>
          <w:tblCellMar>
            <w:top w:w="0" w:type="dxa"/>
            <w:left w:w="0" w:type="dxa"/>
            <w:bottom w:w="0" w:type="dxa"/>
            <w:right w:w="0" w:type="dxa"/>
          </w:tblCellMar>
        </w:tblPrEx>
        <w:trPr>
          <w:trHeight w:val="582" w:hRule="exact"/>
        </w:trPr>
        <w:tc>
          <w:tcPr>
            <w:tcW w:w="763" w:type="dxa"/>
            <w:vMerge w:val="continue"/>
            <w:tcBorders>
              <w:left w:val="single" w:color="auto" w:sz="4" w:space="0"/>
              <w:right w:val="single" w:color="auto" w:sz="4" w:space="0"/>
            </w:tcBorders>
            <w:vAlign w:val="center"/>
          </w:tcPr>
          <w:p>
            <w:pPr>
              <w:ind w:firstLine="480"/>
              <w:jc w:val="center"/>
              <w:rPr>
                <w:rFonts w:eastAsiaTheme="minorEastAsia"/>
                <w:color w:val="000000" w:themeColor="text1"/>
              </w:rPr>
            </w:pPr>
          </w:p>
        </w:tc>
        <w:tc>
          <w:tcPr>
            <w:tcW w:w="2271"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N2：厂区南外1m处</w:t>
            </w:r>
          </w:p>
        </w:tc>
        <w:tc>
          <w:tcPr>
            <w:tcW w:w="1500" w:type="dxa"/>
            <w:vMerge w:val="continue"/>
            <w:tcBorders>
              <w:top w:val="single" w:color="auto" w:sz="4" w:space="0"/>
              <w:left w:val="single" w:color="auto" w:sz="4" w:space="0"/>
              <w:bottom w:val="single" w:color="auto" w:sz="4" w:space="0"/>
              <w:right w:val="single" w:color="auto" w:sz="4" w:space="0"/>
            </w:tcBorders>
            <w:vAlign w:val="center"/>
          </w:tcPr>
          <w:p>
            <w:pPr>
              <w:ind w:firstLine="480"/>
              <w:jc w:val="center"/>
              <w:rPr>
                <w:rFonts w:eastAsiaTheme="minorEastAsia"/>
                <w:color w:val="000000" w:themeColor="text1"/>
              </w:rPr>
            </w:pPr>
          </w:p>
        </w:tc>
        <w:tc>
          <w:tcPr>
            <w:tcW w:w="1410"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pacing w:val="-2"/>
                <w:sz w:val="21"/>
              </w:rPr>
              <w:t>11:03-11:13</w:t>
            </w:r>
          </w:p>
        </w:tc>
        <w:tc>
          <w:tcPr>
            <w:tcW w:w="975" w:type="dxa"/>
            <w:tcBorders>
              <w:top w:val="single" w:color="000000" w:sz="6" w:space="0"/>
              <w:left w:val="single" w:color="auto" w:sz="4"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64.6</w:t>
            </w:r>
          </w:p>
        </w:tc>
        <w:tc>
          <w:tcPr>
            <w:tcW w:w="1410" w:type="dxa"/>
            <w:tcBorders>
              <w:top w:val="single" w:color="000000" w:sz="6" w:space="0"/>
              <w:left w:val="single" w:color="000000" w:sz="6"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22:25-22:35</w:t>
            </w:r>
          </w:p>
        </w:tc>
        <w:tc>
          <w:tcPr>
            <w:tcW w:w="930" w:type="dxa"/>
            <w:tcBorders>
              <w:top w:val="single" w:color="000000" w:sz="6" w:space="0"/>
              <w:left w:val="single" w:color="000000" w:sz="6" w:space="0"/>
              <w:bottom w:val="single" w:color="000000" w:sz="6" w:space="0"/>
              <w:right w:val="single" w:color="000000"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51.4</w:t>
            </w:r>
          </w:p>
        </w:tc>
      </w:tr>
      <w:tr>
        <w:tblPrEx>
          <w:tblLayout w:type="fixed"/>
          <w:tblCellMar>
            <w:top w:w="0" w:type="dxa"/>
            <w:left w:w="0" w:type="dxa"/>
            <w:bottom w:w="0" w:type="dxa"/>
            <w:right w:w="0" w:type="dxa"/>
          </w:tblCellMar>
        </w:tblPrEx>
        <w:trPr>
          <w:trHeight w:val="582" w:hRule="exact"/>
        </w:trPr>
        <w:tc>
          <w:tcPr>
            <w:tcW w:w="763" w:type="dxa"/>
            <w:vMerge w:val="continue"/>
            <w:tcBorders>
              <w:left w:val="single" w:color="auto" w:sz="4" w:space="0"/>
              <w:right w:val="single" w:color="auto" w:sz="4" w:space="0"/>
            </w:tcBorders>
            <w:vAlign w:val="center"/>
          </w:tcPr>
          <w:p>
            <w:pPr>
              <w:ind w:firstLine="480"/>
              <w:jc w:val="center"/>
              <w:rPr>
                <w:rFonts w:eastAsiaTheme="minorEastAsia"/>
                <w:color w:val="000000" w:themeColor="text1"/>
              </w:rPr>
            </w:pPr>
          </w:p>
        </w:tc>
        <w:tc>
          <w:tcPr>
            <w:tcW w:w="2271"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N3：厂区西外1m处</w:t>
            </w:r>
          </w:p>
        </w:tc>
        <w:tc>
          <w:tcPr>
            <w:tcW w:w="1500" w:type="dxa"/>
            <w:vMerge w:val="continue"/>
            <w:tcBorders>
              <w:top w:val="single" w:color="auto" w:sz="4" w:space="0"/>
              <w:left w:val="single" w:color="auto" w:sz="4" w:space="0"/>
              <w:bottom w:val="single" w:color="auto" w:sz="4" w:space="0"/>
              <w:right w:val="single" w:color="auto" w:sz="4" w:space="0"/>
            </w:tcBorders>
            <w:vAlign w:val="center"/>
          </w:tcPr>
          <w:p>
            <w:pPr>
              <w:ind w:firstLine="480"/>
              <w:jc w:val="center"/>
              <w:rPr>
                <w:rFonts w:eastAsiaTheme="minorEastAsia"/>
                <w:color w:val="000000" w:themeColor="text1"/>
              </w:rPr>
            </w:pPr>
          </w:p>
        </w:tc>
        <w:tc>
          <w:tcPr>
            <w:tcW w:w="1410"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pacing w:val="-2"/>
                <w:sz w:val="21"/>
              </w:rPr>
              <w:t>11:25-11:35</w:t>
            </w:r>
          </w:p>
        </w:tc>
        <w:tc>
          <w:tcPr>
            <w:tcW w:w="975" w:type="dxa"/>
            <w:tcBorders>
              <w:top w:val="single" w:color="000000" w:sz="6" w:space="0"/>
              <w:left w:val="single" w:color="auto" w:sz="4"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59.7</w:t>
            </w:r>
          </w:p>
        </w:tc>
        <w:tc>
          <w:tcPr>
            <w:tcW w:w="1410" w:type="dxa"/>
            <w:tcBorders>
              <w:top w:val="single" w:color="000000" w:sz="6" w:space="0"/>
              <w:left w:val="single" w:color="000000" w:sz="6"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22:43-22:53</w:t>
            </w:r>
          </w:p>
        </w:tc>
        <w:tc>
          <w:tcPr>
            <w:tcW w:w="930" w:type="dxa"/>
            <w:tcBorders>
              <w:top w:val="single" w:color="000000" w:sz="6" w:space="0"/>
              <w:left w:val="single" w:color="000000" w:sz="6" w:space="0"/>
              <w:bottom w:val="single" w:color="000000" w:sz="6" w:space="0"/>
              <w:right w:val="single" w:color="000000"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48.6</w:t>
            </w:r>
          </w:p>
        </w:tc>
      </w:tr>
      <w:tr>
        <w:tblPrEx>
          <w:tblLayout w:type="fixed"/>
          <w:tblCellMar>
            <w:top w:w="0" w:type="dxa"/>
            <w:left w:w="0" w:type="dxa"/>
            <w:bottom w:w="0" w:type="dxa"/>
            <w:right w:w="0" w:type="dxa"/>
          </w:tblCellMar>
        </w:tblPrEx>
        <w:trPr>
          <w:trHeight w:val="580" w:hRule="exact"/>
        </w:trPr>
        <w:tc>
          <w:tcPr>
            <w:tcW w:w="763" w:type="dxa"/>
            <w:vMerge w:val="continue"/>
            <w:tcBorders>
              <w:left w:val="single" w:color="auto" w:sz="4" w:space="0"/>
              <w:right w:val="single" w:color="auto" w:sz="4" w:space="0"/>
            </w:tcBorders>
            <w:vAlign w:val="center"/>
          </w:tcPr>
          <w:p>
            <w:pPr>
              <w:ind w:firstLine="480"/>
              <w:jc w:val="center"/>
              <w:rPr>
                <w:rFonts w:eastAsiaTheme="minorEastAsia"/>
                <w:color w:val="000000" w:themeColor="text1"/>
              </w:rPr>
            </w:pPr>
          </w:p>
        </w:tc>
        <w:tc>
          <w:tcPr>
            <w:tcW w:w="2271"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z w:val="21"/>
                <w:szCs w:val="21"/>
              </w:rPr>
            </w:pPr>
            <w:r>
              <w:rPr>
                <w:rFonts w:eastAsiaTheme="minorEastAsia"/>
                <w:color w:val="000000" w:themeColor="text1"/>
                <w:sz w:val="21"/>
                <w:szCs w:val="21"/>
              </w:rPr>
              <w:t>N4：厂区北外1m处</w:t>
            </w:r>
          </w:p>
        </w:tc>
        <w:tc>
          <w:tcPr>
            <w:tcW w:w="1500" w:type="dxa"/>
            <w:vMerge w:val="continue"/>
            <w:tcBorders>
              <w:top w:val="single" w:color="auto" w:sz="4" w:space="0"/>
              <w:left w:val="single" w:color="auto" w:sz="4" w:space="0"/>
              <w:bottom w:val="single" w:color="auto" w:sz="4" w:space="0"/>
              <w:right w:val="single" w:color="auto" w:sz="4" w:space="0"/>
            </w:tcBorders>
            <w:vAlign w:val="center"/>
          </w:tcPr>
          <w:p>
            <w:pPr>
              <w:ind w:firstLine="480"/>
              <w:jc w:val="center"/>
              <w:rPr>
                <w:rFonts w:eastAsiaTheme="minorEastAsia"/>
                <w:color w:val="000000" w:themeColor="text1"/>
              </w:rPr>
            </w:pPr>
          </w:p>
        </w:tc>
        <w:tc>
          <w:tcPr>
            <w:tcW w:w="1410" w:type="dxa"/>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pacing w:val="-2"/>
                <w:sz w:val="21"/>
              </w:rPr>
              <w:t>11:42-11:52</w:t>
            </w:r>
          </w:p>
        </w:tc>
        <w:tc>
          <w:tcPr>
            <w:tcW w:w="975" w:type="dxa"/>
            <w:tcBorders>
              <w:top w:val="single" w:color="000000" w:sz="6" w:space="0"/>
              <w:left w:val="single" w:color="auto" w:sz="4"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62.9</w:t>
            </w:r>
          </w:p>
        </w:tc>
        <w:tc>
          <w:tcPr>
            <w:tcW w:w="1410" w:type="dxa"/>
            <w:tcBorders>
              <w:top w:val="single" w:color="000000" w:sz="6" w:space="0"/>
              <w:left w:val="single" w:color="000000" w:sz="6" w:space="0"/>
              <w:bottom w:val="single" w:color="000000" w:sz="6" w:space="0"/>
              <w:right w:val="single" w:color="000000" w:sz="6"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23:05-23:15</w:t>
            </w:r>
          </w:p>
        </w:tc>
        <w:tc>
          <w:tcPr>
            <w:tcW w:w="930" w:type="dxa"/>
            <w:tcBorders>
              <w:top w:val="single" w:color="000000" w:sz="6" w:space="0"/>
              <w:left w:val="single" w:color="000000" w:sz="6" w:space="0"/>
              <w:bottom w:val="single" w:color="000000" w:sz="6" w:space="0"/>
              <w:right w:val="single" w:color="000000" w:sz="4" w:space="0"/>
            </w:tcBorders>
            <w:vAlign w:val="center"/>
          </w:tcPr>
          <w:p>
            <w:pPr>
              <w:pStyle w:val="617"/>
              <w:ind w:firstLine="0" w:firstLineChars="0"/>
              <w:jc w:val="center"/>
              <w:rPr>
                <w:rFonts w:hint="default" w:ascii="Times New Roman" w:hAnsi="Times New Roman" w:cs="Times New Roman" w:eastAsiaTheme="minorEastAsia"/>
                <w:color w:val="000000" w:themeColor="text1"/>
                <w:sz w:val="21"/>
                <w:szCs w:val="21"/>
              </w:rPr>
            </w:pPr>
            <w:r>
              <w:rPr>
                <w:rFonts w:hint="default" w:ascii="Times New Roman" w:hAnsi="Times New Roman" w:cs="Times New Roman" w:eastAsiaTheme="minorEastAsia"/>
                <w:color w:val="000000" w:themeColor="text1"/>
                <w:sz w:val="21"/>
              </w:rPr>
              <w:t>50.8</w:t>
            </w:r>
          </w:p>
        </w:tc>
      </w:tr>
      <w:tr>
        <w:tblPrEx>
          <w:tblLayout w:type="fixed"/>
          <w:tblCellMar>
            <w:top w:w="0" w:type="dxa"/>
            <w:left w:w="0" w:type="dxa"/>
            <w:bottom w:w="0" w:type="dxa"/>
            <w:right w:w="0" w:type="dxa"/>
          </w:tblCellMar>
        </w:tblPrEx>
        <w:trPr>
          <w:trHeight w:val="580" w:hRule="exact"/>
        </w:trPr>
        <w:tc>
          <w:tcPr>
            <w:tcW w:w="763" w:type="dxa"/>
            <w:vMerge w:val="continue"/>
            <w:tcBorders>
              <w:left w:val="single" w:color="auto" w:sz="4" w:space="0"/>
              <w:right w:val="single" w:color="auto" w:sz="4" w:space="0"/>
            </w:tcBorders>
            <w:vAlign w:val="center"/>
          </w:tcPr>
          <w:p>
            <w:pPr>
              <w:ind w:firstLine="480"/>
              <w:jc w:val="center"/>
              <w:rPr>
                <w:rFonts w:eastAsiaTheme="minorEastAsia"/>
                <w:color w:val="000000" w:themeColor="text1"/>
              </w:rPr>
            </w:pPr>
          </w:p>
        </w:tc>
        <w:tc>
          <w:tcPr>
            <w:tcW w:w="5181" w:type="dxa"/>
            <w:gridSpan w:val="3"/>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pacing w:val="-2"/>
                <w:sz w:val="21"/>
              </w:rPr>
            </w:pPr>
            <w:r>
              <w:rPr>
                <w:rFonts w:eastAsiaTheme="minorEastAsia"/>
                <w:bCs/>
                <w:color w:val="000000" w:themeColor="text1"/>
                <w:sz w:val="21"/>
                <w:szCs w:val="21"/>
                <w:lang w:bidi="en-US"/>
              </w:rPr>
              <w:t>《工业企业厂界环境噪声排放标准》3类标准</w:t>
            </w:r>
          </w:p>
        </w:tc>
        <w:tc>
          <w:tcPr>
            <w:tcW w:w="975" w:type="dxa"/>
            <w:tcBorders>
              <w:top w:val="single" w:color="000000" w:sz="6" w:space="0"/>
              <w:left w:val="single" w:color="auto" w:sz="4" w:space="0"/>
              <w:bottom w:val="single" w:color="000000" w:sz="6" w:space="0"/>
              <w:right w:val="single" w:color="000000" w:sz="6" w:space="0"/>
            </w:tcBorders>
            <w:vAlign w:val="center"/>
          </w:tcPr>
          <w:p>
            <w:pPr>
              <w:pStyle w:val="617"/>
              <w:ind w:firstLine="0" w:firstLineChars="0"/>
              <w:jc w:val="center"/>
              <w:rPr>
                <w:rFonts w:eastAsiaTheme="minorEastAsia"/>
                <w:color w:val="000000" w:themeColor="text1"/>
                <w:sz w:val="21"/>
              </w:rPr>
            </w:pPr>
            <w:r>
              <w:rPr>
                <w:rFonts w:eastAsiaTheme="minorEastAsia"/>
                <w:color w:val="000000" w:themeColor="text1"/>
                <w:sz w:val="21"/>
              </w:rPr>
              <w:t>65</w:t>
            </w:r>
          </w:p>
        </w:tc>
        <w:tc>
          <w:tcPr>
            <w:tcW w:w="1410" w:type="dxa"/>
            <w:tcBorders>
              <w:top w:val="single" w:color="000000" w:sz="6" w:space="0"/>
              <w:left w:val="single" w:color="000000" w:sz="6" w:space="0"/>
              <w:bottom w:val="single" w:color="000000" w:sz="6" w:space="0"/>
              <w:right w:val="single" w:color="000000" w:sz="6" w:space="0"/>
            </w:tcBorders>
            <w:vAlign w:val="center"/>
          </w:tcPr>
          <w:p>
            <w:pPr>
              <w:pStyle w:val="617"/>
              <w:ind w:firstLine="0" w:firstLineChars="0"/>
              <w:jc w:val="center"/>
              <w:rPr>
                <w:rFonts w:eastAsiaTheme="minorEastAsia"/>
                <w:color w:val="000000" w:themeColor="text1"/>
                <w:sz w:val="21"/>
              </w:rPr>
            </w:pPr>
            <w:r>
              <w:rPr>
                <w:rFonts w:eastAsiaTheme="minorEastAsia"/>
                <w:color w:val="000000" w:themeColor="text1"/>
                <w:sz w:val="21"/>
              </w:rPr>
              <w:t>/</w:t>
            </w:r>
          </w:p>
        </w:tc>
        <w:tc>
          <w:tcPr>
            <w:tcW w:w="930" w:type="dxa"/>
            <w:tcBorders>
              <w:top w:val="single" w:color="000000" w:sz="6" w:space="0"/>
              <w:left w:val="single" w:color="000000" w:sz="6" w:space="0"/>
              <w:bottom w:val="single" w:color="000000" w:sz="6" w:space="0"/>
              <w:right w:val="single" w:color="000000" w:sz="4" w:space="0"/>
            </w:tcBorders>
            <w:vAlign w:val="center"/>
          </w:tcPr>
          <w:p>
            <w:pPr>
              <w:pStyle w:val="617"/>
              <w:ind w:firstLine="0" w:firstLineChars="0"/>
              <w:jc w:val="center"/>
              <w:rPr>
                <w:rFonts w:eastAsiaTheme="minorEastAsia"/>
                <w:color w:val="000000" w:themeColor="text1"/>
                <w:sz w:val="21"/>
              </w:rPr>
            </w:pPr>
            <w:r>
              <w:rPr>
                <w:rFonts w:eastAsiaTheme="minorEastAsia"/>
                <w:color w:val="000000" w:themeColor="text1"/>
                <w:sz w:val="21"/>
              </w:rPr>
              <w:t>55</w:t>
            </w:r>
          </w:p>
        </w:tc>
      </w:tr>
      <w:tr>
        <w:tblPrEx>
          <w:tblLayout w:type="fixed"/>
          <w:tblCellMar>
            <w:top w:w="0" w:type="dxa"/>
            <w:left w:w="0" w:type="dxa"/>
            <w:bottom w:w="0" w:type="dxa"/>
            <w:right w:w="0" w:type="dxa"/>
          </w:tblCellMar>
        </w:tblPrEx>
        <w:trPr>
          <w:trHeight w:val="580" w:hRule="exact"/>
        </w:trPr>
        <w:tc>
          <w:tcPr>
            <w:tcW w:w="763" w:type="dxa"/>
            <w:vMerge w:val="continue"/>
            <w:tcBorders>
              <w:left w:val="single" w:color="auto" w:sz="4" w:space="0"/>
              <w:bottom w:val="single" w:color="auto" w:sz="4" w:space="0"/>
              <w:right w:val="single" w:color="auto" w:sz="4" w:space="0"/>
            </w:tcBorders>
            <w:vAlign w:val="center"/>
          </w:tcPr>
          <w:p>
            <w:pPr>
              <w:ind w:firstLine="480"/>
              <w:jc w:val="center"/>
              <w:rPr>
                <w:rFonts w:eastAsiaTheme="minorEastAsia"/>
                <w:color w:val="000000" w:themeColor="text1"/>
              </w:rPr>
            </w:pPr>
          </w:p>
        </w:tc>
        <w:tc>
          <w:tcPr>
            <w:tcW w:w="5181" w:type="dxa"/>
            <w:gridSpan w:val="3"/>
            <w:tcBorders>
              <w:top w:val="single" w:color="auto" w:sz="4" w:space="0"/>
              <w:left w:val="single" w:color="auto" w:sz="4" w:space="0"/>
              <w:bottom w:val="single" w:color="auto" w:sz="4" w:space="0"/>
              <w:right w:val="single" w:color="auto" w:sz="4" w:space="0"/>
            </w:tcBorders>
            <w:vAlign w:val="center"/>
          </w:tcPr>
          <w:p>
            <w:pPr>
              <w:pStyle w:val="617"/>
              <w:ind w:firstLine="0" w:firstLineChars="0"/>
              <w:jc w:val="center"/>
              <w:rPr>
                <w:rFonts w:eastAsiaTheme="minorEastAsia"/>
                <w:color w:val="000000" w:themeColor="text1"/>
                <w:spacing w:val="-2"/>
                <w:sz w:val="21"/>
              </w:rPr>
            </w:pPr>
            <w:r>
              <w:rPr>
                <w:rFonts w:eastAsiaTheme="minorEastAsia"/>
                <w:color w:val="000000" w:themeColor="text1"/>
                <w:spacing w:val="-2"/>
                <w:sz w:val="21"/>
              </w:rPr>
              <w:t>达标情况</w:t>
            </w:r>
          </w:p>
        </w:tc>
        <w:tc>
          <w:tcPr>
            <w:tcW w:w="975" w:type="dxa"/>
            <w:tcBorders>
              <w:top w:val="single" w:color="000000" w:sz="6" w:space="0"/>
              <w:left w:val="single" w:color="auto" w:sz="4" w:space="0"/>
              <w:bottom w:val="single" w:color="000000" w:sz="4" w:space="0"/>
              <w:right w:val="single" w:color="000000" w:sz="6" w:space="0"/>
            </w:tcBorders>
            <w:vAlign w:val="center"/>
          </w:tcPr>
          <w:p>
            <w:pPr>
              <w:pStyle w:val="617"/>
              <w:ind w:firstLine="0" w:firstLineChars="0"/>
              <w:jc w:val="center"/>
              <w:rPr>
                <w:rFonts w:eastAsiaTheme="minorEastAsia"/>
                <w:color w:val="000000" w:themeColor="text1"/>
                <w:sz w:val="21"/>
              </w:rPr>
            </w:pPr>
            <w:r>
              <w:rPr>
                <w:rFonts w:eastAsiaTheme="minorEastAsia"/>
                <w:color w:val="000000" w:themeColor="text1"/>
                <w:sz w:val="21"/>
              </w:rPr>
              <w:t>达标</w:t>
            </w:r>
          </w:p>
        </w:tc>
        <w:tc>
          <w:tcPr>
            <w:tcW w:w="1410" w:type="dxa"/>
            <w:tcBorders>
              <w:top w:val="single" w:color="000000" w:sz="6" w:space="0"/>
              <w:left w:val="single" w:color="000000" w:sz="6" w:space="0"/>
              <w:bottom w:val="single" w:color="000000" w:sz="4" w:space="0"/>
              <w:right w:val="single" w:color="000000" w:sz="6" w:space="0"/>
            </w:tcBorders>
            <w:vAlign w:val="center"/>
          </w:tcPr>
          <w:p>
            <w:pPr>
              <w:pStyle w:val="617"/>
              <w:ind w:firstLine="0" w:firstLineChars="0"/>
              <w:jc w:val="center"/>
              <w:rPr>
                <w:rFonts w:eastAsiaTheme="minorEastAsia"/>
                <w:color w:val="000000" w:themeColor="text1"/>
                <w:sz w:val="21"/>
              </w:rPr>
            </w:pPr>
            <w:r>
              <w:rPr>
                <w:rFonts w:eastAsiaTheme="minorEastAsia"/>
                <w:color w:val="000000" w:themeColor="text1"/>
                <w:sz w:val="21"/>
              </w:rPr>
              <w:t>/</w:t>
            </w:r>
          </w:p>
        </w:tc>
        <w:tc>
          <w:tcPr>
            <w:tcW w:w="930" w:type="dxa"/>
            <w:tcBorders>
              <w:top w:val="single" w:color="000000" w:sz="6" w:space="0"/>
              <w:left w:val="single" w:color="000000" w:sz="6" w:space="0"/>
              <w:bottom w:val="single" w:color="000000" w:sz="4" w:space="0"/>
              <w:right w:val="single" w:color="000000" w:sz="4" w:space="0"/>
            </w:tcBorders>
            <w:vAlign w:val="center"/>
          </w:tcPr>
          <w:p>
            <w:pPr>
              <w:pStyle w:val="617"/>
              <w:ind w:firstLine="0" w:firstLineChars="0"/>
              <w:jc w:val="center"/>
              <w:rPr>
                <w:rFonts w:eastAsiaTheme="minorEastAsia"/>
                <w:color w:val="000000" w:themeColor="text1"/>
                <w:sz w:val="21"/>
              </w:rPr>
            </w:pPr>
            <w:r>
              <w:rPr>
                <w:rFonts w:eastAsiaTheme="minorEastAsia"/>
                <w:color w:val="000000" w:themeColor="text1"/>
                <w:sz w:val="21"/>
              </w:rPr>
              <w:t>达标</w:t>
            </w:r>
          </w:p>
        </w:tc>
      </w:tr>
    </w:tbl>
    <w:p>
      <w:pPr>
        <w:ind w:firstLine="480"/>
        <w:rPr>
          <w:rFonts w:eastAsiaTheme="minorEastAsia"/>
          <w:color w:val="000000" w:themeColor="text1"/>
          <w:szCs w:val="24"/>
          <w:lang w:bidi="en-US"/>
        </w:rPr>
      </w:pPr>
      <w:r>
        <w:rPr>
          <w:rFonts w:eastAsiaTheme="minorEastAsia"/>
          <w:color w:val="000000" w:themeColor="text1"/>
          <w:szCs w:val="24"/>
          <w:lang w:bidi="en-US"/>
        </w:rPr>
        <w:t>由表2.8-7可以看出，原有项目厂界噪声能够达到《工业企业厂界环境噪声排放标准》3类标准。</w:t>
      </w:r>
      <w:bookmarkEnd w:id="429"/>
    </w:p>
    <w:p>
      <w:pPr>
        <w:pStyle w:val="574"/>
        <w:spacing w:beforeLines="0" w:afterLines="0"/>
        <w:rPr>
          <w:rFonts w:eastAsiaTheme="minorEastAsia"/>
          <w:color w:val="000000" w:themeColor="text1"/>
          <w:sz w:val="30"/>
          <w:szCs w:val="30"/>
        </w:rPr>
      </w:pPr>
      <w:bookmarkStart w:id="436" w:name="_Toc10707"/>
      <w:r>
        <w:rPr>
          <w:rFonts w:eastAsiaTheme="minorEastAsia"/>
          <w:color w:val="000000" w:themeColor="text1"/>
          <w:sz w:val="30"/>
          <w:szCs w:val="30"/>
        </w:rPr>
        <w:t>2.9原有项目污染物产生和排放情况</w:t>
      </w:r>
      <w:bookmarkEnd w:id="436"/>
    </w:p>
    <w:p>
      <w:pPr>
        <w:ind w:firstLine="480"/>
        <w:rPr>
          <w:rFonts w:eastAsiaTheme="minorEastAsia"/>
          <w:color w:val="000000" w:themeColor="text1"/>
          <w:szCs w:val="24"/>
          <w:lang w:bidi="en-US"/>
        </w:rPr>
      </w:pPr>
      <w:r>
        <w:rPr>
          <w:rFonts w:eastAsiaTheme="minorEastAsia"/>
          <w:color w:val="000000" w:themeColor="text1"/>
          <w:szCs w:val="24"/>
          <w:lang w:bidi="en-US"/>
        </w:rPr>
        <w:t>原有项目污染物排放情况见表2.9-1。</w:t>
      </w:r>
    </w:p>
    <w:p>
      <w:pPr>
        <w:pStyle w:val="584"/>
        <w:spacing w:line="360" w:lineRule="auto"/>
        <w:ind w:firstLine="0" w:firstLineChars="0"/>
        <w:jc w:val="center"/>
        <w:rPr>
          <w:rFonts w:ascii="Times New Roman" w:hAnsi="Times New Roman" w:eastAsiaTheme="minorEastAsia"/>
          <w:b/>
          <w:color w:val="000000" w:themeColor="text1"/>
          <w:sz w:val="21"/>
          <w:szCs w:val="20"/>
        </w:rPr>
      </w:pPr>
      <w:r>
        <w:rPr>
          <w:rFonts w:ascii="Times New Roman" w:hAnsi="Times New Roman" w:eastAsiaTheme="minorEastAsia"/>
          <w:b/>
          <w:color w:val="000000" w:themeColor="text1"/>
          <w:sz w:val="21"/>
          <w:szCs w:val="20"/>
        </w:rPr>
        <w:t>表2.9-1现有污染物排放情况一览表</w:t>
      </w:r>
    </w:p>
    <w:tbl>
      <w:tblPr>
        <w:tblStyle w:val="62"/>
        <w:tblW w:w="90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4"/>
        <w:gridCol w:w="1589"/>
        <w:gridCol w:w="1036"/>
        <w:gridCol w:w="1590"/>
        <w:gridCol w:w="1110"/>
        <w:gridCol w:w="2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Align w:val="center"/>
          </w:tcPr>
          <w:p>
            <w:pPr>
              <w:pStyle w:val="126"/>
              <w:tabs>
                <w:tab w:val="left" w:pos="1960"/>
              </w:tabs>
              <w:rPr>
                <w:rFonts w:eastAsiaTheme="minorEastAsia"/>
                <w:color w:val="000000" w:themeColor="text1"/>
              </w:rPr>
            </w:pPr>
            <w:r>
              <w:rPr>
                <w:rFonts w:eastAsiaTheme="minorEastAsia"/>
                <w:color w:val="000000" w:themeColor="text1"/>
              </w:rPr>
              <w:t>污染物类别</w:t>
            </w:r>
          </w:p>
        </w:tc>
        <w:tc>
          <w:tcPr>
            <w:tcW w:w="1589" w:type="dxa"/>
            <w:vAlign w:val="center"/>
          </w:tcPr>
          <w:p>
            <w:pPr>
              <w:pStyle w:val="126"/>
              <w:tabs>
                <w:tab w:val="left" w:pos="1960"/>
              </w:tabs>
              <w:rPr>
                <w:rFonts w:eastAsiaTheme="minorEastAsia"/>
                <w:color w:val="000000" w:themeColor="text1"/>
              </w:rPr>
            </w:pPr>
            <w:r>
              <w:rPr>
                <w:rFonts w:eastAsiaTheme="minorEastAsia"/>
                <w:color w:val="000000" w:themeColor="text1"/>
              </w:rPr>
              <w:t>名称</w:t>
            </w:r>
          </w:p>
        </w:tc>
        <w:tc>
          <w:tcPr>
            <w:tcW w:w="1036" w:type="dxa"/>
            <w:vAlign w:val="center"/>
          </w:tcPr>
          <w:p>
            <w:pPr>
              <w:pStyle w:val="126"/>
              <w:tabs>
                <w:tab w:val="left" w:pos="1960"/>
              </w:tabs>
              <w:rPr>
                <w:rFonts w:eastAsiaTheme="minorEastAsia"/>
                <w:color w:val="000000" w:themeColor="text1"/>
              </w:rPr>
            </w:pPr>
            <w:r>
              <w:rPr>
                <w:rFonts w:eastAsiaTheme="minorEastAsia"/>
                <w:color w:val="000000" w:themeColor="text1"/>
              </w:rPr>
              <w:t>产生量</w:t>
            </w:r>
          </w:p>
        </w:tc>
        <w:tc>
          <w:tcPr>
            <w:tcW w:w="1590" w:type="dxa"/>
            <w:vAlign w:val="center"/>
          </w:tcPr>
          <w:p>
            <w:pPr>
              <w:pStyle w:val="126"/>
              <w:tabs>
                <w:tab w:val="left" w:pos="1960"/>
              </w:tabs>
              <w:rPr>
                <w:rFonts w:eastAsiaTheme="minorEastAsia"/>
                <w:color w:val="000000" w:themeColor="text1"/>
              </w:rPr>
            </w:pPr>
            <w:r>
              <w:rPr>
                <w:rFonts w:eastAsiaTheme="minorEastAsia"/>
                <w:color w:val="000000" w:themeColor="text1"/>
              </w:rPr>
              <w:t>治理措施</w:t>
            </w:r>
          </w:p>
        </w:tc>
        <w:tc>
          <w:tcPr>
            <w:tcW w:w="1110" w:type="dxa"/>
            <w:vAlign w:val="center"/>
          </w:tcPr>
          <w:p>
            <w:pPr>
              <w:pStyle w:val="126"/>
              <w:tabs>
                <w:tab w:val="left" w:pos="1960"/>
              </w:tabs>
              <w:rPr>
                <w:rFonts w:eastAsiaTheme="minorEastAsia"/>
                <w:color w:val="000000" w:themeColor="text1"/>
              </w:rPr>
            </w:pPr>
            <w:r>
              <w:rPr>
                <w:rFonts w:eastAsiaTheme="minorEastAsia"/>
                <w:color w:val="000000" w:themeColor="text1"/>
              </w:rPr>
              <w:t>排放量</w:t>
            </w:r>
          </w:p>
        </w:tc>
        <w:tc>
          <w:tcPr>
            <w:tcW w:w="2385" w:type="dxa"/>
            <w:vAlign w:val="center"/>
          </w:tcPr>
          <w:p>
            <w:pPr>
              <w:pStyle w:val="126"/>
              <w:tabs>
                <w:tab w:val="left" w:pos="1960"/>
              </w:tabs>
              <w:rPr>
                <w:rFonts w:eastAsiaTheme="minorEastAsia"/>
                <w:color w:val="000000" w:themeColor="text1"/>
              </w:rPr>
            </w:pPr>
            <w:r>
              <w:rPr>
                <w:rFonts w:eastAsiaTheme="minorEastAsia"/>
                <w:color w:val="000000" w:themeColor="text1"/>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restart"/>
            <w:vAlign w:val="center"/>
          </w:tcPr>
          <w:p>
            <w:pPr>
              <w:pStyle w:val="126"/>
              <w:tabs>
                <w:tab w:val="left" w:pos="1960"/>
              </w:tabs>
              <w:rPr>
                <w:rFonts w:eastAsiaTheme="minorEastAsia"/>
                <w:color w:val="000000" w:themeColor="text1"/>
              </w:rPr>
            </w:pPr>
            <w:r>
              <w:rPr>
                <w:rFonts w:eastAsiaTheme="minorEastAsia"/>
                <w:color w:val="000000" w:themeColor="text1"/>
              </w:rPr>
              <w:t>废水</w:t>
            </w:r>
          </w:p>
        </w:tc>
        <w:tc>
          <w:tcPr>
            <w:tcW w:w="1589" w:type="dxa"/>
            <w:vAlign w:val="center"/>
          </w:tcPr>
          <w:p>
            <w:pPr>
              <w:pStyle w:val="126"/>
              <w:tabs>
                <w:tab w:val="left" w:pos="1960"/>
              </w:tabs>
              <w:rPr>
                <w:rFonts w:eastAsiaTheme="minorEastAsia"/>
                <w:color w:val="000000" w:themeColor="text1"/>
              </w:rPr>
            </w:pPr>
            <w:r>
              <w:rPr>
                <w:rFonts w:eastAsiaTheme="minorEastAsia"/>
                <w:color w:val="000000" w:themeColor="text1"/>
              </w:rPr>
              <w:t>生产废水m</w:t>
            </w:r>
            <w:r>
              <w:rPr>
                <w:rFonts w:eastAsiaTheme="minorEastAsia"/>
                <w:color w:val="000000" w:themeColor="text1"/>
                <w:vertAlign w:val="superscript"/>
              </w:rPr>
              <w:t>3</w:t>
            </w:r>
            <w:r>
              <w:rPr>
                <w:rFonts w:eastAsiaTheme="minorEastAsia"/>
                <w:color w:val="000000" w:themeColor="text1"/>
              </w:rPr>
              <w:t>/d</w:t>
            </w:r>
          </w:p>
        </w:tc>
        <w:tc>
          <w:tcPr>
            <w:tcW w:w="1036"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1384.8</w:t>
            </w:r>
          </w:p>
        </w:tc>
        <w:tc>
          <w:tcPr>
            <w:tcW w:w="159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尾矿沉淀池和尾矿库沉淀处理</w:t>
            </w:r>
          </w:p>
        </w:tc>
        <w:tc>
          <w:tcPr>
            <w:tcW w:w="111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w:t>
            </w:r>
          </w:p>
        </w:tc>
        <w:tc>
          <w:tcPr>
            <w:tcW w:w="2385"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处理之后全部回用于选矿生产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continue"/>
            <w:vAlign w:val="center"/>
          </w:tcPr>
          <w:p>
            <w:pPr>
              <w:pStyle w:val="126"/>
              <w:tabs>
                <w:tab w:val="left" w:pos="1960"/>
              </w:tabs>
              <w:rPr>
                <w:rFonts w:eastAsiaTheme="minorEastAsia"/>
                <w:color w:val="000000" w:themeColor="text1"/>
                <w:lang w:eastAsia="zh-CN"/>
              </w:rPr>
            </w:pPr>
          </w:p>
        </w:tc>
        <w:tc>
          <w:tcPr>
            <w:tcW w:w="1589" w:type="dxa"/>
            <w:vAlign w:val="center"/>
          </w:tcPr>
          <w:p>
            <w:pPr>
              <w:pStyle w:val="126"/>
              <w:tabs>
                <w:tab w:val="left" w:pos="1960"/>
              </w:tabs>
              <w:rPr>
                <w:rFonts w:eastAsiaTheme="minorEastAsia"/>
                <w:color w:val="000000" w:themeColor="text1"/>
              </w:rPr>
            </w:pPr>
            <w:r>
              <w:rPr>
                <w:rFonts w:eastAsiaTheme="minorEastAsia"/>
                <w:color w:val="000000" w:themeColor="text1"/>
              </w:rPr>
              <w:t>生活污水m</w:t>
            </w:r>
            <w:r>
              <w:rPr>
                <w:rFonts w:eastAsiaTheme="minorEastAsia"/>
                <w:color w:val="000000" w:themeColor="text1"/>
                <w:vertAlign w:val="superscript"/>
              </w:rPr>
              <w:t>3</w:t>
            </w:r>
            <w:r>
              <w:rPr>
                <w:rFonts w:eastAsiaTheme="minorEastAsia"/>
                <w:color w:val="000000" w:themeColor="text1"/>
              </w:rPr>
              <w:t>/d</w:t>
            </w:r>
          </w:p>
        </w:tc>
        <w:tc>
          <w:tcPr>
            <w:tcW w:w="1036"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5.44</w:t>
            </w:r>
          </w:p>
        </w:tc>
        <w:tc>
          <w:tcPr>
            <w:tcW w:w="159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化粪池</w:t>
            </w:r>
          </w:p>
        </w:tc>
        <w:tc>
          <w:tcPr>
            <w:tcW w:w="1110" w:type="dxa"/>
            <w:vAlign w:val="center"/>
          </w:tcPr>
          <w:p>
            <w:pPr>
              <w:pStyle w:val="126"/>
              <w:tabs>
                <w:tab w:val="left" w:pos="1960"/>
              </w:tabs>
              <w:rPr>
                <w:rFonts w:eastAsiaTheme="minorEastAsia"/>
                <w:color w:val="000000" w:themeColor="text1"/>
              </w:rPr>
            </w:pPr>
            <w:r>
              <w:rPr>
                <w:rFonts w:eastAsiaTheme="minorEastAsia"/>
                <w:color w:val="000000" w:themeColor="text1"/>
              </w:rPr>
              <w:t>0</w:t>
            </w:r>
          </w:p>
        </w:tc>
        <w:tc>
          <w:tcPr>
            <w:tcW w:w="2385"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委托周边农民清掏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continue"/>
            <w:vAlign w:val="center"/>
          </w:tcPr>
          <w:p>
            <w:pPr>
              <w:pStyle w:val="126"/>
              <w:tabs>
                <w:tab w:val="left" w:pos="1960"/>
              </w:tabs>
              <w:rPr>
                <w:rFonts w:eastAsiaTheme="minorEastAsia"/>
                <w:color w:val="000000" w:themeColor="text1"/>
                <w:lang w:eastAsia="zh-CN"/>
              </w:rPr>
            </w:pPr>
          </w:p>
        </w:tc>
        <w:tc>
          <w:tcPr>
            <w:tcW w:w="1589"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实验室及机修废水</w:t>
            </w:r>
          </w:p>
        </w:tc>
        <w:tc>
          <w:tcPr>
            <w:tcW w:w="1036"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0.5</w:t>
            </w:r>
          </w:p>
        </w:tc>
        <w:tc>
          <w:tcPr>
            <w:tcW w:w="159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排入沉淀池处理</w:t>
            </w:r>
          </w:p>
        </w:tc>
        <w:tc>
          <w:tcPr>
            <w:tcW w:w="111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w:t>
            </w:r>
          </w:p>
        </w:tc>
        <w:tc>
          <w:tcPr>
            <w:tcW w:w="2385"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与尾矿尾水沉淀处理后全部回用于选矿作业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restart"/>
            <w:vAlign w:val="center"/>
          </w:tcPr>
          <w:p>
            <w:pPr>
              <w:pStyle w:val="126"/>
              <w:tabs>
                <w:tab w:val="left" w:pos="1960"/>
              </w:tabs>
              <w:rPr>
                <w:rFonts w:eastAsiaTheme="minorEastAsia"/>
                <w:color w:val="000000" w:themeColor="text1"/>
              </w:rPr>
            </w:pPr>
            <w:r>
              <w:rPr>
                <w:rFonts w:eastAsiaTheme="minorEastAsia"/>
                <w:color w:val="000000" w:themeColor="text1"/>
              </w:rPr>
              <w:t>TSP</w:t>
            </w:r>
          </w:p>
        </w:tc>
        <w:tc>
          <w:tcPr>
            <w:tcW w:w="1589"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原矿堆场粉</w:t>
            </w:r>
            <w:r>
              <w:rPr>
                <w:rFonts w:eastAsiaTheme="minorEastAsia"/>
                <w:color w:val="000000" w:themeColor="text1"/>
              </w:rPr>
              <w:t>尘</w:t>
            </w:r>
          </w:p>
        </w:tc>
        <w:tc>
          <w:tcPr>
            <w:tcW w:w="1036"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0.65t/a</w:t>
            </w:r>
          </w:p>
        </w:tc>
        <w:tc>
          <w:tcPr>
            <w:tcW w:w="1590" w:type="dxa"/>
            <w:vAlign w:val="center"/>
          </w:tcPr>
          <w:p>
            <w:pPr>
              <w:pStyle w:val="126"/>
              <w:tabs>
                <w:tab w:val="left" w:pos="1960"/>
              </w:tabs>
              <w:rPr>
                <w:rFonts w:eastAsiaTheme="minorEastAsia"/>
                <w:color w:val="000000" w:themeColor="text1"/>
              </w:rPr>
            </w:pPr>
            <w:r>
              <w:rPr>
                <w:rFonts w:eastAsiaTheme="minorEastAsia"/>
                <w:color w:val="000000" w:themeColor="text1"/>
              </w:rPr>
              <w:t>洒水降尘</w:t>
            </w:r>
          </w:p>
        </w:tc>
        <w:tc>
          <w:tcPr>
            <w:tcW w:w="1110"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0.26t/a</w:t>
            </w:r>
          </w:p>
        </w:tc>
        <w:tc>
          <w:tcPr>
            <w:tcW w:w="2385" w:type="dxa"/>
            <w:vAlign w:val="center"/>
          </w:tcPr>
          <w:p>
            <w:pPr>
              <w:pStyle w:val="126"/>
              <w:tabs>
                <w:tab w:val="left" w:pos="1960"/>
              </w:tabs>
              <w:rPr>
                <w:rFonts w:eastAsiaTheme="minorEastAsia"/>
                <w:color w:val="000000" w:themeColor="text1"/>
              </w:rPr>
            </w:pPr>
            <w:r>
              <w:rPr>
                <w:rFonts w:eastAsiaTheme="minorEastAsia"/>
                <w:color w:val="000000" w:themeColor="text1"/>
              </w:rPr>
              <w:t>排放至周边环境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continue"/>
            <w:vAlign w:val="center"/>
          </w:tcPr>
          <w:p>
            <w:pPr>
              <w:pStyle w:val="126"/>
              <w:tabs>
                <w:tab w:val="left" w:pos="1960"/>
              </w:tabs>
              <w:rPr>
                <w:rFonts w:eastAsiaTheme="minorEastAsia"/>
                <w:color w:val="000000" w:themeColor="text1"/>
              </w:rPr>
            </w:pPr>
          </w:p>
        </w:tc>
        <w:tc>
          <w:tcPr>
            <w:tcW w:w="1589" w:type="dxa"/>
            <w:vAlign w:val="center"/>
          </w:tcPr>
          <w:p>
            <w:pPr>
              <w:pStyle w:val="126"/>
              <w:tabs>
                <w:tab w:val="left" w:pos="1960"/>
              </w:tabs>
              <w:rPr>
                <w:rFonts w:eastAsiaTheme="minorEastAsia"/>
                <w:color w:val="000000" w:themeColor="text1"/>
                <w:lang w:eastAsia="zh-CN"/>
              </w:rPr>
            </w:pPr>
            <w:r>
              <w:rPr>
                <w:rFonts w:eastAsiaTheme="minorEastAsia"/>
                <w:smallCaps/>
                <w:color w:val="000000" w:themeColor="text1"/>
                <w:lang w:eastAsia="zh-CN"/>
              </w:rPr>
              <w:t>给料</w:t>
            </w:r>
            <w:r>
              <w:rPr>
                <w:rFonts w:eastAsiaTheme="minorEastAsia"/>
                <w:color w:val="000000" w:themeColor="text1"/>
              </w:rPr>
              <w:t>粉尘</w:t>
            </w:r>
          </w:p>
        </w:tc>
        <w:tc>
          <w:tcPr>
            <w:tcW w:w="1036" w:type="dxa"/>
            <w:vAlign w:val="center"/>
          </w:tcPr>
          <w:p>
            <w:pPr>
              <w:pStyle w:val="126"/>
              <w:tabs>
                <w:tab w:val="left" w:pos="1960"/>
              </w:tabs>
              <w:spacing w:line="360" w:lineRule="auto"/>
              <w:rPr>
                <w:rFonts w:eastAsiaTheme="minorEastAsia"/>
                <w:color w:val="000000" w:themeColor="text1"/>
                <w:lang w:eastAsia="zh-CN"/>
              </w:rPr>
            </w:pPr>
            <w:r>
              <w:rPr>
                <w:rFonts w:eastAsiaTheme="minorEastAsia"/>
                <w:bCs/>
                <w:color w:val="000000" w:themeColor="text1"/>
                <w:lang w:eastAsia="zh-CN"/>
              </w:rPr>
              <w:t>0.75</w:t>
            </w:r>
            <w:r>
              <w:rPr>
                <w:rFonts w:eastAsiaTheme="minorEastAsia"/>
                <w:color w:val="000000" w:themeColor="text1"/>
                <w:lang w:eastAsia="zh-CN"/>
              </w:rPr>
              <w:t>t/a</w:t>
            </w:r>
          </w:p>
        </w:tc>
        <w:tc>
          <w:tcPr>
            <w:tcW w:w="159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喷雾降尘</w:t>
            </w:r>
          </w:p>
        </w:tc>
        <w:tc>
          <w:tcPr>
            <w:tcW w:w="1110" w:type="dxa"/>
            <w:vAlign w:val="center"/>
          </w:tcPr>
          <w:p>
            <w:pPr>
              <w:pStyle w:val="126"/>
              <w:tabs>
                <w:tab w:val="left" w:pos="1960"/>
              </w:tabs>
              <w:spacing w:line="360" w:lineRule="auto"/>
              <w:rPr>
                <w:rFonts w:eastAsiaTheme="minorEastAsia"/>
                <w:color w:val="000000" w:themeColor="text1"/>
                <w:lang w:eastAsia="zh-CN"/>
              </w:rPr>
            </w:pPr>
            <w:r>
              <w:rPr>
                <w:rFonts w:eastAsiaTheme="minorEastAsia"/>
                <w:bCs/>
                <w:color w:val="000000" w:themeColor="text1"/>
                <w:lang w:eastAsia="zh-CN"/>
              </w:rPr>
              <w:t>0.225</w:t>
            </w:r>
            <w:r>
              <w:rPr>
                <w:rFonts w:eastAsiaTheme="minorEastAsia"/>
                <w:color w:val="000000" w:themeColor="text1"/>
                <w:lang w:eastAsia="zh-CN"/>
              </w:rPr>
              <w:t>t/a</w:t>
            </w:r>
          </w:p>
        </w:tc>
        <w:tc>
          <w:tcPr>
            <w:tcW w:w="2385" w:type="dxa"/>
            <w:vAlign w:val="center"/>
          </w:tcPr>
          <w:p>
            <w:pPr>
              <w:pStyle w:val="126"/>
              <w:tabs>
                <w:tab w:val="left" w:pos="1960"/>
              </w:tabs>
              <w:rPr>
                <w:rFonts w:eastAsiaTheme="minorEastAsia"/>
                <w:color w:val="000000" w:themeColor="text1"/>
              </w:rPr>
            </w:pPr>
            <w:r>
              <w:rPr>
                <w:rFonts w:eastAsiaTheme="minorEastAsia"/>
                <w:color w:val="000000" w:themeColor="text1"/>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continue"/>
            <w:vAlign w:val="center"/>
          </w:tcPr>
          <w:p>
            <w:pPr>
              <w:pStyle w:val="126"/>
              <w:tabs>
                <w:tab w:val="left" w:pos="1960"/>
              </w:tabs>
              <w:rPr>
                <w:rFonts w:eastAsiaTheme="minorEastAsia"/>
                <w:color w:val="000000" w:themeColor="text1"/>
              </w:rPr>
            </w:pPr>
          </w:p>
        </w:tc>
        <w:tc>
          <w:tcPr>
            <w:tcW w:w="1589" w:type="dxa"/>
            <w:vAlign w:val="center"/>
          </w:tcPr>
          <w:p>
            <w:pPr>
              <w:pStyle w:val="126"/>
              <w:tabs>
                <w:tab w:val="left" w:pos="1960"/>
              </w:tabs>
              <w:rPr>
                <w:rFonts w:eastAsiaTheme="minorEastAsia"/>
                <w:color w:val="000000" w:themeColor="text1"/>
                <w:lang w:eastAsia="zh-CN"/>
              </w:rPr>
            </w:pPr>
            <w:r>
              <w:rPr>
                <w:rFonts w:eastAsiaTheme="minorEastAsia"/>
                <w:smallCaps/>
                <w:color w:val="000000" w:themeColor="text1"/>
                <w:lang w:eastAsia="zh-CN"/>
              </w:rPr>
              <w:t>破碎</w:t>
            </w:r>
            <w:r>
              <w:rPr>
                <w:rFonts w:eastAsiaTheme="minorEastAsia"/>
                <w:color w:val="000000" w:themeColor="text1"/>
              </w:rPr>
              <w:t>粉尘</w:t>
            </w:r>
          </w:p>
        </w:tc>
        <w:tc>
          <w:tcPr>
            <w:tcW w:w="1036" w:type="dxa"/>
            <w:vAlign w:val="center"/>
          </w:tcPr>
          <w:p>
            <w:pPr>
              <w:pStyle w:val="126"/>
              <w:tabs>
                <w:tab w:val="left" w:pos="1960"/>
              </w:tabs>
              <w:spacing w:line="360" w:lineRule="auto"/>
              <w:rPr>
                <w:rFonts w:eastAsiaTheme="minorEastAsia"/>
                <w:color w:val="000000" w:themeColor="text1"/>
                <w:lang w:eastAsia="zh-CN"/>
              </w:rPr>
            </w:pPr>
            <w:r>
              <w:rPr>
                <w:rFonts w:hint="eastAsia" w:eastAsiaTheme="minorEastAsia"/>
                <w:color w:val="000000" w:themeColor="text1"/>
                <w:lang w:eastAsia="zh-CN"/>
              </w:rPr>
              <w:t>101.25</w:t>
            </w:r>
            <w:r>
              <w:rPr>
                <w:rFonts w:eastAsiaTheme="minorEastAsia"/>
                <w:color w:val="000000" w:themeColor="text1"/>
                <w:lang w:eastAsia="zh-CN"/>
              </w:rPr>
              <w:t>t/a</w:t>
            </w:r>
          </w:p>
        </w:tc>
        <w:tc>
          <w:tcPr>
            <w:tcW w:w="159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喷雾降尘</w:t>
            </w:r>
          </w:p>
        </w:tc>
        <w:tc>
          <w:tcPr>
            <w:tcW w:w="1110" w:type="dxa"/>
            <w:vAlign w:val="center"/>
          </w:tcPr>
          <w:p>
            <w:pPr>
              <w:pStyle w:val="126"/>
              <w:tabs>
                <w:tab w:val="left" w:pos="1960"/>
              </w:tabs>
              <w:spacing w:line="360" w:lineRule="auto"/>
              <w:rPr>
                <w:rFonts w:eastAsiaTheme="minorEastAsia"/>
                <w:color w:val="000000" w:themeColor="text1"/>
                <w:lang w:eastAsia="zh-CN"/>
              </w:rPr>
            </w:pPr>
            <w:r>
              <w:rPr>
                <w:rFonts w:hint="eastAsia" w:eastAsiaTheme="minorEastAsia"/>
                <w:color w:val="000000" w:themeColor="text1"/>
                <w:lang w:eastAsia="zh-CN"/>
              </w:rPr>
              <w:t>30.375</w:t>
            </w:r>
            <w:r>
              <w:rPr>
                <w:rFonts w:eastAsiaTheme="minorEastAsia"/>
                <w:color w:val="000000" w:themeColor="text1"/>
                <w:lang w:eastAsia="zh-CN"/>
              </w:rPr>
              <w:t>t/a</w:t>
            </w:r>
          </w:p>
        </w:tc>
        <w:tc>
          <w:tcPr>
            <w:tcW w:w="2385" w:type="dxa"/>
            <w:vAlign w:val="center"/>
          </w:tcPr>
          <w:p>
            <w:pPr>
              <w:pStyle w:val="126"/>
              <w:tabs>
                <w:tab w:val="left" w:pos="1960"/>
              </w:tabs>
              <w:rPr>
                <w:rFonts w:eastAsiaTheme="minorEastAsia"/>
                <w:color w:val="000000" w:themeColor="text1"/>
              </w:rPr>
            </w:pPr>
            <w:r>
              <w:rPr>
                <w:rFonts w:eastAsiaTheme="minorEastAsia"/>
                <w:color w:val="000000" w:themeColor="text1"/>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continue"/>
            <w:vAlign w:val="center"/>
          </w:tcPr>
          <w:p>
            <w:pPr>
              <w:pStyle w:val="126"/>
              <w:tabs>
                <w:tab w:val="left" w:pos="1960"/>
              </w:tabs>
              <w:rPr>
                <w:rFonts w:eastAsiaTheme="minorEastAsia"/>
                <w:color w:val="000000" w:themeColor="text1"/>
              </w:rPr>
            </w:pPr>
          </w:p>
        </w:tc>
        <w:tc>
          <w:tcPr>
            <w:tcW w:w="1589" w:type="dxa"/>
            <w:vAlign w:val="center"/>
          </w:tcPr>
          <w:p>
            <w:pPr>
              <w:pStyle w:val="126"/>
              <w:tabs>
                <w:tab w:val="left" w:pos="1960"/>
              </w:tabs>
              <w:rPr>
                <w:rFonts w:eastAsiaTheme="minorEastAsia"/>
                <w:smallCaps/>
                <w:color w:val="000000" w:themeColor="text1"/>
                <w:lang w:eastAsia="zh-CN"/>
              </w:rPr>
            </w:pPr>
            <w:r>
              <w:rPr>
                <w:rFonts w:eastAsiaTheme="minorEastAsia"/>
                <w:smallCaps/>
                <w:color w:val="000000" w:themeColor="text1"/>
                <w:lang w:eastAsia="zh-CN"/>
              </w:rPr>
              <w:t>筛分</w:t>
            </w:r>
            <w:r>
              <w:rPr>
                <w:rFonts w:eastAsiaTheme="minorEastAsia"/>
                <w:color w:val="000000" w:themeColor="text1"/>
              </w:rPr>
              <w:t>粉尘</w:t>
            </w:r>
          </w:p>
        </w:tc>
        <w:tc>
          <w:tcPr>
            <w:tcW w:w="1036"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20.4t/a</w:t>
            </w:r>
          </w:p>
        </w:tc>
        <w:tc>
          <w:tcPr>
            <w:tcW w:w="159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喷雾降尘</w:t>
            </w:r>
          </w:p>
        </w:tc>
        <w:tc>
          <w:tcPr>
            <w:tcW w:w="1110"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6.12t/a</w:t>
            </w:r>
          </w:p>
        </w:tc>
        <w:tc>
          <w:tcPr>
            <w:tcW w:w="2385" w:type="dxa"/>
            <w:vAlign w:val="center"/>
          </w:tcPr>
          <w:p>
            <w:pPr>
              <w:pStyle w:val="126"/>
              <w:tabs>
                <w:tab w:val="left" w:pos="1960"/>
              </w:tabs>
              <w:rPr>
                <w:rFonts w:eastAsiaTheme="minorEastAsia"/>
                <w:color w:val="000000" w:themeColor="text1"/>
              </w:rPr>
            </w:pPr>
            <w:r>
              <w:rPr>
                <w:rFonts w:eastAsiaTheme="minorEastAsia"/>
                <w:color w:val="000000" w:themeColor="text1"/>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continue"/>
            <w:vAlign w:val="center"/>
          </w:tcPr>
          <w:p>
            <w:pPr>
              <w:pStyle w:val="126"/>
              <w:tabs>
                <w:tab w:val="left" w:pos="1960"/>
              </w:tabs>
              <w:rPr>
                <w:rFonts w:eastAsiaTheme="minorEastAsia"/>
                <w:color w:val="000000" w:themeColor="text1"/>
              </w:rPr>
            </w:pPr>
          </w:p>
        </w:tc>
        <w:tc>
          <w:tcPr>
            <w:tcW w:w="1589"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rPr>
              <w:t>运输扬尘</w:t>
            </w:r>
          </w:p>
        </w:tc>
        <w:tc>
          <w:tcPr>
            <w:tcW w:w="1036"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rPr>
              <w:t>0.</w:t>
            </w:r>
            <w:r>
              <w:rPr>
                <w:rFonts w:eastAsiaTheme="minorEastAsia"/>
                <w:color w:val="000000" w:themeColor="text1"/>
                <w:lang w:eastAsia="zh-CN"/>
              </w:rPr>
              <w:t>738</w:t>
            </w:r>
            <w:r>
              <w:rPr>
                <w:rFonts w:eastAsiaTheme="minorEastAsia"/>
                <w:color w:val="000000" w:themeColor="text1"/>
              </w:rPr>
              <w:t>t/a</w:t>
            </w:r>
          </w:p>
        </w:tc>
        <w:tc>
          <w:tcPr>
            <w:tcW w:w="1590" w:type="dxa"/>
            <w:vAlign w:val="center"/>
          </w:tcPr>
          <w:p>
            <w:pPr>
              <w:pStyle w:val="126"/>
              <w:tabs>
                <w:tab w:val="left" w:pos="1960"/>
              </w:tabs>
              <w:rPr>
                <w:rFonts w:eastAsiaTheme="minorEastAsia"/>
                <w:color w:val="000000" w:themeColor="text1"/>
              </w:rPr>
            </w:pPr>
            <w:r>
              <w:rPr>
                <w:rFonts w:eastAsiaTheme="minorEastAsia"/>
                <w:color w:val="000000" w:themeColor="text1"/>
              </w:rPr>
              <w:t>沿途道路洒水降尘</w:t>
            </w:r>
          </w:p>
        </w:tc>
        <w:tc>
          <w:tcPr>
            <w:tcW w:w="1110"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0.22</w:t>
            </w:r>
            <w:r>
              <w:rPr>
                <w:rFonts w:eastAsiaTheme="minorEastAsia"/>
                <w:color w:val="000000" w:themeColor="text1"/>
              </w:rPr>
              <w:t>t/a</w:t>
            </w:r>
          </w:p>
        </w:tc>
        <w:tc>
          <w:tcPr>
            <w:tcW w:w="2385" w:type="dxa"/>
            <w:vAlign w:val="center"/>
          </w:tcPr>
          <w:p>
            <w:pPr>
              <w:pStyle w:val="126"/>
              <w:tabs>
                <w:tab w:val="left" w:pos="1960"/>
              </w:tabs>
              <w:rPr>
                <w:rFonts w:eastAsiaTheme="minorEastAsia"/>
                <w:color w:val="000000" w:themeColor="text1"/>
              </w:rPr>
            </w:pPr>
            <w:r>
              <w:rPr>
                <w:rFonts w:eastAsiaTheme="minorEastAsia"/>
                <w:color w:val="000000" w:themeColor="text1"/>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continue"/>
            <w:vAlign w:val="center"/>
          </w:tcPr>
          <w:p>
            <w:pPr>
              <w:pStyle w:val="126"/>
              <w:tabs>
                <w:tab w:val="left" w:pos="1960"/>
              </w:tabs>
              <w:rPr>
                <w:rFonts w:eastAsiaTheme="minorEastAsia"/>
                <w:color w:val="000000" w:themeColor="text1"/>
              </w:rPr>
            </w:pPr>
          </w:p>
        </w:tc>
        <w:tc>
          <w:tcPr>
            <w:tcW w:w="1589"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原</w:t>
            </w:r>
            <w:r>
              <w:rPr>
                <w:rFonts w:hint="eastAsia" w:eastAsiaTheme="minorEastAsia"/>
                <w:color w:val="000000" w:themeColor="text1"/>
                <w:lang w:eastAsia="zh-CN"/>
              </w:rPr>
              <w:t>矿</w:t>
            </w:r>
            <w:r>
              <w:rPr>
                <w:rFonts w:eastAsiaTheme="minorEastAsia"/>
                <w:color w:val="000000" w:themeColor="text1"/>
                <w:lang w:eastAsia="zh-CN"/>
              </w:rPr>
              <w:t>装卸粉尘</w:t>
            </w:r>
          </w:p>
        </w:tc>
        <w:tc>
          <w:tcPr>
            <w:tcW w:w="1036" w:type="dxa"/>
            <w:vAlign w:val="center"/>
          </w:tcPr>
          <w:p>
            <w:pPr>
              <w:pStyle w:val="126"/>
              <w:tabs>
                <w:tab w:val="left" w:pos="1960"/>
              </w:tabs>
              <w:spacing w:line="360" w:lineRule="auto"/>
              <w:rPr>
                <w:rFonts w:eastAsiaTheme="minorEastAsia"/>
                <w:color w:val="000000" w:themeColor="text1"/>
              </w:rPr>
            </w:pPr>
            <w:r>
              <w:rPr>
                <w:rFonts w:eastAsiaTheme="minorEastAsia"/>
                <w:color w:val="000000" w:themeColor="text1"/>
                <w:lang w:eastAsia="zh-CN"/>
              </w:rPr>
              <w:t>0.51</w:t>
            </w:r>
            <w:r>
              <w:rPr>
                <w:rFonts w:eastAsiaTheme="minorEastAsia"/>
                <w:color w:val="000000" w:themeColor="text1"/>
              </w:rPr>
              <w:t>t/a</w:t>
            </w:r>
          </w:p>
        </w:tc>
        <w:tc>
          <w:tcPr>
            <w:tcW w:w="159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110"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0.51</w:t>
            </w:r>
            <w:r>
              <w:rPr>
                <w:rFonts w:eastAsiaTheme="minorEastAsia"/>
                <w:color w:val="000000" w:themeColor="text1"/>
              </w:rPr>
              <w:t>t/a</w:t>
            </w:r>
          </w:p>
        </w:tc>
        <w:tc>
          <w:tcPr>
            <w:tcW w:w="2385" w:type="dxa"/>
            <w:vAlign w:val="center"/>
          </w:tcPr>
          <w:p>
            <w:pPr>
              <w:pStyle w:val="126"/>
              <w:tabs>
                <w:tab w:val="left" w:pos="1960"/>
              </w:tabs>
              <w:rPr>
                <w:rFonts w:eastAsiaTheme="minorEastAsia"/>
                <w:color w:val="000000" w:themeColor="text1"/>
              </w:rPr>
            </w:pPr>
            <w:r>
              <w:rPr>
                <w:rFonts w:eastAsiaTheme="minorEastAsia"/>
                <w:color w:val="000000" w:themeColor="text1"/>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continue"/>
            <w:vAlign w:val="center"/>
          </w:tcPr>
          <w:p>
            <w:pPr>
              <w:pStyle w:val="126"/>
              <w:tabs>
                <w:tab w:val="left" w:pos="1960"/>
              </w:tabs>
              <w:rPr>
                <w:rFonts w:eastAsiaTheme="minorEastAsia"/>
                <w:color w:val="000000" w:themeColor="text1"/>
              </w:rPr>
            </w:pPr>
          </w:p>
        </w:tc>
        <w:tc>
          <w:tcPr>
            <w:tcW w:w="1589" w:type="dxa"/>
            <w:vAlign w:val="center"/>
          </w:tcPr>
          <w:p>
            <w:pPr>
              <w:pStyle w:val="126"/>
              <w:tabs>
                <w:tab w:val="left" w:pos="1960"/>
              </w:tabs>
              <w:rPr>
                <w:rFonts w:eastAsiaTheme="minorEastAsia"/>
                <w:color w:val="000000" w:themeColor="text1"/>
                <w:spacing w:val="10"/>
                <w:lang w:eastAsia="zh-CN"/>
              </w:rPr>
            </w:pPr>
            <w:r>
              <w:rPr>
                <w:rFonts w:hint="eastAsia" w:eastAsiaTheme="minorEastAsia"/>
                <w:color w:val="000000" w:themeColor="text1"/>
                <w:spacing w:val="10"/>
                <w:lang w:eastAsia="zh-CN"/>
              </w:rPr>
              <w:t>原矿下料</w:t>
            </w:r>
          </w:p>
        </w:tc>
        <w:tc>
          <w:tcPr>
            <w:tcW w:w="1036" w:type="dxa"/>
            <w:vAlign w:val="center"/>
          </w:tcPr>
          <w:p>
            <w:pPr>
              <w:pStyle w:val="126"/>
              <w:tabs>
                <w:tab w:val="left" w:pos="1960"/>
              </w:tabs>
              <w:spacing w:line="360" w:lineRule="auto"/>
              <w:rPr>
                <w:rFonts w:eastAsiaTheme="minorEastAsia"/>
                <w:color w:val="000000" w:themeColor="text1"/>
                <w:lang w:eastAsia="zh-CN"/>
              </w:rPr>
            </w:pPr>
            <w:r>
              <w:rPr>
                <w:rFonts w:hint="eastAsia" w:eastAsiaTheme="minorEastAsia"/>
                <w:color w:val="000000" w:themeColor="text1"/>
                <w:lang w:eastAsia="zh-CN"/>
              </w:rPr>
              <w:t>/</w:t>
            </w:r>
          </w:p>
        </w:tc>
        <w:tc>
          <w:tcPr>
            <w:tcW w:w="1590"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洒水降尘</w:t>
            </w:r>
          </w:p>
        </w:tc>
        <w:tc>
          <w:tcPr>
            <w:tcW w:w="1110"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rPr>
              <w:t>0.</w:t>
            </w:r>
            <w:r>
              <w:rPr>
                <w:rFonts w:hint="eastAsia" w:eastAsiaTheme="minorEastAsia"/>
                <w:color w:val="000000" w:themeColor="text1"/>
                <w:lang w:eastAsia="zh-CN"/>
              </w:rPr>
              <w:t>21</w:t>
            </w:r>
            <w:r>
              <w:rPr>
                <w:rFonts w:eastAsiaTheme="minorEastAsia"/>
                <w:color w:val="000000" w:themeColor="text1"/>
              </w:rPr>
              <w:t>t/a</w:t>
            </w:r>
          </w:p>
        </w:tc>
        <w:tc>
          <w:tcPr>
            <w:tcW w:w="2385" w:type="dxa"/>
            <w:vAlign w:val="center"/>
          </w:tcPr>
          <w:p>
            <w:pPr>
              <w:pStyle w:val="126"/>
              <w:tabs>
                <w:tab w:val="left" w:pos="1960"/>
              </w:tabs>
              <w:rPr>
                <w:rFonts w:eastAsiaTheme="minorEastAsia"/>
                <w:color w:val="000000" w:themeColor="text1"/>
              </w:rPr>
            </w:pPr>
            <w:r>
              <w:rPr>
                <w:rFonts w:eastAsiaTheme="minorEastAsia"/>
                <w:color w:val="000000" w:themeColor="text1"/>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continue"/>
            <w:vAlign w:val="center"/>
          </w:tcPr>
          <w:p>
            <w:pPr>
              <w:pStyle w:val="126"/>
              <w:tabs>
                <w:tab w:val="left" w:pos="1960"/>
              </w:tabs>
              <w:rPr>
                <w:rFonts w:eastAsiaTheme="minorEastAsia"/>
                <w:color w:val="000000" w:themeColor="text1"/>
              </w:rPr>
            </w:pPr>
          </w:p>
        </w:tc>
        <w:tc>
          <w:tcPr>
            <w:tcW w:w="1589" w:type="dxa"/>
            <w:vAlign w:val="center"/>
          </w:tcPr>
          <w:p>
            <w:pPr>
              <w:pStyle w:val="126"/>
              <w:tabs>
                <w:tab w:val="left" w:pos="1960"/>
              </w:tabs>
              <w:rPr>
                <w:rFonts w:eastAsiaTheme="minorEastAsia"/>
                <w:color w:val="000000" w:themeColor="text1"/>
                <w:spacing w:val="10"/>
                <w:lang w:eastAsia="zh-CN"/>
              </w:rPr>
            </w:pPr>
            <w:r>
              <w:rPr>
                <w:rFonts w:hint="eastAsia" w:eastAsiaTheme="minorEastAsia"/>
                <w:color w:val="000000" w:themeColor="text1"/>
                <w:spacing w:val="10"/>
                <w:lang w:eastAsia="zh-CN"/>
              </w:rPr>
              <w:t>产品装车</w:t>
            </w:r>
          </w:p>
        </w:tc>
        <w:tc>
          <w:tcPr>
            <w:tcW w:w="1036" w:type="dxa"/>
            <w:vAlign w:val="center"/>
          </w:tcPr>
          <w:p>
            <w:pPr>
              <w:pStyle w:val="126"/>
              <w:tabs>
                <w:tab w:val="left" w:pos="1960"/>
              </w:tabs>
              <w:spacing w:line="360" w:lineRule="auto"/>
              <w:rPr>
                <w:rFonts w:eastAsiaTheme="minorEastAsia"/>
                <w:color w:val="000000" w:themeColor="text1"/>
                <w:lang w:eastAsia="zh-CN"/>
              </w:rPr>
            </w:pPr>
            <w:r>
              <w:rPr>
                <w:rFonts w:hint="eastAsia" w:eastAsiaTheme="minorEastAsia"/>
                <w:color w:val="000000" w:themeColor="text1"/>
                <w:lang w:eastAsia="zh-CN"/>
              </w:rPr>
              <w:t>/</w:t>
            </w:r>
          </w:p>
        </w:tc>
        <w:tc>
          <w:tcPr>
            <w:tcW w:w="1590"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洒水降尘</w:t>
            </w:r>
          </w:p>
        </w:tc>
        <w:tc>
          <w:tcPr>
            <w:tcW w:w="1110" w:type="dxa"/>
            <w:vAlign w:val="center"/>
          </w:tcPr>
          <w:p>
            <w:pPr>
              <w:pStyle w:val="126"/>
              <w:tabs>
                <w:tab w:val="left" w:pos="1960"/>
              </w:tabs>
              <w:spacing w:line="360" w:lineRule="auto"/>
              <w:rPr>
                <w:rFonts w:eastAsiaTheme="minorEastAsia"/>
                <w:color w:val="000000" w:themeColor="text1"/>
                <w:lang w:eastAsia="zh-CN"/>
              </w:rPr>
            </w:pPr>
            <w:r>
              <w:rPr>
                <w:rFonts w:eastAsiaTheme="minorEastAsia"/>
                <w:color w:val="000000" w:themeColor="text1"/>
                <w:lang w:eastAsia="zh-CN"/>
              </w:rPr>
              <w:t>0.</w:t>
            </w:r>
            <w:r>
              <w:rPr>
                <w:rFonts w:hint="eastAsia" w:eastAsiaTheme="minorEastAsia"/>
                <w:color w:val="000000" w:themeColor="text1"/>
                <w:lang w:eastAsia="zh-CN"/>
              </w:rPr>
              <w:t>059</w:t>
            </w:r>
            <w:r>
              <w:rPr>
                <w:rFonts w:eastAsiaTheme="minorEastAsia"/>
                <w:color w:val="000000" w:themeColor="text1"/>
              </w:rPr>
              <w:t>t/a</w:t>
            </w:r>
          </w:p>
        </w:tc>
        <w:tc>
          <w:tcPr>
            <w:tcW w:w="2385" w:type="dxa"/>
            <w:vAlign w:val="center"/>
          </w:tcPr>
          <w:p>
            <w:pPr>
              <w:pStyle w:val="126"/>
              <w:tabs>
                <w:tab w:val="left" w:pos="1960"/>
              </w:tabs>
              <w:rPr>
                <w:rFonts w:eastAsiaTheme="minorEastAsia"/>
                <w:color w:val="000000" w:themeColor="text1"/>
              </w:rPr>
            </w:pPr>
            <w:r>
              <w:rPr>
                <w:rFonts w:eastAsiaTheme="minorEastAsia"/>
                <w:color w:val="000000" w:themeColor="text1"/>
              </w:rPr>
              <w:t>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continue"/>
            <w:vAlign w:val="center"/>
          </w:tcPr>
          <w:p>
            <w:pPr>
              <w:pStyle w:val="126"/>
              <w:tabs>
                <w:tab w:val="left" w:pos="1960"/>
              </w:tabs>
              <w:rPr>
                <w:rFonts w:eastAsiaTheme="minorEastAsia"/>
                <w:color w:val="000000" w:themeColor="text1"/>
              </w:rPr>
            </w:pPr>
          </w:p>
        </w:tc>
        <w:tc>
          <w:tcPr>
            <w:tcW w:w="1589"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尾矿库干滩扬尘</w:t>
            </w:r>
          </w:p>
        </w:tc>
        <w:tc>
          <w:tcPr>
            <w:tcW w:w="1036" w:type="dxa"/>
            <w:vAlign w:val="center"/>
          </w:tcPr>
          <w:p>
            <w:pPr>
              <w:pStyle w:val="126"/>
              <w:tabs>
                <w:tab w:val="left" w:pos="1960"/>
              </w:tabs>
              <w:rPr>
                <w:rFonts w:eastAsiaTheme="minorEastAsia"/>
                <w:color w:val="000000" w:themeColor="text1"/>
              </w:rPr>
            </w:pPr>
            <w:r>
              <w:rPr>
                <w:rFonts w:eastAsiaTheme="minorEastAsia"/>
                <w:color w:val="000000" w:themeColor="text1"/>
                <w:lang w:eastAsia="zh-CN"/>
              </w:rPr>
              <w:t>少量</w:t>
            </w:r>
          </w:p>
        </w:tc>
        <w:tc>
          <w:tcPr>
            <w:tcW w:w="159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转换尾矿排放口，保持库面有一定的湿润</w:t>
            </w:r>
          </w:p>
        </w:tc>
        <w:tc>
          <w:tcPr>
            <w:tcW w:w="1110" w:type="dxa"/>
            <w:vAlign w:val="center"/>
          </w:tcPr>
          <w:p>
            <w:pPr>
              <w:pStyle w:val="126"/>
              <w:tabs>
                <w:tab w:val="left" w:pos="1960"/>
              </w:tabs>
              <w:rPr>
                <w:rFonts w:eastAsiaTheme="minorEastAsia"/>
                <w:color w:val="000000" w:themeColor="text1"/>
              </w:rPr>
            </w:pPr>
            <w:r>
              <w:rPr>
                <w:rFonts w:eastAsiaTheme="minorEastAsia"/>
                <w:color w:val="000000" w:themeColor="text1"/>
                <w:lang w:eastAsia="zh-CN"/>
              </w:rPr>
              <w:t>少量</w:t>
            </w:r>
          </w:p>
        </w:tc>
        <w:tc>
          <w:tcPr>
            <w:tcW w:w="2385" w:type="dxa"/>
            <w:vAlign w:val="center"/>
          </w:tcPr>
          <w:p>
            <w:pPr>
              <w:pStyle w:val="126"/>
              <w:tabs>
                <w:tab w:val="left" w:pos="1960"/>
              </w:tabs>
              <w:rPr>
                <w:rFonts w:eastAsiaTheme="minorEastAsia"/>
                <w:color w:val="000000" w:themeColor="text1"/>
              </w:rPr>
            </w:pPr>
            <w:r>
              <w:rPr>
                <w:rFonts w:eastAsiaTheme="minorEastAsia"/>
                <w:color w:val="000000" w:themeColor="text1"/>
              </w:rPr>
              <w:t>排放至周边环境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restart"/>
            <w:vAlign w:val="center"/>
          </w:tcPr>
          <w:p>
            <w:pPr>
              <w:pStyle w:val="126"/>
              <w:tabs>
                <w:tab w:val="left" w:pos="1960"/>
              </w:tabs>
              <w:rPr>
                <w:rFonts w:eastAsiaTheme="minorEastAsia"/>
                <w:color w:val="000000" w:themeColor="text1"/>
              </w:rPr>
            </w:pPr>
            <w:r>
              <w:rPr>
                <w:rFonts w:eastAsiaTheme="minorEastAsia"/>
                <w:color w:val="000000" w:themeColor="text1"/>
              </w:rPr>
              <w:t>固废</w:t>
            </w:r>
          </w:p>
        </w:tc>
        <w:tc>
          <w:tcPr>
            <w:tcW w:w="1589" w:type="dxa"/>
            <w:vAlign w:val="center"/>
          </w:tcPr>
          <w:p>
            <w:pPr>
              <w:pStyle w:val="126"/>
              <w:tabs>
                <w:tab w:val="left" w:pos="1960"/>
              </w:tabs>
              <w:rPr>
                <w:rFonts w:eastAsiaTheme="minorEastAsia"/>
                <w:color w:val="000000" w:themeColor="text1"/>
              </w:rPr>
            </w:pPr>
            <w:r>
              <w:rPr>
                <w:rFonts w:eastAsiaTheme="minorEastAsia"/>
                <w:color w:val="000000" w:themeColor="text1"/>
              </w:rPr>
              <w:t>尾矿t/a</w:t>
            </w:r>
          </w:p>
        </w:tc>
        <w:tc>
          <w:tcPr>
            <w:tcW w:w="1036"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szCs w:val="24"/>
                <w:lang w:eastAsia="zh-CN"/>
              </w:rPr>
              <w:t>218700</w:t>
            </w:r>
          </w:p>
        </w:tc>
        <w:tc>
          <w:tcPr>
            <w:tcW w:w="159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辣子箐尾矿库</w:t>
            </w:r>
          </w:p>
        </w:tc>
        <w:tc>
          <w:tcPr>
            <w:tcW w:w="1110"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szCs w:val="24"/>
                <w:lang w:eastAsia="zh-CN"/>
              </w:rPr>
              <w:t>218700</w:t>
            </w:r>
          </w:p>
        </w:tc>
        <w:tc>
          <w:tcPr>
            <w:tcW w:w="2385"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辣子箐尾矿库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continue"/>
            <w:vAlign w:val="center"/>
          </w:tcPr>
          <w:p>
            <w:pPr>
              <w:pStyle w:val="126"/>
              <w:tabs>
                <w:tab w:val="left" w:pos="1960"/>
              </w:tabs>
              <w:rPr>
                <w:rFonts w:eastAsiaTheme="minorEastAsia"/>
                <w:color w:val="000000" w:themeColor="text1"/>
              </w:rPr>
            </w:pPr>
          </w:p>
        </w:tc>
        <w:tc>
          <w:tcPr>
            <w:tcW w:w="1589" w:type="dxa"/>
            <w:vAlign w:val="center"/>
          </w:tcPr>
          <w:p>
            <w:pPr>
              <w:pStyle w:val="126"/>
              <w:tabs>
                <w:tab w:val="left" w:pos="1960"/>
              </w:tabs>
              <w:rPr>
                <w:rFonts w:eastAsiaTheme="minorEastAsia"/>
                <w:color w:val="000000" w:themeColor="text1"/>
              </w:rPr>
            </w:pPr>
            <w:r>
              <w:rPr>
                <w:rFonts w:eastAsiaTheme="minorEastAsia"/>
                <w:color w:val="000000" w:themeColor="text1"/>
              </w:rPr>
              <w:t>生活垃圾t/a</w:t>
            </w:r>
          </w:p>
        </w:tc>
        <w:tc>
          <w:tcPr>
            <w:tcW w:w="1036"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12.75</w:t>
            </w:r>
          </w:p>
        </w:tc>
        <w:tc>
          <w:tcPr>
            <w:tcW w:w="159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垃圾池</w:t>
            </w:r>
          </w:p>
        </w:tc>
        <w:tc>
          <w:tcPr>
            <w:tcW w:w="111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12.75</w:t>
            </w:r>
          </w:p>
        </w:tc>
        <w:tc>
          <w:tcPr>
            <w:tcW w:w="2385"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清运至戛洒镇生活垃圾堆存点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Merge w:val="continue"/>
            <w:vAlign w:val="center"/>
          </w:tcPr>
          <w:p>
            <w:pPr>
              <w:pStyle w:val="126"/>
              <w:tabs>
                <w:tab w:val="left" w:pos="1960"/>
              </w:tabs>
              <w:rPr>
                <w:rFonts w:eastAsiaTheme="minorEastAsia"/>
                <w:color w:val="000000" w:themeColor="text1"/>
                <w:lang w:eastAsia="zh-CN"/>
              </w:rPr>
            </w:pPr>
          </w:p>
        </w:tc>
        <w:tc>
          <w:tcPr>
            <w:tcW w:w="1589"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废机油</w:t>
            </w:r>
          </w:p>
        </w:tc>
        <w:tc>
          <w:tcPr>
            <w:tcW w:w="1036"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0.4</w:t>
            </w:r>
          </w:p>
        </w:tc>
        <w:tc>
          <w:tcPr>
            <w:tcW w:w="159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储存在危废暂存间</w:t>
            </w:r>
          </w:p>
        </w:tc>
        <w:tc>
          <w:tcPr>
            <w:tcW w:w="111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0.4</w:t>
            </w:r>
          </w:p>
        </w:tc>
        <w:tc>
          <w:tcPr>
            <w:tcW w:w="238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交由</w:t>
            </w:r>
            <w:r>
              <w:rPr>
                <w:rFonts w:hint="eastAsia" w:eastAsiaTheme="minorEastAsia"/>
                <w:color w:val="000000" w:themeColor="text1"/>
                <w:sz w:val="21"/>
                <w:szCs w:val="21"/>
              </w:rPr>
              <w:t>云南圣邦科技有限公司</w:t>
            </w:r>
            <w:r>
              <w:rPr>
                <w:rFonts w:eastAsiaTheme="minorEastAsia"/>
                <w:color w:val="000000" w:themeColor="text1"/>
                <w:sz w:val="21"/>
                <w:szCs w:val="21"/>
              </w:rPr>
              <w:t>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54" w:type="dxa"/>
            <w:vAlign w:val="center"/>
          </w:tcPr>
          <w:p>
            <w:pPr>
              <w:pStyle w:val="126"/>
              <w:tabs>
                <w:tab w:val="left" w:pos="1960"/>
              </w:tabs>
              <w:rPr>
                <w:rFonts w:eastAsiaTheme="minorEastAsia"/>
                <w:color w:val="000000" w:themeColor="text1"/>
              </w:rPr>
            </w:pPr>
            <w:r>
              <w:rPr>
                <w:rFonts w:eastAsiaTheme="minorEastAsia"/>
                <w:color w:val="000000" w:themeColor="text1"/>
              </w:rPr>
              <w:t>噪声</w:t>
            </w:r>
          </w:p>
        </w:tc>
        <w:tc>
          <w:tcPr>
            <w:tcW w:w="1589" w:type="dxa"/>
            <w:vAlign w:val="center"/>
          </w:tcPr>
          <w:p>
            <w:pPr>
              <w:pStyle w:val="126"/>
              <w:tabs>
                <w:tab w:val="left" w:pos="1960"/>
              </w:tabs>
              <w:rPr>
                <w:rFonts w:eastAsiaTheme="minorEastAsia"/>
                <w:color w:val="000000" w:themeColor="text1"/>
              </w:rPr>
            </w:pPr>
            <w:r>
              <w:rPr>
                <w:rFonts w:eastAsiaTheme="minorEastAsia"/>
                <w:color w:val="000000" w:themeColor="text1"/>
              </w:rPr>
              <w:t>选厂噪声dB(A)</w:t>
            </w:r>
          </w:p>
        </w:tc>
        <w:tc>
          <w:tcPr>
            <w:tcW w:w="1036"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80</w:t>
            </w:r>
            <w:r>
              <w:rPr>
                <w:rFonts w:eastAsiaTheme="minorEastAsia"/>
                <w:color w:val="000000" w:themeColor="text1"/>
              </w:rPr>
              <w:t>-</w:t>
            </w:r>
            <w:r>
              <w:rPr>
                <w:rFonts w:hint="eastAsia" w:eastAsiaTheme="minorEastAsia"/>
                <w:color w:val="000000" w:themeColor="text1"/>
                <w:lang w:eastAsia="zh-CN"/>
              </w:rPr>
              <w:t>95</w:t>
            </w:r>
          </w:p>
        </w:tc>
        <w:tc>
          <w:tcPr>
            <w:tcW w:w="159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设备减震，距离衰减</w:t>
            </w:r>
          </w:p>
        </w:tc>
        <w:tc>
          <w:tcPr>
            <w:tcW w:w="1110"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2385"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r>
    </w:tbl>
    <w:p>
      <w:pPr>
        <w:pStyle w:val="574"/>
        <w:spacing w:beforeLines="0" w:afterLines="0"/>
        <w:rPr>
          <w:rFonts w:eastAsiaTheme="minorEastAsia"/>
          <w:color w:val="000000" w:themeColor="text1"/>
          <w:sz w:val="30"/>
          <w:szCs w:val="30"/>
        </w:rPr>
      </w:pPr>
      <w:bookmarkStart w:id="437" w:name="_Toc13453"/>
      <w:bookmarkStart w:id="438" w:name="_Toc375724426"/>
      <w:r>
        <w:rPr>
          <w:rFonts w:eastAsiaTheme="minorEastAsia"/>
          <w:color w:val="000000" w:themeColor="text1"/>
          <w:sz w:val="30"/>
          <w:szCs w:val="30"/>
        </w:rPr>
        <w:t>2.10原有项目环境问题分析</w:t>
      </w:r>
      <w:bookmarkEnd w:id="437"/>
      <w:bookmarkEnd w:id="438"/>
    </w:p>
    <w:p>
      <w:pPr>
        <w:pStyle w:val="127"/>
        <w:numPr>
          <w:ilvl w:val="0"/>
          <w:numId w:val="28"/>
        </w:numPr>
        <w:rPr>
          <w:rFonts w:eastAsiaTheme="minorEastAsia"/>
          <w:color w:val="000000" w:themeColor="text1"/>
        </w:rPr>
      </w:pPr>
      <w:r>
        <w:rPr>
          <w:rFonts w:eastAsiaTheme="minorEastAsia"/>
          <w:color w:val="000000" w:themeColor="text1"/>
        </w:rPr>
        <w:t>原矿石堆场为露天堆放，场地未硬化，粉尘产生量较大，对大气环境影响较</w:t>
      </w:r>
      <w:r>
        <w:rPr>
          <w:rFonts w:eastAsiaTheme="minorEastAsia"/>
          <w:color w:val="000000" w:themeColor="text1"/>
          <w:szCs w:val="24"/>
        </w:rPr>
        <w:t>大</w:t>
      </w:r>
      <w:r>
        <w:rPr>
          <w:rStyle w:val="73"/>
          <w:rFonts w:hint="eastAsia" w:eastAsia="宋体"/>
          <w:color w:val="000000" w:themeColor="text1"/>
          <w:kern w:val="0"/>
          <w:sz w:val="24"/>
          <w:szCs w:val="24"/>
        </w:rPr>
        <w:t>，雨季有物料冲淋液下渗并有部分物料随雨水外排到厂区外地表水体中</w:t>
      </w:r>
      <w:r>
        <w:rPr>
          <w:rFonts w:eastAsiaTheme="minorEastAsia"/>
          <w:color w:val="000000" w:themeColor="text1"/>
          <w:szCs w:val="24"/>
        </w:rPr>
        <w:t>；</w:t>
      </w:r>
    </w:p>
    <w:p>
      <w:pPr>
        <w:pStyle w:val="127"/>
        <w:jc w:val="both"/>
        <w:rPr>
          <w:rFonts w:eastAsiaTheme="minorEastAsia"/>
          <w:color w:val="000000" w:themeColor="text1"/>
        </w:rPr>
      </w:pPr>
      <w:r>
        <w:rPr>
          <w:rFonts w:hint="eastAsia" w:eastAsiaTheme="minorEastAsia"/>
          <w:color w:val="000000" w:themeColor="text1"/>
        </w:rPr>
        <w:t>2、</w:t>
      </w:r>
      <w:r>
        <w:rPr>
          <w:rFonts w:eastAsiaTheme="minorEastAsia"/>
          <w:color w:val="000000" w:themeColor="text1"/>
        </w:rPr>
        <w:t>原矿</w:t>
      </w:r>
      <w:r>
        <w:rPr>
          <w:rFonts w:hint="eastAsia" w:eastAsiaTheme="minorEastAsia"/>
          <w:color w:val="000000" w:themeColor="text1"/>
        </w:rPr>
        <w:t>选矿品位相对较低，排尾量大</w:t>
      </w:r>
      <w:r>
        <w:rPr>
          <w:rFonts w:eastAsiaTheme="minorEastAsia"/>
          <w:color w:val="000000" w:themeColor="text1"/>
        </w:rPr>
        <w:t>，资源利用率较低，且占用尾矿库容积较大；破碎生产线仅用喷雾降尘，降尘</w:t>
      </w:r>
      <w:r>
        <w:rPr>
          <w:rFonts w:hint="eastAsia" w:eastAsiaTheme="minorEastAsia"/>
          <w:color w:val="000000" w:themeColor="text1"/>
        </w:rPr>
        <w:t>效率低；</w:t>
      </w:r>
    </w:p>
    <w:p>
      <w:pPr>
        <w:pStyle w:val="127"/>
        <w:rPr>
          <w:rFonts w:eastAsiaTheme="minorEastAsia"/>
          <w:color w:val="000000" w:themeColor="text1"/>
        </w:rPr>
      </w:pPr>
      <w:r>
        <w:rPr>
          <w:rFonts w:hint="eastAsia" w:eastAsiaTheme="minorEastAsia"/>
          <w:color w:val="000000" w:themeColor="text1"/>
        </w:rPr>
        <w:t>3、</w:t>
      </w:r>
      <w:r>
        <w:rPr>
          <w:rFonts w:eastAsiaTheme="minorEastAsia"/>
          <w:color w:val="000000" w:themeColor="text1"/>
        </w:rPr>
        <w:t>原料破碎加工生产线附近地面</w:t>
      </w:r>
      <w:r>
        <w:rPr>
          <w:rFonts w:hint="eastAsia" w:eastAsiaTheme="minorEastAsia"/>
          <w:color w:val="000000" w:themeColor="text1"/>
        </w:rPr>
        <w:t>及厂内运输道路</w:t>
      </w:r>
      <w:r>
        <w:rPr>
          <w:rFonts w:eastAsiaTheme="minorEastAsia"/>
          <w:color w:val="000000" w:themeColor="text1"/>
        </w:rPr>
        <w:t>未硬化，车辆运输粉尘量较大；</w:t>
      </w:r>
    </w:p>
    <w:p>
      <w:pPr>
        <w:pStyle w:val="127"/>
        <w:rPr>
          <w:rFonts w:eastAsia="宋体"/>
          <w:color w:val="000000" w:themeColor="text1"/>
          <w:szCs w:val="24"/>
        </w:rPr>
      </w:pPr>
      <w:r>
        <w:rPr>
          <w:rFonts w:eastAsiaTheme="minorEastAsia"/>
          <w:color w:val="000000" w:themeColor="text1"/>
        </w:rPr>
        <w:t>4、</w:t>
      </w:r>
      <w:r>
        <w:rPr>
          <w:rFonts w:hint="eastAsia" w:eastAsiaTheme="minorEastAsia"/>
          <w:color w:val="000000" w:themeColor="text1"/>
        </w:rPr>
        <w:t>三级</w:t>
      </w:r>
      <w:r>
        <w:rPr>
          <w:rFonts w:eastAsiaTheme="minorEastAsia"/>
          <w:color w:val="000000" w:themeColor="text1"/>
        </w:rPr>
        <w:t>精矿池附近场地未进行硬化处理，</w:t>
      </w:r>
      <w:r>
        <w:rPr>
          <w:rStyle w:val="73"/>
          <w:rFonts w:eastAsia="宋体"/>
          <w:color w:val="000000" w:themeColor="text1"/>
          <w:kern w:val="0"/>
          <w:sz w:val="24"/>
          <w:szCs w:val="24"/>
        </w:rPr>
        <w:t>部分精矿产品堆放在该处场地上，</w:t>
      </w:r>
      <w:r>
        <w:rPr>
          <w:rStyle w:val="73"/>
          <w:rFonts w:hint="eastAsia" w:eastAsia="宋体"/>
          <w:color w:val="000000" w:themeColor="text1"/>
          <w:kern w:val="0"/>
          <w:sz w:val="24"/>
          <w:szCs w:val="24"/>
        </w:rPr>
        <w:t>存在</w:t>
      </w:r>
      <w:r>
        <w:rPr>
          <w:rStyle w:val="73"/>
          <w:rFonts w:eastAsia="宋体"/>
          <w:color w:val="000000" w:themeColor="text1"/>
          <w:kern w:val="0"/>
          <w:sz w:val="24"/>
          <w:szCs w:val="24"/>
        </w:rPr>
        <w:t>地表水</w:t>
      </w:r>
      <w:r>
        <w:rPr>
          <w:rStyle w:val="73"/>
          <w:rFonts w:hint="eastAsia" w:eastAsia="宋体"/>
          <w:color w:val="000000" w:themeColor="text1"/>
          <w:kern w:val="0"/>
          <w:sz w:val="24"/>
          <w:szCs w:val="24"/>
        </w:rPr>
        <w:t>、</w:t>
      </w:r>
      <w:r>
        <w:rPr>
          <w:rStyle w:val="73"/>
          <w:rFonts w:eastAsia="宋体"/>
          <w:color w:val="000000" w:themeColor="text1"/>
          <w:kern w:val="0"/>
          <w:sz w:val="24"/>
          <w:szCs w:val="24"/>
        </w:rPr>
        <w:t>地下水和</w:t>
      </w:r>
      <w:r>
        <w:rPr>
          <w:rStyle w:val="73"/>
          <w:rFonts w:hint="eastAsia" w:eastAsia="宋体"/>
          <w:color w:val="000000" w:themeColor="text1"/>
          <w:kern w:val="0"/>
          <w:sz w:val="24"/>
          <w:szCs w:val="24"/>
        </w:rPr>
        <w:t>土壤</w:t>
      </w:r>
      <w:r>
        <w:rPr>
          <w:rStyle w:val="73"/>
          <w:rFonts w:eastAsia="宋体"/>
          <w:color w:val="000000" w:themeColor="text1"/>
          <w:kern w:val="0"/>
          <w:sz w:val="24"/>
          <w:szCs w:val="24"/>
        </w:rPr>
        <w:t>污染风险；</w:t>
      </w:r>
    </w:p>
    <w:p>
      <w:pPr>
        <w:ind w:firstLine="480"/>
        <w:rPr>
          <w:rFonts w:eastAsiaTheme="minorEastAsia"/>
          <w:color w:val="000000" w:themeColor="text1"/>
        </w:rPr>
      </w:pPr>
      <w:r>
        <w:rPr>
          <w:rFonts w:eastAsiaTheme="minorEastAsia"/>
          <w:color w:val="000000" w:themeColor="text1"/>
        </w:rPr>
        <w:t>5、原有项目生活污水没有污水处理设施，</w:t>
      </w:r>
      <w:r>
        <w:rPr>
          <w:rFonts w:hint="eastAsia" w:eastAsiaTheme="minorEastAsia"/>
          <w:color w:val="000000" w:themeColor="text1"/>
        </w:rPr>
        <w:t>污水进入旱厕，定期委托周边农民清掏，与目前厕所革命要求不符合，应改为水冲厕；</w:t>
      </w:r>
    </w:p>
    <w:p>
      <w:pPr>
        <w:pStyle w:val="51"/>
        <w:ind w:left="0" w:firstLine="480"/>
        <w:rPr>
          <w:color w:val="000000" w:themeColor="text1"/>
          <w:sz w:val="24"/>
          <w:szCs w:val="24"/>
          <w:lang w:eastAsia="zh-CN"/>
        </w:rPr>
      </w:pPr>
      <w:r>
        <w:rPr>
          <w:color w:val="000000" w:themeColor="text1"/>
          <w:sz w:val="24"/>
          <w:szCs w:val="24"/>
          <w:lang w:eastAsia="zh-CN"/>
        </w:rPr>
        <w:t>6、现场踏勘时发现应急事故池未处于空池状态，不符合环保相关要求；</w:t>
      </w:r>
    </w:p>
    <w:p>
      <w:pPr>
        <w:pStyle w:val="51"/>
        <w:ind w:left="0" w:firstLine="480"/>
        <w:rPr>
          <w:color w:val="000000" w:themeColor="text1"/>
          <w:sz w:val="24"/>
          <w:szCs w:val="24"/>
          <w:lang w:eastAsia="zh-CN"/>
        </w:rPr>
      </w:pPr>
      <w:r>
        <w:rPr>
          <w:rFonts w:hint="eastAsia"/>
          <w:color w:val="000000" w:themeColor="text1"/>
          <w:sz w:val="24"/>
          <w:szCs w:val="24"/>
          <w:lang w:eastAsia="zh-CN"/>
        </w:rPr>
        <w:t>7</w:t>
      </w:r>
      <w:r>
        <w:rPr>
          <w:color w:val="000000" w:themeColor="text1"/>
          <w:sz w:val="24"/>
          <w:szCs w:val="24"/>
          <w:lang w:eastAsia="zh-CN"/>
        </w:rPr>
        <w:t>、辣子箐尾矿库</w:t>
      </w:r>
      <w:r>
        <w:rPr>
          <w:rFonts w:hint="eastAsia"/>
          <w:color w:val="000000" w:themeColor="text1"/>
          <w:sz w:val="24"/>
          <w:szCs w:val="24"/>
          <w:lang w:eastAsia="zh-CN"/>
        </w:rPr>
        <w:t>建设较早，没有设置地下水监控井</w:t>
      </w:r>
      <w:r>
        <w:rPr>
          <w:color w:val="000000" w:themeColor="text1"/>
          <w:sz w:val="24"/>
          <w:szCs w:val="24"/>
          <w:lang w:eastAsia="zh-CN"/>
        </w:rPr>
        <w:t>；</w:t>
      </w:r>
    </w:p>
    <w:p>
      <w:pPr>
        <w:ind w:firstLine="480"/>
        <w:rPr>
          <w:color w:val="000000" w:themeColor="text1"/>
          <w:szCs w:val="24"/>
        </w:rPr>
      </w:pPr>
      <w:r>
        <w:rPr>
          <w:rFonts w:hint="eastAsia"/>
          <w:color w:val="000000" w:themeColor="text1"/>
          <w:szCs w:val="24"/>
        </w:rPr>
        <w:t>8</w:t>
      </w:r>
      <w:r>
        <w:rPr>
          <w:color w:val="000000" w:themeColor="text1"/>
          <w:szCs w:val="24"/>
        </w:rPr>
        <w:t>、原项目原料堆场未建设</w:t>
      </w:r>
      <w:r>
        <w:rPr>
          <w:rFonts w:hint="eastAsia"/>
          <w:color w:val="000000" w:themeColor="text1"/>
          <w:szCs w:val="24"/>
        </w:rPr>
        <w:t>渗滤水及初期雨水</w:t>
      </w:r>
      <w:r>
        <w:rPr>
          <w:color w:val="000000" w:themeColor="text1"/>
          <w:szCs w:val="24"/>
        </w:rPr>
        <w:t>收集池，原料露天堆放导致雨季雨水对物料冲刷，</w:t>
      </w:r>
      <w:r>
        <w:rPr>
          <w:rFonts w:hint="eastAsia"/>
          <w:color w:val="000000" w:themeColor="text1"/>
          <w:szCs w:val="24"/>
        </w:rPr>
        <w:t>存在</w:t>
      </w:r>
      <w:r>
        <w:rPr>
          <w:color w:val="000000" w:themeColor="text1"/>
          <w:szCs w:val="24"/>
        </w:rPr>
        <w:t>地下水污染</w:t>
      </w:r>
      <w:r>
        <w:rPr>
          <w:rFonts w:hint="eastAsia"/>
          <w:color w:val="000000" w:themeColor="text1"/>
          <w:szCs w:val="24"/>
        </w:rPr>
        <w:t>的隐患；</w:t>
      </w:r>
    </w:p>
    <w:p>
      <w:pPr>
        <w:pStyle w:val="2"/>
        <w:ind w:firstLine="480"/>
        <w:rPr>
          <w:rFonts w:ascii="Times New Roman" w:hAnsi="Times New Roman"/>
          <w:color w:val="000000" w:themeColor="text1"/>
          <w:szCs w:val="24"/>
          <w:lang w:eastAsia="zh-CN"/>
        </w:rPr>
      </w:pPr>
      <w:r>
        <w:rPr>
          <w:rFonts w:hint="eastAsia" w:ascii="Times New Roman" w:hAnsi="Times New Roman"/>
          <w:color w:val="000000" w:themeColor="text1"/>
          <w:szCs w:val="24"/>
          <w:lang w:eastAsia="zh-CN"/>
        </w:rPr>
        <w:t>9、原有项目尾矿浆沉淀池、精矿池、事故池未进行防渗处理；</w:t>
      </w:r>
    </w:p>
    <w:p>
      <w:pPr>
        <w:ind w:firstLine="480"/>
        <w:rPr>
          <w:color w:val="000000" w:themeColor="text1"/>
        </w:rPr>
      </w:pPr>
      <w:r>
        <w:rPr>
          <w:rFonts w:hint="eastAsia"/>
          <w:color w:val="000000" w:themeColor="text1"/>
          <w:szCs w:val="24"/>
        </w:rPr>
        <w:t>10、原有项目仅在尾矿沉淀处理区设置1个事故池，选矿区未设置事故应急池，若物料发生泄漏，不利于快速将选矿区物料转移至事故应急池，存在</w:t>
      </w:r>
      <w:r>
        <w:rPr>
          <w:rStyle w:val="73"/>
          <w:color w:val="000000" w:themeColor="text1"/>
          <w:kern w:val="0"/>
          <w:sz w:val="24"/>
          <w:szCs w:val="24"/>
        </w:rPr>
        <w:t>地表水</w:t>
      </w:r>
      <w:r>
        <w:rPr>
          <w:rStyle w:val="73"/>
          <w:rFonts w:hint="eastAsia"/>
          <w:color w:val="000000" w:themeColor="text1"/>
          <w:kern w:val="0"/>
          <w:sz w:val="24"/>
          <w:szCs w:val="24"/>
        </w:rPr>
        <w:t>、</w:t>
      </w:r>
      <w:r>
        <w:rPr>
          <w:rStyle w:val="73"/>
          <w:color w:val="000000" w:themeColor="text1"/>
          <w:kern w:val="0"/>
          <w:sz w:val="24"/>
          <w:szCs w:val="24"/>
        </w:rPr>
        <w:t>地下水和</w:t>
      </w:r>
      <w:r>
        <w:rPr>
          <w:rStyle w:val="73"/>
          <w:rFonts w:hint="eastAsia"/>
          <w:color w:val="000000" w:themeColor="text1"/>
          <w:kern w:val="0"/>
          <w:sz w:val="24"/>
          <w:szCs w:val="24"/>
        </w:rPr>
        <w:t>土壤</w:t>
      </w:r>
      <w:r>
        <w:rPr>
          <w:rStyle w:val="73"/>
          <w:color w:val="000000" w:themeColor="text1"/>
          <w:kern w:val="0"/>
          <w:sz w:val="24"/>
          <w:szCs w:val="24"/>
        </w:rPr>
        <w:t>污染风险</w:t>
      </w:r>
      <w:r>
        <w:rPr>
          <w:rStyle w:val="73"/>
          <w:rFonts w:hint="eastAsia"/>
          <w:color w:val="000000" w:themeColor="text1"/>
          <w:kern w:val="0"/>
          <w:sz w:val="24"/>
          <w:szCs w:val="24"/>
        </w:rPr>
        <w:t>；</w:t>
      </w:r>
    </w:p>
    <w:p>
      <w:pPr>
        <w:pStyle w:val="78"/>
        <w:ind w:firstLine="480"/>
        <w:jc w:val="both"/>
        <w:rPr>
          <w:rFonts w:eastAsiaTheme="minorEastAsia"/>
          <w:color w:val="000000" w:themeColor="text1"/>
        </w:rPr>
      </w:pPr>
      <w:r>
        <w:rPr>
          <w:rFonts w:hint="eastAsia" w:eastAsiaTheme="minorEastAsia"/>
          <w:color w:val="000000" w:themeColor="text1"/>
        </w:rPr>
        <w:t>11</w:t>
      </w:r>
      <w:r>
        <w:rPr>
          <w:rFonts w:eastAsiaTheme="minorEastAsia"/>
          <w:color w:val="000000" w:themeColor="text1"/>
        </w:rPr>
        <w:t>、现有危险废物处置未建立危险废物台账，没有转移联单，危废暂存间</w:t>
      </w:r>
      <w:r>
        <w:rPr>
          <w:rFonts w:hint="eastAsia" w:eastAsiaTheme="minorEastAsia"/>
          <w:color w:val="000000" w:themeColor="text1"/>
        </w:rPr>
        <w:t>建设</w:t>
      </w:r>
      <w:r>
        <w:rPr>
          <w:rFonts w:eastAsiaTheme="minorEastAsia"/>
          <w:color w:val="000000" w:themeColor="text1"/>
        </w:rPr>
        <w:t>不规范，</w:t>
      </w:r>
      <w:r>
        <w:rPr>
          <w:rFonts w:hint="eastAsia" w:eastAsiaTheme="minorEastAsia"/>
          <w:color w:val="000000" w:themeColor="text1"/>
        </w:rPr>
        <w:t>未做防渗设施，</w:t>
      </w:r>
      <w:r>
        <w:rPr>
          <w:rFonts w:eastAsiaTheme="minorEastAsia"/>
          <w:color w:val="000000" w:themeColor="text1"/>
        </w:rPr>
        <w:t>不符合《危险废物储存污染物控制标准》（GB18597</w:t>
      </w:r>
      <w:r>
        <w:rPr>
          <w:rFonts w:hint="eastAsia" w:eastAsiaTheme="minorEastAsia"/>
          <w:color w:val="000000" w:themeColor="text1"/>
        </w:rPr>
        <w:t>-</w:t>
      </w:r>
      <w:r>
        <w:rPr>
          <w:rFonts w:eastAsiaTheme="minorEastAsia"/>
          <w:color w:val="000000" w:themeColor="text1"/>
        </w:rPr>
        <w:t>2001）及修改单相关要求。</w:t>
      </w:r>
    </w:p>
    <w:p>
      <w:pPr>
        <w:keepNext/>
        <w:widowControl/>
        <w:ind w:firstLine="0" w:firstLineChars="0"/>
        <w:outlineLvl w:val="0"/>
        <w:rPr>
          <w:rFonts w:eastAsiaTheme="minorEastAsia"/>
          <w:b/>
          <w:bCs/>
          <w:color w:val="000000" w:themeColor="text1"/>
          <w:kern w:val="32"/>
          <w:sz w:val="32"/>
          <w:szCs w:val="32"/>
          <w:lang w:bidi="en-US"/>
        </w:rPr>
        <w:sectPr>
          <w:headerReference r:id="rId17" w:type="default"/>
          <w:footerReference r:id="rId18" w:type="default"/>
          <w:pgSz w:w="11906" w:h="16838"/>
          <w:pgMar w:top="1440" w:right="1797" w:bottom="1440" w:left="1797" w:header="850" w:footer="992" w:gutter="0"/>
          <w:pgNumType w:fmt="numberInDash"/>
          <w:cols w:space="425" w:num="1"/>
          <w:docGrid w:type="lines" w:linePitch="326" w:charSpace="0"/>
        </w:sectPr>
      </w:pPr>
    </w:p>
    <w:p>
      <w:pPr>
        <w:keepNext/>
        <w:widowControl/>
        <w:ind w:firstLine="0" w:firstLineChars="0"/>
        <w:outlineLvl w:val="0"/>
        <w:rPr>
          <w:rFonts w:eastAsiaTheme="minorEastAsia"/>
          <w:b/>
          <w:bCs/>
          <w:color w:val="000000" w:themeColor="text1"/>
          <w:kern w:val="32"/>
          <w:sz w:val="32"/>
          <w:szCs w:val="32"/>
          <w:lang w:bidi="en-US"/>
        </w:rPr>
      </w:pPr>
      <w:bookmarkStart w:id="439" w:name="_Toc16101"/>
      <w:r>
        <w:rPr>
          <w:rFonts w:eastAsiaTheme="minorEastAsia"/>
          <w:b/>
          <w:bCs/>
          <w:color w:val="000000" w:themeColor="text1"/>
          <w:kern w:val="32"/>
          <w:sz w:val="32"/>
          <w:szCs w:val="32"/>
          <w:lang w:bidi="en-US"/>
        </w:rPr>
        <w:t>3项目概况</w:t>
      </w:r>
      <w:bookmarkEnd w:id="439"/>
    </w:p>
    <w:p>
      <w:pPr>
        <w:pStyle w:val="574"/>
        <w:spacing w:beforeLines="0" w:afterLines="0"/>
        <w:rPr>
          <w:rFonts w:eastAsiaTheme="minorEastAsia"/>
          <w:color w:val="000000" w:themeColor="text1"/>
          <w:sz w:val="30"/>
          <w:szCs w:val="30"/>
        </w:rPr>
      </w:pPr>
      <w:bookmarkStart w:id="440" w:name="_Toc31802"/>
      <w:r>
        <w:rPr>
          <w:rFonts w:eastAsiaTheme="minorEastAsia"/>
          <w:color w:val="000000" w:themeColor="text1"/>
          <w:sz w:val="30"/>
          <w:szCs w:val="30"/>
        </w:rPr>
        <w:t>3.1</w:t>
      </w:r>
      <w:r>
        <w:rPr>
          <w:rFonts w:hint="eastAsia" w:eastAsiaTheme="minorEastAsia"/>
          <w:color w:val="000000" w:themeColor="text1"/>
          <w:sz w:val="30"/>
          <w:szCs w:val="30"/>
        </w:rPr>
        <w:t>技改</w:t>
      </w:r>
      <w:r>
        <w:rPr>
          <w:rFonts w:eastAsiaTheme="minorEastAsia"/>
          <w:color w:val="000000" w:themeColor="text1"/>
          <w:sz w:val="30"/>
          <w:szCs w:val="30"/>
        </w:rPr>
        <w:t>项目概况</w:t>
      </w:r>
      <w:bookmarkEnd w:id="440"/>
    </w:p>
    <w:p>
      <w:pPr>
        <w:ind w:firstLine="480"/>
        <w:rPr>
          <w:rFonts w:eastAsiaTheme="minorEastAsia"/>
          <w:bCs/>
          <w:iCs/>
          <w:color w:val="000000" w:themeColor="text1"/>
        </w:rPr>
      </w:pPr>
      <w:r>
        <w:rPr>
          <w:rFonts w:eastAsiaTheme="minorEastAsia"/>
          <w:bCs/>
          <w:iCs/>
          <w:color w:val="000000" w:themeColor="text1"/>
        </w:rPr>
        <w:t>该选厂位于云南省新平县戛洒镇</w:t>
      </w:r>
      <w:r>
        <w:rPr>
          <w:rFonts w:eastAsiaTheme="minorEastAsia"/>
          <w:color w:val="000000" w:themeColor="text1"/>
        </w:rPr>
        <w:t>戛洒村委会东磨组戛大公路旁</w:t>
      </w:r>
      <w:r>
        <w:rPr>
          <w:rFonts w:eastAsiaTheme="minorEastAsia"/>
          <w:bCs/>
          <w:iCs/>
          <w:color w:val="000000" w:themeColor="text1"/>
        </w:rPr>
        <w:t>。项目地理坐标：</w:t>
      </w:r>
      <w:r>
        <w:rPr>
          <w:color w:val="000000" w:themeColor="text1"/>
        </w:rPr>
        <w:t>东经102°93′19.16"，北纬24°23′49.88"</w:t>
      </w:r>
      <w:r>
        <w:rPr>
          <w:rFonts w:eastAsiaTheme="minorEastAsia"/>
          <w:bCs/>
          <w:iCs/>
          <w:color w:val="000000" w:themeColor="text1"/>
        </w:rPr>
        <w:t>，项目在现有厂区技改，</w:t>
      </w:r>
      <w:r>
        <w:rPr>
          <w:rFonts w:hint="eastAsia" w:eastAsiaTheme="minorEastAsia"/>
          <w:bCs/>
          <w:iCs/>
          <w:color w:val="000000" w:themeColor="text1"/>
        </w:rPr>
        <w:t>不新增占地</w:t>
      </w:r>
      <w:r>
        <w:rPr>
          <w:rFonts w:eastAsiaTheme="minorEastAsia"/>
          <w:bCs/>
          <w:iCs/>
          <w:color w:val="000000" w:themeColor="text1"/>
        </w:rPr>
        <w:t>。</w:t>
      </w:r>
    </w:p>
    <w:p>
      <w:pPr>
        <w:pStyle w:val="134"/>
        <w:ind w:firstLine="480"/>
        <w:rPr>
          <w:rFonts w:eastAsiaTheme="minorEastAsia"/>
          <w:color w:val="000000" w:themeColor="text1"/>
        </w:rPr>
      </w:pPr>
      <w:r>
        <w:rPr>
          <w:rFonts w:eastAsiaTheme="minorEastAsia"/>
          <w:color w:val="000000" w:themeColor="text1"/>
        </w:rPr>
        <w:t>项目名称：新平县平安矿业开发有限公司年产10万吨铁精矿技改建设</w:t>
      </w:r>
      <w:r>
        <w:rPr>
          <w:rFonts w:eastAsiaTheme="minorEastAsia"/>
          <w:bCs/>
          <w:iCs/>
          <w:color w:val="000000" w:themeColor="text1"/>
        </w:rPr>
        <w:t>项目</w:t>
      </w:r>
      <w:r>
        <w:rPr>
          <w:rFonts w:eastAsiaTheme="minorEastAsia"/>
          <w:color w:val="000000" w:themeColor="text1"/>
        </w:rPr>
        <w:t>。</w:t>
      </w:r>
    </w:p>
    <w:p>
      <w:pPr>
        <w:pStyle w:val="134"/>
        <w:ind w:firstLine="480"/>
        <w:rPr>
          <w:rFonts w:eastAsiaTheme="minorEastAsia"/>
          <w:color w:val="000000" w:themeColor="text1"/>
        </w:rPr>
      </w:pPr>
      <w:r>
        <w:rPr>
          <w:rFonts w:eastAsiaTheme="minorEastAsia"/>
          <w:color w:val="000000" w:themeColor="text1"/>
        </w:rPr>
        <w:t>建设地点：</w:t>
      </w:r>
      <w:r>
        <w:rPr>
          <w:rFonts w:eastAsiaTheme="minorEastAsia"/>
          <w:bCs/>
          <w:iCs/>
          <w:color w:val="000000" w:themeColor="text1"/>
        </w:rPr>
        <w:t>云南省新平县戛洒镇戛社区东磨小组东磨选厂</w:t>
      </w:r>
      <w:r>
        <w:rPr>
          <w:rFonts w:eastAsiaTheme="minorEastAsia"/>
          <w:color w:val="000000" w:themeColor="text1"/>
        </w:rPr>
        <w:t>。</w:t>
      </w:r>
    </w:p>
    <w:p>
      <w:pPr>
        <w:pStyle w:val="134"/>
        <w:ind w:firstLine="480"/>
        <w:rPr>
          <w:rFonts w:eastAsiaTheme="minorEastAsia"/>
          <w:color w:val="000000" w:themeColor="text1"/>
        </w:rPr>
      </w:pPr>
      <w:r>
        <w:rPr>
          <w:rFonts w:eastAsiaTheme="minorEastAsia"/>
          <w:color w:val="000000" w:themeColor="text1"/>
        </w:rPr>
        <w:t>建设性质：</w:t>
      </w:r>
      <w:r>
        <w:rPr>
          <w:rFonts w:hint="eastAsia" w:eastAsiaTheme="minorEastAsia"/>
          <w:color w:val="000000" w:themeColor="text1"/>
        </w:rPr>
        <w:t>改建</w:t>
      </w:r>
      <w:r>
        <w:rPr>
          <w:rFonts w:eastAsiaTheme="minorEastAsia"/>
          <w:color w:val="000000" w:themeColor="text1"/>
        </w:rPr>
        <w:t>。</w:t>
      </w:r>
    </w:p>
    <w:p>
      <w:pPr>
        <w:pStyle w:val="134"/>
        <w:ind w:firstLine="480"/>
        <w:rPr>
          <w:rFonts w:eastAsiaTheme="minorEastAsia"/>
          <w:color w:val="000000" w:themeColor="text1"/>
        </w:rPr>
      </w:pPr>
      <w:r>
        <w:rPr>
          <w:rFonts w:eastAsiaTheme="minorEastAsia"/>
          <w:color w:val="000000" w:themeColor="text1"/>
        </w:rPr>
        <w:t>建设规模：年产10万吨铁精矿。</w:t>
      </w:r>
    </w:p>
    <w:p>
      <w:pPr>
        <w:ind w:firstLine="480"/>
        <w:rPr>
          <w:rFonts w:eastAsiaTheme="minorEastAsia"/>
          <w:color w:val="000000" w:themeColor="text1"/>
        </w:rPr>
      </w:pPr>
      <w:r>
        <w:rPr>
          <w:rFonts w:eastAsiaTheme="minorEastAsia"/>
          <w:bCs/>
          <w:iCs/>
          <w:color w:val="000000" w:themeColor="text1"/>
          <w:szCs w:val="24"/>
        </w:rPr>
        <w:t>技改工程新增投资800万元，</w:t>
      </w:r>
      <w:r>
        <w:rPr>
          <w:rFonts w:eastAsiaTheme="minorEastAsia"/>
          <w:color w:val="000000" w:themeColor="text1"/>
        </w:rPr>
        <w:t>其中环保投资139.5万元，占总投资的17.44%。</w:t>
      </w:r>
    </w:p>
    <w:p>
      <w:pPr>
        <w:pStyle w:val="574"/>
        <w:spacing w:beforeLines="0" w:afterLines="0"/>
        <w:rPr>
          <w:rFonts w:eastAsiaTheme="minorEastAsia"/>
          <w:color w:val="000000" w:themeColor="text1"/>
          <w:sz w:val="30"/>
          <w:szCs w:val="30"/>
        </w:rPr>
      </w:pPr>
      <w:bookmarkStart w:id="441" w:name="_Toc23378"/>
      <w:r>
        <w:rPr>
          <w:rFonts w:eastAsiaTheme="minorEastAsia"/>
          <w:color w:val="000000" w:themeColor="text1"/>
          <w:sz w:val="30"/>
          <w:szCs w:val="30"/>
        </w:rPr>
        <w:t>3.2建设内容及占地</w:t>
      </w:r>
      <w:bookmarkEnd w:id="441"/>
    </w:p>
    <w:p>
      <w:pPr>
        <w:tabs>
          <w:tab w:val="left" w:pos="312"/>
        </w:tabs>
        <w:ind w:firstLine="480"/>
        <w:rPr>
          <w:rFonts w:eastAsiaTheme="minorEastAsia"/>
          <w:color w:val="000000" w:themeColor="text1"/>
        </w:rPr>
      </w:pPr>
      <w:r>
        <w:rPr>
          <w:rFonts w:eastAsiaTheme="minorEastAsia"/>
          <w:color w:val="000000" w:themeColor="text1"/>
        </w:rPr>
        <w:t>技改内容项目不新增占用土地，在原项目厂区内进行技改，主要对原矿破碎系统进行升级改造，更换破碎机和筛分机，增加圆锥破、水平筛、</w:t>
      </w:r>
      <w:r>
        <w:rPr>
          <w:rFonts w:hint="eastAsia" w:eastAsiaTheme="minorEastAsia"/>
          <w:color w:val="000000" w:themeColor="text1"/>
        </w:rPr>
        <w:t>振动筛、</w:t>
      </w:r>
      <w:r>
        <w:rPr>
          <w:rFonts w:eastAsiaTheme="minorEastAsia"/>
          <w:color w:val="000000" w:themeColor="text1"/>
        </w:rPr>
        <w:t>制砂机、斗轮制砂机、皮带输送机等，带磁性的原矿进入选矿工艺，不带磁性的原矿加工制成砂石料外卖，提高原料的利用率，减少选矿产生的尾矿量。另外，在原有选铁生产线末端增加立磨机、</w:t>
      </w:r>
      <w:r>
        <w:rPr>
          <w:rFonts w:hint="eastAsia" w:eastAsiaTheme="minorEastAsia"/>
          <w:color w:val="000000" w:themeColor="text1"/>
        </w:rPr>
        <w:t>弱</w:t>
      </w:r>
      <w:r>
        <w:rPr>
          <w:rFonts w:eastAsiaTheme="minorEastAsia"/>
          <w:color w:val="000000" w:themeColor="text1"/>
        </w:rPr>
        <w:t>磁选机、平板磁选机、</w:t>
      </w:r>
      <w:r>
        <w:rPr>
          <w:rFonts w:hint="eastAsia" w:eastAsiaTheme="minorEastAsia"/>
          <w:color w:val="000000" w:themeColor="text1"/>
        </w:rPr>
        <w:t>强磁选机、</w:t>
      </w:r>
      <w:r>
        <w:rPr>
          <w:rFonts w:eastAsiaTheme="minorEastAsia"/>
          <w:color w:val="000000" w:themeColor="text1"/>
        </w:rPr>
        <w:t>陶瓷过滤器，对原产品三级精铁矿再选，提高原有铁精矿品位，并外购部分三级精铁矿补充，扩大铁精矿产量。</w:t>
      </w:r>
    </w:p>
    <w:p>
      <w:pPr>
        <w:tabs>
          <w:tab w:val="left" w:pos="312"/>
        </w:tabs>
        <w:ind w:firstLine="480"/>
        <w:jc w:val="both"/>
        <w:rPr>
          <w:rFonts w:eastAsiaTheme="minorEastAsia"/>
          <w:color w:val="000000" w:themeColor="text1"/>
        </w:rPr>
      </w:pPr>
      <w:r>
        <w:rPr>
          <w:rFonts w:eastAsiaTheme="minorEastAsia"/>
          <w:color w:val="000000" w:themeColor="text1"/>
        </w:rPr>
        <w:t>技改项目增加东磨选厂至新平县平安矿业开发有限公司</w:t>
      </w:r>
      <w:r>
        <w:rPr>
          <w:color w:val="000000" w:themeColor="text1"/>
        </w:rPr>
        <w:t>辣子箐口选厂段的管道</w:t>
      </w:r>
      <w:r>
        <w:rPr>
          <w:rFonts w:eastAsiaTheme="minorEastAsia"/>
          <w:color w:val="000000" w:themeColor="text1"/>
        </w:rPr>
        <w:t>，技改铁矿再选尾矿进入新平县平安矿业开发有限公司</w:t>
      </w:r>
      <w:r>
        <w:rPr>
          <w:color w:val="000000" w:themeColor="text1"/>
        </w:rPr>
        <w:t>辣子箐口选厂的浓密池内，再经已建好的泵站打入大红山龙都尾矿库。原项目尾矿</w:t>
      </w:r>
      <w:r>
        <w:rPr>
          <w:rFonts w:hint="eastAsia"/>
          <w:color w:val="000000" w:themeColor="text1"/>
        </w:rPr>
        <w:t>的去向维持现状不变，仍</w:t>
      </w:r>
      <w:r>
        <w:rPr>
          <w:color w:val="000000" w:themeColor="text1"/>
        </w:rPr>
        <w:t>进入辣子箐尾矿库。</w:t>
      </w:r>
      <w:r>
        <w:rPr>
          <w:rFonts w:eastAsiaTheme="minorEastAsia"/>
          <w:color w:val="000000" w:themeColor="text1"/>
        </w:rPr>
        <w:t>技改完成后铁精矿-350-400目磨矿细度达到85-90目，品位由原来的6</w:t>
      </w:r>
      <w:r>
        <w:rPr>
          <w:rFonts w:hint="eastAsia" w:eastAsiaTheme="minorEastAsia"/>
          <w:color w:val="000000" w:themeColor="text1"/>
        </w:rPr>
        <w:t>2</w:t>
      </w:r>
      <w:r>
        <w:rPr>
          <w:rFonts w:eastAsiaTheme="minorEastAsia"/>
          <w:color w:val="000000" w:themeColor="text1"/>
        </w:rPr>
        <w:t>%提高到64%-67%之间</w:t>
      </w:r>
      <w:r>
        <w:rPr>
          <w:rFonts w:hint="eastAsia" w:eastAsiaTheme="minorEastAsia"/>
          <w:color w:val="000000" w:themeColor="text1"/>
        </w:rPr>
        <w:t>（本报告按65%计算）</w:t>
      </w:r>
      <w:r>
        <w:rPr>
          <w:rFonts w:eastAsiaTheme="minorEastAsia"/>
          <w:color w:val="000000" w:themeColor="text1"/>
        </w:rPr>
        <w:t>，年产10万吨铁精矿。</w:t>
      </w:r>
    </w:p>
    <w:p>
      <w:pPr>
        <w:pStyle w:val="134"/>
        <w:ind w:firstLine="480"/>
        <w:rPr>
          <w:rFonts w:eastAsiaTheme="minorEastAsia"/>
          <w:color w:val="000000" w:themeColor="text1"/>
        </w:rPr>
      </w:pPr>
      <w:r>
        <w:rPr>
          <w:rFonts w:eastAsiaTheme="minorEastAsia"/>
          <w:color w:val="000000" w:themeColor="text1"/>
        </w:rPr>
        <w:t>本次技改只对铁元素进一步回收利用，不回收铜、镍等其他金属元素，加大铁元素回收，减少资源浪费，减少尾矿排放量。</w:t>
      </w:r>
    </w:p>
    <w:p>
      <w:pPr>
        <w:pStyle w:val="134"/>
        <w:ind w:firstLine="480"/>
        <w:rPr>
          <w:rFonts w:eastAsiaTheme="minorEastAsia"/>
          <w:color w:val="000000" w:themeColor="text1"/>
        </w:rPr>
      </w:pPr>
      <w:r>
        <w:rPr>
          <w:rFonts w:eastAsiaTheme="minorEastAsia"/>
          <w:color w:val="000000" w:themeColor="text1"/>
        </w:rPr>
        <w:t>技改项目主要建设内容见表3.2-1。</w:t>
      </w:r>
    </w:p>
    <w:p>
      <w:pPr>
        <w:widowControl/>
        <w:ind w:firstLine="0" w:firstLineChars="0"/>
        <w:jc w:val="center"/>
        <w:rPr>
          <w:rFonts w:eastAsiaTheme="minorEastAsia"/>
          <w:b/>
          <w:color w:val="000000" w:themeColor="text1"/>
          <w:sz w:val="21"/>
          <w:szCs w:val="20"/>
        </w:rPr>
      </w:pP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表3.2-1技改项</w:t>
      </w:r>
      <w:r>
        <w:rPr>
          <w:rStyle w:val="73"/>
          <w:b/>
          <w:bCs/>
          <w:color w:val="000000" w:themeColor="text1"/>
          <w:kern w:val="0"/>
        </w:rPr>
        <w:t>目</w:t>
      </w:r>
      <w:r>
        <w:rPr>
          <w:rFonts w:eastAsiaTheme="minorEastAsia"/>
          <w:b/>
          <w:color w:val="000000" w:themeColor="text1"/>
          <w:sz w:val="21"/>
          <w:szCs w:val="20"/>
        </w:rPr>
        <w:t>主要建设内容一览表</w:t>
      </w:r>
    </w:p>
    <w:tbl>
      <w:tblPr>
        <w:tblStyle w:val="611"/>
        <w:tblW w:w="8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746"/>
        <w:gridCol w:w="4239"/>
        <w:gridCol w:w="1662"/>
        <w:gridCol w:w="14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2" w:hRule="atLeast"/>
        </w:trPr>
        <w:tc>
          <w:tcPr>
            <w:tcW w:w="4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类别</w:t>
            </w:r>
          </w:p>
        </w:tc>
        <w:tc>
          <w:tcPr>
            <w:tcW w:w="74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项目</w:t>
            </w:r>
          </w:p>
        </w:tc>
        <w:tc>
          <w:tcPr>
            <w:tcW w:w="4239"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建设内容</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构筑物结构</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52" w:hRule="atLeast"/>
        </w:trPr>
        <w:tc>
          <w:tcPr>
            <w:tcW w:w="426" w:type="dxa"/>
            <w:vMerge w:val="restart"/>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eastAsiaTheme="minorEastAsia"/>
                <w:color w:val="000000" w:themeColor="text1"/>
                <w:kern w:val="24"/>
                <w:sz w:val="21"/>
                <w:szCs w:val="21"/>
              </w:rPr>
              <w:t>主体工程</w:t>
            </w:r>
          </w:p>
        </w:tc>
        <w:tc>
          <w:tcPr>
            <w:tcW w:w="746" w:type="dxa"/>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eastAsiaTheme="minorEastAsia"/>
                <w:color w:val="000000" w:themeColor="text1"/>
                <w:kern w:val="24"/>
                <w:sz w:val="21"/>
                <w:szCs w:val="21"/>
              </w:rPr>
              <w:t>原料加工处理站</w:t>
            </w: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占地面积为13870m</w:t>
            </w:r>
            <w:r>
              <w:rPr>
                <w:rFonts w:eastAsiaTheme="minorEastAsia"/>
                <w:color w:val="000000" w:themeColor="text1"/>
                <w:kern w:val="24"/>
                <w:sz w:val="21"/>
                <w:szCs w:val="21"/>
                <w:vertAlign w:val="superscript"/>
              </w:rPr>
              <w:t>2</w:t>
            </w:r>
            <w:r>
              <w:rPr>
                <w:rFonts w:eastAsiaTheme="minorEastAsia"/>
                <w:color w:val="000000" w:themeColor="text1"/>
                <w:kern w:val="24"/>
                <w:sz w:val="21"/>
                <w:szCs w:val="21"/>
              </w:rPr>
              <w:t>，分别设置原料破碎加工生产线（设置破碎设备、电磁滚筒、制砂设备、洗砂设备等）、原矿石堆棚3500m</w:t>
            </w:r>
            <w:r>
              <w:rPr>
                <w:rFonts w:eastAsiaTheme="minorEastAsia"/>
                <w:color w:val="000000" w:themeColor="text1"/>
                <w:kern w:val="24"/>
                <w:sz w:val="21"/>
                <w:szCs w:val="21"/>
                <w:vertAlign w:val="superscript"/>
              </w:rPr>
              <w:t>2</w:t>
            </w:r>
            <w:r>
              <w:rPr>
                <w:rFonts w:eastAsiaTheme="minorEastAsia"/>
                <w:color w:val="000000" w:themeColor="text1"/>
                <w:kern w:val="24"/>
                <w:sz w:val="21"/>
                <w:szCs w:val="21"/>
              </w:rPr>
              <w:t>、砂石料堆棚120m</w:t>
            </w:r>
            <w:r>
              <w:rPr>
                <w:rFonts w:eastAsiaTheme="minorEastAsia"/>
                <w:color w:val="000000" w:themeColor="text1"/>
                <w:kern w:val="24"/>
                <w:sz w:val="21"/>
                <w:szCs w:val="21"/>
                <w:vertAlign w:val="superscript"/>
              </w:rPr>
              <w:t>2</w:t>
            </w:r>
            <w:r>
              <w:rPr>
                <w:rFonts w:eastAsiaTheme="minorEastAsia"/>
                <w:color w:val="000000" w:themeColor="text1"/>
                <w:kern w:val="24"/>
                <w:sz w:val="21"/>
                <w:szCs w:val="21"/>
              </w:rPr>
              <w:t>、低品位原矿堆棚500m</w:t>
            </w:r>
            <w:r>
              <w:rPr>
                <w:rFonts w:eastAsiaTheme="minorEastAsia"/>
                <w:color w:val="000000" w:themeColor="text1"/>
                <w:kern w:val="24"/>
                <w:sz w:val="21"/>
                <w:szCs w:val="21"/>
                <w:vertAlign w:val="superscript"/>
              </w:rPr>
              <w:t>2</w:t>
            </w:r>
            <w:r>
              <w:rPr>
                <w:rFonts w:hint="eastAsia" w:eastAsiaTheme="minorEastAsia"/>
                <w:color w:val="000000" w:themeColor="text1"/>
                <w:kern w:val="24"/>
                <w:sz w:val="21"/>
                <w:szCs w:val="21"/>
              </w:rPr>
              <w:t>，共设置皮带输送机23台。</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原矿石堆棚、砂石料堆棚、低品位原矿堆棚为三面遮挡+挡雨棚形式</w:t>
            </w:r>
            <w:r>
              <w:rPr>
                <w:rFonts w:hint="eastAsia" w:eastAsiaTheme="minorEastAsia"/>
                <w:color w:val="000000" w:themeColor="text1"/>
                <w:kern w:val="24"/>
                <w:sz w:val="21"/>
                <w:szCs w:val="21"/>
              </w:rPr>
              <w:t>，并且破碎后的原矿和机制砂堆棚需设置喷淋设施，原料加工处理站地面进行硬化</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在原破碎生产线原址建设，拆除原破碎筛分设备</w:t>
            </w:r>
            <w:r>
              <w:rPr>
                <w:rFonts w:hint="eastAsia" w:eastAsiaTheme="minorEastAsia"/>
                <w:color w:val="000000" w:themeColor="text1"/>
                <w:kern w:val="24"/>
                <w:sz w:val="21"/>
                <w:szCs w:val="21"/>
              </w:rPr>
              <w:t>（生产设施已建设，环保设施还未建设）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52"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eastAsiaTheme="minorEastAsia"/>
                <w:color w:val="000000" w:themeColor="text1"/>
                <w:kern w:val="24"/>
                <w:sz w:val="21"/>
                <w:szCs w:val="21"/>
              </w:rPr>
              <w:t>磨磁车间</w:t>
            </w:r>
          </w:p>
        </w:tc>
        <w:tc>
          <w:tcPr>
            <w:tcW w:w="4239" w:type="dxa"/>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eastAsiaTheme="minorEastAsia"/>
                <w:color w:val="000000" w:themeColor="text1"/>
                <w:kern w:val="24"/>
                <w:sz w:val="21"/>
                <w:szCs w:val="21"/>
              </w:rPr>
              <w:t>建筑面积300m</w:t>
            </w:r>
            <w:r>
              <w:rPr>
                <w:rFonts w:eastAsiaTheme="minorEastAsia"/>
                <w:color w:val="000000" w:themeColor="text1"/>
                <w:kern w:val="24"/>
                <w:sz w:val="21"/>
                <w:szCs w:val="21"/>
                <w:vertAlign w:val="superscript"/>
              </w:rPr>
              <w:t>2</w:t>
            </w:r>
            <w:r>
              <w:rPr>
                <w:rFonts w:eastAsiaTheme="minorEastAsia"/>
                <w:color w:val="000000" w:themeColor="text1"/>
                <w:kern w:val="24"/>
                <w:sz w:val="21"/>
                <w:szCs w:val="21"/>
              </w:rPr>
              <w:t>。磨矿工段在新建车间内安装1台立磨机和4台旋流器，对三级精矿再次进行磨细，分级溢流-300-400目占85%-90%；</w:t>
            </w:r>
          </w:p>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磁选工段安装3台高效磁选机、2台平板磁选机、</w:t>
            </w:r>
            <w:r>
              <w:rPr>
                <w:rFonts w:hint="eastAsia" w:eastAsiaTheme="minorEastAsia"/>
                <w:color w:val="000000" w:themeColor="text1"/>
                <w:kern w:val="24"/>
                <w:sz w:val="21"/>
                <w:szCs w:val="21"/>
              </w:rPr>
              <w:t>3弱磁选机</w:t>
            </w:r>
            <w:r>
              <w:rPr>
                <w:rFonts w:eastAsiaTheme="minorEastAsia"/>
                <w:color w:val="000000" w:themeColor="text1"/>
                <w:kern w:val="24"/>
                <w:sz w:val="21"/>
                <w:szCs w:val="21"/>
              </w:rPr>
              <w:t>，对</w:t>
            </w:r>
            <w:r>
              <w:rPr>
                <w:rFonts w:hint="eastAsia" w:eastAsiaTheme="minorEastAsia"/>
                <w:color w:val="000000" w:themeColor="text1"/>
                <w:kern w:val="24"/>
                <w:sz w:val="21"/>
                <w:szCs w:val="21"/>
                <w:lang w:eastAsia="zh-CN"/>
              </w:rPr>
              <w:t>自产</w:t>
            </w:r>
            <w:r>
              <w:rPr>
                <w:rFonts w:eastAsiaTheme="minorEastAsia"/>
                <w:color w:val="000000" w:themeColor="text1"/>
                <w:kern w:val="24"/>
                <w:sz w:val="21"/>
                <w:szCs w:val="21"/>
              </w:rPr>
              <w:t>三级精铁矿</w:t>
            </w:r>
            <w:r>
              <w:rPr>
                <w:rFonts w:hint="eastAsia" w:eastAsiaTheme="minorEastAsia"/>
                <w:color w:val="000000" w:themeColor="text1"/>
                <w:kern w:val="24"/>
                <w:sz w:val="21"/>
                <w:szCs w:val="21"/>
              </w:rPr>
              <w:t>及</w:t>
            </w:r>
            <w:r>
              <w:rPr>
                <w:rStyle w:val="73"/>
                <w:rFonts w:hint="eastAsia"/>
                <w:color w:val="000000" w:themeColor="text1"/>
                <w:kern w:val="0"/>
                <w:lang w:eastAsia="zh-CN"/>
              </w:rPr>
              <w:t>外购</w:t>
            </w:r>
            <w:r>
              <w:rPr>
                <w:rFonts w:eastAsiaTheme="minorEastAsia"/>
                <w:color w:val="000000" w:themeColor="text1"/>
                <w:kern w:val="24"/>
                <w:sz w:val="21"/>
                <w:szCs w:val="21"/>
              </w:rPr>
              <w:t>三级精铁矿进行粗选和细选。</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钢结构+彩钢瓦</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新建，已建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86"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eastAsiaTheme="minorEastAsia"/>
                <w:color w:val="000000" w:themeColor="text1"/>
                <w:kern w:val="24"/>
                <w:sz w:val="21"/>
                <w:szCs w:val="21"/>
              </w:rPr>
              <w:t>脱水车间</w:t>
            </w: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位于铁精矿池旁，铁精矿经过陶瓷过滤机脱水后到精矿池，占地面积840m</w:t>
            </w:r>
            <w:r>
              <w:rPr>
                <w:rFonts w:eastAsiaTheme="minorEastAsia"/>
                <w:color w:val="000000" w:themeColor="text1"/>
                <w:kern w:val="24"/>
                <w:sz w:val="21"/>
                <w:szCs w:val="21"/>
                <w:vertAlign w:val="superscript"/>
              </w:rPr>
              <w:t>2</w:t>
            </w:r>
            <w:r>
              <w:rPr>
                <w:rFonts w:eastAsiaTheme="minorEastAsia"/>
                <w:color w:val="000000" w:themeColor="text1"/>
                <w:kern w:val="24"/>
                <w:sz w:val="21"/>
                <w:szCs w:val="21"/>
              </w:rPr>
              <w:t>。</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钢结构+彩钢瓦</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新建，已建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12" w:hRule="atLeast"/>
        </w:trPr>
        <w:tc>
          <w:tcPr>
            <w:tcW w:w="426" w:type="dxa"/>
            <w:vMerge w:val="restart"/>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eastAsiaTheme="minorEastAsia"/>
                <w:color w:val="000000" w:themeColor="text1"/>
                <w:kern w:val="24"/>
                <w:sz w:val="21"/>
                <w:szCs w:val="21"/>
              </w:rPr>
              <w:t>辅助工程</w:t>
            </w:r>
          </w:p>
        </w:tc>
        <w:tc>
          <w:tcPr>
            <w:tcW w:w="746" w:type="dxa"/>
            <w:vAlign w:val="center"/>
          </w:tcPr>
          <w:p>
            <w:pPr>
              <w:pStyle w:val="126"/>
              <w:tabs>
                <w:tab w:val="left" w:pos="1960"/>
              </w:tabs>
              <w:rPr>
                <w:rFonts w:eastAsiaTheme="minorEastAsia"/>
                <w:color w:val="000000" w:themeColor="text1"/>
              </w:rPr>
            </w:pPr>
            <w:r>
              <w:rPr>
                <w:rFonts w:eastAsiaTheme="minorEastAsia"/>
                <w:color w:val="000000" w:themeColor="text1"/>
              </w:rPr>
              <w:t>办公区</w:t>
            </w:r>
          </w:p>
        </w:tc>
        <w:tc>
          <w:tcPr>
            <w:tcW w:w="4239" w:type="dxa"/>
            <w:vAlign w:val="center"/>
          </w:tcPr>
          <w:p>
            <w:pPr>
              <w:pStyle w:val="126"/>
              <w:tabs>
                <w:tab w:val="left" w:pos="1960"/>
              </w:tabs>
              <w:jc w:val="left"/>
              <w:rPr>
                <w:rFonts w:eastAsiaTheme="minorEastAsia"/>
                <w:color w:val="000000" w:themeColor="text1"/>
                <w:lang w:eastAsia="zh-CN"/>
              </w:rPr>
            </w:pPr>
            <w:r>
              <w:rPr>
                <w:rFonts w:eastAsiaTheme="minorEastAsia"/>
                <w:color w:val="000000" w:themeColor="text1"/>
                <w:lang w:eastAsia="zh-CN"/>
              </w:rPr>
              <w:t>位于</w:t>
            </w:r>
            <w:r>
              <w:rPr>
                <w:rFonts w:hint="eastAsia" w:eastAsiaTheme="minorEastAsia"/>
                <w:color w:val="000000" w:themeColor="text1"/>
                <w:lang w:eastAsia="zh-CN"/>
              </w:rPr>
              <w:t>公</w:t>
            </w:r>
            <w:r>
              <w:rPr>
                <w:rFonts w:eastAsiaTheme="minorEastAsia"/>
                <w:color w:val="000000" w:themeColor="text1"/>
                <w:lang w:eastAsia="zh-CN"/>
              </w:rPr>
              <w:t>戛路旁，办公生活区包括办公用房85m</w:t>
            </w:r>
            <w:r>
              <w:rPr>
                <w:rFonts w:eastAsiaTheme="minorEastAsia"/>
                <w:color w:val="000000" w:themeColor="text1"/>
                <w:vertAlign w:val="superscript"/>
                <w:lang w:eastAsia="zh-CN"/>
              </w:rPr>
              <w:t>2</w:t>
            </w:r>
          </w:p>
        </w:tc>
        <w:tc>
          <w:tcPr>
            <w:tcW w:w="1662"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一</w:t>
            </w:r>
            <w:r>
              <w:rPr>
                <w:rFonts w:eastAsiaTheme="minorEastAsia"/>
                <w:color w:val="000000" w:themeColor="text1"/>
              </w:rPr>
              <w:t>层砖混结构</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9"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生活区</w:t>
            </w:r>
          </w:p>
        </w:tc>
        <w:tc>
          <w:tcPr>
            <w:tcW w:w="4239" w:type="dxa"/>
            <w:vAlign w:val="center"/>
          </w:tcPr>
          <w:p>
            <w:pPr>
              <w:pStyle w:val="126"/>
              <w:tabs>
                <w:tab w:val="left" w:pos="1960"/>
              </w:tabs>
              <w:jc w:val="left"/>
              <w:rPr>
                <w:rFonts w:eastAsiaTheme="minorEastAsia"/>
                <w:color w:val="000000" w:themeColor="text1"/>
                <w:lang w:eastAsia="zh-CN"/>
              </w:rPr>
            </w:pPr>
            <w:r>
              <w:rPr>
                <w:rFonts w:eastAsiaTheme="minorEastAsia"/>
                <w:color w:val="000000" w:themeColor="text1"/>
                <w:lang w:eastAsia="zh-CN"/>
              </w:rPr>
              <w:t>主要为工人倒班宿舍，占地面积200m</w:t>
            </w:r>
            <w:r>
              <w:rPr>
                <w:rFonts w:eastAsiaTheme="minorEastAsia"/>
                <w:color w:val="000000" w:themeColor="text1"/>
                <w:vertAlign w:val="superscript"/>
                <w:lang w:eastAsia="zh-CN"/>
              </w:rPr>
              <w:t>2</w:t>
            </w:r>
          </w:p>
        </w:tc>
        <w:tc>
          <w:tcPr>
            <w:tcW w:w="1662"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一</w:t>
            </w:r>
            <w:r>
              <w:rPr>
                <w:rFonts w:eastAsiaTheme="minorEastAsia"/>
                <w:color w:val="000000" w:themeColor="text1"/>
              </w:rPr>
              <w:t>层砖混结构</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杂物间</w:t>
            </w:r>
          </w:p>
        </w:tc>
        <w:tc>
          <w:tcPr>
            <w:tcW w:w="4239" w:type="dxa"/>
            <w:vAlign w:val="center"/>
          </w:tcPr>
          <w:p>
            <w:pPr>
              <w:pStyle w:val="126"/>
              <w:tabs>
                <w:tab w:val="left" w:pos="1960"/>
              </w:tabs>
              <w:jc w:val="left"/>
              <w:rPr>
                <w:rFonts w:eastAsiaTheme="minorEastAsia"/>
                <w:color w:val="000000" w:themeColor="text1"/>
                <w:lang w:eastAsia="zh-CN"/>
              </w:rPr>
            </w:pPr>
            <w:r>
              <w:rPr>
                <w:rFonts w:eastAsiaTheme="minorEastAsia"/>
                <w:color w:val="000000" w:themeColor="text1"/>
                <w:lang w:eastAsia="zh-CN"/>
              </w:rPr>
              <w:t>占地面积350m</w:t>
            </w:r>
            <w:r>
              <w:rPr>
                <w:rFonts w:eastAsiaTheme="minorEastAsia"/>
                <w:color w:val="000000" w:themeColor="text1"/>
                <w:vertAlign w:val="superscript"/>
                <w:lang w:eastAsia="zh-CN"/>
              </w:rPr>
              <w:t>2</w:t>
            </w:r>
            <w:r>
              <w:rPr>
                <w:rFonts w:eastAsiaTheme="minorEastAsia"/>
                <w:color w:val="000000" w:themeColor="text1"/>
                <w:lang w:eastAsia="zh-CN"/>
              </w:rPr>
              <w:t>，主要储存生产所需原辅料</w:t>
            </w:r>
          </w:p>
        </w:tc>
        <w:tc>
          <w:tcPr>
            <w:tcW w:w="1662"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rPr>
              <w:t>钢结构+彩钢瓦</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高位水池</w:t>
            </w:r>
          </w:p>
        </w:tc>
        <w:tc>
          <w:tcPr>
            <w:tcW w:w="4239" w:type="dxa"/>
            <w:vAlign w:val="center"/>
          </w:tcPr>
          <w:p>
            <w:pPr>
              <w:pStyle w:val="126"/>
              <w:tabs>
                <w:tab w:val="left" w:pos="1960"/>
              </w:tabs>
              <w:jc w:val="left"/>
              <w:rPr>
                <w:rFonts w:eastAsiaTheme="minorEastAsia"/>
                <w:color w:val="000000" w:themeColor="text1"/>
                <w:lang w:eastAsia="zh-CN"/>
              </w:rPr>
            </w:pPr>
            <w:r>
              <w:rPr>
                <w:rFonts w:eastAsiaTheme="minorEastAsia"/>
                <w:color w:val="000000" w:themeColor="text1"/>
                <w:lang w:eastAsia="zh-CN"/>
              </w:rPr>
              <w:t>有效容积为500m</w:t>
            </w:r>
            <w:r>
              <w:rPr>
                <w:rFonts w:eastAsiaTheme="minorEastAsia"/>
                <w:color w:val="000000" w:themeColor="text1"/>
                <w:vertAlign w:val="superscript"/>
                <w:lang w:eastAsia="zh-CN"/>
              </w:rPr>
              <w:t>3</w:t>
            </w:r>
            <w:r>
              <w:rPr>
                <w:rFonts w:eastAsiaTheme="minorEastAsia"/>
                <w:color w:val="000000" w:themeColor="text1"/>
                <w:lang w:eastAsia="zh-CN"/>
              </w:rPr>
              <w:t>，主要功能为储存从困龙河抽取的水</w:t>
            </w:r>
          </w:p>
        </w:tc>
        <w:tc>
          <w:tcPr>
            <w:tcW w:w="1662"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混凝土结构</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陶瓷机</w:t>
            </w:r>
            <w:r>
              <w:rPr>
                <w:rFonts w:hint="eastAsia" w:eastAsiaTheme="minorEastAsia"/>
                <w:color w:val="000000" w:themeColor="text1"/>
                <w:lang w:eastAsia="zh-CN"/>
              </w:rPr>
              <w:t>压滤水中转</w:t>
            </w:r>
            <w:r>
              <w:rPr>
                <w:rFonts w:eastAsiaTheme="minorEastAsia"/>
                <w:color w:val="000000" w:themeColor="text1"/>
                <w:lang w:eastAsia="zh-CN"/>
              </w:rPr>
              <w:t>池</w:t>
            </w:r>
          </w:p>
        </w:tc>
        <w:tc>
          <w:tcPr>
            <w:tcW w:w="4239" w:type="dxa"/>
            <w:vAlign w:val="center"/>
          </w:tcPr>
          <w:p>
            <w:pPr>
              <w:pStyle w:val="126"/>
              <w:tabs>
                <w:tab w:val="left" w:pos="1960"/>
              </w:tabs>
              <w:jc w:val="left"/>
              <w:rPr>
                <w:rFonts w:eastAsiaTheme="minorEastAsia"/>
                <w:color w:val="000000" w:themeColor="text1"/>
                <w:lang w:eastAsia="zh-CN"/>
              </w:rPr>
            </w:pPr>
            <w:r>
              <w:rPr>
                <w:rFonts w:eastAsiaTheme="minorEastAsia"/>
                <w:color w:val="000000" w:themeColor="text1"/>
                <w:lang w:eastAsia="zh-CN"/>
              </w:rPr>
              <w:t>位于陶瓷机旁，尺寸为3.5×5×2m，容积为35m</w:t>
            </w:r>
            <w:r>
              <w:rPr>
                <w:rFonts w:eastAsiaTheme="minorEastAsia"/>
                <w:color w:val="000000" w:themeColor="text1"/>
                <w:vertAlign w:val="superscript"/>
                <w:lang w:eastAsia="zh-CN"/>
              </w:rPr>
              <w:t>3</w:t>
            </w:r>
          </w:p>
        </w:tc>
        <w:tc>
          <w:tcPr>
            <w:tcW w:w="1662"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钢混结构</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新建，已建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陶瓷机稀释矿浆清水池</w:t>
            </w:r>
          </w:p>
        </w:tc>
        <w:tc>
          <w:tcPr>
            <w:tcW w:w="4239" w:type="dxa"/>
            <w:vAlign w:val="center"/>
          </w:tcPr>
          <w:p>
            <w:pPr>
              <w:pStyle w:val="126"/>
              <w:tabs>
                <w:tab w:val="left" w:pos="1960"/>
              </w:tabs>
              <w:jc w:val="left"/>
              <w:rPr>
                <w:rFonts w:eastAsiaTheme="minorEastAsia"/>
                <w:color w:val="000000" w:themeColor="text1"/>
                <w:lang w:eastAsia="zh-CN"/>
              </w:rPr>
            </w:pPr>
            <w:r>
              <w:rPr>
                <w:rFonts w:hint="eastAsia" w:eastAsiaTheme="minorEastAsia"/>
                <w:color w:val="000000" w:themeColor="text1"/>
                <w:lang w:eastAsia="zh-CN"/>
              </w:rPr>
              <w:t>位于陶瓷机作业面板上，2个，1个容积为5m</w:t>
            </w:r>
            <w:r>
              <w:rPr>
                <w:rFonts w:hint="eastAsia" w:eastAsiaTheme="minorEastAsia"/>
                <w:color w:val="000000" w:themeColor="text1"/>
                <w:vertAlign w:val="superscript"/>
                <w:lang w:eastAsia="zh-CN"/>
              </w:rPr>
              <w:t>3</w:t>
            </w:r>
            <w:r>
              <w:rPr>
                <w:rFonts w:hint="eastAsia" w:eastAsiaTheme="minorEastAsia"/>
                <w:color w:val="000000" w:themeColor="text1"/>
                <w:lang w:eastAsia="zh-CN"/>
              </w:rPr>
              <w:t>，1个容积为8m</w:t>
            </w:r>
            <w:r>
              <w:rPr>
                <w:rFonts w:hint="eastAsia" w:eastAsiaTheme="minorEastAsia"/>
                <w:color w:val="000000" w:themeColor="text1"/>
                <w:vertAlign w:val="superscript"/>
                <w:lang w:eastAsia="zh-CN"/>
              </w:rPr>
              <w:t>3</w:t>
            </w:r>
          </w:p>
        </w:tc>
        <w:tc>
          <w:tcPr>
            <w:tcW w:w="1662"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钢铁结构</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新建，已建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9" w:hRule="atLeast"/>
        </w:trPr>
        <w:tc>
          <w:tcPr>
            <w:tcW w:w="426" w:type="dxa"/>
            <w:vMerge w:val="restart"/>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hint="eastAsia" w:eastAsiaTheme="minorEastAsia"/>
                <w:color w:val="000000" w:themeColor="text1"/>
                <w:kern w:val="24"/>
                <w:sz w:val="21"/>
                <w:szCs w:val="21"/>
              </w:rPr>
              <w:t>储运工程</w:t>
            </w:r>
          </w:p>
        </w:tc>
        <w:tc>
          <w:tcPr>
            <w:tcW w:w="746"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龙都尾矿库</w:t>
            </w:r>
          </w:p>
        </w:tc>
        <w:tc>
          <w:tcPr>
            <w:tcW w:w="4239" w:type="dxa"/>
            <w:vAlign w:val="center"/>
          </w:tcPr>
          <w:p>
            <w:pPr>
              <w:pStyle w:val="126"/>
              <w:tabs>
                <w:tab w:val="left" w:pos="1960"/>
              </w:tabs>
              <w:jc w:val="left"/>
              <w:rPr>
                <w:rFonts w:eastAsiaTheme="minorEastAsia"/>
                <w:color w:val="000000" w:themeColor="text1"/>
                <w:lang w:eastAsia="zh-CN"/>
              </w:rPr>
            </w:pPr>
            <w:r>
              <w:rPr>
                <w:rFonts w:eastAsiaTheme="minorEastAsia"/>
                <w:color w:val="000000" w:themeColor="text1"/>
                <w:lang w:eastAsia="zh-CN"/>
              </w:rPr>
              <w:t>属于玉溪大红山矿业有限公司，</w:t>
            </w:r>
            <w:r>
              <w:rPr>
                <w:rFonts w:eastAsiaTheme="minorEastAsia"/>
                <w:color w:val="000000" w:themeColor="text1"/>
                <w:kern w:val="2"/>
                <w:lang w:eastAsia="zh-CN" w:bidi="ar-SA"/>
              </w:rPr>
              <w:t>占地面积为161.25hm</w:t>
            </w:r>
            <w:r>
              <w:rPr>
                <w:rFonts w:eastAsiaTheme="minorEastAsia"/>
                <w:color w:val="000000" w:themeColor="text1"/>
                <w:kern w:val="2"/>
                <w:vertAlign w:val="superscript"/>
                <w:lang w:eastAsia="zh-CN" w:bidi="ar-SA"/>
              </w:rPr>
              <w:t>2</w:t>
            </w:r>
            <w:r>
              <w:rPr>
                <w:rFonts w:eastAsiaTheme="minorEastAsia"/>
                <w:color w:val="000000" w:themeColor="text1"/>
                <w:kern w:val="2"/>
                <w:lang w:eastAsia="zh-CN" w:bidi="ar-SA"/>
              </w:rPr>
              <w:t>，属山谷型尾矿库，最终堆积标高为730</w:t>
            </w:r>
            <w:r>
              <w:rPr>
                <w:rFonts w:hint="eastAsia" w:eastAsiaTheme="minorEastAsia"/>
                <w:color w:val="000000" w:themeColor="text1"/>
                <w:kern w:val="2"/>
                <w:lang w:eastAsia="zh-CN" w:bidi="ar-SA"/>
              </w:rPr>
              <w:t>m</w:t>
            </w:r>
            <w:r>
              <w:rPr>
                <w:rFonts w:eastAsiaTheme="minorEastAsia"/>
                <w:color w:val="000000" w:themeColor="text1"/>
                <w:kern w:val="2"/>
                <w:lang w:eastAsia="zh-CN" w:bidi="ar-SA"/>
              </w:rPr>
              <w:t>，总库容1.2亿m</w:t>
            </w:r>
            <w:r>
              <w:rPr>
                <w:rFonts w:eastAsiaTheme="minorEastAsia"/>
                <w:color w:val="000000" w:themeColor="text1"/>
                <w:kern w:val="2"/>
                <w:vertAlign w:val="superscript"/>
                <w:lang w:eastAsia="zh-CN" w:bidi="ar-SA"/>
              </w:rPr>
              <w:t>3</w:t>
            </w:r>
            <w:r>
              <w:rPr>
                <w:rFonts w:eastAsiaTheme="minorEastAsia"/>
                <w:color w:val="000000" w:themeColor="text1"/>
                <w:kern w:val="2"/>
                <w:lang w:eastAsia="zh-CN" w:bidi="ar-SA"/>
              </w:rPr>
              <w:t>，设计坝高210m，为二等库</w:t>
            </w:r>
          </w:p>
        </w:tc>
        <w:tc>
          <w:tcPr>
            <w:tcW w:w="1662"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依托</w:t>
            </w:r>
            <w:r>
              <w:rPr>
                <w:rFonts w:eastAsiaTheme="minorEastAsia"/>
                <w:color w:val="000000" w:themeColor="text1"/>
                <w:sz w:val="21"/>
                <w:szCs w:val="21"/>
              </w:rPr>
              <w:t>玉溪大红山矿业有限公司已建成的尾矿库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9"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spacing w:line="240" w:lineRule="exact"/>
              <w:ind w:firstLine="0" w:firstLineChars="0"/>
              <w:jc w:val="center"/>
              <w:rPr>
                <w:color w:val="000000" w:themeColor="text1"/>
                <w:sz w:val="21"/>
                <w:szCs w:val="21"/>
              </w:rPr>
            </w:pPr>
            <w:r>
              <w:rPr>
                <w:color w:val="000000" w:themeColor="text1"/>
                <w:sz w:val="21"/>
                <w:szCs w:val="21"/>
              </w:rPr>
              <w:t>尾矿输送管道</w:t>
            </w:r>
            <w:r>
              <w:rPr>
                <w:rFonts w:hint="eastAsia"/>
                <w:color w:val="000000" w:themeColor="text1"/>
                <w:sz w:val="21"/>
                <w:szCs w:val="21"/>
              </w:rPr>
              <w:t>1</w:t>
            </w:r>
          </w:p>
        </w:tc>
        <w:tc>
          <w:tcPr>
            <w:tcW w:w="4239" w:type="dxa"/>
            <w:vAlign w:val="center"/>
          </w:tcPr>
          <w:p>
            <w:pPr>
              <w:spacing w:line="240" w:lineRule="exact"/>
              <w:ind w:firstLine="0" w:firstLineChars="0"/>
              <w:jc w:val="left"/>
              <w:rPr>
                <w:color w:val="000000" w:themeColor="text1"/>
                <w:sz w:val="21"/>
                <w:szCs w:val="21"/>
              </w:rPr>
            </w:pPr>
            <w:r>
              <w:rPr>
                <w:color w:val="000000" w:themeColor="text1"/>
                <w:sz w:val="21"/>
                <w:szCs w:val="21"/>
              </w:rPr>
              <w:t>从本选厂至平安公司辣子箐口选厂的浓密池（浓密池容积为2472.75m</w:t>
            </w:r>
            <w:r>
              <w:rPr>
                <w:color w:val="000000" w:themeColor="text1"/>
                <w:sz w:val="21"/>
                <w:szCs w:val="21"/>
                <w:vertAlign w:val="superscript"/>
              </w:rPr>
              <w:t>3</w:t>
            </w:r>
            <w:r>
              <w:rPr>
                <w:color w:val="000000" w:themeColor="text1"/>
                <w:sz w:val="21"/>
                <w:szCs w:val="21"/>
              </w:rPr>
              <w:t>），管道全长750m，管道内径为150mm，外径160mm。</w:t>
            </w:r>
          </w:p>
        </w:tc>
        <w:tc>
          <w:tcPr>
            <w:tcW w:w="1662" w:type="dxa"/>
            <w:vAlign w:val="center"/>
          </w:tcPr>
          <w:p>
            <w:pPr>
              <w:spacing w:line="280" w:lineRule="exact"/>
              <w:ind w:firstLine="0" w:firstLineChars="0"/>
              <w:jc w:val="center"/>
              <w:rPr>
                <w:color w:val="000000" w:themeColor="text1"/>
                <w:sz w:val="21"/>
                <w:szCs w:val="21"/>
              </w:rPr>
            </w:pPr>
            <w:r>
              <w:rPr>
                <w:color w:val="000000" w:themeColor="text1"/>
                <w:sz w:val="21"/>
                <w:szCs w:val="21"/>
              </w:rPr>
              <w:t>钢管</w:t>
            </w:r>
          </w:p>
        </w:tc>
        <w:tc>
          <w:tcPr>
            <w:tcW w:w="1452" w:type="dxa"/>
            <w:vAlign w:val="center"/>
          </w:tcPr>
          <w:p>
            <w:pPr>
              <w:tabs>
                <w:tab w:val="left" w:pos="1960"/>
              </w:tabs>
              <w:spacing w:line="240" w:lineRule="auto"/>
              <w:ind w:firstLine="0" w:firstLineChars="0"/>
              <w:jc w:val="center"/>
              <w:rPr>
                <w:color w:val="000000" w:themeColor="text1"/>
                <w:sz w:val="21"/>
                <w:szCs w:val="21"/>
              </w:rPr>
            </w:pPr>
            <w:r>
              <w:rPr>
                <w:color w:val="000000" w:themeColor="text1"/>
                <w:sz w:val="21"/>
                <w:szCs w:val="21"/>
              </w:rPr>
              <w:t>浓密池为依托，新建管道</w:t>
            </w:r>
            <w:r>
              <w:rPr>
                <w:rFonts w:hint="eastAsia"/>
                <w:color w:val="000000" w:themeColor="text1"/>
                <w:sz w:val="21"/>
                <w:szCs w:val="21"/>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9"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spacing w:line="240" w:lineRule="exact"/>
              <w:ind w:firstLine="0" w:firstLineChars="0"/>
              <w:jc w:val="center"/>
              <w:rPr>
                <w:color w:val="000000" w:themeColor="text1"/>
                <w:sz w:val="21"/>
                <w:szCs w:val="21"/>
              </w:rPr>
            </w:pPr>
            <w:r>
              <w:rPr>
                <w:color w:val="000000" w:themeColor="text1"/>
                <w:sz w:val="21"/>
                <w:szCs w:val="21"/>
              </w:rPr>
              <w:t>尾矿输送管道</w:t>
            </w:r>
            <w:r>
              <w:rPr>
                <w:rFonts w:hint="eastAsia"/>
                <w:color w:val="000000" w:themeColor="text1"/>
                <w:sz w:val="21"/>
                <w:szCs w:val="21"/>
              </w:rPr>
              <w:t>2</w:t>
            </w:r>
          </w:p>
        </w:tc>
        <w:tc>
          <w:tcPr>
            <w:tcW w:w="4239" w:type="dxa"/>
            <w:vAlign w:val="center"/>
          </w:tcPr>
          <w:p>
            <w:pPr>
              <w:spacing w:line="240" w:lineRule="exact"/>
              <w:ind w:firstLine="0" w:firstLineChars="0"/>
              <w:jc w:val="left"/>
              <w:rPr>
                <w:color w:val="000000" w:themeColor="text1"/>
                <w:sz w:val="21"/>
                <w:szCs w:val="21"/>
              </w:rPr>
            </w:pPr>
            <w:r>
              <w:rPr>
                <w:color w:val="000000" w:themeColor="text1"/>
                <w:sz w:val="21"/>
                <w:szCs w:val="21"/>
              </w:rPr>
              <w:t>从辣子箐口选厂的浓密池尾矿输送至大红山尾矿沟输送管道全长2090m，管道内径为214mm，外径250mm。</w:t>
            </w:r>
          </w:p>
        </w:tc>
        <w:tc>
          <w:tcPr>
            <w:tcW w:w="1662" w:type="dxa"/>
            <w:vAlign w:val="center"/>
          </w:tcPr>
          <w:p>
            <w:pPr>
              <w:spacing w:line="280" w:lineRule="exact"/>
              <w:ind w:firstLine="0" w:firstLineChars="0"/>
              <w:jc w:val="center"/>
              <w:rPr>
                <w:color w:val="000000" w:themeColor="text1"/>
                <w:sz w:val="21"/>
                <w:szCs w:val="21"/>
              </w:rPr>
            </w:pPr>
            <w:r>
              <w:rPr>
                <w:color w:val="000000" w:themeColor="text1"/>
                <w:sz w:val="21"/>
                <w:szCs w:val="21"/>
              </w:rPr>
              <w:t>钢管</w:t>
            </w:r>
          </w:p>
        </w:tc>
        <w:tc>
          <w:tcPr>
            <w:tcW w:w="1452" w:type="dxa"/>
            <w:vAlign w:val="center"/>
          </w:tcPr>
          <w:p>
            <w:pPr>
              <w:tabs>
                <w:tab w:val="left" w:pos="1960"/>
              </w:tabs>
              <w:spacing w:line="240" w:lineRule="auto"/>
              <w:ind w:firstLine="0" w:firstLineChars="0"/>
              <w:jc w:val="center"/>
              <w:rPr>
                <w:color w:val="000000" w:themeColor="text1"/>
                <w:sz w:val="21"/>
                <w:szCs w:val="21"/>
              </w:rPr>
            </w:pPr>
            <w:r>
              <w:rPr>
                <w:color w:val="000000" w:themeColor="text1"/>
                <w:sz w:val="21"/>
                <w:szCs w:val="21"/>
              </w:rPr>
              <w:t>依托平安公司辣子箐口选厂已建</w:t>
            </w:r>
            <w:r>
              <w:rPr>
                <w:rFonts w:hint="eastAsia"/>
                <w:color w:val="000000" w:themeColor="text1"/>
                <w:sz w:val="21"/>
                <w:szCs w:val="21"/>
              </w:rPr>
              <w:t>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9"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spacing w:line="240" w:lineRule="exact"/>
              <w:ind w:firstLine="0" w:firstLineChars="0"/>
              <w:jc w:val="center"/>
              <w:rPr>
                <w:color w:val="000000" w:themeColor="text1"/>
                <w:sz w:val="21"/>
                <w:szCs w:val="21"/>
              </w:rPr>
            </w:pPr>
            <w:r>
              <w:rPr>
                <w:rFonts w:hint="eastAsia"/>
                <w:color w:val="000000" w:themeColor="text1"/>
                <w:sz w:val="21"/>
                <w:szCs w:val="21"/>
              </w:rPr>
              <w:t>中转浓密池</w:t>
            </w:r>
          </w:p>
        </w:tc>
        <w:tc>
          <w:tcPr>
            <w:tcW w:w="4239" w:type="dxa"/>
            <w:vAlign w:val="center"/>
          </w:tcPr>
          <w:p>
            <w:pPr>
              <w:spacing w:line="240" w:lineRule="exact"/>
              <w:ind w:firstLine="0" w:firstLineChars="0"/>
              <w:jc w:val="left"/>
              <w:rPr>
                <w:color w:val="000000" w:themeColor="text1"/>
                <w:sz w:val="21"/>
                <w:szCs w:val="21"/>
              </w:rPr>
            </w:pPr>
            <w:r>
              <w:rPr>
                <w:color w:val="000000" w:themeColor="text1"/>
                <w:sz w:val="21"/>
                <w:szCs w:val="21"/>
              </w:rPr>
              <w:t>辣子箐口选厂已建好的</w:t>
            </w:r>
            <w:r>
              <w:rPr>
                <w:rFonts w:hint="eastAsia"/>
                <w:color w:val="000000" w:themeColor="text1"/>
                <w:sz w:val="21"/>
                <w:szCs w:val="21"/>
              </w:rPr>
              <w:t>尾矿浆浓密池，容积为3000m</w:t>
            </w:r>
            <w:r>
              <w:rPr>
                <w:rFonts w:hint="eastAsia"/>
                <w:color w:val="000000" w:themeColor="text1"/>
                <w:sz w:val="21"/>
                <w:szCs w:val="21"/>
                <w:vertAlign w:val="superscript"/>
              </w:rPr>
              <w:t>3</w:t>
            </w:r>
          </w:p>
        </w:tc>
        <w:tc>
          <w:tcPr>
            <w:tcW w:w="1662" w:type="dxa"/>
            <w:vAlign w:val="center"/>
          </w:tcPr>
          <w:p>
            <w:pPr>
              <w:spacing w:line="280" w:lineRule="exact"/>
              <w:ind w:firstLine="0" w:firstLineChars="0"/>
              <w:jc w:val="center"/>
              <w:rPr>
                <w:color w:val="000000" w:themeColor="text1"/>
                <w:sz w:val="21"/>
                <w:szCs w:val="21"/>
              </w:rPr>
            </w:pPr>
            <w:r>
              <w:rPr>
                <w:rFonts w:hint="eastAsia"/>
                <w:color w:val="000000" w:themeColor="text1"/>
                <w:sz w:val="21"/>
                <w:szCs w:val="21"/>
              </w:rPr>
              <w:t>钢砼</w:t>
            </w:r>
          </w:p>
        </w:tc>
        <w:tc>
          <w:tcPr>
            <w:tcW w:w="1452" w:type="dxa"/>
            <w:vAlign w:val="center"/>
          </w:tcPr>
          <w:p>
            <w:pPr>
              <w:tabs>
                <w:tab w:val="left" w:pos="1960"/>
              </w:tabs>
              <w:spacing w:line="240" w:lineRule="auto"/>
              <w:ind w:firstLine="0" w:firstLineChars="0"/>
              <w:jc w:val="center"/>
              <w:rPr>
                <w:color w:val="000000" w:themeColor="text1"/>
                <w:sz w:val="21"/>
                <w:szCs w:val="21"/>
              </w:rPr>
            </w:pPr>
            <w:r>
              <w:rPr>
                <w:rFonts w:hint="eastAsia"/>
                <w:color w:val="000000" w:themeColor="text1"/>
                <w:sz w:val="21"/>
                <w:szCs w:val="21"/>
              </w:rPr>
              <w:t>依托</w:t>
            </w:r>
            <w:r>
              <w:rPr>
                <w:color w:val="000000" w:themeColor="text1"/>
                <w:sz w:val="21"/>
                <w:szCs w:val="21"/>
              </w:rPr>
              <w:t>辣子箐口选厂已建</w:t>
            </w:r>
            <w:r>
              <w:rPr>
                <w:rFonts w:hint="eastAsia"/>
                <w:color w:val="000000" w:themeColor="text1"/>
                <w:sz w:val="21"/>
                <w:szCs w:val="21"/>
              </w:rPr>
              <w:t>浓密池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9"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spacing w:line="240" w:lineRule="exact"/>
              <w:ind w:firstLine="0" w:firstLineChars="0"/>
              <w:jc w:val="center"/>
              <w:rPr>
                <w:color w:val="000000" w:themeColor="text1"/>
                <w:sz w:val="21"/>
                <w:szCs w:val="21"/>
              </w:rPr>
            </w:pPr>
            <w:r>
              <w:rPr>
                <w:color w:val="000000" w:themeColor="text1"/>
                <w:sz w:val="21"/>
                <w:szCs w:val="21"/>
              </w:rPr>
              <w:t>隔膜泵站</w:t>
            </w:r>
          </w:p>
        </w:tc>
        <w:tc>
          <w:tcPr>
            <w:tcW w:w="4239" w:type="dxa"/>
            <w:vAlign w:val="center"/>
          </w:tcPr>
          <w:p>
            <w:pPr>
              <w:spacing w:line="240" w:lineRule="exact"/>
              <w:ind w:firstLine="0" w:firstLineChars="0"/>
              <w:jc w:val="left"/>
              <w:rPr>
                <w:color w:val="000000" w:themeColor="text1"/>
                <w:sz w:val="21"/>
                <w:szCs w:val="21"/>
              </w:rPr>
            </w:pPr>
            <w:r>
              <w:rPr>
                <w:color w:val="000000" w:themeColor="text1"/>
                <w:sz w:val="21"/>
                <w:szCs w:val="21"/>
              </w:rPr>
              <w:t>位于矿浆池与管道终点之间设置隔膜泵站，占地面积120m</w:t>
            </w:r>
            <w:r>
              <w:rPr>
                <w:color w:val="000000" w:themeColor="text1"/>
                <w:sz w:val="21"/>
                <w:szCs w:val="21"/>
                <w:vertAlign w:val="superscript"/>
              </w:rPr>
              <w:t>2</w:t>
            </w:r>
            <w:r>
              <w:rPr>
                <w:color w:val="000000" w:themeColor="text1"/>
                <w:sz w:val="21"/>
                <w:szCs w:val="21"/>
              </w:rPr>
              <w:t>。设置有3台隔膜泵、占地面积约50m</w:t>
            </w:r>
            <w:r>
              <w:rPr>
                <w:color w:val="000000" w:themeColor="text1"/>
                <w:sz w:val="21"/>
                <w:szCs w:val="21"/>
                <w:vertAlign w:val="superscript"/>
              </w:rPr>
              <w:t>2</w:t>
            </w:r>
            <w:r>
              <w:rPr>
                <w:color w:val="000000" w:themeColor="text1"/>
                <w:sz w:val="21"/>
                <w:szCs w:val="21"/>
              </w:rPr>
              <w:t>的值班室和占地面积约10m</w:t>
            </w:r>
            <w:r>
              <w:rPr>
                <w:color w:val="000000" w:themeColor="text1"/>
                <w:sz w:val="21"/>
                <w:szCs w:val="21"/>
                <w:vertAlign w:val="superscript"/>
              </w:rPr>
              <w:t>2</w:t>
            </w:r>
            <w:r>
              <w:rPr>
                <w:color w:val="000000" w:themeColor="text1"/>
                <w:sz w:val="21"/>
                <w:szCs w:val="21"/>
              </w:rPr>
              <w:t>的旱厕。</w:t>
            </w:r>
          </w:p>
        </w:tc>
        <w:tc>
          <w:tcPr>
            <w:tcW w:w="1662" w:type="dxa"/>
            <w:vAlign w:val="center"/>
          </w:tcPr>
          <w:p>
            <w:pPr>
              <w:spacing w:line="280" w:lineRule="exact"/>
              <w:ind w:firstLine="0" w:firstLineChars="0"/>
              <w:jc w:val="center"/>
              <w:rPr>
                <w:color w:val="000000" w:themeColor="text1"/>
                <w:sz w:val="21"/>
                <w:szCs w:val="21"/>
              </w:rPr>
            </w:pPr>
            <w:r>
              <w:rPr>
                <w:color w:val="000000" w:themeColor="text1"/>
                <w:sz w:val="21"/>
                <w:szCs w:val="21"/>
              </w:rPr>
              <w:t>/</w:t>
            </w:r>
          </w:p>
        </w:tc>
        <w:tc>
          <w:tcPr>
            <w:tcW w:w="1452" w:type="dxa"/>
            <w:vAlign w:val="center"/>
          </w:tcPr>
          <w:p>
            <w:pPr>
              <w:tabs>
                <w:tab w:val="left" w:pos="1960"/>
              </w:tabs>
              <w:spacing w:line="240" w:lineRule="auto"/>
              <w:ind w:firstLine="0" w:firstLineChars="0"/>
              <w:jc w:val="center"/>
              <w:rPr>
                <w:color w:val="000000" w:themeColor="text1"/>
                <w:sz w:val="21"/>
                <w:szCs w:val="21"/>
              </w:rPr>
            </w:pPr>
            <w:r>
              <w:rPr>
                <w:color w:val="000000" w:themeColor="text1"/>
                <w:sz w:val="21"/>
                <w:szCs w:val="21"/>
              </w:rPr>
              <w:t>依托平安公司辣子箐口选厂已建泵站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9"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spacing w:line="240" w:lineRule="exact"/>
              <w:ind w:firstLine="0" w:firstLineChars="0"/>
              <w:jc w:val="center"/>
              <w:rPr>
                <w:color w:val="000000" w:themeColor="text1"/>
                <w:sz w:val="21"/>
                <w:szCs w:val="21"/>
              </w:rPr>
            </w:pPr>
            <w:r>
              <w:rPr>
                <w:rFonts w:hint="eastAsia"/>
                <w:color w:val="000000" w:themeColor="text1"/>
                <w:sz w:val="21"/>
                <w:szCs w:val="21"/>
              </w:rPr>
              <w:t>原矿石堆棚</w:t>
            </w:r>
          </w:p>
        </w:tc>
        <w:tc>
          <w:tcPr>
            <w:tcW w:w="4239" w:type="dxa"/>
            <w:vAlign w:val="center"/>
          </w:tcPr>
          <w:p>
            <w:pPr>
              <w:spacing w:line="240" w:lineRule="exact"/>
              <w:ind w:firstLine="0" w:firstLineChars="0"/>
              <w:jc w:val="left"/>
              <w:rPr>
                <w:color w:val="000000" w:themeColor="text1"/>
                <w:sz w:val="21"/>
                <w:szCs w:val="21"/>
              </w:rPr>
            </w:pPr>
            <w:r>
              <w:rPr>
                <w:rFonts w:hint="eastAsia" w:eastAsiaTheme="minorEastAsia"/>
                <w:color w:val="000000" w:themeColor="text1"/>
                <w:kern w:val="24"/>
                <w:sz w:val="21"/>
                <w:szCs w:val="21"/>
              </w:rPr>
              <w:t>位于原料处理站，占地面积</w:t>
            </w:r>
            <w:r>
              <w:rPr>
                <w:rFonts w:eastAsiaTheme="minorEastAsia"/>
                <w:color w:val="000000" w:themeColor="text1"/>
                <w:kern w:val="24"/>
                <w:sz w:val="21"/>
                <w:szCs w:val="21"/>
              </w:rPr>
              <w:t>3500m</w:t>
            </w:r>
            <w:r>
              <w:rPr>
                <w:rFonts w:eastAsiaTheme="minorEastAsia"/>
                <w:color w:val="000000" w:themeColor="text1"/>
                <w:kern w:val="24"/>
                <w:sz w:val="21"/>
                <w:szCs w:val="21"/>
                <w:vertAlign w:val="superscript"/>
              </w:rPr>
              <w:t>2</w:t>
            </w:r>
            <w:r>
              <w:rPr>
                <w:rFonts w:hint="eastAsia" w:eastAsiaTheme="minorEastAsia"/>
                <w:color w:val="000000" w:themeColor="text1"/>
                <w:kern w:val="24"/>
                <w:sz w:val="21"/>
                <w:szCs w:val="21"/>
              </w:rPr>
              <w:t>，钢架结构，</w:t>
            </w:r>
            <w:r>
              <w:rPr>
                <w:rFonts w:eastAsiaTheme="minorEastAsia"/>
                <w:color w:val="000000" w:themeColor="text1"/>
                <w:kern w:val="24"/>
                <w:sz w:val="21"/>
                <w:szCs w:val="21"/>
              </w:rPr>
              <w:t>三面遮挡+挡雨棚形式</w:t>
            </w:r>
            <w:r>
              <w:rPr>
                <w:rStyle w:val="73"/>
                <w:rFonts w:hint="eastAsia"/>
                <w:color w:val="000000" w:themeColor="text1"/>
                <w:kern w:val="0"/>
              </w:rPr>
              <w:t>，场地硬化</w:t>
            </w:r>
          </w:p>
        </w:tc>
        <w:tc>
          <w:tcPr>
            <w:tcW w:w="1662" w:type="dxa"/>
            <w:vAlign w:val="center"/>
          </w:tcPr>
          <w:p>
            <w:pPr>
              <w:spacing w:line="280" w:lineRule="exact"/>
              <w:ind w:firstLine="0" w:firstLineChars="0"/>
              <w:jc w:val="center"/>
              <w:rPr>
                <w:color w:val="000000" w:themeColor="text1"/>
                <w:sz w:val="21"/>
                <w:szCs w:val="21"/>
              </w:rPr>
            </w:pPr>
            <w:r>
              <w:rPr>
                <w:rFonts w:eastAsiaTheme="minorEastAsia"/>
                <w:color w:val="000000" w:themeColor="text1"/>
                <w:kern w:val="24"/>
                <w:sz w:val="21"/>
                <w:szCs w:val="21"/>
              </w:rPr>
              <w:t>钢结构+彩钢瓦</w:t>
            </w:r>
          </w:p>
        </w:tc>
        <w:tc>
          <w:tcPr>
            <w:tcW w:w="1452" w:type="dxa"/>
            <w:vAlign w:val="center"/>
          </w:tcPr>
          <w:p>
            <w:pPr>
              <w:tabs>
                <w:tab w:val="left" w:pos="1960"/>
              </w:tabs>
              <w:spacing w:line="240" w:lineRule="auto"/>
              <w:ind w:firstLine="0" w:firstLineChars="0"/>
              <w:jc w:val="center"/>
              <w:rPr>
                <w:color w:val="000000" w:themeColor="text1"/>
                <w:sz w:val="21"/>
                <w:szCs w:val="21"/>
              </w:rPr>
            </w:pPr>
            <w:r>
              <w:rPr>
                <w:rFonts w:hint="eastAsia"/>
                <w:color w:val="000000" w:themeColor="text1"/>
                <w:sz w:val="21"/>
                <w:szCs w:val="21"/>
              </w:rPr>
              <w:t>新建，未建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9"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spacing w:line="240" w:lineRule="exact"/>
              <w:ind w:firstLine="0" w:firstLineChars="0"/>
              <w:jc w:val="center"/>
              <w:rPr>
                <w:color w:val="000000" w:themeColor="text1"/>
                <w:sz w:val="21"/>
                <w:szCs w:val="21"/>
              </w:rPr>
            </w:pPr>
            <w:r>
              <w:rPr>
                <w:rFonts w:hint="eastAsia"/>
                <w:color w:val="000000" w:themeColor="text1"/>
                <w:sz w:val="21"/>
                <w:szCs w:val="21"/>
              </w:rPr>
              <w:t>低品位矿堆棚</w:t>
            </w:r>
          </w:p>
        </w:tc>
        <w:tc>
          <w:tcPr>
            <w:tcW w:w="4239" w:type="dxa"/>
            <w:vAlign w:val="center"/>
          </w:tcPr>
          <w:p>
            <w:pPr>
              <w:spacing w:line="240" w:lineRule="exact"/>
              <w:ind w:firstLine="0" w:firstLineChars="0"/>
              <w:jc w:val="left"/>
              <w:rPr>
                <w:rFonts w:eastAsiaTheme="minorEastAsia"/>
                <w:color w:val="000000" w:themeColor="text1"/>
                <w:sz w:val="21"/>
                <w:szCs w:val="21"/>
              </w:rPr>
            </w:pPr>
            <w:r>
              <w:rPr>
                <w:rFonts w:hint="eastAsia" w:eastAsiaTheme="minorEastAsia"/>
                <w:color w:val="000000" w:themeColor="text1"/>
                <w:kern w:val="24"/>
                <w:sz w:val="21"/>
                <w:szCs w:val="21"/>
              </w:rPr>
              <w:t>位于原料处理站，</w:t>
            </w:r>
            <w:r>
              <w:rPr>
                <w:rFonts w:eastAsiaTheme="minorEastAsia"/>
                <w:color w:val="000000" w:themeColor="text1"/>
                <w:kern w:val="24"/>
                <w:sz w:val="21"/>
                <w:szCs w:val="21"/>
              </w:rPr>
              <w:t>低品位原矿堆棚500m</w:t>
            </w:r>
            <w:r>
              <w:rPr>
                <w:rFonts w:eastAsiaTheme="minorEastAsia"/>
                <w:color w:val="000000" w:themeColor="text1"/>
                <w:kern w:val="24"/>
                <w:sz w:val="21"/>
                <w:szCs w:val="21"/>
                <w:vertAlign w:val="superscript"/>
              </w:rPr>
              <w:t>2</w:t>
            </w:r>
            <w:r>
              <w:rPr>
                <w:rFonts w:hint="eastAsia" w:eastAsiaTheme="minorEastAsia"/>
                <w:color w:val="000000" w:themeColor="text1"/>
                <w:kern w:val="24"/>
                <w:sz w:val="21"/>
                <w:szCs w:val="21"/>
              </w:rPr>
              <w:t>，钢架结构，</w:t>
            </w:r>
            <w:r>
              <w:rPr>
                <w:rFonts w:eastAsiaTheme="minorEastAsia"/>
                <w:color w:val="000000" w:themeColor="text1"/>
                <w:kern w:val="24"/>
                <w:sz w:val="21"/>
                <w:szCs w:val="21"/>
              </w:rPr>
              <w:t>三面遮挡+挡雨棚形式</w:t>
            </w:r>
            <w:r>
              <w:rPr>
                <w:rFonts w:hint="eastAsia" w:eastAsiaTheme="minorEastAsia"/>
                <w:color w:val="000000" w:themeColor="text1"/>
                <w:kern w:val="24"/>
                <w:sz w:val="21"/>
                <w:szCs w:val="21"/>
              </w:rPr>
              <w:t>，</w:t>
            </w:r>
            <w:r>
              <w:rPr>
                <w:rStyle w:val="73"/>
                <w:rFonts w:hint="eastAsia"/>
                <w:color w:val="000000" w:themeColor="text1"/>
                <w:kern w:val="0"/>
              </w:rPr>
              <w:t>场地硬化</w:t>
            </w:r>
          </w:p>
        </w:tc>
        <w:tc>
          <w:tcPr>
            <w:tcW w:w="1662" w:type="dxa"/>
            <w:vAlign w:val="center"/>
          </w:tcPr>
          <w:p>
            <w:pPr>
              <w:spacing w:line="280" w:lineRule="exact"/>
              <w:ind w:firstLine="0" w:firstLineChars="0"/>
              <w:jc w:val="center"/>
              <w:rPr>
                <w:color w:val="000000" w:themeColor="text1"/>
                <w:sz w:val="21"/>
                <w:szCs w:val="21"/>
              </w:rPr>
            </w:pPr>
            <w:r>
              <w:rPr>
                <w:rFonts w:eastAsiaTheme="minorEastAsia"/>
                <w:color w:val="000000" w:themeColor="text1"/>
                <w:kern w:val="24"/>
                <w:sz w:val="21"/>
                <w:szCs w:val="21"/>
              </w:rPr>
              <w:t>钢结构+彩钢瓦</w:t>
            </w:r>
          </w:p>
        </w:tc>
        <w:tc>
          <w:tcPr>
            <w:tcW w:w="1452" w:type="dxa"/>
            <w:vAlign w:val="center"/>
          </w:tcPr>
          <w:p>
            <w:pPr>
              <w:tabs>
                <w:tab w:val="left" w:pos="1960"/>
              </w:tabs>
              <w:spacing w:line="240" w:lineRule="auto"/>
              <w:ind w:firstLine="0" w:firstLineChars="0"/>
              <w:jc w:val="center"/>
              <w:rPr>
                <w:color w:val="000000" w:themeColor="text1"/>
                <w:sz w:val="21"/>
                <w:szCs w:val="21"/>
              </w:rPr>
            </w:pPr>
            <w:r>
              <w:rPr>
                <w:rFonts w:hint="eastAsia"/>
                <w:color w:val="000000" w:themeColor="text1"/>
                <w:sz w:val="21"/>
                <w:szCs w:val="21"/>
              </w:rPr>
              <w:t>新建，未建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9"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spacing w:line="240" w:lineRule="exact"/>
              <w:ind w:firstLine="0" w:firstLineChars="0"/>
              <w:jc w:val="center"/>
              <w:rPr>
                <w:color w:val="000000" w:themeColor="text1"/>
                <w:sz w:val="21"/>
                <w:szCs w:val="21"/>
              </w:rPr>
            </w:pPr>
            <w:r>
              <w:rPr>
                <w:rFonts w:hint="eastAsia"/>
                <w:color w:val="000000" w:themeColor="text1"/>
                <w:sz w:val="21"/>
                <w:szCs w:val="21"/>
              </w:rPr>
              <w:t>砂石料堆场</w:t>
            </w:r>
          </w:p>
        </w:tc>
        <w:tc>
          <w:tcPr>
            <w:tcW w:w="4239" w:type="dxa"/>
            <w:vAlign w:val="center"/>
          </w:tcPr>
          <w:p>
            <w:pPr>
              <w:spacing w:line="240" w:lineRule="exact"/>
              <w:ind w:firstLine="0" w:firstLineChars="0"/>
              <w:jc w:val="left"/>
              <w:rPr>
                <w:color w:val="000000" w:themeColor="text1"/>
                <w:kern w:val="24"/>
                <w:sz w:val="21"/>
                <w:szCs w:val="21"/>
              </w:rPr>
            </w:pPr>
            <w:r>
              <w:rPr>
                <w:rFonts w:hint="eastAsia" w:eastAsiaTheme="minorEastAsia"/>
                <w:color w:val="000000" w:themeColor="text1"/>
                <w:kern w:val="24"/>
                <w:sz w:val="21"/>
                <w:szCs w:val="21"/>
              </w:rPr>
              <w:t>位于原料处理站，</w:t>
            </w:r>
            <w:r>
              <w:rPr>
                <w:rFonts w:eastAsiaTheme="minorEastAsia"/>
                <w:color w:val="000000" w:themeColor="text1"/>
                <w:kern w:val="24"/>
                <w:sz w:val="21"/>
                <w:szCs w:val="21"/>
              </w:rPr>
              <w:t>砂石料堆棚</w:t>
            </w:r>
            <w:r>
              <w:rPr>
                <w:rFonts w:hint="eastAsia" w:eastAsiaTheme="minorEastAsia"/>
                <w:color w:val="000000" w:themeColor="text1"/>
                <w:kern w:val="24"/>
                <w:sz w:val="21"/>
                <w:szCs w:val="21"/>
              </w:rPr>
              <w:t>占地面积</w:t>
            </w:r>
            <w:r>
              <w:rPr>
                <w:rFonts w:eastAsiaTheme="minorEastAsia"/>
                <w:color w:val="000000" w:themeColor="text1"/>
                <w:kern w:val="24"/>
                <w:sz w:val="21"/>
                <w:szCs w:val="21"/>
              </w:rPr>
              <w:t>120m</w:t>
            </w:r>
            <w:r>
              <w:rPr>
                <w:rFonts w:eastAsiaTheme="minorEastAsia"/>
                <w:color w:val="000000" w:themeColor="text1"/>
                <w:kern w:val="24"/>
                <w:sz w:val="21"/>
                <w:szCs w:val="21"/>
                <w:vertAlign w:val="superscript"/>
              </w:rPr>
              <w:t>2</w:t>
            </w:r>
            <w:r>
              <w:rPr>
                <w:rFonts w:hint="eastAsia" w:eastAsiaTheme="minorEastAsia"/>
                <w:color w:val="000000" w:themeColor="text1"/>
                <w:kern w:val="24"/>
                <w:sz w:val="21"/>
                <w:szCs w:val="21"/>
              </w:rPr>
              <w:t>，钢架结构，</w:t>
            </w:r>
            <w:r>
              <w:rPr>
                <w:rFonts w:eastAsiaTheme="minorEastAsia"/>
                <w:color w:val="000000" w:themeColor="text1"/>
                <w:kern w:val="24"/>
                <w:sz w:val="21"/>
                <w:szCs w:val="21"/>
              </w:rPr>
              <w:t>三面遮挡+挡雨棚形式</w:t>
            </w:r>
            <w:r>
              <w:rPr>
                <w:rStyle w:val="73"/>
                <w:rFonts w:hint="eastAsia"/>
                <w:color w:val="000000" w:themeColor="text1"/>
                <w:kern w:val="0"/>
              </w:rPr>
              <w:t>，场地硬化</w:t>
            </w:r>
          </w:p>
        </w:tc>
        <w:tc>
          <w:tcPr>
            <w:tcW w:w="1662" w:type="dxa"/>
            <w:vAlign w:val="center"/>
          </w:tcPr>
          <w:p>
            <w:pPr>
              <w:spacing w:line="280" w:lineRule="exact"/>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钢结构+彩钢瓦</w:t>
            </w:r>
          </w:p>
        </w:tc>
        <w:tc>
          <w:tcPr>
            <w:tcW w:w="1452" w:type="dxa"/>
            <w:vAlign w:val="center"/>
          </w:tcPr>
          <w:p>
            <w:pPr>
              <w:tabs>
                <w:tab w:val="left" w:pos="1960"/>
              </w:tabs>
              <w:spacing w:line="240" w:lineRule="auto"/>
              <w:ind w:firstLine="0" w:firstLineChars="0"/>
              <w:jc w:val="center"/>
              <w:rPr>
                <w:color w:val="000000" w:themeColor="text1"/>
                <w:sz w:val="21"/>
                <w:szCs w:val="21"/>
              </w:rPr>
            </w:pPr>
            <w:r>
              <w:rPr>
                <w:rFonts w:hint="eastAsia"/>
                <w:color w:val="000000" w:themeColor="text1"/>
                <w:sz w:val="21"/>
                <w:szCs w:val="21"/>
              </w:rPr>
              <w:t>新建，未建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9"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spacing w:line="240" w:lineRule="exact"/>
              <w:ind w:firstLine="0" w:firstLineChars="0"/>
              <w:jc w:val="center"/>
              <w:rPr>
                <w:color w:val="000000" w:themeColor="text1"/>
                <w:sz w:val="21"/>
                <w:szCs w:val="21"/>
              </w:rPr>
            </w:pPr>
            <w:r>
              <w:rPr>
                <w:rFonts w:hint="eastAsia"/>
                <w:color w:val="000000" w:themeColor="text1"/>
                <w:sz w:val="21"/>
                <w:szCs w:val="21"/>
              </w:rPr>
              <w:t>产品堆场</w:t>
            </w:r>
          </w:p>
        </w:tc>
        <w:tc>
          <w:tcPr>
            <w:tcW w:w="4239" w:type="dxa"/>
            <w:vAlign w:val="center"/>
          </w:tcPr>
          <w:p>
            <w:pPr>
              <w:spacing w:line="240" w:lineRule="exact"/>
              <w:ind w:firstLine="0" w:firstLineChars="0"/>
              <w:jc w:val="left"/>
              <w:rPr>
                <w:rFonts w:eastAsiaTheme="minorEastAsia"/>
                <w:color w:val="000000" w:themeColor="text1"/>
                <w:sz w:val="21"/>
                <w:szCs w:val="21"/>
              </w:rPr>
            </w:pPr>
            <w:r>
              <w:rPr>
                <w:rFonts w:hint="eastAsia"/>
                <w:color w:val="000000" w:themeColor="text1"/>
                <w:sz w:val="21"/>
                <w:szCs w:val="21"/>
              </w:rPr>
              <w:t>位于陶瓷过滤机旁，占地面积300</w:t>
            </w:r>
            <w:r>
              <w:rPr>
                <w:rFonts w:eastAsiaTheme="minorEastAsia"/>
                <w:color w:val="000000" w:themeColor="text1"/>
                <w:kern w:val="24"/>
                <w:sz w:val="21"/>
                <w:szCs w:val="21"/>
              </w:rPr>
              <w:t>m</w:t>
            </w:r>
            <w:r>
              <w:rPr>
                <w:rFonts w:eastAsiaTheme="minorEastAsia"/>
                <w:color w:val="000000" w:themeColor="text1"/>
                <w:kern w:val="24"/>
                <w:sz w:val="21"/>
                <w:szCs w:val="21"/>
                <w:vertAlign w:val="superscript"/>
              </w:rPr>
              <w:t>2</w:t>
            </w:r>
            <w:r>
              <w:rPr>
                <w:rFonts w:hint="eastAsia" w:eastAsiaTheme="minorEastAsia"/>
                <w:color w:val="000000" w:themeColor="text1"/>
                <w:kern w:val="24"/>
                <w:sz w:val="21"/>
                <w:szCs w:val="21"/>
              </w:rPr>
              <w:t>，钢架结构，</w:t>
            </w:r>
            <w:r>
              <w:rPr>
                <w:rFonts w:eastAsiaTheme="minorEastAsia"/>
                <w:color w:val="000000" w:themeColor="text1"/>
                <w:kern w:val="24"/>
                <w:sz w:val="21"/>
                <w:szCs w:val="21"/>
              </w:rPr>
              <w:t>三面遮挡+挡雨棚形式</w:t>
            </w:r>
            <w:r>
              <w:rPr>
                <w:rFonts w:hint="eastAsia" w:eastAsiaTheme="minorEastAsia"/>
                <w:color w:val="000000" w:themeColor="text1"/>
                <w:kern w:val="24"/>
                <w:sz w:val="21"/>
                <w:szCs w:val="21"/>
              </w:rPr>
              <w:t>，</w:t>
            </w:r>
            <w:r>
              <w:rPr>
                <w:rStyle w:val="73"/>
                <w:rFonts w:hint="eastAsia"/>
                <w:color w:val="000000" w:themeColor="text1"/>
                <w:kern w:val="0"/>
              </w:rPr>
              <w:t>场地硬化</w:t>
            </w:r>
          </w:p>
        </w:tc>
        <w:tc>
          <w:tcPr>
            <w:tcW w:w="1662" w:type="dxa"/>
            <w:vAlign w:val="center"/>
          </w:tcPr>
          <w:p>
            <w:pPr>
              <w:spacing w:line="280" w:lineRule="exact"/>
              <w:ind w:firstLine="0" w:firstLineChars="0"/>
              <w:jc w:val="center"/>
              <w:rPr>
                <w:rFonts w:eastAsiaTheme="minorEastAsia"/>
                <w:color w:val="000000" w:themeColor="text1"/>
                <w:sz w:val="21"/>
                <w:szCs w:val="21"/>
              </w:rPr>
            </w:pPr>
            <w:r>
              <w:rPr>
                <w:rFonts w:eastAsiaTheme="minorEastAsia"/>
                <w:color w:val="000000" w:themeColor="text1"/>
                <w:kern w:val="24"/>
                <w:sz w:val="21"/>
                <w:szCs w:val="21"/>
              </w:rPr>
              <w:t>钢结构+彩钢瓦</w:t>
            </w:r>
            <w:r>
              <w:rPr>
                <w:rFonts w:hint="eastAsia" w:eastAsiaTheme="minorEastAsia"/>
                <w:color w:val="000000" w:themeColor="text1"/>
                <w:kern w:val="24"/>
                <w:sz w:val="21"/>
                <w:szCs w:val="21"/>
              </w:rPr>
              <w:t>，精矿池旁地面进行硬化</w:t>
            </w:r>
          </w:p>
        </w:tc>
        <w:tc>
          <w:tcPr>
            <w:tcW w:w="1452" w:type="dxa"/>
            <w:vAlign w:val="center"/>
          </w:tcPr>
          <w:p>
            <w:pPr>
              <w:tabs>
                <w:tab w:val="left" w:pos="1960"/>
              </w:tabs>
              <w:spacing w:line="240" w:lineRule="auto"/>
              <w:ind w:firstLine="0" w:firstLineChars="0"/>
              <w:jc w:val="center"/>
              <w:rPr>
                <w:color w:val="000000" w:themeColor="text1"/>
                <w:sz w:val="21"/>
                <w:szCs w:val="21"/>
              </w:rPr>
            </w:pPr>
            <w:r>
              <w:rPr>
                <w:rFonts w:hint="eastAsia"/>
                <w:color w:val="000000" w:themeColor="text1"/>
                <w:sz w:val="21"/>
                <w:szCs w:val="21"/>
              </w:rPr>
              <w:t>新建，未建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9"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spacing w:line="240" w:lineRule="exact"/>
              <w:ind w:firstLine="0" w:firstLineChars="0"/>
              <w:jc w:val="center"/>
              <w:rPr>
                <w:color w:val="000000" w:themeColor="text1"/>
                <w:sz w:val="21"/>
                <w:szCs w:val="21"/>
              </w:rPr>
            </w:pPr>
            <w:r>
              <w:rPr>
                <w:rFonts w:hint="eastAsia"/>
                <w:color w:val="000000" w:themeColor="text1"/>
                <w:sz w:val="21"/>
                <w:szCs w:val="21"/>
              </w:rPr>
              <w:t>内部道路运输</w:t>
            </w:r>
          </w:p>
        </w:tc>
        <w:tc>
          <w:tcPr>
            <w:tcW w:w="4239" w:type="dxa"/>
            <w:vAlign w:val="center"/>
          </w:tcPr>
          <w:p>
            <w:pPr>
              <w:spacing w:line="240" w:lineRule="exact"/>
              <w:ind w:firstLine="0" w:firstLineChars="0"/>
              <w:jc w:val="left"/>
              <w:rPr>
                <w:color w:val="000000" w:themeColor="text1"/>
                <w:sz w:val="21"/>
                <w:szCs w:val="21"/>
              </w:rPr>
            </w:pPr>
            <w:r>
              <w:rPr>
                <w:rFonts w:hint="eastAsia"/>
                <w:color w:val="000000" w:themeColor="text1"/>
                <w:sz w:val="21"/>
                <w:szCs w:val="21"/>
              </w:rPr>
              <w:t>原料运输从公戛路至原料处理站，距离约150m，道路硬化，从产品堆场至公戛路，距离约100m，道路硬化，原料及产品运输采用自卸车</w:t>
            </w:r>
          </w:p>
        </w:tc>
        <w:tc>
          <w:tcPr>
            <w:tcW w:w="1662" w:type="dxa"/>
            <w:vAlign w:val="center"/>
          </w:tcPr>
          <w:p>
            <w:pPr>
              <w:spacing w:line="280" w:lineRule="exact"/>
              <w:ind w:firstLine="0" w:firstLineChars="0"/>
              <w:jc w:val="center"/>
              <w:rPr>
                <w:color w:val="000000" w:themeColor="text1"/>
                <w:sz w:val="21"/>
                <w:szCs w:val="21"/>
              </w:rPr>
            </w:pPr>
            <w:r>
              <w:rPr>
                <w:rFonts w:hint="eastAsia"/>
                <w:color w:val="000000" w:themeColor="text1"/>
                <w:sz w:val="21"/>
                <w:szCs w:val="21"/>
              </w:rPr>
              <w:t>/</w:t>
            </w:r>
          </w:p>
        </w:tc>
        <w:tc>
          <w:tcPr>
            <w:tcW w:w="1452" w:type="dxa"/>
            <w:vAlign w:val="center"/>
          </w:tcPr>
          <w:p>
            <w:pPr>
              <w:tabs>
                <w:tab w:val="left" w:pos="1960"/>
              </w:tabs>
              <w:spacing w:line="240" w:lineRule="auto"/>
              <w:ind w:firstLine="0" w:firstLineChars="0"/>
              <w:jc w:val="center"/>
              <w:rPr>
                <w:color w:val="000000" w:themeColor="text1"/>
                <w:sz w:val="21"/>
                <w:szCs w:val="21"/>
              </w:rPr>
            </w:pPr>
            <w:r>
              <w:rPr>
                <w:rFonts w:hint="eastAsia"/>
                <w:color w:val="000000" w:themeColor="text1"/>
                <w:sz w:val="21"/>
                <w:szCs w:val="21"/>
              </w:rPr>
              <w:t xml:space="preserve">在原有道路的基础上改建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9" w:hRule="atLeast"/>
        </w:trPr>
        <w:tc>
          <w:tcPr>
            <w:tcW w:w="426" w:type="dxa"/>
            <w:vMerge w:val="restart"/>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eastAsiaTheme="minorEastAsia"/>
                <w:color w:val="000000" w:themeColor="text1"/>
                <w:kern w:val="24"/>
                <w:sz w:val="21"/>
                <w:szCs w:val="21"/>
              </w:rPr>
              <w:t>公用工程</w:t>
            </w:r>
          </w:p>
        </w:tc>
        <w:tc>
          <w:tcPr>
            <w:tcW w:w="74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给水</w:t>
            </w: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生产用水主要来源于项目南侧困龙河，生产用水泵通过管道（DN100）将水引至高位水池（500m</w:t>
            </w:r>
            <w:r>
              <w:rPr>
                <w:rFonts w:eastAsiaTheme="minorEastAsia"/>
                <w:color w:val="000000" w:themeColor="text1"/>
                <w:kern w:val="24"/>
                <w:sz w:val="21"/>
                <w:szCs w:val="21"/>
                <w:vertAlign w:val="superscript"/>
              </w:rPr>
              <w:t>3</w:t>
            </w:r>
            <w:r>
              <w:rPr>
                <w:rFonts w:eastAsiaTheme="minorEastAsia"/>
                <w:color w:val="000000" w:themeColor="text1"/>
                <w:kern w:val="24"/>
                <w:sz w:val="21"/>
                <w:szCs w:val="21"/>
              </w:rPr>
              <w:t>）后，再通过管道引至选厂供水。生活用水来源于自来水</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排水</w:t>
            </w: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hint="eastAsia" w:eastAsiaTheme="minorEastAsia"/>
                <w:color w:val="000000" w:themeColor="text1"/>
                <w:kern w:val="24"/>
                <w:sz w:val="21"/>
                <w:szCs w:val="21"/>
                <w:lang w:eastAsia="zh-CN"/>
              </w:rPr>
              <w:t>陶瓷压滤废水</w:t>
            </w:r>
            <w:r>
              <w:rPr>
                <w:rFonts w:hint="eastAsia" w:eastAsiaTheme="minorEastAsia"/>
                <w:color w:val="000000" w:themeColor="text1"/>
                <w:kern w:val="24"/>
                <w:sz w:val="21"/>
                <w:szCs w:val="21"/>
                <w:lang w:val="en-US" w:eastAsia="zh-CN"/>
              </w:rPr>
              <w:t>及陶瓷机清洗废水</w:t>
            </w:r>
            <w:r>
              <w:rPr>
                <w:rFonts w:eastAsiaTheme="minorEastAsia"/>
                <w:color w:val="000000" w:themeColor="text1"/>
                <w:kern w:val="24"/>
                <w:sz w:val="21"/>
                <w:szCs w:val="21"/>
              </w:rPr>
              <w:t>和实验室废水全部排至</w:t>
            </w:r>
            <w:r>
              <w:rPr>
                <w:rFonts w:hint="eastAsia" w:eastAsiaTheme="minorEastAsia"/>
                <w:color w:val="000000" w:themeColor="text1"/>
                <w:kern w:val="24"/>
                <w:sz w:val="21"/>
                <w:szCs w:val="21"/>
                <w:lang w:eastAsia="zh-CN"/>
              </w:rPr>
              <w:t>尾矿</w:t>
            </w:r>
            <w:r>
              <w:rPr>
                <w:rFonts w:eastAsiaTheme="minorEastAsia"/>
                <w:color w:val="000000" w:themeColor="text1"/>
                <w:kern w:val="24"/>
                <w:sz w:val="21"/>
                <w:szCs w:val="21"/>
              </w:rPr>
              <w:t>沉淀池处理后泵至生产线，回用于选矿生产</w:t>
            </w:r>
            <w:r>
              <w:rPr>
                <w:rFonts w:hint="eastAsia" w:eastAsiaTheme="minorEastAsia"/>
                <w:color w:val="000000" w:themeColor="text1"/>
                <w:kern w:val="24"/>
                <w:sz w:val="21"/>
                <w:szCs w:val="21"/>
                <w:lang w:eastAsia="zh-CN"/>
              </w:rPr>
              <w:t>，尾矿废水随尾矿携带进入平安公司辣子箐口选厂的浓密池内</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化粪池依托现有，污水处理设施为新建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供电</w:t>
            </w:r>
          </w:p>
        </w:tc>
        <w:tc>
          <w:tcPr>
            <w:tcW w:w="4239" w:type="dxa"/>
            <w:vAlign w:val="center"/>
          </w:tcPr>
          <w:p>
            <w:pPr>
              <w:spacing w:line="240" w:lineRule="auto"/>
              <w:ind w:firstLine="0" w:firstLineChars="0"/>
              <w:jc w:val="left"/>
              <w:rPr>
                <w:color w:val="000000" w:themeColor="text1"/>
                <w:kern w:val="24"/>
                <w:sz w:val="21"/>
                <w:szCs w:val="21"/>
              </w:rPr>
            </w:pPr>
            <w:r>
              <w:rPr>
                <w:rFonts w:eastAsiaTheme="minorEastAsia"/>
                <w:color w:val="000000" w:themeColor="text1"/>
                <w:sz w:val="21"/>
                <w:szCs w:val="21"/>
              </w:rPr>
              <w:t>电力由市政供给</w:t>
            </w:r>
            <w:r>
              <w:rPr>
                <w:rStyle w:val="73"/>
                <w:rFonts w:hint="eastAsia"/>
                <w:color w:val="000000" w:themeColor="text1"/>
                <w:kern w:val="0"/>
              </w:rPr>
              <w:t>，厂区内设置1250</w:t>
            </w:r>
            <w:r>
              <w:rPr>
                <w:color w:val="000000" w:themeColor="text1"/>
                <w:sz w:val="21"/>
                <w:szCs w:val="21"/>
              </w:rPr>
              <w:t>KVA</w:t>
            </w:r>
            <w:r>
              <w:rPr>
                <w:rFonts w:hint="eastAsia"/>
                <w:color w:val="000000" w:themeColor="text1"/>
                <w:sz w:val="21"/>
                <w:szCs w:val="21"/>
              </w:rPr>
              <w:t>变压器1台，1000</w:t>
            </w:r>
            <w:r>
              <w:rPr>
                <w:color w:val="000000" w:themeColor="text1"/>
                <w:sz w:val="21"/>
                <w:szCs w:val="21"/>
              </w:rPr>
              <w:t>KVA</w:t>
            </w:r>
            <w:r>
              <w:rPr>
                <w:rFonts w:hint="eastAsia"/>
                <w:color w:val="000000" w:themeColor="text1"/>
                <w:sz w:val="21"/>
                <w:szCs w:val="21"/>
              </w:rPr>
              <w:t>变压器2台，600</w:t>
            </w:r>
            <w:r>
              <w:rPr>
                <w:color w:val="000000" w:themeColor="text1"/>
                <w:sz w:val="21"/>
                <w:szCs w:val="21"/>
              </w:rPr>
              <w:t>KVA</w:t>
            </w:r>
            <w:r>
              <w:rPr>
                <w:rFonts w:hint="eastAsia"/>
                <w:color w:val="000000" w:themeColor="text1"/>
                <w:sz w:val="21"/>
                <w:szCs w:val="21"/>
              </w:rPr>
              <w:t>变压器1台，800</w:t>
            </w:r>
            <w:r>
              <w:rPr>
                <w:color w:val="000000" w:themeColor="text1"/>
                <w:sz w:val="21"/>
                <w:szCs w:val="21"/>
              </w:rPr>
              <w:t>KVA</w:t>
            </w:r>
            <w:r>
              <w:rPr>
                <w:rFonts w:hint="eastAsia"/>
                <w:color w:val="000000" w:themeColor="text1"/>
                <w:sz w:val="21"/>
                <w:szCs w:val="21"/>
              </w:rPr>
              <w:t>变压器1台</w:t>
            </w:r>
          </w:p>
        </w:tc>
        <w:tc>
          <w:tcPr>
            <w:tcW w:w="166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restart"/>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eastAsiaTheme="minorEastAsia"/>
                <w:color w:val="000000" w:themeColor="text1"/>
                <w:kern w:val="24"/>
                <w:sz w:val="21"/>
                <w:szCs w:val="21"/>
              </w:rPr>
              <w:t>环保工程</w:t>
            </w:r>
          </w:p>
        </w:tc>
        <w:tc>
          <w:tcPr>
            <w:tcW w:w="746" w:type="dxa"/>
            <w:vMerge w:val="restart"/>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废气治理</w:t>
            </w: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给料口</w:t>
            </w:r>
            <w:r>
              <w:rPr>
                <w:rFonts w:eastAsiaTheme="minorEastAsia"/>
                <w:bCs/>
                <w:color w:val="000000" w:themeColor="text1"/>
                <w:sz w:val="21"/>
                <w:szCs w:val="21"/>
              </w:rPr>
              <w:t>喷淋降尘，给料口除上部给料处，四周</w:t>
            </w:r>
            <w:r>
              <w:rPr>
                <w:rFonts w:hint="eastAsia" w:eastAsiaTheme="minorEastAsia"/>
                <w:bCs/>
                <w:color w:val="000000" w:themeColor="text1"/>
                <w:sz w:val="21"/>
                <w:szCs w:val="21"/>
              </w:rPr>
              <w:t>密闭</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原矿石堆场设置堆棚形式，</w:t>
            </w:r>
            <w:r>
              <w:rPr>
                <w:rFonts w:hint="eastAsia" w:eastAsiaTheme="minorEastAsia"/>
                <w:color w:val="000000" w:themeColor="text1"/>
                <w:kern w:val="24"/>
                <w:sz w:val="21"/>
                <w:szCs w:val="21"/>
              </w:rPr>
              <w:t>场地硬化，堆棚</w:t>
            </w:r>
            <w:r>
              <w:rPr>
                <w:rFonts w:eastAsiaTheme="minorEastAsia"/>
                <w:color w:val="000000" w:themeColor="text1"/>
                <w:kern w:val="24"/>
                <w:sz w:val="21"/>
                <w:szCs w:val="21"/>
              </w:rPr>
              <w:t>三面围挡+遮雨棚</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钢棚结构</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低品位原矿堆场</w:t>
            </w:r>
            <w:r>
              <w:rPr>
                <w:rFonts w:hint="eastAsia" w:eastAsiaTheme="minorEastAsia"/>
                <w:color w:val="000000" w:themeColor="text1"/>
                <w:kern w:val="24"/>
                <w:sz w:val="21"/>
                <w:szCs w:val="21"/>
              </w:rPr>
              <w:t>、产品精矿堆场</w:t>
            </w:r>
            <w:r>
              <w:rPr>
                <w:rFonts w:eastAsiaTheme="minorEastAsia"/>
                <w:color w:val="000000" w:themeColor="text1"/>
                <w:kern w:val="24"/>
                <w:sz w:val="21"/>
                <w:szCs w:val="21"/>
              </w:rPr>
              <w:t>设置堆棚形式，</w:t>
            </w:r>
            <w:r>
              <w:rPr>
                <w:rFonts w:hint="eastAsia" w:eastAsiaTheme="minorEastAsia"/>
                <w:color w:val="000000" w:themeColor="text1"/>
                <w:kern w:val="24"/>
                <w:sz w:val="21"/>
                <w:szCs w:val="21"/>
              </w:rPr>
              <w:t>地面硬化，</w:t>
            </w:r>
            <w:r>
              <w:rPr>
                <w:rFonts w:eastAsiaTheme="minorEastAsia"/>
                <w:color w:val="000000" w:themeColor="text1"/>
                <w:kern w:val="24"/>
                <w:sz w:val="21"/>
                <w:szCs w:val="21"/>
              </w:rPr>
              <w:t>三面围挡+遮雨棚，堆棚设置喷淋装置</w:t>
            </w:r>
            <w:r>
              <w:rPr>
                <w:rFonts w:hint="eastAsia" w:eastAsiaTheme="minorEastAsia"/>
                <w:color w:val="000000" w:themeColor="text1"/>
                <w:kern w:val="24"/>
                <w:sz w:val="21"/>
                <w:szCs w:val="21"/>
              </w:rPr>
              <w:t>，三级精矿暂存在三级精矿池</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钢棚结构</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公分石和瓜子石堆场设置堆棚形式，三面围挡+遮雨棚</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钢棚结构</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机制砂堆场设施堆棚形式，三面围挡+遮雨棚，堆棚设置喷淋装置</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钢棚结构</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输送</w:t>
            </w:r>
            <w:r>
              <w:rPr>
                <w:rFonts w:hint="eastAsia" w:eastAsiaTheme="minorEastAsia"/>
                <w:color w:val="000000" w:themeColor="text1"/>
                <w:kern w:val="24"/>
                <w:sz w:val="21"/>
                <w:szCs w:val="21"/>
              </w:rPr>
              <w:t>廊道进行</w:t>
            </w:r>
            <w:r>
              <w:rPr>
                <w:rFonts w:eastAsiaTheme="minorEastAsia"/>
                <w:color w:val="000000" w:themeColor="text1"/>
                <w:kern w:val="24"/>
                <w:sz w:val="21"/>
                <w:szCs w:val="21"/>
              </w:rPr>
              <w:t>密闭，落料处降低落料高度，运输道路定期洒水降尘</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原料和产品</w:t>
            </w:r>
            <w:r>
              <w:rPr>
                <w:rFonts w:hint="eastAsia" w:eastAsiaTheme="minorEastAsia"/>
                <w:color w:val="000000" w:themeColor="text1"/>
                <w:kern w:val="24"/>
                <w:sz w:val="21"/>
                <w:szCs w:val="21"/>
              </w:rPr>
              <w:t>、副产品砂石料</w:t>
            </w:r>
            <w:r>
              <w:rPr>
                <w:rFonts w:eastAsiaTheme="minorEastAsia"/>
                <w:color w:val="000000" w:themeColor="text1"/>
                <w:kern w:val="24"/>
                <w:sz w:val="21"/>
                <w:szCs w:val="21"/>
              </w:rPr>
              <w:t>装卸采用雾炮喷雾降尘</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hint="eastAsia" w:eastAsiaTheme="minorEastAsia"/>
                <w:color w:val="000000" w:themeColor="text1"/>
                <w:kern w:val="24"/>
                <w:sz w:val="21"/>
                <w:szCs w:val="21"/>
              </w:rPr>
              <w:t>2台鄂式破碎机和2台圆锥破碎机分别设置</w:t>
            </w:r>
            <w:r>
              <w:rPr>
                <w:rFonts w:eastAsiaTheme="minorEastAsia"/>
                <w:color w:val="000000" w:themeColor="text1"/>
                <w:kern w:val="24"/>
                <w:sz w:val="21"/>
                <w:szCs w:val="21"/>
              </w:rPr>
              <w:t>集气罩</w:t>
            </w:r>
            <w:r>
              <w:rPr>
                <w:rFonts w:hint="eastAsia" w:eastAsiaTheme="minorEastAsia"/>
                <w:color w:val="000000" w:themeColor="text1"/>
                <w:kern w:val="24"/>
                <w:sz w:val="21"/>
                <w:szCs w:val="21"/>
              </w:rPr>
              <w:t>，共用1套</w:t>
            </w:r>
            <w:r>
              <w:rPr>
                <w:rFonts w:eastAsiaTheme="minorEastAsia"/>
                <w:color w:val="000000" w:themeColor="text1"/>
                <w:kern w:val="24"/>
                <w:sz w:val="21"/>
                <w:szCs w:val="21"/>
              </w:rPr>
              <w:t>布袋除尘后，通过1根15m高排气筒排放</w:t>
            </w:r>
            <w:r>
              <w:rPr>
                <w:rFonts w:hint="eastAsia" w:eastAsiaTheme="minorEastAsia"/>
                <w:color w:val="000000" w:themeColor="text1"/>
                <w:kern w:val="24"/>
                <w:sz w:val="21"/>
                <w:szCs w:val="21"/>
              </w:rPr>
              <w:t>（DA001）</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hint="eastAsia" w:eastAsiaTheme="minorEastAsia"/>
                <w:color w:val="000000" w:themeColor="text1"/>
                <w:kern w:val="24"/>
                <w:sz w:val="21"/>
                <w:szCs w:val="21"/>
              </w:rPr>
              <w:t>3台振动筛、1台水平筛、1台制砂机、1台辊压机分别</w:t>
            </w:r>
            <w:r>
              <w:rPr>
                <w:rFonts w:eastAsiaTheme="minorEastAsia"/>
                <w:color w:val="000000" w:themeColor="text1"/>
                <w:kern w:val="24"/>
                <w:sz w:val="21"/>
                <w:szCs w:val="21"/>
              </w:rPr>
              <w:t>设置集气罩</w:t>
            </w:r>
            <w:r>
              <w:rPr>
                <w:rFonts w:hint="eastAsia" w:eastAsiaTheme="minorEastAsia"/>
                <w:color w:val="000000" w:themeColor="text1"/>
                <w:kern w:val="24"/>
                <w:sz w:val="21"/>
                <w:szCs w:val="21"/>
              </w:rPr>
              <w:t>，共用1套</w:t>
            </w:r>
            <w:r>
              <w:rPr>
                <w:rFonts w:eastAsiaTheme="minorEastAsia"/>
                <w:color w:val="000000" w:themeColor="text1"/>
                <w:kern w:val="24"/>
                <w:sz w:val="21"/>
                <w:szCs w:val="21"/>
              </w:rPr>
              <w:t>布袋除尘后，通过1根15m高排气筒排放</w:t>
            </w:r>
            <w:r>
              <w:rPr>
                <w:rFonts w:hint="eastAsia" w:eastAsiaTheme="minorEastAsia"/>
                <w:color w:val="000000" w:themeColor="text1"/>
                <w:kern w:val="24"/>
                <w:sz w:val="21"/>
                <w:szCs w:val="21"/>
              </w:rPr>
              <w:t>(DA002)</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restart"/>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废水治理</w:t>
            </w: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洗砂泥浆进入</w:t>
            </w:r>
            <w:r>
              <w:rPr>
                <w:rFonts w:hint="eastAsia" w:eastAsiaTheme="minorEastAsia"/>
                <w:color w:val="000000" w:themeColor="text1"/>
                <w:kern w:val="24"/>
                <w:sz w:val="21"/>
                <w:szCs w:val="21"/>
              </w:rPr>
              <w:t>原有项目</w:t>
            </w:r>
            <w:r>
              <w:rPr>
                <w:rFonts w:eastAsiaTheme="minorEastAsia"/>
                <w:color w:val="000000" w:themeColor="text1"/>
                <w:kern w:val="24"/>
                <w:sz w:val="21"/>
                <w:szCs w:val="21"/>
              </w:rPr>
              <w:t>磁选机回收残留铁矿</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hint="eastAsia" w:eastAsiaTheme="minorEastAsia"/>
                <w:color w:val="000000" w:themeColor="text1"/>
                <w:kern w:val="24"/>
                <w:sz w:val="21"/>
                <w:szCs w:val="21"/>
              </w:rPr>
              <w:t>生产区</w:t>
            </w:r>
            <w:r>
              <w:rPr>
                <w:rFonts w:eastAsiaTheme="minorEastAsia"/>
                <w:color w:val="000000" w:themeColor="text1"/>
                <w:kern w:val="24"/>
                <w:sz w:val="21"/>
                <w:szCs w:val="21"/>
              </w:rPr>
              <w:t>设置</w:t>
            </w:r>
            <w:r>
              <w:rPr>
                <w:rFonts w:hint="eastAsia" w:eastAsiaTheme="minorEastAsia"/>
                <w:color w:val="000000" w:themeColor="text1"/>
                <w:kern w:val="24"/>
                <w:sz w:val="21"/>
                <w:szCs w:val="21"/>
              </w:rPr>
              <w:t>初期</w:t>
            </w:r>
            <w:r>
              <w:rPr>
                <w:rFonts w:eastAsiaTheme="minorEastAsia"/>
                <w:color w:val="000000" w:themeColor="text1"/>
                <w:kern w:val="24"/>
                <w:sz w:val="21"/>
                <w:szCs w:val="21"/>
              </w:rPr>
              <w:t>雨水收集池</w:t>
            </w:r>
            <w:r>
              <w:rPr>
                <w:rFonts w:hint="eastAsia" w:eastAsiaTheme="minorEastAsia"/>
                <w:color w:val="000000" w:themeColor="text1"/>
                <w:kern w:val="24"/>
                <w:sz w:val="21"/>
                <w:szCs w:val="21"/>
              </w:rPr>
              <w:t>1个，容积为200m</w:t>
            </w:r>
            <w:r>
              <w:rPr>
                <w:rFonts w:hint="eastAsia" w:eastAsiaTheme="minorEastAsia"/>
                <w:color w:val="000000" w:themeColor="text1"/>
                <w:kern w:val="24"/>
                <w:sz w:val="21"/>
                <w:szCs w:val="21"/>
                <w:vertAlign w:val="superscript"/>
              </w:rPr>
              <w:t>3</w:t>
            </w:r>
            <w:r>
              <w:rPr>
                <w:rFonts w:hint="eastAsia" w:eastAsiaTheme="minorEastAsia"/>
                <w:color w:val="000000" w:themeColor="text1"/>
                <w:kern w:val="24"/>
                <w:sz w:val="21"/>
                <w:szCs w:val="21"/>
              </w:rPr>
              <w:t>，设置雨水沟250m</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hint="eastAsia" w:eastAsiaTheme="minorEastAsia"/>
                <w:color w:val="000000" w:themeColor="text1"/>
                <w:kern w:val="24"/>
                <w:sz w:val="21"/>
                <w:szCs w:val="21"/>
                <w:lang w:eastAsia="zh-CN"/>
              </w:rPr>
              <w:t>陶瓷压滤废水</w:t>
            </w:r>
            <w:r>
              <w:rPr>
                <w:rFonts w:hint="eastAsia" w:eastAsiaTheme="minorEastAsia"/>
                <w:color w:val="000000" w:themeColor="text1"/>
                <w:kern w:val="24"/>
                <w:sz w:val="21"/>
                <w:szCs w:val="21"/>
                <w:lang w:val="en-US" w:eastAsia="zh-CN"/>
              </w:rPr>
              <w:t>及陶瓷机清洗废水</w:t>
            </w:r>
            <w:r>
              <w:rPr>
                <w:rFonts w:eastAsiaTheme="minorEastAsia"/>
                <w:color w:val="000000" w:themeColor="text1"/>
                <w:kern w:val="24"/>
                <w:sz w:val="21"/>
                <w:szCs w:val="21"/>
              </w:rPr>
              <w:t>和实验室废水全部排至</w:t>
            </w:r>
            <w:r>
              <w:rPr>
                <w:rFonts w:hint="eastAsia" w:eastAsiaTheme="minorEastAsia"/>
                <w:color w:val="000000" w:themeColor="text1"/>
                <w:kern w:val="24"/>
                <w:sz w:val="21"/>
                <w:szCs w:val="21"/>
                <w:lang w:eastAsia="zh-CN"/>
              </w:rPr>
              <w:t>尾矿</w:t>
            </w:r>
            <w:r>
              <w:rPr>
                <w:rFonts w:eastAsiaTheme="minorEastAsia"/>
                <w:color w:val="000000" w:themeColor="text1"/>
                <w:kern w:val="24"/>
                <w:sz w:val="21"/>
                <w:szCs w:val="21"/>
              </w:rPr>
              <w:t>沉淀池处理后泵至生产线，回用于选矿生产</w:t>
            </w:r>
            <w:r>
              <w:rPr>
                <w:rFonts w:hint="eastAsia" w:eastAsiaTheme="minorEastAsia"/>
                <w:color w:val="000000" w:themeColor="text1"/>
                <w:kern w:val="24"/>
                <w:sz w:val="21"/>
                <w:szCs w:val="21"/>
                <w:lang w:eastAsia="zh-CN"/>
              </w:rPr>
              <w:t>，技改尾矿废水随尾矿携带进入平安公司辣子箐口选厂的浓密池内</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93"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hint="eastAsia" w:eastAsiaTheme="minorEastAsia"/>
                <w:color w:val="000000" w:themeColor="text1"/>
                <w:kern w:val="24"/>
                <w:sz w:val="21"/>
                <w:szCs w:val="21"/>
              </w:rPr>
              <w:t>用水冲厕替代旱厕，</w:t>
            </w:r>
            <w:r>
              <w:rPr>
                <w:rFonts w:eastAsiaTheme="minorEastAsia"/>
                <w:color w:val="000000" w:themeColor="text1"/>
                <w:kern w:val="24"/>
                <w:sz w:val="21"/>
                <w:szCs w:val="21"/>
              </w:rPr>
              <w:t>生活污水新增一套一体化处理设施，处理规模15m</w:t>
            </w:r>
            <w:r>
              <w:rPr>
                <w:rFonts w:eastAsiaTheme="minorEastAsia"/>
                <w:color w:val="000000" w:themeColor="text1"/>
                <w:kern w:val="24"/>
                <w:sz w:val="21"/>
                <w:szCs w:val="21"/>
                <w:vertAlign w:val="superscript"/>
              </w:rPr>
              <w:t>3</w:t>
            </w:r>
            <w:r>
              <w:rPr>
                <w:rFonts w:eastAsiaTheme="minorEastAsia"/>
                <w:color w:val="000000" w:themeColor="text1"/>
                <w:kern w:val="24"/>
                <w:sz w:val="21"/>
                <w:szCs w:val="21"/>
              </w:rPr>
              <w:t>/d，并依托现有15m</w:t>
            </w:r>
            <w:r>
              <w:rPr>
                <w:rFonts w:eastAsiaTheme="minorEastAsia"/>
                <w:color w:val="000000" w:themeColor="text1"/>
                <w:kern w:val="24"/>
                <w:sz w:val="21"/>
                <w:szCs w:val="21"/>
                <w:vertAlign w:val="superscript"/>
              </w:rPr>
              <w:t>3</w:t>
            </w:r>
            <w:r>
              <w:rPr>
                <w:rFonts w:eastAsiaTheme="minorEastAsia"/>
                <w:color w:val="000000" w:themeColor="text1"/>
                <w:kern w:val="24"/>
                <w:sz w:val="21"/>
                <w:szCs w:val="21"/>
              </w:rPr>
              <w:t>化粪池进行收集，配套50m</w:t>
            </w:r>
            <w:r>
              <w:rPr>
                <w:rFonts w:eastAsiaTheme="minorEastAsia"/>
                <w:color w:val="000000" w:themeColor="text1"/>
                <w:kern w:val="24"/>
                <w:sz w:val="21"/>
                <w:szCs w:val="21"/>
                <w:vertAlign w:val="superscript"/>
              </w:rPr>
              <w:t>3</w:t>
            </w:r>
            <w:r>
              <w:rPr>
                <w:rFonts w:eastAsiaTheme="minorEastAsia"/>
                <w:color w:val="000000" w:themeColor="text1"/>
                <w:kern w:val="24"/>
                <w:sz w:val="21"/>
                <w:szCs w:val="21"/>
              </w:rPr>
              <w:t>的</w:t>
            </w:r>
            <w:r>
              <w:rPr>
                <w:rFonts w:hint="eastAsia" w:eastAsiaTheme="minorEastAsia"/>
                <w:color w:val="000000" w:themeColor="text1"/>
                <w:kern w:val="24"/>
                <w:sz w:val="21"/>
                <w:szCs w:val="21"/>
              </w:rPr>
              <w:t>收集池</w:t>
            </w:r>
            <w:r>
              <w:rPr>
                <w:rFonts w:eastAsiaTheme="minorEastAsia"/>
                <w:color w:val="000000" w:themeColor="text1"/>
                <w:kern w:val="24"/>
                <w:sz w:val="21"/>
                <w:szCs w:val="21"/>
              </w:rPr>
              <w:t>，处理后回用于</w:t>
            </w:r>
            <w:r>
              <w:rPr>
                <w:rFonts w:hint="eastAsia" w:eastAsiaTheme="minorEastAsia"/>
                <w:color w:val="000000" w:themeColor="text1"/>
                <w:kern w:val="24"/>
                <w:sz w:val="21"/>
                <w:szCs w:val="21"/>
              </w:rPr>
              <w:t>厂区</w:t>
            </w:r>
            <w:r>
              <w:rPr>
                <w:rFonts w:eastAsiaTheme="minorEastAsia"/>
                <w:color w:val="000000" w:themeColor="text1"/>
                <w:kern w:val="24"/>
                <w:sz w:val="21"/>
                <w:szCs w:val="21"/>
              </w:rPr>
              <w:t>绿化</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化粪池依托现有，污水处理设施</w:t>
            </w:r>
            <w:r>
              <w:rPr>
                <w:rFonts w:hint="eastAsia" w:eastAsiaTheme="minorEastAsia"/>
                <w:color w:val="000000" w:themeColor="text1"/>
                <w:kern w:val="24"/>
                <w:sz w:val="21"/>
                <w:szCs w:val="21"/>
              </w:rPr>
              <w:t>及收集池</w:t>
            </w:r>
            <w:r>
              <w:rPr>
                <w:rFonts w:eastAsiaTheme="minorEastAsia"/>
                <w:color w:val="000000" w:themeColor="text1"/>
                <w:kern w:val="24"/>
                <w:sz w:val="21"/>
                <w:szCs w:val="21"/>
              </w:rPr>
              <w:t>为新建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1"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噪声</w:t>
            </w:r>
          </w:p>
        </w:tc>
        <w:tc>
          <w:tcPr>
            <w:tcW w:w="4239" w:type="dxa"/>
            <w:vAlign w:val="center"/>
          </w:tcPr>
          <w:p>
            <w:pPr>
              <w:tabs>
                <w:tab w:val="left" w:pos="1960"/>
              </w:tabs>
              <w:spacing w:line="240" w:lineRule="auto"/>
              <w:ind w:firstLine="0" w:firstLineChars="0"/>
              <w:jc w:val="left"/>
              <w:rPr>
                <w:color w:val="000000" w:themeColor="text1"/>
                <w:kern w:val="24"/>
                <w:sz w:val="21"/>
                <w:szCs w:val="21"/>
              </w:rPr>
            </w:pPr>
            <w:r>
              <w:rPr>
                <w:rFonts w:eastAsiaTheme="minorEastAsia"/>
                <w:color w:val="000000" w:themeColor="text1"/>
                <w:kern w:val="24"/>
                <w:sz w:val="21"/>
                <w:szCs w:val="21"/>
              </w:rPr>
              <w:t>安装减震垫、厂房隔声</w:t>
            </w:r>
            <w:r>
              <w:rPr>
                <w:rStyle w:val="73"/>
                <w:rFonts w:hint="eastAsia"/>
                <w:color w:val="000000" w:themeColor="text1"/>
                <w:kern w:val="0"/>
              </w:rPr>
              <w:t>、风机安装消声器</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8"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restart"/>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固废治理</w:t>
            </w: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技改铁矿再选尾矿进龙都尾矿库</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依托龙都尾矿库，新建部分输送管网，已建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3"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生活垃圾</w:t>
            </w:r>
            <w:r>
              <w:rPr>
                <w:rFonts w:eastAsiaTheme="minorEastAsia"/>
                <w:color w:val="000000" w:themeColor="text1"/>
                <w:kern w:val="0"/>
                <w:sz w:val="21"/>
                <w:szCs w:val="21"/>
              </w:rPr>
              <w:t>定点收集，运往戛洒镇指定地点处理</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3"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收尘灰</w:t>
            </w:r>
            <w:r>
              <w:rPr>
                <w:rFonts w:hint="eastAsia" w:eastAsiaTheme="minorEastAsia"/>
                <w:color w:val="000000" w:themeColor="text1"/>
                <w:kern w:val="24"/>
                <w:sz w:val="21"/>
                <w:szCs w:val="21"/>
              </w:rPr>
              <w:t>作为</w:t>
            </w:r>
            <w:r>
              <w:rPr>
                <w:rFonts w:eastAsiaTheme="minorEastAsia"/>
                <w:color w:val="000000" w:themeColor="text1"/>
                <w:kern w:val="24"/>
                <w:sz w:val="21"/>
                <w:szCs w:val="21"/>
              </w:rPr>
              <w:t>产品砂料，</w:t>
            </w:r>
            <w:r>
              <w:rPr>
                <w:rFonts w:hint="eastAsia" w:eastAsiaTheme="minorEastAsia"/>
                <w:color w:val="000000" w:themeColor="text1"/>
                <w:kern w:val="24"/>
                <w:sz w:val="21"/>
                <w:szCs w:val="21"/>
              </w:rPr>
              <w:t>外售</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w:t>
            </w:r>
            <w:r>
              <w:rPr>
                <w:rFonts w:hint="eastAsia" w:eastAsiaTheme="minorEastAsia"/>
                <w:color w:val="000000" w:themeColor="text1"/>
                <w:kern w:val="24"/>
                <w:sz w:val="21"/>
                <w:szCs w:val="21"/>
              </w:rPr>
              <w:t>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left"/>
              <w:rPr>
                <w:rFonts w:eastAsiaTheme="minorEastAsia"/>
                <w:color w:val="000000" w:themeColor="text1"/>
                <w:kern w:val="24"/>
                <w:sz w:val="21"/>
                <w:szCs w:val="21"/>
              </w:rPr>
            </w:pPr>
            <w:r>
              <w:rPr>
                <w:rFonts w:eastAsiaTheme="minorEastAsia"/>
                <w:color w:val="000000" w:themeColor="text1"/>
                <w:kern w:val="24"/>
                <w:sz w:val="21"/>
                <w:szCs w:val="21"/>
              </w:rPr>
              <w:t>危废暂存间</w:t>
            </w:r>
            <w:r>
              <w:rPr>
                <w:rFonts w:hint="eastAsia" w:eastAsiaTheme="minorEastAsia"/>
                <w:color w:val="000000" w:themeColor="text1"/>
                <w:kern w:val="24"/>
                <w:sz w:val="21"/>
                <w:szCs w:val="21"/>
              </w:rPr>
              <w:t>（2间）</w:t>
            </w:r>
            <w:r>
              <w:rPr>
                <w:rFonts w:eastAsiaTheme="minorEastAsia"/>
                <w:color w:val="000000" w:themeColor="text1"/>
                <w:kern w:val="24"/>
                <w:sz w:val="21"/>
                <w:szCs w:val="21"/>
              </w:rPr>
              <w:t>占地面积</w:t>
            </w:r>
            <w:r>
              <w:rPr>
                <w:rFonts w:hint="eastAsia" w:eastAsiaTheme="minorEastAsia"/>
                <w:color w:val="000000" w:themeColor="text1"/>
                <w:kern w:val="24"/>
                <w:sz w:val="21"/>
                <w:szCs w:val="21"/>
              </w:rPr>
              <w:t>20</w:t>
            </w:r>
            <w:r>
              <w:rPr>
                <w:rFonts w:eastAsiaTheme="minorEastAsia"/>
                <w:color w:val="000000" w:themeColor="text1"/>
                <w:kern w:val="24"/>
                <w:sz w:val="21"/>
                <w:szCs w:val="21"/>
              </w:rPr>
              <w:t>m</w:t>
            </w:r>
            <w:r>
              <w:rPr>
                <w:rFonts w:eastAsiaTheme="minorEastAsia"/>
                <w:color w:val="000000" w:themeColor="text1"/>
                <w:kern w:val="24"/>
                <w:sz w:val="21"/>
                <w:szCs w:val="21"/>
                <w:vertAlign w:val="superscript"/>
              </w:rPr>
              <w:t>2</w:t>
            </w:r>
            <w:r>
              <w:rPr>
                <w:rFonts w:eastAsiaTheme="minorEastAsia"/>
                <w:color w:val="000000" w:themeColor="text1"/>
                <w:kern w:val="24"/>
                <w:sz w:val="21"/>
                <w:szCs w:val="21"/>
              </w:rPr>
              <w:t>，要求</w:t>
            </w:r>
            <w:r>
              <w:rPr>
                <w:color w:val="000000" w:themeColor="text1"/>
                <w:kern w:val="0"/>
                <w:sz w:val="21"/>
                <w:szCs w:val="21"/>
                <w:shd w:val="clear" w:color="auto" w:fill="FFFFFF"/>
              </w:rPr>
              <w:t>地面与裙脚用坚固、防渗的材料建造，</w:t>
            </w:r>
            <w:r>
              <w:rPr>
                <w:bCs/>
                <w:color w:val="000000" w:themeColor="text1"/>
                <w:sz w:val="21"/>
                <w:szCs w:val="21"/>
              </w:rPr>
              <w:t>必须有泄漏液体收集装置，堵截泄漏的裙脚，</w:t>
            </w:r>
            <w:r>
              <w:rPr>
                <w:color w:val="000000" w:themeColor="text1"/>
                <w:kern w:val="0"/>
                <w:sz w:val="21"/>
                <w:szCs w:val="21"/>
                <w:shd w:val="clear" w:color="auto" w:fill="FFFFFF"/>
              </w:rPr>
              <w:t>基础必须防渗，防渗层为至少1米厚粘土层（渗透系数≤10</w:t>
            </w:r>
            <w:r>
              <w:rPr>
                <w:color w:val="000000" w:themeColor="text1"/>
                <w:kern w:val="0"/>
                <w:sz w:val="21"/>
                <w:szCs w:val="21"/>
                <w:shd w:val="clear" w:color="auto" w:fill="FFFFFF"/>
                <w:vertAlign w:val="superscript"/>
              </w:rPr>
              <w:t>-7</w:t>
            </w:r>
            <w:r>
              <w:rPr>
                <w:color w:val="000000" w:themeColor="text1"/>
                <w:kern w:val="0"/>
                <w:sz w:val="21"/>
                <w:szCs w:val="21"/>
                <w:shd w:val="clear" w:color="auto" w:fill="FFFFFF"/>
              </w:rPr>
              <w:t>厘米/秒），或2毫米厚高密度聚乙烯，或至少2毫米厚的其它人工材料，渗透系数≤10</w:t>
            </w:r>
            <w:r>
              <w:rPr>
                <w:color w:val="000000" w:themeColor="text1"/>
                <w:kern w:val="0"/>
                <w:sz w:val="21"/>
                <w:szCs w:val="21"/>
                <w:shd w:val="clear" w:color="auto" w:fill="FFFFFF"/>
                <w:vertAlign w:val="superscript"/>
              </w:rPr>
              <w:t>-10</w:t>
            </w:r>
            <w:r>
              <w:rPr>
                <w:color w:val="000000" w:themeColor="text1"/>
                <w:kern w:val="0"/>
                <w:sz w:val="21"/>
                <w:szCs w:val="21"/>
                <w:shd w:val="clear" w:color="auto" w:fill="FFFFFF"/>
              </w:rPr>
              <w:t>厘米/秒。</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砖混</w:t>
            </w:r>
          </w:p>
        </w:tc>
        <w:tc>
          <w:tcPr>
            <w:tcW w:w="1452" w:type="dxa"/>
            <w:vAlign w:val="center"/>
          </w:tcPr>
          <w:p>
            <w:pPr>
              <w:tabs>
                <w:tab w:val="left" w:pos="1960"/>
              </w:tabs>
              <w:spacing w:line="240" w:lineRule="auto"/>
              <w:ind w:firstLine="0" w:firstLineChars="0"/>
              <w:jc w:val="center"/>
              <w:rPr>
                <w:color w:val="000000" w:themeColor="text1"/>
                <w:kern w:val="24"/>
                <w:sz w:val="21"/>
                <w:szCs w:val="21"/>
              </w:rPr>
            </w:pPr>
            <w:r>
              <w:rPr>
                <w:rFonts w:eastAsiaTheme="minorEastAsia"/>
                <w:color w:val="000000" w:themeColor="text1"/>
                <w:kern w:val="24"/>
                <w:sz w:val="21"/>
                <w:szCs w:val="21"/>
              </w:rPr>
              <w:t>技改</w:t>
            </w:r>
            <w:r>
              <w:rPr>
                <w:rStyle w:val="73"/>
                <w:rFonts w:hint="eastAsia"/>
                <w:color w:val="000000" w:themeColor="text1"/>
                <w:kern w:val="0"/>
              </w:rPr>
              <w:t>，对原有危废间进行改造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restart"/>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环境风险</w:t>
            </w:r>
          </w:p>
        </w:tc>
        <w:tc>
          <w:tcPr>
            <w:tcW w:w="4239"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尾矿浆沉淀池旁</w:t>
            </w:r>
            <w:r>
              <w:rPr>
                <w:rFonts w:hint="eastAsia" w:eastAsiaTheme="minorEastAsia"/>
                <w:color w:val="000000" w:themeColor="text1"/>
                <w:lang w:eastAsia="zh-CN"/>
              </w:rPr>
              <w:t>事故应急池</w:t>
            </w:r>
            <w:r>
              <w:rPr>
                <w:rFonts w:eastAsiaTheme="minorEastAsia"/>
                <w:color w:val="000000" w:themeColor="text1"/>
                <w:lang w:eastAsia="zh-CN"/>
              </w:rPr>
              <w:t>，容积为200m</w:t>
            </w:r>
            <w:r>
              <w:rPr>
                <w:rFonts w:eastAsiaTheme="minorEastAsia"/>
                <w:color w:val="000000" w:themeColor="text1"/>
                <w:vertAlign w:val="superscript"/>
                <w:lang w:eastAsia="zh-CN"/>
              </w:rPr>
              <w:t>3</w:t>
            </w:r>
          </w:p>
        </w:tc>
        <w:tc>
          <w:tcPr>
            <w:tcW w:w="1662"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452"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7" w:hRule="atLeast"/>
        </w:trPr>
        <w:tc>
          <w:tcPr>
            <w:tcW w:w="426" w:type="dxa"/>
            <w:vMerge w:val="continue"/>
            <w:vAlign w:val="center"/>
          </w:tcPr>
          <w:p>
            <w:pPr>
              <w:tabs>
                <w:tab w:val="left" w:pos="1960"/>
              </w:tabs>
              <w:spacing w:line="240" w:lineRule="auto"/>
              <w:ind w:firstLine="0" w:firstLineChars="0"/>
              <w:jc w:val="both"/>
              <w:rPr>
                <w:rFonts w:eastAsiaTheme="minorEastAsia"/>
                <w:color w:val="000000" w:themeColor="text1"/>
                <w:kern w:val="24"/>
                <w:sz w:val="21"/>
                <w:szCs w:val="21"/>
              </w:rPr>
            </w:pPr>
          </w:p>
        </w:tc>
        <w:tc>
          <w:tcPr>
            <w:tcW w:w="746" w:type="dxa"/>
            <w:vMerge w:val="continue"/>
            <w:vAlign w:val="center"/>
          </w:tcPr>
          <w:p>
            <w:pPr>
              <w:tabs>
                <w:tab w:val="left" w:pos="1960"/>
              </w:tabs>
              <w:spacing w:line="240" w:lineRule="auto"/>
              <w:ind w:firstLine="0" w:firstLineChars="0"/>
              <w:jc w:val="center"/>
              <w:rPr>
                <w:rFonts w:eastAsiaTheme="minorEastAsia"/>
                <w:color w:val="000000" w:themeColor="text1"/>
                <w:kern w:val="24"/>
                <w:sz w:val="21"/>
                <w:szCs w:val="21"/>
              </w:rPr>
            </w:pPr>
          </w:p>
        </w:tc>
        <w:tc>
          <w:tcPr>
            <w:tcW w:w="4239" w:type="dxa"/>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hint="eastAsia" w:eastAsiaTheme="minorEastAsia"/>
                <w:color w:val="000000" w:themeColor="text1"/>
                <w:kern w:val="24"/>
                <w:sz w:val="21"/>
                <w:szCs w:val="21"/>
              </w:rPr>
              <w:t>选矿区事故应急池，容积为40m</w:t>
            </w:r>
            <w:r>
              <w:rPr>
                <w:rFonts w:hint="eastAsia" w:eastAsiaTheme="minorEastAsia"/>
                <w:color w:val="000000" w:themeColor="text1"/>
                <w:kern w:val="24"/>
                <w:sz w:val="21"/>
                <w:szCs w:val="21"/>
                <w:vertAlign w:val="superscript"/>
              </w:rPr>
              <w:t>3</w:t>
            </w:r>
          </w:p>
        </w:tc>
        <w:tc>
          <w:tcPr>
            <w:tcW w:w="166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w:t>
            </w:r>
          </w:p>
        </w:tc>
        <w:tc>
          <w:tcPr>
            <w:tcW w:w="1452"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新建</w:t>
            </w:r>
            <w:r>
              <w:rPr>
                <w:rFonts w:hint="eastAsia"/>
                <w:color w:val="000000" w:themeColor="text1"/>
                <w:sz w:val="21"/>
                <w:szCs w:val="21"/>
              </w:rPr>
              <w:t>，未建</w:t>
            </w:r>
          </w:p>
        </w:tc>
      </w:tr>
    </w:tbl>
    <w:p>
      <w:pPr>
        <w:ind w:firstLine="480"/>
        <w:rPr>
          <w:rFonts w:eastAsiaTheme="minorEastAsia"/>
          <w:color w:val="000000" w:themeColor="text1"/>
        </w:rPr>
      </w:pPr>
      <w:r>
        <w:rPr>
          <w:rFonts w:eastAsiaTheme="minorEastAsia"/>
          <w:color w:val="000000" w:themeColor="text1"/>
        </w:rPr>
        <w:t>本次项目建设完成后全厂内容详见下表所示：</w:t>
      </w:r>
    </w:p>
    <w:p>
      <w:pPr>
        <w:ind w:firstLine="422"/>
        <w:jc w:val="center"/>
        <w:rPr>
          <w:rFonts w:eastAsiaTheme="minorEastAsia"/>
          <w:color w:val="000000" w:themeColor="text1"/>
        </w:rPr>
      </w:pPr>
      <w:r>
        <w:rPr>
          <w:rFonts w:eastAsiaTheme="minorEastAsia"/>
          <w:b/>
          <w:color w:val="000000" w:themeColor="text1"/>
          <w:sz w:val="21"/>
          <w:szCs w:val="21"/>
        </w:rPr>
        <w:t>表3.</w:t>
      </w:r>
      <w:r>
        <w:rPr>
          <w:rFonts w:hint="eastAsia" w:eastAsiaTheme="minorEastAsia"/>
          <w:b/>
          <w:color w:val="000000" w:themeColor="text1"/>
          <w:sz w:val="21"/>
          <w:szCs w:val="21"/>
        </w:rPr>
        <w:t>2</w:t>
      </w:r>
      <w:r>
        <w:rPr>
          <w:rFonts w:eastAsiaTheme="minorEastAsia"/>
          <w:b/>
          <w:color w:val="000000" w:themeColor="text1"/>
          <w:sz w:val="21"/>
          <w:szCs w:val="21"/>
        </w:rPr>
        <w:t>-</w:t>
      </w:r>
      <w:r>
        <w:rPr>
          <w:rFonts w:hint="eastAsia" w:eastAsiaTheme="minorEastAsia"/>
          <w:b/>
          <w:color w:val="000000" w:themeColor="text1"/>
          <w:sz w:val="21"/>
          <w:szCs w:val="21"/>
        </w:rPr>
        <w:t>2技改</w:t>
      </w:r>
      <w:r>
        <w:rPr>
          <w:rFonts w:eastAsiaTheme="minorEastAsia"/>
          <w:b/>
          <w:color w:val="000000" w:themeColor="text1"/>
          <w:sz w:val="21"/>
          <w:szCs w:val="21"/>
        </w:rPr>
        <w:t>后全厂项目组成一览表</w:t>
      </w:r>
    </w:p>
    <w:tbl>
      <w:tblPr>
        <w:tblStyle w:val="61"/>
        <w:tblW w:w="85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101"/>
        <w:gridCol w:w="4251"/>
        <w:gridCol w:w="1418"/>
        <w:gridCol w:w="13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28" w:type="dxa"/>
            <w:gridSpan w:val="2"/>
            <w:vAlign w:val="center"/>
          </w:tcPr>
          <w:p>
            <w:pPr>
              <w:pStyle w:val="126"/>
              <w:tabs>
                <w:tab w:val="left" w:pos="1960"/>
              </w:tabs>
              <w:rPr>
                <w:rFonts w:eastAsiaTheme="minorEastAsia"/>
                <w:color w:val="000000" w:themeColor="text1"/>
              </w:rPr>
            </w:pPr>
            <w:r>
              <w:rPr>
                <w:rFonts w:eastAsiaTheme="minorEastAsia"/>
                <w:color w:val="000000" w:themeColor="text1"/>
              </w:rPr>
              <w:t>项目组成</w:t>
            </w:r>
          </w:p>
        </w:tc>
        <w:tc>
          <w:tcPr>
            <w:tcW w:w="4251" w:type="dxa"/>
            <w:vAlign w:val="center"/>
          </w:tcPr>
          <w:p>
            <w:pPr>
              <w:pStyle w:val="126"/>
              <w:tabs>
                <w:tab w:val="left" w:pos="1960"/>
              </w:tabs>
              <w:rPr>
                <w:rFonts w:eastAsiaTheme="minorEastAsia"/>
                <w:color w:val="000000" w:themeColor="text1"/>
              </w:rPr>
            </w:pPr>
            <w:r>
              <w:rPr>
                <w:rFonts w:eastAsiaTheme="minorEastAsia"/>
                <w:color w:val="000000" w:themeColor="text1"/>
              </w:rPr>
              <w:t>主要建设内容</w:t>
            </w:r>
          </w:p>
        </w:tc>
        <w:tc>
          <w:tcPr>
            <w:tcW w:w="1418"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kern w:val="24"/>
                <w:lang w:eastAsia="zh-CN"/>
              </w:rPr>
              <w:t>构筑物结构</w:t>
            </w:r>
            <w:r>
              <w:rPr>
                <w:rFonts w:hint="eastAsia" w:eastAsiaTheme="minorEastAsia"/>
                <w:color w:val="000000" w:themeColor="text1"/>
                <w:lang w:eastAsia="zh-CN"/>
              </w:rPr>
              <w:t xml:space="preserve"> </w:t>
            </w:r>
          </w:p>
        </w:tc>
        <w:tc>
          <w:tcPr>
            <w:tcW w:w="1326"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7" w:hRule="atLeast"/>
        </w:trPr>
        <w:tc>
          <w:tcPr>
            <w:tcW w:w="427" w:type="dxa"/>
            <w:vMerge w:val="restart"/>
            <w:vAlign w:val="center"/>
          </w:tcPr>
          <w:p>
            <w:pPr>
              <w:pStyle w:val="126"/>
              <w:tabs>
                <w:tab w:val="left" w:pos="1960"/>
              </w:tabs>
              <w:rPr>
                <w:rFonts w:eastAsiaTheme="minorEastAsia"/>
                <w:color w:val="000000" w:themeColor="text1"/>
              </w:rPr>
            </w:pPr>
            <w:r>
              <w:rPr>
                <w:rFonts w:eastAsiaTheme="minorEastAsia"/>
                <w:color w:val="000000" w:themeColor="text1"/>
              </w:rPr>
              <w:t>主体工程</w:t>
            </w:r>
          </w:p>
        </w:tc>
        <w:tc>
          <w:tcPr>
            <w:tcW w:w="1101" w:type="dxa"/>
            <w:vAlign w:val="center"/>
          </w:tcPr>
          <w:p>
            <w:pPr>
              <w:pStyle w:val="126"/>
              <w:tabs>
                <w:tab w:val="left" w:pos="1960"/>
              </w:tabs>
              <w:rPr>
                <w:rFonts w:eastAsiaTheme="minorEastAsia"/>
                <w:color w:val="000000" w:themeColor="text1"/>
              </w:rPr>
            </w:pPr>
            <w:r>
              <w:rPr>
                <w:rFonts w:eastAsiaTheme="minorEastAsia"/>
                <w:color w:val="000000" w:themeColor="text1"/>
              </w:rPr>
              <w:t>生产车间</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总占地面积3258m</w:t>
            </w:r>
            <w:r>
              <w:rPr>
                <w:rFonts w:eastAsiaTheme="minorEastAsia"/>
                <w:color w:val="000000" w:themeColor="text1"/>
                <w:vertAlign w:val="superscript"/>
                <w:lang w:eastAsia="zh-CN"/>
              </w:rPr>
              <w:t>2</w:t>
            </w:r>
            <w:r>
              <w:rPr>
                <w:rFonts w:eastAsiaTheme="minorEastAsia"/>
                <w:color w:val="000000" w:themeColor="text1"/>
                <w:lang w:eastAsia="zh-CN"/>
              </w:rPr>
              <w:t>，建设有重选车间、磨浮车间。</w:t>
            </w:r>
            <w:r>
              <w:rPr>
                <w:rFonts w:eastAsiaTheme="minorEastAsia"/>
                <w:color w:val="000000" w:themeColor="text1"/>
                <w:szCs w:val="24"/>
                <w:lang w:eastAsia="zh-CN"/>
              </w:rPr>
              <w:t>重选车间布置3台</w:t>
            </w:r>
            <w:r>
              <w:rPr>
                <w:rFonts w:eastAsiaTheme="minorEastAsia"/>
                <w:color w:val="000000" w:themeColor="text1"/>
                <w:lang w:eastAsia="zh-CN"/>
              </w:rPr>
              <w:t>螺旋分级机和64台粗摇床；磨浮车间布置1套浮选设备和17台磁选设备及3台球磨机。</w:t>
            </w:r>
          </w:p>
        </w:tc>
        <w:tc>
          <w:tcPr>
            <w:tcW w:w="1418" w:type="dxa"/>
            <w:vAlign w:val="center"/>
          </w:tcPr>
          <w:p>
            <w:pPr>
              <w:pStyle w:val="126"/>
              <w:tabs>
                <w:tab w:val="left" w:pos="1960"/>
              </w:tabs>
              <w:rPr>
                <w:rFonts w:eastAsiaTheme="minorEastAsia"/>
                <w:color w:val="000000" w:themeColor="text1"/>
              </w:rPr>
            </w:pPr>
            <w:r>
              <w:rPr>
                <w:rFonts w:eastAsiaTheme="minorEastAsia"/>
                <w:color w:val="000000" w:themeColor="text1"/>
              </w:rPr>
              <w:t>钢结构+彩钢瓦</w:t>
            </w:r>
          </w:p>
        </w:tc>
        <w:tc>
          <w:tcPr>
            <w:tcW w:w="1326"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7"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eastAsiaTheme="minorEastAsia"/>
                <w:color w:val="000000" w:themeColor="text1"/>
                <w:kern w:val="24"/>
                <w:sz w:val="21"/>
                <w:szCs w:val="21"/>
              </w:rPr>
              <w:t>原料加工处理站</w:t>
            </w: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占地面积为13870m</w:t>
            </w:r>
            <w:r>
              <w:rPr>
                <w:rFonts w:eastAsiaTheme="minorEastAsia"/>
                <w:color w:val="000000" w:themeColor="text1"/>
                <w:kern w:val="24"/>
                <w:sz w:val="21"/>
                <w:szCs w:val="21"/>
                <w:vertAlign w:val="superscript"/>
              </w:rPr>
              <w:t>2</w:t>
            </w:r>
            <w:r>
              <w:rPr>
                <w:rFonts w:eastAsiaTheme="minorEastAsia"/>
                <w:color w:val="000000" w:themeColor="text1"/>
                <w:kern w:val="24"/>
                <w:sz w:val="21"/>
                <w:szCs w:val="21"/>
              </w:rPr>
              <w:t>，分别设置原料破碎加工生产线（设置破碎设备、电磁滚筒、制砂设备、洗砂设备等）、原矿石堆棚3500m</w:t>
            </w:r>
            <w:r>
              <w:rPr>
                <w:rFonts w:eastAsiaTheme="minorEastAsia"/>
                <w:color w:val="000000" w:themeColor="text1"/>
                <w:kern w:val="24"/>
                <w:sz w:val="21"/>
                <w:szCs w:val="21"/>
                <w:vertAlign w:val="superscript"/>
              </w:rPr>
              <w:t>2</w:t>
            </w:r>
            <w:r>
              <w:rPr>
                <w:rFonts w:eastAsiaTheme="minorEastAsia"/>
                <w:color w:val="000000" w:themeColor="text1"/>
                <w:kern w:val="24"/>
                <w:sz w:val="21"/>
                <w:szCs w:val="21"/>
              </w:rPr>
              <w:t>、砂石料堆棚120m</w:t>
            </w:r>
            <w:r>
              <w:rPr>
                <w:rFonts w:eastAsiaTheme="minorEastAsia"/>
                <w:color w:val="000000" w:themeColor="text1"/>
                <w:kern w:val="24"/>
                <w:sz w:val="21"/>
                <w:szCs w:val="21"/>
                <w:vertAlign w:val="superscript"/>
              </w:rPr>
              <w:t>2</w:t>
            </w:r>
            <w:r>
              <w:rPr>
                <w:rFonts w:eastAsiaTheme="minorEastAsia"/>
                <w:color w:val="000000" w:themeColor="text1"/>
                <w:kern w:val="24"/>
                <w:sz w:val="21"/>
                <w:szCs w:val="21"/>
              </w:rPr>
              <w:t>、低品位原矿堆棚500m</w:t>
            </w:r>
            <w:r>
              <w:rPr>
                <w:rFonts w:eastAsiaTheme="minorEastAsia"/>
                <w:color w:val="000000" w:themeColor="text1"/>
                <w:kern w:val="24"/>
                <w:sz w:val="21"/>
                <w:szCs w:val="21"/>
                <w:vertAlign w:val="superscript"/>
              </w:rPr>
              <w:t>2</w:t>
            </w:r>
            <w:r>
              <w:rPr>
                <w:rFonts w:hint="eastAsia" w:eastAsiaTheme="minorEastAsia"/>
                <w:color w:val="000000" w:themeColor="text1"/>
                <w:kern w:val="24"/>
                <w:sz w:val="21"/>
                <w:szCs w:val="21"/>
              </w:rPr>
              <w:t>，共设置皮带21条</w:t>
            </w:r>
          </w:p>
        </w:tc>
        <w:tc>
          <w:tcPr>
            <w:tcW w:w="1418"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原矿石堆棚、砂石料堆棚、低品位原矿堆棚为三面遮挡+挡雨棚形式</w:t>
            </w:r>
            <w:r>
              <w:rPr>
                <w:rFonts w:hint="eastAsia" w:eastAsiaTheme="minorEastAsia"/>
                <w:color w:val="000000" w:themeColor="text1"/>
                <w:kern w:val="24"/>
                <w:sz w:val="21"/>
                <w:szCs w:val="21"/>
              </w:rPr>
              <w:t>，并且破碎后的原矿和机制砂堆棚需设置喷淋设施，原料加工处理站地面进行硬化</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在原破碎生产线原址建设，拆除原破碎筛分设备</w:t>
            </w:r>
            <w:r>
              <w:rPr>
                <w:rFonts w:hint="eastAsia" w:eastAsiaTheme="minorEastAsia"/>
                <w:color w:val="000000" w:themeColor="text1"/>
                <w:kern w:val="24"/>
                <w:sz w:val="21"/>
                <w:szCs w:val="21"/>
              </w:rPr>
              <w:t>（生产设施已建设，环保设施还未建设）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7" w:hRule="atLeast"/>
        </w:trPr>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eastAsiaTheme="minorEastAsia"/>
                <w:color w:val="000000" w:themeColor="text1"/>
                <w:kern w:val="24"/>
                <w:sz w:val="21"/>
                <w:szCs w:val="21"/>
              </w:rPr>
              <w:t>磨磁车间</w:t>
            </w:r>
          </w:p>
        </w:tc>
        <w:tc>
          <w:tcPr>
            <w:tcW w:w="4251"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建筑面积300m</w:t>
            </w:r>
            <w:r>
              <w:rPr>
                <w:rFonts w:eastAsiaTheme="minorEastAsia"/>
                <w:color w:val="000000" w:themeColor="text1"/>
                <w:kern w:val="24"/>
                <w:sz w:val="21"/>
                <w:szCs w:val="21"/>
                <w:vertAlign w:val="superscript"/>
              </w:rPr>
              <w:t>2</w:t>
            </w:r>
            <w:r>
              <w:rPr>
                <w:rFonts w:eastAsiaTheme="minorEastAsia"/>
                <w:color w:val="000000" w:themeColor="text1"/>
                <w:kern w:val="24"/>
                <w:sz w:val="21"/>
                <w:szCs w:val="21"/>
              </w:rPr>
              <w:t>。在新磨磁车间内安装1台立磨机和4台旋流器，对原项目生产和购买的三级铁精矿再次进行磨细，分级溢流-300-400目占85%-90%；</w:t>
            </w:r>
          </w:p>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磁选工段安装3台高效磁选机、2台平板磁选机、</w:t>
            </w:r>
            <w:r>
              <w:rPr>
                <w:rFonts w:hint="eastAsia" w:eastAsiaTheme="minorEastAsia"/>
                <w:color w:val="000000" w:themeColor="text1"/>
                <w:kern w:val="24"/>
                <w:sz w:val="21"/>
                <w:szCs w:val="21"/>
              </w:rPr>
              <w:t>3</w:t>
            </w:r>
            <w:r>
              <w:rPr>
                <w:rFonts w:eastAsiaTheme="minorEastAsia"/>
                <w:color w:val="000000" w:themeColor="text1"/>
                <w:kern w:val="24"/>
                <w:sz w:val="21"/>
                <w:szCs w:val="21"/>
              </w:rPr>
              <w:t>台</w:t>
            </w:r>
            <w:r>
              <w:rPr>
                <w:rFonts w:hint="eastAsia" w:eastAsiaTheme="minorEastAsia"/>
                <w:color w:val="000000" w:themeColor="text1"/>
                <w:kern w:val="24"/>
                <w:sz w:val="21"/>
                <w:szCs w:val="21"/>
              </w:rPr>
              <w:t>弱磁选机</w:t>
            </w:r>
            <w:r>
              <w:rPr>
                <w:rFonts w:eastAsiaTheme="minorEastAsia"/>
                <w:color w:val="000000" w:themeColor="text1"/>
                <w:kern w:val="24"/>
                <w:sz w:val="21"/>
                <w:szCs w:val="21"/>
              </w:rPr>
              <w:t>，对三级精矿进行</w:t>
            </w:r>
            <w:r>
              <w:rPr>
                <w:rFonts w:hint="eastAsia" w:eastAsiaTheme="minorEastAsia"/>
                <w:color w:val="000000" w:themeColor="text1"/>
                <w:kern w:val="24"/>
                <w:sz w:val="21"/>
                <w:szCs w:val="21"/>
              </w:rPr>
              <w:t>再选</w:t>
            </w:r>
          </w:p>
        </w:tc>
        <w:tc>
          <w:tcPr>
            <w:tcW w:w="1418"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钢结构+彩钢瓦</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新建，已建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7"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eastAsiaTheme="minorEastAsia"/>
                <w:color w:val="000000" w:themeColor="text1"/>
                <w:kern w:val="24"/>
                <w:sz w:val="21"/>
                <w:szCs w:val="21"/>
              </w:rPr>
              <w:t>脱水车间</w:t>
            </w:r>
          </w:p>
        </w:tc>
        <w:tc>
          <w:tcPr>
            <w:tcW w:w="4251"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位于铁精矿池旁，本次技改生产的铁精矿经过陶瓷过滤机脱水后到精矿池，占地面积840m</w:t>
            </w:r>
            <w:r>
              <w:rPr>
                <w:rFonts w:eastAsiaTheme="minorEastAsia"/>
                <w:color w:val="000000" w:themeColor="text1"/>
                <w:kern w:val="24"/>
                <w:sz w:val="21"/>
                <w:szCs w:val="21"/>
                <w:vertAlign w:val="superscript"/>
              </w:rPr>
              <w:t>2</w:t>
            </w:r>
            <w:r>
              <w:rPr>
                <w:rFonts w:eastAsiaTheme="minorEastAsia"/>
                <w:color w:val="000000" w:themeColor="text1"/>
                <w:kern w:val="24"/>
                <w:sz w:val="21"/>
                <w:szCs w:val="21"/>
              </w:rPr>
              <w:t>。</w:t>
            </w:r>
          </w:p>
        </w:tc>
        <w:tc>
          <w:tcPr>
            <w:tcW w:w="1418" w:type="dxa"/>
            <w:vAlign w:val="center"/>
          </w:tcPr>
          <w:p>
            <w:pPr>
              <w:tabs>
                <w:tab w:val="left" w:pos="1960"/>
              </w:tabs>
              <w:spacing w:line="240" w:lineRule="auto"/>
              <w:ind w:firstLine="0" w:firstLineChars="0"/>
              <w:jc w:val="both"/>
              <w:rPr>
                <w:rFonts w:eastAsiaTheme="minorEastAsia"/>
                <w:color w:val="000000" w:themeColor="text1"/>
                <w:kern w:val="24"/>
                <w:sz w:val="21"/>
                <w:szCs w:val="21"/>
              </w:rPr>
            </w:pPr>
            <w:r>
              <w:rPr>
                <w:rFonts w:eastAsiaTheme="minorEastAsia"/>
                <w:color w:val="000000" w:themeColor="text1"/>
                <w:kern w:val="24"/>
                <w:sz w:val="21"/>
                <w:szCs w:val="21"/>
              </w:rPr>
              <w:t>钢结构+彩钢瓦</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新建，已建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7"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精矿池</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占地面积1300m</w:t>
            </w:r>
            <w:r>
              <w:rPr>
                <w:rFonts w:eastAsiaTheme="minorEastAsia"/>
                <w:color w:val="000000" w:themeColor="text1"/>
                <w:vertAlign w:val="superscript"/>
                <w:lang w:eastAsia="zh-CN"/>
              </w:rPr>
              <w:t>2</w:t>
            </w:r>
            <w:r>
              <w:rPr>
                <w:rFonts w:eastAsiaTheme="minorEastAsia"/>
                <w:color w:val="000000" w:themeColor="text1"/>
                <w:lang w:eastAsia="zh-CN"/>
              </w:rPr>
              <w:t>，主要储存生产出来的精矿</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露天</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restart"/>
            <w:vAlign w:val="center"/>
          </w:tcPr>
          <w:p>
            <w:pPr>
              <w:pStyle w:val="126"/>
              <w:tabs>
                <w:tab w:val="left" w:pos="1960"/>
              </w:tabs>
              <w:rPr>
                <w:rFonts w:eastAsiaTheme="minorEastAsia"/>
                <w:color w:val="000000" w:themeColor="text1"/>
              </w:rPr>
            </w:pPr>
            <w:r>
              <w:rPr>
                <w:rFonts w:eastAsiaTheme="minorEastAsia"/>
                <w:color w:val="000000" w:themeColor="text1"/>
                <w:lang w:eastAsia="zh-CN"/>
              </w:rPr>
              <w:t>辅助</w:t>
            </w:r>
            <w:r>
              <w:rPr>
                <w:rFonts w:eastAsiaTheme="minorEastAsia"/>
                <w:color w:val="000000" w:themeColor="text1"/>
              </w:rPr>
              <w:t>设施</w:t>
            </w:r>
          </w:p>
        </w:tc>
        <w:tc>
          <w:tcPr>
            <w:tcW w:w="1101" w:type="dxa"/>
            <w:vAlign w:val="center"/>
          </w:tcPr>
          <w:p>
            <w:pPr>
              <w:pStyle w:val="126"/>
              <w:tabs>
                <w:tab w:val="left" w:pos="1960"/>
              </w:tabs>
              <w:rPr>
                <w:rFonts w:eastAsiaTheme="minorEastAsia"/>
                <w:color w:val="000000" w:themeColor="text1"/>
              </w:rPr>
            </w:pPr>
            <w:r>
              <w:rPr>
                <w:rFonts w:eastAsiaTheme="minorEastAsia"/>
                <w:color w:val="000000" w:themeColor="text1"/>
              </w:rPr>
              <w:t>办公区</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位于</w:t>
            </w:r>
            <w:r>
              <w:rPr>
                <w:rFonts w:hint="eastAsia" w:eastAsiaTheme="minorEastAsia"/>
                <w:color w:val="000000" w:themeColor="text1"/>
                <w:lang w:eastAsia="zh-CN"/>
              </w:rPr>
              <w:t>公戛路</w:t>
            </w:r>
            <w:r>
              <w:rPr>
                <w:rFonts w:eastAsiaTheme="minorEastAsia"/>
                <w:color w:val="000000" w:themeColor="text1"/>
                <w:lang w:eastAsia="zh-CN"/>
              </w:rPr>
              <w:t>旁，办公生活区包括办公用房、85m</w:t>
            </w:r>
            <w:r>
              <w:rPr>
                <w:rFonts w:eastAsiaTheme="minorEastAsia"/>
                <w:color w:val="000000" w:themeColor="text1"/>
                <w:vertAlign w:val="superscript"/>
                <w:lang w:eastAsia="zh-CN"/>
              </w:rPr>
              <w:t>2</w:t>
            </w:r>
          </w:p>
        </w:tc>
        <w:tc>
          <w:tcPr>
            <w:tcW w:w="1418" w:type="dxa"/>
            <w:vAlign w:val="center"/>
          </w:tcPr>
          <w:p>
            <w:pPr>
              <w:pStyle w:val="126"/>
              <w:tabs>
                <w:tab w:val="left" w:pos="1960"/>
              </w:tabs>
              <w:rPr>
                <w:rFonts w:eastAsiaTheme="minorEastAsia"/>
                <w:color w:val="000000" w:themeColor="text1"/>
              </w:rPr>
            </w:pPr>
            <w:r>
              <w:rPr>
                <w:rFonts w:eastAsiaTheme="minorEastAsia"/>
                <w:color w:val="000000" w:themeColor="text1"/>
                <w:lang w:eastAsia="zh-CN"/>
              </w:rPr>
              <w:t>一</w:t>
            </w:r>
            <w:r>
              <w:rPr>
                <w:rFonts w:eastAsiaTheme="minorEastAsia"/>
                <w:color w:val="000000" w:themeColor="text1"/>
              </w:rPr>
              <w:t>层砖混结构</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生活区</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主要为工人倒班宿舍，占地面积200m</w:t>
            </w:r>
            <w:r>
              <w:rPr>
                <w:rFonts w:eastAsiaTheme="minorEastAsia"/>
                <w:color w:val="000000" w:themeColor="text1"/>
                <w:vertAlign w:val="superscript"/>
                <w:lang w:eastAsia="zh-CN"/>
              </w:rPr>
              <w:t>2</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一</w:t>
            </w:r>
            <w:r>
              <w:rPr>
                <w:rFonts w:eastAsiaTheme="minorEastAsia"/>
                <w:color w:val="000000" w:themeColor="text1"/>
              </w:rPr>
              <w:t>层砖混结构</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杂物间</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占地面积350m</w:t>
            </w:r>
            <w:r>
              <w:rPr>
                <w:rFonts w:eastAsiaTheme="minorEastAsia"/>
                <w:color w:val="000000" w:themeColor="text1"/>
                <w:vertAlign w:val="superscript"/>
                <w:lang w:eastAsia="zh-CN"/>
              </w:rPr>
              <w:t>2</w:t>
            </w:r>
            <w:r>
              <w:rPr>
                <w:rFonts w:eastAsiaTheme="minorEastAsia"/>
                <w:color w:val="000000" w:themeColor="text1"/>
                <w:lang w:eastAsia="zh-CN"/>
              </w:rPr>
              <w:t>，主要储存生产所需原辅料</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rPr>
              <w:t>钢结构+彩钢瓦</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高位水池</w:t>
            </w:r>
          </w:p>
        </w:tc>
        <w:tc>
          <w:tcPr>
            <w:tcW w:w="4251" w:type="dxa"/>
            <w:vAlign w:val="center"/>
          </w:tcPr>
          <w:p>
            <w:pPr>
              <w:pStyle w:val="126"/>
              <w:tabs>
                <w:tab w:val="left" w:pos="1960"/>
              </w:tabs>
              <w:jc w:val="left"/>
              <w:rPr>
                <w:rFonts w:eastAsiaTheme="minorEastAsia"/>
                <w:color w:val="000000" w:themeColor="text1"/>
                <w:lang w:eastAsia="zh-CN"/>
              </w:rPr>
            </w:pPr>
            <w:r>
              <w:rPr>
                <w:rFonts w:eastAsiaTheme="minorEastAsia"/>
                <w:color w:val="000000" w:themeColor="text1"/>
                <w:lang w:eastAsia="zh-CN"/>
              </w:rPr>
              <w:t>有效容积为500m</w:t>
            </w:r>
            <w:r>
              <w:rPr>
                <w:rFonts w:eastAsiaTheme="minorEastAsia"/>
                <w:color w:val="000000" w:themeColor="text1"/>
                <w:vertAlign w:val="superscript"/>
                <w:lang w:eastAsia="zh-CN"/>
              </w:rPr>
              <w:t>3</w:t>
            </w:r>
            <w:r>
              <w:rPr>
                <w:rFonts w:eastAsiaTheme="minorEastAsia"/>
                <w:color w:val="000000" w:themeColor="text1"/>
                <w:lang w:eastAsia="zh-CN"/>
              </w:rPr>
              <w:t>，主要功能为储存从困龙河抽取的水</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混凝土结构</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陶瓷机压滤水中转池</w:t>
            </w:r>
          </w:p>
        </w:tc>
        <w:tc>
          <w:tcPr>
            <w:tcW w:w="4251" w:type="dxa"/>
            <w:vAlign w:val="center"/>
          </w:tcPr>
          <w:p>
            <w:pPr>
              <w:pStyle w:val="126"/>
              <w:tabs>
                <w:tab w:val="left" w:pos="1960"/>
              </w:tabs>
              <w:jc w:val="left"/>
              <w:rPr>
                <w:rFonts w:eastAsiaTheme="minorEastAsia"/>
                <w:color w:val="000000" w:themeColor="text1"/>
                <w:lang w:eastAsia="zh-CN"/>
              </w:rPr>
            </w:pPr>
            <w:r>
              <w:rPr>
                <w:rFonts w:eastAsiaTheme="minorEastAsia"/>
                <w:color w:val="000000" w:themeColor="text1"/>
                <w:lang w:eastAsia="zh-CN"/>
              </w:rPr>
              <w:t>位于陶瓷机旁，尺寸为3.5×5×2m，容积为35m</w:t>
            </w:r>
            <w:r>
              <w:rPr>
                <w:rFonts w:eastAsiaTheme="minorEastAsia"/>
                <w:color w:val="000000" w:themeColor="text1"/>
                <w:vertAlign w:val="superscript"/>
                <w:lang w:eastAsia="zh-CN"/>
              </w:rPr>
              <w:t>3</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钢混结构</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新建，已建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陶瓷机稀释矿浆清水池</w:t>
            </w:r>
          </w:p>
        </w:tc>
        <w:tc>
          <w:tcPr>
            <w:tcW w:w="4251" w:type="dxa"/>
            <w:vAlign w:val="center"/>
          </w:tcPr>
          <w:p>
            <w:pPr>
              <w:pStyle w:val="126"/>
              <w:tabs>
                <w:tab w:val="left" w:pos="1960"/>
              </w:tabs>
              <w:jc w:val="left"/>
              <w:rPr>
                <w:rFonts w:eastAsiaTheme="minorEastAsia"/>
                <w:color w:val="000000" w:themeColor="text1"/>
                <w:lang w:eastAsia="zh-CN"/>
              </w:rPr>
            </w:pPr>
            <w:r>
              <w:rPr>
                <w:rFonts w:hint="eastAsia" w:eastAsiaTheme="minorEastAsia"/>
                <w:color w:val="000000" w:themeColor="text1"/>
                <w:lang w:eastAsia="zh-CN"/>
              </w:rPr>
              <w:t>位于陶瓷机作业面板上，2个，1个容积为5m</w:t>
            </w:r>
            <w:r>
              <w:rPr>
                <w:rFonts w:hint="eastAsia" w:eastAsiaTheme="minorEastAsia"/>
                <w:color w:val="000000" w:themeColor="text1"/>
                <w:vertAlign w:val="superscript"/>
                <w:lang w:eastAsia="zh-CN"/>
              </w:rPr>
              <w:t>3</w:t>
            </w:r>
            <w:r>
              <w:rPr>
                <w:rFonts w:hint="eastAsia" w:eastAsiaTheme="minorEastAsia"/>
                <w:color w:val="000000" w:themeColor="text1"/>
                <w:lang w:eastAsia="zh-CN"/>
              </w:rPr>
              <w:t>，1个容积为8m</w:t>
            </w:r>
            <w:r>
              <w:rPr>
                <w:rFonts w:hint="eastAsia" w:eastAsiaTheme="minorEastAsia"/>
                <w:color w:val="000000" w:themeColor="text1"/>
                <w:vertAlign w:val="superscript"/>
                <w:lang w:eastAsia="zh-CN"/>
              </w:rPr>
              <w:t>3</w:t>
            </w:r>
          </w:p>
        </w:tc>
        <w:tc>
          <w:tcPr>
            <w:tcW w:w="1418"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钢铁结构</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新建，已建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restart"/>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储运工程</w:t>
            </w: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龙都尾矿库</w:t>
            </w:r>
          </w:p>
        </w:tc>
        <w:tc>
          <w:tcPr>
            <w:tcW w:w="4251" w:type="dxa"/>
            <w:vAlign w:val="center"/>
          </w:tcPr>
          <w:p>
            <w:pPr>
              <w:pStyle w:val="126"/>
              <w:tabs>
                <w:tab w:val="left" w:pos="1960"/>
              </w:tabs>
              <w:jc w:val="left"/>
              <w:rPr>
                <w:rFonts w:eastAsiaTheme="minorEastAsia"/>
                <w:color w:val="000000" w:themeColor="text1"/>
                <w:lang w:eastAsia="zh-CN"/>
              </w:rPr>
            </w:pPr>
            <w:r>
              <w:rPr>
                <w:rFonts w:eastAsiaTheme="minorEastAsia"/>
                <w:color w:val="000000" w:themeColor="text1"/>
                <w:lang w:eastAsia="zh-CN"/>
              </w:rPr>
              <w:t>所属于玉溪大红山矿业有限公司，</w:t>
            </w:r>
            <w:r>
              <w:rPr>
                <w:rFonts w:eastAsiaTheme="minorEastAsia"/>
                <w:color w:val="000000" w:themeColor="text1"/>
                <w:kern w:val="2"/>
                <w:lang w:eastAsia="zh-CN" w:bidi="ar-SA"/>
              </w:rPr>
              <w:t>占地面积为161.25hm</w:t>
            </w:r>
            <w:r>
              <w:rPr>
                <w:rFonts w:eastAsiaTheme="minorEastAsia"/>
                <w:color w:val="000000" w:themeColor="text1"/>
                <w:kern w:val="2"/>
                <w:vertAlign w:val="superscript"/>
                <w:lang w:eastAsia="zh-CN" w:bidi="ar-SA"/>
              </w:rPr>
              <w:t>2</w:t>
            </w:r>
            <w:r>
              <w:rPr>
                <w:rFonts w:eastAsiaTheme="minorEastAsia"/>
                <w:color w:val="000000" w:themeColor="text1"/>
                <w:kern w:val="2"/>
                <w:lang w:eastAsia="zh-CN" w:bidi="ar-SA"/>
              </w:rPr>
              <w:t>，属山谷型尾矿库，最终堆积标高为730，总库容1.2亿m</w:t>
            </w:r>
            <w:r>
              <w:rPr>
                <w:rFonts w:eastAsiaTheme="minorEastAsia"/>
                <w:color w:val="000000" w:themeColor="text1"/>
                <w:kern w:val="2"/>
                <w:vertAlign w:val="superscript"/>
                <w:lang w:eastAsia="zh-CN" w:bidi="ar-SA"/>
              </w:rPr>
              <w:t>3</w:t>
            </w:r>
            <w:r>
              <w:rPr>
                <w:rFonts w:eastAsiaTheme="minorEastAsia"/>
                <w:color w:val="000000" w:themeColor="text1"/>
                <w:kern w:val="2"/>
                <w:lang w:eastAsia="zh-CN" w:bidi="ar-SA"/>
              </w:rPr>
              <w:t>，设计坝高210m，为二等库</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辣子箐尾矿库</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位于困龙河东南约300m，距老尾矿库约600m的辣子箐处，占地面积60亩，坝高18m，坝轴长66.4m，尾矿库最终坝高53m，坝顶宽度4m，库容44.95m</w:t>
            </w:r>
            <w:r>
              <w:rPr>
                <w:rFonts w:eastAsiaTheme="minorEastAsia"/>
                <w:color w:val="000000" w:themeColor="text1"/>
                <w:vertAlign w:val="superscript"/>
                <w:lang w:eastAsia="zh-CN"/>
              </w:rPr>
              <w:t>3</w:t>
            </w:r>
            <w:r>
              <w:rPr>
                <w:rFonts w:eastAsiaTheme="minorEastAsia"/>
                <w:color w:val="000000" w:themeColor="text1"/>
                <w:lang w:eastAsia="zh-CN"/>
              </w:rPr>
              <w:t>，设计服务年限7年</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库区底部已按相关规范实施了防渗防漏措施</w:t>
            </w:r>
          </w:p>
        </w:tc>
        <w:tc>
          <w:tcPr>
            <w:tcW w:w="1326"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sz w:val="21"/>
                <w:szCs w:val="21"/>
              </w:rPr>
              <w:t>保留</w:t>
            </w:r>
            <w:r>
              <w:rPr>
                <w:rStyle w:val="73"/>
                <w:rFonts w:hint="eastAsia"/>
                <w:color w:val="000000" w:themeColor="text1"/>
                <w:kern w:val="0"/>
              </w:rPr>
              <w:t>，</w:t>
            </w:r>
            <w:r>
              <w:rPr>
                <w:rFonts w:hint="eastAsia"/>
                <w:color w:val="000000" w:themeColor="text1"/>
                <w:sz w:val="21"/>
                <w:szCs w:val="21"/>
              </w:rPr>
              <w:t>供原有项目选矿车间尾矿使用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Align w:val="center"/>
          </w:tcPr>
          <w:p>
            <w:pPr>
              <w:spacing w:line="240" w:lineRule="exact"/>
              <w:ind w:firstLine="0" w:firstLineChars="0"/>
              <w:jc w:val="center"/>
              <w:rPr>
                <w:color w:val="000000" w:themeColor="text1"/>
                <w:sz w:val="21"/>
                <w:szCs w:val="21"/>
              </w:rPr>
            </w:pPr>
            <w:r>
              <w:rPr>
                <w:color w:val="000000" w:themeColor="text1"/>
                <w:sz w:val="21"/>
                <w:szCs w:val="21"/>
              </w:rPr>
              <w:t>原项目尾矿沉淀池</w:t>
            </w:r>
          </w:p>
        </w:tc>
        <w:tc>
          <w:tcPr>
            <w:tcW w:w="4251" w:type="dxa"/>
            <w:vAlign w:val="center"/>
          </w:tcPr>
          <w:p>
            <w:pPr>
              <w:spacing w:line="240" w:lineRule="exact"/>
              <w:ind w:firstLine="0" w:firstLineChars="0"/>
              <w:rPr>
                <w:color w:val="000000" w:themeColor="text1"/>
                <w:sz w:val="21"/>
                <w:szCs w:val="21"/>
              </w:rPr>
            </w:pPr>
            <w:r>
              <w:rPr>
                <w:color w:val="000000" w:themeColor="text1"/>
                <w:sz w:val="21"/>
                <w:szCs w:val="21"/>
              </w:rPr>
              <w:t>原项目尾矿进入已建好的尾矿沉淀池，容积为</w:t>
            </w:r>
            <w:r>
              <w:rPr>
                <w:rFonts w:hint="eastAsia"/>
                <w:color w:val="000000" w:themeColor="text1"/>
                <w:sz w:val="21"/>
                <w:szCs w:val="21"/>
              </w:rPr>
              <w:t>7</w:t>
            </w:r>
            <w:r>
              <w:rPr>
                <w:color w:val="000000" w:themeColor="text1"/>
                <w:sz w:val="21"/>
                <w:szCs w:val="21"/>
              </w:rPr>
              <w:t>10m</w:t>
            </w:r>
            <w:r>
              <w:rPr>
                <w:color w:val="000000" w:themeColor="text1"/>
                <w:sz w:val="21"/>
                <w:szCs w:val="21"/>
                <w:vertAlign w:val="superscript"/>
              </w:rPr>
              <w:t>3</w:t>
            </w:r>
          </w:p>
        </w:tc>
        <w:tc>
          <w:tcPr>
            <w:tcW w:w="1418" w:type="dxa"/>
            <w:vAlign w:val="center"/>
          </w:tcPr>
          <w:p>
            <w:pPr>
              <w:spacing w:line="280" w:lineRule="exact"/>
              <w:ind w:firstLine="0" w:firstLineChars="0"/>
              <w:jc w:val="center"/>
              <w:rPr>
                <w:color w:val="000000" w:themeColor="text1"/>
                <w:sz w:val="21"/>
                <w:szCs w:val="21"/>
              </w:rPr>
            </w:pPr>
            <w:r>
              <w:rPr>
                <w:color w:val="000000" w:themeColor="text1"/>
                <w:sz w:val="21"/>
                <w:szCs w:val="21"/>
              </w:rPr>
              <w:t>砖混结构</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spacing w:line="240" w:lineRule="exact"/>
              <w:ind w:firstLine="0" w:firstLineChars="0"/>
              <w:jc w:val="center"/>
              <w:rPr>
                <w:color w:val="000000" w:themeColor="text1"/>
                <w:sz w:val="21"/>
                <w:szCs w:val="21"/>
              </w:rPr>
            </w:pPr>
            <w:r>
              <w:rPr>
                <w:color w:val="000000" w:themeColor="text1"/>
                <w:sz w:val="21"/>
                <w:szCs w:val="21"/>
              </w:rPr>
              <w:t>尾矿输送管道</w:t>
            </w:r>
            <w:r>
              <w:rPr>
                <w:rFonts w:hint="eastAsia"/>
                <w:color w:val="000000" w:themeColor="text1"/>
                <w:sz w:val="21"/>
                <w:szCs w:val="21"/>
              </w:rPr>
              <w:t>1</w:t>
            </w:r>
          </w:p>
        </w:tc>
        <w:tc>
          <w:tcPr>
            <w:tcW w:w="4251" w:type="dxa"/>
            <w:vAlign w:val="center"/>
          </w:tcPr>
          <w:p>
            <w:pPr>
              <w:spacing w:line="240" w:lineRule="exact"/>
              <w:ind w:firstLine="0" w:firstLineChars="0"/>
              <w:rPr>
                <w:color w:val="000000" w:themeColor="text1"/>
                <w:sz w:val="21"/>
                <w:szCs w:val="21"/>
              </w:rPr>
            </w:pPr>
            <w:r>
              <w:rPr>
                <w:color w:val="000000" w:themeColor="text1"/>
                <w:sz w:val="21"/>
                <w:szCs w:val="21"/>
              </w:rPr>
              <w:t>从本选厂至平安公司辣子箐口选厂的浓密池（浓密池容积为2472.75m</w:t>
            </w:r>
            <w:r>
              <w:rPr>
                <w:color w:val="000000" w:themeColor="text1"/>
                <w:sz w:val="21"/>
                <w:szCs w:val="21"/>
                <w:vertAlign w:val="superscript"/>
              </w:rPr>
              <w:t>3</w:t>
            </w:r>
            <w:r>
              <w:rPr>
                <w:color w:val="000000" w:themeColor="text1"/>
                <w:sz w:val="21"/>
                <w:szCs w:val="21"/>
              </w:rPr>
              <w:t>），管道全长750m，管道内径为150mm，外径160mm。</w:t>
            </w:r>
          </w:p>
        </w:tc>
        <w:tc>
          <w:tcPr>
            <w:tcW w:w="1418" w:type="dxa"/>
            <w:vAlign w:val="center"/>
          </w:tcPr>
          <w:p>
            <w:pPr>
              <w:spacing w:line="280" w:lineRule="exact"/>
              <w:ind w:firstLine="0" w:firstLineChars="0"/>
              <w:jc w:val="center"/>
              <w:rPr>
                <w:color w:val="000000" w:themeColor="text1"/>
                <w:sz w:val="21"/>
                <w:szCs w:val="21"/>
              </w:rPr>
            </w:pPr>
            <w:r>
              <w:rPr>
                <w:color w:val="000000" w:themeColor="text1"/>
                <w:sz w:val="21"/>
                <w:szCs w:val="21"/>
              </w:rPr>
              <w:t>钢管</w:t>
            </w:r>
          </w:p>
        </w:tc>
        <w:tc>
          <w:tcPr>
            <w:tcW w:w="1326" w:type="dxa"/>
            <w:vAlign w:val="center"/>
          </w:tcPr>
          <w:p>
            <w:pPr>
              <w:tabs>
                <w:tab w:val="left" w:pos="1960"/>
              </w:tabs>
              <w:spacing w:line="240" w:lineRule="auto"/>
              <w:ind w:firstLine="0" w:firstLineChars="0"/>
              <w:jc w:val="center"/>
              <w:rPr>
                <w:color w:val="000000" w:themeColor="text1"/>
                <w:sz w:val="21"/>
                <w:szCs w:val="21"/>
              </w:rPr>
            </w:pPr>
            <w:r>
              <w:rPr>
                <w:color w:val="000000" w:themeColor="text1"/>
                <w:sz w:val="21"/>
                <w:szCs w:val="21"/>
              </w:rPr>
              <w:t>浓密池为依托辣子箐口选厂，新建管道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Align w:val="center"/>
          </w:tcPr>
          <w:p>
            <w:pPr>
              <w:spacing w:line="240" w:lineRule="exact"/>
              <w:ind w:firstLine="0" w:firstLineChars="0"/>
              <w:jc w:val="center"/>
              <w:rPr>
                <w:color w:val="000000" w:themeColor="text1"/>
                <w:sz w:val="21"/>
                <w:szCs w:val="21"/>
              </w:rPr>
            </w:pPr>
            <w:r>
              <w:rPr>
                <w:color w:val="000000" w:themeColor="text1"/>
                <w:sz w:val="21"/>
                <w:szCs w:val="21"/>
              </w:rPr>
              <w:t>尾矿输送管道</w:t>
            </w:r>
            <w:r>
              <w:rPr>
                <w:rFonts w:hint="eastAsia"/>
                <w:color w:val="000000" w:themeColor="text1"/>
                <w:sz w:val="21"/>
                <w:szCs w:val="21"/>
              </w:rPr>
              <w:t>2</w:t>
            </w:r>
          </w:p>
        </w:tc>
        <w:tc>
          <w:tcPr>
            <w:tcW w:w="4251" w:type="dxa"/>
            <w:vAlign w:val="center"/>
          </w:tcPr>
          <w:p>
            <w:pPr>
              <w:spacing w:line="240" w:lineRule="exact"/>
              <w:ind w:firstLine="0" w:firstLineChars="0"/>
              <w:rPr>
                <w:color w:val="000000" w:themeColor="text1"/>
                <w:sz w:val="21"/>
                <w:szCs w:val="21"/>
              </w:rPr>
            </w:pPr>
            <w:r>
              <w:rPr>
                <w:color w:val="000000" w:themeColor="text1"/>
                <w:sz w:val="21"/>
                <w:szCs w:val="21"/>
              </w:rPr>
              <w:t>从辣子箐口选厂的浓密池尾矿输送至大红山尾矿沟输送管道全长2090m，管道内径为214mm，外径250mm。</w:t>
            </w:r>
          </w:p>
        </w:tc>
        <w:tc>
          <w:tcPr>
            <w:tcW w:w="1418" w:type="dxa"/>
            <w:vAlign w:val="center"/>
          </w:tcPr>
          <w:p>
            <w:pPr>
              <w:spacing w:line="280" w:lineRule="exact"/>
              <w:ind w:firstLine="0" w:firstLineChars="0"/>
              <w:jc w:val="center"/>
              <w:rPr>
                <w:color w:val="000000" w:themeColor="text1"/>
                <w:sz w:val="21"/>
                <w:szCs w:val="21"/>
              </w:rPr>
            </w:pPr>
            <w:r>
              <w:rPr>
                <w:color w:val="000000" w:themeColor="text1"/>
                <w:sz w:val="21"/>
                <w:szCs w:val="21"/>
              </w:rPr>
              <w:t>钢管</w:t>
            </w:r>
          </w:p>
        </w:tc>
        <w:tc>
          <w:tcPr>
            <w:tcW w:w="1326" w:type="dxa"/>
            <w:vAlign w:val="center"/>
          </w:tcPr>
          <w:p>
            <w:pPr>
              <w:tabs>
                <w:tab w:val="left" w:pos="1960"/>
              </w:tabs>
              <w:spacing w:line="240" w:lineRule="auto"/>
              <w:ind w:firstLine="0" w:firstLineChars="0"/>
              <w:jc w:val="center"/>
              <w:rPr>
                <w:color w:val="000000" w:themeColor="text1"/>
                <w:sz w:val="21"/>
                <w:szCs w:val="21"/>
              </w:rPr>
            </w:pPr>
            <w:r>
              <w:rPr>
                <w:color w:val="000000" w:themeColor="text1"/>
                <w:sz w:val="21"/>
                <w:szCs w:val="21"/>
              </w:rPr>
              <w:t>依托平安公司辣子箐口选厂已建好的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Align w:val="center"/>
          </w:tcPr>
          <w:p>
            <w:pPr>
              <w:spacing w:line="240" w:lineRule="exact"/>
              <w:ind w:firstLine="0" w:firstLineChars="0"/>
              <w:jc w:val="center"/>
              <w:rPr>
                <w:color w:val="000000" w:themeColor="text1"/>
                <w:sz w:val="21"/>
                <w:szCs w:val="21"/>
              </w:rPr>
            </w:pPr>
            <w:r>
              <w:rPr>
                <w:rFonts w:hint="eastAsia"/>
                <w:color w:val="000000" w:themeColor="text1"/>
                <w:sz w:val="21"/>
                <w:szCs w:val="21"/>
              </w:rPr>
              <w:t>中转浓密池</w:t>
            </w:r>
          </w:p>
        </w:tc>
        <w:tc>
          <w:tcPr>
            <w:tcW w:w="4251" w:type="dxa"/>
            <w:vAlign w:val="center"/>
          </w:tcPr>
          <w:p>
            <w:pPr>
              <w:spacing w:line="240" w:lineRule="exact"/>
              <w:ind w:firstLine="0" w:firstLineChars="0"/>
              <w:rPr>
                <w:color w:val="000000" w:themeColor="text1"/>
                <w:sz w:val="21"/>
                <w:szCs w:val="21"/>
              </w:rPr>
            </w:pPr>
            <w:r>
              <w:rPr>
                <w:color w:val="000000" w:themeColor="text1"/>
                <w:sz w:val="21"/>
                <w:szCs w:val="21"/>
              </w:rPr>
              <w:t>辣子箐口选厂已建好的</w:t>
            </w:r>
            <w:r>
              <w:rPr>
                <w:rFonts w:hint="eastAsia"/>
                <w:color w:val="000000" w:themeColor="text1"/>
                <w:sz w:val="21"/>
                <w:szCs w:val="21"/>
              </w:rPr>
              <w:t>尾矿浆浓密池，容积为3000m</w:t>
            </w:r>
            <w:r>
              <w:rPr>
                <w:rFonts w:hint="eastAsia"/>
                <w:color w:val="000000" w:themeColor="text1"/>
                <w:sz w:val="21"/>
                <w:szCs w:val="21"/>
                <w:vertAlign w:val="superscript"/>
              </w:rPr>
              <w:t>3</w:t>
            </w:r>
          </w:p>
        </w:tc>
        <w:tc>
          <w:tcPr>
            <w:tcW w:w="1418" w:type="dxa"/>
            <w:vAlign w:val="center"/>
          </w:tcPr>
          <w:p>
            <w:pPr>
              <w:spacing w:line="280" w:lineRule="exact"/>
              <w:ind w:firstLine="0" w:firstLineChars="0"/>
              <w:jc w:val="center"/>
              <w:rPr>
                <w:color w:val="000000" w:themeColor="text1"/>
                <w:sz w:val="21"/>
                <w:szCs w:val="21"/>
              </w:rPr>
            </w:pPr>
            <w:r>
              <w:rPr>
                <w:rFonts w:hint="eastAsia"/>
                <w:color w:val="000000" w:themeColor="text1"/>
                <w:sz w:val="21"/>
                <w:szCs w:val="21"/>
              </w:rPr>
              <w:t>钢砼</w:t>
            </w:r>
          </w:p>
        </w:tc>
        <w:tc>
          <w:tcPr>
            <w:tcW w:w="1326" w:type="dxa"/>
            <w:vAlign w:val="center"/>
          </w:tcPr>
          <w:p>
            <w:pPr>
              <w:tabs>
                <w:tab w:val="left" w:pos="1960"/>
              </w:tabs>
              <w:spacing w:line="240" w:lineRule="auto"/>
              <w:ind w:firstLine="0" w:firstLineChars="0"/>
              <w:jc w:val="center"/>
              <w:rPr>
                <w:color w:val="000000" w:themeColor="text1"/>
                <w:sz w:val="21"/>
                <w:szCs w:val="21"/>
              </w:rPr>
            </w:pPr>
            <w:r>
              <w:rPr>
                <w:rFonts w:hint="eastAsia"/>
                <w:color w:val="000000" w:themeColor="text1"/>
                <w:sz w:val="21"/>
                <w:szCs w:val="21"/>
              </w:rPr>
              <w:t>依托</w:t>
            </w:r>
            <w:r>
              <w:rPr>
                <w:color w:val="000000" w:themeColor="text1"/>
                <w:sz w:val="21"/>
                <w:szCs w:val="21"/>
              </w:rPr>
              <w:t>辣子箐口选厂已建好的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Align w:val="center"/>
          </w:tcPr>
          <w:p>
            <w:pPr>
              <w:spacing w:line="240" w:lineRule="exact"/>
              <w:ind w:firstLine="0" w:firstLineChars="0"/>
              <w:jc w:val="center"/>
              <w:rPr>
                <w:color w:val="000000" w:themeColor="text1"/>
                <w:sz w:val="21"/>
                <w:szCs w:val="21"/>
              </w:rPr>
            </w:pPr>
            <w:r>
              <w:rPr>
                <w:color w:val="000000" w:themeColor="text1"/>
                <w:sz w:val="21"/>
                <w:szCs w:val="21"/>
              </w:rPr>
              <w:t>隔膜泵站</w:t>
            </w:r>
          </w:p>
        </w:tc>
        <w:tc>
          <w:tcPr>
            <w:tcW w:w="4251" w:type="dxa"/>
            <w:vAlign w:val="center"/>
          </w:tcPr>
          <w:p>
            <w:pPr>
              <w:spacing w:line="240" w:lineRule="exact"/>
              <w:ind w:firstLine="0" w:firstLineChars="0"/>
              <w:rPr>
                <w:color w:val="000000" w:themeColor="text1"/>
                <w:sz w:val="21"/>
                <w:szCs w:val="21"/>
              </w:rPr>
            </w:pPr>
            <w:r>
              <w:rPr>
                <w:color w:val="000000" w:themeColor="text1"/>
                <w:sz w:val="21"/>
                <w:szCs w:val="21"/>
              </w:rPr>
              <w:t>位于矿浆池与管道终点之间设置隔膜泵站，占地面积120m</w:t>
            </w:r>
            <w:r>
              <w:rPr>
                <w:color w:val="000000" w:themeColor="text1"/>
                <w:sz w:val="21"/>
                <w:szCs w:val="21"/>
                <w:vertAlign w:val="superscript"/>
              </w:rPr>
              <w:t>2</w:t>
            </w:r>
            <w:r>
              <w:rPr>
                <w:color w:val="000000" w:themeColor="text1"/>
                <w:sz w:val="21"/>
                <w:szCs w:val="21"/>
              </w:rPr>
              <w:t>。设置有3台隔膜泵、占地面积约50m</w:t>
            </w:r>
            <w:r>
              <w:rPr>
                <w:color w:val="000000" w:themeColor="text1"/>
                <w:sz w:val="21"/>
                <w:szCs w:val="21"/>
                <w:vertAlign w:val="superscript"/>
              </w:rPr>
              <w:t>2</w:t>
            </w:r>
            <w:r>
              <w:rPr>
                <w:color w:val="000000" w:themeColor="text1"/>
                <w:sz w:val="21"/>
                <w:szCs w:val="21"/>
              </w:rPr>
              <w:t>的值班室和占地面积约10m</w:t>
            </w:r>
            <w:r>
              <w:rPr>
                <w:color w:val="000000" w:themeColor="text1"/>
                <w:sz w:val="21"/>
                <w:szCs w:val="21"/>
                <w:vertAlign w:val="superscript"/>
              </w:rPr>
              <w:t>2</w:t>
            </w:r>
            <w:r>
              <w:rPr>
                <w:color w:val="000000" w:themeColor="text1"/>
                <w:sz w:val="21"/>
                <w:szCs w:val="21"/>
              </w:rPr>
              <w:t>的旱厕。</w:t>
            </w:r>
          </w:p>
        </w:tc>
        <w:tc>
          <w:tcPr>
            <w:tcW w:w="1418" w:type="dxa"/>
            <w:vAlign w:val="center"/>
          </w:tcPr>
          <w:p>
            <w:pPr>
              <w:spacing w:line="280" w:lineRule="exact"/>
              <w:ind w:firstLine="0" w:firstLineChars="0"/>
              <w:jc w:val="center"/>
              <w:rPr>
                <w:color w:val="000000" w:themeColor="text1"/>
                <w:sz w:val="21"/>
                <w:szCs w:val="21"/>
              </w:rPr>
            </w:pPr>
            <w:r>
              <w:rPr>
                <w:color w:val="000000" w:themeColor="text1"/>
                <w:sz w:val="21"/>
                <w:szCs w:val="21"/>
              </w:rPr>
              <w:t>/</w:t>
            </w:r>
          </w:p>
        </w:tc>
        <w:tc>
          <w:tcPr>
            <w:tcW w:w="1326" w:type="dxa"/>
            <w:vAlign w:val="center"/>
          </w:tcPr>
          <w:p>
            <w:pPr>
              <w:tabs>
                <w:tab w:val="left" w:pos="1960"/>
              </w:tabs>
              <w:spacing w:line="240" w:lineRule="auto"/>
              <w:ind w:firstLine="0" w:firstLineChars="0"/>
              <w:jc w:val="center"/>
              <w:rPr>
                <w:color w:val="000000" w:themeColor="text1"/>
                <w:sz w:val="21"/>
                <w:szCs w:val="21"/>
              </w:rPr>
            </w:pPr>
            <w:r>
              <w:rPr>
                <w:color w:val="000000" w:themeColor="text1"/>
                <w:sz w:val="21"/>
                <w:szCs w:val="21"/>
              </w:rPr>
              <w:t>依托平安公司辣子箐口选厂已建好的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Align w:val="center"/>
          </w:tcPr>
          <w:p>
            <w:pPr>
              <w:spacing w:line="240" w:lineRule="exact"/>
              <w:ind w:firstLine="0" w:firstLineChars="0"/>
              <w:jc w:val="center"/>
              <w:rPr>
                <w:color w:val="000000" w:themeColor="text1"/>
                <w:sz w:val="21"/>
                <w:szCs w:val="21"/>
              </w:rPr>
            </w:pPr>
            <w:r>
              <w:rPr>
                <w:rFonts w:hint="eastAsia"/>
                <w:color w:val="000000" w:themeColor="text1"/>
                <w:sz w:val="21"/>
                <w:szCs w:val="21"/>
              </w:rPr>
              <w:t>原矿石堆棚</w:t>
            </w:r>
          </w:p>
        </w:tc>
        <w:tc>
          <w:tcPr>
            <w:tcW w:w="4251" w:type="dxa"/>
            <w:vAlign w:val="center"/>
          </w:tcPr>
          <w:p>
            <w:pPr>
              <w:spacing w:line="240" w:lineRule="exact"/>
              <w:ind w:firstLine="0" w:firstLineChars="0"/>
              <w:rPr>
                <w:rFonts w:eastAsiaTheme="minorEastAsia"/>
                <w:color w:val="000000" w:themeColor="text1"/>
                <w:sz w:val="21"/>
                <w:szCs w:val="21"/>
              </w:rPr>
            </w:pPr>
            <w:r>
              <w:rPr>
                <w:rFonts w:hint="eastAsia" w:eastAsiaTheme="minorEastAsia"/>
                <w:color w:val="000000" w:themeColor="text1"/>
                <w:kern w:val="24"/>
                <w:sz w:val="21"/>
                <w:szCs w:val="21"/>
              </w:rPr>
              <w:t>位于原料处理站，占地面积</w:t>
            </w:r>
            <w:r>
              <w:rPr>
                <w:rFonts w:eastAsiaTheme="minorEastAsia"/>
                <w:color w:val="000000" w:themeColor="text1"/>
                <w:kern w:val="24"/>
                <w:sz w:val="21"/>
                <w:szCs w:val="21"/>
              </w:rPr>
              <w:t>3500m</w:t>
            </w:r>
            <w:r>
              <w:rPr>
                <w:rFonts w:eastAsiaTheme="minorEastAsia"/>
                <w:color w:val="000000" w:themeColor="text1"/>
                <w:kern w:val="24"/>
                <w:sz w:val="21"/>
                <w:szCs w:val="21"/>
                <w:vertAlign w:val="superscript"/>
              </w:rPr>
              <w:t>2</w:t>
            </w:r>
            <w:r>
              <w:rPr>
                <w:rFonts w:hint="eastAsia" w:eastAsiaTheme="minorEastAsia"/>
                <w:color w:val="000000" w:themeColor="text1"/>
                <w:kern w:val="24"/>
                <w:sz w:val="21"/>
                <w:szCs w:val="21"/>
              </w:rPr>
              <w:t>，钢架结构，</w:t>
            </w:r>
            <w:r>
              <w:rPr>
                <w:rFonts w:eastAsiaTheme="minorEastAsia"/>
                <w:color w:val="000000" w:themeColor="text1"/>
                <w:kern w:val="24"/>
                <w:sz w:val="21"/>
                <w:szCs w:val="21"/>
              </w:rPr>
              <w:t>三面遮挡+挡雨棚形式</w:t>
            </w:r>
          </w:p>
        </w:tc>
        <w:tc>
          <w:tcPr>
            <w:tcW w:w="1418" w:type="dxa"/>
            <w:vAlign w:val="center"/>
          </w:tcPr>
          <w:p>
            <w:pPr>
              <w:spacing w:line="280" w:lineRule="exact"/>
              <w:ind w:firstLine="0" w:firstLineChars="0"/>
              <w:jc w:val="center"/>
              <w:rPr>
                <w:color w:val="000000" w:themeColor="text1"/>
                <w:sz w:val="21"/>
                <w:szCs w:val="21"/>
              </w:rPr>
            </w:pPr>
            <w:r>
              <w:rPr>
                <w:rFonts w:eastAsiaTheme="minorEastAsia"/>
                <w:color w:val="000000" w:themeColor="text1"/>
                <w:kern w:val="24"/>
                <w:sz w:val="21"/>
                <w:szCs w:val="21"/>
              </w:rPr>
              <w:t>钢结构+彩钢瓦</w:t>
            </w:r>
          </w:p>
        </w:tc>
        <w:tc>
          <w:tcPr>
            <w:tcW w:w="1326" w:type="dxa"/>
            <w:vAlign w:val="center"/>
          </w:tcPr>
          <w:p>
            <w:pPr>
              <w:tabs>
                <w:tab w:val="left" w:pos="1960"/>
              </w:tabs>
              <w:spacing w:line="240" w:lineRule="auto"/>
              <w:ind w:firstLine="0" w:firstLineChars="0"/>
              <w:jc w:val="center"/>
              <w:rPr>
                <w:color w:val="000000" w:themeColor="text1"/>
                <w:sz w:val="21"/>
                <w:szCs w:val="21"/>
              </w:rPr>
            </w:pPr>
            <w:r>
              <w:rPr>
                <w:rFonts w:hint="eastAsia"/>
                <w:color w:val="000000" w:themeColor="text1"/>
                <w:sz w:val="21"/>
                <w:szCs w:val="21"/>
              </w:rPr>
              <w:t>新建，未建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spacing w:line="240" w:lineRule="exact"/>
              <w:ind w:firstLine="0" w:firstLineChars="0"/>
              <w:jc w:val="center"/>
              <w:rPr>
                <w:color w:val="000000" w:themeColor="text1"/>
                <w:sz w:val="21"/>
                <w:szCs w:val="21"/>
              </w:rPr>
            </w:pPr>
            <w:r>
              <w:rPr>
                <w:rFonts w:hint="eastAsia"/>
                <w:color w:val="000000" w:themeColor="text1"/>
                <w:sz w:val="21"/>
                <w:szCs w:val="21"/>
              </w:rPr>
              <w:t>低品位矿堆棚</w:t>
            </w:r>
          </w:p>
        </w:tc>
        <w:tc>
          <w:tcPr>
            <w:tcW w:w="4251" w:type="dxa"/>
            <w:vAlign w:val="center"/>
          </w:tcPr>
          <w:p>
            <w:pPr>
              <w:spacing w:line="240" w:lineRule="exact"/>
              <w:ind w:firstLine="0" w:firstLineChars="0"/>
              <w:rPr>
                <w:color w:val="000000" w:themeColor="text1"/>
                <w:sz w:val="21"/>
                <w:szCs w:val="21"/>
              </w:rPr>
            </w:pPr>
            <w:r>
              <w:rPr>
                <w:rFonts w:hint="eastAsia" w:eastAsiaTheme="minorEastAsia"/>
                <w:color w:val="000000" w:themeColor="text1"/>
                <w:kern w:val="24"/>
                <w:sz w:val="21"/>
                <w:szCs w:val="21"/>
              </w:rPr>
              <w:t>位于原料处理站，</w:t>
            </w:r>
            <w:r>
              <w:rPr>
                <w:rFonts w:eastAsiaTheme="minorEastAsia"/>
                <w:color w:val="000000" w:themeColor="text1"/>
                <w:kern w:val="24"/>
                <w:sz w:val="21"/>
                <w:szCs w:val="21"/>
              </w:rPr>
              <w:t>低品位原矿堆棚500m</w:t>
            </w:r>
            <w:r>
              <w:rPr>
                <w:rFonts w:eastAsiaTheme="minorEastAsia"/>
                <w:color w:val="000000" w:themeColor="text1"/>
                <w:kern w:val="24"/>
                <w:sz w:val="21"/>
                <w:szCs w:val="21"/>
                <w:vertAlign w:val="superscript"/>
              </w:rPr>
              <w:t>2</w:t>
            </w:r>
            <w:r>
              <w:rPr>
                <w:rFonts w:hint="eastAsia" w:eastAsiaTheme="minorEastAsia"/>
                <w:color w:val="000000" w:themeColor="text1"/>
                <w:kern w:val="24"/>
                <w:sz w:val="21"/>
                <w:szCs w:val="21"/>
              </w:rPr>
              <w:t>，钢架结构，</w:t>
            </w:r>
            <w:r>
              <w:rPr>
                <w:rFonts w:eastAsiaTheme="minorEastAsia"/>
                <w:color w:val="000000" w:themeColor="text1"/>
                <w:kern w:val="24"/>
                <w:sz w:val="21"/>
                <w:szCs w:val="21"/>
              </w:rPr>
              <w:t>三面遮挡+挡雨棚形式</w:t>
            </w:r>
          </w:p>
        </w:tc>
        <w:tc>
          <w:tcPr>
            <w:tcW w:w="1418" w:type="dxa"/>
            <w:vAlign w:val="center"/>
          </w:tcPr>
          <w:p>
            <w:pPr>
              <w:spacing w:line="280" w:lineRule="exact"/>
              <w:ind w:firstLine="0" w:firstLineChars="0"/>
              <w:jc w:val="center"/>
              <w:rPr>
                <w:color w:val="000000" w:themeColor="text1"/>
                <w:sz w:val="21"/>
                <w:szCs w:val="21"/>
              </w:rPr>
            </w:pPr>
            <w:r>
              <w:rPr>
                <w:rFonts w:eastAsiaTheme="minorEastAsia"/>
                <w:color w:val="000000" w:themeColor="text1"/>
                <w:kern w:val="24"/>
                <w:sz w:val="21"/>
                <w:szCs w:val="21"/>
              </w:rPr>
              <w:t>钢结构+彩钢瓦</w:t>
            </w:r>
          </w:p>
        </w:tc>
        <w:tc>
          <w:tcPr>
            <w:tcW w:w="1326" w:type="dxa"/>
            <w:vAlign w:val="center"/>
          </w:tcPr>
          <w:p>
            <w:pPr>
              <w:tabs>
                <w:tab w:val="left" w:pos="1960"/>
              </w:tabs>
              <w:spacing w:line="240" w:lineRule="auto"/>
              <w:ind w:firstLine="0" w:firstLineChars="0"/>
              <w:jc w:val="center"/>
              <w:rPr>
                <w:color w:val="000000" w:themeColor="text1"/>
                <w:sz w:val="21"/>
                <w:szCs w:val="21"/>
              </w:rPr>
            </w:pPr>
            <w:r>
              <w:rPr>
                <w:rFonts w:hint="eastAsia"/>
                <w:color w:val="000000" w:themeColor="text1"/>
                <w:sz w:val="21"/>
                <w:szCs w:val="21"/>
              </w:rPr>
              <w:t>新建，未建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spacing w:line="240" w:lineRule="exact"/>
              <w:ind w:firstLine="0" w:firstLineChars="0"/>
              <w:jc w:val="center"/>
              <w:rPr>
                <w:color w:val="000000" w:themeColor="text1"/>
                <w:sz w:val="21"/>
                <w:szCs w:val="21"/>
              </w:rPr>
            </w:pPr>
            <w:r>
              <w:rPr>
                <w:rFonts w:hint="eastAsia"/>
                <w:color w:val="000000" w:themeColor="text1"/>
                <w:sz w:val="21"/>
                <w:szCs w:val="21"/>
              </w:rPr>
              <w:t>砂石料堆场</w:t>
            </w:r>
          </w:p>
        </w:tc>
        <w:tc>
          <w:tcPr>
            <w:tcW w:w="4251" w:type="dxa"/>
            <w:vAlign w:val="center"/>
          </w:tcPr>
          <w:p>
            <w:pPr>
              <w:spacing w:line="240" w:lineRule="exact"/>
              <w:ind w:firstLine="0" w:firstLineChars="0"/>
              <w:rPr>
                <w:rFonts w:eastAsiaTheme="minorEastAsia"/>
                <w:color w:val="000000" w:themeColor="text1"/>
                <w:kern w:val="24"/>
                <w:sz w:val="21"/>
                <w:szCs w:val="21"/>
              </w:rPr>
            </w:pPr>
            <w:r>
              <w:rPr>
                <w:rFonts w:hint="eastAsia" w:eastAsiaTheme="minorEastAsia"/>
                <w:color w:val="000000" w:themeColor="text1"/>
                <w:kern w:val="24"/>
                <w:sz w:val="21"/>
                <w:szCs w:val="21"/>
              </w:rPr>
              <w:t>位于原料处理站，</w:t>
            </w:r>
            <w:r>
              <w:rPr>
                <w:rFonts w:eastAsiaTheme="minorEastAsia"/>
                <w:color w:val="000000" w:themeColor="text1"/>
                <w:kern w:val="24"/>
                <w:sz w:val="21"/>
                <w:szCs w:val="21"/>
              </w:rPr>
              <w:t>砂石料堆棚</w:t>
            </w:r>
            <w:r>
              <w:rPr>
                <w:rFonts w:hint="eastAsia" w:eastAsiaTheme="minorEastAsia"/>
                <w:color w:val="000000" w:themeColor="text1"/>
                <w:kern w:val="24"/>
                <w:sz w:val="21"/>
                <w:szCs w:val="21"/>
              </w:rPr>
              <w:t>占地面积</w:t>
            </w:r>
            <w:r>
              <w:rPr>
                <w:rFonts w:eastAsiaTheme="minorEastAsia"/>
                <w:color w:val="000000" w:themeColor="text1"/>
                <w:kern w:val="24"/>
                <w:sz w:val="21"/>
                <w:szCs w:val="21"/>
              </w:rPr>
              <w:t>120m</w:t>
            </w:r>
            <w:r>
              <w:rPr>
                <w:rFonts w:eastAsiaTheme="minorEastAsia"/>
                <w:color w:val="000000" w:themeColor="text1"/>
                <w:kern w:val="24"/>
                <w:sz w:val="21"/>
                <w:szCs w:val="21"/>
                <w:vertAlign w:val="superscript"/>
              </w:rPr>
              <w:t>2</w:t>
            </w:r>
            <w:r>
              <w:rPr>
                <w:rFonts w:hint="eastAsia" w:eastAsiaTheme="minorEastAsia"/>
                <w:color w:val="000000" w:themeColor="text1"/>
                <w:kern w:val="24"/>
                <w:sz w:val="21"/>
                <w:szCs w:val="21"/>
              </w:rPr>
              <w:t>，钢架结构，</w:t>
            </w:r>
            <w:r>
              <w:rPr>
                <w:rFonts w:eastAsiaTheme="minorEastAsia"/>
                <w:color w:val="000000" w:themeColor="text1"/>
                <w:kern w:val="24"/>
                <w:sz w:val="21"/>
                <w:szCs w:val="21"/>
              </w:rPr>
              <w:t>三面遮挡+挡雨棚形式</w:t>
            </w:r>
          </w:p>
        </w:tc>
        <w:tc>
          <w:tcPr>
            <w:tcW w:w="1418" w:type="dxa"/>
            <w:vAlign w:val="center"/>
          </w:tcPr>
          <w:p>
            <w:pPr>
              <w:spacing w:line="280" w:lineRule="exact"/>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钢结构+彩钢瓦</w:t>
            </w:r>
          </w:p>
        </w:tc>
        <w:tc>
          <w:tcPr>
            <w:tcW w:w="1326" w:type="dxa"/>
            <w:vAlign w:val="center"/>
          </w:tcPr>
          <w:p>
            <w:pPr>
              <w:tabs>
                <w:tab w:val="left" w:pos="1960"/>
              </w:tabs>
              <w:spacing w:line="240" w:lineRule="auto"/>
              <w:ind w:firstLine="0" w:firstLineChars="0"/>
              <w:jc w:val="center"/>
              <w:rPr>
                <w:color w:val="000000" w:themeColor="text1"/>
                <w:sz w:val="21"/>
                <w:szCs w:val="21"/>
              </w:rPr>
            </w:pPr>
            <w:r>
              <w:rPr>
                <w:rFonts w:hint="eastAsia"/>
                <w:color w:val="000000" w:themeColor="text1"/>
                <w:sz w:val="21"/>
                <w:szCs w:val="21"/>
              </w:rPr>
              <w:t>新建，未建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spacing w:line="240" w:lineRule="exact"/>
              <w:ind w:firstLine="0" w:firstLineChars="0"/>
              <w:jc w:val="center"/>
              <w:rPr>
                <w:color w:val="000000" w:themeColor="text1"/>
                <w:sz w:val="21"/>
                <w:szCs w:val="21"/>
              </w:rPr>
            </w:pPr>
            <w:r>
              <w:rPr>
                <w:rFonts w:hint="eastAsia"/>
                <w:color w:val="000000" w:themeColor="text1"/>
                <w:sz w:val="21"/>
                <w:szCs w:val="21"/>
              </w:rPr>
              <w:t>产品堆场</w:t>
            </w:r>
          </w:p>
        </w:tc>
        <w:tc>
          <w:tcPr>
            <w:tcW w:w="4251" w:type="dxa"/>
            <w:vAlign w:val="center"/>
          </w:tcPr>
          <w:p>
            <w:pPr>
              <w:spacing w:line="240" w:lineRule="exact"/>
              <w:ind w:firstLine="0" w:firstLineChars="0"/>
              <w:rPr>
                <w:color w:val="000000" w:themeColor="text1"/>
                <w:sz w:val="21"/>
                <w:szCs w:val="21"/>
              </w:rPr>
            </w:pPr>
            <w:r>
              <w:rPr>
                <w:rFonts w:hint="eastAsia"/>
                <w:color w:val="000000" w:themeColor="text1"/>
                <w:sz w:val="21"/>
                <w:szCs w:val="21"/>
              </w:rPr>
              <w:t>位于陶瓷过滤机旁，占地面积300</w:t>
            </w:r>
            <w:r>
              <w:rPr>
                <w:rFonts w:eastAsiaTheme="minorEastAsia"/>
                <w:color w:val="000000" w:themeColor="text1"/>
                <w:kern w:val="24"/>
                <w:sz w:val="21"/>
                <w:szCs w:val="21"/>
              </w:rPr>
              <w:t>m</w:t>
            </w:r>
            <w:r>
              <w:rPr>
                <w:rFonts w:eastAsiaTheme="minorEastAsia"/>
                <w:color w:val="000000" w:themeColor="text1"/>
                <w:kern w:val="24"/>
                <w:sz w:val="21"/>
                <w:szCs w:val="21"/>
                <w:vertAlign w:val="superscript"/>
              </w:rPr>
              <w:t>2</w:t>
            </w:r>
            <w:r>
              <w:rPr>
                <w:rFonts w:hint="eastAsia" w:eastAsiaTheme="minorEastAsia"/>
                <w:color w:val="000000" w:themeColor="text1"/>
                <w:kern w:val="24"/>
                <w:sz w:val="21"/>
                <w:szCs w:val="21"/>
              </w:rPr>
              <w:t>，钢架结构，</w:t>
            </w:r>
            <w:r>
              <w:rPr>
                <w:rFonts w:eastAsiaTheme="minorEastAsia"/>
                <w:color w:val="000000" w:themeColor="text1"/>
                <w:kern w:val="24"/>
                <w:sz w:val="21"/>
                <w:szCs w:val="21"/>
              </w:rPr>
              <w:t>三面遮挡+挡雨棚形式</w:t>
            </w:r>
          </w:p>
        </w:tc>
        <w:tc>
          <w:tcPr>
            <w:tcW w:w="1418" w:type="dxa"/>
            <w:vAlign w:val="center"/>
          </w:tcPr>
          <w:p>
            <w:pPr>
              <w:spacing w:line="280" w:lineRule="exact"/>
              <w:ind w:firstLine="0" w:firstLineChars="0"/>
              <w:jc w:val="center"/>
              <w:rPr>
                <w:rFonts w:eastAsiaTheme="minorEastAsia"/>
                <w:color w:val="000000" w:themeColor="text1"/>
                <w:sz w:val="21"/>
                <w:szCs w:val="21"/>
              </w:rPr>
            </w:pPr>
            <w:r>
              <w:rPr>
                <w:rFonts w:eastAsiaTheme="minorEastAsia"/>
                <w:color w:val="000000" w:themeColor="text1"/>
                <w:kern w:val="24"/>
                <w:sz w:val="21"/>
                <w:szCs w:val="21"/>
              </w:rPr>
              <w:t>钢结构+彩钢瓦</w:t>
            </w:r>
            <w:r>
              <w:rPr>
                <w:rFonts w:hint="eastAsia" w:eastAsiaTheme="minorEastAsia"/>
                <w:color w:val="000000" w:themeColor="text1"/>
                <w:kern w:val="24"/>
                <w:sz w:val="21"/>
                <w:szCs w:val="21"/>
              </w:rPr>
              <w:t>，精矿池旁地面进行硬化</w:t>
            </w:r>
          </w:p>
        </w:tc>
        <w:tc>
          <w:tcPr>
            <w:tcW w:w="1326" w:type="dxa"/>
            <w:vAlign w:val="center"/>
          </w:tcPr>
          <w:p>
            <w:pPr>
              <w:tabs>
                <w:tab w:val="left" w:pos="1960"/>
              </w:tabs>
              <w:spacing w:line="240" w:lineRule="auto"/>
              <w:ind w:firstLine="0" w:firstLineChars="0"/>
              <w:jc w:val="center"/>
              <w:rPr>
                <w:color w:val="000000" w:themeColor="text1"/>
                <w:sz w:val="21"/>
                <w:szCs w:val="21"/>
              </w:rPr>
            </w:pPr>
            <w:r>
              <w:rPr>
                <w:rFonts w:hint="eastAsia"/>
                <w:color w:val="000000" w:themeColor="text1"/>
                <w:sz w:val="21"/>
                <w:szCs w:val="21"/>
              </w:rPr>
              <w:t>新建，，未建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rPr>
            </w:pPr>
          </w:p>
        </w:tc>
        <w:tc>
          <w:tcPr>
            <w:tcW w:w="1101" w:type="dxa"/>
            <w:vAlign w:val="center"/>
          </w:tcPr>
          <w:p>
            <w:pPr>
              <w:spacing w:line="240" w:lineRule="exact"/>
              <w:ind w:firstLine="0" w:firstLineChars="0"/>
              <w:jc w:val="center"/>
              <w:rPr>
                <w:color w:val="000000" w:themeColor="text1"/>
                <w:sz w:val="21"/>
                <w:szCs w:val="21"/>
              </w:rPr>
            </w:pPr>
            <w:r>
              <w:rPr>
                <w:rFonts w:hint="eastAsia"/>
                <w:color w:val="000000" w:themeColor="text1"/>
                <w:sz w:val="21"/>
                <w:szCs w:val="21"/>
              </w:rPr>
              <w:t>内部道路运输</w:t>
            </w:r>
          </w:p>
        </w:tc>
        <w:tc>
          <w:tcPr>
            <w:tcW w:w="4251" w:type="dxa"/>
            <w:vAlign w:val="center"/>
          </w:tcPr>
          <w:p>
            <w:pPr>
              <w:spacing w:line="240" w:lineRule="exact"/>
              <w:ind w:firstLine="0" w:firstLineChars="0"/>
              <w:rPr>
                <w:color w:val="000000" w:themeColor="text1"/>
                <w:sz w:val="21"/>
                <w:szCs w:val="21"/>
              </w:rPr>
            </w:pPr>
            <w:r>
              <w:rPr>
                <w:rFonts w:hint="eastAsia"/>
                <w:color w:val="000000" w:themeColor="text1"/>
                <w:sz w:val="21"/>
                <w:szCs w:val="21"/>
              </w:rPr>
              <w:t>原料运输从公戛路至原料处理站，距离约150m，道路硬化，从产品堆场至公戛路，距离约100m，道路硬化，原料及产品运输采用自卸车</w:t>
            </w:r>
          </w:p>
        </w:tc>
        <w:tc>
          <w:tcPr>
            <w:tcW w:w="1418" w:type="dxa"/>
            <w:vAlign w:val="center"/>
          </w:tcPr>
          <w:p>
            <w:pPr>
              <w:spacing w:line="280" w:lineRule="exact"/>
              <w:ind w:firstLine="0" w:firstLineChars="0"/>
              <w:jc w:val="center"/>
              <w:rPr>
                <w:color w:val="000000" w:themeColor="text1"/>
                <w:sz w:val="21"/>
                <w:szCs w:val="21"/>
              </w:rPr>
            </w:pPr>
            <w:r>
              <w:rPr>
                <w:rFonts w:hint="eastAsia"/>
                <w:color w:val="000000" w:themeColor="text1"/>
                <w:sz w:val="21"/>
                <w:szCs w:val="21"/>
              </w:rPr>
              <w:t>/</w:t>
            </w:r>
          </w:p>
        </w:tc>
        <w:tc>
          <w:tcPr>
            <w:tcW w:w="1326" w:type="dxa"/>
            <w:vAlign w:val="center"/>
          </w:tcPr>
          <w:p>
            <w:pPr>
              <w:tabs>
                <w:tab w:val="left" w:pos="1960"/>
              </w:tabs>
              <w:spacing w:line="240" w:lineRule="auto"/>
              <w:ind w:firstLine="0" w:firstLineChars="0"/>
              <w:jc w:val="center"/>
              <w:rPr>
                <w:color w:val="000000" w:themeColor="text1"/>
                <w:sz w:val="21"/>
                <w:szCs w:val="21"/>
              </w:rPr>
            </w:pPr>
            <w:r>
              <w:rPr>
                <w:rFonts w:hint="eastAsia"/>
                <w:color w:val="000000" w:themeColor="text1"/>
                <w:sz w:val="21"/>
                <w:szCs w:val="21"/>
              </w:rPr>
              <w:t>在原有道的基础上改建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6" w:hRule="atLeast"/>
        </w:trPr>
        <w:tc>
          <w:tcPr>
            <w:tcW w:w="427" w:type="dxa"/>
            <w:vMerge w:val="restart"/>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公用工程</w:t>
            </w:r>
          </w:p>
        </w:tc>
        <w:tc>
          <w:tcPr>
            <w:tcW w:w="1101" w:type="dxa"/>
            <w:vAlign w:val="center"/>
          </w:tcPr>
          <w:p>
            <w:pPr>
              <w:pStyle w:val="126"/>
              <w:tabs>
                <w:tab w:val="left" w:pos="1960"/>
              </w:tabs>
              <w:rPr>
                <w:rFonts w:eastAsiaTheme="minorEastAsia"/>
                <w:color w:val="000000" w:themeColor="text1"/>
              </w:rPr>
            </w:pPr>
            <w:r>
              <w:rPr>
                <w:rFonts w:eastAsiaTheme="minorEastAsia"/>
                <w:color w:val="000000" w:themeColor="text1"/>
              </w:rPr>
              <w:t>供水系统</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选矿区生产用水新鲜水从南面距离厂区145m外的困龙河用DN100钢管泵至厂区高位水池（500m</w:t>
            </w:r>
            <w:r>
              <w:rPr>
                <w:rFonts w:eastAsiaTheme="minorEastAsia"/>
                <w:color w:val="000000" w:themeColor="text1"/>
                <w:vertAlign w:val="superscript"/>
                <w:lang w:eastAsia="zh-CN"/>
              </w:rPr>
              <w:t>3</w:t>
            </w:r>
            <w:r>
              <w:rPr>
                <w:rFonts w:eastAsiaTheme="minorEastAsia"/>
                <w:color w:val="000000" w:themeColor="text1"/>
                <w:lang w:eastAsia="zh-CN"/>
              </w:rPr>
              <w:t>），在供给生产车间</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 xml:space="preserve">依托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6" w:hRule="atLeast"/>
        </w:trPr>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排水</w:t>
            </w:r>
            <w:r>
              <w:rPr>
                <w:rFonts w:hint="eastAsia" w:eastAsiaTheme="minorEastAsia"/>
                <w:color w:val="000000" w:themeColor="text1"/>
                <w:kern w:val="24"/>
                <w:sz w:val="21"/>
                <w:szCs w:val="21"/>
              </w:rPr>
              <w:t>系统</w:t>
            </w: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hint="eastAsia" w:eastAsiaTheme="minorEastAsia"/>
                <w:color w:val="000000" w:themeColor="text1"/>
                <w:kern w:val="24"/>
                <w:sz w:val="21"/>
                <w:szCs w:val="21"/>
                <w:lang w:eastAsia="zh-CN"/>
              </w:rPr>
              <w:t>原有项目选矿废水和技改项目压滤机废水</w:t>
            </w:r>
            <w:r>
              <w:rPr>
                <w:rFonts w:hint="eastAsia" w:eastAsiaTheme="minorEastAsia"/>
                <w:color w:val="000000" w:themeColor="text1"/>
                <w:kern w:val="24"/>
                <w:sz w:val="21"/>
                <w:szCs w:val="21"/>
                <w:lang w:val="en-US" w:eastAsia="zh-CN"/>
              </w:rPr>
              <w:t>及清洗废水</w:t>
            </w:r>
            <w:r>
              <w:rPr>
                <w:rFonts w:hint="eastAsia" w:eastAsiaTheme="minorEastAsia"/>
                <w:color w:val="000000" w:themeColor="text1"/>
                <w:kern w:val="24"/>
                <w:sz w:val="21"/>
                <w:szCs w:val="21"/>
                <w:lang w:eastAsia="zh-CN"/>
              </w:rPr>
              <w:t>、实验废水进入原有尾矿沉淀池处理后回用于生产，</w:t>
            </w:r>
            <w:r>
              <w:rPr>
                <w:rFonts w:eastAsiaTheme="minorEastAsia"/>
                <w:color w:val="000000" w:themeColor="text1"/>
                <w:kern w:val="24"/>
                <w:sz w:val="21"/>
                <w:szCs w:val="21"/>
              </w:rPr>
              <w:t>尾矿废水随尾矿携带进入平安公司辣子箐口选厂的浓密池内</w:t>
            </w:r>
          </w:p>
        </w:tc>
        <w:tc>
          <w:tcPr>
            <w:tcW w:w="1418"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化粪池依托现有，污水处理设施为新建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供电系统</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电力由市政供给</w:t>
            </w:r>
            <w:r>
              <w:rPr>
                <w:rFonts w:hint="eastAsia" w:eastAsiaTheme="minorEastAsia"/>
                <w:color w:val="000000" w:themeColor="text1"/>
                <w:lang w:eastAsia="zh-CN"/>
              </w:rPr>
              <w:t>，厂区内设置1250</w:t>
            </w:r>
            <w:r>
              <w:rPr>
                <w:rFonts w:eastAsiaTheme="minorEastAsia"/>
                <w:color w:val="000000" w:themeColor="text1"/>
                <w:lang w:eastAsia="zh-CN"/>
              </w:rPr>
              <w:t>KVA</w:t>
            </w:r>
            <w:r>
              <w:rPr>
                <w:rFonts w:hint="eastAsia" w:eastAsiaTheme="minorEastAsia"/>
                <w:color w:val="000000" w:themeColor="text1"/>
                <w:lang w:eastAsia="zh-CN"/>
              </w:rPr>
              <w:t>变压器1台，1000</w:t>
            </w:r>
            <w:r>
              <w:rPr>
                <w:rFonts w:eastAsiaTheme="minorEastAsia"/>
                <w:color w:val="000000" w:themeColor="text1"/>
                <w:lang w:eastAsia="zh-CN"/>
              </w:rPr>
              <w:t>KVA</w:t>
            </w:r>
            <w:r>
              <w:rPr>
                <w:rFonts w:hint="eastAsia" w:eastAsiaTheme="minorEastAsia"/>
                <w:color w:val="000000" w:themeColor="text1"/>
                <w:lang w:eastAsia="zh-CN"/>
              </w:rPr>
              <w:t>变压器2台，600</w:t>
            </w:r>
            <w:r>
              <w:rPr>
                <w:rFonts w:eastAsiaTheme="minorEastAsia"/>
                <w:color w:val="000000" w:themeColor="text1"/>
                <w:lang w:eastAsia="zh-CN"/>
              </w:rPr>
              <w:t>KVA</w:t>
            </w:r>
            <w:r>
              <w:rPr>
                <w:rFonts w:hint="eastAsia" w:eastAsiaTheme="minorEastAsia"/>
                <w:color w:val="000000" w:themeColor="text1"/>
                <w:lang w:eastAsia="zh-CN"/>
              </w:rPr>
              <w:t>变压器1台，800</w:t>
            </w:r>
            <w:r>
              <w:rPr>
                <w:rFonts w:eastAsiaTheme="minorEastAsia"/>
                <w:color w:val="000000" w:themeColor="text1"/>
                <w:lang w:eastAsia="zh-CN"/>
              </w:rPr>
              <w:t>KVA</w:t>
            </w:r>
            <w:r>
              <w:rPr>
                <w:rFonts w:hint="eastAsia" w:eastAsiaTheme="minorEastAsia"/>
                <w:color w:val="000000" w:themeColor="text1"/>
                <w:lang w:eastAsia="zh-CN"/>
              </w:rPr>
              <w:t>变压器1台</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restart"/>
            <w:vAlign w:val="center"/>
          </w:tcPr>
          <w:p>
            <w:pPr>
              <w:pStyle w:val="126"/>
              <w:tabs>
                <w:tab w:val="left" w:pos="1960"/>
              </w:tabs>
              <w:rPr>
                <w:rFonts w:eastAsiaTheme="minorEastAsia"/>
                <w:color w:val="000000" w:themeColor="text1"/>
              </w:rPr>
            </w:pPr>
            <w:r>
              <w:rPr>
                <w:rFonts w:eastAsiaTheme="minorEastAsia"/>
                <w:color w:val="000000" w:themeColor="text1"/>
              </w:rPr>
              <w:t>环保设施</w:t>
            </w:r>
          </w:p>
        </w:tc>
        <w:tc>
          <w:tcPr>
            <w:tcW w:w="1101" w:type="dxa"/>
            <w:vMerge w:val="restart"/>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废气</w:t>
            </w: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给料口</w:t>
            </w:r>
            <w:r>
              <w:rPr>
                <w:rFonts w:eastAsiaTheme="minorEastAsia"/>
                <w:bCs/>
                <w:color w:val="000000" w:themeColor="text1"/>
                <w:sz w:val="21"/>
                <w:szCs w:val="21"/>
              </w:rPr>
              <w:t>喷淋降尘，给料口除上部给料处，四周围挡</w:t>
            </w:r>
          </w:p>
        </w:tc>
        <w:tc>
          <w:tcPr>
            <w:tcW w:w="1418" w:type="dxa"/>
            <w:vAlign w:val="center"/>
          </w:tcPr>
          <w:p>
            <w:pPr>
              <w:pStyle w:val="126"/>
              <w:tabs>
                <w:tab w:val="left" w:pos="1960"/>
              </w:tabs>
              <w:rPr>
                <w:rFonts w:eastAsiaTheme="minorEastAsia"/>
                <w:color w:val="000000" w:themeColor="text1"/>
                <w:lang w:eastAsia="zh-CN"/>
              </w:rPr>
            </w:pP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原矿石堆场设置堆棚形式，三面围挡+遮雨棚</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钢棚结构</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低品位原矿堆场</w:t>
            </w:r>
            <w:r>
              <w:rPr>
                <w:rFonts w:hint="eastAsia" w:eastAsiaTheme="minorEastAsia"/>
                <w:color w:val="000000" w:themeColor="text1"/>
                <w:kern w:val="24"/>
                <w:sz w:val="21"/>
                <w:szCs w:val="21"/>
              </w:rPr>
              <w:t>、产品精矿堆场</w:t>
            </w:r>
            <w:r>
              <w:rPr>
                <w:rFonts w:eastAsiaTheme="minorEastAsia"/>
                <w:color w:val="000000" w:themeColor="text1"/>
                <w:kern w:val="24"/>
                <w:sz w:val="21"/>
                <w:szCs w:val="21"/>
              </w:rPr>
              <w:t>设置堆棚形式，三面围挡+遮雨棚，堆棚设置喷淋装置</w:t>
            </w:r>
            <w:r>
              <w:rPr>
                <w:rFonts w:hint="eastAsia" w:eastAsiaTheme="minorEastAsia"/>
                <w:color w:val="000000" w:themeColor="text1"/>
                <w:kern w:val="24"/>
                <w:sz w:val="21"/>
                <w:szCs w:val="21"/>
              </w:rPr>
              <w:t>，三级精矿暂存在三级精矿池</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钢棚结构</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公分石和瓜子石堆场设置堆棚形式，三面围挡+遮雨棚</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钢棚结构</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机制砂堆场设施堆棚形式，三面围挡+遮雨棚，堆棚设置喷淋装置</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钢棚结构</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输送</w:t>
            </w:r>
            <w:r>
              <w:rPr>
                <w:rStyle w:val="73"/>
                <w:rFonts w:hint="eastAsia"/>
                <w:color w:val="000000" w:themeColor="text1"/>
                <w:kern w:val="0"/>
              </w:rPr>
              <w:t>廊道进行</w:t>
            </w:r>
            <w:r>
              <w:rPr>
                <w:rFonts w:eastAsiaTheme="minorEastAsia"/>
                <w:color w:val="000000" w:themeColor="text1"/>
                <w:kern w:val="24"/>
                <w:sz w:val="21"/>
                <w:szCs w:val="21"/>
              </w:rPr>
              <w:t>密闭，落料处降低落料高度，运输道路定期洒水降尘</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原料和产品装卸采用雾炮喷雾降尘</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hint="eastAsia" w:eastAsiaTheme="minorEastAsia"/>
                <w:color w:val="000000" w:themeColor="text1"/>
                <w:kern w:val="24"/>
                <w:sz w:val="21"/>
                <w:szCs w:val="21"/>
              </w:rPr>
              <w:t>2台鄂式破碎机和2台圆锥破碎机分别设置</w:t>
            </w:r>
            <w:r>
              <w:rPr>
                <w:rFonts w:eastAsiaTheme="minorEastAsia"/>
                <w:color w:val="000000" w:themeColor="text1"/>
                <w:kern w:val="24"/>
                <w:sz w:val="21"/>
                <w:szCs w:val="21"/>
              </w:rPr>
              <w:t>集气罩</w:t>
            </w:r>
            <w:r>
              <w:rPr>
                <w:rFonts w:hint="eastAsia" w:eastAsiaTheme="minorEastAsia"/>
                <w:color w:val="000000" w:themeColor="text1"/>
                <w:kern w:val="24"/>
                <w:sz w:val="21"/>
                <w:szCs w:val="21"/>
              </w:rPr>
              <w:t>，共用1套</w:t>
            </w:r>
            <w:r>
              <w:rPr>
                <w:rFonts w:eastAsiaTheme="minorEastAsia"/>
                <w:color w:val="000000" w:themeColor="text1"/>
                <w:kern w:val="24"/>
                <w:sz w:val="21"/>
                <w:szCs w:val="21"/>
              </w:rPr>
              <w:t>布袋除尘后，通过1根15m高排气筒排放</w:t>
            </w:r>
            <w:r>
              <w:rPr>
                <w:rFonts w:hint="eastAsia" w:eastAsiaTheme="minorEastAsia"/>
                <w:color w:val="000000" w:themeColor="text1"/>
                <w:kern w:val="24"/>
                <w:sz w:val="21"/>
                <w:szCs w:val="21"/>
              </w:rPr>
              <w:t>（DA001）</w:t>
            </w:r>
          </w:p>
        </w:tc>
        <w:tc>
          <w:tcPr>
            <w:tcW w:w="1418"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hint="eastAsia" w:eastAsiaTheme="minorEastAsia"/>
                <w:color w:val="000000" w:themeColor="text1"/>
                <w:kern w:val="24"/>
                <w:sz w:val="21"/>
                <w:szCs w:val="21"/>
              </w:rPr>
              <w:t>3台振动筛、1台水平筛、1台制砂机、1台辊压机分别</w:t>
            </w:r>
            <w:r>
              <w:rPr>
                <w:rFonts w:eastAsiaTheme="minorEastAsia"/>
                <w:color w:val="000000" w:themeColor="text1"/>
                <w:kern w:val="24"/>
                <w:sz w:val="21"/>
                <w:szCs w:val="21"/>
              </w:rPr>
              <w:t>设置集气罩</w:t>
            </w:r>
            <w:r>
              <w:rPr>
                <w:rFonts w:hint="eastAsia" w:eastAsiaTheme="minorEastAsia"/>
                <w:color w:val="000000" w:themeColor="text1"/>
                <w:kern w:val="24"/>
                <w:sz w:val="21"/>
                <w:szCs w:val="21"/>
              </w:rPr>
              <w:t>，共用1套</w:t>
            </w:r>
            <w:r>
              <w:rPr>
                <w:rFonts w:eastAsiaTheme="minorEastAsia"/>
                <w:color w:val="000000" w:themeColor="text1"/>
                <w:kern w:val="24"/>
                <w:sz w:val="21"/>
                <w:szCs w:val="21"/>
              </w:rPr>
              <w:t>布袋除尘后，通过1根15m高排气筒排放</w:t>
            </w:r>
            <w:r>
              <w:rPr>
                <w:rFonts w:hint="eastAsia" w:eastAsiaTheme="minorEastAsia"/>
                <w:color w:val="000000" w:themeColor="text1"/>
                <w:kern w:val="24"/>
                <w:sz w:val="21"/>
                <w:szCs w:val="21"/>
              </w:rPr>
              <w:t>(DA002)</w:t>
            </w:r>
          </w:p>
        </w:tc>
        <w:tc>
          <w:tcPr>
            <w:tcW w:w="1418"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restart"/>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废水</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原料加工区设置</w:t>
            </w:r>
            <w:r>
              <w:rPr>
                <w:rFonts w:hint="eastAsia" w:eastAsiaTheme="minorEastAsia"/>
                <w:color w:val="000000" w:themeColor="text1"/>
                <w:lang w:eastAsia="zh-CN"/>
              </w:rPr>
              <w:t>初期</w:t>
            </w:r>
            <w:r>
              <w:rPr>
                <w:rFonts w:eastAsiaTheme="minorEastAsia"/>
                <w:color w:val="000000" w:themeColor="text1"/>
                <w:lang w:eastAsia="zh-CN"/>
              </w:rPr>
              <w:t>雨水收集池</w:t>
            </w:r>
            <w:r>
              <w:rPr>
                <w:rFonts w:hint="eastAsia" w:eastAsiaTheme="minorEastAsia"/>
                <w:color w:val="000000" w:themeColor="text1"/>
                <w:lang w:eastAsia="zh-CN"/>
              </w:rPr>
              <w:t>1个，容积为200m</w:t>
            </w:r>
            <w:r>
              <w:rPr>
                <w:rFonts w:hint="eastAsia" w:eastAsiaTheme="minorEastAsia"/>
                <w:color w:val="000000" w:themeColor="text1"/>
                <w:vertAlign w:val="superscript"/>
                <w:lang w:eastAsia="zh-CN"/>
              </w:rPr>
              <w:t>3</w:t>
            </w:r>
            <w:r>
              <w:rPr>
                <w:rFonts w:hint="eastAsia" w:eastAsiaTheme="minorEastAsia"/>
                <w:color w:val="000000" w:themeColor="text1"/>
                <w:lang w:eastAsia="zh-CN"/>
              </w:rPr>
              <w:t>，</w:t>
            </w:r>
            <w:r>
              <w:rPr>
                <w:rFonts w:hint="eastAsia" w:eastAsiaTheme="minorEastAsia"/>
                <w:color w:val="000000" w:themeColor="text1"/>
                <w:kern w:val="24"/>
                <w:lang w:eastAsia="zh-CN"/>
              </w:rPr>
              <w:t>设置雨水沟250m</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洗砂泥浆进入磁选机</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原有项目选矿废水和技改项目压滤机废水</w:t>
            </w:r>
            <w:r>
              <w:rPr>
                <w:rFonts w:hint="eastAsia" w:eastAsiaTheme="minorEastAsia"/>
                <w:color w:val="000000" w:themeColor="text1"/>
                <w:lang w:val="en-US" w:eastAsia="zh-CN"/>
              </w:rPr>
              <w:t>及清洗废水</w:t>
            </w:r>
            <w:r>
              <w:rPr>
                <w:rFonts w:hint="eastAsia" w:eastAsiaTheme="minorEastAsia"/>
                <w:color w:val="000000" w:themeColor="text1"/>
                <w:lang w:eastAsia="zh-CN"/>
              </w:rPr>
              <w:t>、实验废水进入原有尾矿沉淀池处理后回用于生产，</w:t>
            </w:r>
            <w:r>
              <w:rPr>
                <w:rFonts w:eastAsiaTheme="minorEastAsia"/>
                <w:color w:val="000000" w:themeColor="text1"/>
              </w:rPr>
              <w:t>尾矿废水</w:t>
            </w:r>
            <w:r>
              <w:rPr>
                <w:rFonts w:eastAsiaTheme="minorEastAsia"/>
                <w:color w:val="000000" w:themeColor="text1"/>
                <w:szCs w:val="24"/>
              </w:rPr>
              <w:t>随尾矿携带进入平安公司辣子箐口选厂的浓密池内</w:t>
            </w:r>
          </w:p>
        </w:tc>
        <w:tc>
          <w:tcPr>
            <w:tcW w:w="1418" w:type="dxa"/>
            <w:vAlign w:val="center"/>
          </w:tcPr>
          <w:p>
            <w:pPr>
              <w:pStyle w:val="126"/>
              <w:tabs>
                <w:tab w:val="left" w:pos="1960"/>
              </w:tabs>
              <w:rPr>
                <w:rFonts w:hint="default" w:eastAsiaTheme="minorEastAsia"/>
                <w:color w:val="000000" w:themeColor="text1"/>
                <w:lang w:val="en-US" w:eastAsia="zh-CN"/>
              </w:rPr>
            </w:pPr>
            <w:r>
              <w:rPr>
                <w:rFonts w:hint="eastAsia" w:eastAsiaTheme="minorEastAsia"/>
                <w:color w:val="000000" w:themeColor="text1"/>
                <w:lang w:val="en-US" w:eastAsia="zh-CN"/>
              </w:rPr>
              <w:t>/</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化粪池容积为15m</w:t>
            </w:r>
            <w:r>
              <w:rPr>
                <w:rFonts w:eastAsiaTheme="minorEastAsia"/>
                <w:color w:val="000000" w:themeColor="text1"/>
                <w:vertAlign w:val="superscript"/>
                <w:lang w:eastAsia="zh-CN"/>
              </w:rPr>
              <w:t>3</w:t>
            </w:r>
            <w:r>
              <w:rPr>
                <w:rFonts w:eastAsiaTheme="minorEastAsia"/>
                <w:color w:val="000000" w:themeColor="text1"/>
                <w:lang w:eastAsia="zh-CN"/>
              </w:rPr>
              <w:t>，位于生活区旁</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混泥土结构</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新建一套处理规模为15m</w:t>
            </w:r>
            <w:r>
              <w:rPr>
                <w:rFonts w:hint="eastAsia" w:eastAsiaTheme="minorEastAsia"/>
                <w:color w:val="000000" w:themeColor="text1"/>
                <w:vertAlign w:val="superscript"/>
                <w:lang w:eastAsia="zh-CN"/>
              </w:rPr>
              <w:t>3</w:t>
            </w:r>
            <w:r>
              <w:rPr>
                <w:rFonts w:hint="eastAsia" w:eastAsiaTheme="minorEastAsia"/>
                <w:color w:val="000000" w:themeColor="text1"/>
                <w:lang w:eastAsia="zh-CN"/>
              </w:rPr>
              <w:t>/d</w:t>
            </w:r>
            <w:r>
              <w:rPr>
                <w:rFonts w:eastAsiaTheme="minorEastAsia"/>
                <w:color w:val="000000" w:themeColor="text1"/>
                <w:lang w:eastAsia="zh-CN"/>
              </w:rPr>
              <w:t>一体化污水处理设施</w:t>
            </w:r>
            <w:r>
              <w:rPr>
                <w:rFonts w:eastAsiaTheme="minorEastAsia"/>
                <w:color w:val="000000" w:themeColor="text1"/>
                <w:kern w:val="24"/>
                <w:lang w:eastAsia="zh-CN"/>
              </w:rPr>
              <w:t>，配套50m</w:t>
            </w:r>
            <w:r>
              <w:rPr>
                <w:rFonts w:eastAsiaTheme="minorEastAsia"/>
                <w:color w:val="000000" w:themeColor="text1"/>
                <w:kern w:val="24"/>
                <w:vertAlign w:val="superscript"/>
                <w:lang w:eastAsia="zh-CN"/>
              </w:rPr>
              <w:t>3</w:t>
            </w:r>
            <w:r>
              <w:rPr>
                <w:rFonts w:eastAsiaTheme="minorEastAsia"/>
                <w:color w:val="000000" w:themeColor="text1"/>
                <w:kern w:val="24"/>
                <w:lang w:eastAsia="zh-CN"/>
              </w:rPr>
              <w:t>的</w:t>
            </w:r>
            <w:r>
              <w:rPr>
                <w:rFonts w:hint="eastAsia" w:eastAsiaTheme="minorEastAsia"/>
                <w:color w:val="000000" w:themeColor="text1"/>
                <w:kern w:val="24"/>
                <w:lang w:eastAsia="zh-CN"/>
              </w:rPr>
              <w:t>中水收集池</w:t>
            </w:r>
            <w:r>
              <w:rPr>
                <w:rFonts w:eastAsiaTheme="minorEastAsia"/>
                <w:color w:val="000000" w:themeColor="text1"/>
                <w:kern w:val="24"/>
                <w:lang w:eastAsia="zh-CN"/>
              </w:rPr>
              <w:t>，处理后回用于</w:t>
            </w:r>
            <w:r>
              <w:rPr>
                <w:rFonts w:hint="eastAsia" w:eastAsiaTheme="minorEastAsia"/>
                <w:color w:val="000000" w:themeColor="text1"/>
                <w:kern w:val="24"/>
                <w:lang w:eastAsia="zh-CN"/>
              </w:rPr>
              <w:t>厂区</w:t>
            </w:r>
            <w:r>
              <w:rPr>
                <w:rFonts w:eastAsiaTheme="minorEastAsia"/>
                <w:color w:val="000000" w:themeColor="text1"/>
                <w:kern w:val="24"/>
                <w:lang w:eastAsia="zh-CN"/>
              </w:rPr>
              <w:t>绿化</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噪声</w:t>
            </w: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安装减震垫、厂房隔声</w:t>
            </w:r>
            <w:r>
              <w:rPr>
                <w:rFonts w:hint="eastAsia" w:eastAsiaTheme="minorEastAsia"/>
                <w:color w:val="000000" w:themeColor="text1"/>
                <w:kern w:val="24"/>
                <w:sz w:val="21"/>
                <w:szCs w:val="21"/>
              </w:rPr>
              <w:t>、</w:t>
            </w:r>
            <w:r>
              <w:rPr>
                <w:rStyle w:val="73"/>
                <w:rFonts w:hint="eastAsia"/>
                <w:color w:val="000000" w:themeColor="text1"/>
                <w:kern w:val="0"/>
              </w:rPr>
              <w:t>风机安装消声器</w:t>
            </w:r>
          </w:p>
        </w:tc>
        <w:tc>
          <w:tcPr>
            <w:tcW w:w="1418"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新建</w:t>
            </w:r>
            <w:r>
              <w:rPr>
                <w:rFonts w:hint="eastAsia"/>
                <w:color w:val="000000" w:themeColor="text1"/>
                <w:sz w:val="21"/>
                <w:szCs w:val="21"/>
              </w:rPr>
              <w:t>，未建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restart"/>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固废</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危废暂存间</w:t>
            </w:r>
            <w:r>
              <w:rPr>
                <w:rFonts w:hint="eastAsia" w:eastAsiaTheme="minorEastAsia"/>
                <w:color w:val="000000" w:themeColor="text1"/>
                <w:lang w:eastAsia="zh-CN"/>
              </w:rPr>
              <w:t>（2间）</w:t>
            </w:r>
            <w:r>
              <w:rPr>
                <w:rFonts w:eastAsia="宋体"/>
                <w:color w:val="000000" w:themeColor="text1"/>
                <w:kern w:val="24"/>
                <w:lang w:eastAsia="zh-CN"/>
              </w:rPr>
              <w:t>占地面积</w:t>
            </w:r>
            <w:r>
              <w:rPr>
                <w:rFonts w:hint="eastAsia" w:eastAsia="宋体"/>
                <w:color w:val="000000" w:themeColor="text1"/>
                <w:kern w:val="24"/>
                <w:lang w:eastAsia="zh-CN"/>
              </w:rPr>
              <w:t>2</w:t>
            </w:r>
            <w:r>
              <w:rPr>
                <w:rFonts w:eastAsia="宋体"/>
                <w:color w:val="000000" w:themeColor="text1"/>
                <w:kern w:val="24"/>
                <w:lang w:eastAsia="zh-CN"/>
              </w:rPr>
              <w:t>0m</w:t>
            </w:r>
            <w:r>
              <w:rPr>
                <w:rFonts w:eastAsia="宋体"/>
                <w:color w:val="000000" w:themeColor="text1"/>
                <w:kern w:val="24"/>
                <w:vertAlign w:val="superscript"/>
                <w:lang w:eastAsia="zh-CN"/>
              </w:rPr>
              <w:t>2</w:t>
            </w:r>
            <w:r>
              <w:rPr>
                <w:rFonts w:eastAsia="宋体"/>
                <w:color w:val="000000" w:themeColor="text1"/>
                <w:kern w:val="24"/>
                <w:lang w:eastAsia="zh-CN"/>
              </w:rPr>
              <w:t>，</w:t>
            </w:r>
            <w:r>
              <w:rPr>
                <w:rFonts w:eastAsia="宋体"/>
                <w:color w:val="000000" w:themeColor="text1"/>
                <w:shd w:val="clear" w:color="auto" w:fill="FFFFFF"/>
                <w:lang w:eastAsia="zh-CN"/>
              </w:rPr>
              <w:t>地面与裙脚要用坚固、防渗的材料建造，</w:t>
            </w:r>
            <w:r>
              <w:rPr>
                <w:rFonts w:eastAsia="宋体"/>
                <w:bCs/>
                <w:color w:val="000000" w:themeColor="text1"/>
                <w:lang w:eastAsia="zh-CN"/>
              </w:rPr>
              <w:t>必须有泄漏液体收集装置，应设计堵截泄漏的裙脚，</w:t>
            </w:r>
            <w:r>
              <w:rPr>
                <w:rFonts w:eastAsia="宋体"/>
                <w:color w:val="000000" w:themeColor="text1"/>
                <w:shd w:val="clear" w:color="auto" w:fill="FFFFFF"/>
                <w:lang w:eastAsia="zh-CN"/>
              </w:rPr>
              <w:t>基础必须防渗，防渗层为至少1米厚粘土层（渗透系数≤10</w:t>
            </w:r>
            <w:r>
              <w:rPr>
                <w:rFonts w:eastAsia="宋体"/>
                <w:color w:val="000000" w:themeColor="text1"/>
                <w:shd w:val="clear" w:color="auto" w:fill="FFFFFF"/>
                <w:vertAlign w:val="superscript"/>
                <w:lang w:eastAsia="zh-CN"/>
              </w:rPr>
              <w:t>-7</w:t>
            </w:r>
            <w:r>
              <w:rPr>
                <w:rFonts w:eastAsia="宋体"/>
                <w:color w:val="000000" w:themeColor="text1"/>
                <w:shd w:val="clear" w:color="auto" w:fill="FFFFFF"/>
                <w:lang w:eastAsia="zh-CN"/>
              </w:rPr>
              <w:t>厘米/秒），或2毫米厚高密度聚乙烯，或至少2毫米厚的其它人工材料，渗透系数≤10</w:t>
            </w:r>
            <w:r>
              <w:rPr>
                <w:rFonts w:eastAsia="宋体"/>
                <w:color w:val="000000" w:themeColor="text1"/>
                <w:shd w:val="clear" w:color="auto" w:fill="FFFFFF"/>
                <w:vertAlign w:val="superscript"/>
                <w:lang w:eastAsia="zh-CN"/>
              </w:rPr>
              <w:t>-10</w:t>
            </w:r>
            <w:r>
              <w:rPr>
                <w:rFonts w:eastAsia="宋体"/>
                <w:color w:val="000000" w:themeColor="text1"/>
                <w:shd w:val="clear" w:color="auto" w:fill="FFFFFF"/>
                <w:lang w:eastAsia="zh-CN"/>
              </w:rPr>
              <w:t>厘米/秒。</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砖混结构</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kern w:val="24"/>
                <w:sz w:val="21"/>
                <w:szCs w:val="21"/>
              </w:rPr>
              <w:t>技改</w:t>
            </w:r>
            <w:r>
              <w:rPr>
                <w:rStyle w:val="73"/>
                <w:rFonts w:hint="eastAsia"/>
                <w:color w:val="000000" w:themeColor="text1"/>
                <w:kern w:val="0"/>
              </w:rPr>
              <w:t>，对原有危废间进行改造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生活垃圾</w:t>
            </w:r>
            <w:r>
              <w:rPr>
                <w:rFonts w:eastAsiaTheme="minorEastAsia"/>
                <w:color w:val="000000" w:themeColor="text1"/>
                <w:kern w:val="0"/>
                <w:sz w:val="21"/>
                <w:szCs w:val="21"/>
              </w:rPr>
              <w:t>定点收集，运往戛洒镇指定地点处理</w:t>
            </w:r>
          </w:p>
        </w:tc>
        <w:tc>
          <w:tcPr>
            <w:tcW w:w="1418"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收尘灰</w:t>
            </w:r>
            <w:r>
              <w:rPr>
                <w:rFonts w:hint="eastAsia" w:eastAsiaTheme="minorEastAsia"/>
                <w:color w:val="000000" w:themeColor="text1"/>
                <w:kern w:val="24"/>
                <w:sz w:val="21"/>
                <w:szCs w:val="21"/>
              </w:rPr>
              <w:t>作为</w:t>
            </w:r>
            <w:r>
              <w:rPr>
                <w:rFonts w:eastAsiaTheme="minorEastAsia"/>
                <w:color w:val="000000" w:themeColor="text1"/>
                <w:kern w:val="24"/>
                <w:sz w:val="21"/>
                <w:szCs w:val="21"/>
              </w:rPr>
              <w:t>产品砂料，</w:t>
            </w:r>
            <w:r>
              <w:rPr>
                <w:rFonts w:hint="eastAsia" w:eastAsiaTheme="minorEastAsia"/>
                <w:color w:val="000000" w:themeColor="text1"/>
                <w:kern w:val="24"/>
                <w:sz w:val="21"/>
                <w:szCs w:val="21"/>
              </w:rPr>
              <w:t>外售</w:t>
            </w:r>
          </w:p>
        </w:tc>
        <w:tc>
          <w:tcPr>
            <w:tcW w:w="1418"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新</w:t>
            </w:r>
            <w:r>
              <w:rPr>
                <w:rFonts w:hint="eastAsia" w:eastAsiaTheme="minorEastAsia"/>
                <w:color w:val="000000" w:themeColor="text1"/>
                <w:kern w:val="24"/>
                <w:sz w:val="21"/>
                <w:szCs w:val="21"/>
              </w:rPr>
              <w:t>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原有选矿车间尾矿进辣子箐尾矿库</w:t>
            </w:r>
          </w:p>
        </w:tc>
        <w:tc>
          <w:tcPr>
            <w:tcW w:w="1418"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技改再选生产线尾矿进龙都尾矿库</w:t>
            </w:r>
          </w:p>
        </w:tc>
        <w:tc>
          <w:tcPr>
            <w:tcW w:w="1418"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c>
          <w:tcPr>
            <w:tcW w:w="1326" w:type="dxa"/>
            <w:vAlign w:val="center"/>
          </w:tcPr>
          <w:p>
            <w:pPr>
              <w:tabs>
                <w:tab w:val="left" w:pos="1960"/>
              </w:tabs>
              <w:spacing w:line="240" w:lineRule="auto"/>
              <w:ind w:firstLine="0" w:firstLineChars="0"/>
              <w:jc w:val="center"/>
              <w:rPr>
                <w:color w:val="000000" w:themeColor="text1"/>
                <w:kern w:val="24"/>
                <w:sz w:val="21"/>
                <w:szCs w:val="21"/>
              </w:rPr>
            </w:pPr>
            <w:r>
              <w:rPr>
                <w:rFonts w:hint="eastAsia" w:eastAsiaTheme="minorEastAsia"/>
                <w:color w:val="000000" w:themeColor="text1"/>
                <w:kern w:val="24"/>
                <w:sz w:val="21"/>
                <w:szCs w:val="21"/>
              </w:rPr>
              <w:t>依托龙都尾矿库，新建部分输送管网</w:t>
            </w:r>
            <w:r>
              <w:rPr>
                <w:rStyle w:val="73"/>
                <w:rFonts w:hint="eastAsia"/>
                <w:color w:val="000000" w:themeColor="text1"/>
                <w:kern w:val="0"/>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lang w:eastAsia="zh-CN"/>
              </w:rPr>
            </w:pPr>
          </w:p>
        </w:tc>
        <w:tc>
          <w:tcPr>
            <w:tcW w:w="1101" w:type="dxa"/>
            <w:vMerge w:val="restart"/>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环境风险</w:t>
            </w:r>
          </w:p>
        </w:tc>
        <w:tc>
          <w:tcPr>
            <w:tcW w:w="425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尾矿浆沉淀池旁</w:t>
            </w:r>
            <w:r>
              <w:rPr>
                <w:rFonts w:hint="eastAsia" w:eastAsiaTheme="minorEastAsia"/>
                <w:color w:val="000000" w:themeColor="text1"/>
                <w:lang w:eastAsia="zh-CN"/>
              </w:rPr>
              <w:t>事故应急池</w:t>
            </w:r>
            <w:r>
              <w:rPr>
                <w:rFonts w:eastAsiaTheme="minorEastAsia"/>
                <w:color w:val="000000" w:themeColor="text1"/>
                <w:lang w:eastAsia="zh-CN"/>
              </w:rPr>
              <w:t>，容积为200m</w:t>
            </w:r>
            <w:r>
              <w:rPr>
                <w:rFonts w:eastAsiaTheme="minorEastAsia"/>
                <w:color w:val="000000" w:themeColor="text1"/>
                <w:vertAlign w:val="superscript"/>
                <w:lang w:eastAsia="zh-CN"/>
              </w:rPr>
              <w:t>3</w:t>
            </w:r>
          </w:p>
        </w:tc>
        <w:tc>
          <w:tcPr>
            <w:tcW w:w="1418"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13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427" w:type="dxa"/>
            <w:vMerge w:val="continue"/>
            <w:vAlign w:val="center"/>
          </w:tcPr>
          <w:p>
            <w:pPr>
              <w:pStyle w:val="126"/>
              <w:tabs>
                <w:tab w:val="left" w:pos="1960"/>
              </w:tabs>
              <w:rPr>
                <w:rFonts w:eastAsiaTheme="minorEastAsia"/>
                <w:color w:val="000000" w:themeColor="text1"/>
              </w:rPr>
            </w:pPr>
          </w:p>
        </w:tc>
        <w:tc>
          <w:tcPr>
            <w:tcW w:w="1101" w:type="dxa"/>
            <w:vMerge w:val="continue"/>
            <w:vAlign w:val="center"/>
          </w:tcPr>
          <w:p>
            <w:pPr>
              <w:pStyle w:val="126"/>
              <w:tabs>
                <w:tab w:val="left" w:pos="1960"/>
              </w:tabs>
              <w:rPr>
                <w:rFonts w:eastAsiaTheme="minorEastAsia"/>
                <w:color w:val="000000" w:themeColor="text1"/>
                <w:lang w:eastAsia="zh-CN"/>
              </w:rPr>
            </w:pPr>
          </w:p>
        </w:tc>
        <w:tc>
          <w:tcPr>
            <w:tcW w:w="4251"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hint="eastAsia" w:eastAsiaTheme="minorEastAsia"/>
                <w:color w:val="000000" w:themeColor="text1"/>
                <w:kern w:val="24"/>
                <w:sz w:val="21"/>
                <w:szCs w:val="21"/>
              </w:rPr>
              <w:t>选矿区事故应急池，容积为40m</w:t>
            </w:r>
            <w:r>
              <w:rPr>
                <w:rFonts w:hint="eastAsia" w:eastAsiaTheme="minorEastAsia"/>
                <w:color w:val="000000" w:themeColor="text1"/>
                <w:kern w:val="24"/>
                <w:sz w:val="21"/>
                <w:szCs w:val="21"/>
                <w:vertAlign w:val="superscript"/>
              </w:rPr>
              <w:t>3</w:t>
            </w:r>
          </w:p>
        </w:tc>
        <w:tc>
          <w:tcPr>
            <w:tcW w:w="1418"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w:t>
            </w:r>
          </w:p>
        </w:tc>
        <w:tc>
          <w:tcPr>
            <w:tcW w:w="132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新建</w:t>
            </w:r>
            <w:r>
              <w:rPr>
                <w:rFonts w:hint="eastAsia"/>
                <w:color w:val="000000" w:themeColor="text1"/>
                <w:sz w:val="21"/>
                <w:szCs w:val="21"/>
              </w:rPr>
              <w:t>，未建</w:t>
            </w:r>
          </w:p>
        </w:tc>
      </w:tr>
    </w:tbl>
    <w:p>
      <w:pPr>
        <w:pStyle w:val="574"/>
        <w:spacing w:beforeLines="0" w:afterLines="0"/>
        <w:rPr>
          <w:rFonts w:eastAsiaTheme="minorEastAsia"/>
          <w:color w:val="000000" w:themeColor="text1"/>
          <w:sz w:val="30"/>
          <w:szCs w:val="30"/>
        </w:rPr>
      </w:pPr>
      <w:bookmarkStart w:id="442" w:name="_Toc13361"/>
      <w:r>
        <w:rPr>
          <w:rFonts w:eastAsiaTheme="minorEastAsia"/>
          <w:color w:val="000000" w:themeColor="text1"/>
          <w:sz w:val="30"/>
          <w:szCs w:val="30"/>
        </w:rPr>
        <w:t>3.3总平面布置</w:t>
      </w:r>
      <w:bookmarkEnd w:id="442"/>
    </w:p>
    <w:p>
      <w:pPr>
        <w:ind w:firstLine="482"/>
        <w:rPr>
          <w:rFonts w:eastAsiaTheme="minorEastAsia"/>
          <w:b/>
          <w:bCs/>
          <w:color w:val="000000" w:themeColor="text1"/>
        </w:rPr>
      </w:pPr>
      <w:r>
        <w:rPr>
          <w:rFonts w:eastAsiaTheme="minorEastAsia"/>
          <w:b/>
          <w:bCs/>
          <w:color w:val="000000" w:themeColor="text1"/>
        </w:rPr>
        <w:t>1、平面布置原则</w:t>
      </w:r>
    </w:p>
    <w:p>
      <w:pPr>
        <w:ind w:firstLine="480"/>
        <w:rPr>
          <w:rFonts w:eastAsiaTheme="minorEastAsia"/>
          <w:color w:val="000000" w:themeColor="text1"/>
        </w:rPr>
      </w:pPr>
      <w:r>
        <w:rPr>
          <w:rFonts w:eastAsiaTheme="minorEastAsia"/>
          <w:color w:val="000000" w:themeColor="text1"/>
        </w:rPr>
        <w:t>（1）按照工艺流程、生产特点和生产车间的相互关系，优化厂房配置，保证生产的连续性和安全性，内部运输短捷、方便。</w:t>
      </w:r>
    </w:p>
    <w:p>
      <w:pPr>
        <w:ind w:firstLine="480"/>
        <w:rPr>
          <w:rFonts w:eastAsiaTheme="minorEastAsia"/>
          <w:color w:val="000000" w:themeColor="text1"/>
        </w:rPr>
      </w:pPr>
      <w:r>
        <w:rPr>
          <w:rFonts w:eastAsiaTheme="minorEastAsia"/>
          <w:color w:val="000000" w:themeColor="text1"/>
        </w:rPr>
        <w:t>（2）综合考虑建筑物的朝向，考虑各建（构）筑物的间距，满足防火、防疫和安全卫生等设计规范要求。各建筑物布局应紧凑、整齐，以节约土地和基建投资，做到经济实用，科学合理。</w:t>
      </w:r>
    </w:p>
    <w:p>
      <w:pPr>
        <w:ind w:firstLine="482"/>
        <w:rPr>
          <w:rFonts w:eastAsiaTheme="minorEastAsia"/>
          <w:bCs/>
          <w:iCs/>
          <w:color w:val="000000" w:themeColor="text1"/>
        </w:rPr>
      </w:pPr>
      <w:r>
        <w:rPr>
          <w:rFonts w:eastAsiaTheme="minorEastAsia"/>
          <w:b/>
          <w:bCs/>
          <w:color w:val="000000" w:themeColor="text1"/>
        </w:rPr>
        <w:t>2、项目区总平面布置</w:t>
      </w:r>
    </w:p>
    <w:p>
      <w:pPr>
        <w:pStyle w:val="23"/>
        <w:spacing w:line="360" w:lineRule="auto"/>
        <w:ind w:firstLine="480"/>
        <w:rPr>
          <w:rFonts w:eastAsiaTheme="minorEastAsia"/>
          <w:bCs/>
          <w:iCs/>
          <w:color w:val="000000" w:themeColor="text1"/>
          <w:sz w:val="24"/>
        </w:rPr>
      </w:pPr>
      <w:r>
        <w:rPr>
          <w:rFonts w:eastAsiaTheme="minorEastAsia"/>
          <w:bCs/>
          <w:iCs/>
          <w:color w:val="000000" w:themeColor="text1"/>
          <w:sz w:val="24"/>
        </w:rPr>
        <w:t>项目依托现有地形分台阶布置，原料加工处理站位于选厂生产车间</w:t>
      </w:r>
      <w:r>
        <w:rPr>
          <w:rFonts w:hint="eastAsia"/>
          <w:color w:val="000000" w:themeColor="text1"/>
          <w:sz w:val="24"/>
        </w:rPr>
        <w:t>地势较高的</w:t>
      </w:r>
      <w:r>
        <w:rPr>
          <w:rFonts w:eastAsiaTheme="minorEastAsia"/>
          <w:bCs/>
          <w:iCs/>
          <w:color w:val="000000" w:themeColor="text1"/>
          <w:sz w:val="24"/>
        </w:rPr>
        <w:t>北侧，原矿石破碎生产线在原生产线上技改，拆除原有破碎筛分设备，增加制砂机及洗砂机等设备，并在东北侧建设原矿石堆棚，在原料加工处理站西侧建立低品位矿堆棚，磨矿车间和磁选车间位于原有项目的东南角位置，立磨机、高效磁选机、平板磁选机根据生产工序要求进行布置，陶瓷过滤脱水车间位于原有项目精矿池的旁边，便于精矿的输送。</w:t>
      </w:r>
    </w:p>
    <w:p>
      <w:pPr>
        <w:ind w:firstLine="480"/>
        <w:rPr>
          <w:rFonts w:eastAsiaTheme="minorEastAsia"/>
          <w:bCs/>
          <w:iCs/>
          <w:color w:val="000000" w:themeColor="text1"/>
        </w:rPr>
      </w:pPr>
      <w:r>
        <w:rPr>
          <w:rFonts w:eastAsiaTheme="minorEastAsia"/>
          <w:bCs/>
          <w:iCs/>
          <w:color w:val="000000" w:themeColor="text1"/>
        </w:rPr>
        <w:t>总平面布置图见附图7。</w:t>
      </w:r>
    </w:p>
    <w:p>
      <w:pPr>
        <w:ind w:firstLine="480"/>
        <w:rPr>
          <w:rFonts w:eastAsiaTheme="minorEastAsia"/>
          <w:b/>
          <w:color w:val="000000" w:themeColor="text1"/>
          <w:sz w:val="21"/>
          <w:szCs w:val="21"/>
        </w:rPr>
      </w:pPr>
      <w:r>
        <w:rPr>
          <w:rFonts w:eastAsiaTheme="minorEastAsia"/>
          <w:color w:val="000000" w:themeColor="text1"/>
        </w:rPr>
        <w:t>项目主要技术经济指标见表3.3-1。</w:t>
      </w:r>
    </w:p>
    <w:p>
      <w:pPr>
        <w:ind w:firstLine="0" w:firstLineChars="0"/>
        <w:jc w:val="center"/>
        <w:rPr>
          <w:rFonts w:eastAsiaTheme="minorEastAsia"/>
          <w:color w:val="000000" w:themeColor="text1"/>
        </w:rPr>
      </w:pPr>
      <w:r>
        <w:rPr>
          <w:rFonts w:eastAsiaTheme="minorEastAsia"/>
          <w:b/>
          <w:color w:val="000000" w:themeColor="text1"/>
          <w:sz w:val="21"/>
          <w:szCs w:val="21"/>
        </w:rPr>
        <w:t>表3.3-1本技改项目主要经济技术指标表</w:t>
      </w:r>
    </w:p>
    <w:tbl>
      <w:tblPr>
        <w:tblStyle w:val="61"/>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3"/>
        <w:gridCol w:w="3170"/>
        <w:gridCol w:w="945"/>
        <w:gridCol w:w="1083"/>
        <w:gridCol w:w="24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序号</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指标名称</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单位</w:t>
            </w:r>
          </w:p>
        </w:tc>
        <w:tc>
          <w:tcPr>
            <w:tcW w:w="108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数量</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一</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产量</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万t/a</w:t>
            </w:r>
          </w:p>
        </w:tc>
        <w:tc>
          <w:tcPr>
            <w:tcW w:w="108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4"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二</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主要原料</w:t>
            </w:r>
          </w:p>
        </w:tc>
        <w:tc>
          <w:tcPr>
            <w:tcW w:w="945" w:type="dxa"/>
            <w:shd w:val="clear" w:color="auto" w:fill="auto"/>
            <w:vAlign w:val="center"/>
          </w:tcPr>
          <w:p>
            <w:pPr>
              <w:widowControl/>
              <w:spacing w:line="240" w:lineRule="auto"/>
              <w:ind w:firstLine="0" w:firstLineChars="0"/>
              <w:jc w:val="center"/>
              <w:rPr>
                <w:color w:val="000000" w:themeColor="text1"/>
                <w:sz w:val="21"/>
                <w:szCs w:val="21"/>
              </w:rPr>
            </w:pPr>
            <w:r>
              <w:rPr>
                <w:rFonts w:eastAsiaTheme="minorEastAsia"/>
                <w:color w:val="000000" w:themeColor="text1"/>
                <w:sz w:val="21"/>
                <w:szCs w:val="21"/>
              </w:rPr>
              <w:t>吨</w:t>
            </w:r>
            <w:r>
              <w:rPr>
                <w:rStyle w:val="73"/>
                <w:color w:val="000000" w:themeColor="text1"/>
                <w:kern w:val="0"/>
              </w:rPr>
              <w:t>/a</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220000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4"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原矿石</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吨</w:t>
            </w:r>
            <w:r>
              <w:rPr>
                <w:rStyle w:val="73"/>
                <w:color w:val="000000" w:themeColor="text1"/>
                <w:kern w:val="0"/>
              </w:rPr>
              <w:t>/a</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150000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4"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外购</w:t>
            </w:r>
            <w:r>
              <w:rPr>
                <w:rFonts w:eastAsiaTheme="minorEastAsia"/>
                <w:color w:val="000000" w:themeColor="text1"/>
                <w:sz w:val="21"/>
                <w:szCs w:val="21"/>
              </w:rPr>
              <w:t>三级精铁矿</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吨</w:t>
            </w:r>
            <w:r>
              <w:rPr>
                <w:rStyle w:val="73"/>
                <w:color w:val="000000" w:themeColor="text1"/>
                <w:kern w:val="0"/>
              </w:rPr>
              <w:t>/a</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70000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三</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年工作日</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天</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四</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全厂总人数</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人</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90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其中：现有人数</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人</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85</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其中：技改项目新增人数</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人</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5</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五</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公用动力消耗</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电</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万度/a</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432</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万m</w:t>
            </w:r>
            <w:r>
              <w:rPr>
                <w:rFonts w:eastAsiaTheme="minorEastAsia"/>
                <w:color w:val="000000" w:themeColor="text1"/>
                <w:sz w:val="21"/>
                <w:szCs w:val="21"/>
                <w:vertAlign w:val="superscript"/>
              </w:rPr>
              <w:t>3</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10.6</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六</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设计面积数据</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项目总占地面积</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m</w:t>
            </w:r>
            <w:r>
              <w:rPr>
                <w:rFonts w:eastAsiaTheme="minorEastAsia"/>
                <w:color w:val="000000" w:themeColor="text1"/>
                <w:sz w:val="21"/>
                <w:szCs w:val="21"/>
                <w:vertAlign w:val="superscript"/>
              </w:rPr>
              <w:t>2</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15370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建筑面积</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m</w:t>
            </w:r>
            <w:r>
              <w:rPr>
                <w:rFonts w:eastAsiaTheme="minorEastAsia"/>
                <w:color w:val="000000" w:themeColor="text1"/>
                <w:sz w:val="21"/>
                <w:szCs w:val="21"/>
                <w:vertAlign w:val="superscript"/>
              </w:rPr>
              <w:t>2</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5260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建筑系数</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34.22</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绿化</w:t>
            </w:r>
            <w:r>
              <w:rPr>
                <w:rFonts w:hint="eastAsia" w:eastAsiaTheme="minorEastAsia"/>
                <w:color w:val="000000" w:themeColor="text1"/>
                <w:sz w:val="21"/>
                <w:szCs w:val="21"/>
              </w:rPr>
              <w:t>面积</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m</w:t>
            </w:r>
            <w:r>
              <w:rPr>
                <w:rFonts w:eastAsiaTheme="minorEastAsia"/>
                <w:color w:val="000000" w:themeColor="text1"/>
                <w:sz w:val="21"/>
                <w:szCs w:val="21"/>
                <w:vertAlign w:val="superscript"/>
              </w:rPr>
              <w:t>2</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3000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七</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工程项目总投资</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固定资产投资</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八</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产年销售收入（不含税）</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8000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九</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成本与费用</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7000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年总成本（不含税）</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年经营成本</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十</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年利润总额</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2000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十一</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销售税金</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bl>
    <w:p>
      <w:pPr>
        <w:pStyle w:val="574"/>
        <w:spacing w:beforeLines="0" w:afterLines="0"/>
        <w:rPr>
          <w:rFonts w:eastAsiaTheme="minorEastAsia"/>
          <w:color w:val="000000" w:themeColor="text1"/>
          <w:sz w:val="30"/>
          <w:szCs w:val="30"/>
        </w:rPr>
      </w:pPr>
      <w:bookmarkStart w:id="443" w:name="_Toc21709"/>
      <w:r>
        <w:rPr>
          <w:rFonts w:eastAsiaTheme="minorEastAsia"/>
          <w:color w:val="000000" w:themeColor="text1"/>
          <w:sz w:val="30"/>
          <w:szCs w:val="30"/>
        </w:rPr>
        <w:t>3.</w:t>
      </w:r>
      <w:r>
        <w:rPr>
          <w:rFonts w:hint="eastAsia" w:eastAsiaTheme="minorEastAsia"/>
          <w:color w:val="000000" w:themeColor="text1"/>
          <w:sz w:val="30"/>
          <w:szCs w:val="30"/>
        </w:rPr>
        <w:t>4</w:t>
      </w:r>
      <w:r>
        <w:rPr>
          <w:rFonts w:eastAsiaTheme="minorEastAsia"/>
          <w:color w:val="000000" w:themeColor="text1"/>
          <w:sz w:val="30"/>
          <w:szCs w:val="30"/>
        </w:rPr>
        <w:t>生产规模及产品方案</w:t>
      </w:r>
      <w:bookmarkEnd w:id="443"/>
    </w:p>
    <w:p>
      <w:pPr>
        <w:ind w:firstLine="480"/>
        <w:jc w:val="both"/>
        <w:rPr>
          <w:rFonts w:eastAsiaTheme="minorEastAsia"/>
          <w:bCs/>
          <w:iCs/>
          <w:color w:val="000000" w:themeColor="text1"/>
          <w:szCs w:val="24"/>
        </w:rPr>
      </w:pPr>
      <w:r>
        <w:rPr>
          <w:rFonts w:eastAsiaTheme="minorEastAsia"/>
          <w:bCs/>
          <w:iCs/>
          <w:color w:val="000000" w:themeColor="text1"/>
          <w:szCs w:val="24"/>
        </w:rPr>
        <w:t>本技改项目主要产品为铁精矿，每年</w:t>
      </w:r>
      <w:r>
        <w:rPr>
          <w:rFonts w:hint="eastAsia" w:eastAsiaTheme="minorEastAsia"/>
          <w:bCs/>
          <w:iCs/>
          <w:color w:val="000000" w:themeColor="text1"/>
          <w:szCs w:val="24"/>
        </w:rPr>
        <w:t>产铁精矿</w:t>
      </w:r>
      <w:r>
        <w:rPr>
          <w:rFonts w:eastAsiaTheme="minorEastAsia"/>
          <w:bCs/>
          <w:iCs/>
          <w:color w:val="000000" w:themeColor="text1"/>
          <w:szCs w:val="24"/>
        </w:rPr>
        <w:t>10万吨。副产品包括公分石、瓜子石、机制砂。</w:t>
      </w:r>
    </w:p>
    <w:p>
      <w:pPr>
        <w:ind w:firstLine="480"/>
        <w:jc w:val="both"/>
        <w:rPr>
          <w:rFonts w:eastAsiaTheme="minorEastAsia"/>
          <w:bCs/>
          <w:iCs/>
          <w:color w:val="000000" w:themeColor="text1"/>
          <w:szCs w:val="24"/>
        </w:rPr>
      </w:pPr>
      <w:r>
        <w:rPr>
          <w:rFonts w:eastAsiaTheme="minorEastAsia"/>
          <w:bCs/>
          <w:iCs/>
          <w:color w:val="000000" w:themeColor="text1"/>
          <w:szCs w:val="24"/>
        </w:rPr>
        <w:t>原矿石为铜铁</w:t>
      </w:r>
      <w:r>
        <w:rPr>
          <w:rFonts w:hint="eastAsia" w:eastAsiaTheme="minorEastAsia"/>
          <w:bCs/>
          <w:iCs/>
          <w:color w:val="000000" w:themeColor="text1"/>
          <w:szCs w:val="24"/>
        </w:rPr>
        <w:t>伴</w:t>
      </w:r>
      <w:r>
        <w:rPr>
          <w:rFonts w:eastAsiaTheme="minorEastAsia"/>
          <w:bCs/>
          <w:iCs/>
          <w:color w:val="000000" w:themeColor="text1"/>
          <w:szCs w:val="24"/>
        </w:rPr>
        <w:t>生矿，项目对原矿石处理系统技改后，原矿石中带有铁矿和铜矿的矿石将被选出，形成低品位矿。根据建设单位提供材料，原矿石</w:t>
      </w:r>
      <w:r>
        <w:rPr>
          <w:rStyle w:val="73"/>
          <w:rFonts w:hint="eastAsia"/>
          <w:color w:val="000000" w:themeColor="text1"/>
          <w:kern w:val="0"/>
          <w:sz w:val="24"/>
          <w:szCs w:val="24"/>
        </w:rPr>
        <w:t>（15万吨/a）</w:t>
      </w:r>
      <w:r>
        <w:rPr>
          <w:rFonts w:eastAsiaTheme="minorEastAsia"/>
          <w:bCs/>
          <w:iCs/>
          <w:color w:val="000000" w:themeColor="text1"/>
          <w:szCs w:val="24"/>
        </w:rPr>
        <w:t>经破碎、电磁滚筒筛选后，低品位矿产生量为原矿量的45%</w:t>
      </w:r>
      <w:r>
        <w:rPr>
          <w:rStyle w:val="73"/>
          <w:rFonts w:hint="eastAsia"/>
          <w:color w:val="000000" w:themeColor="text1"/>
          <w:kern w:val="0"/>
          <w:sz w:val="24"/>
          <w:szCs w:val="24"/>
        </w:rPr>
        <w:t>（67500t/a）</w:t>
      </w:r>
      <w:r>
        <w:rPr>
          <w:rFonts w:eastAsiaTheme="minorEastAsia"/>
          <w:bCs/>
          <w:iCs/>
          <w:color w:val="000000" w:themeColor="text1"/>
          <w:szCs w:val="24"/>
        </w:rPr>
        <w:t>，其余55%加工为副产品砂石料</w:t>
      </w:r>
      <w:r>
        <w:rPr>
          <w:rFonts w:hint="eastAsia" w:eastAsiaTheme="minorEastAsia"/>
          <w:bCs/>
          <w:iCs/>
          <w:color w:val="000000" w:themeColor="text1"/>
          <w:szCs w:val="24"/>
        </w:rPr>
        <w:t>（</w:t>
      </w:r>
      <w:r>
        <w:rPr>
          <w:rFonts w:eastAsiaTheme="minorEastAsia"/>
          <w:bCs/>
          <w:iCs/>
          <w:color w:val="000000" w:themeColor="text1"/>
          <w:szCs w:val="24"/>
        </w:rPr>
        <w:t>82500t/a</w:t>
      </w:r>
      <w:r>
        <w:rPr>
          <w:rFonts w:hint="eastAsia" w:eastAsiaTheme="minorEastAsia"/>
          <w:bCs/>
          <w:iCs/>
          <w:color w:val="000000" w:themeColor="text1"/>
          <w:szCs w:val="24"/>
        </w:rPr>
        <w:t>）</w:t>
      </w:r>
      <w:r>
        <w:rPr>
          <w:rFonts w:eastAsiaTheme="minorEastAsia"/>
          <w:bCs/>
          <w:iCs/>
          <w:color w:val="000000" w:themeColor="text1"/>
          <w:szCs w:val="24"/>
        </w:rPr>
        <w:t>。其中，砂石料中，公分石占比为36%，产量为29700t/a；瓜子石占比为40%，产量为33000t/a，机制砂占比为24%，产量为19800t/a。</w:t>
      </w:r>
    </w:p>
    <w:p>
      <w:pPr>
        <w:pStyle w:val="134"/>
        <w:ind w:firstLine="480"/>
        <w:rPr>
          <w:rFonts w:eastAsiaTheme="minorEastAsia"/>
          <w:color w:val="000000" w:themeColor="text1"/>
          <w:szCs w:val="24"/>
        </w:rPr>
      </w:pPr>
      <w:r>
        <w:rPr>
          <w:rFonts w:eastAsiaTheme="minorEastAsia"/>
          <w:color w:val="000000" w:themeColor="text1"/>
          <w:szCs w:val="24"/>
        </w:rPr>
        <w:t>综上，技改项目生产铁精矿10万吨/年</w:t>
      </w:r>
      <w:r>
        <w:rPr>
          <w:rStyle w:val="73"/>
          <w:rFonts w:hint="eastAsia"/>
          <w:color w:val="000000" w:themeColor="text1"/>
          <w:sz w:val="24"/>
          <w:szCs w:val="24"/>
        </w:rPr>
        <w:t>，副产品</w:t>
      </w:r>
      <w:r>
        <w:rPr>
          <w:rFonts w:eastAsiaTheme="minorEastAsia"/>
          <w:color w:val="000000" w:themeColor="text1"/>
          <w:szCs w:val="24"/>
        </w:rPr>
        <w:t>公分石29700吨/年、瓜子石33000吨/年、机制砂19800吨/年。</w:t>
      </w:r>
    </w:p>
    <w:p>
      <w:pPr>
        <w:pStyle w:val="134"/>
        <w:ind w:firstLine="480"/>
        <w:rPr>
          <w:rFonts w:eastAsiaTheme="minorEastAsia"/>
          <w:b/>
          <w:bCs/>
          <w:color w:val="000000" w:themeColor="text1"/>
          <w:sz w:val="21"/>
          <w:szCs w:val="21"/>
        </w:rPr>
      </w:pPr>
      <w:r>
        <w:rPr>
          <w:rFonts w:eastAsiaTheme="minorEastAsia"/>
          <w:color w:val="000000" w:themeColor="text1"/>
        </w:rPr>
        <w:t>产品方案见表3.</w:t>
      </w:r>
      <w:r>
        <w:rPr>
          <w:rFonts w:hint="eastAsia" w:eastAsiaTheme="minorEastAsia"/>
          <w:color w:val="000000" w:themeColor="text1"/>
        </w:rPr>
        <w:t>4</w:t>
      </w:r>
      <w:r>
        <w:rPr>
          <w:rFonts w:eastAsiaTheme="minorEastAsia"/>
          <w:color w:val="000000" w:themeColor="text1"/>
        </w:rPr>
        <w:t>-1</w:t>
      </w:r>
      <w:r>
        <w:rPr>
          <w:rFonts w:hint="eastAsia" w:eastAsiaTheme="minorEastAsia"/>
          <w:color w:val="000000" w:themeColor="text1"/>
        </w:rPr>
        <w:t>，产品及副产品成分及物理性质见附件14，附件14中砂石料检验报告为外卖砂石料购买方委托检验</w:t>
      </w:r>
      <w:r>
        <w:rPr>
          <w:rFonts w:eastAsiaTheme="minorEastAsia"/>
          <w:color w:val="000000" w:themeColor="text1"/>
        </w:rPr>
        <w:t>。</w:t>
      </w:r>
    </w:p>
    <w:p>
      <w:pPr>
        <w:pStyle w:val="134"/>
        <w:ind w:firstLine="422"/>
        <w:jc w:val="center"/>
        <w:rPr>
          <w:rFonts w:eastAsiaTheme="minorEastAsia"/>
          <w:b/>
          <w:bCs/>
          <w:color w:val="000000" w:themeColor="text1"/>
          <w:sz w:val="21"/>
          <w:szCs w:val="21"/>
        </w:rPr>
      </w:pPr>
      <w:r>
        <w:rPr>
          <w:rFonts w:eastAsiaTheme="minorEastAsia"/>
          <w:b/>
          <w:bCs/>
          <w:color w:val="000000" w:themeColor="text1"/>
          <w:sz w:val="21"/>
          <w:szCs w:val="21"/>
        </w:rPr>
        <w:t>表3.</w:t>
      </w:r>
      <w:r>
        <w:rPr>
          <w:rFonts w:hint="eastAsia" w:eastAsiaTheme="minorEastAsia"/>
          <w:b/>
          <w:bCs/>
          <w:color w:val="000000" w:themeColor="text1"/>
          <w:sz w:val="21"/>
          <w:szCs w:val="21"/>
        </w:rPr>
        <w:t>4</w:t>
      </w:r>
      <w:r>
        <w:rPr>
          <w:rFonts w:eastAsiaTheme="minorEastAsia"/>
          <w:b/>
          <w:bCs/>
          <w:color w:val="000000" w:themeColor="text1"/>
          <w:sz w:val="21"/>
          <w:szCs w:val="21"/>
        </w:rPr>
        <w:t>-1</w:t>
      </w:r>
      <w:r>
        <w:rPr>
          <w:rFonts w:hint="eastAsia" w:eastAsiaTheme="minorEastAsia"/>
          <w:b/>
          <w:bCs/>
          <w:color w:val="000000" w:themeColor="text1"/>
          <w:sz w:val="21"/>
          <w:szCs w:val="21"/>
        </w:rPr>
        <w:t>本技改项目</w:t>
      </w:r>
      <w:r>
        <w:rPr>
          <w:rFonts w:eastAsiaTheme="minorEastAsia"/>
          <w:b/>
          <w:bCs/>
          <w:color w:val="000000" w:themeColor="text1"/>
          <w:sz w:val="21"/>
          <w:szCs w:val="21"/>
        </w:rPr>
        <w:t>产品方案一览表</w:t>
      </w:r>
    </w:p>
    <w:tbl>
      <w:tblPr>
        <w:tblStyle w:val="62"/>
        <w:tblW w:w="8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1"/>
        <w:gridCol w:w="1616"/>
        <w:gridCol w:w="1755"/>
        <w:gridCol w:w="30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产品名称</w:t>
            </w:r>
          </w:p>
        </w:tc>
        <w:tc>
          <w:tcPr>
            <w:tcW w:w="1616"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单位</w:t>
            </w:r>
          </w:p>
        </w:tc>
        <w:tc>
          <w:tcPr>
            <w:tcW w:w="175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数量</w:t>
            </w:r>
          </w:p>
        </w:tc>
        <w:tc>
          <w:tcPr>
            <w:tcW w:w="302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铁精矿</w:t>
            </w:r>
          </w:p>
        </w:tc>
        <w:tc>
          <w:tcPr>
            <w:tcW w:w="1616"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万t/a</w:t>
            </w:r>
          </w:p>
        </w:tc>
        <w:tc>
          <w:tcPr>
            <w:tcW w:w="175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302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细度达到85-90目，品位64%-67%之间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Merge w:val="restart"/>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公分石</w:t>
            </w:r>
          </w:p>
        </w:tc>
        <w:tc>
          <w:tcPr>
            <w:tcW w:w="1616" w:type="dxa"/>
            <w:vMerge w:val="restart"/>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t/a</w:t>
            </w:r>
          </w:p>
        </w:tc>
        <w:tc>
          <w:tcPr>
            <w:tcW w:w="1755" w:type="dxa"/>
            <w:vMerge w:val="restart"/>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29700</w:t>
            </w:r>
          </w:p>
        </w:tc>
        <w:tc>
          <w:tcPr>
            <w:tcW w:w="302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粒径:</w:t>
            </w:r>
            <w:r>
              <w:rPr>
                <w:rFonts w:hint="eastAsia" w:eastAsiaTheme="minorEastAsia"/>
                <w:color w:val="000000" w:themeColor="text1"/>
                <w:sz w:val="21"/>
                <w:szCs w:val="21"/>
              </w:rPr>
              <w:t>16~26mm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Merge w:val="continue"/>
            <w:vAlign w:val="center"/>
          </w:tcPr>
          <w:p>
            <w:pPr>
              <w:pStyle w:val="134"/>
              <w:spacing w:line="240" w:lineRule="auto"/>
              <w:ind w:firstLine="0" w:firstLineChars="0"/>
              <w:jc w:val="center"/>
              <w:rPr>
                <w:rFonts w:eastAsiaTheme="minorEastAsia"/>
                <w:color w:val="000000" w:themeColor="text1"/>
                <w:sz w:val="21"/>
                <w:szCs w:val="21"/>
              </w:rPr>
            </w:pPr>
          </w:p>
        </w:tc>
        <w:tc>
          <w:tcPr>
            <w:tcW w:w="1616" w:type="dxa"/>
            <w:vMerge w:val="continue"/>
            <w:vAlign w:val="center"/>
          </w:tcPr>
          <w:p>
            <w:pPr>
              <w:pStyle w:val="134"/>
              <w:spacing w:line="240" w:lineRule="auto"/>
              <w:ind w:firstLine="0" w:firstLineChars="0"/>
              <w:jc w:val="center"/>
              <w:rPr>
                <w:rFonts w:eastAsiaTheme="minorEastAsia"/>
                <w:color w:val="000000" w:themeColor="text1"/>
                <w:sz w:val="21"/>
                <w:szCs w:val="21"/>
              </w:rPr>
            </w:pPr>
          </w:p>
        </w:tc>
        <w:tc>
          <w:tcPr>
            <w:tcW w:w="1755" w:type="dxa"/>
            <w:vMerge w:val="continue"/>
            <w:vAlign w:val="center"/>
          </w:tcPr>
          <w:p>
            <w:pPr>
              <w:pStyle w:val="134"/>
              <w:spacing w:line="240" w:lineRule="auto"/>
              <w:ind w:firstLine="0" w:firstLineChars="0"/>
              <w:jc w:val="center"/>
              <w:rPr>
                <w:rFonts w:eastAsiaTheme="minorEastAsia"/>
                <w:color w:val="000000" w:themeColor="text1"/>
                <w:sz w:val="21"/>
                <w:szCs w:val="21"/>
              </w:rPr>
            </w:pPr>
          </w:p>
        </w:tc>
        <w:tc>
          <w:tcPr>
            <w:tcW w:w="302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粒径:</w:t>
            </w:r>
            <w:r>
              <w:rPr>
                <w:rFonts w:hint="eastAsia" w:eastAsiaTheme="minorEastAsia"/>
                <w:color w:val="000000" w:themeColor="text1"/>
                <w:sz w:val="21"/>
                <w:szCs w:val="21"/>
              </w:rPr>
              <w:t>10~16mm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瓜子石</w:t>
            </w:r>
          </w:p>
        </w:tc>
        <w:tc>
          <w:tcPr>
            <w:tcW w:w="1616"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t/a</w:t>
            </w:r>
          </w:p>
        </w:tc>
        <w:tc>
          <w:tcPr>
            <w:tcW w:w="175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33000</w:t>
            </w:r>
          </w:p>
        </w:tc>
        <w:tc>
          <w:tcPr>
            <w:tcW w:w="302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粒径:</w:t>
            </w:r>
            <w:r>
              <w:rPr>
                <w:rFonts w:hint="eastAsia" w:eastAsiaTheme="minorEastAsia"/>
                <w:color w:val="000000" w:themeColor="text1"/>
                <w:sz w:val="21"/>
                <w:szCs w:val="21"/>
              </w:rPr>
              <w:t>5~10m</w:t>
            </w:r>
            <w:r>
              <w:rPr>
                <w:rFonts w:eastAsiaTheme="minorEastAsia"/>
                <w:color w:val="000000" w:themeColor="text1"/>
                <w:sz w:val="21"/>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机制砂</w:t>
            </w:r>
          </w:p>
        </w:tc>
        <w:tc>
          <w:tcPr>
            <w:tcW w:w="1616"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t/a</w:t>
            </w:r>
          </w:p>
        </w:tc>
        <w:tc>
          <w:tcPr>
            <w:tcW w:w="175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19800</w:t>
            </w:r>
          </w:p>
        </w:tc>
        <w:tc>
          <w:tcPr>
            <w:tcW w:w="302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粒径:5</w:t>
            </w:r>
            <w:r>
              <w:rPr>
                <w:rFonts w:hint="eastAsia" w:eastAsiaTheme="minorEastAsia"/>
                <w:color w:val="000000" w:themeColor="text1"/>
                <w:sz w:val="21"/>
                <w:szCs w:val="21"/>
              </w:rPr>
              <w:t>m</w:t>
            </w:r>
            <w:r>
              <w:rPr>
                <w:rFonts w:eastAsiaTheme="minorEastAsia"/>
                <w:color w:val="000000" w:themeColor="text1"/>
                <w:sz w:val="21"/>
                <w:szCs w:val="21"/>
              </w:rPr>
              <w:t>m</w:t>
            </w:r>
            <w:r>
              <w:rPr>
                <w:rFonts w:hint="eastAsia" w:eastAsiaTheme="minorEastAsia"/>
                <w:color w:val="000000" w:themeColor="text1"/>
                <w:sz w:val="21"/>
                <w:szCs w:val="21"/>
              </w:rPr>
              <w:t>以下</w:t>
            </w:r>
          </w:p>
        </w:tc>
      </w:tr>
    </w:tbl>
    <w:p>
      <w:pPr>
        <w:pStyle w:val="134"/>
        <w:ind w:firstLine="0" w:firstLineChars="0"/>
        <w:jc w:val="center"/>
        <w:rPr>
          <w:rFonts w:eastAsiaTheme="minorEastAsia"/>
          <w:b/>
          <w:color w:val="000000" w:themeColor="text1"/>
          <w:sz w:val="21"/>
          <w:szCs w:val="21"/>
        </w:rPr>
      </w:pPr>
    </w:p>
    <w:p>
      <w:pPr>
        <w:pStyle w:val="134"/>
        <w:ind w:firstLine="0" w:firstLineChars="0"/>
        <w:jc w:val="center"/>
        <w:rPr>
          <w:rFonts w:eastAsiaTheme="minorEastAsia"/>
          <w:b/>
          <w:color w:val="000000" w:themeColor="text1"/>
          <w:sz w:val="21"/>
          <w:szCs w:val="21"/>
        </w:rPr>
      </w:pPr>
    </w:p>
    <w:p>
      <w:pPr>
        <w:pStyle w:val="134"/>
        <w:ind w:firstLine="0" w:firstLineChars="0"/>
        <w:jc w:val="center"/>
        <w:rPr>
          <w:rFonts w:eastAsiaTheme="minorEastAsia"/>
          <w:b/>
          <w:color w:val="000000" w:themeColor="text1"/>
          <w:sz w:val="21"/>
          <w:szCs w:val="21"/>
        </w:rPr>
      </w:pPr>
      <w:r>
        <w:rPr>
          <w:rFonts w:eastAsiaTheme="minorEastAsia"/>
          <w:b/>
          <w:color w:val="000000" w:themeColor="text1"/>
          <w:sz w:val="21"/>
          <w:szCs w:val="21"/>
        </w:rPr>
        <w:t>表3.</w:t>
      </w:r>
      <w:r>
        <w:rPr>
          <w:rFonts w:hint="eastAsia" w:eastAsiaTheme="minorEastAsia"/>
          <w:b/>
          <w:color w:val="000000" w:themeColor="text1"/>
          <w:sz w:val="21"/>
          <w:szCs w:val="21"/>
        </w:rPr>
        <w:t>4</w:t>
      </w:r>
      <w:r>
        <w:rPr>
          <w:rFonts w:eastAsiaTheme="minorEastAsia"/>
          <w:b/>
          <w:color w:val="000000" w:themeColor="text1"/>
          <w:sz w:val="21"/>
          <w:szCs w:val="21"/>
        </w:rPr>
        <w:t>-2铁精矿成分分析</w:t>
      </w:r>
    </w:p>
    <w:tbl>
      <w:tblPr>
        <w:tblStyle w:val="62"/>
        <w:tblW w:w="8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5"/>
        <w:gridCol w:w="1705"/>
        <w:gridCol w:w="1705"/>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5" w:type="dxa"/>
            <w:vAlign w:val="center"/>
          </w:tcPr>
          <w:p>
            <w:pPr>
              <w:pStyle w:val="134"/>
              <w:ind w:firstLine="0" w:firstLineChars="0"/>
              <w:jc w:val="center"/>
              <w:rPr>
                <w:rFonts w:eastAsiaTheme="minorEastAsia"/>
                <w:color w:val="000000" w:themeColor="text1"/>
                <w:sz w:val="21"/>
                <w:szCs w:val="21"/>
              </w:rPr>
            </w:pPr>
            <w:r>
              <w:rPr>
                <w:rFonts w:eastAsiaTheme="minorEastAsia"/>
                <w:color w:val="000000" w:themeColor="text1"/>
                <w:sz w:val="21"/>
                <w:szCs w:val="21"/>
              </w:rPr>
              <w:t>项目</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TFe</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S</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SiO</w:t>
            </w:r>
            <w:r>
              <w:rPr>
                <w:rFonts w:hint="eastAsia" w:eastAsiaTheme="minorEastAsia"/>
                <w:color w:val="000000" w:themeColor="text1"/>
                <w:sz w:val="21"/>
                <w:szCs w:val="21"/>
                <w:vertAlign w:val="subscript"/>
              </w:rPr>
              <w:t>2</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5" w:type="dxa"/>
            <w:vAlign w:val="center"/>
          </w:tcPr>
          <w:p>
            <w:pPr>
              <w:pStyle w:val="134"/>
              <w:ind w:firstLine="0" w:firstLineChars="0"/>
              <w:jc w:val="center"/>
              <w:rPr>
                <w:rFonts w:eastAsiaTheme="minorEastAsia"/>
                <w:color w:val="000000" w:themeColor="text1"/>
                <w:sz w:val="21"/>
                <w:szCs w:val="21"/>
              </w:rPr>
            </w:pPr>
            <w:r>
              <w:rPr>
                <w:rFonts w:eastAsiaTheme="minorEastAsia"/>
                <w:color w:val="000000" w:themeColor="text1"/>
                <w:sz w:val="21"/>
                <w:szCs w:val="21"/>
              </w:rPr>
              <w:t>含量（%）</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65</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0.014</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4.68</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0.025</w:t>
            </w:r>
          </w:p>
        </w:tc>
      </w:tr>
    </w:tbl>
    <w:p>
      <w:pPr>
        <w:pStyle w:val="134"/>
        <w:ind w:firstLine="480"/>
        <w:rPr>
          <w:rFonts w:hint="eastAsia" w:eastAsiaTheme="minorEastAsia"/>
          <w:b/>
          <w:bCs/>
          <w:color w:val="000000" w:themeColor="text1"/>
          <w:sz w:val="21"/>
          <w:szCs w:val="21"/>
        </w:rPr>
      </w:pPr>
      <w:r>
        <w:rPr>
          <w:rFonts w:hint="eastAsia" w:eastAsiaTheme="minorEastAsia"/>
          <w:color w:val="000000" w:themeColor="text1"/>
        </w:rPr>
        <w:t>技改后全厂产品情况见下表所示：</w:t>
      </w:r>
    </w:p>
    <w:p>
      <w:pPr>
        <w:pStyle w:val="134"/>
        <w:ind w:firstLine="422"/>
        <w:jc w:val="center"/>
        <w:rPr>
          <w:rFonts w:eastAsiaTheme="minorEastAsia"/>
          <w:b/>
          <w:bCs/>
          <w:color w:val="000000" w:themeColor="text1"/>
          <w:sz w:val="21"/>
          <w:szCs w:val="21"/>
        </w:rPr>
      </w:pPr>
      <w:r>
        <w:rPr>
          <w:rFonts w:hint="eastAsia" w:eastAsiaTheme="minorEastAsia"/>
          <w:b/>
          <w:bCs/>
          <w:color w:val="000000" w:themeColor="text1"/>
          <w:sz w:val="21"/>
          <w:szCs w:val="21"/>
        </w:rPr>
        <w:t>表3.4-3技改后全厂产品方案一览表</w:t>
      </w:r>
    </w:p>
    <w:tbl>
      <w:tblPr>
        <w:tblStyle w:val="62"/>
        <w:tblW w:w="85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1"/>
        <w:gridCol w:w="1616"/>
        <w:gridCol w:w="1755"/>
        <w:gridCol w:w="2385"/>
        <w:gridCol w:w="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产品名称</w:t>
            </w:r>
          </w:p>
        </w:tc>
        <w:tc>
          <w:tcPr>
            <w:tcW w:w="1616"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单位</w:t>
            </w:r>
          </w:p>
        </w:tc>
        <w:tc>
          <w:tcPr>
            <w:tcW w:w="175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数量</w:t>
            </w:r>
          </w:p>
        </w:tc>
        <w:tc>
          <w:tcPr>
            <w:tcW w:w="3025" w:type="dxa"/>
            <w:gridSpan w:val="2"/>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Align w:val="center"/>
          </w:tcPr>
          <w:p>
            <w:pPr>
              <w:pStyle w:val="134"/>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三级铁精矿</w:t>
            </w:r>
          </w:p>
        </w:tc>
        <w:tc>
          <w:tcPr>
            <w:tcW w:w="1616"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t/a</w:t>
            </w:r>
          </w:p>
        </w:tc>
        <w:tc>
          <w:tcPr>
            <w:tcW w:w="1755" w:type="dxa"/>
            <w:vAlign w:val="center"/>
          </w:tcPr>
          <w:p>
            <w:pPr>
              <w:pStyle w:val="134"/>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40000</w:t>
            </w:r>
          </w:p>
        </w:tc>
        <w:tc>
          <w:tcPr>
            <w:tcW w:w="3025" w:type="dxa"/>
            <w:gridSpan w:val="2"/>
            <w:vMerge w:val="restart"/>
            <w:vAlign w:val="center"/>
          </w:tcPr>
          <w:p>
            <w:pPr>
              <w:pStyle w:val="23"/>
              <w:ind w:firstLine="0" w:firstLineChars="0"/>
              <w:rPr>
                <w:rFonts w:eastAsiaTheme="minorEastAsia"/>
                <w:color w:val="000000" w:themeColor="text1"/>
                <w:sz w:val="21"/>
                <w:szCs w:val="21"/>
              </w:rPr>
            </w:pPr>
            <w:r>
              <w:rPr>
                <w:rFonts w:hint="eastAsia" w:eastAsiaTheme="minorEastAsia"/>
                <w:color w:val="000000" w:themeColor="text1"/>
                <w:sz w:val="21"/>
                <w:szCs w:val="21"/>
              </w:rPr>
              <w:t>原有项目</w:t>
            </w:r>
            <w:r>
              <w:rPr>
                <w:rFonts w:hint="eastAsia"/>
                <w:color w:val="000000" w:themeColor="text1"/>
                <w:sz w:val="21"/>
                <w:szCs w:val="21"/>
              </w:rPr>
              <w:t>产品，其中，三级铁精矿作为技改项目再选原料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Align w:val="center"/>
          </w:tcPr>
          <w:p>
            <w:pPr>
              <w:pStyle w:val="134"/>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铜矿</w:t>
            </w:r>
          </w:p>
        </w:tc>
        <w:tc>
          <w:tcPr>
            <w:tcW w:w="1616"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t/a</w:t>
            </w:r>
          </w:p>
        </w:tc>
        <w:tc>
          <w:tcPr>
            <w:tcW w:w="1755" w:type="dxa"/>
            <w:vAlign w:val="center"/>
          </w:tcPr>
          <w:p>
            <w:pPr>
              <w:pStyle w:val="134"/>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650</w:t>
            </w:r>
          </w:p>
        </w:tc>
        <w:tc>
          <w:tcPr>
            <w:tcW w:w="3025" w:type="dxa"/>
            <w:gridSpan w:val="2"/>
            <w:vMerge w:val="continue"/>
            <w:vAlign w:val="center"/>
          </w:tcPr>
          <w:p>
            <w:pPr>
              <w:pStyle w:val="134"/>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铁精矿</w:t>
            </w:r>
          </w:p>
        </w:tc>
        <w:tc>
          <w:tcPr>
            <w:tcW w:w="1616"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万t/a</w:t>
            </w:r>
          </w:p>
        </w:tc>
        <w:tc>
          <w:tcPr>
            <w:tcW w:w="175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238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细度达到85-90目，品位</w:t>
            </w:r>
            <w:r>
              <w:rPr>
                <w:rFonts w:hint="eastAsia" w:eastAsiaTheme="minorEastAsia"/>
                <w:color w:val="000000" w:themeColor="text1"/>
                <w:sz w:val="21"/>
                <w:szCs w:val="21"/>
              </w:rPr>
              <w:t>65</w:t>
            </w:r>
            <w:r>
              <w:rPr>
                <w:rFonts w:eastAsiaTheme="minorEastAsia"/>
                <w:color w:val="000000" w:themeColor="text1"/>
                <w:sz w:val="21"/>
                <w:szCs w:val="21"/>
              </w:rPr>
              <w:t>%</w:t>
            </w:r>
          </w:p>
        </w:tc>
        <w:tc>
          <w:tcPr>
            <w:tcW w:w="640" w:type="dxa"/>
            <w:vMerge w:val="restart"/>
            <w:vAlign w:val="center"/>
          </w:tcPr>
          <w:p>
            <w:pPr>
              <w:pStyle w:val="134"/>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技改项目产出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Merge w:val="restart"/>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公分石</w:t>
            </w:r>
          </w:p>
        </w:tc>
        <w:tc>
          <w:tcPr>
            <w:tcW w:w="1616" w:type="dxa"/>
            <w:vMerge w:val="restart"/>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t/a</w:t>
            </w:r>
          </w:p>
        </w:tc>
        <w:tc>
          <w:tcPr>
            <w:tcW w:w="1755" w:type="dxa"/>
            <w:vMerge w:val="restart"/>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29700</w:t>
            </w:r>
          </w:p>
        </w:tc>
        <w:tc>
          <w:tcPr>
            <w:tcW w:w="238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粒径:</w:t>
            </w:r>
            <w:r>
              <w:rPr>
                <w:rFonts w:hint="eastAsia" w:eastAsiaTheme="minorEastAsia"/>
                <w:color w:val="000000" w:themeColor="text1"/>
                <w:sz w:val="21"/>
                <w:szCs w:val="21"/>
              </w:rPr>
              <w:t>16~26mm</w:t>
            </w:r>
          </w:p>
        </w:tc>
        <w:tc>
          <w:tcPr>
            <w:tcW w:w="640" w:type="dxa"/>
            <w:vMerge w:val="continue"/>
            <w:vAlign w:val="center"/>
          </w:tcPr>
          <w:p>
            <w:pPr>
              <w:pStyle w:val="134"/>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Merge w:val="continue"/>
            <w:vAlign w:val="center"/>
          </w:tcPr>
          <w:p>
            <w:pPr>
              <w:pStyle w:val="134"/>
              <w:spacing w:line="240" w:lineRule="auto"/>
              <w:ind w:firstLine="0" w:firstLineChars="0"/>
              <w:jc w:val="center"/>
              <w:rPr>
                <w:rFonts w:eastAsiaTheme="minorEastAsia"/>
                <w:color w:val="000000" w:themeColor="text1"/>
                <w:sz w:val="21"/>
                <w:szCs w:val="21"/>
              </w:rPr>
            </w:pPr>
          </w:p>
        </w:tc>
        <w:tc>
          <w:tcPr>
            <w:tcW w:w="1616" w:type="dxa"/>
            <w:vMerge w:val="continue"/>
            <w:vAlign w:val="center"/>
          </w:tcPr>
          <w:p>
            <w:pPr>
              <w:pStyle w:val="134"/>
              <w:spacing w:line="240" w:lineRule="auto"/>
              <w:ind w:firstLine="0" w:firstLineChars="0"/>
              <w:jc w:val="center"/>
              <w:rPr>
                <w:rFonts w:eastAsiaTheme="minorEastAsia"/>
                <w:color w:val="000000" w:themeColor="text1"/>
                <w:sz w:val="21"/>
                <w:szCs w:val="21"/>
              </w:rPr>
            </w:pPr>
          </w:p>
        </w:tc>
        <w:tc>
          <w:tcPr>
            <w:tcW w:w="1755" w:type="dxa"/>
            <w:vMerge w:val="continue"/>
            <w:vAlign w:val="center"/>
          </w:tcPr>
          <w:p>
            <w:pPr>
              <w:pStyle w:val="134"/>
              <w:spacing w:line="240" w:lineRule="auto"/>
              <w:ind w:firstLine="0" w:firstLineChars="0"/>
              <w:jc w:val="center"/>
              <w:rPr>
                <w:rFonts w:eastAsiaTheme="minorEastAsia"/>
                <w:color w:val="000000" w:themeColor="text1"/>
                <w:sz w:val="21"/>
                <w:szCs w:val="21"/>
              </w:rPr>
            </w:pPr>
          </w:p>
        </w:tc>
        <w:tc>
          <w:tcPr>
            <w:tcW w:w="238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粒径:</w:t>
            </w:r>
            <w:r>
              <w:rPr>
                <w:rFonts w:hint="eastAsia" w:eastAsiaTheme="minorEastAsia"/>
                <w:color w:val="000000" w:themeColor="text1"/>
                <w:sz w:val="21"/>
                <w:szCs w:val="21"/>
              </w:rPr>
              <w:t>10~16mm</w:t>
            </w:r>
          </w:p>
        </w:tc>
        <w:tc>
          <w:tcPr>
            <w:tcW w:w="640" w:type="dxa"/>
            <w:vMerge w:val="continue"/>
            <w:vAlign w:val="center"/>
          </w:tcPr>
          <w:p>
            <w:pPr>
              <w:pStyle w:val="134"/>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瓜子石</w:t>
            </w:r>
          </w:p>
        </w:tc>
        <w:tc>
          <w:tcPr>
            <w:tcW w:w="1616"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t/a</w:t>
            </w:r>
          </w:p>
        </w:tc>
        <w:tc>
          <w:tcPr>
            <w:tcW w:w="175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33000</w:t>
            </w:r>
          </w:p>
        </w:tc>
        <w:tc>
          <w:tcPr>
            <w:tcW w:w="238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粒径:</w:t>
            </w:r>
            <w:r>
              <w:rPr>
                <w:rFonts w:hint="eastAsia" w:eastAsiaTheme="minorEastAsia"/>
                <w:color w:val="000000" w:themeColor="text1"/>
                <w:sz w:val="21"/>
                <w:szCs w:val="21"/>
              </w:rPr>
              <w:t>5~10m</w:t>
            </w:r>
            <w:r>
              <w:rPr>
                <w:rFonts w:eastAsiaTheme="minorEastAsia"/>
                <w:color w:val="000000" w:themeColor="text1"/>
                <w:sz w:val="21"/>
                <w:szCs w:val="21"/>
              </w:rPr>
              <w:t>m</w:t>
            </w:r>
          </w:p>
        </w:tc>
        <w:tc>
          <w:tcPr>
            <w:tcW w:w="640" w:type="dxa"/>
            <w:vMerge w:val="continue"/>
            <w:vAlign w:val="center"/>
          </w:tcPr>
          <w:p>
            <w:pPr>
              <w:pStyle w:val="134"/>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131"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机制砂</w:t>
            </w:r>
          </w:p>
        </w:tc>
        <w:tc>
          <w:tcPr>
            <w:tcW w:w="1616"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t/a</w:t>
            </w:r>
          </w:p>
        </w:tc>
        <w:tc>
          <w:tcPr>
            <w:tcW w:w="175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19800</w:t>
            </w:r>
          </w:p>
        </w:tc>
        <w:tc>
          <w:tcPr>
            <w:tcW w:w="2385" w:type="dxa"/>
            <w:vAlign w:val="center"/>
          </w:tcPr>
          <w:p>
            <w:pPr>
              <w:pStyle w:val="134"/>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粒径:5</w:t>
            </w:r>
            <w:r>
              <w:rPr>
                <w:rFonts w:hint="eastAsia" w:eastAsiaTheme="minorEastAsia"/>
                <w:color w:val="000000" w:themeColor="text1"/>
                <w:sz w:val="21"/>
                <w:szCs w:val="21"/>
              </w:rPr>
              <w:t>m</w:t>
            </w:r>
            <w:r>
              <w:rPr>
                <w:rFonts w:eastAsiaTheme="minorEastAsia"/>
                <w:color w:val="000000" w:themeColor="text1"/>
                <w:sz w:val="21"/>
                <w:szCs w:val="21"/>
              </w:rPr>
              <w:t>m</w:t>
            </w:r>
            <w:r>
              <w:rPr>
                <w:rFonts w:hint="eastAsia" w:eastAsiaTheme="minorEastAsia"/>
                <w:color w:val="000000" w:themeColor="text1"/>
                <w:sz w:val="21"/>
                <w:szCs w:val="21"/>
              </w:rPr>
              <w:t>以下</w:t>
            </w:r>
          </w:p>
        </w:tc>
        <w:tc>
          <w:tcPr>
            <w:tcW w:w="640" w:type="dxa"/>
            <w:vMerge w:val="continue"/>
            <w:vAlign w:val="center"/>
          </w:tcPr>
          <w:p>
            <w:pPr>
              <w:pStyle w:val="134"/>
              <w:spacing w:line="240" w:lineRule="auto"/>
              <w:ind w:firstLine="0" w:firstLineChars="0"/>
              <w:jc w:val="center"/>
              <w:rPr>
                <w:rFonts w:eastAsiaTheme="minorEastAsia"/>
                <w:color w:val="000000" w:themeColor="text1"/>
                <w:sz w:val="21"/>
                <w:szCs w:val="21"/>
              </w:rPr>
            </w:pPr>
          </w:p>
        </w:tc>
      </w:tr>
    </w:tbl>
    <w:p>
      <w:pPr>
        <w:pStyle w:val="574"/>
        <w:spacing w:beforeLines="0" w:afterLines="0"/>
        <w:rPr>
          <w:rFonts w:eastAsiaTheme="minorEastAsia"/>
          <w:color w:val="000000" w:themeColor="text1"/>
          <w:sz w:val="30"/>
          <w:szCs w:val="30"/>
        </w:rPr>
      </w:pPr>
      <w:bookmarkStart w:id="444" w:name="_Toc2111"/>
      <w:r>
        <w:rPr>
          <w:rFonts w:eastAsiaTheme="minorEastAsia"/>
          <w:color w:val="000000" w:themeColor="text1"/>
          <w:sz w:val="30"/>
          <w:szCs w:val="30"/>
        </w:rPr>
        <w:t>3.</w:t>
      </w:r>
      <w:r>
        <w:rPr>
          <w:rFonts w:hint="eastAsia" w:eastAsiaTheme="minorEastAsia"/>
          <w:color w:val="000000" w:themeColor="text1"/>
          <w:sz w:val="30"/>
          <w:szCs w:val="30"/>
        </w:rPr>
        <w:t>5</w:t>
      </w:r>
      <w:r>
        <w:rPr>
          <w:rFonts w:eastAsiaTheme="minorEastAsia"/>
          <w:color w:val="000000" w:themeColor="text1"/>
          <w:sz w:val="30"/>
          <w:szCs w:val="30"/>
        </w:rPr>
        <w:t>主要原辅材料及能源消耗</w:t>
      </w:r>
      <w:bookmarkEnd w:id="444"/>
    </w:p>
    <w:p>
      <w:pPr>
        <w:pStyle w:val="6"/>
        <w:spacing w:beforeLines="0" w:afterLines="0"/>
        <w:rPr>
          <w:rFonts w:eastAsiaTheme="minorEastAsia"/>
          <w:color w:val="000000" w:themeColor="text1"/>
          <w:sz w:val="28"/>
          <w:szCs w:val="28"/>
        </w:rPr>
      </w:pPr>
      <w:bookmarkStart w:id="445" w:name="_Toc10569"/>
      <w:r>
        <w:rPr>
          <w:rFonts w:eastAsiaTheme="minorEastAsia"/>
          <w:color w:val="000000" w:themeColor="text1"/>
          <w:sz w:val="28"/>
          <w:szCs w:val="28"/>
        </w:rPr>
        <w:t>3.</w:t>
      </w:r>
      <w:r>
        <w:rPr>
          <w:rFonts w:hint="eastAsia" w:eastAsiaTheme="minorEastAsia"/>
          <w:color w:val="000000" w:themeColor="text1"/>
          <w:sz w:val="28"/>
          <w:szCs w:val="28"/>
        </w:rPr>
        <w:t>5</w:t>
      </w:r>
      <w:r>
        <w:rPr>
          <w:rFonts w:eastAsiaTheme="minorEastAsia"/>
          <w:color w:val="000000" w:themeColor="text1"/>
          <w:sz w:val="28"/>
          <w:szCs w:val="28"/>
        </w:rPr>
        <w:t>.1技改后入选的低品位矿</w:t>
      </w:r>
      <w:bookmarkEnd w:id="445"/>
    </w:p>
    <w:p>
      <w:pPr>
        <w:ind w:firstLine="480"/>
        <w:jc w:val="both"/>
        <w:rPr>
          <w:rFonts w:eastAsiaTheme="minorEastAsia"/>
          <w:bCs/>
          <w:iCs/>
          <w:color w:val="000000" w:themeColor="text1"/>
        </w:rPr>
      </w:pPr>
      <w:r>
        <w:rPr>
          <w:rFonts w:eastAsiaTheme="minorEastAsia"/>
          <w:bCs/>
          <w:iCs/>
          <w:color w:val="000000" w:themeColor="text1"/>
        </w:rPr>
        <w:t>技改后，经电磁滚筒分选出的低品位矿产生量为67500t/a，原矿（150000t/a）未处理前的铁含量为</w:t>
      </w:r>
      <w:r>
        <w:rPr>
          <w:rFonts w:hint="eastAsia" w:eastAsiaTheme="minorEastAsia"/>
          <w:bCs/>
          <w:iCs/>
          <w:color w:val="000000" w:themeColor="text1"/>
        </w:rPr>
        <w:t>33450</w:t>
      </w:r>
      <w:r>
        <w:rPr>
          <w:rFonts w:eastAsiaTheme="minorEastAsia"/>
          <w:bCs/>
          <w:iCs/>
          <w:color w:val="000000" w:themeColor="text1"/>
        </w:rPr>
        <w:t>t/a，铜含量为</w:t>
      </w:r>
      <w:r>
        <w:rPr>
          <w:rFonts w:hint="eastAsia" w:eastAsiaTheme="minorEastAsia"/>
          <w:bCs/>
          <w:iCs/>
          <w:color w:val="000000" w:themeColor="text1"/>
        </w:rPr>
        <w:t>205.81</w:t>
      </w:r>
      <w:r>
        <w:rPr>
          <w:rFonts w:eastAsiaTheme="minorEastAsia"/>
          <w:bCs/>
          <w:iCs/>
          <w:color w:val="000000" w:themeColor="text1"/>
        </w:rPr>
        <w:t>t/a，经电磁滚筒分选后，大部分铁</w:t>
      </w:r>
      <w:r>
        <w:rPr>
          <w:rFonts w:hint="eastAsia" w:eastAsiaTheme="minorEastAsia"/>
          <w:bCs/>
          <w:iCs/>
          <w:color w:val="000000" w:themeColor="text1"/>
        </w:rPr>
        <w:t>元素</w:t>
      </w:r>
      <w:r>
        <w:rPr>
          <w:rFonts w:eastAsiaTheme="minorEastAsia"/>
          <w:bCs/>
          <w:iCs/>
          <w:color w:val="000000" w:themeColor="text1"/>
        </w:rPr>
        <w:t>进入到低品位矿中，有很少部分铁进入砂石料，</w:t>
      </w:r>
      <w:r>
        <w:rPr>
          <w:rFonts w:hint="eastAsia" w:eastAsiaTheme="minorEastAsia"/>
          <w:bCs/>
          <w:iCs/>
          <w:color w:val="000000" w:themeColor="text1"/>
        </w:rPr>
        <w:t>砂石料中铁的品位约2.91</w:t>
      </w:r>
      <w:r>
        <w:rPr>
          <w:rFonts w:eastAsiaTheme="minorEastAsia"/>
          <w:bCs/>
          <w:iCs/>
          <w:color w:val="000000" w:themeColor="text1"/>
        </w:rPr>
        <w:t>%（量为</w:t>
      </w:r>
      <w:r>
        <w:rPr>
          <w:rFonts w:hint="eastAsia" w:eastAsiaTheme="minorEastAsia"/>
          <w:bCs/>
          <w:iCs/>
          <w:color w:val="000000" w:themeColor="text1"/>
        </w:rPr>
        <w:t>2402</w:t>
      </w:r>
      <w:r>
        <w:rPr>
          <w:rFonts w:eastAsiaTheme="minorEastAsia"/>
          <w:bCs/>
          <w:iCs/>
          <w:color w:val="000000" w:themeColor="text1"/>
        </w:rPr>
        <w:t>t/a），低品位矿</w:t>
      </w:r>
      <w:r>
        <w:rPr>
          <w:rFonts w:hint="eastAsia" w:eastAsiaTheme="minorEastAsia"/>
          <w:bCs/>
          <w:iCs/>
          <w:color w:val="000000" w:themeColor="text1"/>
        </w:rPr>
        <w:t>中</w:t>
      </w:r>
      <w:r>
        <w:rPr>
          <w:rFonts w:eastAsiaTheme="minorEastAsia"/>
          <w:bCs/>
          <w:iCs/>
          <w:color w:val="000000" w:themeColor="text1"/>
        </w:rPr>
        <w:t>铁含量为</w:t>
      </w:r>
      <w:r>
        <w:rPr>
          <w:rFonts w:hint="eastAsia" w:eastAsiaTheme="minorEastAsia"/>
          <w:bCs/>
          <w:iCs/>
          <w:color w:val="000000" w:themeColor="text1"/>
        </w:rPr>
        <w:t>31048</w:t>
      </w:r>
      <w:r>
        <w:rPr>
          <w:rFonts w:eastAsiaTheme="minorEastAsia"/>
          <w:bCs/>
          <w:iCs/>
          <w:color w:val="000000" w:themeColor="text1"/>
        </w:rPr>
        <w:t>t/a，则低品位矿的铁矿品位为</w:t>
      </w:r>
      <w:r>
        <w:rPr>
          <w:rFonts w:hint="eastAsia" w:eastAsiaTheme="minorEastAsia"/>
          <w:bCs/>
          <w:iCs/>
          <w:color w:val="000000" w:themeColor="text1"/>
        </w:rPr>
        <w:t>46</w:t>
      </w:r>
      <w:r>
        <w:rPr>
          <w:rFonts w:eastAsiaTheme="minorEastAsia"/>
          <w:bCs/>
          <w:iCs/>
          <w:color w:val="000000" w:themeColor="text1"/>
        </w:rPr>
        <w:t>%，砂石料</w:t>
      </w:r>
      <w:r>
        <w:rPr>
          <w:rFonts w:hint="eastAsia" w:eastAsiaTheme="minorEastAsia"/>
          <w:bCs/>
          <w:iCs/>
          <w:color w:val="000000" w:themeColor="text1"/>
        </w:rPr>
        <w:t>中铜的品位约</w:t>
      </w:r>
      <w:r>
        <w:rPr>
          <w:rFonts w:eastAsiaTheme="minorEastAsia"/>
          <w:bCs/>
          <w:iCs/>
          <w:color w:val="000000" w:themeColor="text1"/>
        </w:rPr>
        <w:t>为</w:t>
      </w:r>
      <w:r>
        <w:rPr>
          <w:rFonts w:hint="eastAsia" w:eastAsiaTheme="minorEastAsia"/>
          <w:bCs/>
          <w:iCs/>
          <w:color w:val="000000" w:themeColor="text1"/>
        </w:rPr>
        <w:t>0.027</w:t>
      </w:r>
      <w:r>
        <w:rPr>
          <w:rFonts w:eastAsiaTheme="minorEastAsia"/>
          <w:bCs/>
          <w:iCs/>
          <w:color w:val="000000" w:themeColor="text1"/>
        </w:rPr>
        <w:t>%，则砂石料中铜量为22.5t/a，进入低品位矿的铜含量为</w:t>
      </w:r>
      <w:r>
        <w:rPr>
          <w:rFonts w:hint="eastAsia" w:eastAsiaTheme="minorEastAsia"/>
          <w:bCs/>
          <w:iCs/>
          <w:color w:val="000000" w:themeColor="text1"/>
        </w:rPr>
        <w:t>183.31</w:t>
      </w:r>
      <w:r>
        <w:rPr>
          <w:rFonts w:eastAsiaTheme="minorEastAsia"/>
          <w:bCs/>
          <w:iCs/>
          <w:color w:val="000000" w:themeColor="text1"/>
        </w:rPr>
        <w:t>t/a，则低品位矿的铜矿品位为0.</w:t>
      </w:r>
      <w:r>
        <w:rPr>
          <w:rFonts w:hint="eastAsia" w:eastAsiaTheme="minorEastAsia"/>
          <w:bCs/>
          <w:iCs/>
          <w:color w:val="000000" w:themeColor="text1"/>
        </w:rPr>
        <w:t>27</w:t>
      </w:r>
      <w:r>
        <w:rPr>
          <w:rFonts w:eastAsiaTheme="minorEastAsia"/>
          <w:bCs/>
          <w:iCs/>
          <w:color w:val="000000" w:themeColor="text1"/>
        </w:rPr>
        <w:t>%。</w:t>
      </w:r>
    </w:p>
    <w:p>
      <w:pPr>
        <w:pStyle w:val="6"/>
        <w:spacing w:beforeLines="0" w:afterLines="0"/>
        <w:rPr>
          <w:rFonts w:eastAsiaTheme="minorEastAsia"/>
          <w:color w:val="000000" w:themeColor="text1"/>
          <w:sz w:val="28"/>
          <w:szCs w:val="28"/>
        </w:rPr>
      </w:pPr>
      <w:bookmarkStart w:id="446" w:name="_Toc25209"/>
      <w:r>
        <w:rPr>
          <w:rFonts w:eastAsiaTheme="minorEastAsia"/>
          <w:color w:val="000000" w:themeColor="text1"/>
          <w:sz w:val="28"/>
          <w:szCs w:val="28"/>
        </w:rPr>
        <w:t>3.</w:t>
      </w:r>
      <w:r>
        <w:rPr>
          <w:rFonts w:hint="eastAsia" w:eastAsiaTheme="minorEastAsia"/>
          <w:color w:val="000000" w:themeColor="text1"/>
          <w:sz w:val="28"/>
          <w:szCs w:val="28"/>
        </w:rPr>
        <w:t>5</w:t>
      </w:r>
      <w:r>
        <w:rPr>
          <w:rFonts w:eastAsiaTheme="minorEastAsia"/>
          <w:color w:val="000000" w:themeColor="text1"/>
          <w:sz w:val="28"/>
          <w:szCs w:val="28"/>
        </w:rPr>
        <w:t>.2三级精铁矿成分分析</w:t>
      </w:r>
      <w:bookmarkEnd w:id="446"/>
    </w:p>
    <w:p>
      <w:pPr>
        <w:ind w:firstLine="480"/>
        <w:rPr>
          <w:rFonts w:eastAsiaTheme="minorEastAsia"/>
          <w:bCs/>
          <w:iCs/>
          <w:color w:val="000000" w:themeColor="text1"/>
        </w:rPr>
      </w:pPr>
      <w:r>
        <w:rPr>
          <w:rFonts w:eastAsiaTheme="minorEastAsia"/>
          <w:bCs/>
          <w:iCs/>
          <w:color w:val="000000" w:themeColor="text1"/>
        </w:rPr>
        <w:t>三级铁精矿原料部分为现有生产线生产出来的三级铁精矿</w:t>
      </w:r>
      <w:r>
        <w:rPr>
          <w:rFonts w:hint="eastAsia" w:eastAsiaTheme="minorEastAsia"/>
          <w:bCs/>
          <w:iCs/>
          <w:color w:val="000000" w:themeColor="text1"/>
        </w:rPr>
        <w:t>量</w:t>
      </w:r>
      <w:r>
        <w:rPr>
          <w:rFonts w:eastAsiaTheme="minorEastAsia"/>
          <w:bCs/>
          <w:iCs/>
          <w:color w:val="000000" w:themeColor="text1"/>
        </w:rPr>
        <w:t>，另外一部分</w:t>
      </w:r>
      <w:r>
        <w:rPr>
          <w:rFonts w:hint="eastAsia" w:eastAsiaTheme="minorEastAsia"/>
          <w:bCs/>
          <w:iCs/>
          <w:color w:val="000000" w:themeColor="text1"/>
        </w:rPr>
        <w:t>量</w:t>
      </w:r>
      <w:r>
        <w:rPr>
          <w:rFonts w:eastAsiaTheme="minorEastAsia"/>
          <w:bCs/>
          <w:iCs/>
          <w:color w:val="000000" w:themeColor="text1"/>
        </w:rPr>
        <w:t>为向大红山铁矿外购的三级铁精矿，利用三级精铁矿提高精铁矿的品位，三级精铁矿成分分析表见3.</w:t>
      </w:r>
      <w:r>
        <w:rPr>
          <w:rFonts w:hint="eastAsia" w:eastAsiaTheme="minorEastAsia"/>
          <w:bCs/>
          <w:iCs/>
          <w:color w:val="000000" w:themeColor="text1"/>
        </w:rPr>
        <w:t>5</w:t>
      </w:r>
      <w:r>
        <w:rPr>
          <w:rFonts w:eastAsiaTheme="minorEastAsia"/>
          <w:bCs/>
          <w:iCs/>
          <w:color w:val="000000" w:themeColor="text1"/>
        </w:rPr>
        <w:t>-1</w:t>
      </w:r>
      <w:r>
        <w:rPr>
          <w:rFonts w:hint="eastAsia" w:eastAsiaTheme="minorEastAsia"/>
          <w:bCs/>
          <w:iCs/>
          <w:color w:val="000000" w:themeColor="text1"/>
        </w:rPr>
        <w:t>和3.5-2</w:t>
      </w:r>
      <w:r>
        <w:rPr>
          <w:rFonts w:eastAsiaTheme="minorEastAsia"/>
          <w:bCs/>
          <w:iCs/>
          <w:color w:val="000000" w:themeColor="text1"/>
        </w:rPr>
        <w:t>。</w:t>
      </w:r>
    </w:p>
    <w:p>
      <w:pPr>
        <w:pStyle w:val="134"/>
        <w:ind w:firstLine="0" w:firstLineChars="0"/>
        <w:jc w:val="center"/>
        <w:rPr>
          <w:rFonts w:eastAsiaTheme="minorEastAsia"/>
          <w:b/>
          <w:color w:val="000000" w:themeColor="text1"/>
          <w:sz w:val="21"/>
          <w:szCs w:val="21"/>
        </w:rPr>
      </w:pPr>
      <w:r>
        <w:rPr>
          <w:rFonts w:eastAsiaTheme="minorEastAsia"/>
          <w:b/>
          <w:color w:val="000000" w:themeColor="text1"/>
          <w:sz w:val="21"/>
          <w:szCs w:val="21"/>
        </w:rPr>
        <w:t>表3.</w:t>
      </w:r>
      <w:r>
        <w:rPr>
          <w:rFonts w:hint="eastAsia" w:eastAsiaTheme="minorEastAsia"/>
          <w:b/>
          <w:color w:val="000000" w:themeColor="text1"/>
          <w:sz w:val="21"/>
          <w:szCs w:val="21"/>
        </w:rPr>
        <w:t>5</w:t>
      </w:r>
      <w:r>
        <w:rPr>
          <w:rFonts w:eastAsiaTheme="minorEastAsia"/>
          <w:b/>
          <w:color w:val="000000" w:themeColor="text1"/>
          <w:sz w:val="21"/>
          <w:szCs w:val="21"/>
        </w:rPr>
        <w:t>-1</w:t>
      </w:r>
      <w:r>
        <w:rPr>
          <w:rFonts w:hint="eastAsia" w:eastAsiaTheme="minorEastAsia"/>
          <w:b/>
          <w:color w:val="000000" w:themeColor="text1"/>
          <w:sz w:val="21"/>
          <w:szCs w:val="21"/>
        </w:rPr>
        <w:t>自产</w:t>
      </w:r>
      <w:r>
        <w:rPr>
          <w:rFonts w:eastAsiaTheme="minorEastAsia"/>
          <w:b/>
          <w:color w:val="000000" w:themeColor="text1"/>
          <w:sz w:val="21"/>
          <w:szCs w:val="21"/>
        </w:rPr>
        <w:t>三级精铁矿成分分析</w:t>
      </w:r>
    </w:p>
    <w:tbl>
      <w:tblPr>
        <w:tblStyle w:val="62"/>
        <w:tblW w:w="8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5"/>
        <w:gridCol w:w="1705"/>
        <w:gridCol w:w="1705"/>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5" w:type="dxa"/>
            <w:vAlign w:val="center"/>
          </w:tcPr>
          <w:p>
            <w:pPr>
              <w:pStyle w:val="134"/>
              <w:ind w:firstLine="0" w:firstLineChars="0"/>
              <w:jc w:val="center"/>
              <w:rPr>
                <w:rFonts w:eastAsiaTheme="minorEastAsia"/>
                <w:color w:val="000000" w:themeColor="text1"/>
                <w:sz w:val="21"/>
                <w:szCs w:val="21"/>
              </w:rPr>
            </w:pPr>
            <w:r>
              <w:rPr>
                <w:rFonts w:eastAsiaTheme="minorEastAsia"/>
                <w:color w:val="000000" w:themeColor="text1"/>
                <w:sz w:val="21"/>
                <w:szCs w:val="21"/>
              </w:rPr>
              <w:t>项目</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TFe</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S</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SiO</w:t>
            </w:r>
            <w:r>
              <w:rPr>
                <w:rFonts w:hint="eastAsia" w:eastAsiaTheme="minorEastAsia"/>
                <w:color w:val="000000" w:themeColor="text1"/>
                <w:sz w:val="21"/>
                <w:szCs w:val="21"/>
                <w:vertAlign w:val="subscript"/>
              </w:rPr>
              <w:t>2</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5" w:type="dxa"/>
            <w:vAlign w:val="center"/>
          </w:tcPr>
          <w:p>
            <w:pPr>
              <w:pStyle w:val="134"/>
              <w:ind w:firstLine="0" w:firstLineChars="0"/>
              <w:jc w:val="center"/>
              <w:rPr>
                <w:rFonts w:eastAsiaTheme="minorEastAsia"/>
                <w:color w:val="000000" w:themeColor="text1"/>
                <w:sz w:val="21"/>
                <w:szCs w:val="21"/>
              </w:rPr>
            </w:pPr>
            <w:r>
              <w:rPr>
                <w:rFonts w:eastAsiaTheme="minorEastAsia"/>
                <w:color w:val="000000" w:themeColor="text1"/>
                <w:sz w:val="21"/>
                <w:szCs w:val="21"/>
              </w:rPr>
              <w:t>含量（%）</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62</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0.012</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29.10</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0.076</w:t>
            </w:r>
          </w:p>
        </w:tc>
      </w:tr>
    </w:tbl>
    <w:p>
      <w:pPr>
        <w:pStyle w:val="134"/>
        <w:ind w:firstLine="0" w:firstLineChars="0"/>
        <w:jc w:val="center"/>
        <w:rPr>
          <w:rFonts w:eastAsiaTheme="minorEastAsia"/>
          <w:b/>
          <w:color w:val="000000" w:themeColor="text1"/>
          <w:sz w:val="21"/>
          <w:szCs w:val="21"/>
        </w:rPr>
      </w:pPr>
    </w:p>
    <w:p>
      <w:pPr>
        <w:pStyle w:val="134"/>
        <w:ind w:firstLine="0" w:firstLineChars="0"/>
        <w:jc w:val="center"/>
        <w:rPr>
          <w:rFonts w:eastAsiaTheme="minorEastAsia"/>
          <w:b/>
          <w:color w:val="000000" w:themeColor="text1"/>
          <w:sz w:val="21"/>
          <w:szCs w:val="21"/>
        </w:rPr>
      </w:pPr>
      <w:r>
        <w:rPr>
          <w:rFonts w:eastAsiaTheme="minorEastAsia"/>
          <w:b/>
          <w:color w:val="000000" w:themeColor="text1"/>
          <w:sz w:val="21"/>
          <w:szCs w:val="21"/>
        </w:rPr>
        <w:t>表3.</w:t>
      </w:r>
      <w:r>
        <w:rPr>
          <w:rFonts w:hint="eastAsia" w:eastAsiaTheme="minorEastAsia"/>
          <w:b/>
          <w:color w:val="000000" w:themeColor="text1"/>
          <w:sz w:val="21"/>
          <w:szCs w:val="21"/>
        </w:rPr>
        <w:t>5</w:t>
      </w:r>
      <w:r>
        <w:rPr>
          <w:rFonts w:eastAsiaTheme="minorEastAsia"/>
          <w:b/>
          <w:color w:val="000000" w:themeColor="text1"/>
          <w:sz w:val="21"/>
          <w:szCs w:val="21"/>
        </w:rPr>
        <w:t>-</w:t>
      </w:r>
      <w:r>
        <w:rPr>
          <w:rFonts w:hint="eastAsia" w:eastAsiaTheme="minorEastAsia"/>
          <w:b/>
          <w:color w:val="000000" w:themeColor="text1"/>
          <w:sz w:val="21"/>
          <w:szCs w:val="21"/>
        </w:rPr>
        <w:t>2购买</w:t>
      </w:r>
      <w:r>
        <w:rPr>
          <w:rFonts w:eastAsiaTheme="minorEastAsia"/>
          <w:b/>
          <w:color w:val="000000" w:themeColor="text1"/>
          <w:sz w:val="21"/>
          <w:szCs w:val="21"/>
        </w:rPr>
        <w:t>三级精铁矿成分分析</w:t>
      </w:r>
    </w:p>
    <w:tbl>
      <w:tblPr>
        <w:tblStyle w:val="62"/>
        <w:tblW w:w="8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5"/>
        <w:gridCol w:w="1705"/>
        <w:gridCol w:w="1705"/>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5" w:type="dxa"/>
            <w:vAlign w:val="center"/>
          </w:tcPr>
          <w:p>
            <w:pPr>
              <w:pStyle w:val="134"/>
              <w:ind w:firstLine="0" w:firstLineChars="0"/>
              <w:jc w:val="center"/>
              <w:rPr>
                <w:rFonts w:eastAsiaTheme="minorEastAsia"/>
                <w:color w:val="000000" w:themeColor="text1"/>
                <w:sz w:val="21"/>
                <w:szCs w:val="21"/>
              </w:rPr>
            </w:pPr>
            <w:r>
              <w:rPr>
                <w:rFonts w:eastAsiaTheme="minorEastAsia"/>
                <w:color w:val="000000" w:themeColor="text1"/>
                <w:sz w:val="21"/>
                <w:szCs w:val="21"/>
              </w:rPr>
              <w:t>项目</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TFe</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S</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SiO</w:t>
            </w:r>
            <w:r>
              <w:rPr>
                <w:rFonts w:hint="eastAsia" w:eastAsiaTheme="minorEastAsia"/>
                <w:color w:val="000000" w:themeColor="text1"/>
                <w:sz w:val="21"/>
                <w:szCs w:val="21"/>
                <w:vertAlign w:val="subscript"/>
              </w:rPr>
              <w:t>2</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05" w:type="dxa"/>
            <w:vAlign w:val="center"/>
          </w:tcPr>
          <w:p>
            <w:pPr>
              <w:pStyle w:val="134"/>
              <w:ind w:firstLine="0" w:firstLineChars="0"/>
              <w:jc w:val="center"/>
              <w:rPr>
                <w:rFonts w:eastAsiaTheme="minorEastAsia"/>
                <w:color w:val="000000" w:themeColor="text1"/>
                <w:sz w:val="21"/>
                <w:szCs w:val="21"/>
              </w:rPr>
            </w:pPr>
            <w:r>
              <w:rPr>
                <w:rFonts w:eastAsiaTheme="minorEastAsia"/>
                <w:color w:val="000000" w:themeColor="text1"/>
                <w:sz w:val="21"/>
                <w:szCs w:val="21"/>
              </w:rPr>
              <w:t>含量（%）</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62</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0.015</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30.2</w:t>
            </w:r>
          </w:p>
        </w:tc>
        <w:tc>
          <w:tcPr>
            <w:tcW w:w="1705" w:type="dxa"/>
            <w:vAlign w:val="center"/>
          </w:tcPr>
          <w:p>
            <w:pPr>
              <w:pStyle w:val="134"/>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0.076</w:t>
            </w:r>
          </w:p>
        </w:tc>
      </w:tr>
    </w:tbl>
    <w:p>
      <w:pPr>
        <w:pStyle w:val="6"/>
        <w:spacing w:beforeLines="0" w:afterLines="0"/>
        <w:rPr>
          <w:rFonts w:eastAsiaTheme="minorEastAsia"/>
          <w:color w:val="000000" w:themeColor="text1"/>
          <w:sz w:val="28"/>
          <w:szCs w:val="28"/>
        </w:rPr>
      </w:pPr>
      <w:bookmarkStart w:id="447" w:name="_Toc14002"/>
      <w:r>
        <w:rPr>
          <w:rFonts w:eastAsiaTheme="minorEastAsia"/>
          <w:color w:val="000000" w:themeColor="text1"/>
          <w:sz w:val="28"/>
          <w:szCs w:val="28"/>
        </w:rPr>
        <w:t>3.</w:t>
      </w:r>
      <w:r>
        <w:rPr>
          <w:rFonts w:hint="eastAsia" w:eastAsiaTheme="minorEastAsia"/>
          <w:color w:val="000000" w:themeColor="text1"/>
          <w:sz w:val="28"/>
          <w:szCs w:val="28"/>
        </w:rPr>
        <w:t>5</w:t>
      </w:r>
      <w:r>
        <w:rPr>
          <w:rFonts w:eastAsiaTheme="minorEastAsia"/>
          <w:color w:val="000000" w:themeColor="text1"/>
          <w:sz w:val="28"/>
          <w:szCs w:val="28"/>
        </w:rPr>
        <w:t>.3主要原、辅料及能源消耗情况</w:t>
      </w:r>
      <w:bookmarkEnd w:id="447"/>
    </w:p>
    <w:p>
      <w:pPr>
        <w:ind w:firstLine="199" w:firstLineChars="83"/>
        <w:rPr>
          <w:rFonts w:eastAsiaTheme="minorEastAsia"/>
          <w:b/>
          <w:color w:val="000000" w:themeColor="text1"/>
          <w:sz w:val="21"/>
          <w:szCs w:val="21"/>
        </w:rPr>
      </w:pPr>
      <w:r>
        <w:rPr>
          <w:rFonts w:eastAsiaTheme="minorEastAsia"/>
          <w:bCs/>
          <w:iCs/>
          <w:color w:val="000000" w:themeColor="text1"/>
        </w:rPr>
        <w:t>该项目技改项目原辅材料消耗情况见表3.</w:t>
      </w:r>
      <w:r>
        <w:rPr>
          <w:rFonts w:hint="eastAsia" w:eastAsiaTheme="minorEastAsia"/>
          <w:bCs/>
          <w:iCs/>
          <w:color w:val="000000" w:themeColor="text1"/>
        </w:rPr>
        <w:t>5</w:t>
      </w:r>
      <w:r>
        <w:rPr>
          <w:rFonts w:eastAsiaTheme="minorEastAsia"/>
          <w:bCs/>
          <w:iCs/>
          <w:color w:val="000000" w:themeColor="text1"/>
        </w:rPr>
        <w:t>-</w:t>
      </w:r>
      <w:r>
        <w:rPr>
          <w:rFonts w:hint="eastAsia" w:eastAsiaTheme="minorEastAsia"/>
          <w:bCs/>
          <w:iCs/>
          <w:color w:val="000000" w:themeColor="text1"/>
        </w:rPr>
        <w:t>3，项目涉及到的原矿石、三级精铁矿成分见附件14。</w:t>
      </w:r>
    </w:p>
    <w:p>
      <w:pPr>
        <w:pStyle w:val="134"/>
        <w:ind w:firstLine="0" w:firstLineChars="0"/>
        <w:jc w:val="center"/>
        <w:rPr>
          <w:rFonts w:eastAsiaTheme="minorEastAsia"/>
          <w:b/>
          <w:color w:val="000000" w:themeColor="text1"/>
          <w:sz w:val="21"/>
          <w:szCs w:val="21"/>
        </w:rPr>
      </w:pPr>
      <w:r>
        <w:rPr>
          <w:rFonts w:eastAsiaTheme="minorEastAsia"/>
          <w:b/>
          <w:color w:val="000000" w:themeColor="text1"/>
          <w:sz w:val="21"/>
          <w:szCs w:val="21"/>
        </w:rPr>
        <w:t>表3.</w:t>
      </w:r>
      <w:r>
        <w:rPr>
          <w:rFonts w:hint="eastAsia" w:eastAsiaTheme="minorEastAsia"/>
          <w:b/>
          <w:color w:val="000000" w:themeColor="text1"/>
          <w:sz w:val="21"/>
          <w:szCs w:val="21"/>
        </w:rPr>
        <w:t>5</w:t>
      </w:r>
      <w:r>
        <w:rPr>
          <w:rFonts w:eastAsiaTheme="minorEastAsia"/>
          <w:b/>
          <w:color w:val="000000" w:themeColor="text1"/>
          <w:sz w:val="21"/>
          <w:szCs w:val="21"/>
        </w:rPr>
        <w:t>-</w:t>
      </w:r>
      <w:r>
        <w:rPr>
          <w:rFonts w:hint="eastAsia" w:eastAsiaTheme="minorEastAsia"/>
          <w:b/>
          <w:color w:val="000000" w:themeColor="text1"/>
          <w:sz w:val="21"/>
          <w:szCs w:val="21"/>
        </w:rPr>
        <w:t>3</w:t>
      </w:r>
      <w:r>
        <w:rPr>
          <w:rFonts w:eastAsiaTheme="minorEastAsia"/>
          <w:b/>
          <w:color w:val="000000" w:themeColor="text1"/>
          <w:sz w:val="21"/>
          <w:szCs w:val="21"/>
        </w:rPr>
        <w:t>技改项目原辅料消耗情况表</w:t>
      </w:r>
    </w:p>
    <w:tbl>
      <w:tblPr>
        <w:tblStyle w:val="61"/>
        <w:tblW w:w="835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9"/>
        <w:gridCol w:w="1420"/>
        <w:gridCol w:w="1701"/>
        <w:gridCol w:w="1841"/>
        <w:gridCol w:w="26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7" w:hRule="atLeast"/>
          <w:jc w:val="center"/>
        </w:trPr>
        <w:tc>
          <w:tcPr>
            <w:tcW w:w="729" w:type="dxa"/>
            <w:vAlign w:val="center"/>
          </w:tcPr>
          <w:p>
            <w:pPr>
              <w:spacing w:line="240" w:lineRule="auto"/>
              <w:ind w:firstLine="0" w:firstLineChars="0"/>
              <w:jc w:val="center"/>
              <w:rPr>
                <w:rFonts w:eastAsiaTheme="minorEastAsia"/>
                <w:color w:val="000000" w:themeColor="text1"/>
                <w:sz w:val="21"/>
              </w:rPr>
            </w:pPr>
            <w:r>
              <w:rPr>
                <w:rFonts w:eastAsiaTheme="minorEastAsia"/>
                <w:color w:val="000000" w:themeColor="text1"/>
                <w:sz w:val="21"/>
              </w:rPr>
              <w:t>序号</w:t>
            </w:r>
          </w:p>
        </w:tc>
        <w:tc>
          <w:tcPr>
            <w:tcW w:w="1420" w:type="dxa"/>
            <w:vAlign w:val="center"/>
          </w:tcPr>
          <w:p>
            <w:pPr>
              <w:spacing w:line="240" w:lineRule="auto"/>
              <w:ind w:firstLine="0" w:firstLineChars="0"/>
              <w:jc w:val="center"/>
              <w:rPr>
                <w:rFonts w:eastAsiaTheme="minorEastAsia"/>
                <w:color w:val="000000" w:themeColor="text1"/>
                <w:sz w:val="21"/>
              </w:rPr>
            </w:pPr>
            <w:r>
              <w:rPr>
                <w:rFonts w:eastAsiaTheme="minorEastAsia"/>
                <w:color w:val="000000" w:themeColor="text1"/>
                <w:sz w:val="21"/>
              </w:rPr>
              <w:t>名称</w:t>
            </w:r>
          </w:p>
        </w:tc>
        <w:tc>
          <w:tcPr>
            <w:tcW w:w="1701" w:type="dxa"/>
            <w:vAlign w:val="center"/>
          </w:tcPr>
          <w:p>
            <w:pPr>
              <w:spacing w:line="240" w:lineRule="auto"/>
              <w:ind w:firstLine="0" w:firstLineChars="0"/>
              <w:jc w:val="center"/>
              <w:rPr>
                <w:rFonts w:eastAsiaTheme="minorEastAsia"/>
                <w:color w:val="000000" w:themeColor="text1"/>
                <w:sz w:val="21"/>
              </w:rPr>
            </w:pPr>
            <w:r>
              <w:rPr>
                <w:rFonts w:hint="eastAsia" w:eastAsiaTheme="minorEastAsia"/>
                <w:color w:val="000000" w:themeColor="text1"/>
                <w:sz w:val="21"/>
              </w:rPr>
              <w:t>消</w:t>
            </w:r>
            <w:r>
              <w:rPr>
                <w:rFonts w:eastAsiaTheme="minorEastAsia"/>
                <w:color w:val="000000" w:themeColor="text1"/>
                <w:sz w:val="21"/>
              </w:rPr>
              <w:t>耗总量（t/a）</w:t>
            </w:r>
          </w:p>
        </w:tc>
        <w:tc>
          <w:tcPr>
            <w:tcW w:w="1841" w:type="dxa"/>
            <w:vAlign w:val="center"/>
          </w:tcPr>
          <w:p>
            <w:pPr>
              <w:spacing w:line="240" w:lineRule="auto"/>
              <w:ind w:firstLine="0" w:firstLineChars="0"/>
              <w:jc w:val="center"/>
              <w:rPr>
                <w:rFonts w:eastAsiaTheme="minorEastAsia"/>
                <w:color w:val="000000" w:themeColor="text1"/>
                <w:sz w:val="21"/>
              </w:rPr>
            </w:pPr>
            <w:r>
              <w:rPr>
                <w:rFonts w:eastAsiaTheme="minorEastAsia"/>
                <w:color w:val="000000" w:themeColor="text1"/>
                <w:sz w:val="21"/>
              </w:rPr>
              <w:t>运输方式</w:t>
            </w:r>
          </w:p>
        </w:tc>
        <w:tc>
          <w:tcPr>
            <w:tcW w:w="2663" w:type="dxa"/>
            <w:vAlign w:val="center"/>
          </w:tcPr>
          <w:p>
            <w:pPr>
              <w:spacing w:line="240" w:lineRule="auto"/>
              <w:ind w:firstLine="0" w:firstLineChars="0"/>
              <w:jc w:val="center"/>
              <w:rPr>
                <w:rFonts w:eastAsiaTheme="minorEastAsia"/>
                <w:color w:val="000000" w:themeColor="text1"/>
                <w:sz w:val="21"/>
              </w:rPr>
            </w:pPr>
            <w:r>
              <w:rPr>
                <w:rFonts w:eastAsiaTheme="minorEastAsia"/>
                <w:color w:val="000000" w:themeColor="text1"/>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7" w:hRule="atLeast"/>
          <w:jc w:val="center"/>
        </w:trPr>
        <w:tc>
          <w:tcPr>
            <w:tcW w:w="729" w:type="dxa"/>
            <w:vAlign w:val="center"/>
          </w:tcPr>
          <w:p>
            <w:pPr>
              <w:spacing w:line="240" w:lineRule="auto"/>
              <w:ind w:firstLine="0" w:firstLineChars="0"/>
              <w:jc w:val="center"/>
              <w:rPr>
                <w:rFonts w:eastAsiaTheme="minorEastAsia"/>
                <w:color w:val="000000" w:themeColor="text1"/>
                <w:sz w:val="21"/>
              </w:rPr>
            </w:pPr>
            <w:r>
              <w:rPr>
                <w:rFonts w:eastAsiaTheme="minorEastAsia"/>
                <w:color w:val="000000" w:themeColor="text1"/>
                <w:sz w:val="21"/>
              </w:rPr>
              <w:t>1</w:t>
            </w:r>
          </w:p>
        </w:tc>
        <w:tc>
          <w:tcPr>
            <w:tcW w:w="1420" w:type="dxa"/>
            <w:vAlign w:val="center"/>
          </w:tcPr>
          <w:p>
            <w:pPr>
              <w:spacing w:line="240" w:lineRule="auto"/>
              <w:ind w:firstLine="0" w:firstLineChars="0"/>
              <w:jc w:val="center"/>
              <w:rPr>
                <w:rFonts w:eastAsiaTheme="minorEastAsia"/>
                <w:color w:val="000000" w:themeColor="text1"/>
                <w:sz w:val="21"/>
                <w:szCs w:val="28"/>
              </w:rPr>
            </w:pPr>
            <w:r>
              <w:rPr>
                <w:rFonts w:hint="eastAsia" w:eastAsiaTheme="minorEastAsia"/>
                <w:color w:val="000000" w:themeColor="text1"/>
                <w:sz w:val="21"/>
                <w:szCs w:val="28"/>
              </w:rPr>
              <w:t>原矿石</w:t>
            </w:r>
          </w:p>
        </w:tc>
        <w:tc>
          <w:tcPr>
            <w:tcW w:w="1701" w:type="dxa"/>
            <w:vAlign w:val="center"/>
          </w:tcPr>
          <w:p>
            <w:pPr>
              <w:spacing w:line="240" w:lineRule="auto"/>
              <w:ind w:firstLine="0" w:firstLineChars="0"/>
              <w:jc w:val="center"/>
              <w:rPr>
                <w:rFonts w:eastAsiaTheme="minorEastAsia"/>
                <w:color w:val="000000" w:themeColor="text1"/>
                <w:sz w:val="21"/>
                <w:szCs w:val="28"/>
              </w:rPr>
            </w:pPr>
            <w:r>
              <w:rPr>
                <w:rFonts w:hint="eastAsia" w:eastAsiaTheme="minorEastAsia"/>
                <w:color w:val="000000" w:themeColor="text1"/>
                <w:sz w:val="21"/>
                <w:szCs w:val="28"/>
              </w:rPr>
              <w:t>150000</w:t>
            </w:r>
          </w:p>
        </w:tc>
        <w:tc>
          <w:tcPr>
            <w:tcW w:w="1841" w:type="dxa"/>
            <w:vAlign w:val="center"/>
          </w:tcPr>
          <w:p>
            <w:pPr>
              <w:spacing w:line="240" w:lineRule="auto"/>
              <w:ind w:firstLine="0" w:firstLineChars="0"/>
              <w:jc w:val="center"/>
              <w:rPr>
                <w:rFonts w:eastAsiaTheme="minorEastAsia"/>
                <w:color w:val="000000" w:themeColor="text1"/>
                <w:sz w:val="21"/>
              </w:rPr>
            </w:pPr>
            <w:r>
              <w:rPr>
                <w:rFonts w:eastAsiaTheme="minorEastAsia"/>
                <w:color w:val="000000" w:themeColor="text1"/>
                <w:sz w:val="21"/>
              </w:rPr>
              <w:t>装载机厂内运输</w:t>
            </w:r>
          </w:p>
        </w:tc>
        <w:tc>
          <w:tcPr>
            <w:tcW w:w="2663" w:type="dxa"/>
            <w:vAlign w:val="center"/>
          </w:tcPr>
          <w:p>
            <w:pPr>
              <w:spacing w:line="240" w:lineRule="auto"/>
              <w:ind w:firstLine="0" w:firstLineChars="0"/>
              <w:rPr>
                <w:rFonts w:eastAsiaTheme="minorEastAsia"/>
                <w:color w:val="000000" w:themeColor="text1"/>
                <w:sz w:val="21"/>
              </w:rPr>
            </w:pPr>
            <w:r>
              <w:rPr>
                <w:rFonts w:hint="eastAsia" w:eastAsiaTheme="minorEastAsia"/>
                <w:color w:val="000000" w:themeColor="text1"/>
                <w:sz w:val="21"/>
              </w:rPr>
              <w:t>经技改项目加工后生产副产品砂石料，矿石供现有选矿车间生产三级精铁矿和铜矿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7" w:hRule="atLeast"/>
          <w:jc w:val="center"/>
        </w:trPr>
        <w:tc>
          <w:tcPr>
            <w:tcW w:w="729" w:type="dxa"/>
            <w:vAlign w:val="center"/>
          </w:tcPr>
          <w:p>
            <w:pPr>
              <w:spacing w:line="240" w:lineRule="auto"/>
              <w:ind w:firstLine="0" w:firstLineChars="0"/>
              <w:jc w:val="center"/>
              <w:rPr>
                <w:rFonts w:eastAsiaTheme="minorEastAsia"/>
                <w:color w:val="000000" w:themeColor="text1"/>
                <w:sz w:val="21"/>
              </w:rPr>
            </w:pPr>
            <w:r>
              <w:rPr>
                <w:rFonts w:eastAsiaTheme="minorEastAsia"/>
                <w:color w:val="000000" w:themeColor="text1"/>
                <w:sz w:val="21"/>
              </w:rPr>
              <w:t>2</w:t>
            </w:r>
          </w:p>
        </w:tc>
        <w:tc>
          <w:tcPr>
            <w:tcW w:w="1420" w:type="dxa"/>
            <w:vAlign w:val="center"/>
          </w:tcPr>
          <w:p>
            <w:pPr>
              <w:spacing w:line="240" w:lineRule="auto"/>
              <w:ind w:firstLine="0" w:firstLineChars="0"/>
              <w:jc w:val="center"/>
              <w:rPr>
                <w:rFonts w:eastAsiaTheme="minorEastAsia"/>
                <w:color w:val="000000" w:themeColor="text1"/>
                <w:sz w:val="21"/>
                <w:szCs w:val="28"/>
              </w:rPr>
            </w:pPr>
            <w:r>
              <w:rPr>
                <w:rFonts w:hint="eastAsia" w:eastAsiaTheme="minorEastAsia"/>
                <w:color w:val="000000" w:themeColor="text1"/>
                <w:sz w:val="21"/>
                <w:szCs w:val="28"/>
              </w:rPr>
              <w:t>外购</w:t>
            </w:r>
            <w:r>
              <w:rPr>
                <w:rFonts w:eastAsiaTheme="minorEastAsia"/>
                <w:color w:val="000000" w:themeColor="text1"/>
                <w:sz w:val="21"/>
                <w:szCs w:val="28"/>
              </w:rPr>
              <w:t>三级精铁矿</w:t>
            </w:r>
          </w:p>
        </w:tc>
        <w:tc>
          <w:tcPr>
            <w:tcW w:w="1701" w:type="dxa"/>
            <w:vAlign w:val="center"/>
          </w:tcPr>
          <w:p>
            <w:pPr>
              <w:spacing w:line="240" w:lineRule="auto"/>
              <w:ind w:firstLine="0" w:firstLineChars="0"/>
              <w:jc w:val="center"/>
              <w:rPr>
                <w:rFonts w:eastAsiaTheme="minorEastAsia"/>
                <w:color w:val="000000" w:themeColor="text1"/>
                <w:sz w:val="21"/>
                <w:szCs w:val="28"/>
              </w:rPr>
            </w:pPr>
            <w:r>
              <w:rPr>
                <w:rFonts w:hint="eastAsia" w:eastAsiaTheme="minorEastAsia"/>
                <w:color w:val="000000" w:themeColor="text1"/>
                <w:sz w:val="21"/>
                <w:szCs w:val="28"/>
              </w:rPr>
              <w:t>7</w:t>
            </w:r>
            <w:r>
              <w:rPr>
                <w:rFonts w:eastAsiaTheme="minorEastAsia"/>
                <w:color w:val="000000" w:themeColor="text1"/>
                <w:sz w:val="21"/>
                <w:szCs w:val="28"/>
              </w:rPr>
              <w:t>0000</w:t>
            </w:r>
          </w:p>
        </w:tc>
        <w:tc>
          <w:tcPr>
            <w:tcW w:w="1841" w:type="dxa"/>
            <w:vAlign w:val="center"/>
          </w:tcPr>
          <w:p>
            <w:pPr>
              <w:spacing w:line="240" w:lineRule="auto"/>
              <w:ind w:firstLine="0" w:firstLineChars="0"/>
              <w:jc w:val="center"/>
              <w:rPr>
                <w:rFonts w:eastAsiaTheme="minorEastAsia"/>
                <w:color w:val="000000" w:themeColor="text1"/>
                <w:sz w:val="21"/>
              </w:rPr>
            </w:pPr>
            <w:r>
              <w:rPr>
                <w:rFonts w:eastAsiaTheme="minorEastAsia"/>
                <w:color w:val="000000" w:themeColor="text1"/>
                <w:sz w:val="21"/>
              </w:rPr>
              <w:t>汽车运输</w:t>
            </w:r>
          </w:p>
        </w:tc>
        <w:tc>
          <w:tcPr>
            <w:tcW w:w="2663" w:type="dxa"/>
            <w:vAlign w:val="center"/>
          </w:tcPr>
          <w:p>
            <w:pPr>
              <w:spacing w:line="240" w:lineRule="auto"/>
              <w:ind w:firstLine="0" w:firstLineChars="0"/>
              <w:rPr>
                <w:rFonts w:eastAsiaTheme="minorEastAsia"/>
                <w:color w:val="000000" w:themeColor="text1"/>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7" w:hRule="atLeast"/>
          <w:jc w:val="center"/>
        </w:trPr>
        <w:tc>
          <w:tcPr>
            <w:tcW w:w="729" w:type="dxa"/>
            <w:vAlign w:val="center"/>
          </w:tcPr>
          <w:p>
            <w:pPr>
              <w:spacing w:line="240" w:lineRule="auto"/>
              <w:ind w:firstLine="0" w:firstLineChars="0"/>
              <w:jc w:val="center"/>
              <w:rPr>
                <w:rFonts w:eastAsiaTheme="minorEastAsia"/>
                <w:color w:val="000000" w:themeColor="text1"/>
                <w:sz w:val="21"/>
              </w:rPr>
            </w:pPr>
            <w:r>
              <w:rPr>
                <w:rFonts w:hint="eastAsia" w:eastAsiaTheme="minorEastAsia"/>
                <w:color w:val="000000" w:themeColor="text1"/>
                <w:sz w:val="21"/>
              </w:rPr>
              <w:t>3</w:t>
            </w:r>
          </w:p>
        </w:tc>
        <w:tc>
          <w:tcPr>
            <w:tcW w:w="1420" w:type="dxa"/>
            <w:vAlign w:val="center"/>
          </w:tcPr>
          <w:p>
            <w:pPr>
              <w:spacing w:line="240" w:lineRule="auto"/>
              <w:ind w:firstLine="0" w:firstLineChars="0"/>
              <w:jc w:val="center"/>
              <w:rPr>
                <w:rFonts w:eastAsiaTheme="minorEastAsia"/>
                <w:color w:val="000000" w:themeColor="text1"/>
                <w:sz w:val="21"/>
                <w:szCs w:val="28"/>
              </w:rPr>
            </w:pPr>
            <w:r>
              <w:rPr>
                <w:rFonts w:hint="eastAsia" w:eastAsiaTheme="minorEastAsia"/>
                <w:color w:val="000000" w:themeColor="text1"/>
                <w:sz w:val="21"/>
                <w:szCs w:val="28"/>
              </w:rPr>
              <w:t>陶瓷过滤机清洗剂（HQ-320）</w:t>
            </w:r>
          </w:p>
        </w:tc>
        <w:tc>
          <w:tcPr>
            <w:tcW w:w="1701" w:type="dxa"/>
            <w:vAlign w:val="center"/>
          </w:tcPr>
          <w:p>
            <w:pPr>
              <w:spacing w:line="240" w:lineRule="auto"/>
              <w:ind w:firstLine="0" w:firstLineChars="0"/>
              <w:jc w:val="center"/>
              <w:rPr>
                <w:rFonts w:eastAsiaTheme="minorEastAsia"/>
                <w:color w:val="000000" w:themeColor="text1"/>
                <w:sz w:val="21"/>
                <w:szCs w:val="28"/>
              </w:rPr>
            </w:pPr>
            <w:r>
              <w:rPr>
                <w:rFonts w:hint="eastAsia" w:eastAsiaTheme="minorEastAsia"/>
                <w:color w:val="000000" w:themeColor="text1"/>
                <w:sz w:val="21"/>
                <w:szCs w:val="28"/>
              </w:rPr>
              <w:t>2.7</w:t>
            </w:r>
          </w:p>
        </w:tc>
        <w:tc>
          <w:tcPr>
            <w:tcW w:w="1841" w:type="dxa"/>
            <w:vAlign w:val="center"/>
          </w:tcPr>
          <w:p>
            <w:pPr>
              <w:spacing w:line="240" w:lineRule="auto"/>
              <w:ind w:firstLine="0" w:firstLineChars="0"/>
              <w:jc w:val="center"/>
              <w:rPr>
                <w:rFonts w:eastAsiaTheme="minorEastAsia"/>
                <w:color w:val="000000" w:themeColor="text1"/>
                <w:sz w:val="21"/>
              </w:rPr>
            </w:pPr>
            <w:r>
              <w:rPr>
                <w:rFonts w:eastAsiaTheme="minorEastAsia"/>
                <w:color w:val="000000" w:themeColor="text1"/>
                <w:sz w:val="21"/>
              </w:rPr>
              <w:t>汽车运输</w:t>
            </w:r>
          </w:p>
        </w:tc>
        <w:tc>
          <w:tcPr>
            <w:tcW w:w="2663" w:type="dxa"/>
            <w:vAlign w:val="center"/>
          </w:tcPr>
          <w:p>
            <w:pPr>
              <w:spacing w:line="240" w:lineRule="auto"/>
              <w:ind w:firstLine="0" w:firstLineChars="0"/>
              <w:rPr>
                <w:rFonts w:eastAsiaTheme="minorEastAsia"/>
                <w:color w:val="000000" w:themeColor="text1"/>
                <w:sz w:val="21"/>
              </w:rPr>
            </w:pPr>
            <w:r>
              <w:rPr>
                <w:rFonts w:hint="eastAsia" w:eastAsiaTheme="minorEastAsia"/>
                <w:color w:val="000000" w:themeColor="text1"/>
                <w:sz w:val="21"/>
                <w:szCs w:val="28"/>
              </w:rPr>
              <w:t>陶瓷脱水机所用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8" w:hRule="atLeast"/>
          <w:jc w:val="center"/>
        </w:trPr>
        <w:tc>
          <w:tcPr>
            <w:tcW w:w="729" w:type="dxa"/>
            <w:vAlign w:val="center"/>
          </w:tcPr>
          <w:p>
            <w:pPr>
              <w:spacing w:line="240" w:lineRule="auto"/>
              <w:ind w:firstLine="0" w:firstLineChars="0"/>
              <w:jc w:val="center"/>
              <w:rPr>
                <w:rFonts w:eastAsiaTheme="minorEastAsia"/>
                <w:color w:val="000000" w:themeColor="text1"/>
                <w:sz w:val="21"/>
                <w:szCs w:val="24"/>
              </w:rPr>
            </w:pPr>
            <w:r>
              <w:rPr>
                <w:rFonts w:hint="eastAsia" w:eastAsiaTheme="minorEastAsia"/>
                <w:color w:val="000000" w:themeColor="text1"/>
                <w:sz w:val="21"/>
              </w:rPr>
              <w:t>4</w:t>
            </w:r>
          </w:p>
        </w:tc>
        <w:tc>
          <w:tcPr>
            <w:tcW w:w="1420" w:type="dxa"/>
            <w:vAlign w:val="center"/>
          </w:tcPr>
          <w:p>
            <w:pPr>
              <w:spacing w:line="240" w:lineRule="auto"/>
              <w:ind w:firstLine="0" w:firstLineChars="0"/>
              <w:jc w:val="center"/>
              <w:rPr>
                <w:rFonts w:eastAsiaTheme="minorEastAsia"/>
                <w:color w:val="000000" w:themeColor="text1"/>
                <w:sz w:val="21"/>
                <w:szCs w:val="24"/>
              </w:rPr>
            </w:pPr>
            <w:r>
              <w:rPr>
                <w:rFonts w:eastAsiaTheme="minorEastAsia"/>
                <w:color w:val="000000" w:themeColor="text1"/>
                <w:sz w:val="21"/>
              </w:rPr>
              <w:t>电</w:t>
            </w:r>
          </w:p>
        </w:tc>
        <w:tc>
          <w:tcPr>
            <w:tcW w:w="1701" w:type="dxa"/>
            <w:vAlign w:val="center"/>
          </w:tcPr>
          <w:p>
            <w:pPr>
              <w:spacing w:line="240" w:lineRule="auto"/>
              <w:ind w:firstLine="0" w:firstLineChars="0"/>
              <w:jc w:val="center"/>
              <w:rPr>
                <w:rFonts w:eastAsiaTheme="minorEastAsia"/>
                <w:color w:val="000000" w:themeColor="text1"/>
                <w:sz w:val="21"/>
                <w:szCs w:val="24"/>
              </w:rPr>
            </w:pPr>
            <w:r>
              <w:rPr>
                <w:rFonts w:eastAsiaTheme="minorEastAsia"/>
                <w:color w:val="000000" w:themeColor="text1"/>
                <w:sz w:val="21"/>
              </w:rPr>
              <w:t>432万kWh/a</w:t>
            </w:r>
          </w:p>
        </w:tc>
        <w:tc>
          <w:tcPr>
            <w:tcW w:w="1841" w:type="dxa"/>
            <w:vAlign w:val="center"/>
          </w:tcPr>
          <w:p>
            <w:pPr>
              <w:spacing w:line="240" w:lineRule="auto"/>
              <w:ind w:firstLine="0" w:firstLineChars="0"/>
              <w:jc w:val="center"/>
              <w:rPr>
                <w:rFonts w:eastAsiaTheme="minorEastAsia"/>
                <w:color w:val="000000" w:themeColor="text1"/>
                <w:sz w:val="21"/>
                <w:szCs w:val="24"/>
              </w:rPr>
            </w:pPr>
            <w:r>
              <w:rPr>
                <w:rFonts w:eastAsiaTheme="minorEastAsia"/>
                <w:color w:val="000000" w:themeColor="text1"/>
                <w:sz w:val="21"/>
              </w:rPr>
              <w:t>高压线输送</w:t>
            </w:r>
          </w:p>
        </w:tc>
        <w:tc>
          <w:tcPr>
            <w:tcW w:w="2663" w:type="dxa"/>
            <w:vAlign w:val="center"/>
          </w:tcPr>
          <w:p>
            <w:pPr>
              <w:spacing w:line="240" w:lineRule="auto"/>
              <w:ind w:firstLine="0" w:firstLineChars="0"/>
              <w:jc w:val="center"/>
              <w:rPr>
                <w:rFonts w:eastAsiaTheme="minorEastAsia"/>
                <w:color w:val="000000" w:themeColor="text1"/>
                <w:sz w:val="21"/>
                <w:szCs w:val="24"/>
              </w:rPr>
            </w:pPr>
            <w:r>
              <w:rPr>
                <w:rFonts w:eastAsiaTheme="minorEastAsia"/>
                <w:color w:val="000000" w:themeColor="text1"/>
                <w:sz w:val="21"/>
              </w:rPr>
              <w:t>厂区配电室接入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8" w:hRule="atLeast"/>
          <w:jc w:val="center"/>
        </w:trPr>
        <w:tc>
          <w:tcPr>
            <w:tcW w:w="729" w:type="dxa"/>
            <w:vAlign w:val="center"/>
          </w:tcPr>
          <w:p>
            <w:pPr>
              <w:spacing w:line="240" w:lineRule="auto"/>
              <w:ind w:firstLine="0" w:firstLineChars="0"/>
              <w:jc w:val="center"/>
              <w:rPr>
                <w:rFonts w:eastAsiaTheme="minorEastAsia"/>
                <w:color w:val="000000" w:themeColor="text1"/>
                <w:sz w:val="21"/>
              </w:rPr>
            </w:pPr>
            <w:r>
              <w:rPr>
                <w:rFonts w:hint="eastAsia" w:eastAsiaTheme="minorEastAsia"/>
                <w:color w:val="000000" w:themeColor="text1"/>
                <w:sz w:val="21"/>
              </w:rPr>
              <w:t>5</w:t>
            </w:r>
          </w:p>
        </w:tc>
        <w:tc>
          <w:tcPr>
            <w:tcW w:w="1420" w:type="dxa"/>
            <w:vAlign w:val="center"/>
          </w:tcPr>
          <w:p>
            <w:pPr>
              <w:spacing w:line="240" w:lineRule="auto"/>
              <w:ind w:firstLine="0" w:firstLineChars="0"/>
              <w:jc w:val="center"/>
              <w:rPr>
                <w:rFonts w:eastAsiaTheme="minorEastAsia"/>
                <w:color w:val="000000" w:themeColor="text1"/>
                <w:sz w:val="21"/>
              </w:rPr>
            </w:pPr>
            <w:r>
              <w:rPr>
                <w:rFonts w:eastAsiaTheme="minorEastAsia"/>
                <w:color w:val="000000" w:themeColor="text1"/>
                <w:sz w:val="21"/>
              </w:rPr>
              <w:t>水</w:t>
            </w:r>
          </w:p>
        </w:tc>
        <w:tc>
          <w:tcPr>
            <w:tcW w:w="1701" w:type="dxa"/>
            <w:vAlign w:val="center"/>
          </w:tcPr>
          <w:p>
            <w:pPr>
              <w:spacing w:line="240" w:lineRule="auto"/>
              <w:ind w:firstLine="0" w:firstLineChars="0"/>
              <w:jc w:val="center"/>
              <w:rPr>
                <w:rFonts w:eastAsiaTheme="minorEastAsia"/>
                <w:color w:val="000000" w:themeColor="text1"/>
                <w:sz w:val="21"/>
              </w:rPr>
            </w:pPr>
            <w:r>
              <w:rPr>
                <w:rFonts w:hint="eastAsia" w:eastAsiaTheme="minorEastAsia"/>
                <w:color w:val="000000" w:themeColor="text1"/>
                <w:sz w:val="21"/>
              </w:rPr>
              <w:t>105811</w:t>
            </w:r>
          </w:p>
        </w:tc>
        <w:tc>
          <w:tcPr>
            <w:tcW w:w="1841" w:type="dxa"/>
            <w:vAlign w:val="center"/>
          </w:tcPr>
          <w:p>
            <w:pPr>
              <w:spacing w:line="240" w:lineRule="auto"/>
              <w:ind w:firstLine="0" w:firstLineChars="0"/>
              <w:jc w:val="center"/>
              <w:rPr>
                <w:rFonts w:eastAsiaTheme="minorEastAsia"/>
                <w:color w:val="000000" w:themeColor="text1"/>
                <w:sz w:val="21"/>
              </w:rPr>
            </w:pPr>
            <w:r>
              <w:rPr>
                <w:rFonts w:eastAsiaTheme="minorEastAsia"/>
                <w:color w:val="000000" w:themeColor="text1"/>
                <w:sz w:val="21"/>
              </w:rPr>
              <w:t>管网</w:t>
            </w:r>
          </w:p>
        </w:tc>
        <w:tc>
          <w:tcPr>
            <w:tcW w:w="2663" w:type="dxa"/>
            <w:vAlign w:val="center"/>
          </w:tcPr>
          <w:p>
            <w:pPr>
              <w:spacing w:line="240" w:lineRule="auto"/>
              <w:ind w:firstLine="0" w:firstLineChars="0"/>
              <w:jc w:val="center"/>
              <w:rPr>
                <w:rFonts w:eastAsiaTheme="minorEastAsia"/>
                <w:color w:val="000000" w:themeColor="text1"/>
                <w:sz w:val="21"/>
              </w:rPr>
            </w:pPr>
            <w:r>
              <w:rPr>
                <w:rFonts w:eastAsiaTheme="minorEastAsia"/>
                <w:color w:val="000000" w:themeColor="text1"/>
                <w:sz w:val="21"/>
              </w:rPr>
              <w:t>自来水依托自来水管网，生产水用泵从困龙河抽取</w:t>
            </w:r>
          </w:p>
        </w:tc>
      </w:tr>
    </w:tbl>
    <w:p>
      <w:pPr>
        <w:ind w:firstLine="480"/>
        <w:rPr>
          <w:rFonts w:eastAsiaTheme="minorEastAsia"/>
          <w:bCs/>
          <w:iCs/>
          <w:color w:val="000000" w:themeColor="text1"/>
        </w:rPr>
      </w:pPr>
      <w:r>
        <w:rPr>
          <w:rFonts w:hint="eastAsia" w:eastAsiaTheme="minorEastAsia"/>
          <w:bCs/>
          <w:iCs/>
          <w:color w:val="000000" w:themeColor="text1"/>
        </w:rPr>
        <w:t>技改后全厂</w:t>
      </w:r>
      <w:r>
        <w:rPr>
          <w:rFonts w:eastAsiaTheme="minorEastAsia"/>
          <w:bCs/>
          <w:iCs/>
          <w:color w:val="000000" w:themeColor="text1"/>
        </w:rPr>
        <w:t>主要原、辅料及能源消耗情况</w:t>
      </w:r>
      <w:r>
        <w:rPr>
          <w:rFonts w:hint="eastAsia" w:eastAsiaTheme="minorEastAsia"/>
          <w:bCs/>
          <w:iCs/>
          <w:color w:val="000000" w:themeColor="text1"/>
        </w:rPr>
        <w:t>见下表所示：</w:t>
      </w:r>
    </w:p>
    <w:p>
      <w:pPr>
        <w:pStyle w:val="134"/>
        <w:ind w:firstLine="0" w:firstLineChars="0"/>
        <w:jc w:val="center"/>
        <w:rPr>
          <w:rFonts w:eastAsiaTheme="minorEastAsia"/>
          <w:b/>
          <w:color w:val="000000" w:themeColor="text1"/>
          <w:sz w:val="21"/>
          <w:szCs w:val="21"/>
        </w:rPr>
      </w:pPr>
      <w:r>
        <w:rPr>
          <w:rFonts w:eastAsiaTheme="minorEastAsia"/>
          <w:b/>
          <w:color w:val="000000" w:themeColor="text1"/>
          <w:sz w:val="21"/>
          <w:szCs w:val="21"/>
        </w:rPr>
        <w:t>表3.</w:t>
      </w:r>
      <w:r>
        <w:rPr>
          <w:rFonts w:hint="eastAsia" w:eastAsiaTheme="minorEastAsia"/>
          <w:b/>
          <w:color w:val="000000" w:themeColor="text1"/>
          <w:sz w:val="21"/>
          <w:szCs w:val="21"/>
        </w:rPr>
        <w:t>5</w:t>
      </w:r>
      <w:r>
        <w:rPr>
          <w:rFonts w:eastAsiaTheme="minorEastAsia"/>
          <w:b/>
          <w:color w:val="000000" w:themeColor="text1"/>
          <w:sz w:val="21"/>
          <w:szCs w:val="21"/>
        </w:rPr>
        <w:t>-</w:t>
      </w:r>
      <w:r>
        <w:rPr>
          <w:rFonts w:hint="eastAsia" w:eastAsiaTheme="minorEastAsia"/>
          <w:b/>
          <w:color w:val="000000" w:themeColor="text1"/>
          <w:sz w:val="21"/>
          <w:szCs w:val="21"/>
        </w:rPr>
        <w:t>4</w:t>
      </w:r>
      <w:r>
        <w:rPr>
          <w:rFonts w:eastAsiaTheme="minorEastAsia"/>
          <w:b/>
          <w:color w:val="000000" w:themeColor="text1"/>
          <w:sz w:val="21"/>
          <w:szCs w:val="21"/>
        </w:rPr>
        <w:t>技改</w:t>
      </w:r>
      <w:r>
        <w:rPr>
          <w:rFonts w:hint="eastAsia" w:eastAsiaTheme="minorEastAsia"/>
          <w:b/>
          <w:color w:val="000000" w:themeColor="text1"/>
          <w:sz w:val="21"/>
          <w:szCs w:val="21"/>
        </w:rPr>
        <w:t>后全厂</w:t>
      </w:r>
      <w:r>
        <w:rPr>
          <w:rFonts w:eastAsiaTheme="minorEastAsia"/>
          <w:b/>
          <w:color w:val="000000" w:themeColor="text1"/>
          <w:sz w:val="21"/>
          <w:szCs w:val="21"/>
        </w:rPr>
        <w:t>项目原辅料消耗情况表</w:t>
      </w:r>
    </w:p>
    <w:tbl>
      <w:tblPr>
        <w:tblStyle w:val="61"/>
        <w:tblW w:w="852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
        <w:gridCol w:w="1394"/>
        <w:gridCol w:w="1390"/>
        <w:gridCol w:w="1344"/>
        <w:gridCol w:w="1107"/>
        <w:gridCol w:w="2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8" w:hRule="atLeast"/>
          <w:jc w:val="center"/>
        </w:trPr>
        <w:tc>
          <w:tcPr>
            <w:tcW w:w="478"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序号</w:t>
            </w:r>
          </w:p>
        </w:tc>
        <w:tc>
          <w:tcPr>
            <w:tcW w:w="1394"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工段</w:t>
            </w:r>
          </w:p>
        </w:tc>
        <w:tc>
          <w:tcPr>
            <w:tcW w:w="1390"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材料名称</w:t>
            </w:r>
          </w:p>
        </w:tc>
        <w:tc>
          <w:tcPr>
            <w:tcW w:w="1344"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年用量</w:t>
            </w:r>
          </w:p>
        </w:tc>
        <w:tc>
          <w:tcPr>
            <w:tcW w:w="1107"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与技改前变化量</w:t>
            </w:r>
          </w:p>
        </w:tc>
        <w:tc>
          <w:tcPr>
            <w:tcW w:w="281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8" w:hRule="atLeast"/>
          <w:jc w:val="center"/>
        </w:trPr>
        <w:tc>
          <w:tcPr>
            <w:tcW w:w="478"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1</w:t>
            </w:r>
          </w:p>
        </w:tc>
        <w:tc>
          <w:tcPr>
            <w:tcW w:w="1394"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原料处理区</w:t>
            </w:r>
          </w:p>
        </w:tc>
        <w:tc>
          <w:tcPr>
            <w:tcW w:w="1390"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rPr>
              <w:t>原矿</w:t>
            </w:r>
            <w:r>
              <w:rPr>
                <w:rFonts w:hint="eastAsia" w:eastAsiaTheme="minorEastAsia"/>
                <w:color w:val="000000" w:themeColor="text1"/>
                <w:lang w:eastAsia="zh-CN"/>
              </w:rPr>
              <w:t>石</w:t>
            </w:r>
          </w:p>
        </w:tc>
        <w:tc>
          <w:tcPr>
            <w:tcW w:w="1344"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15万t</w:t>
            </w:r>
          </w:p>
        </w:tc>
        <w:tc>
          <w:tcPr>
            <w:tcW w:w="1107"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不变</w:t>
            </w:r>
          </w:p>
        </w:tc>
        <w:tc>
          <w:tcPr>
            <w:tcW w:w="281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从玉溪矿业公司大红山购买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478"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2</w:t>
            </w:r>
          </w:p>
        </w:tc>
        <w:tc>
          <w:tcPr>
            <w:tcW w:w="1394" w:type="dxa"/>
            <w:vMerge w:val="restart"/>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现有选矿车间</w:t>
            </w:r>
          </w:p>
        </w:tc>
        <w:tc>
          <w:tcPr>
            <w:tcW w:w="1390"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加工原矿量（低品位矿）</w:t>
            </w:r>
          </w:p>
        </w:tc>
        <w:tc>
          <w:tcPr>
            <w:tcW w:w="1344"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67500t</w:t>
            </w:r>
          </w:p>
        </w:tc>
        <w:tc>
          <w:tcPr>
            <w:tcW w:w="1107"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-82500t</w:t>
            </w:r>
          </w:p>
        </w:tc>
        <w:tc>
          <w:tcPr>
            <w:tcW w:w="2812"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原料处理站磁选所产，所减少的量为副产品砂石料的量，外卖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478"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3</w:t>
            </w:r>
          </w:p>
        </w:tc>
        <w:tc>
          <w:tcPr>
            <w:tcW w:w="1394" w:type="dxa"/>
            <w:vMerge w:val="continue"/>
            <w:tcBorders>
              <w:tl2br w:val="nil"/>
              <w:tr2bl w:val="nil"/>
            </w:tcBorders>
            <w:vAlign w:val="center"/>
          </w:tcPr>
          <w:p>
            <w:pPr>
              <w:pStyle w:val="126"/>
              <w:tabs>
                <w:tab w:val="left" w:pos="1960"/>
              </w:tabs>
              <w:rPr>
                <w:rFonts w:eastAsiaTheme="minorEastAsia"/>
                <w:color w:val="000000" w:themeColor="text1"/>
                <w:lang w:eastAsia="zh-CN"/>
              </w:rPr>
            </w:pPr>
          </w:p>
        </w:tc>
        <w:tc>
          <w:tcPr>
            <w:tcW w:w="1390"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黄药</w:t>
            </w:r>
          </w:p>
        </w:tc>
        <w:tc>
          <w:tcPr>
            <w:tcW w:w="1344"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9</w:t>
            </w:r>
            <w:r>
              <w:rPr>
                <w:rFonts w:eastAsiaTheme="minorEastAsia"/>
                <w:color w:val="000000" w:themeColor="text1"/>
                <w:lang w:eastAsia="zh-CN"/>
              </w:rPr>
              <w:t>t</w:t>
            </w:r>
          </w:p>
        </w:tc>
        <w:tc>
          <w:tcPr>
            <w:tcW w:w="1107"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-11t</w:t>
            </w:r>
          </w:p>
        </w:tc>
        <w:tc>
          <w:tcPr>
            <w:tcW w:w="2812"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云南境内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478"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4</w:t>
            </w:r>
          </w:p>
        </w:tc>
        <w:tc>
          <w:tcPr>
            <w:tcW w:w="1394" w:type="dxa"/>
            <w:vMerge w:val="continue"/>
            <w:tcBorders>
              <w:tl2br w:val="nil"/>
              <w:tr2bl w:val="nil"/>
            </w:tcBorders>
            <w:vAlign w:val="center"/>
          </w:tcPr>
          <w:p>
            <w:pPr>
              <w:pStyle w:val="126"/>
              <w:tabs>
                <w:tab w:val="left" w:pos="1960"/>
              </w:tabs>
              <w:rPr>
                <w:rFonts w:eastAsiaTheme="minorEastAsia"/>
                <w:color w:val="000000" w:themeColor="text1"/>
                <w:lang w:eastAsia="zh-CN"/>
              </w:rPr>
            </w:pPr>
          </w:p>
        </w:tc>
        <w:tc>
          <w:tcPr>
            <w:tcW w:w="1390"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松油</w:t>
            </w:r>
          </w:p>
        </w:tc>
        <w:tc>
          <w:tcPr>
            <w:tcW w:w="1344"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9</w:t>
            </w:r>
            <w:r>
              <w:rPr>
                <w:rFonts w:eastAsiaTheme="minorEastAsia"/>
                <w:color w:val="000000" w:themeColor="text1"/>
                <w:lang w:eastAsia="zh-CN"/>
              </w:rPr>
              <w:t>t</w:t>
            </w:r>
          </w:p>
        </w:tc>
        <w:tc>
          <w:tcPr>
            <w:tcW w:w="1107"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-11t</w:t>
            </w:r>
          </w:p>
        </w:tc>
        <w:tc>
          <w:tcPr>
            <w:tcW w:w="2812"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云南境内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478"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5</w:t>
            </w:r>
          </w:p>
        </w:tc>
        <w:tc>
          <w:tcPr>
            <w:tcW w:w="1394"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尾矿沉淀池</w:t>
            </w:r>
          </w:p>
        </w:tc>
        <w:tc>
          <w:tcPr>
            <w:tcW w:w="1390"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聚合氯化铝</w:t>
            </w:r>
          </w:p>
        </w:tc>
        <w:tc>
          <w:tcPr>
            <w:tcW w:w="1344"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14</w:t>
            </w:r>
            <w:r>
              <w:rPr>
                <w:rFonts w:eastAsiaTheme="minorEastAsia"/>
                <w:color w:val="000000" w:themeColor="text1"/>
                <w:lang w:eastAsia="zh-CN"/>
              </w:rPr>
              <w:t>t</w:t>
            </w:r>
          </w:p>
        </w:tc>
        <w:tc>
          <w:tcPr>
            <w:tcW w:w="1107"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-16t</w:t>
            </w:r>
          </w:p>
        </w:tc>
        <w:tc>
          <w:tcPr>
            <w:tcW w:w="2812"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云南境内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478"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6</w:t>
            </w:r>
          </w:p>
        </w:tc>
        <w:tc>
          <w:tcPr>
            <w:tcW w:w="1394"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原料处理区</w:t>
            </w:r>
          </w:p>
        </w:tc>
        <w:tc>
          <w:tcPr>
            <w:tcW w:w="1390" w:type="dxa"/>
            <w:tcBorders>
              <w:tl2br w:val="nil"/>
              <w:tr2bl w:val="nil"/>
            </w:tcBorders>
            <w:vAlign w:val="center"/>
          </w:tcPr>
          <w:p>
            <w:pPr>
              <w:spacing w:line="240" w:lineRule="auto"/>
              <w:ind w:firstLine="0" w:firstLineChars="0"/>
              <w:jc w:val="center"/>
              <w:rPr>
                <w:rFonts w:eastAsiaTheme="minorEastAsia"/>
                <w:color w:val="000000" w:themeColor="text1"/>
                <w:sz w:val="21"/>
                <w:szCs w:val="28"/>
              </w:rPr>
            </w:pPr>
            <w:r>
              <w:rPr>
                <w:rFonts w:hint="eastAsia" w:eastAsiaTheme="minorEastAsia"/>
                <w:color w:val="000000" w:themeColor="text1"/>
                <w:sz w:val="21"/>
                <w:szCs w:val="28"/>
              </w:rPr>
              <w:t>副产品砂石料</w:t>
            </w:r>
          </w:p>
        </w:tc>
        <w:tc>
          <w:tcPr>
            <w:tcW w:w="1344"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szCs w:val="28"/>
                <w:lang w:eastAsia="zh-CN"/>
              </w:rPr>
              <w:t>82</w:t>
            </w:r>
            <w:r>
              <w:rPr>
                <w:rFonts w:eastAsiaTheme="minorEastAsia"/>
                <w:color w:val="000000" w:themeColor="text1"/>
                <w:szCs w:val="28"/>
                <w:lang w:eastAsia="zh-CN"/>
              </w:rPr>
              <w:t>500</w:t>
            </w:r>
          </w:p>
        </w:tc>
        <w:tc>
          <w:tcPr>
            <w:tcW w:w="1107" w:type="dxa"/>
            <w:tcBorders>
              <w:tl2br w:val="nil"/>
              <w:tr2bl w:val="nil"/>
            </w:tcBorders>
            <w:vAlign w:val="center"/>
          </w:tcPr>
          <w:p>
            <w:pPr>
              <w:pStyle w:val="126"/>
              <w:tabs>
                <w:tab w:val="left" w:pos="1960"/>
              </w:tabs>
              <w:rPr>
                <w:rFonts w:eastAsiaTheme="minorEastAsia"/>
                <w:color w:val="000000" w:themeColor="text1"/>
                <w:szCs w:val="28"/>
                <w:lang w:eastAsia="zh-CN"/>
              </w:rPr>
            </w:pPr>
            <w:r>
              <w:rPr>
                <w:rFonts w:hint="eastAsia" w:eastAsiaTheme="minorEastAsia"/>
                <w:color w:val="000000" w:themeColor="text1"/>
                <w:szCs w:val="28"/>
                <w:lang w:eastAsia="zh-CN"/>
              </w:rPr>
              <w:t>/</w:t>
            </w:r>
          </w:p>
        </w:tc>
        <w:tc>
          <w:tcPr>
            <w:tcW w:w="281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由技改原料加工处理站分选所得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478"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7</w:t>
            </w:r>
          </w:p>
        </w:tc>
        <w:tc>
          <w:tcPr>
            <w:tcW w:w="1394"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再选车间</w:t>
            </w:r>
          </w:p>
        </w:tc>
        <w:tc>
          <w:tcPr>
            <w:tcW w:w="1390" w:type="dxa"/>
            <w:tcBorders>
              <w:tl2br w:val="nil"/>
              <w:tr2bl w:val="nil"/>
            </w:tcBorders>
            <w:vAlign w:val="center"/>
          </w:tcPr>
          <w:p>
            <w:pPr>
              <w:spacing w:line="240" w:lineRule="auto"/>
              <w:ind w:firstLine="0" w:firstLineChars="0"/>
              <w:jc w:val="center"/>
              <w:rPr>
                <w:rFonts w:eastAsiaTheme="minorEastAsia"/>
                <w:color w:val="000000" w:themeColor="text1"/>
                <w:sz w:val="21"/>
                <w:szCs w:val="28"/>
              </w:rPr>
            </w:pPr>
            <w:r>
              <w:rPr>
                <w:rFonts w:eastAsiaTheme="minorEastAsia"/>
                <w:color w:val="000000" w:themeColor="text1"/>
                <w:sz w:val="21"/>
                <w:szCs w:val="28"/>
              </w:rPr>
              <w:t>三级精铁矿</w:t>
            </w:r>
          </w:p>
        </w:tc>
        <w:tc>
          <w:tcPr>
            <w:tcW w:w="1344"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szCs w:val="28"/>
                <w:lang w:eastAsia="zh-CN"/>
              </w:rPr>
              <w:t>110000</w:t>
            </w:r>
          </w:p>
        </w:tc>
        <w:tc>
          <w:tcPr>
            <w:tcW w:w="1107" w:type="dxa"/>
            <w:tcBorders>
              <w:tl2br w:val="nil"/>
              <w:tr2bl w:val="nil"/>
            </w:tcBorders>
            <w:vAlign w:val="center"/>
          </w:tcPr>
          <w:p>
            <w:pPr>
              <w:pStyle w:val="126"/>
              <w:tabs>
                <w:tab w:val="left" w:pos="1960"/>
              </w:tabs>
              <w:rPr>
                <w:rFonts w:eastAsiaTheme="minorEastAsia"/>
                <w:color w:val="000000" w:themeColor="text1"/>
                <w:szCs w:val="28"/>
                <w:lang w:eastAsia="zh-CN"/>
              </w:rPr>
            </w:pPr>
            <w:r>
              <w:rPr>
                <w:rFonts w:hint="eastAsia" w:eastAsiaTheme="minorEastAsia"/>
                <w:color w:val="000000" w:themeColor="text1"/>
                <w:szCs w:val="28"/>
                <w:lang w:eastAsia="zh-CN"/>
              </w:rPr>
              <w:t>/</w:t>
            </w:r>
          </w:p>
        </w:tc>
        <w:tc>
          <w:tcPr>
            <w:tcW w:w="281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40000吨全部来源于厂区选矿作业产生的三级精铁矿，70000吨为购买三级精铁矿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478"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8</w:t>
            </w:r>
          </w:p>
        </w:tc>
        <w:tc>
          <w:tcPr>
            <w:tcW w:w="1394"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陶瓷过滤间</w:t>
            </w:r>
          </w:p>
        </w:tc>
        <w:tc>
          <w:tcPr>
            <w:tcW w:w="1390" w:type="dxa"/>
            <w:tcBorders>
              <w:tl2br w:val="nil"/>
              <w:tr2bl w:val="nil"/>
            </w:tcBorders>
            <w:vAlign w:val="center"/>
          </w:tcPr>
          <w:p>
            <w:pPr>
              <w:spacing w:line="240" w:lineRule="auto"/>
              <w:ind w:firstLine="0" w:firstLineChars="0"/>
              <w:jc w:val="center"/>
              <w:rPr>
                <w:rFonts w:eastAsiaTheme="minorEastAsia"/>
                <w:color w:val="000000" w:themeColor="text1"/>
                <w:sz w:val="21"/>
                <w:szCs w:val="28"/>
              </w:rPr>
            </w:pPr>
            <w:r>
              <w:rPr>
                <w:rFonts w:hint="eastAsia" w:eastAsiaTheme="minorEastAsia"/>
                <w:color w:val="000000" w:themeColor="text1"/>
                <w:sz w:val="21"/>
                <w:szCs w:val="28"/>
              </w:rPr>
              <w:t>陶瓷过滤机清洗剂（HQ-320）</w:t>
            </w:r>
          </w:p>
        </w:tc>
        <w:tc>
          <w:tcPr>
            <w:tcW w:w="1344" w:type="dxa"/>
            <w:tcBorders>
              <w:tl2br w:val="nil"/>
              <w:tr2bl w:val="nil"/>
            </w:tcBorders>
            <w:vAlign w:val="center"/>
          </w:tcPr>
          <w:p>
            <w:pPr>
              <w:spacing w:line="240" w:lineRule="auto"/>
              <w:ind w:firstLine="0" w:firstLineChars="0"/>
              <w:jc w:val="center"/>
              <w:rPr>
                <w:rFonts w:eastAsiaTheme="minorEastAsia"/>
                <w:color w:val="000000" w:themeColor="text1"/>
                <w:sz w:val="21"/>
                <w:szCs w:val="28"/>
              </w:rPr>
            </w:pPr>
            <w:r>
              <w:rPr>
                <w:rFonts w:hint="eastAsia" w:eastAsiaTheme="minorEastAsia"/>
                <w:color w:val="000000" w:themeColor="text1"/>
                <w:sz w:val="21"/>
                <w:szCs w:val="28"/>
              </w:rPr>
              <w:t>2.7t/a</w:t>
            </w:r>
          </w:p>
        </w:tc>
        <w:tc>
          <w:tcPr>
            <w:tcW w:w="1107" w:type="dxa"/>
            <w:tcBorders>
              <w:tl2br w:val="nil"/>
              <w:tr2bl w:val="nil"/>
            </w:tcBorders>
            <w:vAlign w:val="center"/>
          </w:tcPr>
          <w:p>
            <w:pPr>
              <w:spacing w:line="240" w:lineRule="auto"/>
              <w:ind w:firstLine="0" w:firstLineChars="0"/>
              <w:jc w:val="center"/>
              <w:rPr>
                <w:rFonts w:eastAsiaTheme="minorEastAsia"/>
                <w:color w:val="000000" w:themeColor="text1"/>
                <w:sz w:val="21"/>
                <w:szCs w:val="28"/>
              </w:rPr>
            </w:pPr>
            <w:r>
              <w:rPr>
                <w:rFonts w:hint="eastAsia" w:eastAsiaTheme="minorEastAsia"/>
                <w:color w:val="000000" w:themeColor="text1"/>
                <w:sz w:val="21"/>
                <w:szCs w:val="28"/>
              </w:rPr>
              <w:t>/</w:t>
            </w:r>
          </w:p>
        </w:tc>
        <w:tc>
          <w:tcPr>
            <w:tcW w:w="2812"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设备厂家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478"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9</w:t>
            </w:r>
          </w:p>
        </w:tc>
        <w:tc>
          <w:tcPr>
            <w:tcW w:w="1394" w:type="dxa"/>
            <w:vMerge w:val="restart"/>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公用</w:t>
            </w:r>
          </w:p>
        </w:tc>
        <w:tc>
          <w:tcPr>
            <w:tcW w:w="1390"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润滑油</w:t>
            </w:r>
          </w:p>
        </w:tc>
        <w:tc>
          <w:tcPr>
            <w:tcW w:w="1344"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4</w:t>
            </w:r>
            <w:r>
              <w:rPr>
                <w:rFonts w:eastAsiaTheme="minorEastAsia"/>
                <w:color w:val="000000" w:themeColor="text1"/>
                <w:lang w:eastAsia="zh-CN"/>
              </w:rPr>
              <w:t>t</w:t>
            </w:r>
          </w:p>
        </w:tc>
        <w:tc>
          <w:tcPr>
            <w:tcW w:w="1107"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+1t</w:t>
            </w:r>
          </w:p>
        </w:tc>
        <w:tc>
          <w:tcPr>
            <w:tcW w:w="2812"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云南境内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7" w:hRule="atLeast"/>
          <w:jc w:val="center"/>
        </w:trPr>
        <w:tc>
          <w:tcPr>
            <w:tcW w:w="478"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10</w:t>
            </w:r>
          </w:p>
        </w:tc>
        <w:tc>
          <w:tcPr>
            <w:tcW w:w="1394" w:type="dxa"/>
            <w:vMerge w:val="continue"/>
            <w:tcBorders>
              <w:tl2br w:val="nil"/>
              <w:tr2bl w:val="nil"/>
            </w:tcBorders>
            <w:vAlign w:val="center"/>
          </w:tcPr>
          <w:p>
            <w:pPr>
              <w:pStyle w:val="126"/>
              <w:tabs>
                <w:tab w:val="left" w:pos="1960"/>
              </w:tabs>
              <w:rPr>
                <w:rFonts w:eastAsiaTheme="minorEastAsia"/>
                <w:color w:val="000000" w:themeColor="text1"/>
                <w:lang w:eastAsia="zh-CN"/>
              </w:rPr>
            </w:pPr>
          </w:p>
        </w:tc>
        <w:tc>
          <w:tcPr>
            <w:tcW w:w="1390" w:type="dxa"/>
            <w:tcBorders>
              <w:tl2br w:val="nil"/>
              <w:tr2bl w:val="nil"/>
            </w:tcBorders>
            <w:vAlign w:val="center"/>
          </w:tcPr>
          <w:p>
            <w:pPr>
              <w:pStyle w:val="126"/>
              <w:tabs>
                <w:tab w:val="left" w:pos="1960"/>
              </w:tabs>
              <w:rPr>
                <w:rFonts w:eastAsiaTheme="minorEastAsia"/>
                <w:color w:val="000000" w:themeColor="text1"/>
              </w:rPr>
            </w:pPr>
            <w:r>
              <w:rPr>
                <w:rFonts w:eastAsiaTheme="minorEastAsia"/>
                <w:color w:val="000000" w:themeColor="text1"/>
              </w:rPr>
              <w:t>电</w:t>
            </w:r>
          </w:p>
        </w:tc>
        <w:tc>
          <w:tcPr>
            <w:tcW w:w="1344" w:type="dxa"/>
            <w:tcBorders>
              <w:tl2br w:val="nil"/>
              <w:tr2bl w:val="nil"/>
            </w:tcBorders>
            <w:vAlign w:val="center"/>
          </w:tcPr>
          <w:p>
            <w:pPr>
              <w:pStyle w:val="126"/>
              <w:tabs>
                <w:tab w:val="left" w:pos="1960"/>
              </w:tabs>
              <w:rPr>
                <w:rFonts w:eastAsiaTheme="minorEastAsia"/>
                <w:color w:val="000000" w:themeColor="text1"/>
              </w:rPr>
            </w:pPr>
            <w:r>
              <w:rPr>
                <w:rFonts w:hint="eastAsia" w:eastAsiaTheme="minorEastAsia"/>
                <w:color w:val="000000" w:themeColor="text1"/>
                <w:lang w:eastAsia="zh-CN"/>
              </w:rPr>
              <w:t>275</w:t>
            </w:r>
            <w:r>
              <w:rPr>
                <w:rFonts w:eastAsiaTheme="minorEastAsia"/>
                <w:color w:val="000000" w:themeColor="text1"/>
                <w:lang w:eastAsia="zh-CN"/>
              </w:rPr>
              <w:t>万</w:t>
            </w:r>
            <w:r>
              <w:rPr>
                <w:rFonts w:eastAsiaTheme="minorEastAsia"/>
                <w:color w:val="000000" w:themeColor="text1"/>
              </w:rPr>
              <w:t>kWh</w:t>
            </w:r>
          </w:p>
        </w:tc>
        <w:tc>
          <w:tcPr>
            <w:tcW w:w="1107"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+25</w:t>
            </w:r>
            <w:r>
              <w:rPr>
                <w:rFonts w:eastAsiaTheme="minorEastAsia"/>
                <w:color w:val="000000" w:themeColor="text1"/>
                <w:lang w:eastAsia="zh-CN"/>
              </w:rPr>
              <w:t>万</w:t>
            </w:r>
            <w:r>
              <w:rPr>
                <w:rFonts w:eastAsiaTheme="minorEastAsia"/>
                <w:color w:val="000000" w:themeColor="text1"/>
              </w:rPr>
              <w:t>kWh</w:t>
            </w:r>
          </w:p>
        </w:tc>
        <w:tc>
          <w:tcPr>
            <w:tcW w:w="281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rPr>
              <w:t>市政供给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6" w:hRule="atLeast"/>
          <w:jc w:val="center"/>
        </w:trPr>
        <w:tc>
          <w:tcPr>
            <w:tcW w:w="478"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11</w:t>
            </w:r>
          </w:p>
        </w:tc>
        <w:tc>
          <w:tcPr>
            <w:tcW w:w="1394" w:type="dxa"/>
            <w:vMerge w:val="continue"/>
            <w:tcBorders>
              <w:tl2br w:val="nil"/>
              <w:tr2bl w:val="nil"/>
            </w:tcBorders>
            <w:vAlign w:val="center"/>
          </w:tcPr>
          <w:p>
            <w:pPr>
              <w:pStyle w:val="126"/>
              <w:tabs>
                <w:tab w:val="left" w:pos="1960"/>
              </w:tabs>
              <w:rPr>
                <w:rFonts w:eastAsiaTheme="minorEastAsia"/>
                <w:color w:val="000000" w:themeColor="text1"/>
                <w:lang w:eastAsia="zh-CN"/>
              </w:rPr>
            </w:pPr>
          </w:p>
        </w:tc>
        <w:tc>
          <w:tcPr>
            <w:tcW w:w="1390"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水</w:t>
            </w:r>
          </w:p>
        </w:tc>
        <w:tc>
          <w:tcPr>
            <w:tcW w:w="1344"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98341.5t</w:t>
            </w:r>
          </w:p>
        </w:tc>
        <w:tc>
          <w:tcPr>
            <w:tcW w:w="1107" w:type="dxa"/>
            <w:tcBorders>
              <w:tl2br w:val="nil"/>
              <w:tr2bl w:val="nil"/>
            </w:tcBorders>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-8754t</w:t>
            </w:r>
          </w:p>
        </w:tc>
        <w:tc>
          <w:tcPr>
            <w:tcW w:w="2812" w:type="dxa"/>
            <w:tcBorders>
              <w:tl2br w:val="nil"/>
              <w:tr2bl w:val="nil"/>
            </w:tcBorders>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生产用水为困龙河水，生活用水来自市政管网</w:t>
            </w:r>
          </w:p>
        </w:tc>
      </w:tr>
    </w:tbl>
    <w:p>
      <w:pPr>
        <w:ind w:firstLine="480"/>
        <w:rPr>
          <w:rFonts w:eastAsiaTheme="minorEastAsia"/>
          <w:color w:val="000000" w:themeColor="text1"/>
          <w:sz w:val="30"/>
          <w:szCs w:val="30"/>
        </w:rPr>
      </w:pPr>
      <w:r>
        <w:rPr>
          <w:rFonts w:hint="eastAsia" w:eastAsiaTheme="minorEastAsia"/>
          <w:bCs/>
          <w:iCs/>
          <w:color w:val="000000" w:themeColor="text1"/>
        </w:rPr>
        <w:t>陶瓷过滤机清洗机：陶瓷过滤机清洗机（HQ-320）是一种水性新型环保型清洗剂，替代传统硝酸清洗，彻底解决使用硝酸过程中存在硝酸采购、运输管制不便，硝酸存储存在安全隐患等问题。可广泛应用于铁精矿、锌精矿、硫精矿、铜精矿、锰精矿等矿山精矿的过滤脱水及煤炭、精细化工、造纸、环保等行业。其与水完全溶解，不易燃烧，每吨按1:8或1:10兑水使用。其主要成分为：专有活性剂10%~15%，分散剂3%~5%，改性纳米羟基金属氧化物10%-20%，缓蚀剂3%-5%，钝化剂3%-5%，稳定剂1%-3%。一般为每8h时对陶瓷过滤机清洗一次，每次清洗使用清洗剂约3kg，兑成约33kg的水溶液。</w:t>
      </w:r>
    </w:p>
    <w:p>
      <w:pPr>
        <w:pStyle w:val="574"/>
        <w:spacing w:beforeLines="0" w:afterLines="0"/>
        <w:rPr>
          <w:rFonts w:eastAsiaTheme="minorEastAsia"/>
          <w:color w:val="000000" w:themeColor="text1"/>
          <w:sz w:val="30"/>
          <w:szCs w:val="30"/>
        </w:rPr>
      </w:pPr>
      <w:bookmarkStart w:id="448" w:name="_Toc31903"/>
      <w:r>
        <w:rPr>
          <w:rFonts w:eastAsiaTheme="minorEastAsia"/>
          <w:color w:val="000000" w:themeColor="text1"/>
          <w:sz w:val="30"/>
          <w:szCs w:val="30"/>
        </w:rPr>
        <w:t>3.</w:t>
      </w:r>
      <w:r>
        <w:rPr>
          <w:rFonts w:hint="eastAsia" w:eastAsiaTheme="minorEastAsia"/>
          <w:color w:val="000000" w:themeColor="text1"/>
          <w:sz w:val="30"/>
          <w:szCs w:val="30"/>
        </w:rPr>
        <w:t>6</w:t>
      </w:r>
      <w:r>
        <w:rPr>
          <w:rFonts w:eastAsiaTheme="minorEastAsia"/>
          <w:color w:val="000000" w:themeColor="text1"/>
          <w:sz w:val="30"/>
          <w:szCs w:val="30"/>
        </w:rPr>
        <w:t>主要生产设备</w:t>
      </w:r>
      <w:bookmarkEnd w:id="448"/>
    </w:p>
    <w:p>
      <w:pPr>
        <w:ind w:firstLine="480"/>
        <w:rPr>
          <w:rFonts w:eastAsiaTheme="minorEastAsia"/>
          <w:bCs/>
          <w:iCs/>
          <w:color w:val="000000" w:themeColor="text1"/>
        </w:rPr>
      </w:pPr>
      <w:r>
        <w:rPr>
          <w:rFonts w:eastAsiaTheme="minorEastAsia"/>
          <w:bCs/>
          <w:iCs/>
          <w:color w:val="000000" w:themeColor="text1"/>
        </w:rPr>
        <w:t>技改项目新增设备见表3.</w:t>
      </w:r>
      <w:r>
        <w:rPr>
          <w:rFonts w:hint="eastAsia" w:eastAsiaTheme="minorEastAsia"/>
          <w:bCs/>
          <w:iCs/>
          <w:color w:val="000000" w:themeColor="text1"/>
        </w:rPr>
        <w:t>6</w:t>
      </w:r>
      <w:r>
        <w:rPr>
          <w:rFonts w:eastAsiaTheme="minorEastAsia"/>
          <w:bCs/>
          <w:iCs/>
          <w:color w:val="000000" w:themeColor="text1"/>
        </w:rPr>
        <w:t>-1。</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表3.</w:t>
      </w:r>
      <w:r>
        <w:rPr>
          <w:rFonts w:hint="eastAsia" w:eastAsiaTheme="minorEastAsia"/>
          <w:b/>
          <w:color w:val="000000" w:themeColor="text1"/>
          <w:sz w:val="21"/>
          <w:szCs w:val="20"/>
        </w:rPr>
        <w:t>6</w:t>
      </w:r>
      <w:r>
        <w:rPr>
          <w:rFonts w:eastAsiaTheme="minorEastAsia"/>
          <w:b/>
          <w:color w:val="000000" w:themeColor="text1"/>
          <w:sz w:val="21"/>
          <w:szCs w:val="20"/>
        </w:rPr>
        <w:t>-1</w:t>
      </w:r>
      <w:r>
        <w:rPr>
          <w:rFonts w:hint="eastAsia" w:eastAsiaTheme="minorEastAsia"/>
          <w:b/>
          <w:color w:val="000000" w:themeColor="text1"/>
          <w:sz w:val="21"/>
          <w:szCs w:val="20"/>
        </w:rPr>
        <w:t>技改项目</w:t>
      </w:r>
      <w:r>
        <w:rPr>
          <w:rFonts w:eastAsiaTheme="minorEastAsia"/>
          <w:b/>
          <w:color w:val="000000" w:themeColor="text1"/>
          <w:sz w:val="21"/>
          <w:szCs w:val="20"/>
        </w:rPr>
        <w:t>主要生产设备一览表</w:t>
      </w:r>
    </w:p>
    <w:tbl>
      <w:tblPr>
        <w:tblStyle w:val="61"/>
        <w:tblW w:w="8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4"/>
        <w:gridCol w:w="995"/>
        <w:gridCol w:w="1647"/>
        <w:gridCol w:w="2978"/>
        <w:gridCol w:w="594"/>
        <w:gridCol w:w="739"/>
        <w:gridCol w:w="10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bookmarkStart w:id="449" w:name="_Toc6933006"/>
            <w:r>
              <w:rPr>
                <w:rFonts w:eastAsiaTheme="minorEastAsia"/>
                <w:bCs/>
                <w:iCs/>
                <w:color w:val="000000" w:themeColor="text1"/>
                <w:sz w:val="21"/>
                <w:szCs w:val="21"/>
              </w:rPr>
              <w:t>序号</w:t>
            </w:r>
          </w:p>
        </w:tc>
        <w:tc>
          <w:tcPr>
            <w:tcW w:w="995"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系统</w:t>
            </w: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设备名称</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规格及型号</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单位</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数量</w:t>
            </w:r>
          </w:p>
        </w:tc>
        <w:tc>
          <w:tcPr>
            <w:tcW w:w="1058" w:type="dxa"/>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995" w:type="dxa"/>
            <w:vMerge w:val="restart"/>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color w:val="000000" w:themeColor="text1"/>
                <w:kern w:val="24"/>
                <w:sz w:val="21"/>
                <w:szCs w:val="21"/>
              </w:rPr>
              <w:t>原料加工处理站</w:t>
            </w: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1#鄂式破碎机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进料粒度：300~400mm出料粒度：250~300mm，处理能力为25t/h，设备利用率84%</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8" w:type="dxa"/>
            <w:vMerge w:val="restart"/>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每天运行</w:t>
            </w:r>
            <w:r>
              <w:rPr>
                <w:rFonts w:hint="eastAsia" w:eastAsiaTheme="minorEastAsia"/>
                <w:bCs/>
                <w:iCs/>
                <w:color w:val="000000" w:themeColor="text1"/>
                <w:sz w:val="21"/>
                <w:szCs w:val="21"/>
              </w:rPr>
              <w:t>24</w:t>
            </w:r>
            <w:r>
              <w:rPr>
                <w:rFonts w:eastAsiaTheme="minorEastAsia"/>
                <w:bCs/>
                <w:iCs/>
                <w:color w:val="000000" w:themeColor="text1"/>
                <w:sz w:val="21"/>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w:t>
            </w:r>
          </w:p>
        </w:tc>
        <w:tc>
          <w:tcPr>
            <w:tcW w:w="995" w:type="dxa"/>
            <w:vMerge w:val="continue"/>
            <w:shd w:val="clear" w:color="auto" w:fill="auto"/>
            <w:vAlign w:val="center"/>
          </w:tcPr>
          <w:p>
            <w:pPr>
              <w:spacing w:line="240" w:lineRule="auto"/>
              <w:ind w:firstLine="0" w:firstLineChars="0"/>
              <w:jc w:val="center"/>
              <w:rPr>
                <w:rFonts w:eastAsiaTheme="minorEastAsia"/>
                <w:color w:val="000000" w:themeColor="text1"/>
                <w:kern w:val="24"/>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2#鄂式破碎机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进料粒度：250~300mm出料粒度：100~150mm，处理能力为25t/h，设备利用率84%</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8" w:type="dxa"/>
            <w:vMerge w:val="continue"/>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w:t>
            </w:r>
            <w:r>
              <w:rPr>
                <w:rFonts w:eastAsiaTheme="minorEastAsia"/>
                <w:bCs/>
                <w:iCs/>
                <w:color w:val="000000" w:themeColor="text1"/>
                <w:sz w:val="21"/>
                <w:szCs w:val="21"/>
              </w:rPr>
              <w:t>圆锥破碎机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HPY-500</w:t>
            </w:r>
            <w:r>
              <w:rPr>
                <w:rFonts w:hint="eastAsia" w:eastAsiaTheme="minorEastAsia"/>
                <w:bCs/>
                <w:iCs/>
                <w:color w:val="000000" w:themeColor="text1"/>
                <w:sz w:val="21"/>
                <w:szCs w:val="21"/>
              </w:rPr>
              <w:t>，进料粒度：100~150mm出料粒度：40~70mm，处理能力为25t/h，设备利用率84%</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4</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w:t>
            </w:r>
            <w:r>
              <w:rPr>
                <w:rFonts w:eastAsiaTheme="minorEastAsia"/>
                <w:bCs/>
                <w:iCs/>
                <w:color w:val="000000" w:themeColor="text1"/>
                <w:sz w:val="21"/>
                <w:szCs w:val="21"/>
              </w:rPr>
              <w:t>圆锥破碎机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CS-400</w:t>
            </w:r>
            <w:r>
              <w:rPr>
                <w:rFonts w:hint="eastAsia" w:eastAsiaTheme="minorEastAsia"/>
                <w:bCs/>
                <w:iCs/>
                <w:color w:val="000000" w:themeColor="text1"/>
                <w:sz w:val="21"/>
                <w:szCs w:val="21"/>
              </w:rPr>
              <w:t>，进料粒度：40~70mm出料粒度：16~30cm，处理能力为25t/h，设备利用率84%</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5</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电磁滚筒</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6</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1#振动筛</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TS-1635</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7</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2#振动筛</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8</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3#振动筛</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9</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水平筛</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JT3-2060</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10</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制砂机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VK-9</w:t>
            </w:r>
            <w:r>
              <w:rPr>
                <w:rFonts w:hint="eastAsia" w:eastAsiaTheme="minorEastAsia"/>
                <w:bCs/>
                <w:iCs/>
                <w:color w:val="000000" w:themeColor="text1"/>
                <w:sz w:val="21"/>
                <w:szCs w:val="21"/>
              </w:rPr>
              <w:t>，进料粒度：1cm出料粒度：小于0.5cm，处理能力为3t/h，设备利用率92%</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11</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斗轮洗砂机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XS-1520</w:t>
            </w:r>
            <w:r>
              <w:rPr>
                <w:rFonts w:hint="eastAsia" w:eastAsiaTheme="minorEastAsia"/>
                <w:bCs/>
                <w:iCs/>
                <w:color w:val="000000" w:themeColor="text1"/>
                <w:sz w:val="21"/>
                <w:szCs w:val="21"/>
              </w:rPr>
              <w:t>，处理能力为3t/h，设备利用率92%</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12</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皮带</w:t>
            </w:r>
            <w:r>
              <w:rPr>
                <w:rFonts w:hint="eastAsia" w:eastAsiaTheme="minorEastAsia"/>
                <w:bCs/>
                <w:iCs/>
                <w:color w:val="000000" w:themeColor="text1"/>
                <w:sz w:val="21"/>
                <w:szCs w:val="21"/>
              </w:rPr>
              <w:t>输送机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23</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13</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辊压机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14</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布袋除尘器</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套</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15</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喷淋装置</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套</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16</w:t>
            </w:r>
          </w:p>
        </w:tc>
        <w:tc>
          <w:tcPr>
            <w:tcW w:w="995" w:type="dxa"/>
            <w:vMerge w:val="restart"/>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磨磁车间</w:t>
            </w:r>
          </w:p>
        </w:tc>
        <w:tc>
          <w:tcPr>
            <w:tcW w:w="1647"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球磨机</w:t>
            </w:r>
          </w:p>
        </w:tc>
        <w:tc>
          <w:tcPr>
            <w:tcW w:w="2978" w:type="dxa"/>
            <w:shd w:val="clear" w:color="auto" w:fill="auto"/>
            <w:vAlign w:val="center"/>
          </w:tcPr>
          <w:p>
            <w:pPr>
              <w:pStyle w:val="126"/>
              <w:tabs>
                <w:tab w:val="left" w:pos="1960"/>
              </w:tabs>
              <w:rPr>
                <w:rFonts w:eastAsia="宋体"/>
                <w:color w:val="000000" w:themeColor="text1"/>
                <w:lang w:eastAsia="zh-CN"/>
              </w:rPr>
            </w:pPr>
            <w:r>
              <w:rPr>
                <w:rFonts w:hint="eastAsia" w:eastAsia="宋体"/>
                <w:color w:val="000000" w:themeColor="text1"/>
                <w:lang w:eastAsia="zh-CN"/>
              </w:rPr>
              <w:t>3245</w:t>
            </w:r>
          </w:p>
        </w:tc>
        <w:tc>
          <w:tcPr>
            <w:tcW w:w="594"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台</w:t>
            </w:r>
          </w:p>
        </w:tc>
        <w:tc>
          <w:tcPr>
            <w:tcW w:w="739"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1</w:t>
            </w:r>
          </w:p>
        </w:tc>
        <w:tc>
          <w:tcPr>
            <w:tcW w:w="1058" w:type="dxa"/>
            <w:vMerge w:val="restart"/>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每天运行24h</w:t>
            </w:r>
          </w:p>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17</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球磨机</w:t>
            </w:r>
          </w:p>
        </w:tc>
        <w:tc>
          <w:tcPr>
            <w:tcW w:w="2978" w:type="dxa"/>
            <w:shd w:val="clear" w:color="auto" w:fill="auto"/>
            <w:vAlign w:val="center"/>
          </w:tcPr>
          <w:p>
            <w:pPr>
              <w:pStyle w:val="126"/>
              <w:tabs>
                <w:tab w:val="left" w:pos="1960"/>
              </w:tabs>
              <w:rPr>
                <w:rFonts w:eastAsia="宋体"/>
                <w:color w:val="000000" w:themeColor="text1"/>
                <w:lang w:eastAsia="zh-CN"/>
              </w:rPr>
            </w:pPr>
            <w:r>
              <w:rPr>
                <w:rFonts w:hint="eastAsia" w:eastAsia="宋体"/>
                <w:color w:val="000000" w:themeColor="text1"/>
                <w:lang w:eastAsia="zh-CN"/>
              </w:rPr>
              <w:t>2436</w:t>
            </w:r>
          </w:p>
        </w:tc>
        <w:tc>
          <w:tcPr>
            <w:tcW w:w="594"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台</w:t>
            </w:r>
          </w:p>
        </w:tc>
        <w:tc>
          <w:tcPr>
            <w:tcW w:w="739"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2</w:t>
            </w:r>
          </w:p>
        </w:tc>
        <w:tc>
          <w:tcPr>
            <w:tcW w:w="1058" w:type="dxa"/>
            <w:vMerge w:val="continue"/>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r>
              <w:rPr>
                <w:rFonts w:hint="eastAsia" w:eastAsiaTheme="minorEastAsia"/>
                <w:bCs/>
                <w:iCs/>
                <w:color w:val="000000" w:themeColor="text1"/>
                <w:sz w:val="21"/>
                <w:szCs w:val="21"/>
              </w:rPr>
              <w:t>8</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立磨机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TM400</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r>
              <w:rPr>
                <w:rFonts w:hint="eastAsia" w:eastAsiaTheme="minorEastAsia"/>
                <w:bCs/>
                <w:iCs/>
                <w:color w:val="000000" w:themeColor="text1"/>
                <w:sz w:val="21"/>
                <w:szCs w:val="21"/>
              </w:rPr>
              <w:t>9</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干式永磁筒式磁选机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CTG-69/9</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8" w:type="dxa"/>
            <w:vMerge w:val="continue"/>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20</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湿式强磁场磁选机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CS-3</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21</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永磁筒式磁选机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CTB-44</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22</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平板磁选机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2</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23</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lang w:val="en-GB"/>
              </w:rPr>
            </w:pPr>
            <w:r>
              <w:rPr>
                <w:rFonts w:hint="eastAsia" w:eastAsiaTheme="minorEastAsia"/>
                <w:bCs/>
                <w:iCs/>
                <w:color w:val="000000" w:themeColor="text1"/>
                <w:sz w:val="21"/>
                <w:szCs w:val="21"/>
                <w:lang w:val="en-GB"/>
              </w:rPr>
              <w:t>弱磁选机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24</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渣浆泵</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2</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25</w:t>
            </w:r>
          </w:p>
        </w:tc>
        <w:tc>
          <w:tcPr>
            <w:tcW w:w="995"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旋流器</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4</w:t>
            </w:r>
          </w:p>
        </w:tc>
        <w:tc>
          <w:tcPr>
            <w:tcW w:w="1058" w:type="dxa"/>
            <w:vMerge w:val="continue"/>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26</w:t>
            </w:r>
          </w:p>
        </w:tc>
        <w:tc>
          <w:tcPr>
            <w:tcW w:w="995"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脱水车间</w:t>
            </w: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陶瓷过滤机</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2</w:t>
            </w:r>
          </w:p>
        </w:tc>
        <w:tc>
          <w:tcPr>
            <w:tcW w:w="1058" w:type="dxa"/>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一备一用，每8h更替一次，每天运行24h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27</w:t>
            </w:r>
          </w:p>
        </w:tc>
        <w:tc>
          <w:tcPr>
            <w:tcW w:w="995"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尾矿输送</w:t>
            </w: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隔膜泵</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台</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w:t>
            </w:r>
          </w:p>
        </w:tc>
        <w:tc>
          <w:tcPr>
            <w:tcW w:w="1058"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1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28</w:t>
            </w:r>
          </w:p>
        </w:tc>
        <w:tc>
          <w:tcPr>
            <w:tcW w:w="995"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共用</w:t>
            </w:r>
          </w:p>
        </w:tc>
        <w:tc>
          <w:tcPr>
            <w:tcW w:w="1647"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一体化污水处理设施</w:t>
            </w:r>
          </w:p>
        </w:tc>
        <w:tc>
          <w:tcPr>
            <w:tcW w:w="297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color w:val="000000" w:themeColor="text1"/>
                <w:kern w:val="24"/>
                <w:sz w:val="21"/>
                <w:szCs w:val="21"/>
              </w:rPr>
              <w:t>处理规模15m</w:t>
            </w:r>
            <w:r>
              <w:rPr>
                <w:rFonts w:eastAsiaTheme="minorEastAsia"/>
                <w:color w:val="000000" w:themeColor="text1"/>
                <w:kern w:val="24"/>
                <w:sz w:val="21"/>
                <w:szCs w:val="21"/>
                <w:vertAlign w:val="superscript"/>
              </w:rPr>
              <w:t>3</w:t>
            </w:r>
            <w:r>
              <w:rPr>
                <w:rFonts w:eastAsiaTheme="minorEastAsia"/>
                <w:color w:val="000000" w:themeColor="text1"/>
                <w:kern w:val="24"/>
                <w:sz w:val="21"/>
                <w:szCs w:val="21"/>
              </w:rPr>
              <w:t>/d</w:t>
            </w:r>
          </w:p>
        </w:tc>
        <w:tc>
          <w:tcPr>
            <w:tcW w:w="59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套</w:t>
            </w:r>
          </w:p>
        </w:tc>
        <w:tc>
          <w:tcPr>
            <w:tcW w:w="73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w:t>
            </w:r>
          </w:p>
        </w:tc>
        <w:tc>
          <w:tcPr>
            <w:tcW w:w="1058"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新建</w:t>
            </w:r>
          </w:p>
        </w:tc>
      </w:tr>
    </w:tbl>
    <w:p>
      <w:pPr>
        <w:ind w:firstLine="480"/>
        <w:rPr>
          <w:rFonts w:eastAsiaTheme="minorEastAsia"/>
          <w:bCs/>
          <w:iCs/>
          <w:color w:val="000000" w:themeColor="text1"/>
        </w:rPr>
      </w:pPr>
      <w:r>
        <w:rPr>
          <w:rFonts w:hint="eastAsia" w:eastAsiaTheme="minorEastAsia"/>
          <w:bCs/>
          <w:iCs/>
          <w:color w:val="000000" w:themeColor="text1"/>
        </w:rPr>
        <w:t>技改后全厂项目设备情况见下表所示：</w:t>
      </w:r>
    </w:p>
    <w:p>
      <w:pPr>
        <w:widowControl/>
        <w:ind w:firstLine="0" w:firstLineChars="0"/>
        <w:jc w:val="center"/>
        <w:rPr>
          <w:rFonts w:eastAsiaTheme="minorEastAsia"/>
          <w:b/>
          <w:color w:val="000000" w:themeColor="text1"/>
          <w:sz w:val="21"/>
          <w:szCs w:val="20"/>
        </w:rPr>
      </w:pPr>
    </w:p>
    <w:p>
      <w:pPr>
        <w:widowControl/>
        <w:ind w:firstLine="0" w:firstLineChars="0"/>
        <w:jc w:val="center"/>
        <w:rPr>
          <w:rFonts w:eastAsiaTheme="minorEastAsia"/>
          <w:b/>
          <w:color w:val="000000" w:themeColor="text1"/>
          <w:sz w:val="21"/>
          <w:szCs w:val="20"/>
        </w:rPr>
      </w:pP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表3.</w:t>
      </w:r>
      <w:r>
        <w:rPr>
          <w:rFonts w:hint="eastAsia" w:eastAsiaTheme="minorEastAsia"/>
          <w:b/>
          <w:color w:val="000000" w:themeColor="text1"/>
          <w:sz w:val="21"/>
          <w:szCs w:val="20"/>
        </w:rPr>
        <w:t>6</w:t>
      </w:r>
      <w:r>
        <w:rPr>
          <w:rFonts w:eastAsiaTheme="minorEastAsia"/>
          <w:b/>
          <w:color w:val="000000" w:themeColor="text1"/>
          <w:sz w:val="21"/>
          <w:szCs w:val="20"/>
        </w:rPr>
        <w:t>-</w:t>
      </w:r>
      <w:r>
        <w:rPr>
          <w:rFonts w:hint="eastAsia" w:eastAsiaTheme="minorEastAsia"/>
          <w:b/>
          <w:color w:val="000000" w:themeColor="text1"/>
          <w:sz w:val="21"/>
          <w:szCs w:val="20"/>
        </w:rPr>
        <w:t>2技改后全厂项目</w:t>
      </w:r>
      <w:r>
        <w:rPr>
          <w:rFonts w:eastAsiaTheme="minorEastAsia"/>
          <w:b/>
          <w:color w:val="000000" w:themeColor="text1"/>
          <w:sz w:val="21"/>
          <w:szCs w:val="20"/>
        </w:rPr>
        <w:t>主要生产设备一览表</w:t>
      </w:r>
    </w:p>
    <w:tbl>
      <w:tblPr>
        <w:tblStyle w:val="61"/>
        <w:tblW w:w="8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993"/>
        <w:gridCol w:w="2893"/>
        <w:gridCol w:w="1458"/>
        <w:gridCol w:w="529"/>
        <w:gridCol w:w="1059"/>
        <w:gridCol w:w="1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序号</w:t>
            </w:r>
          </w:p>
        </w:tc>
        <w:tc>
          <w:tcPr>
            <w:tcW w:w="9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系统</w:t>
            </w: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设备名称</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规格及型号</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单位</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数量</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993" w:type="dxa"/>
            <w:vMerge w:val="restart"/>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color w:val="000000" w:themeColor="text1"/>
                <w:kern w:val="24"/>
                <w:sz w:val="21"/>
                <w:szCs w:val="21"/>
              </w:rPr>
              <w:t>原料加工处理站</w:t>
            </w: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1#鄂式破碎机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9" w:type="dxa"/>
            <w:vMerge w:val="restart"/>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w:t>
            </w:r>
          </w:p>
        </w:tc>
        <w:tc>
          <w:tcPr>
            <w:tcW w:w="993" w:type="dxa"/>
            <w:vMerge w:val="continue"/>
            <w:shd w:val="clear" w:color="auto" w:fill="auto"/>
            <w:vAlign w:val="center"/>
          </w:tcPr>
          <w:p>
            <w:pPr>
              <w:spacing w:line="240" w:lineRule="auto"/>
              <w:ind w:firstLine="0" w:firstLineChars="0"/>
              <w:jc w:val="center"/>
              <w:rPr>
                <w:rFonts w:eastAsiaTheme="minorEastAsia"/>
                <w:color w:val="000000" w:themeColor="text1"/>
                <w:kern w:val="24"/>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2#鄂式破碎机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w:t>
            </w:r>
            <w:r>
              <w:rPr>
                <w:rFonts w:eastAsiaTheme="minorEastAsia"/>
                <w:bCs/>
                <w:iCs/>
                <w:color w:val="000000" w:themeColor="text1"/>
                <w:sz w:val="21"/>
                <w:szCs w:val="21"/>
              </w:rPr>
              <w:t>圆锥破碎机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HPY-500</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4</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w:t>
            </w:r>
            <w:r>
              <w:rPr>
                <w:rFonts w:eastAsiaTheme="minorEastAsia"/>
                <w:bCs/>
                <w:iCs/>
                <w:color w:val="000000" w:themeColor="text1"/>
                <w:sz w:val="21"/>
                <w:szCs w:val="21"/>
              </w:rPr>
              <w:t>圆锥破碎机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CS-400</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5</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电磁滚筒</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6</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1#振动</w:t>
            </w:r>
            <w:r>
              <w:rPr>
                <w:rFonts w:eastAsiaTheme="minorEastAsia"/>
                <w:bCs/>
                <w:iCs/>
                <w:color w:val="000000" w:themeColor="text1"/>
                <w:sz w:val="21"/>
                <w:szCs w:val="21"/>
              </w:rPr>
              <w:t>筛</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TS-1635</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7</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2#振动</w:t>
            </w:r>
            <w:r>
              <w:rPr>
                <w:rFonts w:eastAsiaTheme="minorEastAsia"/>
                <w:bCs/>
                <w:iCs/>
                <w:color w:val="000000" w:themeColor="text1"/>
                <w:sz w:val="21"/>
                <w:szCs w:val="21"/>
              </w:rPr>
              <w:t>筛</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8</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3#振动</w:t>
            </w:r>
            <w:r>
              <w:rPr>
                <w:rFonts w:eastAsiaTheme="minorEastAsia"/>
                <w:bCs/>
                <w:iCs/>
                <w:color w:val="000000" w:themeColor="text1"/>
                <w:sz w:val="21"/>
                <w:szCs w:val="21"/>
              </w:rPr>
              <w:t>筛</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9</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水平筛</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JT3-2060</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10</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制砂机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VK-9</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11</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斗轮洗砂机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XS-1520</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12</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皮带</w:t>
            </w:r>
            <w:r>
              <w:rPr>
                <w:rFonts w:hint="eastAsia" w:eastAsiaTheme="minorEastAsia"/>
                <w:bCs/>
                <w:iCs/>
                <w:color w:val="000000" w:themeColor="text1"/>
                <w:sz w:val="21"/>
                <w:szCs w:val="21"/>
              </w:rPr>
              <w:t>输送机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条</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23</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13</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布袋除尘器</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套</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14</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喷淋装置</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套</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15</w:t>
            </w:r>
          </w:p>
        </w:tc>
        <w:tc>
          <w:tcPr>
            <w:tcW w:w="993" w:type="dxa"/>
            <w:vMerge w:val="restart"/>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原项目选矿车间</w:t>
            </w:r>
          </w:p>
        </w:tc>
        <w:tc>
          <w:tcPr>
            <w:tcW w:w="2893"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螺旋溜槽</w:t>
            </w:r>
          </w:p>
        </w:tc>
        <w:tc>
          <w:tcPr>
            <w:tcW w:w="1458"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1500</w:t>
            </w:r>
          </w:p>
        </w:tc>
        <w:tc>
          <w:tcPr>
            <w:tcW w:w="529"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color w:val="000000" w:themeColor="text1"/>
                <w:sz w:val="21"/>
                <w:szCs w:val="21"/>
              </w:rPr>
              <w:t>3</w:t>
            </w:r>
          </w:p>
        </w:tc>
        <w:tc>
          <w:tcPr>
            <w:tcW w:w="1059" w:type="dxa"/>
            <w:vMerge w:val="restart"/>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16</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球磨机</w:t>
            </w:r>
          </w:p>
        </w:tc>
        <w:tc>
          <w:tcPr>
            <w:tcW w:w="1458"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w:t>
            </w:r>
          </w:p>
        </w:tc>
        <w:tc>
          <w:tcPr>
            <w:tcW w:w="529"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台</w:t>
            </w:r>
          </w:p>
        </w:tc>
        <w:tc>
          <w:tcPr>
            <w:tcW w:w="1059"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17</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永磁磁选机</w:t>
            </w:r>
          </w:p>
        </w:tc>
        <w:tc>
          <w:tcPr>
            <w:tcW w:w="1458"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CTB-900×210</w:t>
            </w:r>
          </w:p>
        </w:tc>
        <w:tc>
          <w:tcPr>
            <w:tcW w:w="529"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color w:val="000000" w:themeColor="text1"/>
                <w:sz w:val="21"/>
                <w:szCs w:val="21"/>
              </w:rPr>
              <w:t>12</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18</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高梯度磁选机</w:t>
            </w:r>
          </w:p>
        </w:tc>
        <w:tc>
          <w:tcPr>
            <w:tcW w:w="1458"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529"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color w:val="000000" w:themeColor="text1"/>
                <w:sz w:val="21"/>
                <w:szCs w:val="21"/>
              </w:rPr>
              <w:t>5</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19</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摇床</w:t>
            </w:r>
          </w:p>
        </w:tc>
        <w:tc>
          <w:tcPr>
            <w:tcW w:w="1458"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w:t>
            </w:r>
          </w:p>
        </w:tc>
        <w:tc>
          <w:tcPr>
            <w:tcW w:w="529"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color w:val="000000" w:themeColor="text1"/>
                <w:sz w:val="21"/>
                <w:szCs w:val="21"/>
              </w:rPr>
              <w:t>64</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20</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浮选槽</w:t>
            </w:r>
          </w:p>
        </w:tc>
        <w:tc>
          <w:tcPr>
            <w:tcW w:w="1458"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24槽</w:t>
            </w:r>
          </w:p>
        </w:tc>
        <w:tc>
          <w:tcPr>
            <w:tcW w:w="529"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套</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color w:val="000000" w:themeColor="text1"/>
                <w:sz w:val="21"/>
                <w:szCs w:val="21"/>
              </w:rPr>
              <w:t>2</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21</w:t>
            </w:r>
          </w:p>
        </w:tc>
        <w:tc>
          <w:tcPr>
            <w:tcW w:w="993" w:type="dxa"/>
            <w:vMerge w:val="restart"/>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本项目</w:t>
            </w:r>
            <w:r>
              <w:rPr>
                <w:rFonts w:eastAsiaTheme="minorEastAsia"/>
                <w:bCs/>
                <w:iCs/>
                <w:color w:val="000000" w:themeColor="text1"/>
                <w:sz w:val="21"/>
                <w:szCs w:val="21"/>
              </w:rPr>
              <w:t>磨磁车间</w:t>
            </w:r>
          </w:p>
        </w:tc>
        <w:tc>
          <w:tcPr>
            <w:tcW w:w="2893"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球磨机</w:t>
            </w:r>
          </w:p>
        </w:tc>
        <w:tc>
          <w:tcPr>
            <w:tcW w:w="1458" w:type="dxa"/>
            <w:shd w:val="clear" w:color="auto" w:fill="auto"/>
            <w:vAlign w:val="center"/>
          </w:tcPr>
          <w:p>
            <w:pPr>
              <w:pStyle w:val="126"/>
              <w:tabs>
                <w:tab w:val="left" w:pos="1960"/>
              </w:tabs>
              <w:rPr>
                <w:rFonts w:eastAsia="宋体"/>
                <w:color w:val="000000" w:themeColor="text1"/>
                <w:lang w:eastAsia="zh-CN"/>
              </w:rPr>
            </w:pPr>
            <w:r>
              <w:rPr>
                <w:rFonts w:hint="eastAsia" w:eastAsia="宋体"/>
                <w:color w:val="000000" w:themeColor="text1"/>
                <w:lang w:eastAsia="zh-CN"/>
              </w:rPr>
              <w:t>3245</w:t>
            </w:r>
          </w:p>
        </w:tc>
        <w:tc>
          <w:tcPr>
            <w:tcW w:w="529"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台</w:t>
            </w:r>
          </w:p>
        </w:tc>
        <w:tc>
          <w:tcPr>
            <w:tcW w:w="1059"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1</w:t>
            </w:r>
          </w:p>
        </w:tc>
        <w:tc>
          <w:tcPr>
            <w:tcW w:w="1059" w:type="dxa"/>
            <w:vMerge w:val="restart"/>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22</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球磨机</w:t>
            </w:r>
          </w:p>
        </w:tc>
        <w:tc>
          <w:tcPr>
            <w:tcW w:w="1458" w:type="dxa"/>
            <w:shd w:val="clear" w:color="auto" w:fill="auto"/>
            <w:vAlign w:val="center"/>
          </w:tcPr>
          <w:p>
            <w:pPr>
              <w:pStyle w:val="126"/>
              <w:tabs>
                <w:tab w:val="left" w:pos="1960"/>
              </w:tabs>
              <w:rPr>
                <w:rFonts w:eastAsia="宋体"/>
                <w:color w:val="000000" w:themeColor="text1"/>
                <w:lang w:eastAsia="zh-CN"/>
              </w:rPr>
            </w:pPr>
            <w:r>
              <w:rPr>
                <w:rFonts w:hint="eastAsia" w:eastAsia="宋体"/>
                <w:color w:val="000000" w:themeColor="text1"/>
                <w:lang w:eastAsia="zh-CN"/>
              </w:rPr>
              <w:t>2436</w:t>
            </w:r>
          </w:p>
        </w:tc>
        <w:tc>
          <w:tcPr>
            <w:tcW w:w="529" w:type="dxa"/>
            <w:shd w:val="clear" w:color="auto" w:fill="auto"/>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台</w:t>
            </w:r>
          </w:p>
        </w:tc>
        <w:tc>
          <w:tcPr>
            <w:tcW w:w="1059" w:type="dxa"/>
            <w:shd w:val="clear" w:color="auto" w:fill="auto"/>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2</w:t>
            </w:r>
          </w:p>
        </w:tc>
        <w:tc>
          <w:tcPr>
            <w:tcW w:w="1059" w:type="dxa"/>
            <w:vMerge w:val="continue"/>
            <w:shd w:val="clear" w:color="auto" w:fill="auto"/>
            <w:vAlign w:val="center"/>
          </w:tcPr>
          <w:p>
            <w:pPr>
              <w:pStyle w:val="126"/>
              <w:tabs>
                <w:tab w:val="left" w:pos="1960"/>
              </w:tabs>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23</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立磨机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TM400</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24</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干式永磁筒式磁选机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CTG-69/9</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25</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湿式强磁场磁选机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CS-3</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26</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永磁筒式磁选机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CTB-44</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27</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平板磁选机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2</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28</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lang w:val="en-GB"/>
              </w:rPr>
            </w:pPr>
            <w:r>
              <w:rPr>
                <w:rFonts w:hint="eastAsia" w:eastAsiaTheme="minorEastAsia"/>
                <w:bCs/>
                <w:iCs/>
                <w:color w:val="000000" w:themeColor="text1"/>
                <w:sz w:val="21"/>
                <w:szCs w:val="21"/>
                <w:lang w:val="en-GB"/>
              </w:rPr>
              <w:t>弱磁选机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29</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渣浆泵</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2</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30</w:t>
            </w:r>
          </w:p>
        </w:tc>
        <w:tc>
          <w:tcPr>
            <w:tcW w:w="993"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旋流器</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4</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31</w:t>
            </w:r>
          </w:p>
        </w:tc>
        <w:tc>
          <w:tcPr>
            <w:tcW w:w="9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脱水车间</w:t>
            </w: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陶瓷过滤机</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2</w:t>
            </w:r>
          </w:p>
        </w:tc>
        <w:tc>
          <w:tcPr>
            <w:tcW w:w="1059" w:type="dxa"/>
            <w:vMerge w:val="continue"/>
            <w:shd w:val="clear" w:color="auto" w:fill="auto"/>
            <w:vAlign w:val="center"/>
          </w:tcPr>
          <w:p>
            <w:pPr>
              <w:spacing w:line="240" w:lineRule="auto"/>
              <w:ind w:firstLine="0" w:firstLineChars="0"/>
              <w:jc w:val="center"/>
              <w:rPr>
                <w:rFonts w:eastAsiaTheme="minorEastAsia"/>
                <w:bCs/>
                <w:i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32</w:t>
            </w:r>
          </w:p>
        </w:tc>
        <w:tc>
          <w:tcPr>
            <w:tcW w:w="9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尾矿输送</w:t>
            </w: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隔膜泵</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台</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534"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33</w:t>
            </w:r>
          </w:p>
        </w:tc>
        <w:tc>
          <w:tcPr>
            <w:tcW w:w="9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共用</w:t>
            </w:r>
          </w:p>
        </w:tc>
        <w:tc>
          <w:tcPr>
            <w:tcW w:w="2893"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一体化污水处理设施</w:t>
            </w:r>
          </w:p>
        </w:tc>
        <w:tc>
          <w:tcPr>
            <w:tcW w:w="1458"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color w:val="000000" w:themeColor="text1"/>
                <w:kern w:val="24"/>
                <w:sz w:val="21"/>
                <w:szCs w:val="21"/>
              </w:rPr>
              <w:t>处理规模15m</w:t>
            </w:r>
            <w:r>
              <w:rPr>
                <w:rFonts w:eastAsiaTheme="minorEastAsia"/>
                <w:color w:val="000000" w:themeColor="text1"/>
                <w:kern w:val="24"/>
                <w:sz w:val="21"/>
                <w:szCs w:val="21"/>
                <w:vertAlign w:val="superscript"/>
              </w:rPr>
              <w:t>3</w:t>
            </w:r>
            <w:r>
              <w:rPr>
                <w:rFonts w:eastAsiaTheme="minorEastAsia"/>
                <w:color w:val="000000" w:themeColor="text1"/>
                <w:kern w:val="24"/>
                <w:sz w:val="21"/>
                <w:szCs w:val="21"/>
              </w:rPr>
              <w:t>/d</w:t>
            </w:r>
          </w:p>
        </w:tc>
        <w:tc>
          <w:tcPr>
            <w:tcW w:w="52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套</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w:t>
            </w:r>
          </w:p>
        </w:tc>
        <w:tc>
          <w:tcPr>
            <w:tcW w:w="1059" w:type="dxa"/>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新建</w:t>
            </w:r>
          </w:p>
        </w:tc>
      </w:tr>
    </w:tbl>
    <w:p>
      <w:pPr>
        <w:pStyle w:val="574"/>
        <w:spacing w:beforeLines="0" w:afterLines="0"/>
        <w:rPr>
          <w:rFonts w:eastAsiaTheme="minorEastAsia"/>
          <w:color w:val="000000" w:themeColor="text1"/>
          <w:sz w:val="30"/>
          <w:szCs w:val="30"/>
        </w:rPr>
      </w:pPr>
      <w:bookmarkStart w:id="450" w:name="_Toc23870"/>
      <w:r>
        <w:rPr>
          <w:rFonts w:hint="eastAsia" w:eastAsiaTheme="minorEastAsia"/>
          <w:color w:val="000000" w:themeColor="text1"/>
          <w:sz w:val="30"/>
          <w:szCs w:val="30"/>
        </w:rPr>
        <w:t>3</w:t>
      </w:r>
      <w:r>
        <w:rPr>
          <w:rFonts w:eastAsiaTheme="minorEastAsia"/>
          <w:color w:val="000000" w:themeColor="text1"/>
          <w:sz w:val="30"/>
          <w:szCs w:val="30"/>
        </w:rPr>
        <w:t>.</w:t>
      </w:r>
      <w:r>
        <w:rPr>
          <w:rFonts w:hint="eastAsia" w:eastAsiaTheme="minorEastAsia"/>
          <w:color w:val="000000" w:themeColor="text1"/>
          <w:sz w:val="30"/>
          <w:szCs w:val="30"/>
        </w:rPr>
        <w:t>7</w:t>
      </w:r>
      <w:r>
        <w:rPr>
          <w:rFonts w:eastAsiaTheme="minorEastAsia"/>
          <w:color w:val="000000" w:themeColor="text1"/>
          <w:sz w:val="30"/>
          <w:szCs w:val="30"/>
        </w:rPr>
        <w:t>项目所依托的龙都尾矿库</w:t>
      </w:r>
      <w:bookmarkEnd w:id="450"/>
    </w:p>
    <w:p>
      <w:pPr>
        <w:pStyle w:val="6"/>
        <w:spacing w:beforeLines="0" w:afterLines="0"/>
        <w:rPr>
          <w:rFonts w:eastAsiaTheme="minorEastAsia"/>
          <w:color w:val="000000" w:themeColor="text1"/>
          <w:sz w:val="28"/>
          <w:szCs w:val="28"/>
        </w:rPr>
      </w:pPr>
      <w:bookmarkStart w:id="451" w:name="_Toc30111"/>
      <w:r>
        <w:rPr>
          <w:rFonts w:eastAsiaTheme="minorEastAsia"/>
          <w:color w:val="000000" w:themeColor="text1"/>
          <w:sz w:val="28"/>
          <w:szCs w:val="28"/>
        </w:rPr>
        <w:t>3.</w:t>
      </w:r>
      <w:r>
        <w:rPr>
          <w:rFonts w:hint="eastAsia" w:eastAsiaTheme="minorEastAsia"/>
          <w:color w:val="000000" w:themeColor="text1"/>
          <w:sz w:val="28"/>
          <w:szCs w:val="28"/>
        </w:rPr>
        <w:t>7</w:t>
      </w:r>
      <w:r>
        <w:rPr>
          <w:rFonts w:eastAsiaTheme="minorEastAsia"/>
          <w:color w:val="000000" w:themeColor="text1"/>
          <w:sz w:val="28"/>
          <w:szCs w:val="28"/>
        </w:rPr>
        <w:t>.1龙都尾矿库</w:t>
      </w:r>
      <w:bookmarkEnd w:id="451"/>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3.</w:t>
      </w:r>
      <w:r>
        <w:rPr>
          <w:rFonts w:hint="eastAsia" w:eastAsiaTheme="minorEastAsia"/>
          <w:b/>
          <w:color w:val="000000" w:themeColor="text1"/>
          <w:kern w:val="0"/>
          <w:szCs w:val="24"/>
        </w:rPr>
        <w:t>7</w:t>
      </w:r>
      <w:r>
        <w:rPr>
          <w:rFonts w:eastAsiaTheme="minorEastAsia"/>
          <w:b/>
          <w:color w:val="000000" w:themeColor="text1"/>
          <w:kern w:val="0"/>
          <w:szCs w:val="24"/>
        </w:rPr>
        <w:t>.1.1概况</w:t>
      </w:r>
    </w:p>
    <w:p>
      <w:pPr>
        <w:ind w:firstLine="480"/>
        <w:rPr>
          <w:rFonts w:eastAsiaTheme="minorEastAsia"/>
          <w:color w:val="000000" w:themeColor="text1"/>
          <w:szCs w:val="24"/>
        </w:rPr>
      </w:pPr>
      <w:r>
        <w:rPr>
          <w:rFonts w:eastAsiaTheme="minorEastAsia"/>
          <w:color w:val="000000" w:themeColor="text1"/>
          <w:szCs w:val="24"/>
        </w:rPr>
        <w:t>玉溪大红山矿业有限公司地处玉溪市新平县戛洒镇，矿区面积约5.23平方公里，矿区现探明铁矿石储量4.58亿吨，为国内地下特大型铁矿山，目前已形成了年开采加工1100万吨的生产能力和生产铁成品矿约400万吨的规模，配套有一选厂50万t/a、二选厂400万t/a、三选厂550万t/a。</w:t>
      </w:r>
    </w:p>
    <w:p>
      <w:pPr>
        <w:ind w:firstLine="480"/>
        <w:rPr>
          <w:rFonts w:eastAsiaTheme="minorEastAsia"/>
          <w:color w:val="000000" w:themeColor="text1"/>
          <w:szCs w:val="24"/>
        </w:rPr>
      </w:pPr>
      <w:r>
        <w:rPr>
          <w:rFonts w:eastAsiaTheme="minorEastAsia"/>
          <w:color w:val="000000" w:themeColor="text1"/>
          <w:szCs w:val="24"/>
        </w:rPr>
        <w:t>龙都尾矿库为昆钢和玉溪矿业公司铁、铜矿采选工程的配套项目，两公司共同出资于1997年7月建成尾矿库并投入使用。龙都尾矿库最早于1997年7月建成并投入使用，尾矿库早期环评包含在玉溪矿业公司大红山铜矿一选厂一期工程中</w:t>
      </w:r>
      <w:r>
        <w:rPr>
          <w:rFonts w:hint="eastAsia" w:eastAsiaTheme="minorEastAsia"/>
          <w:color w:val="000000" w:themeColor="text1"/>
          <w:szCs w:val="24"/>
        </w:rPr>
        <w:t>（</w:t>
      </w:r>
      <w:r>
        <w:rPr>
          <w:rFonts w:eastAsiaTheme="minorEastAsia"/>
          <w:color w:val="000000" w:themeColor="text1"/>
          <w:szCs w:val="24"/>
        </w:rPr>
        <w:t>（89）云环开字第134号），并于1998年6月由原云南省环境</w:t>
      </w:r>
      <w:r>
        <w:rPr>
          <w:rStyle w:val="73"/>
          <w:rFonts w:hint="eastAsia"/>
          <w:color w:val="000000" w:themeColor="text1"/>
          <w:kern w:val="0"/>
          <w:sz w:val="24"/>
          <w:szCs w:val="24"/>
        </w:rPr>
        <w:t>保护</w:t>
      </w:r>
      <w:r>
        <w:rPr>
          <w:rFonts w:eastAsiaTheme="minorEastAsia"/>
          <w:color w:val="000000" w:themeColor="text1"/>
          <w:szCs w:val="24"/>
        </w:rPr>
        <w:t>局主持竣工环境保护验收。</w:t>
      </w:r>
    </w:p>
    <w:p>
      <w:pPr>
        <w:ind w:firstLine="480"/>
        <w:rPr>
          <w:rFonts w:eastAsiaTheme="minorEastAsia"/>
          <w:color w:val="000000" w:themeColor="text1"/>
          <w:szCs w:val="24"/>
        </w:rPr>
      </w:pPr>
      <w:r>
        <w:rPr>
          <w:rFonts w:eastAsiaTheme="minorEastAsia"/>
          <w:color w:val="000000" w:themeColor="text1"/>
          <w:szCs w:val="24"/>
        </w:rPr>
        <w:t>2013年5月玉溪市环境保护局以《关于大红山龙都尾矿库中期中线法堆坝建设项目试运行的批复》（环试[2013]15号）同意项目试运行。玉溪矿业有限公司于2013年5月委托云南省环境监测中心站对大红山龙都尾矿库中期中线法堆坝建设项目进行工程竣工环保验收工作。云南省环境监测中心站于2014年3月编制完成了《大红山龙都尾矿库中期中线法堆坝建设项目竣工环境保护验收监测报告》（云环监字（技）[2014-011]号），玉溪矿业有限公司于2015年5月3取得了云南省环境保护厅下发的竣工环境保护验收批复（云环验[2015]36号）。</w:t>
      </w:r>
    </w:p>
    <w:p>
      <w:pPr>
        <w:ind w:firstLine="480"/>
        <w:rPr>
          <w:rFonts w:eastAsiaTheme="minorEastAsia"/>
          <w:color w:val="000000" w:themeColor="text1"/>
          <w:szCs w:val="24"/>
        </w:rPr>
      </w:pPr>
      <w:r>
        <w:rPr>
          <w:rFonts w:eastAsiaTheme="minorEastAsia"/>
          <w:color w:val="000000" w:themeColor="text1"/>
          <w:szCs w:val="24"/>
        </w:rPr>
        <w:t>2019年4月，昆明有色冶金设计研究院股份公司编制了《大红山龙都尾矿库中期中线法堆坝建设项目环境影响后评价报告》，并于2020年2月18日取得了《云南省生态环境厅关于大红山龙都尾矿库中期中线法堆坝建设项目环境影响后评价报告备案的函》（云环函[2020]87号）</w:t>
      </w:r>
      <w:r>
        <w:rPr>
          <w:rFonts w:hint="eastAsia" w:eastAsiaTheme="minorEastAsia"/>
          <w:color w:val="000000" w:themeColor="text1"/>
          <w:szCs w:val="24"/>
        </w:rPr>
        <w:t>。</w:t>
      </w:r>
    </w:p>
    <w:p>
      <w:pPr>
        <w:ind w:firstLine="480"/>
        <w:rPr>
          <w:rFonts w:eastAsiaTheme="minorEastAsia"/>
          <w:color w:val="000000" w:themeColor="text1"/>
          <w:szCs w:val="24"/>
        </w:rPr>
      </w:pPr>
      <w:r>
        <w:rPr>
          <w:rFonts w:hint="eastAsia" w:eastAsiaTheme="minorEastAsia"/>
          <w:color w:val="000000" w:themeColor="text1"/>
          <w:szCs w:val="24"/>
        </w:rPr>
        <w:t>龙都尾矿库</w:t>
      </w:r>
      <w:r>
        <w:rPr>
          <w:rFonts w:eastAsiaTheme="minorEastAsia"/>
          <w:color w:val="000000" w:themeColor="text1"/>
          <w:szCs w:val="24"/>
        </w:rPr>
        <w:t>主要由尾矿库区、尾矿库坝体、排水设施、尾矿输送及回水系统、事故收集设施等构成，占地面积为161.25hm</w:t>
      </w:r>
      <w:r>
        <w:rPr>
          <w:rFonts w:eastAsiaTheme="minorEastAsia"/>
          <w:color w:val="000000" w:themeColor="text1"/>
          <w:szCs w:val="24"/>
          <w:vertAlign w:val="superscript"/>
        </w:rPr>
        <w:t>2</w:t>
      </w:r>
      <w:r>
        <w:rPr>
          <w:rFonts w:eastAsiaTheme="minorEastAsia"/>
          <w:color w:val="000000" w:themeColor="text1"/>
          <w:szCs w:val="24"/>
        </w:rPr>
        <w:t>，属山谷型尾矿库，最终堆积标高为730m，总库容1.2亿m</w:t>
      </w:r>
      <w:r>
        <w:rPr>
          <w:rFonts w:eastAsiaTheme="minorEastAsia"/>
          <w:color w:val="000000" w:themeColor="text1"/>
          <w:szCs w:val="24"/>
          <w:vertAlign w:val="superscript"/>
        </w:rPr>
        <w:t>3</w:t>
      </w:r>
      <w:r>
        <w:rPr>
          <w:rFonts w:eastAsiaTheme="minorEastAsia"/>
          <w:color w:val="000000" w:themeColor="text1"/>
          <w:szCs w:val="24"/>
        </w:rPr>
        <w:t>，设计坝高210m，为二等库。尾矿库启用时间为1997年，根据《大红山龙都尾矿库中前期尾矿堆坝稳定性分析岩土工程勘察报告》（2019年8月）材料表明，尾矿库从投入生产到2019年8月尾矿库的堆放量为5400万m</w:t>
      </w:r>
      <w:r>
        <w:rPr>
          <w:rFonts w:eastAsiaTheme="minorEastAsia"/>
          <w:color w:val="000000" w:themeColor="text1"/>
          <w:szCs w:val="24"/>
          <w:vertAlign w:val="superscript"/>
        </w:rPr>
        <w:t>3</w:t>
      </w:r>
      <w:r>
        <w:rPr>
          <w:rFonts w:eastAsiaTheme="minorEastAsia"/>
          <w:color w:val="000000" w:themeColor="text1"/>
          <w:szCs w:val="24"/>
        </w:rPr>
        <w:t>。</w:t>
      </w:r>
    </w:p>
    <w:p>
      <w:pPr>
        <w:ind w:firstLine="480"/>
        <w:rPr>
          <w:rFonts w:eastAsiaTheme="minorEastAsia"/>
          <w:color w:val="000000" w:themeColor="text1"/>
          <w:szCs w:val="24"/>
        </w:rPr>
      </w:pPr>
      <w:r>
        <w:rPr>
          <w:rFonts w:eastAsiaTheme="minorEastAsia"/>
          <w:color w:val="000000" w:themeColor="text1"/>
          <w:szCs w:val="24"/>
        </w:rPr>
        <w:t>玉溪矿业有限公司于2013年5月委托昆明有色冶金设计研究院股份公司编制了《大红山龙都尾矿库中后期筑坝工程初步设计》，于2015年5月19日取得了原云南省环境保护厅的环境保护验收意见（云环验</w:t>
      </w:r>
      <w:r>
        <w:rPr>
          <w:color w:val="000000" w:themeColor="text1"/>
          <w:szCs w:val="24"/>
        </w:rPr>
        <w:t>〔2015〕36号</w:t>
      </w:r>
      <w:r>
        <w:rPr>
          <w:rFonts w:eastAsiaTheme="minorEastAsia"/>
          <w:color w:val="000000" w:themeColor="text1"/>
          <w:szCs w:val="24"/>
        </w:rPr>
        <w:t>）。2016年9月，委托云南安科安全技术有限公司编制了《玉溪矿业有限公司大红山铜矿龙都尾矿库安全现状评价报告》，2019年5月24日玉溪矿业有限公司编制了《玉溪矿业有限公司大红山龙都尾矿库突发环境事件专项应急预案（第三版）》和《玉溪矿业有限公司大红山龙都尾矿库突发环境事件风险评估报告（第三版）》，2019年8月，委托中国有色金属工业昆明勘察设计研究院有限公司编制了《大红山龙都尾矿库中前期尾矿堆坝稳定性分析岩土工程勘察报告》。</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3.</w:t>
      </w:r>
      <w:r>
        <w:rPr>
          <w:rFonts w:hint="eastAsia" w:eastAsiaTheme="minorEastAsia"/>
          <w:b/>
          <w:color w:val="000000" w:themeColor="text1"/>
          <w:kern w:val="0"/>
          <w:szCs w:val="24"/>
        </w:rPr>
        <w:t>7</w:t>
      </w:r>
      <w:r>
        <w:rPr>
          <w:rFonts w:eastAsiaTheme="minorEastAsia"/>
          <w:b/>
          <w:color w:val="000000" w:themeColor="text1"/>
          <w:kern w:val="0"/>
          <w:szCs w:val="24"/>
        </w:rPr>
        <w:t>.1.2尾矿库主要构筑物</w:t>
      </w:r>
    </w:p>
    <w:p>
      <w:pPr>
        <w:pStyle w:val="78"/>
        <w:ind w:firstLine="480"/>
        <w:rPr>
          <w:rFonts w:eastAsiaTheme="minorEastAsia"/>
          <w:color w:val="000000" w:themeColor="text1"/>
          <w:szCs w:val="24"/>
        </w:rPr>
      </w:pPr>
      <w:r>
        <w:rPr>
          <w:rFonts w:eastAsiaTheme="minorEastAsia"/>
          <w:color w:val="000000" w:themeColor="text1"/>
          <w:szCs w:val="24"/>
        </w:rPr>
        <w:t>龙都尾矿库主要用于堆存玉溪矿业有限公司和昆钢大红山铁矿选矿产生的尾矿，自从新平县平安矿业开发有限公司与玉溪矿业有限公司签订了协议后，该尾矿库还接收新平县平安矿业开发有限公司磁选铁产生的尾矿，尾矿库主要由尾矿库区、初期坝、堆积坝、拦渣坝、尾矿输送系统、排渗系统、回水系统、事故收集池等构成，具体见下表所示：</w:t>
      </w:r>
    </w:p>
    <w:p>
      <w:pPr>
        <w:pStyle w:val="78"/>
        <w:ind w:firstLine="422"/>
        <w:jc w:val="center"/>
        <w:rPr>
          <w:rFonts w:eastAsiaTheme="minorEastAsia"/>
          <w:b/>
          <w:bCs/>
          <w:color w:val="000000" w:themeColor="text1"/>
          <w:sz w:val="21"/>
          <w:szCs w:val="21"/>
        </w:rPr>
      </w:pPr>
      <w:r>
        <w:rPr>
          <w:rFonts w:eastAsiaTheme="minorEastAsia"/>
          <w:b/>
          <w:bCs/>
          <w:color w:val="000000" w:themeColor="text1"/>
          <w:sz w:val="21"/>
          <w:szCs w:val="21"/>
        </w:rPr>
        <w:t>表3.</w:t>
      </w:r>
      <w:r>
        <w:rPr>
          <w:rFonts w:hint="eastAsia" w:eastAsiaTheme="minorEastAsia"/>
          <w:b/>
          <w:bCs/>
          <w:color w:val="000000" w:themeColor="text1"/>
          <w:sz w:val="21"/>
          <w:szCs w:val="21"/>
        </w:rPr>
        <w:t>7</w:t>
      </w:r>
      <w:r>
        <w:rPr>
          <w:rFonts w:eastAsiaTheme="minorEastAsia"/>
          <w:b/>
          <w:bCs/>
          <w:color w:val="000000" w:themeColor="text1"/>
          <w:sz w:val="21"/>
          <w:szCs w:val="21"/>
        </w:rPr>
        <w:t>-1龙都尾矿库主要构筑物一览表</w:t>
      </w:r>
    </w:p>
    <w:tbl>
      <w:tblPr>
        <w:tblStyle w:val="62"/>
        <w:tblW w:w="84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1"/>
        <w:gridCol w:w="6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9" w:hRule="atLeast"/>
        </w:trPr>
        <w:tc>
          <w:tcPr>
            <w:tcW w:w="2091"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构筑物</w:t>
            </w:r>
          </w:p>
        </w:tc>
        <w:tc>
          <w:tcPr>
            <w:tcW w:w="6329"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基本情况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9" w:hRule="atLeast"/>
        </w:trPr>
        <w:tc>
          <w:tcPr>
            <w:tcW w:w="2091"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尾矿库区</w:t>
            </w:r>
          </w:p>
        </w:tc>
        <w:tc>
          <w:tcPr>
            <w:tcW w:w="6329"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占地面积为161.25hm</w:t>
            </w:r>
            <w:r>
              <w:rPr>
                <w:rFonts w:eastAsiaTheme="minorEastAsia"/>
                <w:color w:val="000000" w:themeColor="text1"/>
                <w:sz w:val="21"/>
                <w:szCs w:val="21"/>
                <w:vertAlign w:val="superscript"/>
              </w:rPr>
              <w:t>2</w:t>
            </w:r>
            <w:r>
              <w:rPr>
                <w:rFonts w:eastAsiaTheme="minorEastAsia"/>
                <w:color w:val="000000" w:themeColor="text1"/>
                <w:sz w:val="21"/>
                <w:szCs w:val="21"/>
              </w:rPr>
              <w:t>，总库容1.2亿m</w:t>
            </w:r>
            <w:r>
              <w:rPr>
                <w:rFonts w:eastAsiaTheme="minorEastAsia"/>
                <w:color w:val="000000" w:themeColor="text1"/>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55" w:hRule="atLeast"/>
        </w:trPr>
        <w:tc>
          <w:tcPr>
            <w:tcW w:w="2091"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尾矿坝</w:t>
            </w:r>
          </w:p>
        </w:tc>
        <w:tc>
          <w:tcPr>
            <w:tcW w:w="6329"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初期坝坝顶标高550m，坝高30m，为透水堆石坝，子坝采用上游法堆积，堆积标高602m。下游拦渣坝，采用废石加高，加厚初期坝，标高至585m，坝顶宽度20m，子坝采用中线法堆坝，堆积标高为610-700m，10m一个台阶。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8" w:hRule="atLeast"/>
        </w:trPr>
        <w:tc>
          <w:tcPr>
            <w:tcW w:w="2091"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尾矿输送系统</w:t>
            </w:r>
          </w:p>
        </w:tc>
        <w:tc>
          <w:tcPr>
            <w:tcW w:w="6329"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通过泵将尾矿送至尾矿沟，自流进入龙都尾矿库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8" w:hRule="atLeast"/>
        </w:trPr>
        <w:tc>
          <w:tcPr>
            <w:tcW w:w="2091"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排渗系统</w:t>
            </w:r>
          </w:p>
        </w:tc>
        <w:tc>
          <w:tcPr>
            <w:tcW w:w="6329"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坝体建有横向和竖向排渗沟，并有排渗井，建有完备的坝体浸润线自动观测系统。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97" w:hRule="atLeast"/>
        </w:trPr>
        <w:tc>
          <w:tcPr>
            <w:tcW w:w="2091"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回水系统</w:t>
            </w:r>
          </w:p>
        </w:tc>
        <w:tc>
          <w:tcPr>
            <w:tcW w:w="6329"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回水方式为管道输送至大红山选矿区高位水池，通过泵站加压方式，回水率为85%，剩余15%经库区沉淀后通过排水井和隧洞达标排入戛洒江，已设有在线监控装置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8" w:hRule="atLeast"/>
        </w:trPr>
        <w:tc>
          <w:tcPr>
            <w:tcW w:w="2091"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排水系统</w:t>
            </w:r>
          </w:p>
        </w:tc>
        <w:tc>
          <w:tcPr>
            <w:tcW w:w="6329"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采用排水管+排水井+排洪隧洞形式排水。干滩和雨季洪水水位间设置临时挡水坝。排水设置了在线监控系统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8" w:hRule="atLeast"/>
        </w:trPr>
        <w:tc>
          <w:tcPr>
            <w:tcW w:w="2091"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事故收集池</w:t>
            </w:r>
          </w:p>
        </w:tc>
        <w:tc>
          <w:tcPr>
            <w:tcW w:w="6329"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尾矿库设置有1座事故池，可在事故状态下临时储存废水，池容为1230m</w:t>
            </w:r>
            <w:r>
              <w:rPr>
                <w:rFonts w:eastAsiaTheme="minorEastAsia"/>
                <w:color w:val="000000" w:themeColor="text1"/>
                <w:sz w:val="21"/>
                <w:szCs w:val="21"/>
                <w:vertAlign w:val="superscript"/>
              </w:rPr>
              <w:t>3</w:t>
            </w: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8" w:hRule="atLeast"/>
        </w:trPr>
        <w:tc>
          <w:tcPr>
            <w:tcW w:w="2091"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库外截洪设施</w:t>
            </w:r>
          </w:p>
        </w:tc>
        <w:tc>
          <w:tcPr>
            <w:tcW w:w="6329"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库区东北面有截洪沟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8" w:hRule="atLeast"/>
        </w:trPr>
        <w:tc>
          <w:tcPr>
            <w:tcW w:w="2091"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地下水监测井</w:t>
            </w:r>
          </w:p>
        </w:tc>
        <w:tc>
          <w:tcPr>
            <w:tcW w:w="6329" w:type="dxa"/>
            <w:vAlign w:val="center"/>
          </w:tcPr>
          <w:p>
            <w:pPr>
              <w:pStyle w:val="78"/>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在尾矿库下游设有1个地下水监测井。</w:t>
            </w:r>
          </w:p>
        </w:tc>
      </w:tr>
    </w:tbl>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3.</w:t>
      </w:r>
      <w:r>
        <w:rPr>
          <w:rFonts w:hint="eastAsia" w:eastAsiaTheme="minorEastAsia"/>
          <w:b/>
          <w:color w:val="000000" w:themeColor="text1"/>
          <w:kern w:val="0"/>
          <w:szCs w:val="24"/>
        </w:rPr>
        <w:t>7</w:t>
      </w:r>
      <w:r>
        <w:rPr>
          <w:rFonts w:eastAsiaTheme="minorEastAsia"/>
          <w:b/>
          <w:color w:val="000000" w:themeColor="text1"/>
          <w:kern w:val="0"/>
          <w:szCs w:val="24"/>
        </w:rPr>
        <w:t>.1.3龙都尾矿库系统组成</w:t>
      </w:r>
    </w:p>
    <w:p>
      <w:pPr>
        <w:pStyle w:val="2"/>
        <w:ind w:firstLine="480"/>
        <w:rPr>
          <w:rFonts w:ascii="Times New Roman" w:hAnsi="Times New Roman"/>
          <w:color w:val="000000" w:themeColor="text1"/>
          <w:lang w:eastAsia="zh-CN"/>
        </w:rPr>
      </w:pPr>
      <w:r>
        <w:rPr>
          <w:rFonts w:ascii="Times New Roman" w:hAnsi="Times New Roman"/>
          <w:color w:val="000000" w:themeColor="text1"/>
          <w:lang w:eastAsia="zh-CN"/>
        </w:rPr>
        <w:t>龙都尾矿库系统组成见下图所示：</w:t>
      </w:r>
    </w:p>
    <w:p>
      <w:pPr>
        <w:pStyle w:val="2"/>
        <w:ind w:firstLine="0" w:firstLineChars="0"/>
        <w:jc w:val="center"/>
        <w:rPr>
          <w:rFonts w:ascii="Times New Roman" w:hAnsi="Times New Roman"/>
          <w:b/>
          <w:bCs/>
          <w:color w:val="000000" w:themeColor="text1"/>
          <w:sz w:val="21"/>
          <w:szCs w:val="21"/>
          <w:lang w:eastAsia="zh-CN"/>
        </w:rPr>
      </w:pPr>
      <w:bookmarkStart w:id="452" w:name="_Toc29444"/>
      <w:bookmarkStart w:id="453" w:name="_Toc9837"/>
      <w:bookmarkStart w:id="454" w:name="_Toc3310"/>
      <w:bookmarkStart w:id="455" w:name="_Toc2099"/>
      <w:r>
        <w:rPr>
          <w:color w:val="000000" w:themeColor="text1"/>
        </w:rPr>
        <w:object>
          <v:shape id="_x0000_i1033" o:spt="75" type="#_x0000_t75" style="height:276.75pt;width:415.5pt;" o:ole="t" filled="f" o:preferrelative="t" stroked="f" coordsize="21600,21600">
            <v:path/>
            <v:fill on="f" focussize="0,0"/>
            <v:stroke on="f" joinstyle="miter"/>
            <v:imagedata r:id="rId50" o:title=""/>
            <o:lock v:ext="edit" aspectratio="f"/>
            <w10:wrap type="none"/>
            <w10:anchorlock/>
          </v:shape>
          <o:OLEObject Type="Embed" ProgID="Visio.Drawing.11" ShapeID="_x0000_i1033" DrawAspect="Content" ObjectID="_1468075732" r:id="rId49">
            <o:LockedField>false</o:LockedField>
          </o:OLEObject>
        </w:object>
      </w:r>
      <w:bookmarkEnd w:id="452"/>
      <w:bookmarkEnd w:id="453"/>
      <w:bookmarkEnd w:id="454"/>
      <w:bookmarkEnd w:id="455"/>
    </w:p>
    <w:p>
      <w:pPr>
        <w:pStyle w:val="2"/>
        <w:ind w:firstLine="0" w:firstLineChars="0"/>
        <w:jc w:val="center"/>
        <w:rPr>
          <w:rFonts w:ascii="Times New Roman" w:hAnsi="Times New Roman"/>
          <w:b/>
          <w:bCs/>
          <w:color w:val="000000" w:themeColor="text1"/>
          <w:sz w:val="21"/>
          <w:szCs w:val="21"/>
          <w:lang w:eastAsia="zh-CN"/>
        </w:rPr>
      </w:pPr>
      <w:r>
        <w:rPr>
          <w:rFonts w:ascii="Times New Roman" w:hAnsi="Times New Roman"/>
          <w:b/>
          <w:bCs/>
          <w:color w:val="000000" w:themeColor="text1"/>
          <w:sz w:val="21"/>
          <w:szCs w:val="21"/>
          <w:lang w:eastAsia="zh-CN"/>
        </w:rPr>
        <w:t>图3.</w:t>
      </w:r>
      <w:r>
        <w:rPr>
          <w:rFonts w:hint="eastAsia" w:ascii="Times New Roman" w:hAnsi="Times New Roman"/>
          <w:b/>
          <w:bCs/>
          <w:color w:val="000000" w:themeColor="text1"/>
          <w:sz w:val="21"/>
          <w:szCs w:val="21"/>
          <w:lang w:eastAsia="zh-CN"/>
        </w:rPr>
        <w:t>7</w:t>
      </w:r>
      <w:r>
        <w:rPr>
          <w:rFonts w:ascii="Times New Roman" w:hAnsi="Times New Roman"/>
          <w:b/>
          <w:bCs/>
          <w:color w:val="000000" w:themeColor="text1"/>
          <w:sz w:val="21"/>
          <w:szCs w:val="21"/>
          <w:lang w:eastAsia="zh-CN"/>
        </w:rPr>
        <w:t>-1大红山龙都尾矿库系统组成图</w:t>
      </w:r>
    </w:p>
    <w:p>
      <w:pPr>
        <w:pStyle w:val="6"/>
        <w:spacing w:beforeLines="0" w:afterLines="0"/>
        <w:rPr>
          <w:rFonts w:eastAsiaTheme="minorEastAsia"/>
          <w:color w:val="000000" w:themeColor="text1"/>
          <w:sz w:val="28"/>
          <w:szCs w:val="28"/>
        </w:rPr>
      </w:pPr>
      <w:bookmarkStart w:id="456" w:name="_Toc18798"/>
      <w:r>
        <w:rPr>
          <w:rFonts w:eastAsiaTheme="minorEastAsia"/>
          <w:color w:val="000000" w:themeColor="text1"/>
          <w:sz w:val="28"/>
          <w:szCs w:val="28"/>
        </w:rPr>
        <w:t>3.</w:t>
      </w:r>
      <w:r>
        <w:rPr>
          <w:rFonts w:hint="eastAsia" w:eastAsiaTheme="minorEastAsia"/>
          <w:color w:val="000000" w:themeColor="text1"/>
          <w:sz w:val="28"/>
          <w:szCs w:val="28"/>
        </w:rPr>
        <w:t>7</w:t>
      </w:r>
      <w:r>
        <w:rPr>
          <w:rFonts w:eastAsiaTheme="minorEastAsia"/>
          <w:color w:val="000000" w:themeColor="text1"/>
          <w:sz w:val="28"/>
          <w:szCs w:val="28"/>
        </w:rPr>
        <w:t>.2大红山选矿工程</w:t>
      </w:r>
      <w:bookmarkEnd w:id="456"/>
    </w:p>
    <w:p>
      <w:pPr>
        <w:ind w:firstLine="480"/>
        <w:rPr>
          <w:color w:val="000000" w:themeColor="text1"/>
          <w:szCs w:val="24"/>
        </w:rPr>
      </w:pPr>
      <w:r>
        <w:rPr>
          <w:rFonts w:eastAsiaTheme="minorEastAsia"/>
          <w:color w:val="000000" w:themeColor="text1"/>
          <w:szCs w:val="24"/>
        </w:rPr>
        <w:t>大红山共有</w:t>
      </w:r>
      <w:r>
        <w:rPr>
          <w:rFonts w:hint="eastAsia" w:eastAsiaTheme="minorEastAsia"/>
          <w:color w:val="000000" w:themeColor="text1"/>
          <w:szCs w:val="24"/>
        </w:rPr>
        <w:t>三</w:t>
      </w:r>
      <w:r>
        <w:rPr>
          <w:rFonts w:eastAsiaTheme="minorEastAsia"/>
          <w:color w:val="000000" w:themeColor="text1"/>
          <w:szCs w:val="24"/>
        </w:rPr>
        <w:t>个选矿厂，选矿采用三段一闭路碎矿，二段闭路，集中磨矿、浮选（一粗一扫二精），铁粗精矿再磨磁选</w:t>
      </w:r>
      <w:r>
        <w:rPr>
          <w:color w:val="000000" w:themeColor="text1"/>
          <w:szCs w:val="24"/>
        </w:rPr>
        <w:t>的联合工艺流程。主要工艺过程为：坑采矿石经井下粗碎后，由主斜井胶带运输机至地表，再由胶带运输机转运至选厂中间矿仓，在选厂经中间细碎、筛分、磨矿、浮选、磁选，脱水等作业后产出铜精矿、铁精矿。</w:t>
      </w:r>
    </w:p>
    <w:p>
      <w:pPr>
        <w:pStyle w:val="2"/>
        <w:numPr>
          <w:ilvl w:val="0"/>
          <w:numId w:val="29"/>
        </w:numPr>
        <w:ind w:firstLine="480"/>
        <w:rPr>
          <w:rFonts w:ascii="Times New Roman" w:hAnsi="Times New Roman"/>
          <w:color w:val="000000" w:themeColor="text1"/>
          <w:szCs w:val="24"/>
          <w:lang w:eastAsia="zh-CN"/>
        </w:rPr>
      </w:pPr>
      <w:r>
        <w:rPr>
          <w:rFonts w:ascii="Times New Roman" w:hAnsi="Times New Roman"/>
          <w:color w:val="000000" w:themeColor="text1"/>
          <w:szCs w:val="24"/>
          <w:lang w:eastAsia="zh-CN"/>
        </w:rPr>
        <w:t>破碎：采用常规三段一闭路碎矿流程，碎矿产品粒度为0-10mm占95%。</w:t>
      </w:r>
    </w:p>
    <w:p>
      <w:pPr>
        <w:numPr>
          <w:ilvl w:val="0"/>
          <w:numId w:val="29"/>
        </w:numPr>
        <w:ind w:firstLine="480"/>
        <w:rPr>
          <w:color w:val="000000" w:themeColor="text1"/>
        </w:rPr>
      </w:pPr>
      <w:r>
        <w:rPr>
          <w:color w:val="000000" w:themeColor="text1"/>
        </w:rPr>
        <w:t>磨矿选别：采用二段集中磨矿流程，细度为75%-200目，选别为先浮后磁流程产出铜精矿，浮选尾矿进入磁粗选，粗选精矿再磨后，入磁精选，再磨细度为95%-200目。浮选：二粗一扫三精产出铜精矿。磁选：一次粗选精矿再磨后经二次精选产出铁精矿。</w:t>
      </w:r>
    </w:p>
    <w:p>
      <w:pPr>
        <w:pStyle w:val="2"/>
        <w:numPr>
          <w:ilvl w:val="0"/>
          <w:numId w:val="29"/>
        </w:numPr>
        <w:ind w:firstLine="480"/>
        <w:rPr>
          <w:rFonts w:ascii="Times New Roman" w:hAnsi="Times New Roman"/>
          <w:color w:val="000000" w:themeColor="text1"/>
          <w:lang w:eastAsia="zh-CN"/>
        </w:rPr>
      </w:pPr>
      <w:r>
        <w:rPr>
          <w:rFonts w:ascii="Times New Roman" w:hAnsi="Times New Roman"/>
          <w:color w:val="000000" w:themeColor="text1"/>
          <w:lang w:eastAsia="zh-CN"/>
        </w:rPr>
        <w:t>精矿脱水：铜铁精矿均采用两段脱水流程，最终铜精矿含水率为1</w:t>
      </w:r>
      <w:r>
        <w:rPr>
          <w:rFonts w:hint="eastAsia" w:ascii="Times New Roman" w:hAnsi="Times New Roman"/>
          <w:color w:val="000000" w:themeColor="text1"/>
          <w:lang w:eastAsia="zh-CN"/>
        </w:rPr>
        <w:t>0</w:t>
      </w:r>
      <w:r>
        <w:rPr>
          <w:rFonts w:ascii="Times New Roman" w:hAnsi="Times New Roman"/>
          <w:color w:val="000000" w:themeColor="text1"/>
          <w:lang w:eastAsia="zh-CN"/>
        </w:rPr>
        <w:t>%，铁精矿含水率为1</w:t>
      </w:r>
      <w:r>
        <w:rPr>
          <w:rFonts w:hint="eastAsia" w:ascii="Times New Roman" w:hAnsi="Times New Roman"/>
          <w:color w:val="000000" w:themeColor="text1"/>
          <w:lang w:eastAsia="zh-CN"/>
        </w:rPr>
        <w:t>0</w:t>
      </w:r>
      <w:r>
        <w:rPr>
          <w:rFonts w:ascii="Times New Roman" w:hAnsi="Times New Roman"/>
          <w:color w:val="000000" w:themeColor="text1"/>
          <w:lang w:eastAsia="zh-CN"/>
        </w:rPr>
        <w:t>%。</w:t>
      </w:r>
    </w:p>
    <w:p>
      <w:pPr>
        <w:pStyle w:val="6"/>
        <w:spacing w:beforeLines="0" w:afterLines="0"/>
        <w:rPr>
          <w:rFonts w:eastAsiaTheme="minorEastAsia"/>
          <w:color w:val="000000" w:themeColor="text1"/>
          <w:sz w:val="28"/>
          <w:szCs w:val="28"/>
        </w:rPr>
      </w:pPr>
      <w:bookmarkStart w:id="457" w:name="_Toc21530"/>
      <w:r>
        <w:rPr>
          <w:rFonts w:eastAsiaTheme="minorEastAsia"/>
          <w:color w:val="000000" w:themeColor="text1"/>
          <w:sz w:val="28"/>
          <w:szCs w:val="28"/>
        </w:rPr>
        <w:t>3.</w:t>
      </w:r>
      <w:r>
        <w:rPr>
          <w:rFonts w:hint="eastAsia" w:eastAsiaTheme="minorEastAsia"/>
          <w:color w:val="000000" w:themeColor="text1"/>
          <w:sz w:val="28"/>
          <w:szCs w:val="28"/>
        </w:rPr>
        <w:t>7</w:t>
      </w:r>
      <w:r>
        <w:rPr>
          <w:rFonts w:eastAsiaTheme="minorEastAsia"/>
          <w:color w:val="000000" w:themeColor="text1"/>
          <w:sz w:val="28"/>
          <w:szCs w:val="28"/>
        </w:rPr>
        <w:t>.3</w:t>
      </w:r>
      <w:r>
        <w:rPr>
          <w:rFonts w:hint="eastAsia" w:eastAsiaTheme="minorEastAsia"/>
          <w:color w:val="000000" w:themeColor="text1"/>
          <w:sz w:val="28"/>
          <w:szCs w:val="28"/>
        </w:rPr>
        <w:t>龙都尾矿库回水及排水系统</w:t>
      </w:r>
      <w:bookmarkEnd w:id="457"/>
    </w:p>
    <w:p>
      <w:pPr>
        <w:widowControl/>
        <w:ind w:firstLine="480"/>
        <w:jc w:val="both"/>
        <w:rPr>
          <w:color w:val="000000" w:themeColor="text1"/>
        </w:rPr>
      </w:pPr>
      <w:r>
        <w:rPr>
          <w:rFonts w:hint="eastAsia" w:ascii="宋体" w:hAnsi="宋体" w:cs="宋体"/>
          <w:color w:val="000000" w:themeColor="text1"/>
          <w:kern w:val="0"/>
          <w:szCs w:val="24"/>
        </w:rPr>
        <w:t>龙都尾矿库拦渣坝与尾矿初期坝间建有</w:t>
      </w:r>
      <w:r>
        <w:rPr>
          <w:color w:val="000000" w:themeColor="text1"/>
          <w:kern w:val="0"/>
          <w:szCs w:val="24"/>
        </w:rPr>
        <w:t>2.0m</w:t>
      </w:r>
      <w:r>
        <w:rPr>
          <w:rFonts w:hint="eastAsia" w:ascii="宋体" w:hAnsi="宋体" w:cs="宋体"/>
          <w:color w:val="000000" w:themeColor="text1"/>
          <w:kern w:val="0"/>
          <w:szCs w:val="24"/>
        </w:rPr>
        <w:t>厚的碎石褥垫，上游法堆坝外坡纵向每间隔</w:t>
      </w:r>
      <w:r>
        <w:rPr>
          <w:color w:val="000000" w:themeColor="text1"/>
          <w:kern w:val="0"/>
          <w:szCs w:val="24"/>
        </w:rPr>
        <w:t>20m</w:t>
      </w:r>
      <w:r>
        <w:rPr>
          <w:rFonts w:hint="eastAsia" w:ascii="宋体" w:hAnsi="宋体" w:cs="宋体"/>
          <w:color w:val="000000" w:themeColor="text1"/>
          <w:kern w:val="0"/>
          <w:szCs w:val="24"/>
        </w:rPr>
        <w:t>铺设一条纵向排渗盲沟，盲沟中铺设</w:t>
      </w:r>
      <w:r>
        <w:rPr>
          <w:color w:val="000000" w:themeColor="text1"/>
          <w:kern w:val="0"/>
          <w:szCs w:val="24"/>
        </w:rPr>
        <w:t>Φ100mm</w:t>
      </w:r>
      <w:r>
        <w:rPr>
          <w:rFonts w:hint="eastAsia" w:ascii="宋体" w:hAnsi="宋体" w:cs="宋体"/>
          <w:color w:val="000000" w:themeColor="text1"/>
          <w:kern w:val="0"/>
          <w:szCs w:val="24"/>
        </w:rPr>
        <w:t>软式排水管，横向上从</w:t>
      </w:r>
      <w:r>
        <w:rPr>
          <w:color w:val="000000" w:themeColor="text1"/>
          <w:kern w:val="0"/>
          <w:szCs w:val="24"/>
        </w:rPr>
        <w:t>549.0m</w:t>
      </w:r>
      <w:r>
        <w:rPr>
          <w:rFonts w:hint="eastAsia" w:ascii="宋体" w:hAnsi="宋体" w:cs="宋体"/>
          <w:color w:val="000000" w:themeColor="text1"/>
          <w:kern w:val="0"/>
          <w:szCs w:val="24"/>
        </w:rPr>
        <w:t>标高开始每升高</w:t>
      </w:r>
      <w:r>
        <w:rPr>
          <w:color w:val="000000" w:themeColor="text1"/>
          <w:kern w:val="0"/>
          <w:szCs w:val="24"/>
        </w:rPr>
        <w:t>10m</w:t>
      </w:r>
      <w:r>
        <w:rPr>
          <w:rFonts w:hint="eastAsia" w:ascii="宋体" w:hAnsi="宋体" w:cs="宋体"/>
          <w:color w:val="000000" w:themeColor="text1"/>
          <w:kern w:val="0"/>
          <w:szCs w:val="24"/>
        </w:rPr>
        <w:t>在堆坝外坡上铺设一条横向排渗盲沟，盲沟中铺设</w:t>
      </w:r>
      <w:r>
        <w:rPr>
          <w:color w:val="000000" w:themeColor="text1"/>
          <w:kern w:val="0"/>
          <w:szCs w:val="24"/>
        </w:rPr>
        <w:t>Φ200mm</w:t>
      </w:r>
      <w:r>
        <w:rPr>
          <w:rFonts w:hint="eastAsia" w:ascii="宋体" w:hAnsi="宋体" w:cs="宋体"/>
          <w:color w:val="000000" w:themeColor="text1"/>
          <w:kern w:val="0"/>
          <w:szCs w:val="24"/>
        </w:rPr>
        <w:t>软式排水管；中线法堆坝子坝轴线上游</w:t>
      </w:r>
      <w:r>
        <w:rPr>
          <w:color w:val="000000" w:themeColor="text1"/>
          <w:kern w:val="0"/>
          <w:szCs w:val="24"/>
        </w:rPr>
        <w:t>5m</w:t>
      </w:r>
      <w:r>
        <w:rPr>
          <w:rFonts w:hint="eastAsia" w:ascii="宋体" w:hAnsi="宋体" w:cs="宋体"/>
          <w:color w:val="000000" w:themeColor="text1"/>
          <w:kern w:val="0"/>
          <w:szCs w:val="24"/>
        </w:rPr>
        <w:t>、</w:t>
      </w:r>
      <w:r>
        <w:rPr>
          <w:color w:val="000000" w:themeColor="text1"/>
          <w:kern w:val="0"/>
          <w:szCs w:val="24"/>
        </w:rPr>
        <w:t>10m</w:t>
      </w:r>
      <w:r>
        <w:rPr>
          <w:rFonts w:hint="eastAsia" w:ascii="宋体" w:hAnsi="宋体" w:cs="宋体"/>
          <w:color w:val="000000" w:themeColor="text1"/>
          <w:kern w:val="0"/>
          <w:szCs w:val="24"/>
        </w:rPr>
        <w:t>处每间隔</w:t>
      </w:r>
      <w:r>
        <w:rPr>
          <w:color w:val="000000" w:themeColor="text1"/>
          <w:kern w:val="0"/>
          <w:szCs w:val="24"/>
        </w:rPr>
        <w:t>10m</w:t>
      </w:r>
      <w:r>
        <w:rPr>
          <w:rFonts w:hint="eastAsia" w:ascii="宋体" w:hAnsi="宋体" w:cs="宋体"/>
          <w:color w:val="000000" w:themeColor="text1"/>
          <w:kern w:val="0"/>
          <w:szCs w:val="24"/>
        </w:rPr>
        <w:t>布设一座竖向排渗井，竖向排渗井直径为土工布包裹碎石构成（</w:t>
      </w:r>
      <w:r>
        <w:rPr>
          <w:color w:val="000000" w:themeColor="text1"/>
          <w:kern w:val="0"/>
          <w:szCs w:val="24"/>
        </w:rPr>
        <w:t>Φ1.0m</w:t>
      </w:r>
      <w:r>
        <w:rPr>
          <w:rFonts w:hint="eastAsia" w:ascii="宋体" w:hAnsi="宋体" w:cs="宋体"/>
          <w:color w:val="000000" w:themeColor="text1"/>
          <w:kern w:val="0"/>
          <w:szCs w:val="24"/>
        </w:rPr>
        <w:t>），排渗井中铺设穿孔</w:t>
      </w:r>
      <w:r>
        <w:rPr>
          <w:color w:val="000000" w:themeColor="text1"/>
          <w:kern w:val="0"/>
          <w:szCs w:val="24"/>
        </w:rPr>
        <w:t>DN=200mmPE</w:t>
      </w:r>
      <w:r>
        <w:rPr>
          <w:rFonts w:hint="eastAsia" w:ascii="宋体" w:hAnsi="宋体" w:cs="宋体"/>
          <w:color w:val="000000" w:themeColor="text1"/>
          <w:kern w:val="0"/>
          <w:szCs w:val="24"/>
        </w:rPr>
        <w:t>管，竖向排渗井与坝面上设置的纵横向排渗盲沟相连；</w:t>
      </w:r>
      <w:r>
        <w:rPr>
          <w:color w:val="000000" w:themeColor="text1"/>
          <w:kern w:val="0"/>
          <w:szCs w:val="24"/>
        </w:rPr>
        <w:t>DN=200mmPE</w:t>
      </w:r>
      <w:r>
        <w:rPr>
          <w:rFonts w:hint="eastAsia" w:ascii="宋体" w:hAnsi="宋体" w:cs="宋体"/>
          <w:color w:val="000000" w:themeColor="text1"/>
          <w:kern w:val="0"/>
          <w:szCs w:val="24"/>
        </w:rPr>
        <w:t>管穿过拦渣坝与坝下</w:t>
      </w:r>
      <w:r>
        <w:rPr>
          <w:color w:val="000000" w:themeColor="text1"/>
          <w:kern w:val="0"/>
          <w:szCs w:val="24"/>
        </w:rPr>
        <w:t>300m</w:t>
      </w:r>
      <w:r>
        <w:rPr>
          <w:rFonts w:hint="eastAsia"/>
          <w:color w:val="000000" w:themeColor="text1"/>
          <w:kern w:val="0"/>
          <w:szCs w:val="24"/>
          <w:vertAlign w:val="superscript"/>
        </w:rPr>
        <w:t>3</w:t>
      </w:r>
      <w:r>
        <w:rPr>
          <w:rFonts w:hint="eastAsia" w:ascii="宋体" w:hAnsi="宋体" w:cs="宋体"/>
          <w:color w:val="000000" w:themeColor="text1"/>
          <w:kern w:val="0"/>
          <w:szCs w:val="24"/>
        </w:rPr>
        <w:t>渗漏液收集池（旁有</w:t>
      </w:r>
      <w:r>
        <w:rPr>
          <w:color w:val="000000" w:themeColor="text1"/>
          <w:kern w:val="0"/>
          <w:szCs w:val="24"/>
        </w:rPr>
        <w:t>900m</w:t>
      </w:r>
      <w:r>
        <w:rPr>
          <w:rFonts w:hint="eastAsia"/>
          <w:color w:val="000000" w:themeColor="text1"/>
          <w:kern w:val="0"/>
          <w:szCs w:val="24"/>
          <w:vertAlign w:val="superscript"/>
        </w:rPr>
        <w:t>3</w:t>
      </w:r>
      <w:r>
        <w:rPr>
          <w:rFonts w:hint="eastAsia" w:ascii="宋体" w:hAnsi="宋体" w:cs="宋体"/>
          <w:color w:val="000000" w:themeColor="text1"/>
          <w:kern w:val="0"/>
          <w:szCs w:val="24"/>
        </w:rPr>
        <w:t>事故池，两池子之间设置溢流口）相连，该池旁有</w:t>
      </w:r>
      <w:r>
        <w:rPr>
          <w:color w:val="000000" w:themeColor="text1"/>
          <w:kern w:val="0"/>
          <w:szCs w:val="24"/>
        </w:rPr>
        <w:t>2</w:t>
      </w:r>
      <w:r>
        <w:rPr>
          <w:rFonts w:hint="eastAsia" w:ascii="宋体" w:hAnsi="宋体" w:cs="宋体"/>
          <w:color w:val="000000" w:themeColor="text1"/>
          <w:kern w:val="0"/>
          <w:szCs w:val="24"/>
        </w:rPr>
        <w:t>个</w:t>
      </w:r>
      <w:r>
        <w:rPr>
          <w:color w:val="000000" w:themeColor="text1"/>
          <w:kern w:val="0"/>
          <w:szCs w:val="24"/>
        </w:rPr>
        <w:t>2m</w:t>
      </w:r>
      <w:r>
        <w:rPr>
          <w:rFonts w:hint="eastAsia"/>
          <w:color w:val="000000" w:themeColor="text1"/>
          <w:kern w:val="0"/>
          <w:szCs w:val="24"/>
          <w:vertAlign w:val="superscript"/>
        </w:rPr>
        <w:t>3</w:t>
      </w:r>
      <w:r>
        <w:rPr>
          <w:rFonts w:hint="eastAsia" w:ascii="宋体" w:hAnsi="宋体" w:cs="宋体"/>
          <w:color w:val="000000" w:themeColor="text1"/>
          <w:kern w:val="0"/>
          <w:szCs w:val="24"/>
        </w:rPr>
        <w:t>吸水池（抽水泵、潜污泵放置其中），渗滤液经</w:t>
      </w:r>
      <w:r>
        <w:rPr>
          <w:color w:val="000000" w:themeColor="text1"/>
          <w:kern w:val="0"/>
          <w:szCs w:val="24"/>
        </w:rPr>
        <w:t>450m</w:t>
      </w:r>
      <w:r>
        <w:rPr>
          <w:rFonts w:hint="eastAsia"/>
          <w:color w:val="000000" w:themeColor="text1"/>
          <w:kern w:val="0"/>
          <w:szCs w:val="24"/>
          <w:vertAlign w:val="superscript"/>
        </w:rPr>
        <w:t>3</w:t>
      </w:r>
      <w:r>
        <w:rPr>
          <w:color w:val="000000" w:themeColor="text1"/>
          <w:kern w:val="0"/>
          <w:szCs w:val="24"/>
        </w:rPr>
        <w:t>/h</w:t>
      </w:r>
      <w:r>
        <w:rPr>
          <w:rFonts w:hint="eastAsia" w:ascii="宋体" w:hAnsi="宋体" w:cs="宋体"/>
          <w:color w:val="000000" w:themeColor="text1"/>
          <w:kern w:val="0"/>
          <w:szCs w:val="24"/>
        </w:rPr>
        <w:t>回水泵站和回水管回至</w:t>
      </w:r>
      <w:r>
        <w:rPr>
          <w:color w:val="000000" w:themeColor="text1"/>
          <w:kern w:val="0"/>
          <w:szCs w:val="24"/>
        </w:rPr>
        <w:t>735m</w:t>
      </w:r>
      <w:r>
        <w:rPr>
          <w:rFonts w:hint="eastAsia" w:ascii="宋体" w:hAnsi="宋体" w:cs="宋体"/>
          <w:color w:val="000000" w:themeColor="text1"/>
          <w:kern w:val="0"/>
          <w:szCs w:val="24"/>
        </w:rPr>
        <w:t>标高</w:t>
      </w:r>
      <w:r>
        <w:rPr>
          <w:color w:val="000000" w:themeColor="text1"/>
          <w:kern w:val="0"/>
          <w:szCs w:val="24"/>
        </w:rPr>
        <w:t>150m</w:t>
      </w:r>
      <w:r>
        <w:rPr>
          <w:rFonts w:hint="eastAsia"/>
          <w:color w:val="000000" w:themeColor="text1"/>
          <w:kern w:val="0"/>
          <w:szCs w:val="24"/>
          <w:vertAlign w:val="superscript"/>
        </w:rPr>
        <w:t>3</w:t>
      </w:r>
      <w:r>
        <w:rPr>
          <w:rFonts w:hint="eastAsia" w:ascii="宋体" w:hAnsi="宋体" w:cs="宋体"/>
          <w:color w:val="000000" w:themeColor="text1"/>
          <w:kern w:val="0"/>
          <w:szCs w:val="24"/>
        </w:rPr>
        <w:t>高位水池，用于坡面降尘或进库内。子坝两侧设置临时排水沟和子坝最终标高处截</w:t>
      </w:r>
      <w:r>
        <w:rPr>
          <w:color w:val="000000" w:themeColor="text1"/>
          <w:kern w:val="0"/>
          <w:szCs w:val="24"/>
        </w:rPr>
        <w:t>B×H=1m×1m</w:t>
      </w:r>
      <w:r>
        <w:rPr>
          <w:rFonts w:hint="eastAsia" w:ascii="宋体" w:hAnsi="宋体" w:cs="宋体"/>
          <w:color w:val="000000" w:themeColor="text1"/>
          <w:kern w:val="0"/>
          <w:szCs w:val="24"/>
        </w:rPr>
        <w:t>永久排水沟。</w:t>
      </w:r>
    </w:p>
    <w:p>
      <w:pPr>
        <w:widowControl/>
        <w:ind w:firstLine="480"/>
        <w:jc w:val="both"/>
        <w:rPr>
          <w:color w:val="000000" w:themeColor="text1"/>
        </w:rPr>
      </w:pPr>
      <w:r>
        <w:rPr>
          <w:rFonts w:hint="eastAsia" w:ascii="宋体" w:hAnsi="宋体" w:cs="宋体"/>
          <w:color w:val="000000" w:themeColor="text1"/>
          <w:kern w:val="0"/>
          <w:szCs w:val="24"/>
        </w:rPr>
        <w:t>库内回水有浮船泵站、二级加压泵站、管网等组成。浮船取水泵站现有</w:t>
      </w:r>
      <w:r>
        <w:rPr>
          <w:color w:val="000000" w:themeColor="text1"/>
          <w:kern w:val="0"/>
          <w:szCs w:val="24"/>
        </w:rPr>
        <w:t>D600-60×3</w:t>
      </w:r>
      <w:r>
        <w:rPr>
          <w:rFonts w:hint="eastAsia" w:ascii="宋体" w:hAnsi="宋体" w:cs="宋体"/>
          <w:color w:val="000000" w:themeColor="text1"/>
          <w:kern w:val="0"/>
          <w:szCs w:val="24"/>
        </w:rPr>
        <w:t>型多级离心泵</w:t>
      </w:r>
      <w:r>
        <w:rPr>
          <w:color w:val="000000" w:themeColor="text1"/>
          <w:kern w:val="0"/>
          <w:szCs w:val="24"/>
        </w:rPr>
        <w:t>3</w:t>
      </w:r>
      <w:r>
        <w:rPr>
          <w:rFonts w:hint="eastAsia" w:ascii="宋体" w:hAnsi="宋体" w:cs="宋体"/>
          <w:color w:val="000000" w:themeColor="text1"/>
          <w:kern w:val="0"/>
          <w:szCs w:val="24"/>
        </w:rPr>
        <w:t>台（两用一备），</w:t>
      </w:r>
      <w:r>
        <w:rPr>
          <w:color w:val="000000" w:themeColor="text1"/>
          <w:kern w:val="0"/>
          <w:szCs w:val="24"/>
        </w:rPr>
        <w:t>Q=600m</w:t>
      </w:r>
      <w:r>
        <w:rPr>
          <w:rFonts w:hint="eastAsia"/>
          <w:color w:val="000000" w:themeColor="text1"/>
          <w:kern w:val="0"/>
          <w:szCs w:val="24"/>
          <w:vertAlign w:val="superscript"/>
        </w:rPr>
        <w:t>3</w:t>
      </w:r>
      <w:r>
        <w:rPr>
          <w:color w:val="000000" w:themeColor="text1"/>
          <w:kern w:val="0"/>
          <w:szCs w:val="24"/>
        </w:rPr>
        <w:t>/h</w:t>
      </w:r>
      <w:r>
        <w:rPr>
          <w:rFonts w:hint="eastAsia" w:ascii="宋体" w:hAnsi="宋体" w:cs="宋体"/>
          <w:color w:val="000000" w:themeColor="text1"/>
          <w:kern w:val="0"/>
          <w:szCs w:val="24"/>
        </w:rPr>
        <w:t>，</w:t>
      </w:r>
      <w:r>
        <w:rPr>
          <w:color w:val="000000" w:themeColor="text1"/>
          <w:kern w:val="0"/>
          <w:szCs w:val="24"/>
        </w:rPr>
        <w:t>H=200m</w:t>
      </w:r>
      <w:r>
        <w:rPr>
          <w:rFonts w:hint="eastAsia" w:ascii="宋体" w:hAnsi="宋体" w:cs="宋体"/>
          <w:color w:val="000000" w:themeColor="text1"/>
          <w:kern w:val="0"/>
          <w:szCs w:val="24"/>
        </w:rPr>
        <w:t>；</w:t>
      </w:r>
      <w:r>
        <w:rPr>
          <w:color w:val="000000" w:themeColor="text1"/>
          <w:kern w:val="0"/>
          <w:szCs w:val="24"/>
        </w:rPr>
        <w:t>760m</w:t>
      </w:r>
      <w:r>
        <w:rPr>
          <w:rFonts w:hint="eastAsia" w:ascii="宋体" w:hAnsi="宋体" w:cs="宋体"/>
          <w:color w:val="000000" w:themeColor="text1"/>
          <w:kern w:val="0"/>
          <w:szCs w:val="24"/>
        </w:rPr>
        <w:t>的标高现有矿回水加压泵站和吸水调节池，加压泵站设置</w:t>
      </w:r>
      <w:r>
        <w:rPr>
          <w:color w:val="000000" w:themeColor="text1"/>
          <w:kern w:val="0"/>
          <w:szCs w:val="24"/>
        </w:rPr>
        <w:t>D600-60×3</w:t>
      </w:r>
      <w:r>
        <w:rPr>
          <w:rFonts w:hint="eastAsia" w:ascii="宋体" w:hAnsi="宋体" w:cs="宋体"/>
          <w:color w:val="000000" w:themeColor="text1"/>
          <w:kern w:val="0"/>
          <w:szCs w:val="24"/>
        </w:rPr>
        <w:t>型多级离心泵</w:t>
      </w:r>
      <w:r>
        <w:rPr>
          <w:color w:val="000000" w:themeColor="text1"/>
          <w:kern w:val="0"/>
          <w:szCs w:val="24"/>
        </w:rPr>
        <w:t>3</w:t>
      </w:r>
      <w:r>
        <w:rPr>
          <w:rFonts w:hint="eastAsia" w:ascii="宋体" w:hAnsi="宋体" w:cs="宋体"/>
          <w:color w:val="000000" w:themeColor="text1"/>
          <w:kern w:val="0"/>
          <w:szCs w:val="24"/>
        </w:rPr>
        <w:t>台（两用一备）。回水采用</w:t>
      </w:r>
      <w:r>
        <w:rPr>
          <w:color w:val="000000" w:themeColor="text1"/>
          <w:kern w:val="0"/>
          <w:szCs w:val="24"/>
        </w:rPr>
        <w:t>DN450</w:t>
      </w:r>
      <w:r>
        <w:rPr>
          <w:rFonts w:hint="eastAsia" w:ascii="宋体" w:hAnsi="宋体" w:cs="宋体"/>
          <w:color w:val="000000" w:themeColor="text1"/>
          <w:kern w:val="0"/>
          <w:szCs w:val="24"/>
        </w:rPr>
        <w:t>直焊缝钢管，设计回水能力</w:t>
      </w:r>
      <w:r>
        <w:rPr>
          <w:color w:val="000000" w:themeColor="text1"/>
          <w:kern w:val="0"/>
          <w:szCs w:val="24"/>
        </w:rPr>
        <w:t>1200m</w:t>
      </w:r>
      <w:r>
        <w:rPr>
          <w:rFonts w:hint="eastAsia"/>
          <w:color w:val="000000" w:themeColor="text1"/>
          <w:kern w:val="0"/>
          <w:szCs w:val="24"/>
          <w:vertAlign w:val="superscript"/>
        </w:rPr>
        <w:t>3</w:t>
      </w:r>
      <w:r>
        <w:rPr>
          <w:color w:val="000000" w:themeColor="text1"/>
          <w:kern w:val="0"/>
          <w:szCs w:val="24"/>
        </w:rPr>
        <w:t>/h</w:t>
      </w:r>
      <w:r>
        <w:rPr>
          <w:rFonts w:hint="eastAsia" w:ascii="宋体" w:hAnsi="宋体" w:cs="宋体"/>
          <w:color w:val="000000" w:themeColor="text1"/>
          <w:kern w:val="0"/>
          <w:szCs w:val="24"/>
        </w:rPr>
        <w:t>。最终至尾矿回水高位水池</w:t>
      </w:r>
      <w:r>
        <w:rPr>
          <w:color w:val="000000" w:themeColor="text1"/>
          <w:kern w:val="0"/>
          <w:szCs w:val="24"/>
        </w:rPr>
        <w:t>7600</w:t>
      </w:r>
      <w:r>
        <w:rPr>
          <w:rFonts w:hint="eastAsia" w:ascii="宋体" w:hAnsi="宋体" w:cs="宋体"/>
          <w:color w:val="000000" w:themeColor="text1"/>
          <w:kern w:val="0"/>
          <w:szCs w:val="24"/>
        </w:rPr>
        <w:t>万</w:t>
      </w:r>
      <w:r>
        <w:rPr>
          <w:color w:val="000000" w:themeColor="text1"/>
          <w:kern w:val="0"/>
          <w:szCs w:val="24"/>
        </w:rPr>
        <w:t>m</w:t>
      </w:r>
      <w:r>
        <w:rPr>
          <w:rFonts w:hint="eastAsia"/>
          <w:color w:val="000000" w:themeColor="text1"/>
          <w:kern w:val="0"/>
          <w:szCs w:val="24"/>
          <w:vertAlign w:val="superscript"/>
        </w:rPr>
        <w:t>3</w:t>
      </w:r>
      <w:r>
        <w:rPr>
          <w:rFonts w:hint="eastAsia" w:ascii="宋体" w:hAnsi="宋体" w:cs="宋体"/>
          <w:color w:val="000000" w:themeColor="text1"/>
          <w:kern w:val="0"/>
          <w:szCs w:val="24"/>
        </w:rPr>
        <w:t>。</w:t>
      </w:r>
    </w:p>
    <w:p>
      <w:pPr>
        <w:widowControl/>
        <w:ind w:firstLine="480"/>
        <w:jc w:val="both"/>
        <w:rPr>
          <w:rFonts w:ascii="宋体" w:hAnsi="宋体" w:cs="宋体"/>
          <w:color w:val="000000" w:themeColor="text1"/>
          <w:kern w:val="0"/>
          <w:szCs w:val="24"/>
        </w:rPr>
      </w:pPr>
      <w:r>
        <w:rPr>
          <w:rFonts w:hint="eastAsia" w:ascii="宋体" w:hAnsi="宋体" w:cs="宋体"/>
          <w:color w:val="000000" w:themeColor="text1"/>
          <w:kern w:val="0"/>
          <w:szCs w:val="24"/>
        </w:rPr>
        <w:t>库内排洪有排洪井</w:t>
      </w:r>
      <w:r>
        <w:rPr>
          <w:color w:val="000000" w:themeColor="text1"/>
          <w:kern w:val="0"/>
          <w:szCs w:val="24"/>
        </w:rPr>
        <w:t>-</w:t>
      </w:r>
      <w:r>
        <w:rPr>
          <w:rFonts w:hint="eastAsia" w:ascii="宋体" w:hAnsi="宋体" w:cs="宋体"/>
          <w:color w:val="000000" w:themeColor="text1"/>
          <w:kern w:val="0"/>
          <w:szCs w:val="24"/>
        </w:rPr>
        <w:t>管</w:t>
      </w:r>
      <w:r>
        <w:rPr>
          <w:color w:val="000000" w:themeColor="text1"/>
          <w:kern w:val="0"/>
          <w:szCs w:val="24"/>
        </w:rPr>
        <w:t>-</w:t>
      </w:r>
      <w:r>
        <w:rPr>
          <w:rFonts w:hint="eastAsia" w:ascii="宋体" w:hAnsi="宋体" w:cs="宋体"/>
          <w:color w:val="000000" w:themeColor="text1"/>
          <w:kern w:val="0"/>
          <w:szCs w:val="24"/>
        </w:rPr>
        <w:t>隧道组成。</w:t>
      </w:r>
      <w:r>
        <w:rPr>
          <w:color w:val="000000" w:themeColor="text1"/>
          <w:kern w:val="0"/>
          <w:szCs w:val="24"/>
        </w:rPr>
        <w:t>610m~700m</w:t>
      </w:r>
      <w:r>
        <w:rPr>
          <w:rFonts w:hint="eastAsia" w:ascii="宋体" w:hAnsi="宋体" w:cs="宋体"/>
          <w:color w:val="000000" w:themeColor="text1"/>
          <w:kern w:val="0"/>
          <w:szCs w:val="24"/>
        </w:rPr>
        <w:t>堆坝间建设</w:t>
      </w:r>
      <w:r>
        <w:rPr>
          <w:color w:val="000000" w:themeColor="text1"/>
          <w:kern w:val="0"/>
          <w:szCs w:val="24"/>
        </w:rPr>
        <w:t>7#~16#</w:t>
      </w:r>
      <w:r>
        <w:rPr>
          <w:rFonts w:hint="eastAsia" w:ascii="宋体" w:hAnsi="宋体" w:cs="宋体"/>
          <w:color w:val="000000" w:themeColor="text1"/>
          <w:kern w:val="0"/>
          <w:szCs w:val="24"/>
        </w:rPr>
        <w:t>排洪井，共</w:t>
      </w:r>
      <w:r>
        <w:rPr>
          <w:color w:val="000000" w:themeColor="text1"/>
          <w:kern w:val="0"/>
          <w:szCs w:val="24"/>
        </w:rPr>
        <w:t>10</w:t>
      </w:r>
      <w:r>
        <w:rPr>
          <w:rFonts w:hint="eastAsia" w:ascii="宋体" w:hAnsi="宋体" w:cs="宋体"/>
          <w:color w:val="000000" w:themeColor="text1"/>
          <w:kern w:val="0"/>
          <w:szCs w:val="24"/>
        </w:rPr>
        <w:t>座，各排洪井井架外径均为</w:t>
      </w:r>
      <w:r>
        <w:rPr>
          <w:color w:val="000000" w:themeColor="text1"/>
          <w:kern w:val="0"/>
          <w:szCs w:val="24"/>
        </w:rPr>
        <w:t>4.5m</w:t>
      </w:r>
      <w:r>
        <w:rPr>
          <w:rFonts w:hint="eastAsia" w:ascii="宋体" w:hAnsi="宋体" w:cs="宋体"/>
          <w:color w:val="000000" w:themeColor="text1"/>
          <w:kern w:val="0"/>
          <w:szCs w:val="24"/>
        </w:rPr>
        <w:t>，配套连接的排洪管内径为</w:t>
      </w:r>
      <w:r>
        <w:rPr>
          <w:color w:val="000000" w:themeColor="text1"/>
          <w:kern w:val="0"/>
          <w:szCs w:val="24"/>
        </w:rPr>
        <w:t>3.0m</w:t>
      </w:r>
      <w:r>
        <w:rPr>
          <w:rFonts w:hint="eastAsia" w:ascii="宋体" w:hAnsi="宋体" w:cs="宋体"/>
          <w:color w:val="000000" w:themeColor="text1"/>
          <w:kern w:val="0"/>
          <w:szCs w:val="24"/>
        </w:rPr>
        <w:t>，总长</w:t>
      </w:r>
      <w:r>
        <w:rPr>
          <w:color w:val="000000" w:themeColor="text1"/>
          <w:kern w:val="0"/>
          <w:szCs w:val="24"/>
        </w:rPr>
        <w:t>1220m</w:t>
      </w:r>
      <w:r>
        <w:rPr>
          <w:rFonts w:hint="eastAsia" w:ascii="宋体" w:hAnsi="宋体" w:cs="宋体"/>
          <w:color w:val="000000" w:themeColor="text1"/>
          <w:kern w:val="0"/>
          <w:szCs w:val="24"/>
        </w:rPr>
        <w:t>。其中</w:t>
      </w:r>
      <w:r>
        <w:rPr>
          <w:color w:val="000000" w:themeColor="text1"/>
          <w:kern w:val="0"/>
          <w:szCs w:val="24"/>
        </w:rPr>
        <w:t>8#</w:t>
      </w:r>
      <w:r>
        <w:rPr>
          <w:rFonts w:hint="eastAsia" w:ascii="宋体" w:hAnsi="宋体" w:cs="宋体"/>
          <w:color w:val="000000" w:themeColor="text1"/>
          <w:kern w:val="0"/>
          <w:szCs w:val="24"/>
        </w:rPr>
        <w:t>、</w:t>
      </w:r>
      <w:r>
        <w:rPr>
          <w:color w:val="000000" w:themeColor="text1"/>
          <w:kern w:val="0"/>
          <w:szCs w:val="24"/>
        </w:rPr>
        <w:t>9#</w:t>
      </w:r>
      <w:r>
        <w:rPr>
          <w:rFonts w:hint="eastAsia" w:ascii="宋体" w:hAnsi="宋体" w:cs="宋体"/>
          <w:color w:val="000000" w:themeColor="text1"/>
          <w:kern w:val="0"/>
          <w:szCs w:val="24"/>
        </w:rPr>
        <w:t>排洪井及</w:t>
      </w:r>
      <w:r>
        <w:rPr>
          <w:color w:val="000000" w:themeColor="text1"/>
          <w:kern w:val="0"/>
          <w:szCs w:val="24"/>
        </w:rPr>
        <w:t>10#</w:t>
      </w:r>
      <w:r>
        <w:rPr>
          <w:rFonts w:hint="eastAsia" w:ascii="宋体" w:hAnsi="宋体" w:cs="宋体"/>
          <w:color w:val="000000" w:themeColor="text1"/>
          <w:kern w:val="0"/>
          <w:szCs w:val="24"/>
        </w:rPr>
        <w:t>、</w:t>
      </w:r>
      <w:r>
        <w:rPr>
          <w:color w:val="000000" w:themeColor="text1"/>
          <w:kern w:val="0"/>
          <w:szCs w:val="24"/>
        </w:rPr>
        <w:t>11#</w:t>
      </w:r>
      <w:r>
        <w:rPr>
          <w:rFonts w:hint="eastAsia" w:ascii="宋体" w:hAnsi="宋体" w:cs="宋体"/>
          <w:color w:val="000000" w:themeColor="text1"/>
          <w:kern w:val="0"/>
          <w:szCs w:val="24"/>
        </w:rPr>
        <w:t>为双井同时使用，</w:t>
      </w:r>
      <w:r>
        <w:rPr>
          <w:color w:val="000000" w:themeColor="text1"/>
          <w:kern w:val="0"/>
          <w:szCs w:val="24"/>
        </w:rPr>
        <w:t>7#</w:t>
      </w:r>
      <w:r>
        <w:rPr>
          <w:rFonts w:hint="eastAsia" w:ascii="宋体" w:hAnsi="宋体" w:cs="宋体"/>
          <w:color w:val="000000" w:themeColor="text1"/>
          <w:kern w:val="0"/>
          <w:szCs w:val="24"/>
        </w:rPr>
        <w:t>～</w:t>
      </w:r>
      <w:r>
        <w:rPr>
          <w:color w:val="000000" w:themeColor="text1"/>
          <w:kern w:val="0"/>
          <w:szCs w:val="24"/>
        </w:rPr>
        <w:t>12#</w:t>
      </w:r>
      <w:r>
        <w:rPr>
          <w:rFonts w:hint="eastAsia" w:ascii="宋体" w:hAnsi="宋体" w:cs="宋体"/>
          <w:color w:val="000000" w:themeColor="text1"/>
          <w:kern w:val="0"/>
          <w:szCs w:val="24"/>
        </w:rPr>
        <w:t>排洪井下接</w:t>
      </w:r>
      <w:r>
        <w:rPr>
          <w:color w:val="000000" w:themeColor="text1"/>
          <w:kern w:val="0"/>
          <w:szCs w:val="24"/>
        </w:rPr>
        <w:t>B×H=3.5×4.5m</w:t>
      </w:r>
      <w:r>
        <w:rPr>
          <w:rFonts w:hint="eastAsia" w:ascii="宋体" w:hAnsi="宋体" w:cs="宋体"/>
          <w:color w:val="000000" w:themeColor="text1"/>
          <w:kern w:val="0"/>
          <w:szCs w:val="24"/>
        </w:rPr>
        <w:t>排洪主隧洞，长度为</w:t>
      </w:r>
      <w:r>
        <w:rPr>
          <w:color w:val="000000" w:themeColor="text1"/>
          <w:kern w:val="0"/>
          <w:szCs w:val="24"/>
        </w:rPr>
        <w:t>2266km</w:t>
      </w:r>
      <w:r>
        <w:rPr>
          <w:rFonts w:hint="eastAsia" w:ascii="宋体" w:hAnsi="宋体" w:cs="宋体"/>
          <w:color w:val="000000" w:themeColor="text1"/>
          <w:kern w:val="0"/>
          <w:szCs w:val="24"/>
        </w:rPr>
        <w:t>，</w:t>
      </w:r>
      <w:r>
        <w:rPr>
          <w:color w:val="000000" w:themeColor="text1"/>
          <w:kern w:val="0"/>
          <w:szCs w:val="24"/>
        </w:rPr>
        <w:t>13#</w:t>
      </w:r>
      <w:r>
        <w:rPr>
          <w:rFonts w:hint="eastAsia" w:ascii="宋体" w:hAnsi="宋体" w:cs="宋体"/>
          <w:color w:val="000000" w:themeColor="text1"/>
          <w:kern w:val="0"/>
          <w:szCs w:val="24"/>
        </w:rPr>
        <w:t>～</w:t>
      </w:r>
      <w:r>
        <w:rPr>
          <w:color w:val="000000" w:themeColor="text1"/>
          <w:kern w:val="0"/>
          <w:szCs w:val="24"/>
        </w:rPr>
        <w:t>16#</w:t>
      </w:r>
      <w:r>
        <w:rPr>
          <w:rFonts w:hint="eastAsia" w:ascii="宋体" w:hAnsi="宋体" w:cs="宋体"/>
          <w:color w:val="000000" w:themeColor="text1"/>
          <w:kern w:val="0"/>
          <w:szCs w:val="24"/>
        </w:rPr>
        <w:t>排洪井下接长度</w:t>
      </w:r>
      <w:r>
        <w:rPr>
          <w:color w:val="000000" w:themeColor="text1"/>
          <w:kern w:val="0"/>
          <w:szCs w:val="24"/>
        </w:rPr>
        <w:t>1.22km</w:t>
      </w:r>
      <w:r>
        <w:rPr>
          <w:rFonts w:hint="eastAsia" w:ascii="宋体" w:hAnsi="宋体" w:cs="宋体"/>
          <w:color w:val="000000" w:themeColor="text1"/>
          <w:kern w:val="0"/>
          <w:szCs w:val="24"/>
        </w:rPr>
        <w:t>、</w:t>
      </w:r>
      <w:r>
        <w:rPr>
          <w:color w:val="000000" w:themeColor="text1"/>
          <w:kern w:val="0"/>
          <w:szCs w:val="24"/>
        </w:rPr>
        <w:t>B×H=2.4×3m</w:t>
      </w:r>
      <w:r>
        <w:rPr>
          <w:rFonts w:hint="eastAsia" w:ascii="宋体" w:hAnsi="宋体" w:cs="宋体"/>
          <w:color w:val="000000" w:themeColor="text1"/>
          <w:kern w:val="0"/>
          <w:szCs w:val="24"/>
        </w:rPr>
        <w:t>支隧洞，然后再与主隧洞中段连接，通过尾矿库总排口排入戛洒江。目前正在使用</w:t>
      </w:r>
      <w:r>
        <w:rPr>
          <w:color w:val="000000" w:themeColor="text1"/>
          <w:kern w:val="0"/>
          <w:szCs w:val="24"/>
        </w:rPr>
        <w:t>13#</w:t>
      </w:r>
      <w:r>
        <w:rPr>
          <w:rFonts w:hint="eastAsia" w:ascii="宋体" w:hAnsi="宋体" w:cs="宋体"/>
          <w:color w:val="000000" w:themeColor="text1"/>
          <w:kern w:val="0"/>
          <w:szCs w:val="24"/>
        </w:rPr>
        <w:t>排洪井。</w:t>
      </w:r>
    </w:p>
    <w:p>
      <w:pPr>
        <w:widowControl/>
        <w:ind w:firstLine="480"/>
        <w:rPr>
          <w:color w:val="000000" w:themeColor="text1"/>
          <w:szCs w:val="24"/>
        </w:rPr>
      </w:pPr>
      <w:r>
        <w:rPr>
          <w:rFonts w:hint="eastAsia" w:ascii="宋体" w:hAnsi="宋体" w:cs="宋体"/>
          <w:color w:val="000000" w:themeColor="text1"/>
          <w:kern w:val="0"/>
          <w:szCs w:val="24"/>
        </w:rPr>
        <w:t>尾矿库总排口安装在线监测系统，验收阶段在线监测废水量、</w:t>
      </w:r>
      <w:r>
        <w:rPr>
          <w:color w:val="000000" w:themeColor="text1"/>
          <w:kern w:val="0"/>
          <w:szCs w:val="24"/>
        </w:rPr>
        <w:t>pH</w:t>
      </w:r>
      <w:r>
        <w:rPr>
          <w:rFonts w:hint="eastAsia" w:ascii="宋体" w:hAnsi="宋体" w:cs="宋体"/>
          <w:color w:val="000000" w:themeColor="text1"/>
          <w:kern w:val="0"/>
          <w:szCs w:val="24"/>
        </w:rPr>
        <w:t>、</w:t>
      </w:r>
      <w:r>
        <w:rPr>
          <w:color w:val="000000" w:themeColor="text1"/>
          <w:kern w:val="0"/>
          <w:szCs w:val="24"/>
        </w:rPr>
        <w:t>COD</w:t>
      </w:r>
      <w:r>
        <w:rPr>
          <w:rFonts w:hint="eastAsia" w:ascii="宋体" w:hAnsi="宋体" w:cs="宋体"/>
          <w:color w:val="000000" w:themeColor="text1"/>
          <w:kern w:val="0"/>
          <w:szCs w:val="24"/>
        </w:rPr>
        <w:t>。尾矿废水排口水质在线连续自动监测系统和规范排口标识。</w:t>
      </w:r>
    </w:p>
    <w:p>
      <w:pPr>
        <w:pStyle w:val="6"/>
        <w:spacing w:beforeLines="0" w:afterLines="0"/>
        <w:rPr>
          <w:rFonts w:eastAsiaTheme="minorEastAsia"/>
          <w:color w:val="000000" w:themeColor="text1"/>
          <w:sz w:val="28"/>
          <w:szCs w:val="28"/>
        </w:rPr>
      </w:pPr>
      <w:bookmarkStart w:id="458" w:name="_Toc19195"/>
      <w:r>
        <w:rPr>
          <w:rFonts w:eastAsiaTheme="minorEastAsia"/>
          <w:color w:val="000000" w:themeColor="text1"/>
          <w:sz w:val="28"/>
          <w:szCs w:val="28"/>
        </w:rPr>
        <w:t>3.</w:t>
      </w:r>
      <w:r>
        <w:rPr>
          <w:rFonts w:hint="eastAsia" w:eastAsiaTheme="minorEastAsia"/>
          <w:color w:val="000000" w:themeColor="text1"/>
          <w:sz w:val="28"/>
          <w:szCs w:val="28"/>
        </w:rPr>
        <w:t>7</w:t>
      </w:r>
      <w:r>
        <w:rPr>
          <w:rFonts w:eastAsiaTheme="minorEastAsia"/>
          <w:color w:val="000000" w:themeColor="text1"/>
          <w:sz w:val="28"/>
          <w:szCs w:val="28"/>
        </w:rPr>
        <w:t>.</w:t>
      </w:r>
      <w:r>
        <w:rPr>
          <w:rFonts w:hint="eastAsia" w:eastAsiaTheme="minorEastAsia"/>
          <w:color w:val="000000" w:themeColor="text1"/>
          <w:sz w:val="28"/>
          <w:szCs w:val="28"/>
        </w:rPr>
        <w:t>4入库尾矿所属类别</w:t>
      </w:r>
      <w:bookmarkEnd w:id="458"/>
    </w:p>
    <w:p>
      <w:pPr>
        <w:pStyle w:val="2"/>
        <w:ind w:firstLine="480"/>
        <w:rPr>
          <w:color w:val="000000" w:themeColor="text1"/>
          <w:lang w:eastAsia="zh-CN"/>
        </w:rPr>
      </w:pPr>
      <w:r>
        <w:rPr>
          <w:rFonts w:hint="eastAsia" w:eastAsiaTheme="minorEastAsia"/>
          <w:color w:val="000000" w:themeColor="text1"/>
          <w:kern w:val="2"/>
          <w:szCs w:val="24"/>
          <w:lang w:eastAsia="zh-CN" w:bidi="ar-SA"/>
        </w:rPr>
        <w:t>根据《云南省环境保护厅关于大红山龙都尾矿库中期中线法堆坝建设项目环境影响报告书的批复》（云环审</w:t>
      </w:r>
      <w:r>
        <w:rPr>
          <w:rFonts w:ascii="Times New Roman" w:hAnsi="Times New Roman" w:eastAsia="微软雅黑"/>
          <w:color w:val="000000" w:themeColor="text1"/>
          <w:kern w:val="2"/>
          <w:szCs w:val="24"/>
          <w:lang w:eastAsia="zh-CN" w:bidi="ar-SA"/>
        </w:rPr>
        <w:t>〔</w:t>
      </w:r>
      <w:r>
        <w:rPr>
          <w:rFonts w:ascii="Times New Roman" w:hAnsi="Times New Roman" w:eastAsiaTheme="minorEastAsia"/>
          <w:color w:val="000000" w:themeColor="text1"/>
          <w:kern w:val="2"/>
          <w:szCs w:val="24"/>
          <w:lang w:eastAsia="zh-CN" w:bidi="ar-SA"/>
        </w:rPr>
        <w:t>2010</w:t>
      </w:r>
      <w:r>
        <w:rPr>
          <w:rFonts w:ascii="Times New Roman" w:hAnsi="Times New Roman" w:eastAsia="微软雅黑"/>
          <w:color w:val="000000" w:themeColor="text1"/>
          <w:kern w:val="2"/>
          <w:szCs w:val="24"/>
          <w:lang w:eastAsia="zh-CN" w:bidi="ar-SA"/>
        </w:rPr>
        <w:t>〕</w:t>
      </w:r>
      <w:r>
        <w:rPr>
          <w:rFonts w:ascii="Times New Roman" w:hAnsi="Times New Roman" w:eastAsiaTheme="minorEastAsia"/>
          <w:color w:val="000000" w:themeColor="text1"/>
          <w:kern w:val="2"/>
          <w:szCs w:val="24"/>
          <w:lang w:eastAsia="zh-CN" w:bidi="ar-SA"/>
        </w:rPr>
        <w:t>273</w:t>
      </w:r>
      <w:r>
        <w:rPr>
          <w:rFonts w:hint="eastAsia" w:eastAsiaTheme="minorEastAsia"/>
          <w:color w:val="000000" w:themeColor="text1"/>
          <w:kern w:val="2"/>
          <w:szCs w:val="24"/>
          <w:lang w:eastAsia="zh-CN" w:bidi="ar-SA"/>
        </w:rPr>
        <w:t>号）：入库尾矿为</w:t>
      </w:r>
      <w:r>
        <w:rPr>
          <w:rFonts w:hint="eastAsia" w:ascii="宋体" w:hAnsi="宋体" w:cs="宋体"/>
          <w:color w:val="000000" w:themeColor="text1"/>
          <w:kern w:val="2"/>
          <w:szCs w:val="24"/>
          <w:lang w:eastAsia="zh-CN" w:bidi="ar-SA"/>
        </w:rPr>
        <w:t>Ⅰ</w:t>
      </w:r>
      <w:r>
        <w:rPr>
          <w:rFonts w:hint="eastAsia" w:eastAsiaTheme="minorEastAsia"/>
          <w:color w:val="000000" w:themeColor="text1"/>
          <w:kern w:val="2"/>
          <w:szCs w:val="24"/>
          <w:lang w:eastAsia="zh-CN" w:bidi="ar-SA"/>
        </w:rPr>
        <w:t>类一般工业固体废物。</w:t>
      </w:r>
    </w:p>
    <w:p>
      <w:pPr>
        <w:pStyle w:val="6"/>
        <w:spacing w:beforeLines="0" w:afterLines="0"/>
        <w:rPr>
          <w:rFonts w:eastAsiaTheme="minorEastAsia"/>
          <w:color w:val="000000" w:themeColor="text1"/>
          <w:sz w:val="28"/>
          <w:szCs w:val="28"/>
        </w:rPr>
      </w:pPr>
      <w:bookmarkStart w:id="459" w:name="_Toc26133"/>
      <w:r>
        <w:rPr>
          <w:rFonts w:eastAsiaTheme="minorEastAsia"/>
          <w:color w:val="000000" w:themeColor="text1"/>
          <w:sz w:val="28"/>
          <w:szCs w:val="28"/>
        </w:rPr>
        <w:t>3.</w:t>
      </w:r>
      <w:r>
        <w:rPr>
          <w:rFonts w:hint="eastAsia" w:eastAsiaTheme="minorEastAsia"/>
          <w:color w:val="000000" w:themeColor="text1"/>
          <w:sz w:val="28"/>
          <w:szCs w:val="28"/>
        </w:rPr>
        <w:t>7</w:t>
      </w:r>
      <w:r>
        <w:rPr>
          <w:rFonts w:eastAsiaTheme="minorEastAsia"/>
          <w:color w:val="000000" w:themeColor="text1"/>
          <w:sz w:val="28"/>
          <w:szCs w:val="28"/>
        </w:rPr>
        <w:t>.</w:t>
      </w:r>
      <w:r>
        <w:rPr>
          <w:rFonts w:hint="eastAsia" w:eastAsiaTheme="minorEastAsia"/>
          <w:color w:val="000000" w:themeColor="text1"/>
          <w:sz w:val="28"/>
          <w:szCs w:val="28"/>
        </w:rPr>
        <w:t>5本次技改项目</w:t>
      </w:r>
      <w:r>
        <w:rPr>
          <w:rFonts w:eastAsiaTheme="minorEastAsia"/>
          <w:color w:val="000000" w:themeColor="text1"/>
          <w:sz w:val="28"/>
          <w:szCs w:val="28"/>
        </w:rPr>
        <w:t>尾矿输送管线工程</w:t>
      </w:r>
      <w:bookmarkEnd w:id="459"/>
    </w:p>
    <w:p>
      <w:pPr>
        <w:pStyle w:val="2"/>
        <w:numPr>
          <w:ilvl w:val="0"/>
          <w:numId w:val="30"/>
        </w:numPr>
        <w:ind w:firstLine="480"/>
        <w:jc w:val="both"/>
        <w:rPr>
          <w:rFonts w:ascii="Times New Roman" w:hAnsi="Times New Roman" w:eastAsiaTheme="minorEastAsia"/>
          <w:color w:val="000000" w:themeColor="text1"/>
          <w:szCs w:val="24"/>
          <w:lang w:eastAsia="zh-CN"/>
        </w:rPr>
      </w:pPr>
      <w:r>
        <w:rPr>
          <w:rFonts w:ascii="Times New Roman" w:hAnsi="Times New Roman" w:eastAsiaTheme="minorEastAsia"/>
          <w:color w:val="000000" w:themeColor="text1"/>
          <w:szCs w:val="24"/>
          <w:lang w:eastAsia="zh-CN"/>
        </w:rPr>
        <w:t>从</w:t>
      </w:r>
      <w:r>
        <w:rPr>
          <w:rFonts w:hint="eastAsia" w:ascii="Times New Roman" w:hAnsi="Times New Roman" w:eastAsiaTheme="minorEastAsia"/>
          <w:color w:val="000000" w:themeColor="text1"/>
          <w:szCs w:val="24"/>
          <w:lang w:eastAsia="zh-CN"/>
        </w:rPr>
        <w:t>东磨</w:t>
      </w:r>
      <w:r>
        <w:rPr>
          <w:rFonts w:ascii="Times New Roman" w:hAnsi="Times New Roman" w:eastAsiaTheme="minorEastAsia"/>
          <w:color w:val="000000" w:themeColor="text1"/>
          <w:szCs w:val="24"/>
          <w:lang w:eastAsia="zh-CN"/>
        </w:rPr>
        <w:t>选厂至平安公司辣子箐口选厂的浓密池（浓密池容积为2472.75m</w:t>
      </w:r>
      <w:r>
        <w:rPr>
          <w:rFonts w:ascii="Times New Roman" w:hAnsi="Times New Roman" w:eastAsiaTheme="minorEastAsia"/>
          <w:color w:val="000000" w:themeColor="text1"/>
          <w:szCs w:val="24"/>
          <w:vertAlign w:val="superscript"/>
          <w:lang w:eastAsia="zh-CN"/>
        </w:rPr>
        <w:t>3</w:t>
      </w:r>
      <w:r>
        <w:rPr>
          <w:rFonts w:ascii="Times New Roman" w:hAnsi="Times New Roman" w:eastAsiaTheme="minorEastAsia"/>
          <w:color w:val="000000" w:themeColor="text1"/>
          <w:szCs w:val="24"/>
          <w:lang w:eastAsia="zh-CN"/>
        </w:rPr>
        <w:t>），管道全长750m，管道内径为150mm，外径160mm。</w:t>
      </w:r>
    </w:p>
    <w:p>
      <w:pPr>
        <w:pStyle w:val="26"/>
        <w:numPr>
          <w:ilvl w:val="0"/>
          <w:numId w:val="30"/>
        </w:numPr>
        <w:spacing w:after="0"/>
        <w:ind w:firstLine="480"/>
        <w:rPr>
          <w:rFonts w:eastAsiaTheme="minorEastAsia"/>
          <w:color w:val="000000" w:themeColor="text1"/>
          <w:lang w:eastAsia="zh-CN"/>
        </w:rPr>
      </w:pPr>
      <w:r>
        <w:rPr>
          <w:rFonts w:eastAsiaTheme="minorEastAsia"/>
          <w:color w:val="000000" w:themeColor="text1"/>
          <w:lang w:eastAsia="zh-CN"/>
        </w:rPr>
        <w:t>位于浓密池与尾矿管道终点之间设置隔膜泵站，占地面积120m</w:t>
      </w:r>
      <w:r>
        <w:rPr>
          <w:rFonts w:eastAsiaTheme="minorEastAsia"/>
          <w:color w:val="000000" w:themeColor="text1"/>
          <w:vertAlign w:val="superscript"/>
          <w:lang w:eastAsia="zh-CN"/>
        </w:rPr>
        <w:t>2</w:t>
      </w:r>
      <w:r>
        <w:rPr>
          <w:rFonts w:eastAsiaTheme="minorEastAsia"/>
          <w:color w:val="000000" w:themeColor="text1"/>
          <w:lang w:eastAsia="zh-CN"/>
        </w:rPr>
        <w:t>。设置有3台隔膜泵、占地面积约50m</w:t>
      </w:r>
      <w:r>
        <w:rPr>
          <w:rFonts w:eastAsiaTheme="minorEastAsia"/>
          <w:color w:val="000000" w:themeColor="text1"/>
          <w:vertAlign w:val="superscript"/>
          <w:lang w:eastAsia="zh-CN"/>
        </w:rPr>
        <w:t>2</w:t>
      </w:r>
      <w:r>
        <w:rPr>
          <w:rFonts w:eastAsiaTheme="minorEastAsia"/>
          <w:color w:val="000000" w:themeColor="text1"/>
          <w:lang w:eastAsia="zh-CN"/>
        </w:rPr>
        <w:t>。</w:t>
      </w:r>
    </w:p>
    <w:p>
      <w:pPr>
        <w:numPr>
          <w:ilvl w:val="0"/>
          <w:numId w:val="30"/>
        </w:numPr>
        <w:ind w:firstLine="480"/>
        <w:rPr>
          <w:rFonts w:eastAsiaTheme="minorEastAsia"/>
          <w:color w:val="000000" w:themeColor="text1"/>
          <w:szCs w:val="24"/>
        </w:rPr>
      </w:pPr>
      <w:r>
        <w:rPr>
          <w:rFonts w:eastAsiaTheme="minorEastAsia"/>
          <w:color w:val="000000" w:themeColor="text1"/>
          <w:szCs w:val="24"/>
        </w:rPr>
        <w:t>从辣子箐口选厂的浓密池尾矿输送经隔膜泵站和尾矿管道输送至大红山的尾矿沟，浓密池至尾矿沟输送管道全长2090m，管道内径为214mm，外径250mm。</w:t>
      </w:r>
    </w:p>
    <w:p>
      <w:pPr>
        <w:pStyle w:val="26"/>
        <w:ind w:firstLine="480"/>
        <w:rPr>
          <w:rFonts w:eastAsiaTheme="minorEastAsia"/>
          <w:color w:val="000000" w:themeColor="text1"/>
          <w:lang w:eastAsia="zh-CN"/>
        </w:rPr>
      </w:pPr>
      <w:r>
        <w:rPr>
          <w:rFonts w:eastAsiaTheme="minorEastAsia"/>
          <w:color w:val="000000" w:themeColor="text1"/>
          <w:lang w:eastAsia="zh-CN"/>
        </w:rPr>
        <w:t>（4）尾矿从尾矿沟自流进入龙都尾矿库。</w:t>
      </w:r>
    </w:p>
    <w:p>
      <w:pPr>
        <w:pStyle w:val="574"/>
        <w:spacing w:beforeLines="0" w:afterLines="0"/>
        <w:rPr>
          <w:rFonts w:eastAsiaTheme="minorEastAsia"/>
          <w:color w:val="000000" w:themeColor="text1"/>
          <w:sz w:val="30"/>
          <w:szCs w:val="30"/>
        </w:rPr>
      </w:pPr>
      <w:bookmarkStart w:id="460" w:name="_Toc2113"/>
      <w:r>
        <w:rPr>
          <w:rFonts w:eastAsiaTheme="minorEastAsia"/>
          <w:color w:val="000000" w:themeColor="text1"/>
          <w:sz w:val="30"/>
          <w:szCs w:val="30"/>
        </w:rPr>
        <w:t>3.</w:t>
      </w:r>
      <w:r>
        <w:rPr>
          <w:rFonts w:hint="eastAsia" w:eastAsiaTheme="minorEastAsia"/>
          <w:color w:val="000000" w:themeColor="text1"/>
          <w:sz w:val="30"/>
          <w:szCs w:val="30"/>
        </w:rPr>
        <w:t>8</w:t>
      </w:r>
      <w:r>
        <w:rPr>
          <w:rFonts w:eastAsiaTheme="minorEastAsia"/>
          <w:color w:val="000000" w:themeColor="text1"/>
          <w:sz w:val="30"/>
          <w:szCs w:val="30"/>
        </w:rPr>
        <w:t>公用工程</w:t>
      </w:r>
      <w:bookmarkEnd w:id="449"/>
      <w:bookmarkEnd w:id="460"/>
    </w:p>
    <w:p>
      <w:pPr>
        <w:pStyle w:val="6"/>
        <w:spacing w:beforeLines="0" w:afterLines="0"/>
        <w:rPr>
          <w:rFonts w:eastAsiaTheme="minorEastAsia"/>
          <w:color w:val="000000" w:themeColor="text1"/>
          <w:sz w:val="28"/>
          <w:szCs w:val="28"/>
        </w:rPr>
      </w:pPr>
      <w:bookmarkStart w:id="461" w:name="_Toc430953842"/>
      <w:bookmarkStart w:id="462" w:name="_Toc421915830"/>
      <w:bookmarkStart w:id="463" w:name="_Toc430201351"/>
      <w:bookmarkStart w:id="464" w:name="_Toc450603545"/>
      <w:bookmarkStart w:id="465" w:name="_Toc12097"/>
      <w:bookmarkStart w:id="466" w:name="_Toc430953634"/>
      <w:r>
        <w:rPr>
          <w:rFonts w:eastAsiaTheme="minorEastAsia"/>
          <w:color w:val="000000" w:themeColor="text1"/>
          <w:sz w:val="28"/>
          <w:szCs w:val="28"/>
        </w:rPr>
        <w:t>3.</w:t>
      </w:r>
      <w:r>
        <w:rPr>
          <w:rFonts w:hint="eastAsia" w:eastAsiaTheme="minorEastAsia"/>
          <w:color w:val="000000" w:themeColor="text1"/>
          <w:sz w:val="28"/>
          <w:szCs w:val="28"/>
        </w:rPr>
        <w:t>8</w:t>
      </w:r>
      <w:r>
        <w:rPr>
          <w:rFonts w:eastAsiaTheme="minorEastAsia"/>
          <w:color w:val="000000" w:themeColor="text1"/>
          <w:sz w:val="28"/>
          <w:szCs w:val="28"/>
        </w:rPr>
        <w:t>.1水源</w:t>
      </w:r>
      <w:bookmarkEnd w:id="461"/>
      <w:bookmarkEnd w:id="462"/>
      <w:bookmarkEnd w:id="463"/>
      <w:bookmarkEnd w:id="464"/>
      <w:bookmarkEnd w:id="465"/>
      <w:bookmarkEnd w:id="466"/>
    </w:p>
    <w:p>
      <w:pPr>
        <w:ind w:firstLine="480"/>
        <w:rPr>
          <w:rFonts w:eastAsiaTheme="minorEastAsia"/>
          <w:color w:val="000000" w:themeColor="text1"/>
        </w:rPr>
      </w:pPr>
      <w:r>
        <w:rPr>
          <w:rFonts w:eastAsiaTheme="minorEastAsia"/>
          <w:color w:val="000000" w:themeColor="text1"/>
        </w:rPr>
        <w:t>本项目生产用水来自困龙河河水，用水泵通过管道（DN100）将水引至高位水池（500m</w:t>
      </w:r>
      <w:r>
        <w:rPr>
          <w:rFonts w:eastAsiaTheme="minorEastAsia"/>
          <w:color w:val="000000" w:themeColor="text1"/>
          <w:vertAlign w:val="superscript"/>
        </w:rPr>
        <w:t>3</w:t>
      </w:r>
      <w:r>
        <w:rPr>
          <w:rFonts w:eastAsiaTheme="minorEastAsia"/>
          <w:color w:val="000000" w:themeColor="text1"/>
        </w:rPr>
        <w:t>）后，再通过管道引至选厂供水，生活用水来源于戛洒镇自来水管网。</w:t>
      </w:r>
    </w:p>
    <w:p>
      <w:pPr>
        <w:pStyle w:val="6"/>
        <w:spacing w:beforeLines="0" w:afterLines="0"/>
        <w:rPr>
          <w:rFonts w:eastAsiaTheme="minorEastAsia"/>
          <w:color w:val="000000" w:themeColor="text1"/>
          <w:sz w:val="28"/>
          <w:szCs w:val="28"/>
        </w:rPr>
      </w:pPr>
      <w:bookmarkStart w:id="467" w:name="_Toc421915832"/>
      <w:bookmarkStart w:id="468" w:name="_Toc430201353"/>
      <w:bookmarkStart w:id="469" w:name="_Toc430953844"/>
      <w:bookmarkStart w:id="470" w:name="_Toc6628"/>
      <w:bookmarkStart w:id="471" w:name="_Toc430953636"/>
      <w:bookmarkStart w:id="472" w:name="_Toc450603546"/>
      <w:bookmarkStart w:id="473" w:name="_Toc396311698"/>
      <w:r>
        <w:rPr>
          <w:rFonts w:eastAsiaTheme="minorEastAsia"/>
          <w:color w:val="000000" w:themeColor="text1"/>
          <w:sz w:val="28"/>
          <w:szCs w:val="28"/>
        </w:rPr>
        <w:t>3.</w:t>
      </w:r>
      <w:r>
        <w:rPr>
          <w:rFonts w:hint="eastAsia" w:eastAsiaTheme="minorEastAsia"/>
          <w:color w:val="000000" w:themeColor="text1"/>
          <w:sz w:val="28"/>
          <w:szCs w:val="28"/>
        </w:rPr>
        <w:t>8</w:t>
      </w:r>
      <w:r>
        <w:rPr>
          <w:rFonts w:eastAsiaTheme="minorEastAsia"/>
          <w:color w:val="000000" w:themeColor="text1"/>
          <w:sz w:val="28"/>
          <w:szCs w:val="28"/>
        </w:rPr>
        <w:t>.2排水方案</w:t>
      </w:r>
      <w:bookmarkEnd w:id="467"/>
      <w:bookmarkEnd w:id="468"/>
      <w:bookmarkEnd w:id="469"/>
      <w:bookmarkEnd w:id="470"/>
      <w:bookmarkEnd w:id="471"/>
      <w:bookmarkEnd w:id="472"/>
    </w:p>
    <w:p>
      <w:pPr>
        <w:ind w:firstLine="480"/>
        <w:rPr>
          <w:rFonts w:eastAsiaTheme="minorEastAsia"/>
          <w:color w:val="000000" w:themeColor="text1"/>
        </w:rPr>
      </w:pPr>
      <w:bookmarkStart w:id="474" w:name="_Toc430953845"/>
      <w:bookmarkStart w:id="475" w:name="_Toc421915833"/>
      <w:bookmarkStart w:id="476" w:name="_Toc430953637"/>
      <w:bookmarkStart w:id="477" w:name="_Toc430201354"/>
      <w:bookmarkStart w:id="478" w:name="_Toc450603547"/>
      <w:r>
        <w:rPr>
          <w:rFonts w:eastAsiaTheme="minorEastAsia"/>
          <w:color w:val="000000" w:themeColor="text1"/>
        </w:rPr>
        <w:t>本项目建设后实现雨污分流，</w:t>
      </w:r>
      <w:r>
        <w:rPr>
          <w:rFonts w:hint="eastAsia" w:eastAsiaTheme="minorEastAsia"/>
          <w:color w:val="000000" w:themeColor="text1"/>
        </w:rPr>
        <w:t>对初期雨水进行收集并回用，其余时段</w:t>
      </w:r>
      <w:r>
        <w:rPr>
          <w:rFonts w:eastAsiaTheme="minorEastAsia"/>
          <w:color w:val="000000" w:themeColor="text1"/>
        </w:rPr>
        <w:t>雨水经雨水沟管排入场外。生产废水全部循环不外排，生活</w:t>
      </w:r>
      <w:r>
        <w:rPr>
          <w:rFonts w:hint="eastAsia" w:eastAsiaTheme="minorEastAsia"/>
          <w:color w:val="000000" w:themeColor="text1"/>
        </w:rPr>
        <w:t>污</w:t>
      </w:r>
      <w:r>
        <w:rPr>
          <w:rFonts w:eastAsiaTheme="minorEastAsia"/>
          <w:color w:val="000000" w:themeColor="text1"/>
        </w:rPr>
        <w:t>水利用一体化污水处理设施处理后回用于厂区绿化，项目建设完成后原有项目产生的生活污水经化粪池处理后进入一体化污水处理系统处理达标后</w:t>
      </w:r>
      <w:r>
        <w:rPr>
          <w:rFonts w:hint="eastAsia" w:eastAsiaTheme="minorEastAsia"/>
          <w:color w:val="000000" w:themeColor="text1"/>
        </w:rPr>
        <w:t>用于厂区绿化</w:t>
      </w:r>
      <w:r>
        <w:rPr>
          <w:rFonts w:eastAsiaTheme="minorEastAsia"/>
          <w:color w:val="000000" w:themeColor="text1"/>
        </w:rPr>
        <w:t>。</w:t>
      </w:r>
    </w:p>
    <w:p>
      <w:pPr>
        <w:pStyle w:val="6"/>
        <w:spacing w:beforeLines="0" w:afterLines="0"/>
        <w:rPr>
          <w:rFonts w:eastAsiaTheme="minorEastAsia"/>
          <w:color w:val="000000" w:themeColor="text1"/>
          <w:sz w:val="28"/>
          <w:szCs w:val="28"/>
        </w:rPr>
      </w:pPr>
      <w:bookmarkStart w:id="479" w:name="_Toc25217"/>
      <w:r>
        <w:rPr>
          <w:rFonts w:eastAsiaTheme="minorEastAsia"/>
          <w:color w:val="000000" w:themeColor="text1"/>
          <w:sz w:val="28"/>
          <w:szCs w:val="28"/>
        </w:rPr>
        <w:t>3.</w:t>
      </w:r>
      <w:r>
        <w:rPr>
          <w:rFonts w:hint="eastAsia" w:eastAsiaTheme="minorEastAsia"/>
          <w:color w:val="000000" w:themeColor="text1"/>
          <w:sz w:val="28"/>
          <w:szCs w:val="28"/>
        </w:rPr>
        <w:t>8</w:t>
      </w:r>
      <w:r>
        <w:rPr>
          <w:rFonts w:eastAsiaTheme="minorEastAsia"/>
          <w:color w:val="000000" w:themeColor="text1"/>
          <w:sz w:val="28"/>
          <w:szCs w:val="28"/>
        </w:rPr>
        <w:t>.3供电</w:t>
      </w:r>
      <w:bookmarkEnd w:id="473"/>
      <w:bookmarkEnd w:id="474"/>
      <w:bookmarkEnd w:id="475"/>
      <w:bookmarkEnd w:id="476"/>
      <w:bookmarkEnd w:id="477"/>
      <w:bookmarkEnd w:id="478"/>
      <w:bookmarkEnd w:id="479"/>
    </w:p>
    <w:p>
      <w:pPr>
        <w:ind w:firstLine="480"/>
        <w:rPr>
          <w:rFonts w:eastAsiaTheme="minorEastAsia"/>
          <w:color w:val="000000" w:themeColor="text1"/>
        </w:rPr>
      </w:pPr>
      <w:r>
        <w:rPr>
          <w:rFonts w:eastAsiaTheme="minorEastAsia"/>
          <w:color w:val="000000" w:themeColor="text1"/>
        </w:rPr>
        <w:t>项目用电由市政电网接入，全年需耗电432万kW·h。</w:t>
      </w:r>
    </w:p>
    <w:p>
      <w:pPr>
        <w:pStyle w:val="6"/>
        <w:spacing w:beforeLines="0" w:afterLines="0"/>
        <w:rPr>
          <w:rFonts w:eastAsiaTheme="minorEastAsia"/>
          <w:color w:val="000000" w:themeColor="text1"/>
          <w:sz w:val="28"/>
          <w:szCs w:val="28"/>
        </w:rPr>
      </w:pPr>
      <w:bookmarkStart w:id="480" w:name="_Toc14534"/>
      <w:r>
        <w:rPr>
          <w:rFonts w:eastAsiaTheme="minorEastAsia"/>
          <w:color w:val="000000" w:themeColor="text1"/>
          <w:sz w:val="28"/>
          <w:szCs w:val="28"/>
        </w:rPr>
        <w:t>3.</w:t>
      </w:r>
      <w:r>
        <w:rPr>
          <w:rFonts w:hint="eastAsia" w:eastAsiaTheme="minorEastAsia"/>
          <w:color w:val="000000" w:themeColor="text1"/>
          <w:sz w:val="28"/>
          <w:szCs w:val="28"/>
        </w:rPr>
        <w:t>8</w:t>
      </w:r>
      <w:r>
        <w:rPr>
          <w:rFonts w:eastAsiaTheme="minorEastAsia"/>
          <w:color w:val="000000" w:themeColor="text1"/>
          <w:sz w:val="28"/>
          <w:szCs w:val="28"/>
        </w:rPr>
        <w:t>.4供热</w:t>
      </w:r>
      <w:bookmarkEnd w:id="480"/>
    </w:p>
    <w:p>
      <w:pPr>
        <w:ind w:firstLine="480"/>
        <w:rPr>
          <w:rFonts w:eastAsiaTheme="minorEastAsia"/>
          <w:color w:val="000000" w:themeColor="text1"/>
        </w:rPr>
      </w:pPr>
      <w:r>
        <w:rPr>
          <w:rFonts w:eastAsiaTheme="minorEastAsia"/>
          <w:color w:val="000000" w:themeColor="text1"/>
          <w:kern w:val="1"/>
        </w:rPr>
        <w:t>本项目建成后，职工不在本厂区内餐饮，餐饮依托于平安矿业辣子箐口选厂食堂。</w:t>
      </w:r>
    </w:p>
    <w:p>
      <w:pPr>
        <w:pStyle w:val="574"/>
        <w:spacing w:beforeLines="0" w:afterLines="0"/>
        <w:rPr>
          <w:rFonts w:eastAsiaTheme="minorEastAsia"/>
          <w:color w:val="000000" w:themeColor="text1"/>
          <w:sz w:val="30"/>
          <w:szCs w:val="30"/>
        </w:rPr>
      </w:pPr>
      <w:bookmarkStart w:id="481" w:name="_Toc2196"/>
      <w:r>
        <w:rPr>
          <w:rFonts w:eastAsiaTheme="minorEastAsia"/>
          <w:color w:val="000000" w:themeColor="text1"/>
          <w:sz w:val="30"/>
          <w:szCs w:val="30"/>
        </w:rPr>
        <w:t>3.</w:t>
      </w:r>
      <w:r>
        <w:rPr>
          <w:rFonts w:hint="eastAsia" w:eastAsiaTheme="minorEastAsia"/>
          <w:color w:val="000000" w:themeColor="text1"/>
          <w:sz w:val="30"/>
          <w:szCs w:val="30"/>
        </w:rPr>
        <w:t>9</w:t>
      </w:r>
      <w:r>
        <w:rPr>
          <w:rFonts w:eastAsiaTheme="minorEastAsia"/>
          <w:color w:val="000000" w:themeColor="text1"/>
          <w:sz w:val="30"/>
          <w:szCs w:val="30"/>
        </w:rPr>
        <w:t>工作制度及劳动定员</w:t>
      </w:r>
      <w:bookmarkEnd w:id="481"/>
    </w:p>
    <w:p>
      <w:pPr>
        <w:ind w:firstLine="480"/>
        <w:rPr>
          <w:rFonts w:eastAsiaTheme="minorEastAsia"/>
          <w:bCs/>
          <w:iCs/>
          <w:color w:val="000000" w:themeColor="text1"/>
        </w:rPr>
      </w:pPr>
      <w:r>
        <w:rPr>
          <w:rFonts w:eastAsiaTheme="minorEastAsia"/>
          <w:color w:val="000000" w:themeColor="text1"/>
        </w:rPr>
        <w:t>全厂劳动定员共90人，</w:t>
      </w:r>
      <w:r>
        <w:rPr>
          <w:rFonts w:eastAsiaTheme="minorEastAsia"/>
          <w:bCs/>
          <w:iCs/>
          <w:color w:val="000000" w:themeColor="text1"/>
        </w:rPr>
        <w:t>年工作日300天，每天3班，每班8小时。</w:t>
      </w:r>
    </w:p>
    <w:p>
      <w:pPr>
        <w:ind w:firstLine="480"/>
        <w:rPr>
          <w:rFonts w:eastAsiaTheme="minorEastAsia"/>
          <w:bCs/>
          <w:iCs/>
          <w:color w:val="000000" w:themeColor="text1"/>
        </w:rPr>
      </w:pPr>
      <w:bookmarkStart w:id="482" w:name="_Toc465156856"/>
      <w:r>
        <w:rPr>
          <w:rFonts w:eastAsiaTheme="minorEastAsia"/>
          <w:bCs/>
          <w:iCs/>
          <w:color w:val="000000" w:themeColor="text1"/>
        </w:rPr>
        <w:t>技改项目新增劳动定员5人，年工作日300天，每天3班，每班8小时。</w:t>
      </w:r>
    </w:p>
    <w:p>
      <w:pPr>
        <w:ind w:firstLine="480"/>
        <w:rPr>
          <w:rFonts w:eastAsiaTheme="minorEastAsia"/>
          <w:b/>
          <w:bCs/>
          <w:color w:val="000000" w:themeColor="text1"/>
        </w:rPr>
      </w:pPr>
      <w:r>
        <w:rPr>
          <w:rFonts w:hint="eastAsia" w:eastAsiaTheme="minorEastAsia"/>
          <w:bCs/>
          <w:iCs/>
          <w:color w:val="000000" w:themeColor="text1"/>
        </w:rPr>
        <w:t>工人不在本厂区内餐饮，部分管理人员餐饮依托于辣子箐口选厂的食堂。上夜班员工在厂区内住宿。</w:t>
      </w:r>
    </w:p>
    <w:p>
      <w:pPr>
        <w:keepNext/>
        <w:widowControl/>
        <w:ind w:firstLine="0" w:firstLineChars="0"/>
        <w:outlineLvl w:val="0"/>
        <w:rPr>
          <w:rFonts w:eastAsiaTheme="minorEastAsia"/>
          <w:b/>
          <w:bCs/>
          <w:color w:val="000000" w:themeColor="text1"/>
          <w:kern w:val="32"/>
          <w:sz w:val="32"/>
          <w:szCs w:val="32"/>
          <w:lang w:bidi="en-US"/>
        </w:rPr>
        <w:sectPr>
          <w:pgSz w:w="11906" w:h="16838"/>
          <w:pgMar w:top="1440" w:right="1797" w:bottom="1440" w:left="1797" w:header="850" w:footer="992" w:gutter="0"/>
          <w:pgNumType w:fmt="numberInDash"/>
          <w:cols w:space="425" w:num="1"/>
          <w:docGrid w:type="lines" w:linePitch="326" w:charSpace="0"/>
        </w:sectPr>
      </w:pPr>
    </w:p>
    <w:p>
      <w:pPr>
        <w:keepNext/>
        <w:widowControl/>
        <w:ind w:firstLine="0" w:firstLineChars="0"/>
        <w:outlineLvl w:val="0"/>
        <w:rPr>
          <w:rFonts w:eastAsiaTheme="minorEastAsia"/>
          <w:b/>
          <w:bCs/>
          <w:color w:val="000000" w:themeColor="text1"/>
          <w:kern w:val="32"/>
          <w:sz w:val="32"/>
          <w:szCs w:val="32"/>
          <w:lang w:bidi="en-US"/>
        </w:rPr>
      </w:pPr>
      <w:bookmarkStart w:id="483" w:name="_Toc14472"/>
      <w:r>
        <w:rPr>
          <w:rFonts w:eastAsiaTheme="minorEastAsia"/>
          <w:b/>
          <w:bCs/>
          <w:color w:val="000000" w:themeColor="text1"/>
          <w:kern w:val="32"/>
          <w:sz w:val="32"/>
          <w:szCs w:val="32"/>
          <w:lang w:bidi="en-US"/>
        </w:rPr>
        <w:t>4工程分析</w:t>
      </w:r>
      <w:bookmarkEnd w:id="482"/>
      <w:bookmarkEnd w:id="483"/>
    </w:p>
    <w:p>
      <w:pPr>
        <w:pStyle w:val="574"/>
        <w:spacing w:beforeLines="0" w:afterLines="0"/>
        <w:rPr>
          <w:rFonts w:eastAsiaTheme="minorEastAsia"/>
          <w:color w:val="000000" w:themeColor="text1"/>
          <w:sz w:val="30"/>
          <w:szCs w:val="30"/>
        </w:rPr>
      </w:pPr>
      <w:bookmarkStart w:id="484" w:name="_Toc6950"/>
      <w:r>
        <w:rPr>
          <w:rFonts w:eastAsiaTheme="minorEastAsia"/>
          <w:color w:val="000000" w:themeColor="text1"/>
          <w:sz w:val="30"/>
          <w:szCs w:val="30"/>
        </w:rPr>
        <w:t>4.1</w:t>
      </w:r>
      <w:r>
        <w:rPr>
          <w:rFonts w:hint="eastAsia" w:eastAsiaTheme="minorEastAsia"/>
          <w:color w:val="000000" w:themeColor="text1"/>
          <w:sz w:val="30"/>
          <w:szCs w:val="30"/>
        </w:rPr>
        <w:t>技改项目</w:t>
      </w:r>
      <w:r>
        <w:rPr>
          <w:rFonts w:eastAsiaTheme="minorEastAsia"/>
          <w:color w:val="000000" w:themeColor="text1"/>
          <w:sz w:val="30"/>
          <w:szCs w:val="30"/>
        </w:rPr>
        <w:t>工艺流程及产污染环节</w:t>
      </w:r>
      <w:bookmarkEnd w:id="484"/>
    </w:p>
    <w:p>
      <w:pPr>
        <w:ind w:firstLine="482"/>
        <w:rPr>
          <w:rFonts w:eastAsiaTheme="minorEastAsia"/>
          <w:b/>
          <w:color w:val="000000" w:themeColor="text1"/>
        </w:rPr>
      </w:pPr>
      <w:r>
        <w:rPr>
          <w:rFonts w:hint="eastAsia" w:eastAsiaTheme="minorEastAsia"/>
          <w:b/>
          <w:color w:val="000000" w:themeColor="text1"/>
        </w:rPr>
        <w:t>（一）工艺流程</w:t>
      </w:r>
    </w:p>
    <w:p>
      <w:pPr>
        <w:widowControl/>
        <w:ind w:firstLine="480"/>
        <w:jc w:val="both"/>
        <w:rPr>
          <w:rFonts w:eastAsiaTheme="minorEastAsia"/>
          <w:bCs/>
          <w:color w:val="000000" w:themeColor="text1"/>
          <w:szCs w:val="24"/>
        </w:rPr>
      </w:pPr>
      <w:r>
        <w:rPr>
          <w:rFonts w:hint="eastAsia" w:eastAsiaTheme="minorEastAsia"/>
          <w:bCs/>
          <w:color w:val="000000" w:themeColor="text1"/>
          <w:szCs w:val="24"/>
        </w:rPr>
        <w:t>技改项目</w:t>
      </w:r>
      <w:r>
        <w:rPr>
          <w:rFonts w:eastAsiaTheme="minorEastAsia"/>
          <w:bCs/>
          <w:color w:val="000000" w:themeColor="text1"/>
          <w:szCs w:val="24"/>
        </w:rPr>
        <w:t>工艺流程及产生污染环节见图4.1-1~4.1-3。</w:t>
      </w:r>
    </w:p>
    <w:p>
      <w:pPr>
        <w:pStyle w:val="2"/>
        <w:ind w:firstLine="480"/>
        <w:rPr>
          <w:rFonts w:ascii="Times New Roman" w:hAnsi="Times New Roman" w:eastAsiaTheme="minorEastAsia"/>
          <w:color w:val="000000" w:themeColor="text1"/>
        </w:rPr>
      </w:pPr>
      <w:r>
        <w:rPr>
          <w:rFonts w:ascii="Times New Roman" w:hAnsi="Times New Roman" w:eastAsiaTheme="minorEastAsia"/>
          <w:color w:val="000000" w:themeColor="text1"/>
        </w:rPr>
        <w:object>
          <v:shape id="_x0000_i1034" o:spt="75" type="#_x0000_t75" style="height:523.5pt;width:357.75pt;" o:ole="t" filled="f" o:preferrelative="t" stroked="f" coordsize="21600,21600">
            <v:path/>
            <v:fill on="f" focussize="0,0"/>
            <v:stroke on="f" joinstyle="miter"/>
            <v:imagedata r:id="rId52" o:title=""/>
            <o:lock v:ext="edit" aspectratio="f"/>
            <w10:wrap type="none"/>
            <w10:anchorlock/>
          </v:shape>
          <o:OLEObject Type="Embed" ProgID="Visio.Drawing.11" ShapeID="_x0000_i1034" DrawAspect="Content" ObjectID="_1468075733" r:id="rId51">
            <o:LockedField>false</o:LockedField>
          </o:OLEObject>
        </w:object>
      </w: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图4.1-1</w:t>
      </w:r>
      <w:r>
        <w:rPr>
          <w:rFonts w:eastAsiaTheme="minorEastAsia"/>
          <w:b/>
          <w:bCs/>
          <w:color w:val="000000" w:themeColor="text1"/>
          <w:kern w:val="24"/>
          <w:sz w:val="21"/>
          <w:szCs w:val="21"/>
        </w:rPr>
        <w:t>原料加工处理站工艺流程图</w:t>
      </w:r>
    </w:p>
    <w:p>
      <w:pPr>
        <w:ind w:firstLine="480"/>
        <w:rPr>
          <w:color w:val="000000" w:themeColor="text1"/>
        </w:rPr>
      </w:pPr>
    </w:p>
    <w:p>
      <w:pPr>
        <w:ind w:firstLine="0" w:firstLineChars="0"/>
        <w:jc w:val="center"/>
        <w:rPr>
          <w:rFonts w:eastAsiaTheme="minorEastAsia"/>
          <w:b/>
          <w:color w:val="000000" w:themeColor="text1"/>
          <w:sz w:val="21"/>
          <w:szCs w:val="21"/>
        </w:rPr>
      </w:pPr>
      <w:r>
        <w:rPr>
          <w:rFonts w:eastAsiaTheme="minorEastAsia"/>
          <w:b/>
          <w:color w:val="000000" w:themeColor="text1"/>
          <w:sz w:val="21"/>
          <w:szCs w:val="21"/>
        </w:rPr>
        <w:object>
          <v:shape id="_x0000_i1035" o:spt="75" type="#_x0000_t75" style="height:614.25pt;width:407.25pt;" o:ole="t" filled="f" o:preferrelative="t" stroked="f" coordsize="21600,21600">
            <v:path/>
            <v:fill on="f" focussize="0,0"/>
            <v:stroke on="f" joinstyle="miter"/>
            <v:imagedata r:id="rId54" o:title=""/>
            <o:lock v:ext="edit" aspectratio="f"/>
            <w10:wrap type="none"/>
            <w10:anchorlock/>
          </v:shape>
          <o:OLEObject Type="Embed" ProgID="Visio.Drawing.11" ShapeID="_x0000_i1035" DrawAspect="Content" ObjectID="_1468075734" r:id="rId53">
            <o:LockedField>false</o:LockedField>
          </o:OLEObject>
        </w:object>
      </w:r>
    </w:p>
    <w:p>
      <w:pPr>
        <w:ind w:firstLine="0" w:firstLineChars="0"/>
        <w:jc w:val="center"/>
        <w:rPr>
          <w:rFonts w:eastAsiaTheme="minorEastAsia"/>
          <w:b/>
          <w:color w:val="000000" w:themeColor="text1"/>
          <w:sz w:val="21"/>
          <w:szCs w:val="21"/>
        </w:rPr>
      </w:pPr>
      <w:r>
        <w:rPr>
          <w:rFonts w:eastAsiaTheme="minorEastAsia"/>
          <w:b/>
          <w:color w:val="000000" w:themeColor="text1"/>
          <w:sz w:val="21"/>
          <w:szCs w:val="21"/>
        </w:rPr>
        <w:t>图4.1-2三级精铁矿处理工艺流程及产污节点图</w:t>
      </w:r>
    </w:p>
    <w:p>
      <w:pPr>
        <w:ind w:firstLine="480"/>
        <w:jc w:val="center"/>
        <w:rPr>
          <w:rFonts w:eastAsiaTheme="minorEastAsia"/>
          <w:bCs/>
          <w:iCs/>
          <w:color w:val="000000" w:themeColor="text1"/>
        </w:rPr>
      </w:pPr>
      <w:r>
        <w:rPr>
          <w:rFonts w:eastAsiaTheme="minorEastAsia"/>
          <w:bCs/>
          <w:iCs/>
          <w:color w:val="000000" w:themeColor="text1"/>
        </w:rPr>
        <w:object>
          <v:shape id="_x0000_i1036" o:spt="75" type="#_x0000_t75" style="height:198pt;width:104.25pt;" o:ole="t" filled="f" o:preferrelative="t" stroked="f" coordsize="21600,21600">
            <v:path/>
            <v:fill on="f" focussize="0,0"/>
            <v:stroke on="f" joinstyle="miter"/>
            <v:imagedata r:id="rId56" o:title=""/>
            <o:lock v:ext="edit" aspectratio="f"/>
            <w10:wrap type="none"/>
            <w10:anchorlock/>
          </v:shape>
          <o:OLEObject Type="Embed" ProgID="Visio.Drawing.11" ShapeID="_x0000_i1036" DrawAspect="Content" ObjectID="_1468075735" r:id="rId55">
            <o:LockedField>false</o:LockedField>
          </o:OLEObject>
        </w:object>
      </w:r>
    </w:p>
    <w:p>
      <w:pPr>
        <w:ind w:firstLine="0" w:firstLineChars="0"/>
        <w:jc w:val="center"/>
        <w:rPr>
          <w:rFonts w:eastAsiaTheme="minorEastAsia"/>
          <w:b/>
          <w:color w:val="000000" w:themeColor="text1"/>
          <w:sz w:val="21"/>
          <w:szCs w:val="21"/>
        </w:rPr>
      </w:pPr>
      <w:r>
        <w:rPr>
          <w:rFonts w:eastAsiaTheme="minorEastAsia"/>
          <w:b/>
          <w:color w:val="000000" w:themeColor="text1"/>
          <w:sz w:val="21"/>
          <w:szCs w:val="21"/>
        </w:rPr>
        <w:t>图4.1-3技改铁矿再选尾矿输送流程图</w:t>
      </w:r>
    </w:p>
    <w:p>
      <w:pPr>
        <w:widowControl/>
        <w:ind w:firstLine="482"/>
        <w:jc w:val="both"/>
        <w:rPr>
          <w:rFonts w:eastAsiaTheme="minorEastAsia"/>
          <w:b/>
          <w:color w:val="000000" w:themeColor="text1"/>
          <w:szCs w:val="24"/>
        </w:rPr>
      </w:pPr>
      <w:r>
        <w:rPr>
          <w:rFonts w:hint="eastAsia" w:eastAsiaTheme="minorEastAsia"/>
          <w:b/>
          <w:color w:val="000000" w:themeColor="text1"/>
          <w:szCs w:val="24"/>
        </w:rPr>
        <w:t>（1）原料加工处理站工艺流程简述</w:t>
      </w:r>
    </w:p>
    <w:p>
      <w:pPr>
        <w:ind w:firstLine="480"/>
        <w:rPr>
          <w:rFonts w:eastAsiaTheme="minorEastAsia"/>
          <w:bCs/>
          <w:iCs/>
          <w:color w:val="000000" w:themeColor="text1"/>
        </w:rPr>
      </w:pPr>
      <w:r>
        <w:rPr>
          <w:rFonts w:eastAsiaTheme="minorEastAsia"/>
          <w:bCs/>
          <w:iCs/>
          <w:color w:val="000000" w:themeColor="text1"/>
        </w:rPr>
        <w:t>从大红山买来的原矿石堆放在原矿石堆棚</w:t>
      </w:r>
      <w:r>
        <w:rPr>
          <w:rFonts w:hint="eastAsia" w:eastAsiaTheme="minorEastAsia"/>
          <w:bCs/>
          <w:iCs/>
          <w:color w:val="000000" w:themeColor="text1"/>
        </w:rPr>
        <w:t>(原矿粒径为300~400mm）</w:t>
      </w:r>
      <w:r>
        <w:rPr>
          <w:rFonts w:eastAsiaTheme="minorEastAsia"/>
          <w:bCs/>
          <w:iCs/>
          <w:color w:val="000000" w:themeColor="text1"/>
        </w:rPr>
        <w:t>，用装载机把原料放入</w:t>
      </w:r>
      <w:r>
        <w:rPr>
          <w:rFonts w:hint="eastAsia" w:eastAsiaTheme="minorEastAsia"/>
          <w:bCs/>
          <w:iCs/>
          <w:color w:val="000000" w:themeColor="text1"/>
        </w:rPr>
        <w:t>1#鄂式破碎机</w:t>
      </w:r>
      <w:r>
        <w:rPr>
          <w:rFonts w:eastAsiaTheme="minorEastAsia"/>
          <w:bCs/>
          <w:iCs/>
          <w:color w:val="000000" w:themeColor="text1"/>
        </w:rPr>
        <w:t>内进行初破</w:t>
      </w:r>
      <w:r>
        <w:rPr>
          <w:rFonts w:hint="eastAsia" w:eastAsiaTheme="minorEastAsia"/>
          <w:bCs/>
          <w:iCs/>
          <w:color w:val="000000" w:themeColor="text1"/>
        </w:rPr>
        <w:t>（出料粒度为250~300mm）</w:t>
      </w:r>
      <w:r>
        <w:rPr>
          <w:rFonts w:eastAsiaTheme="minorEastAsia"/>
          <w:bCs/>
          <w:iCs/>
          <w:color w:val="000000" w:themeColor="text1"/>
        </w:rPr>
        <w:t>，然后物料通过皮带进入</w:t>
      </w:r>
      <w:r>
        <w:rPr>
          <w:rFonts w:hint="eastAsia" w:eastAsiaTheme="minorEastAsia"/>
          <w:bCs/>
          <w:iCs/>
          <w:color w:val="000000" w:themeColor="text1"/>
        </w:rPr>
        <w:t>2#颚式破碎机（出料粒度为100~150mm），接着物料进入1#</w:t>
      </w:r>
      <w:r>
        <w:rPr>
          <w:rFonts w:eastAsiaTheme="minorEastAsia"/>
          <w:bCs/>
          <w:iCs/>
          <w:color w:val="000000" w:themeColor="text1"/>
        </w:rPr>
        <w:t>圆锥破碎机</w:t>
      </w:r>
      <w:r>
        <w:rPr>
          <w:rFonts w:hint="eastAsia" w:eastAsiaTheme="minorEastAsia"/>
          <w:bCs/>
          <w:iCs/>
          <w:color w:val="000000" w:themeColor="text1"/>
        </w:rPr>
        <w:t>（出料粒度为40~70mm）</w:t>
      </w:r>
      <w:r>
        <w:rPr>
          <w:rFonts w:eastAsiaTheme="minorEastAsia"/>
          <w:bCs/>
          <w:iCs/>
          <w:color w:val="000000" w:themeColor="text1"/>
        </w:rPr>
        <w:t>，</w:t>
      </w:r>
      <w:r>
        <w:rPr>
          <w:rFonts w:hint="eastAsia" w:eastAsiaTheme="minorEastAsia"/>
          <w:bCs/>
          <w:iCs/>
          <w:color w:val="000000" w:themeColor="text1"/>
        </w:rPr>
        <w:t>从1#圆锥破碎机出来的物料进入1#振动筛（一层），筛下物为粒径小于26mm的物料（进入电磁滚筒），筛上物为粒径大于26mm的物料，筛上物进入2#圆锥破碎机，从2#圆锥破碎机出来的物料进入2#振动筛（二层），每层分别为26mm和40mm的孔，26mm以上的物料返回进入2#圆锥破，最下层筛下物进入电磁滚筒，二层筛子的作用为分担筛子压力；利用电磁滚筒选出带磁性的矿和不带磁性的矿，带磁性的矿通过辊压机进一步压碎有利于原有项目的选矿，辊压机出来的物料进入3#振动筛（二层），此处的二层筛子同样也起到分担筛子压力的作用，筛上物返回辊压机再次压碎，筛下物进入低品位矿堆场，作为原有选矿工段的原料。从电磁滚筒选出的不带磁性的物料进入制砂机（也叫整形机），对物料进一步破碎，出来的物料进入水平筛（三层），分别筛出粒径为16~26mm、10~16mm、5~10mm、&lt;5mm的砂石料，前三种粒径的石料进入砂石料棚，&lt;5mm的砂料作为机制砂，由于&lt;5mm砂料带有一定的泥，并且在电磁滚筒分选阶段未选出从而随石料携带少量铁矿，所以设置1台斗轮洗砂机进行清洗，清洗后的废水和泥料进入原有项目磁选机进一步选矿。清洗后的砂料进堆料棚</w:t>
      </w:r>
      <w:r>
        <w:rPr>
          <w:rStyle w:val="73"/>
          <w:rFonts w:hint="eastAsia"/>
          <w:color w:val="000000" w:themeColor="text1"/>
          <w:kern w:val="0"/>
        </w:rPr>
        <w:t>外售</w:t>
      </w:r>
      <w:r>
        <w:rPr>
          <w:rFonts w:hint="eastAsia" w:eastAsiaTheme="minorEastAsia"/>
          <w:bCs/>
          <w:iCs/>
          <w:color w:val="000000" w:themeColor="text1"/>
        </w:rPr>
        <w:t>。</w:t>
      </w:r>
    </w:p>
    <w:p>
      <w:pPr>
        <w:ind w:firstLine="482"/>
        <w:rPr>
          <w:rFonts w:eastAsiaTheme="minorEastAsia"/>
          <w:b/>
          <w:iCs/>
          <w:color w:val="000000" w:themeColor="text1"/>
        </w:rPr>
      </w:pPr>
      <w:r>
        <w:rPr>
          <w:rFonts w:eastAsiaTheme="minorEastAsia"/>
          <w:b/>
          <w:iCs/>
          <w:color w:val="000000" w:themeColor="text1"/>
        </w:rPr>
        <w:t>（2）营运期三级精铁矿</w:t>
      </w:r>
      <w:r>
        <w:rPr>
          <w:rFonts w:hint="eastAsia" w:eastAsiaTheme="minorEastAsia"/>
          <w:b/>
          <w:iCs/>
          <w:color w:val="000000" w:themeColor="text1"/>
        </w:rPr>
        <w:t>再选</w:t>
      </w:r>
      <w:r>
        <w:rPr>
          <w:rFonts w:eastAsiaTheme="minorEastAsia"/>
          <w:b/>
          <w:iCs/>
          <w:color w:val="000000" w:themeColor="text1"/>
        </w:rPr>
        <w:t>工艺流程简述</w:t>
      </w:r>
    </w:p>
    <w:p>
      <w:pPr>
        <w:ind w:firstLine="480"/>
        <w:jc w:val="both"/>
        <w:rPr>
          <w:rFonts w:eastAsiaTheme="minorEastAsia"/>
          <w:bCs/>
          <w:iCs/>
          <w:color w:val="000000" w:themeColor="text1"/>
        </w:rPr>
      </w:pPr>
      <w:r>
        <w:rPr>
          <w:rFonts w:eastAsiaTheme="minorEastAsia"/>
          <w:bCs/>
          <w:iCs/>
          <w:color w:val="000000" w:themeColor="text1"/>
        </w:rPr>
        <w:t>技改项目利用原有项目生产出的三级铁精矿40000t/a和外购的70000t/a三级铁精矿作为生产原料，将</w:t>
      </w:r>
      <w:r>
        <w:rPr>
          <w:rFonts w:hint="eastAsia" w:eastAsiaTheme="minorEastAsia"/>
          <w:bCs/>
          <w:iCs/>
          <w:color w:val="000000" w:themeColor="text1"/>
        </w:rPr>
        <w:t>三级精铁矿</w:t>
      </w:r>
      <w:r>
        <w:rPr>
          <w:rFonts w:eastAsiaTheme="minorEastAsia"/>
          <w:bCs/>
          <w:iCs/>
          <w:color w:val="000000" w:themeColor="text1"/>
        </w:rPr>
        <w:t>投入</w:t>
      </w:r>
      <w:r>
        <w:rPr>
          <w:rFonts w:hint="eastAsia" w:eastAsiaTheme="minorEastAsia"/>
          <w:bCs/>
          <w:iCs/>
          <w:color w:val="000000" w:themeColor="text1"/>
        </w:rPr>
        <w:t>立磨机内，立磨机内加水，立磨机内的物料通过溢流进入旋流分离器，底部物料进入另一组旋流分离器，旋流分离器物料进入球磨机，球磨机把物料磨细，细度在80~90目之间的物料进入强磁选机，细度在400目以下，90目以上的进入旋流分离器，旋流分离器底部的物料进入立磨机再磨细，磨细后再进入旋流分离器，然后进入强磁选机。物料经过两次强磁选机和两次弱磁选机后，再经陶瓷过滤机脱水，铁精矿含水率达到10%，品位能达到64%~67%之间，磁选机产生的尾矿通过管道进入辣子箐口选厂的浓密池（依托），然后通过泵和管道传送至大红山龙都尾矿库。</w:t>
      </w:r>
    </w:p>
    <w:p>
      <w:pPr>
        <w:ind w:firstLine="480"/>
        <w:rPr>
          <w:rFonts w:eastAsiaTheme="minorEastAsia"/>
          <w:b/>
          <w:iCs/>
          <w:color w:val="000000" w:themeColor="text1"/>
        </w:rPr>
      </w:pPr>
      <w:r>
        <w:rPr>
          <w:rFonts w:hint="eastAsia" w:eastAsiaTheme="minorEastAsia"/>
          <w:bCs/>
          <w:iCs/>
          <w:color w:val="000000" w:themeColor="text1"/>
        </w:rPr>
        <w:t>陶瓷过滤机需定期清洗，一般为8h清洗一次，两台陶瓷过滤机为一备一用，每8h更替一次，更替时对陶瓷过滤机进行清洗，清洗陶瓷过滤机时使用陶瓷过滤机清洗剂，清洗后的水进入原有项目尾矿沉淀池。</w:t>
      </w:r>
    </w:p>
    <w:p>
      <w:pPr>
        <w:ind w:left="480" w:leftChars="200" w:firstLine="0" w:firstLineChars="0"/>
        <w:rPr>
          <w:rFonts w:eastAsiaTheme="minorEastAsia"/>
          <w:b/>
          <w:iCs/>
          <w:color w:val="000000" w:themeColor="text1"/>
        </w:rPr>
      </w:pPr>
      <w:r>
        <w:rPr>
          <w:rFonts w:eastAsiaTheme="minorEastAsia"/>
          <w:b/>
          <w:iCs/>
          <w:color w:val="000000" w:themeColor="text1"/>
        </w:rPr>
        <w:t>（3）本项目尾矿输送工艺流程简述</w:t>
      </w:r>
    </w:p>
    <w:p>
      <w:pPr>
        <w:pStyle w:val="2"/>
        <w:ind w:firstLine="480"/>
        <w:rPr>
          <w:rFonts w:ascii="Times New Roman" w:hAnsi="Times New Roman"/>
          <w:b/>
          <w:bCs/>
          <w:color w:val="000000" w:themeColor="text1"/>
          <w:lang w:eastAsia="zh-CN"/>
        </w:rPr>
      </w:pPr>
      <w:r>
        <w:rPr>
          <w:rFonts w:ascii="Times New Roman" w:hAnsi="Times New Roman"/>
          <w:color w:val="000000" w:themeColor="text1"/>
          <w:lang w:eastAsia="zh-CN"/>
        </w:rPr>
        <w:t>项目尾矿经管道</w:t>
      </w:r>
      <w:r>
        <w:rPr>
          <w:rFonts w:hint="eastAsia" w:ascii="Times New Roman" w:hAnsi="Times New Roman"/>
          <w:color w:val="000000" w:themeColor="text1"/>
          <w:lang w:eastAsia="zh-CN"/>
        </w:rPr>
        <w:t>和</w:t>
      </w:r>
      <w:r>
        <w:rPr>
          <w:rFonts w:ascii="Times New Roman" w:hAnsi="Times New Roman"/>
          <w:color w:val="000000" w:themeColor="text1"/>
          <w:lang w:eastAsia="zh-CN"/>
        </w:rPr>
        <w:t>泵打入平安矿业辣子箐口选厂的浓密池内，平安矿业已建设尾矿输送到大红山龙都尾矿库的配套设施及管道（相关环保手续已办理完成）。从浓密池经已建好的隔膜泵站输送到大红山尾矿沟，然后进入龙都尾矿库。原有选矿项目尾矿依旧进入辣子箐尾矿库。</w:t>
      </w:r>
    </w:p>
    <w:p>
      <w:pPr>
        <w:ind w:firstLine="482"/>
        <w:rPr>
          <w:rFonts w:eastAsiaTheme="minorEastAsia"/>
          <w:b/>
          <w:color w:val="000000" w:themeColor="text1"/>
        </w:rPr>
      </w:pPr>
      <w:r>
        <w:rPr>
          <w:rFonts w:eastAsiaTheme="minorEastAsia"/>
          <w:b/>
          <w:color w:val="000000" w:themeColor="text1"/>
        </w:rPr>
        <w:t>（二）产污节点</w:t>
      </w:r>
    </w:p>
    <w:p>
      <w:pPr>
        <w:widowControl/>
        <w:ind w:firstLine="480"/>
        <w:jc w:val="both"/>
        <w:rPr>
          <w:rFonts w:eastAsiaTheme="minorEastAsia"/>
          <w:bCs/>
          <w:color w:val="000000" w:themeColor="text1"/>
          <w:szCs w:val="24"/>
        </w:rPr>
      </w:pPr>
      <w:r>
        <w:rPr>
          <w:rFonts w:eastAsiaTheme="minorEastAsia"/>
          <w:bCs/>
          <w:color w:val="000000" w:themeColor="text1"/>
          <w:szCs w:val="24"/>
        </w:rPr>
        <w:t>项目运营产污节点见下表所示：</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表4.1-1运营期污染源及产污节点一览表</w:t>
      </w:r>
    </w:p>
    <w:tbl>
      <w:tblPr>
        <w:tblStyle w:val="61"/>
        <w:tblW w:w="829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0"/>
        <w:gridCol w:w="1740"/>
        <w:gridCol w:w="1480"/>
        <w:gridCol w:w="1778"/>
        <w:gridCol w:w="2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1" w:hRule="atLeast"/>
          <w:tblHeader/>
          <w:jc w:val="center"/>
        </w:trPr>
        <w:tc>
          <w:tcPr>
            <w:tcW w:w="78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类别</w:t>
            </w: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污染源</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主要污染物</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产生规律</w:t>
            </w:r>
          </w:p>
        </w:tc>
        <w:tc>
          <w:tcPr>
            <w:tcW w:w="2519"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8" w:hRule="atLeast"/>
          <w:jc w:val="center"/>
        </w:trPr>
        <w:tc>
          <w:tcPr>
            <w:tcW w:w="780" w:type="dxa"/>
            <w:vMerge w:val="restart"/>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废气</w:t>
            </w: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原矿石堆场扬尘</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颗粒物</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原矿石堆场设置堆棚形式，三面围挡+遮雨棚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8"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低品位原矿堆场（分选出带磁性的）</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颗粒物</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低品位原矿堆场设置堆棚形式，三面围挡+遮雨棚，堆棚设置喷淋装置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8"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成品石料堆场扬尘</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颗粒物</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公分石和瓜子石堆场设置堆棚形式，三面围挡+遮雨棚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8"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成品砂料堆场扬尘</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颗粒物</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机制砂堆场设施堆棚形式，三面围挡+遮雨棚，堆棚设置喷淋装置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8"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皮带输送扬尘</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颗粒物</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输送</w:t>
            </w:r>
            <w:r>
              <w:rPr>
                <w:rFonts w:hint="eastAsia" w:eastAsiaTheme="minorEastAsia"/>
                <w:color w:val="000000" w:themeColor="text1"/>
                <w:kern w:val="24"/>
                <w:sz w:val="21"/>
                <w:szCs w:val="21"/>
              </w:rPr>
              <w:t>廊道进行</w:t>
            </w:r>
            <w:r>
              <w:rPr>
                <w:rFonts w:eastAsiaTheme="minorEastAsia"/>
                <w:color w:val="000000" w:themeColor="text1"/>
                <w:kern w:val="24"/>
                <w:sz w:val="21"/>
                <w:szCs w:val="21"/>
              </w:rPr>
              <w:t>密闭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8"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1#、2#鄂式</w:t>
            </w:r>
            <w:r>
              <w:rPr>
                <w:rFonts w:eastAsiaTheme="minorEastAsia"/>
                <w:color w:val="000000" w:themeColor="text1"/>
                <w:kern w:val="0"/>
                <w:sz w:val="21"/>
                <w:szCs w:val="21"/>
              </w:rPr>
              <w:t>破碎</w:t>
            </w:r>
            <w:r>
              <w:rPr>
                <w:rFonts w:hint="eastAsia" w:eastAsiaTheme="minorEastAsia"/>
                <w:color w:val="000000" w:themeColor="text1"/>
                <w:kern w:val="0"/>
                <w:sz w:val="21"/>
                <w:szCs w:val="21"/>
              </w:rPr>
              <w:t>机和1#、2#圆锥破碎机</w:t>
            </w:r>
            <w:r>
              <w:rPr>
                <w:rFonts w:eastAsiaTheme="minorEastAsia"/>
                <w:color w:val="000000" w:themeColor="text1"/>
                <w:kern w:val="0"/>
                <w:sz w:val="21"/>
                <w:szCs w:val="21"/>
              </w:rPr>
              <w:t>加工粉尘</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颗粒物</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Align w:val="center"/>
          </w:tcPr>
          <w:p>
            <w:pPr>
              <w:spacing w:line="240" w:lineRule="auto"/>
              <w:ind w:firstLine="0" w:firstLineChars="0"/>
              <w:jc w:val="center"/>
              <w:rPr>
                <w:rStyle w:val="73"/>
                <w:color w:val="000000" w:themeColor="text1"/>
                <w:kern w:val="0"/>
              </w:rPr>
            </w:pPr>
            <w:r>
              <w:rPr>
                <w:rStyle w:val="73"/>
                <w:rFonts w:hint="eastAsia"/>
                <w:color w:val="000000" w:themeColor="text1"/>
                <w:kern w:val="0"/>
              </w:rPr>
              <w:t>分别</w:t>
            </w:r>
            <w:r>
              <w:rPr>
                <w:rStyle w:val="73"/>
                <w:color w:val="000000" w:themeColor="text1"/>
                <w:kern w:val="0"/>
              </w:rPr>
              <w:t>设置</w:t>
            </w:r>
            <w:r>
              <w:rPr>
                <w:rStyle w:val="73"/>
                <w:rFonts w:hint="eastAsia"/>
                <w:color w:val="000000" w:themeColor="text1"/>
                <w:kern w:val="0"/>
              </w:rPr>
              <w:t>集气罩，共用1套</w:t>
            </w:r>
            <w:r>
              <w:rPr>
                <w:rStyle w:val="73"/>
                <w:color w:val="000000" w:themeColor="text1"/>
                <w:kern w:val="0"/>
              </w:rPr>
              <w:t>布袋除尘器</w:t>
            </w:r>
            <w:r>
              <w:rPr>
                <w:rStyle w:val="73"/>
                <w:rFonts w:hint="eastAsia"/>
                <w:color w:val="000000" w:themeColor="text1"/>
                <w:kern w:val="0"/>
              </w:rPr>
              <w:t>和1根15m高排气筒（DA001）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8"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1~3#振动筛</w:t>
            </w:r>
            <w:r>
              <w:rPr>
                <w:rFonts w:eastAsiaTheme="minorEastAsia"/>
                <w:color w:val="000000" w:themeColor="text1"/>
                <w:kern w:val="0"/>
                <w:sz w:val="21"/>
                <w:szCs w:val="21"/>
              </w:rPr>
              <w:t>粉尘</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颗粒物</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restart"/>
            <w:vAlign w:val="center"/>
          </w:tcPr>
          <w:p>
            <w:pPr>
              <w:spacing w:line="240" w:lineRule="auto"/>
              <w:ind w:firstLine="0" w:firstLineChars="0"/>
              <w:jc w:val="center"/>
              <w:rPr>
                <w:rStyle w:val="73"/>
                <w:color w:val="000000" w:themeColor="text1"/>
                <w:kern w:val="0"/>
              </w:rPr>
            </w:pPr>
            <w:r>
              <w:rPr>
                <w:rStyle w:val="73"/>
                <w:rFonts w:hint="eastAsia"/>
                <w:color w:val="000000" w:themeColor="text1"/>
                <w:kern w:val="0"/>
              </w:rPr>
              <w:t>分别</w:t>
            </w:r>
            <w:r>
              <w:rPr>
                <w:rStyle w:val="73"/>
                <w:color w:val="000000" w:themeColor="text1"/>
                <w:kern w:val="0"/>
              </w:rPr>
              <w:t>设置</w:t>
            </w:r>
            <w:r>
              <w:rPr>
                <w:rStyle w:val="73"/>
                <w:rFonts w:hint="eastAsia"/>
                <w:color w:val="000000" w:themeColor="text1"/>
                <w:kern w:val="0"/>
              </w:rPr>
              <w:t>集气罩，共用1套</w:t>
            </w:r>
            <w:r>
              <w:rPr>
                <w:rStyle w:val="73"/>
                <w:color w:val="000000" w:themeColor="text1"/>
                <w:kern w:val="0"/>
              </w:rPr>
              <w:t>布袋除尘器</w:t>
            </w:r>
            <w:r>
              <w:rPr>
                <w:rStyle w:val="73"/>
                <w:rFonts w:hint="eastAsia"/>
                <w:color w:val="000000" w:themeColor="text1"/>
                <w:kern w:val="0"/>
              </w:rPr>
              <w:t>和1根15m高排气筒（DA002）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8"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水平筛</w:t>
            </w:r>
            <w:r>
              <w:rPr>
                <w:rFonts w:hint="eastAsia" w:eastAsiaTheme="minorEastAsia"/>
                <w:color w:val="000000" w:themeColor="text1"/>
                <w:kern w:val="0"/>
                <w:sz w:val="21"/>
                <w:szCs w:val="21"/>
              </w:rPr>
              <w:t>粉尘</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颗粒物</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continue"/>
            <w:vAlign w:val="center"/>
          </w:tcPr>
          <w:p>
            <w:pPr>
              <w:spacing w:line="240" w:lineRule="auto"/>
              <w:ind w:firstLine="0" w:firstLineChars="0"/>
              <w:jc w:val="center"/>
              <w:rPr>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8"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制砂机粉尘</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颗粒物</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continue"/>
            <w:vAlign w:val="center"/>
          </w:tcPr>
          <w:p>
            <w:pPr>
              <w:spacing w:line="240" w:lineRule="auto"/>
              <w:ind w:firstLine="0" w:firstLineChars="0"/>
              <w:jc w:val="center"/>
              <w:rPr>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8"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辊压机</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颗粒物</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continue"/>
            <w:vAlign w:val="center"/>
          </w:tcPr>
          <w:p>
            <w:pPr>
              <w:spacing w:line="240" w:lineRule="auto"/>
              <w:ind w:firstLine="0" w:firstLineChars="0"/>
              <w:jc w:val="center"/>
              <w:rPr>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8" w:hRule="atLeast"/>
          <w:jc w:val="center"/>
        </w:trPr>
        <w:tc>
          <w:tcPr>
            <w:tcW w:w="780" w:type="dxa"/>
            <w:vMerge w:val="restart"/>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废水</w:t>
            </w: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尾矿浆</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SS</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Align w:val="center"/>
          </w:tcPr>
          <w:p>
            <w:pPr>
              <w:spacing w:line="240" w:lineRule="auto"/>
              <w:ind w:firstLine="0" w:firstLineChars="0"/>
              <w:jc w:val="center"/>
              <w:rPr>
                <w:rFonts w:eastAsiaTheme="minorEastAsia"/>
                <w:color w:val="000000" w:themeColor="text1"/>
                <w:kern w:val="0"/>
                <w:sz w:val="21"/>
                <w:szCs w:val="21"/>
              </w:rPr>
            </w:pPr>
            <w:r>
              <w:rPr>
                <w:rStyle w:val="73"/>
                <w:color w:val="000000" w:themeColor="text1"/>
                <w:kern w:val="0"/>
              </w:rPr>
              <w:t>尾矿浆</w:t>
            </w:r>
            <w:r>
              <w:rPr>
                <w:rFonts w:eastAsiaTheme="minorEastAsia"/>
                <w:color w:val="000000" w:themeColor="text1"/>
                <w:kern w:val="0"/>
                <w:sz w:val="21"/>
                <w:szCs w:val="21"/>
              </w:rPr>
              <w:t>沉淀池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8"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沉淀池上清液</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SS</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泵至回水池后输送至选厂高位水池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68"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洗砂泥浆</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SS</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进入</w:t>
            </w:r>
            <w:r>
              <w:rPr>
                <w:rFonts w:hint="eastAsia" w:eastAsiaTheme="minorEastAsia"/>
                <w:color w:val="000000" w:themeColor="text1"/>
                <w:kern w:val="0"/>
                <w:sz w:val="21"/>
                <w:szCs w:val="21"/>
              </w:rPr>
              <w:t>原有项目</w:t>
            </w:r>
            <w:r>
              <w:rPr>
                <w:rFonts w:eastAsiaTheme="minorEastAsia"/>
                <w:color w:val="000000" w:themeColor="text1"/>
                <w:kern w:val="0"/>
                <w:sz w:val="21"/>
                <w:szCs w:val="21"/>
              </w:rPr>
              <w:t>磁选机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780" w:type="dxa"/>
            <w:vMerge w:val="restart"/>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噪声</w:t>
            </w:r>
          </w:p>
        </w:tc>
        <w:tc>
          <w:tcPr>
            <w:tcW w:w="1740"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color w:val="000000" w:themeColor="text1"/>
                <w:kern w:val="0"/>
                <w:sz w:val="21"/>
                <w:szCs w:val="21"/>
              </w:rPr>
              <w:t>1#、2#鄂式</w:t>
            </w:r>
            <w:r>
              <w:rPr>
                <w:rFonts w:eastAsiaTheme="minorEastAsia"/>
                <w:color w:val="000000" w:themeColor="text1"/>
                <w:kern w:val="0"/>
                <w:sz w:val="21"/>
                <w:szCs w:val="21"/>
              </w:rPr>
              <w:t>破碎</w:t>
            </w:r>
            <w:r>
              <w:rPr>
                <w:rFonts w:hint="eastAsia" w:eastAsiaTheme="minorEastAsia"/>
                <w:color w:val="000000" w:themeColor="text1"/>
                <w:kern w:val="0"/>
                <w:sz w:val="21"/>
                <w:szCs w:val="21"/>
              </w:rPr>
              <w:t>机和1#、2#圆锥破碎机</w:t>
            </w:r>
          </w:p>
        </w:tc>
        <w:tc>
          <w:tcPr>
            <w:tcW w:w="1480" w:type="dxa"/>
            <w:vMerge w:val="restart"/>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噪声</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restart"/>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进入外环境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水平筛</w:t>
            </w:r>
          </w:p>
        </w:tc>
        <w:tc>
          <w:tcPr>
            <w:tcW w:w="14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continue"/>
            <w:vAlign w:val="center"/>
          </w:tcPr>
          <w:p>
            <w:pPr>
              <w:spacing w:line="240" w:lineRule="auto"/>
              <w:ind w:firstLine="0" w:firstLineChars="0"/>
              <w:jc w:val="center"/>
              <w:rPr>
                <w:rFonts w:eastAsiaTheme="minorEastAsia"/>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color w:val="000000" w:themeColor="text1"/>
                <w:kern w:val="0"/>
                <w:sz w:val="21"/>
                <w:szCs w:val="21"/>
              </w:rPr>
              <w:t>1~3#</w:t>
            </w:r>
            <w:r>
              <w:rPr>
                <w:rFonts w:hint="eastAsia" w:eastAsiaTheme="minorEastAsia"/>
                <w:bCs/>
                <w:iCs/>
                <w:color w:val="000000" w:themeColor="text1"/>
                <w:sz w:val="21"/>
                <w:szCs w:val="21"/>
              </w:rPr>
              <w:t>振动筛</w:t>
            </w:r>
          </w:p>
        </w:tc>
        <w:tc>
          <w:tcPr>
            <w:tcW w:w="14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continue"/>
            <w:vAlign w:val="center"/>
          </w:tcPr>
          <w:p>
            <w:pPr>
              <w:spacing w:line="240" w:lineRule="auto"/>
              <w:ind w:firstLine="0" w:firstLineChars="0"/>
              <w:jc w:val="center"/>
              <w:rPr>
                <w:rFonts w:eastAsiaTheme="minorEastAsia"/>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制砂机</w:t>
            </w:r>
          </w:p>
        </w:tc>
        <w:tc>
          <w:tcPr>
            <w:tcW w:w="14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continue"/>
            <w:vAlign w:val="center"/>
          </w:tcPr>
          <w:p>
            <w:pPr>
              <w:spacing w:line="240" w:lineRule="auto"/>
              <w:ind w:firstLine="0" w:firstLineChars="0"/>
              <w:jc w:val="center"/>
              <w:rPr>
                <w:rFonts w:eastAsiaTheme="minorEastAsia"/>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斗轮洗砂机</w:t>
            </w:r>
          </w:p>
        </w:tc>
        <w:tc>
          <w:tcPr>
            <w:tcW w:w="14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continue"/>
            <w:vAlign w:val="center"/>
          </w:tcPr>
          <w:p>
            <w:pPr>
              <w:spacing w:line="240" w:lineRule="auto"/>
              <w:ind w:firstLine="0" w:firstLineChars="0"/>
              <w:jc w:val="center"/>
              <w:rPr>
                <w:rFonts w:eastAsiaTheme="minorEastAsia"/>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67" w:hRule="atLeast"/>
          <w:jc w:val="center"/>
        </w:trPr>
        <w:tc>
          <w:tcPr>
            <w:tcW w:w="780"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740"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lang w:val="en-GB"/>
              </w:rPr>
              <w:t>立磨机</w:t>
            </w:r>
          </w:p>
        </w:tc>
        <w:tc>
          <w:tcPr>
            <w:tcW w:w="1480"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continue"/>
            <w:vAlign w:val="center"/>
          </w:tcPr>
          <w:p>
            <w:pPr>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67" w:hRule="atLeast"/>
          <w:jc w:val="center"/>
        </w:trPr>
        <w:tc>
          <w:tcPr>
            <w:tcW w:w="780"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740" w:type="dxa"/>
            <w:vAlign w:val="center"/>
          </w:tcPr>
          <w:p>
            <w:pPr>
              <w:spacing w:line="240" w:lineRule="auto"/>
              <w:ind w:firstLine="0" w:firstLineChars="0"/>
              <w:jc w:val="center"/>
              <w:rPr>
                <w:rFonts w:eastAsiaTheme="minorEastAsia"/>
                <w:bCs/>
                <w:iCs/>
                <w:color w:val="000000" w:themeColor="text1"/>
                <w:sz w:val="21"/>
                <w:szCs w:val="21"/>
                <w:lang w:val="en-GB"/>
              </w:rPr>
            </w:pPr>
            <w:r>
              <w:rPr>
                <w:rFonts w:hint="eastAsia" w:eastAsiaTheme="minorEastAsia"/>
                <w:bCs/>
                <w:iCs/>
                <w:color w:val="000000" w:themeColor="text1"/>
                <w:sz w:val="21"/>
                <w:szCs w:val="21"/>
              </w:rPr>
              <w:t>球磨机</w:t>
            </w:r>
          </w:p>
        </w:tc>
        <w:tc>
          <w:tcPr>
            <w:tcW w:w="1480"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continue"/>
            <w:vAlign w:val="center"/>
          </w:tcPr>
          <w:p>
            <w:pPr>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67" w:hRule="atLeast"/>
          <w:jc w:val="center"/>
        </w:trPr>
        <w:tc>
          <w:tcPr>
            <w:tcW w:w="780"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740"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强磁选机</w:t>
            </w:r>
          </w:p>
        </w:tc>
        <w:tc>
          <w:tcPr>
            <w:tcW w:w="1480"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continue"/>
            <w:vAlign w:val="center"/>
          </w:tcPr>
          <w:p>
            <w:pPr>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72" w:hRule="atLeast"/>
          <w:jc w:val="center"/>
        </w:trPr>
        <w:tc>
          <w:tcPr>
            <w:tcW w:w="780"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740"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弱磁选机</w:t>
            </w:r>
          </w:p>
        </w:tc>
        <w:tc>
          <w:tcPr>
            <w:tcW w:w="1480"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continue"/>
            <w:vAlign w:val="center"/>
          </w:tcPr>
          <w:p>
            <w:pPr>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72" w:hRule="atLeast"/>
          <w:jc w:val="center"/>
        </w:trPr>
        <w:tc>
          <w:tcPr>
            <w:tcW w:w="780"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740"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渣浆泵</w:t>
            </w:r>
          </w:p>
        </w:tc>
        <w:tc>
          <w:tcPr>
            <w:tcW w:w="1480"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Merge w:val="continue"/>
            <w:vAlign w:val="center"/>
          </w:tcPr>
          <w:p>
            <w:pPr>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67" w:hRule="atLeast"/>
          <w:jc w:val="center"/>
        </w:trPr>
        <w:tc>
          <w:tcPr>
            <w:tcW w:w="780" w:type="dxa"/>
            <w:vMerge w:val="restart"/>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固废</w:t>
            </w:r>
          </w:p>
        </w:tc>
        <w:tc>
          <w:tcPr>
            <w:tcW w:w="1740" w:type="dxa"/>
            <w:vAlign w:val="center"/>
          </w:tcPr>
          <w:p>
            <w:pPr>
              <w:spacing w:line="240" w:lineRule="auto"/>
              <w:ind w:firstLine="0" w:firstLineChars="0"/>
              <w:jc w:val="center"/>
              <w:rPr>
                <w:rFonts w:eastAsiaTheme="minorEastAsia"/>
                <w:bCs/>
                <w:iCs/>
                <w:color w:val="000000" w:themeColor="text1"/>
                <w:sz w:val="21"/>
                <w:szCs w:val="21"/>
                <w:lang w:val="en-GB"/>
              </w:rPr>
            </w:pPr>
            <w:r>
              <w:rPr>
                <w:rFonts w:eastAsiaTheme="minorEastAsia"/>
                <w:bCs/>
                <w:iCs/>
                <w:color w:val="000000" w:themeColor="text1"/>
                <w:sz w:val="21"/>
                <w:szCs w:val="21"/>
                <w:lang w:val="en-GB"/>
              </w:rPr>
              <w:t>尾矿</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尾矿渣</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进入龙都尾矿库堆存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67"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bCs/>
                <w:iCs/>
                <w:color w:val="000000" w:themeColor="text1"/>
                <w:sz w:val="21"/>
                <w:szCs w:val="21"/>
                <w:lang w:val="en-GB"/>
              </w:rPr>
            </w:pPr>
            <w:r>
              <w:rPr>
                <w:rFonts w:eastAsiaTheme="minorEastAsia"/>
                <w:bCs/>
                <w:iCs/>
                <w:color w:val="000000" w:themeColor="text1"/>
                <w:sz w:val="21"/>
                <w:szCs w:val="21"/>
                <w:lang w:val="en-GB"/>
              </w:rPr>
              <w:t>职工生活</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bCs/>
                <w:iCs/>
                <w:color w:val="000000" w:themeColor="text1"/>
                <w:sz w:val="21"/>
                <w:szCs w:val="21"/>
                <w:lang w:val="en-GB"/>
              </w:rPr>
              <w:t>生活垃圾</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sz w:val="21"/>
                <w:szCs w:val="21"/>
              </w:rPr>
              <w:t>集中收集，统一清运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67"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bCs/>
                <w:iCs/>
                <w:color w:val="000000" w:themeColor="text1"/>
                <w:sz w:val="21"/>
                <w:szCs w:val="21"/>
                <w:lang w:val="en-GB"/>
              </w:rPr>
            </w:pPr>
            <w:r>
              <w:rPr>
                <w:rFonts w:eastAsiaTheme="minorEastAsia"/>
                <w:bCs/>
                <w:iCs/>
                <w:color w:val="000000" w:themeColor="text1"/>
                <w:sz w:val="21"/>
                <w:szCs w:val="21"/>
                <w:lang w:val="en-GB"/>
              </w:rPr>
              <w:t>收尘灰</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颗粒物</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作为砂料产品，不外排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67" w:hRule="atLeast"/>
          <w:jc w:val="center"/>
        </w:trPr>
        <w:tc>
          <w:tcPr>
            <w:tcW w:w="780" w:type="dxa"/>
            <w:vMerge w:val="continue"/>
            <w:vAlign w:val="center"/>
          </w:tcPr>
          <w:p>
            <w:pPr>
              <w:spacing w:line="240" w:lineRule="auto"/>
              <w:ind w:firstLine="0" w:firstLineChars="0"/>
              <w:jc w:val="center"/>
              <w:rPr>
                <w:rFonts w:eastAsiaTheme="minorEastAsia"/>
                <w:color w:val="000000" w:themeColor="text1"/>
                <w:kern w:val="0"/>
                <w:sz w:val="21"/>
                <w:szCs w:val="21"/>
              </w:rPr>
            </w:pPr>
          </w:p>
        </w:tc>
        <w:tc>
          <w:tcPr>
            <w:tcW w:w="1740" w:type="dxa"/>
            <w:vAlign w:val="center"/>
          </w:tcPr>
          <w:p>
            <w:pPr>
              <w:spacing w:line="240" w:lineRule="auto"/>
              <w:ind w:firstLine="0" w:firstLineChars="0"/>
              <w:jc w:val="center"/>
              <w:rPr>
                <w:rFonts w:eastAsiaTheme="minorEastAsia"/>
                <w:bCs/>
                <w:iCs/>
                <w:color w:val="000000" w:themeColor="text1"/>
                <w:sz w:val="21"/>
                <w:szCs w:val="21"/>
                <w:lang w:val="en-GB"/>
              </w:rPr>
            </w:pPr>
            <w:r>
              <w:rPr>
                <w:rFonts w:eastAsiaTheme="minorEastAsia"/>
                <w:bCs/>
                <w:iCs/>
                <w:color w:val="000000" w:themeColor="text1"/>
                <w:sz w:val="21"/>
                <w:szCs w:val="21"/>
                <w:lang w:val="en-GB"/>
              </w:rPr>
              <w:t>机械保养和维修</w:t>
            </w:r>
          </w:p>
        </w:tc>
        <w:tc>
          <w:tcPr>
            <w:tcW w:w="1480"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bCs/>
                <w:iCs/>
                <w:color w:val="000000" w:themeColor="text1"/>
                <w:sz w:val="21"/>
                <w:szCs w:val="21"/>
                <w:lang w:val="en-GB"/>
              </w:rPr>
              <w:t>废机油</w:t>
            </w:r>
          </w:p>
        </w:tc>
        <w:tc>
          <w:tcPr>
            <w:tcW w:w="177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连续</w:t>
            </w:r>
          </w:p>
        </w:tc>
        <w:tc>
          <w:tcPr>
            <w:tcW w:w="2519"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暂存危废暂存间，委托有资质单位清运处置</w:t>
            </w:r>
          </w:p>
        </w:tc>
      </w:tr>
    </w:tbl>
    <w:p>
      <w:pPr>
        <w:pStyle w:val="574"/>
        <w:spacing w:beforeLines="0" w:afterLines="0"/>
        <w:rPr>
          <w:rFonts w:eastAsiaTheme="minorEastAsia"/>
          <w:color w:val="000000" w:themeColor="text1"/>
          <w:sz w:val="30"/>
          <w:szCs w:val="30"/>
        </w:rPr>
      </w:pPr>
      <w:bookmarkStart w:id="485" w:name="_Toc321837016"/>
      <w:bookmarkStart w:id="486" w:name="_Toc322099738"/>
      <w:bookmarkStart w:id="487" w:name="_Toc321837710"/>
      <w:bookmarkStart w:id="488" w:name="_Toc324796478"/>
      <w:bookmarkStart w:id="489" w:name="_Toc326199931"/>
      <w:bookmarkStart w:id="490" w:name="_Toc421915847"/>
      <w:bookmarkStart w:id="491" w:name="_Toc430953648"/>
      <w:bookmarkStart w:id="492" w:name="_Toc29671"/>
      <w:bookmarkStart w:id="493" w:name="_Toc24208330"/>
      <w:bookmarkStart w:id="494" w:name="_Toc430201365"/>
      <w:bookmarkStart w:id="495" w:name="_Toc450603559"/>
      <w:bookmarkStart w:id="496" w:name="_Toc410033809"/>
      <w:bookmarkStart w:id="497" w:name="_Toc430953856"/>
      <w:r>
        <w:rPr>
          <w:rFonts w:eastAsiaTheme="minorEastAsia"/>
          <w:color w:val="000000" w:themeColor="text1"/>
          <w:sz w:val="30"/>
          <w:szCs w:val="30"/>
        </w:rPr>
        <w:t>4.</w:t>
      </w:r>
      <w:bookmarkEnd w:id="485"/>
      <w:bookmarkEnd w:id="486"/>
      <w:bookmarkEnd w:id="487"/>
      <w:bookmarkEnd w:id="488"/>
      <w:bookmarkEnd w:id="489"/>
      <w:r>
        <w:rPr>
          <w:rFonts w:eastAsiaTheme="minorEastAsia"/>
          <w:color w:val="000000" w:themeColor="text1"/>
          <w:sz w:val="30"/>
          <w:szCs w:val="30"/>
        </w:rPr>
        <w:t>2项目用排水情况</w:t>
      </w:r>
      <w:bookmarkEnd w:id="490"/>
      <w:bookmarkEnd w:id="491"/>
      <w:bookmarkEnd w:id="492"/>
      <w:bookmarkEnd w:id="493"/>
      <w:bookmarkEnd w:id="494"/>
      <w:bookmarkEnd w:id="495"/>
      <w:bookmarkEnd w:id="496"/>
      <w:bookmarkEnd w:id="497"/>
    </w:p>
    <w:p>
      <w:pPr>
        <w:pStyle w:val="6"/>
        <w:spacing w:beforeLines="0" w:afterLines="0"/>
        <w:rPr>
          <w:rFonts w:eastAsiaTheme="minorEastAsia"/>
          <w:color w:val="000000" w:themeColor="text1"/>
          <w:sz w:val="28"/>
          <w:szCs w:val="28"/>
        </w:rPr>
      </w:pPr>
      <w:bookmarkStart w:id="498" w:name="_Toc450603560"/>
      <w:bookmarkStart w:id="499" w:name="_Toc410033810"/>
      <w:bookmarkStart w:id="500" w:name="_Toc421915848"/>
      <w:bookmarkStart w:id="501" w:name="_Toc430953857"/>
      <w:bookmarkStart w:id="502" w:name="_Toc430953649"/>
      <w:bookmarkStart w:id="503" w:name="_Toc430201366"/>
      <w:bookmarkStart w:id="504" w:name="_Toc11894"/>
      <w:r>
        <w:rPr>
          <w:rFonts w:eastAsiaTheme="minorEastAsia"/>
          <w:color w:val="000000" w:themeColor="text1"/>
          <w:sz w:val="28"/>
          <w:szCs w:val="28"/>
        </w:rPr>
        <w:t>4.2.1</w:t>
      </w:r>
      <w:bookmarkEnd w:id="498"/>
      <w:bookmarkEnd w:id="499"/>
      <w:bookmarkEnd w:id="500"/>
      <w:bookmarkEnd w:id="501"/>
      <w:bookmarkEnd w:id="502"/>
      <w:bookmarkEnd w:id="503"/>
      <w:r>
        <w:rPr>
          <w:rFonts w:eastAsiaTheme="minorEastAsia"/>
          <w:color w:val="000000" w:themeColor="text1"/>
          <w:sz w:val="28"/>
          <w:szCs w:val="28"/>
        </w:rPr>
        <w:t>技改项目用水情况</w:t>
      </w:r>
      <w:bookmarkEnd w:id="504"/>
    </w:p>
    <w:p>
      <w:pPr>
        <w:ind w:firstLine="482"/>
        <w:rPr>
          <w:rFonts w:eastAsiaTheme="minorEastAsia"/>
          <w:b/>
          <w:color w:val="000000" w:themeColor="text1"/>
        </w:rPr>
      </w:pPr>
      <w:r>
        <w:rPr>
          <w:rFonts w:eastAsiaTheme="minorEastAsia"/>
          <w:b/>
          <w:color w:val="000000" w:themeColor="text1"/>
        </w:rPr>
        <w:t>1、生产用水</w:t>
      </w:r>
    </w:p>
    <w:p>
      <w:pPr>
        <w:ind w:firstLine="480"/>
        <w:jc w:val="both"/>
        <w:rPr>
          <w:rFonts w:eastAsiaTheme="minorEastAsia"/>
          <w:color w:val="000000" w:themeColor="text1"/>
        </w:rPr>
      </w:pPr>
      <w:r>
        <w:rPr>
          <w:rFonts w:eastAsiaTheme="minorEastAsia"/>
          <w:color w:val="000000" w:themeColor="text1"/>
        </w:rPr>
        <w:t>项目生产过程中用水点主要是选矿过程及砂石料加工用水。用水节点情况见下所述：</w:t>
      </w:r>
    </w:p>
    <w:p>
      <w:pPr>
        <w:ind w:firstLine="480"/>
        <w:rPr>
          <w:color w:val="000000" w:themeColor="text1"/>
        </w:rPr>
      </w:pPr>
      <w:r>
        <w:rPr>
          <w:color w:val="000000" w:themeColor="text1"/>
        </w:rPr>
        <w:t>①洗沙用水</w:t>
      </w:r>
    </w:p>
    <w:p>
      <w:pPr>
        <w:ind w:firstLine="480"/>
        <w:jc w:val="both"/>
        <w:rPr>
          <w:rFonts w:eastAsiaTheme="minorEastAsia"/>
          <w:color w:val="000000" w:themeColor="text1"/>
        </w:rPr>
      </w:pPr>
      <w:r>
        <w:rPr>
          <w:rFonts w:eastAsiaTheme="minorEastAsia"/>
          <w:color w:val="000000" w:themeColor="text1"/>
        </w:rPr>
        <w:t>砂石料加工中，</w:t>
      </w:r>
      <w:r>
        <w:rPr>
          <w:rFonts w:hint="eastAsia" w:eastAsiaTheme="minorEastAsia"/>
          <w:color w:val="000000" w:themeColor="text1"/>
        </w:rPr>
        <w:t>类比同类项目，</w:t>
      </w:r>
      <w:r>
        <w:rPr>
          <w:rFonts w:eastAsiaTheme="minorEastAsia"/>
          <w:color w:val="000000" w:themeColor="text1"/>
        </w:rPr>
        <w:t>筛分过程在</w:t>
      </w:r>
      <w:r>
        <w:rPr>
          <w:color w:val="000000" w:themeColor="text1"/>
          <w:szCs w:val="24"/>
        </w:rPr>
        <w:t>水平筛最下层落料槽内按0.2t水/t-机制砂</w:t>
      </w:r>
      <w:r>
        <w:rPr>
          <w:rFonts w:hint="eastAsia"/>
          <w:color w:val="000000" w:themeColor="text1"/>
          <w:szCs w:val="24"/>
        </w:rPr>
        <w:t>消耗水量</w:t>
      </w:r>
      <w:r>
        <w:rPr>
          <w:color w:val="000000" w:themeColor="text1"/>
          <w:szCs w:val="24"/>
        </w:rPr>
        <w:t>，水和机制砂一起进入斗轮洗沙机内洗沙</w:t>
      </w:r>
      <w:r>
        <w:rPr>
          <w:rFonts w:eastAsiaTheme="minorEastAsia"/>
          <w:color w:val="000000" w:themeColor="text1"/>
        </w:rPr>
        <w:t>，技改项目每天生产机制砂量为</w:t>
      </w:r>
      <w:r>
        <w:rPr>
          <w:rFonts w:hint="eastAsia" w:eastAsiaTheme="minorEastAsia"/>
          <w:color w:val="000000" w:themeColor="text1"/>
        </w:rPr>
        <w:t>66</w:t>
      </w:r>
      <w:r>
        <w:rPr>
          <w:rFonts w:eastAsiaTheme="minorEastAsia"/>
          <w:color w:val="000000" w:themeColor="text1"/>
        </w:rPr>
        <w:t>t，每天需洗沙水量为</w:t>
      </w:r>
      <w:r>
        <w:rPr>
          <w:rFonts w:hint="eastAsia" w:eastAsiaTheme="minorEastAsia"/>
          <w:color w:val="000000" w:themeColor="text1"/>
        </w:rPr>
        <w:t>13.2</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其中砂子带入3.96</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w:t>
      </w:r>
      <w:r>
        <w:rPr>
          <w:rFonts w:eastAsiaTheme="minorEastAsia"/>
          <w:color w:val="000000" w:themeColor="text1"/>
        </w:rPr>
        <w:t>洗沙后的水</w:t>
      </w:r>
      <w:r>
        <w:rPr>
          <w:rFonts w:hint="eastAsia" w:eastAsiaTheme="minorEastAsia"/>
          <w:color w:val="000000" w:themeColor="text1"/>
        </w:rPr>
        <w:t>有3.96</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/d随机制砂携带走，</w:t>
      </w:r>
      <w:r>
        <w:rPr>
          <w:rFonts w:hint="eastAsia" w:eastAsiaTheme="minorEastAsia"/>
          <w:color w:val="000000" w:themeColor="text1"/>
        </w:rPr>
        <w:t>9.24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废水</w:t>
      </w:r>
      <w:r>
        <w:rPr>
          <w:rFonts w:eastAsiaTheme="minorEastAsia"/>
          <w:color w:val="000000" w:themeColor="text1"/>
        </w:rPr>
        <w:t>进入</w:t>
      </w:r>
      <w:r>
        <w:rPr>
          <w:rFonts w:hint="eastAsia" w:eastAsiaTheme="minorEastAsia"/>
          <w:color w:val="000000" w:themeColor="text1"/>
        </w:rPr>
        <w:t>原有</w:t>
      </w:r>
      <w:r>
        <w:rPr>
          <w:rFonts w:eastAsiaTheme="minorEastAsia"/>
          <w:color w:val="000000" w:themeColor="text1"/>
        </w:rPr>
        <w:t>选矿生产线内，进一步选出泥浆中夹带的铁矿</w:t>
      </w:r>
      <w:r>
        <w:rPr>
          <w:rFonts w:hint="eastAsia" w:eastAsiaTheme="minorEastAsia"/>
          <w:color w:val="000000" w:themeColor="text1"/>
        </w:rPr>
        <w:t>，洗砂使用水为高位水箱中的循环水，不够时用河水补充</w:t>
      </w:r>
      <w:r>
        <w:rPr>
          <w:rFonts w:eastAsiaTheme="minorEastAsia"/>
          <w:color w:val="000000" w:themeColor="text1"/>
        </w:rPr>
        <w:t>。</w:t>
      </w:r>
    </w:p>
    <w:p>
      <w:pPr>
        <w:ind w:firstLine="480"/>
        <w:rPr>
          <w:color w:val="000000" w:themeColor="text1"/>
        </w:rPr>
      </w:pPr>
      <w:r>
        <w:rPr>
          <w:color w:val="000000" w:themeColor="text1"/>
        </w:rPr>
        <w:t>②降尘用水</w:t>
      </w:r>
    </w:p>
    <w:p>
      <w:pPr>
        <w:kinsoku w:val="0"/>
        <w:overflowPunct w:val="0"/>
        <w:autoSpaceDE w:val="0"/>
        <w:adjustRightInd w:val="0"/>
        <w:snapToGrid w:val="0"/>
        <w:ind w:firstLine="480"/>
        <w:rPr>
          <w:rFonts w:eastAsiaTheme="minorEastAsia"/>
          <w:color w:val="000000" w:themeColor="text1"/>
          <w:szCs w:val="24"/>
        </w:rPr>
      </w:pPr>
      <w:r>
        <w:rPr>
          <w:rFonts w:eastAsiaTheme="minorEastAsia"/>
          <w:color w:val="000000" w:themeColor="text1"/>
          <w:kern w:val="24"/>
          <w:szCs w:val="24"/>
        </w:rPr>
        <w:t>原矿石中也有部分碎料，原料加工过程中需定期对原矿石堆棚、砂石料堆棚、低品位矿堆棚进行喷淋降尘，原矿石堆棚3500m</w:t>
      </w:r>
      <w:r>
        <w:rPr>
          <w:rFonts w:eastAsiaTheme="minorEastAsia"/>
          <w:color w:val="000000" w:themeColor="text1"/>
          <w:kern w:val="24"/>
          <w:szCs w:val="24"/>
          <w:vertAlign w:val="superscript"/>
        </w:rPr>
        <w:t>2</w:t>
      </w:r>
      <w:r>
        <w:rPr>
          <w:rFonts w:eastAsiaTheme="minorEastAsia"/>
          <w:color w:val="000000" w:themeColor="text1"/>
          <w:kern w:val="24"/>
          <w:szCs w:val="24"/>
        </w:rPr>
        <w:t>，砂石料堆棚120m</w:t>
      </w:r>
      <w:r>
        <w:rPr>
          <w:rFonts w:eastAsiaTheme="minorEastAsia"/>
          <w:color w:val="000000" w:themeColor="text1"/>
          <w:kern w:val="24"/>
          <w:szCs w:val="24"/>
          <w:vertAlign w:val="superscript"/>
        </w:rPr>
        <w:t>2</w:t>
      </w:r>
      <w:r>
        <w:rPr>
          <w:rFonts w:eastAsiaTheme="minorEastAsia"/>
          <w:color w:val="000000" w:themeColor="text1"/>
          <w:kern w:val="24"/>
          <w:szCs w:val="24"/>
        </w:rPr>
        <w:t>，低品位原矿堆棚500m</w:t>
      </w:r>
      <w:r>
        <w:rPr>
          <w:rFonts w:eastAsiaTheme="minorEastAsia"/>
          <w:color w:val="000000" w:themeColor="text1"/>
          <w:kern w:val="24"/>
          <w:szCs w:val="24"/>
          <w:vertAlign w:val="superscript"/>
        </w:rPr>
        <w:t>2</w:t>
      </w:r>
      <w:r>
        <w:rPr>
          <w:rFonts w:eastAsiaTheme="minorEastAsia"/>
          <w:color w:val="000000" w:themeColor="text1"/>
          <w:kern w:val="24"/>
          <w:szCs w:val="24"/>
        </w:rPr>
        <w:t>，原料加工厂内</w:t>
      </w:r>
      <w:r>
        <w:rPr>
          <w:rFonts w:hint="eastAsia" w:eastAsiaTheme="minorEastAsia"/>
          <w:color w:val="000000" w:themeColor="text1"/>
          <w:kern w:val="24"/>
          <w:szCs w:val="24"/>
        </w:rPr>
        <w:t>裸露场地</w:t>
      </w:r>
      <w:r>
        <w:rPr>
          <w:rFonts w:eastAsiaTheme="minorEastAsia"/>
          <w:color w:val="000000" w:themeColor="text1"/>
          <w:kern w:val="24"/>
          <w:szCs w:val="24"/>
        </w:rPr>
        <w:t>2880m</w:t>
      </w:r>
      <w:r>
        <w:rPr>
          <w:rFonts w:eastAsiaTheme="minorEastAsia"/>
          <w:color w:val="000000" w:themeColor="text1"/>
          <w:kern w:val="24"/>
          <w:szCs w:val="24"/>
          <w:vertAlign w:val="superscript"/>
        </w:rPr>
        <w:t>2</w:t>
      </w:r>
      <w:r>
        <w:rPr>
          <w:rFonts w:eastAsiaTheme="minorEastAsia"/>
          <w:color w:val="000000" w:themeColor="text1"/>
          <w:kern w:val="24"/>
          <w:szCs w:val="24"/>
        </w:rPr>
        <w:t>，</w:t>
      </w:r>
      <w:r>
        <w:rPr>
          <w:rFonts w:eastAsiaTheme="minorEastAsia"/>
          <w:color w:val="000000" w:themeColor="text1"/>
          <w:szCs w:val="24"/>
        </w:rPr>
        <w:t>厂区运输道路450m</w:t>
      </w:r>
      <w:r>
        <w:rPr>
          <w:rFonts w:eastAsiaTheme="minorEastAsia"/>
          <w:color w:val="000000" w:themeColor="text1"/>
          <w:szCs w:val="24"/>
          <w:vertAlign w:val="superscript"/>
        </w:rPr>
        <w:t>2</w:t>
      </w:r>
      <w:r>
        <w:rPr>
          <w:rFonts w:eastAsiaTheme="minorEastAsia"/>
          <w:color w:val="000000" w:themeColor="text1"/>
          <w:szCs w:val="24"/>
        </w:rPr>
        <w:t>（150×3m），需降尘面积共为7450m</w:t>
      </w:r>
      <w:r>
        <w:rPr>
          <w:rFonts w:eastAsiaTheme="minorEastAsia"/>
          <w:color w:val="000000" w:themeColor="text1"/>
          <w:szCs w:val="24"/>
          <w:vertAlign w:val="superscript"/>
        </w:rPr>
        <w:t>2</w:t>
      </w:r>
      <w:r>
        <w:rPr>
          <w:rFonts w:eastAsiaTheme="minorEastAsia"/>
          <w:color w:val="000000" w:themeColor="text1"/>
          <w:szCs w:val="24"/>
        </w:rPr>
        <w:t>，</w:t>
      </w:r>
      <w:r>
        <w:rPr>
          <w:color w:val="000000" w:themeColor="text1"/>
        </w:rPr>
        <w:t>要求企业晴天时对厂区洒水2-3次（报告以</w:t>
      </w:r>
      <w:r>
        <w:rPr>
          <w:rFonts w:hint="eastAsia"/>
          <w:color w:val="000000" w:themeColor="text1"/>
        </w:rPr>
        <w:t>3</w:t>
      </w:r>
      <w:r>
        <w:rPr>
          <w:color w:val="000000" w:themeColor="text1"/>
        </w:rPr>
        <w:t>次计算），每次用水量按2L/m</w:t>
      </w:r>
      <w:r>
        <w:rPr>
          <w:color w:val="000000" w:themeColor="text1"/>
          <w:vertAlign w:val="superscript"/>
        </w:rPr>
        <w:t>2</w:t>
      </w:r>
      <w:r>
        <w:rPr>
          <w:color w:val="000000" w:themeColor="text1"/>
        </w:rPr>
        <w:t>计算，一年中晴天按250d计算，用水量为</w:t>
      </w:r>
      <w:r>
        <w:rPr>
          <w:rFonts w:hint="eastAsia"/>
          <w:color w:val="000000" w:themeColor="text1"/>
        </w:rPr>
        <w:t>44.7</w:t>
      </w:r>
      <w:r>
        <w:rPr>
          <w:color w:val="000000" w:themeColor="text1"/>
        </w:rPr>
        <w:t>m</w:t>
      </w:r>
      <w:r>
        <w:rPr>
          <w:color w:val="000000" w:themeColor="text1"/>
          <w:vertAlign w:val="superscript"/>
        </w:rPr>
        <w:t>3</w:t>
      </w:r>
      <w:r>
        <w:rPr>
          <w:color w:val="000000" w:themeColor="text1"/>
        </w:rPr>
        <w:t>/d，</w:t>
      </w:r>
      <w:r>
        <w:rPr>
          <w:rFonts w:hint="eastAsia"/>
          <w:color w:val="000000" w:themeColor="text1"/>
        </w:rPr>
        <w:t>11175</w:t>
      </w:r>
      <w:r>
        <w:rPr>
          <w:color w:val="000000" w:themeColor="text1"/>
        </w:rPr>
        <w:t>m</w:t>
      </w:r>
      <w:r>
        <w:rPr>
          <w:color w:val="000000" w:themeColor="text1"/>
          <w:vertAlign w:val="superscript"/>
        </w:rPr>
        <w:t>3</w:t>
      </w:r>
      <w:r>
        <w:rPr>
          <w:color w:val="000000" w:themeColor="text1"/>
        </w:rPr>
        <w:t>/a</w:t>
      </w:r>
      <w:r>
        <w:rPr>
          <w:rFonts w:hint="eastAsia"/>
          <w:color w:val="000000" w:themeColor="text1"/>
        </w:rPr>
        <w:t>，降尘用水为高位水箱中的水</w:t>
      </w:r>
      <w:r>
        <w:rPr>
          <w:color w:val="000000" w:themeColor="text1"/>
        </w:rPr>
        <w:t>。这部分水通过蒸发或存在物料中，不外排。</w:t>
      </w:r>
    </w:p>
    <w:p>
      <w:pPr>
        <w:ind w:firstLine="480"/>
        <w:rPr>
          <w:color w:val="000000" w:themeColor="text1"/>
        </w:rPr>
      </w:pPr>
      <w:r>
        <w:rPr>
          <w:color w:val="000000" w:themeColor="text1"/>
        </w:rPr>
        <w:t>③</w:t>
      </w:r>
      <w:r>
        <w:rPr>
          <w:rFonts w:hint="eastAsia"/>
          <w:color w:val="000000" w:themeColor="text1"/>
        </w:rPr>
        <w:t>陶瓷过滤机用水</w:t>
      </w:r>
    </w:p>
    <w:p>
      <w:pPr>
        <w:pStyle w:val="2"/>
        <w:ind w:firstLine="480"/>
        <w:rPr>
          <w:rFonts w:ascii="Times New Roman" w:hAnsi="Times New Roman"/>
          <w:color w:val="000000" w:themeColor="text1"/>
          <w:lang w:eastAsia="zh-CN"/>
        </w:rPr>
      </w:pPr>
      <w:r>
        <w:rPr>
          <w:rFonts w:hint="eastAsia" w:ascii="Times New Roman" w:hAnsi="Times New Roman"/>
          <w:color w:val="000000" w:themeColor="text1"/>
          <w:lang w:eastAsia="zh-CN"/>
        </w:rPr>
        <w:t>根据设计资料，陶瓷过滤机清洗使用自来水，</w:t>
      </w:r>
      <w:r>
        <w:rPr>
          <w:rFonts w:ascii="Times New Roman" w:hAnsi="Times New Roman"/>
          <w:color w:val="000000" w:themeColor="text1"/>
          <w:lang w:eastAsia="zh-CN"/>
        </w:rPr>
        <w:t>陶瓷过滤机每8h清洗一次，每次兑成清洗剂水溶液需用水30kg，则每天用水量为0.09t。</w:t>
      </w:r>
      <w:r>
        <w:rPr>
          <w:rFonts w:hint="eastAsia" w:ascii="Times New Roman" w:hAnsi="Times New Roman"/>
          <w:color w:val="000000" w:themeColor="text1"/>
          <w:lang w:eastAsia="zh-CN"/>
        </w:rPr>
        <w:t>清洗剂溶液清洗后的陶瓷过滤机不需用清水再冲洗。</w:t>
      </w:r>
    </w:p>
    <w:p>
      <w:pPr>
        <w:ind w:firstLine="480"/>
        <w:rPr>
          <w:color w:val="000000" w:themeColor="text1"/>
        </w:rPr>
      </w:pPr>
      <w:r>
        <w:rPr>
          <w:color w:val="000000" w:themeColor="text1"/>
        </w:rPr>
        <w:t>陶瓷过滤机在工作过程中，要保证矿浆稀释度符合设计要求，故</w:t>
      </w:r>
      <w:r>
        <w:rPr>
          <w:rFonts w:hint="eastAsia"/>
          <w:color w:val="000000" w:themeColor="text1"/>
        </w:rPr>
        <w:t>在矿浆浓度较大时</w:t>
      </w:r>
      <w:r>
        <w:rPr>
          <w:color w:val="000000" w:themeColor="text1"/>
        </w:rPr>
        <w:t>要加入自来水稀释矿浆，自来水加入量为</w:t>
      </w:r>
      <w:r>
        <w:rPr>
          <w:rFonts w:hint="eastAsia"/>
          <w:color w:val="000000" w:themeColor="text1"/>
        </w:rPr>
        <w:t>7.8</w:t>
      </w:r>
      <w:r>
        <w:rPr>
          <w:color w:val="000000" w:themeColor="text1"/>
        </w:rPr>
        <w:t>m</w:t>
      </w:r>
      <w:r>
        <w:rPr>
          <w:color w:val="000000" w:themeColor="text1"/>
          <w:vertAlign w:val="superscript"/>
        </w:rPr>
        <w:t>3</w:t>
      </w:r>
      <w:r>
        <w:rPr>
          <w:color w:val="000000" w:themeColor="text1"/>
        </w:rPr>
        <w:t>/d。</w:t>
      </w:r>
    </w:p>
    <w:p>
      <w:pPr>
        <w:ind w:firstLine="480"/>
        <w:rPr>
          <w:rFonts w:eastAsiaTheme="minorEastAsia"/>
          <w:color w:val="000000" w:themeColor="text1"/>
        </w:rPr>
      </w:pPr>
      <w:r>
        <w:rPr>
          <w:rFonts w:hint="eastAsia" w:ascii="宋体" w:hAnsi="宋体" w:cs="宋体"/>
          <w:color w:val="000000" w:themeColor="text1"/>
        </w:rPr>
        <w:t>④</w:t>
      </w:r>
      <w:r>
        <w:rPr>
          <w:rFonts w:eastAsiaTheme="minorEastAsia"/>
          <w:color w:val="000000" w:themeColor="text1"/>
        </w:rPr>
        <w:t>选矿用水</w:t>
      </w:r>
    </w:p>
    <w:p>
      <w:pPr>
        <w:ind w:firstLine="480"/>
        <w:jc w:val="both"/>
        <w:rPr>
          <w:rFonts w:eastAsiaTheme="minorEastAsia"/>
          <w:b/>
          <w:color w:val="000000" w:themeColor="text1"/>
        </w:rPr>
      </w:pPr>
      <w:r>
        <w:rPr>
          <w:rFonts w:eastAsiaTheme="minorEastAsia"/>
          <w:color w:val="000000" w:themeColor="text1"/>
        </w:rPr>
        <w:t>技改项目选矿用水主要为磨矿、磁选，每天新增用水为</w:t>
      </w:r>
      <w:r>
        <w:rPr>
          <w:rFonts w:hint="eastAsia" w:eastAsiaTheme="minorEastAsia"/>
          <w:color w:val="000000" w:themeColor="text1"/>
        </w:rPr>
        <w:t>356.755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w:t>
      </w:r>
      <w:r>
        <w:rPr>
          <w:rFonts w:hint="eastAsia" w:eastAsiaTheme="minorEastAsia"/>
          <w:color w:val="000000" w:themeColor="text1"/>
        </w:rPr>
        <w:t>原料处理量为366.7m</w:t>
      </w:r>
      <w:r>
        <w:rPr>
          <w:rFonts w:hint="eastAsia" w:eastAsiaTheme="minorEastAsia"/>
          <w:color w:val="000000" w:themeColor="text1"/>
          <w:vertAlign w:val="superscript"/>
        </w:rPr>
        <w:t>3</w:t>
      </w:r>
      <w:r>
        <w:rPr>
          <w:rFonts w:hint="eastAsia" w:eastAsiaTheme="minorEastAsia"/>
          <w:color w:val="000000" w:themeColor="text1"/>
        </w:rPr>
        <w:t>/d，原料含水率为10%，原料带进水量为36.67</w:t>
      </w:r>
      <w:r>
        <w:rPr>
          <w:color w:val="000000" w:themeColor="text1"/>
        </w:rPr>
        <w:t>m</w:t>
      </w:r>
      <w:r>
        <w:rPr>
          <w:color w:val="000000" w:themeColor="text1"/>
          <w:vertAlign w:val="superscript"/>
        </w:rPr>
        <w:t>3</w:t>
      </w:r>
      <w:r>
        <w:rPr>
          <w:color w:val="000000" w:themeColor="text1"/>
        </w:rPr>
        <w:t>/d</w:t>
      </w:r>
      <w:r>
        <w:rPr>
          <w:rFonts w:hint="eastAsia"/>
          <w:color w:val="000000" w:themeColor="text1"/>
        </w:rPr>
        <w:t>，选矿工艺中物料从立磨机和球磨机进入旋流分流器，再从旋流分流器返回至立磨机和强磁选机过程中，矿料混合的水</w:t>
      </w:r>
      <w:r>
        <w:rPr>
          <w:rFonts w:eastAsiaTheme="minorEastAsia"/>
          <w:color w:val="000000" w:themeColor="text1"/>
        </w:rPr>
        <w:t>循环用量为350m</w:t>
      </w:r>
      <w:r>
        <w:rPr>
          <w:rFonts w:eastAsiaTheme="minorEastAsia"/>
          <w:color w:val="000000" w:themeColor="text1"/>
          <w:vertAlign w:val="superscript"/>
        </w:rPr>
        <w:t>3</w:t>
      </w:r>
      <w:r>
        <w:rPr>
          <w:rFonts w:eastAsiaTheme="minorEastAsia"/>
          <w:color w:val="000000" w:themeColor="text1"/>
        </w:rPr>
        <w:t>，</w:t>
      </w:r>
      <w:r>
        <w:rPr>
          <w:rFonts w:hint="eastAsia" w:eastAsiaTheme="minorEastAsia"/>
          <w:color w:val="000000" w:themeColor="text1"/>
        </w:rPr>
        <w:t>选矿用水为高位水箱中的水，</w:t>
      </w:r>
      <w:r>
        <w:rPr>
          <w:rFonts w:hint="eastAsia" w:eastAsiaTheme="minorEastAsia"/>
          <w:color w:val="000000" w:themeColor="text1"/>
          <w:lang w:val="en-US" w:eastAsia="zh-CN"/>
        </w:rPr>
        <w:t>尾矿</w:t>
      </w:r>
      <w:r>
        <w:rPr>
          <w:rFonts w:eastAsiaTheme="minorEastAsia"/>
          <w:color w:val="000000" w:themeColor="text1"/>
        </w:rPr>
        <w:t>废水</w:t>
      </w:r>
      <w:r>
        <w:rPr>
          <w:rFonts w:hint="eastAsia" w:eastAsiaTheme="minorEastAsia"/>
          <w:color w:val="000000" w:themeColor="text1"/>
        </w:rPr>
        <w:t>每天</w:t>
      </w:r>
      <w:r>
        <w:rPr>
          <w:rFonts w:eastAsiaTheme="minorEastAsia"/>
          <w:color w:val="000000" w:themeColor="text1"/>
        </w:rPr>
        <w:t>随尾矿携</w:t>
      </w:r>
      <w:r>
        <w:rPr>
          <w:rFonts w:hint="eastAsia" w:eastAsiaTheme="minorEastAsia"/>
          <w:color w:val="000000" w:themeColor="text1"/>
        </w:rPr>
        <w:t>带走量为53.125</w:t>
      </w:r>
      <w:r>
        <w:rPr>
          <w:color w:val="000000" w:themeColor="text1"/>
        </w:rPr>
        <w:t>m</w:t>
      </w:r>
      <w:r>
        <w:rPr>
          <w:color w:val="000000" w:themeColor="text1"/>
          <w:vertAlign w:val="superscript"/>
        </w:rPr>
        <w:t>3</w:t>
      </w:r>
      <w:r>
        <w:rPr>
          <w:color w:val="000000" w:themeColor="text1"/>
        </w:rPr>
        <w:t>/d</w:t>
      </w:r>
      <w:r>
        <w:rPr>
          <w:rFonts w:hint="eastAsia" w:eastAsiaTheme="minorEastAsia"/>
          <w:color w:val="000000" w:themeColor="text1"/>
          <w:szCs w:val="24"/>
        </w:rPr>
        <w:t>（该部分尾矿含水率约50%）</w:t>
      </w:r>
      <w:r>
        <w:rPr>
          <w:rFonts w:eastAsiaTheme="minorEastAsia"/>
          <w:color w:val="000000" w:themeColor="text1"/>
        </w:rPr>
        <w:t>，</w:t>
      </w:r>
      <w:r>
        <w:rPr>
          <w:rFonts w:hint="eastAsia" w:eastAsiaTheme="minorEastAsia"/>
          <w:color w:val="000000" w:themeColor="text1"/>
        </w:rPr>
        <w:t>磨矿、磁选及旋流过程损失量7m</w:t>
      </w:r>
      <w:r>
        <w:rPr>
          <w:rFonts w:hint="eastAsia" w:eastAsiaTheme="minorEastAsia"/>
          <w:color w:val="000000" w:themeColor="text1"/>
          <w:vertAlign w:val="superscript"/>
        </w:rPr>
        <w:t>3</w:t>
      </w:r>
      <w:r>
        <w:rPr>
          <w:rFonts w:hint="eastAsia" w:eastAsiaTheme="minorEastAsia"/>
          <w:color w:val="000000" w:themeColor="text1"/>
        </w:rPr>
        <w:t>/d，333.3</w:t>
      </w:r>
      <w:r>
        <w:rPr>
          <w:color w:val="000000" w:themeColor="text1"/>
        </w:rPr>
        <w:t>m</w:t>
      </w:r>
      <w:r>
        <w:rPr>
          <w:color w:val="000000" w:themeColor="text1"/>
          <w:vertAlign w:val="superscript"/>
        </w:rPr>
        <w:t>3</w:t>
      </w:r>
      <w:r>
        <w:rPr>
          <w:color w:val="000000" w:themeColor="text1"/>
        </w:rPr>
        <w:t>/d</w:t>
      </w:r>
      <w:r>
        <w:rPr>
          <w:rFonts w:hint="eastAsia" w:eastAsiaTheme="minorEastAsia"/>
          <w:color w:val="000000" w:themeColor="text1"/>
        </w:rPr>
        <w:t>随产品进入陶瓷过滤机，进入产品水量为33.3</w:t>
      </w:r>
      <w:r>
        <w:rPr>
          <w:color w:val="000000" w:themeColor="text1"/>
        </w:rPr>
        <w:t>m</w:t>
      </w:r>
      <w:r>
        <w:rPr>
          <w:color w:val="000000" w:themeColor="text1"/>
          <w:vertAlign w:val="superscript"/>
        </w:rPr>
        <w:t>3</w:t>
      </w:r>
      <w:r>
        <w:rPr>
          <w:color w:val="000000" w:themeColor="text1"/>
        </w:rPr>
        <w:t>/d</w:t>
      </w:r>
      <w:r>
        <w:rPr>
          <w:rFonts w:hint="eastAsia"/>
          <w:color w:val="000000" w:themeColor="text1"/>
        </w:rPr>
        <w:t>（含水率为10%），陶瓷过滤机在运作过程中损失水量为2m</w:t>
      </w:r>
      <w:r>
        <w:rPr>
          <w:rFonts w:hint="eastAsia"/>
          <w:color w:val="000000" w:themeColor="text1"/>
          <w:vertAlign w:val="superscript"/>
        </w:rPr>
        <w:t>3</w:t>
      </w:r>
      <w:r>
        <w:rPr>
          <w:rFonts w:hint="eastAsia"/>
          <w:color w:val="000000" w:themeColor="text1"/>
        </w:rPr>
        <w:t>/d</w:t>
      </w:r>
      <w:r>
        <w:rPr>
          <w:rFonts w:eastAsiaTheme="minorEastAsia"/>
          <w:color w:val="000000" w:themeColor="text1"/>
        </w:rPr>
        <w:t>。</w:t>
      </w:r>
    </w:p>
    <w:p>
      <w:pPr>
        <w:ind w:firstLine="482"/>
        <w:rPr>
          <w:rFonts w:eastAsiaTheme="minorEastAsia"/>
          <w:b/>
          <w:color w:val="000000" w:themeColor="text1"/>
        </w:rPr>
      </w:pPr>
      <w:r>
        <w:rPr>
          <w:rFonts w:eastAsiaTheme="minorEastAsia"/>
          <w:b/>
          <w:color w:val="000000" w:themeColor="text1"/>
        </w:rPr>
        <w:t>2、生活用水</w:t>
      </w:r>
    </w:p>
    <w:p>
      <w:pPr>
        <w:ind w:firstLine="480"/>
        <w:rPr>
          <w:rFonts w:eastAsiaTheme="minorEastAsia"/>
          <w:color w:val="000000" w:themeColor="text1"/>
        </w:rPr>
      </w:pPr>
      <w:r>
        <w:rPr>
          <w:rFonts w:eastAsiaTheme="minorEastAsia"/>
          <w:color w:val="000000" w:themeColor="text1"/>
        </w:rPr>
        <w:t>技改项目新增劳动定员5人，</w:t>
      </w:r>
      <w:r>
        <w:rPr>
          <w:rFonts w:hint="eastAsia" w:eastAsiaTheme="minorEastAsia"/>
          <w:color w:val="000000" w:themeColor="text1"/>
        </w:rPr>
        <w:t>不在厂区内餐饮</w:t>
      </w:r>
      <w:r>
        <w:rPr>
          <w:rFonts w:eastAsiaTheme="minorEastAsia"/>
          <w:color w:val="000000" w:themeColor="text1"/>
        </w:rPr>
        <w:t>，根据《云南省地方标准用水定额》（DB53/T168-2019）标准进行办公生活用水量核算，以</w:t>
      </w:r>
      <w:r>
        <w:rPr>
          <w:rFonts w:hint="eastAsia" w:eastAsiaTheme="minorEastAsia"/>
          <w:color w:val="000000" w:themeColor="text1"/>
        </w:rPr>
        <w:t>80</w:t>
      </w:r>
      <w:r>
        <w:rPr>
          <w:rFonts w:eastAsiaTheme="minorEastAsia"/>
          <w:color w:val="000000" w:themeColor="text1"/>
        </w:rPr>
        <w:t>L/人·d计算，所以本项目新增生活用水量为0.</w:t>
      </w:r>
      <w:r>
        <w:rPr>
          <w:rFonts w:hint="eastAsia" w:eastAsiaTheme="minorEastAsia"/>
          <w:color w:val="000000" w:themeColor="text1"/>
        </w:rPr>
        <w:t>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p>
    <w:p>
      <w:pPr>
        <w:ind w:firstLine="482"/>
        <w:rPr>
          <w:rFonts w:eastAsiaTheme="minorEastAsia"/>
          <w:b/>
          <w:color w:val="000000" w:themeColor="text1"/>
        </w:rPr>
      </w:pPr>
      <w:r>
        <w:rPr>
          <w:rFonts w:eastAsiaTheme="minorEastAsia"/>
          <w:b/>
          <w:color w:val="000000" w:themeColor="text1"/>
        </w:rPr>
        <w:t>3、实验用水</w:t>
      </w:r>
      <w:r>
        <w:rPr>
          <w:rFonts w:hint="eastAsia" w:eastAsiaTheme="minorEastAsia"/>
          <w:b/>
          <w:color w:val="000000" w:themeColor="text1"/>
        </w:rPr>
        <w:t>及机修</w:t>
      </w:r>
    </w:p>
    <w:p>
      <w:pPr>
        <w:pStyle w:val="51"/>
        <w:ind w:left="0" w:firstLine="480"/>
        <w:rPr>
          <w:color w:val="000000" w:themeColor="text1"/>
          <w:lang w:eastAsia="zh-CN"/>
        </w:rPr>
      </w:pPr>
      <w:r>
        <w:rPr>
          <w:smallCaps w:val="0"/>
          <w:color w:val="000000" w:themeColor="text1"/>
          <w:kern w:val="2"/>
          <w:sz w:val="24"/>
          <w:szCs w:val="22"/>
          <w:lang w:eastAsia="zh-CN" w:bidi="ar-SA"/>
        </w:rPr>
        <w:t>本次技改新增实验</w:t>
      </w:r>
      <w:r>
        <w:rPr>
          <w:rFonts w:hint="eastAsia"/>
          <w:smallCaps w:val="0"/>
          <w:color w:val="000000" w:themeColor="text1"/>
          <w:kern w:val="2"/>
          <w:sz w:val="24"/>
          <w:szCs w:val="22"/>
          <w:lang w:eastAsia="zh-CN" w:bidi="ar-SA"/>
        </w:rPr>
        <w:t>及机修</w:t>
      </w:r>
      <w:r>
        <w:rPr>
          <w:smallCaps w:val="0"/>
          <w:color w:val="000000" w:themeColor="text1"/>
          <w:kern w:val="2"/>
          <w:sz w:val="24"/>
          <w:szCs w:val="22"/>
          <w:lang w:eastAsia="zh-CN" w:bidi="ar-SA"/>
        </w:rPr>
        <w:t>每天用水量为0.5m</w:t>
      </w:r>
      <w:r>
        <w:rPr>
          <w:smallCaps w:val="0"/>
          <w:color w:val="000000" w:themeColor="text1"/>
          <w:kern w:val="2"/>
          <w:sz w:val="24"/>
          <w:szCs w:val="22"/>
          <w:vertAlign w:val="superscript"/>
          <w:lang w:eastAsia="zh-CN" w:bidi="ar-SA"/>
        </w:rPr>
        <w:t>3</w:t>
      </w:r>
      <w:r>
        <w:rPr>
          <w:color w:val="000000" w:themeColor="text1"/>
          <w:lang w:eastAsia="zh-CN"/>
        </w:rPr>
        <w:t>。</w:t>
      </w:r>
    </w:p>
    <w:p>
      <w:pPr>
        <w:ind w:firstLine="482"/>
        <w:rPr>
          <w:rFonts w:eastAsiaTheme="minorEastAsia"/>
          <w:b/>
          <w:color w:val="000000" w:themeColor="text1"/>
        </w:rPr>
      </w:pPr>
      <w:r>
        <w:rPr>
          <w:rFonts w:eastAsiaTheme="minorEastAsia"/>
          <w:b/>
          <w:color w:val="000000" w:themeColor="text1"/>
        </w:rPr>
        <w:t>4、冷却用水</w:t>
      </w:r>
    </w:p>
    <w:p>
      <w:pPr>
        <w:pStyle w:val="51"/>
        <w:ind w:firstLine="480"/>
        <w:rPr>
          <w:color w:val="000000" w:themeColor="text1"/>
          <w:lang w:eastAsia="zh-CN"/>
        </w:rPr>
      </w:pPr>
      <w:r>
        <w:rPr>
          <w:color w:val="000000" w:themeColor="text1"/>
          <w:sz w:val="24"/>
          <w:szCs w:val="24"/>
          <w:lang w:eastAsia="zh-CN"/>
        </w:rPr>
        <w:t>本技改项目</w:t>
      </w:r>
      <w:r>
        <w:rPr>
          <w:rFonts w:hint="eastAsia"/>
          <w:color w:val="000000" w:themeColor="text1"/>
          <w:sz w:val="24"/>
          <w:szCs w:val="24"/>
          <w:lang w:eastAsia="zh-CN"/>
        </w:rPr>
        <w:t>球磨机间接</w:t>
      </w:r>
      <w:r>
        <w:rPr>
          <w:color w:val="000000" w:themeColor="text1"/>
          <w:sz w:val="24"/>
          <w:szCs w:val="24"/>
          <w:lang w:eastAsia="zh-CN"/>
        </w:rPr>
        <w:t>冷却用水</w:t>
      </w:r>
      <w:r>
        <w:rPr>
          <w:rFonts w:hint="eastAsia"/>
          <w:color w:val="000000" w:themeColor="text1"/>
          <w:sz w:val="24"/>
          <w:szCs w:val="24"/>
          <w:lang w:eastAsia="zh-CN"/>
        </w:rPr>
        <w:t>在线量为25</w:t>
      </w:r>
      <w:r>
        <w:rPr>
          <w:smallCaps w:val="0"/>
          <w:color w:val="000000" w:themeColor="text1"/>
          <w:kern w:val="2"/>
          <w:sz w:val="24"/>
          <w:szCs w:val="24"/>
          <w:lang w:eastAsia="zh-CN" w:bidi="ar-SA"/>
        </w:rPr>
        <w:t>m</w:t>
      </w:r>
      <w:r>
        <w:rPr>
          <w:smallCaps w:val="0"/>
          <w:color w:val="000000" w:themeColor="text1"/>
          <w:kern w:val="2"/>
          <w:sz w:val="24"/>
          <w:szCs w:val="24"/>
          <w:vertAlign w:val="superscript"/>
          <w:lang w:eastAsia="zh-CN" w:bidi="ar-SA"/>
        </w:rPr>
        <w:t>3</w:t>
      </w:r>
      <w:r>
        <w:rPr>
          <w:rFonts w:hint="eastAsia"/>
          <w:color w:val="000000" w:themeColor="text1"/>
          <w:sz w:val="24"/>
          <w:szCs w:val="24"/>
          <w:lang w:eastAsia="zh-CN"/>
        </w:rPr>
        <w:t>，循环量为23</w:t>
      </w:r>
      <w:r>
        <w:rPr>
          <w:smallCaps w:val="0"/>
          <w:color w:val="000000" w:themeColor="text1"/>
          <w:kern w:val="2"/>
          <w:sz w:val="24"/>
          <w:szCs w:val="24"/>
          <w:lang w:eastAsia="zh-CN" w:bidi="ar-SA"/>
        </w:rPr>
        <w:t>m</w:t>
      </w:r>
      <w:r>
        <w:rPr>
          <w:smallCaps w:val="0"/>
          <w:color w:val="000000" w:themeColor="text1"/>
          <w:kern w:val="2"/>
          <w:sz w:val="24"/>
          <w:szCs w:val="24"/>
          <w:vertAlign w:val="superscript"/>
          <w:lang w:eastAsia="zh-CN" w:bidi="ar-SA"/>
        </w:rPr>
        <w:t>3</w:t>
      </w:r>
      <w:r>
        <w:rPr>
          <w:rFonts w:hint="eastAsia"/>
          <w:color w:val="000000" w:themeColor="text1"/>
          <w:sz w:val="24"/>
          <w:szCs w:val="24"/>
          <w:lang w:eastAsia="zh-CN"/>
        </w:rPr>
        <w:t>，损失量为2</w:t>
      </w:r>
      <w:r>
        <w:rPr>
          <w:smallCaps w:val="0"/>
          <w:color w:val="000000" w:themeColor="text1"/>
          <w:kern w:val="2"/>
          <w:sz w:val="24"/>
          <w:szCs w:val="24"/>
          <w:lang w:eastAsia="zh-CN" w:bidi="ar-SA"/>
        </w:rPr>
        <w:t>m</w:t>
      </w:r>
      <w:r>
        <w:rPr>
          <w:smallCaps w:val="0"/>
          <w:color w:val="000000" w:themeColor="text1"/>
          <w:kern w:val="2"/>
          <w:sz w:val="24"/>
          <w:szCs w:val="24"/>
          <w:vertAlign w:val="superscript"/>
          <w:lang w:eastAsia="zh-CN" w:bidi="ar-SA"/>
        </w:rPr>
        <w:t>3</w:t>
      </w:r>
      <w:r>
        <w:rPr>
          <w:rFonts w:hint="eastAsia"/>
          <w:color w:val="000000" w:themeColor="text1"/>
          <w:sz w:val="24"/>
          <w:szCs w:val="24"/>
          <w:lang w:eastAsia="zh-CN"/>
        </w:rPr>
        <w:t>，</w:t>
      </w:r>
      <w:r>
        <w:rPr>
          <w:color w:val="000000" w:themeColor="text1"/>
          <w:sz w:val="24"/>
          <w:szCs w:val="24"/>
          <w:lang w:eastAsia="zh-CN"/>
        </w:rPr>
        <w:t>每天需新增2</w:t>
      </w:r>
      <w:r>
        <w:rPr>
          <w:smallCaps w:val="0"/>
          <w:color w:val="000000" w:themeColor="text1"/>
          <w:kern w:val="2"/>
          <w:sz w:val="24"/>
          <w:szCs w:val="24"/>
          <w:lang w:eastAsia="zh-CN" w:bidi="ar-SA"/>
        </w:rPr>
        <w:t>m</w:t>
      </w:r>
      <w:r>
        <w:rPr>
          <w:smallCaps w:val="0"/>
          <w:color w:val="000000" w:themeColor="text1"/>
          <w:kern w:val="2"/>
          <w:sz w:val="24"/>
          <w:szCs w:val="24"/>
          <w:vertAlign w:val="superscript"/>
          <w:lang w:eastAsia="zh-CN" w:bidi="ar-SA"/>
        </w:rPr>
        <w:t>3</w:t>
      </w:r>
      <w:r>
        <w:rPr>
          <w:smallCaps w:val="0"/>
          <w:color w:val="000000" w:themeColor="text1"/>
          <w:kern w:val="2"/>
          <w:sz w:val="24"/>
          <w:szCs w:val="24"/>
          <w:lang w:eastAsia="zh-CN" w:bidi="ar-SA"/>
        </w:rPr>
        <w:t>，为自来水，通过自然消耗。</w:t>
      </w:r>
    </w:p>
    <w:p>
      <w:pPr>
        <w:pStyle w:val="6"/>
        <w:spacing w:beforeLines="0" w:afterLines="0"/>
        <w:rPr>
          <w:rFonts w:eastAsiaTheme="minorEastAsia"/>
          <w:color w:val="000000" w:themeColor="text1"/>
          <w:sz w:val="28"/>
          <w:szCs w:val="28"/>
        </w:rPr>
      </w:pPr>
      <w:bookmarkStart w:id="505" w:name="_Toc28102"/>
      <w:r>
        <w:rPr>
          <w:rFonts w:eastAsiaTheme="minorEastAsia"/>
          <w:color w:val="000000" w:themeColor="text1"/>
          <w:sz w:val="28"/>
          <w:szCs w:val="28"/>
        </w:rPr>
        <w:t>4.2.2技改后原项目用水情况</w:t>
      </w:r>
      <w:bookmarkEnd w:id="505"/>
    </w:p>
    <w:p>
      <w:pPr>
        <w:pStyle w:val="127"/>
        <w:rPr>
          <w:rFonts w:eastAsiaTheme="minorEastAsia"/>
          <w:color w:val="000000" w:themeColor="text1"/>
        </w:rPr>
      </w:pPr>
      <w:r>
        <w:rPr>
          <w:rFonts w:eastAsiaTheme="minorEastAsia"/>
          <w:color w:val="000000" w:themeColor="text1"/>
        </w:rPr>
        <w:t>项目技改后，原项目选矿原材料量发生变化，用水也随之变化，具体情况见下所示：</w:t>
      </w:r>
    </w:p>
    <w:p>
      <w:pPr>
        <w:pStyle w:val="127"/>
        <w:ind w:firstLine="482"/>
        <w:rPr>
          <w:rFonts w:eastAsiaTheme="minorEastAsia"/>
          <w:b/>
          <w:bCs/>
          <w:color w:val="000000" w:themeColor="text1"/>
        </w:rPr>
      </w:pPr>
      <w:r>
        <w:rPr>
          <w:rFonts w:eastAsiaTheme="minorEastAsia"/>
          <w:b/>
          <w:bCs/>
          <w:color w:val="000000" w:themeColor="text1"/>
        </w:rPr>
        <w:t>1、生产用水</w:t>
      </w:r>
    </w:p>
    <w:p>
      <w:pPr>
        <w:pStyle w:val="127"/>
        <w:jc w:val="both"/>
        <w:rPr>
          <w:rFonts w:eastAsiaTheme="minorEastAsia"/>
          <w:color w:val="000000" w:themeColor="text1"/>
        </w:rPr>
      </w:pPr>
      <w:r>
        <w:rPr>
          <w:rFonts w:eastAsiaTheme="minorEastAsia"/>
          <w:color w:val="000000" w:themeColor="text1"/>
        </w:rPr>
        <w:t>根据建设单位提供资料，原有项目</w:t>
      </w:r>
      <w:r>
        <w:rPr>
          <w:rFonts w:hint="eastAsia" w:eastAsiaTheme="minorEastAsia"/>
          <w:color w:val="000000" w:themeColor="text1"/>
        </w:rPr>
        <w:t>不带磁性的原矿石用于生产砂石料，故用于选矿的原料减少，</w:t>
      </w:r>
      <w:r>
        <w:rPr>
          <w:rFonts w:eastAsiaTheme="minorEastAsia"/>
          <w:color w:val="000000" w:themeColor="text1"/>
        </w:rPr>
        <w:t>选矿</w:t>
      </w:r>
      <w:r>
        <w:rPr>
          <w:rFonts w:hint="eastAsia" w:eastAsiaTheme="minorEastAsia"/>
          <w:color w:val="000000" w:themeColor="text1"/>
        </w:rPr>
        <w:t>用水也随之减少</w:t>
      </w:r>
      <w:r>
        <w:rPr>
          <w:rFonts w:eastAsiaTheme="minorEastAsia"/>
          <w:color w:val="000000" w:themeColor="text1"/>
        </w:rPr>
        <w:t>，</w:t>
      </w:r>
      <w:r>
        <w:rPr>
          <w:rFonts w:hint="eastAsia" w:eastAsiaTheme="minorEastAsia"/>
          <w:color w:val="000000" w:themeColor="text1"/>
        </w:rPr>
        <w:t>选矿用水</w:t>
      </w:r>
      <w:r>
        <w:rPr>
          <w:rFonts w:eastAsiaTheme="minorEastAsia"/>
          <w:color w:val="000000" w:themeColor="text1"/>
        </w:rPr>
        <w:t>量为</w:t>
      </w:r>
      <w:r>
        <w:rPr>
          <w:rFonts w:hint="eastAsia" w:eastAsiaTheme="minorEastAsia"/>
          <w:color w:val="000000" w:themeColor="text1"/>
        </w:rPr>
        <w:t>656.545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原矿石含水量为6%，所以原料带入水量为13.5m</w:t>
      </w:r>
      <w:r>
        <w:rPr>
          <w:rFonts w:hint="eastAsia" w:eastAsiaTheme="minorEastAsia"/>
          <w:color w:val="000000" w:themeColor="text1"/>
          <w:vertAlign w:val="superscript"/>
        </w:rPr>
        <w:t>3</w:t>
      </w:r>
      <w:r>
        <w:rPr>
          <w:rFonts w:hint="eastAsia" w:eastAsiaTheme="minorEastAsia"/>
          <w:color w:val="000000" w:themeColor="text1"/>
        </w:rPr>
        <w:t>/d，</w:t>
      </w:r>
      <w:r>
        <w:rPr>
          <w:rFonts w:eastAsiaTheme="minorEastAsia"/>
          <w:color w:val="000000" w:themeColor="text1"/>
        </w:rPr>
        <w:t>技改项目中洗砂泥浆补充水</w:t>
      </w:r>
      <w:r>
        <w:rPr>
          <w:rFonts w:hint="eastAsia" w:eastAsiaTheme="minorEastAsia"/>
          <w:color w:val="000000" w:themeColor="text1"/>
        </w:rPr>
        <w:t>9.24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选矿后的水有40m</w:t>
      </w:r>
      <w:r>
        <w:rPr>
          <w:rFonts w:hint="eastAsia" w:eastAsiaTheme="minorEastAsia"/>
          <w:color w:val="000000" w:themeColor="text1"/>
          <w:vertAlign w:val="superscript"/>
        </w:rPr>
        <w:t>3</w:t>
      </w:r>
      <w:r>
        <w:rPr>
          <w:rFonts w:hint="eastAsia" w:eastAsiaTheme="minorEastAsia"/>
          <w:color w:val="000000" w:themeColor="text1"/>
        </w:rPr>
        <w:t>/d进入产品（含蒸发量），选矿生产线自然消耗水量为5m</w:t>
      </w:r>
      <w:r>
        <w:rPr>
          <w:rFonts w:hint="eastAsia" w:eastAsiaTheme="minorEastAsia"/>
          <w:color w:val="000000" w:themeColor="text1"/>
          <w:vertAlign w:val="superscript"/>
        </w:rPr>
        <w:t>3</w:t>
      </w:r>
      <w:r>
        <w:rPr>
          <w:rFonts w:hint="eastAsia" w:eastAsiaTheme="minorEastAsia"/>
          <w:color w:val="000000" w:themeColor="text1"/>
        </w:rPr>
        <w:t>/d，634.285m</w:t>
      </w:r>
      <w:r>
        <w:rPr>
          <w:rFonts w:hint="eastAsia" w:eastAsiaTheme="minorEastAsia"/>
          <w:color w:val="000000" w:themeColor="text1"/>
          <w:vertAlign w:val="superscript"/>
        </w:rPr>
        <w:t>3</w:t>
      </w:r>
      <w:r>
        <w:rPr>
          <w:rFonts w:hint="eastAsia" w:eastAsiaTheme="minorEastAsia"/>
          <w:color w:val="000000" w:themeColor="text1"/>
        </w:rPr>
        <w:t>/d的水量进入尾矿沉淀池，尾矿沉淀池中有89.5m</w:t>
      </w:r>
      <w:r>
        <w:rPr>
          <w:rFonts w:hint="eastAsia" w:eastAsiaTheme="minorEastAsia"/>
          <w:color w:val="000000" w:themeColor="text1"/>
          <w:vertAlign w:val="superscript"/>
        </w:rPr>
        <w:t>3</w:t>
      </w:r>
      <w:r>
        <w:rPr>
          <w:rFonts w:hint="eastAsia" w:eastAsiaTheme="minorEastAsia"/>
          <w:color w:val="000000" w:themeColor="text1"/>
        </w:rPr>
        <w:t>/d的水量随尾矿进入辣子箐尾矿库（尾矿含水率约50%）。</w:t>
      </w:r>
    </w:p>
    <w:p>
      <w:pPr>
        <w:pStyle w:val="127"/>
        <w:ind w:firstLine="482"/>
        <w:rPr>
          <w:rFonts w:eastAsiaTheme="minorEastAsia"/>
          <w:b/>
          <w:bCs/>
          <w:color w:val="000000" w:themeColor="text1"/>
        </w:rPr>
      </w:pPr>
      <w:r>
        <w:rPr>
          <w:rFonts w:eastAsiaTheme="minorEastAsia"/>
          <w:b/>
          <w:bCs/>
          <w:color w:val="000000" w:themeColor="text1"/>
        </w:rPr>
        <w:t>2、生活用水</w:t>
      </w:r>
    </w:p>
    <w:p>
      <w:pPr>
        <w:pStyle w:val="127"/>
        <w:jc w:val="both"/>
        <w:rPr>
          <w:rFonts w:eastAsiaTheme="minorEastAsia"/>
          <w:color w:val="000000" w:themeColor="text1"/>
        </w:rPr>
      </w:pPr>
      <w:r>
        <w:rPr>
          <w:rFonts w:eastAsiaTheme="minorEastAsia"/>
          <w:color w:val="000000" w:themeColor="text1"/>
        </w:rPr>
        <w:t>厂区劳动人员85人，</w:t>
      </w:r>
      <w:r>
        <w:rPr>
          <w:rFonts w:hint="eastAsia" w:eastAsiaTheme="minorEastAsia"/>
          <w:color w:val="000000" w:themeColor="text1"/>
        </w:rPr>
        <w:t>不在厂区内餐饮，夜班人员在厂区内住宿</w:t>
      </w:r>
      <w:r>
        <w:rPr>
          <w:rFonts w:eastAsiaTheme="minorEastAsia"/>
          <w:color w:val="000000" w:themeColor="text1"/>
        </w:rPr>
        <w:t>，生活用水量为</w:t>
      </w:r>
      <w:r>
        <w:rPr>
          <w:rFonts w:hint="eastAsia" w:eastAsiaTheme="minorEastAsia"/>
          <w:color w:val="000000" w:themeColor="text1"/>
        </w:rPr>
        <w:t>8</w:t>
      </w:r>
      <w:r>
        <w:rPr>
          <w:rFonts w:eastAsiaTheme="minorEastAsia"/>
          <w:color w:val="000000" w:themeColor="text1"/>
        </w:rPr>
        <w:t>0</w:t>
      </w:r>
      <w:r>
        <w:rPr>
          <w:rFonts w:hint="eastAsia" w:eastAsiaTheme="minorEastAsia"/>
          <w:color w:val="000000" w:themeColor="text1"/>
        </w:rPr>
        <w:t>L</w:t>
      </w:r>
      <w:r>
        <w:rPr>
          <w:rFonts w:eastAsiaTheme="minorEastAsia"/>
          <w:color w:val="000000" w:themeColor="text1"/>
        </w:rPr>
        <w:t>/人·d，用水量约</w:t>
      </w:r>
      <w:r>
        <w:rPr>
          <w:rFonts w:hint="eastAsia" w:eastAsiaTheme="minorEastAsia"/>
          <w:color w:val="000000" w:themeColor="text1"/>
        </w:rPr>
        <w:t>6.8</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/d，废水产生量为</w:t>
      </w:r>
      <w:r>
        <w:rPr>
          <w:rFonts w:hint="eastAsia" w:eastAsiaTheme="minorEastAsia"/>
          <w:color w:val="000000" w:themeColor="text1"/>
        </w:rPr>
        <w:t>5.44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/d，生活区生活用水从戛洒镇自来水水厂供水管网接入。</w:t>
      </w:r>
    </w:p>
    <w:p>
      <w:pPr>
        <w:pStyle w:val="127"/>
        <w:ind w:firstLine="482"/>
        <w:rPr>
          <w:rFonts w:eastAsiaTheme="minorEastAsia"/>
          <w:b/>
          <w:bCs/>
          <w:color w:val="000000" w:themeColor="text1"/>
        </w:rPr>
      </w:pPr>
      <w:r>
        <w:rPr>
          <w:rFonts w:eastAsiaTheme="minorEastAsia"/>
          <w:b/>
          <w:bCs/>
          <w:color w:val="000000" w:themeColor="text1"/>
        </w:rPr>
        <w:t>3、绿化用水</w:t>
      </w:r>
    </w:p>
    <w:p>
      <w:pPr>
        <w:pStyle w:val="127"/>
        <w:rPr>
          <w:rFonts w:eastAsiaTheme="minorEastAsia"/>
          <w:color w:val="000000" w:themeColor="text1"/>
        </w:rPr>
      </w:pPr>
      <w:r>
        <w:rPr>
          <w:rFonts w:eastAsiaTheme="minorEastAsia"/>
          <w:color w:val="000000" w:themeColor="text1"/>
        </w:rPr>
        <w:t>根据建设单位提供资料，</w:t>
      </w:r>
      <w:r>
        <w:rPr>
          <w:rFonts w:hint="eastAsia" w:eastAsiaTheme="minorEastAsia"/>
          <w:color w:val="000000" w:themeColor="text1"/>
        </w:rPr>
        <w:t>厂区绿化面积为3000m</w:t>
      </w:r>
      <w:r>
        <w:rPr>
          <w:rFonts w:hint="eastAsia" w:eastAsiaTheme="minorEastAsia"/>
          <w:color w:val="000000" w:themeColor="text1"/>
          <w:vertAlign w:val="superscript"/>
        </w:rPr>
        <w:t>2</w:t>
      </w:r>
      <w:r>
        <w:rPr>
          <w:rFonts w:hint="eastAsia" w:eastAsiaTheme="minorEastAsia"/>
          <w:color w:val="000000" w:themeColor="text1"/>
        </w:rPr>
        <w:t>，</w:t>
      </w:r>
      <w:r>
        <w:rPr>
          <w:rFonts w:eastAsiaTheme="minorEastAsia"/>
          <w:color w:val="000000" w:themeColor="text1"/>
        </w:rPr>
        <w:t>根据《云南省地方标准用水定额》（DB53/T168-2019）标准</w:t>
      </w:r>
      <w:r>
        <w:rPr>
          <w:rFonts w:hint="eastAsia" w:eastAsiaTheme="minorEastAsia"/>
          <w:color w:val="000000" w:themeColor="text1"/>
        </w:rPr>
        <w:t>，绿化用水定额为3L/m</w:t>
      </w:r>
      <w:r>
        <w:rPr>
          <w:rFonts w:hint="eastAsia" w:eastAsiaTheme="minorEastAsia"/>
          <w:color w:val="000000" w:themeColor="text1"/>
          <w:vertAlign w:val="superscript"/>
        </w:rPr>
        <w:t>2</w:t>
      </w:r>
      <w:r>
        <w:rPr>
          <w:rFonts w:hint="eastAsia" w:eastAsiaTheme="minorEastAsia"/>
          <w:color w:val="000000" w:themeColor="text1"/>
        </w:rPr>
        <w:t>，</w:t>
      </w:r>
      <w:r>
        <w:rPr>
          <w:rFonts w:eastAsiaTheme="minorEastAsia"/>
          <w:color w:val="000000" w:themeColor="text1"/>
        </w:rPr>
        <w:t>厂区绿化用水量为</w:t>
      </w:r>
      <w:r>
        <w:rPr>
          <w:rFonts w:hint="eastAsia" w:eastAsiaTheme="minorEastAsia"/>
          <w:color w:val="000000" w:themeColor="text1"/>
        </w:rPr>
        <w:t>9</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p>
    <w:p>
      <w:pPr>
        <w:pStyle w:val="127"/>
        <w:ind w:firstLine="482"/>
        <w:rPr>
          <w:rFonts w:eastAsiaTheme="minorEastAsia"/>
          <w:b/>
          <w:bCs/>
          <w:color w:val="000000" w:themeColor="text1"/>
        </w:rPr>
      </w:pPr>
      <w:r>
        <w:rPr>
          <w:rFonts w:eastAsiaTheme="minorEastAsia"/>
          <w:b/>
          <w:bCs/>
          <w:color w:val="000000" w:themeColor="text1"/>
        </w:rPr>
        <w:t>4、实验室及机修用水</w:t>
      </w:r>
    </w:p>
    <w:p>
      <w:pPr>
        <w:pStyle w:val="127"/>
        <w:rPr>
          <w:rFonts w:eastAsiaTheme="minorEastAsia"/>
          <w:color w:val="000000" w:themeColor="text1"/>
        </w:rPr>
      </w:pPr>
      <w:r>
        <w:rPr>
          <w:rFonts w:eastAsiaTheme="minorEastAsia"/>
          <w:color w:val="000000" w:themeColor="text1"/>
        </w:rPr>
        <w:t>根据建设单位资料，项目实验室及机修平均用水量约为0.5m</w:t>
      </w:r>
      <w:r>
        <w:rPr>
          <w:rFonts w:eastAsiaTheme="minorEastAsia"/>
          <w:color w:val="000000" w:themeColor="text1"/>
          <w:vertAlign w:val="superscript"/>
        </w:rPr>
        <w:t>3</w:t>
      </w:r>
      <w:r>
        <w:rPr>
          <w:rFonts w:eastAsiaTheme="minorEastAsia"/>
          <w:color w:val="000000" w:themeColor="text1"/>
        </w:rPr>
        <w:t>/d。</w:t>
      </w:r>
    </w:p>
    <w:p>
      <w:pPr>
        <w:pStyle w:val="127"/>
        <w:ind w:firstLine="482"/>
        <w:rPr>
          <w:rFonts w:eastAsiaTheme="minorEastAsia"/>
          <w:b/>
          <w:bCs/>
          <w:color w:val="000000" w:themeColor="text1"/>
        </w:rPr>
      </w:pPr>
      <w:r>
        <w:rPr>
          <w:rFonts w:eastAsiaTheme="minorEastAsia"/>
          <w:b/>
          <w:bCs/>
          <w:color w:val="000000" w:themeColor="text1"/>
        </w:rPr>
        <w:t>5、冷却用水</w:t>
      </w:r>
    </w:p>
    <w:p>
      <w:pPr>
        <w:pStyle w:val="127"/>
        <w:rPr>
          <w:rFonts w:eastAsiaTheme="minorEastAsia"/>
          <w:color w:val="000000" w:themeColor="text1"/>
        </w:rPr>
      </w:pPr>
      <w:r>
        <w:rPr>
          <w:rFonts w:hint="eastAsia" w:eastAsiaTheme="minorEastAsia"/>
          <w:color w:val="000000" w:themeColor="text1"/>
        </w:rPr>
        <w:t>球磨机间接</w:t>
      </w:r>
      <w:r>
        <w:rPr>
          <w:rFonts w:eastAsiaTheme="minorEastAsia"/>
          <w:color w:val="000000" w:themeColor="text1"/>
        </w:rPr>
        <w:t>冷却水</w:t>
      </w:r>
      <w:r>
        <w:rPr>
          <w:rFonts w:hint="eastAsia" w:eastAsiaTheme="minorEastAsia"/>
          <w:color w:val="000000" w:themeColor="text1"/>
        </w:rPr>
        <w:t>在线用量为85m</w:t>
      </w:r>
      <w:r>
        <w:rPr>
          <w:rFonts w:hint="eastAsia" w:eastAsiaTheme="minorEastAsia"/>
          <w:color w:val="000000" w:themeColor="text1"/>
          <w:vertAlign w:val="superscript"/>
        </w:rPr>
        <w:t>3</w:t>
      </w:r>
      <w:r>
        <w:rPr>
          <w:rFonts w:hint="eastAsia" w:eastAsiaTheme="minorEastAsia"/>
          <w:color w:val="000000" w:themeColor="text1"/>
        </w:rPr>
        <w:t>，循环量为77m</w:t>
      </w:r>
      <w:r>
        <w:rPr>
          <w:rFonts w:hint="eastAsia" w:eastAsiaTheme="minorEastAsia"/>
          <w:color w:val="000000" w:themeColor="text1"/>
          <w:vertAlign w:val="superscript"/>
        </w:rPr>
        <w:t>3</w:t>
      </w:r>
      <w:r>
        <w:rPr>
          <w:rFonts w:hint="eastAsia" w:eastAsiaTheme="minorEastAsia"/>
          <w:color w:val="000000" w:themeColor="text1"/>
        </w:rPr>
        <w:t>，损失量为</w:t>
      </w:r>
      <w:r>
        <w:rPr>
          <w:rFonts w:eastAsiaTheme="minorEastAsia"/>
          <w:color w:val="000000" w:themeColor="text1"/>
        </w:rPr>
        <w:t>8m</w:t>
      </w:r>
      <w:r>
        <w:rPr>
          <w:rFonts w:eastAsiaTheme="minorEastAsia"/>
          <w:color w:val="000000" w:themeColor="text1"/>
          <w:vertAlign w:val="superscript"/>
        </w:rPr>
        <w:t>3</w:t>
      </w:r>
      <w:r>
        <w:rPr>
          <w:rFonts w:eastAsiaTheme="minorEastAsia"/>
          <w:color w:val="000000" w:themeColor="text1"/>
        </w:rPr>
        <w:t>，每天需要补充新鲜水8m</w:t>
      </w:r>
      <w:r>
        <w:rPr>
          <w:rFonts w:eastAsiaTheme="minorEastAsia"/>
          <w:color w:val="000000" w:themeColor="text1"/>
          <w:vertAlign w:val="superscript"/>
        </w:rPr>
        <w:t>3</w:t>
      </w:r>
      <w:r>
        <w:rPr>
          <w:rFonts w:hint="eastAsia" w:eastAsiaTheme="minorEastAsia"/>
          <w:color w:val="000000" w:themeColor="text1"/>
        </w:rPr>
        <w:t>。</w:t>
      </w:r>
    </w:p>
    <w:p>
      <w:pPr>
        <w:pStyle w:val="6"/>
        <w:spacing w:beforeLines="0" w:afterLines="0"/>
        <w:rPr>
          <w:rFonts w:eastAsiaTheme="minorEastAsia"/>
          <w:color w:val="000000" w:themeColor="text1"/>
          <w:sz w:val="28"/>
          <w:szCs w:val="28"/>
        </w:rPr>
      </w:pPr>
      <w:bookmarkStart w:id="506" w:name="_Toc27276"/>
      <w:r>
        <w:rPr>
          <w:rFonts w:eastAsiaTheme="minorEastAsia"/>
          <w:color w:val="000000" w:themeColor="text1"/>
          <w:sz w:val="28"/>
          <w:szCs w:val="28"/>
        </w:rPr>
        <w:t>4.2.3</w:t>
      </w:r>
      <w:r>
        <w:rPr>
          <w:rFonts w:hint="eastAsia" w:eastAsiaTheme="minorEastAsia"/>
          <w:color w:val="000000" w:themeColor="text1"/>
          <w:sz w:val="28"/>
          <w:szCs w:val="28"/>
        </w:rPr>
        <w:t>技改后</w:t>
      </w:r>
      <w:r>
        <w:rPr>
          <w:rFonts w:eastAsiaTheme="minorEastAsia"/>
          <w:color w:val="000000" w:themeColor="text1"/>
          <w:sz w:val="28"/>
          <w:szCs w:val="28"/>
        </w:rPr>
        <w:t>全厂项目用水情况</w:t>
      </w:r>
      <w:bookmarkEnd w:id="506"/>
    </w:p>
    <w:p>
      <w:pPr>
        <w:ind w:firstLine="482"/>
        <w:rPr>
          <w:rFonts w:eastAsiaTheme="minorEastAsia"/>
          <w:b/>
          <w:color w:val="000000" w:themeColor="text1"/>
        </w:rPr>
      </w:pPr>
      <w:r>
        <w:rPr>
          <w:rFonts w:eastAsiaTheme="minorEastAsia"/>
          <w:b/>
          <w:color w:val="000000" w:themeColor="text1"/>
        </w:rPr>
        <w:t>1、生产用水</w:t>
      </w:r>
    </w:p>
    <w:p>
      <w:pPr>
        <w:ind w:firstLine="480"/>
        <w:rPr>
          <w:rFonts w:eastAsiaTheme="minorEastAsia"/>
          <w:bCs/>
          <w:color w:val="000000" w:themeColor="text1"/>
        </w:rPr>
      </w:pPr>
      <w:r>
        <w:rPr>
          <w:rFonts w:eastAsiaTheme="minorEastAsia"/>
          <w:bCs/>
          <w:color w:val="000000" w:themeColor="text1"/>
        </w:rPr>
        <w:t>原有项目选矿</w:t>
      </w:r>
      <w:r>
        <w:rPr>
          <w:rFonts w:hint="eastAsia" w:eastAsiaTheme="minorEastAsia"/>
          <w:bCs/>
          <w:color w:val="000000" w:themeColor="text1"/>
        </w:rPr>
        <w:t>用水</w:t>
      </w:r>
      <w:r>
        <w:rPr>
          <w:rFonts w:eastAsiaTheme="minorEastAsia"/>
          <w:bCs/>
          <w:color w:val="000000" w:themeColor="text1"/>
        </w:rPr>
        <w:t>量为</w:t>
      </w:r>
      <w:r>
        <w:rPr>
          <w:rFonts w:hint="eastAsia" w:eastAsiaTheme="minorEastAsia"/>
          <w:bCs/>
          <w:color w:val="000000" w:themeColor="text1"/>
        </w:rPr>
        <w:t>656.545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/d，技改选矿生产线</w:t>
      </w:r>
      <w:r>
        <w:rPr>
          <w:rFonts w:hint="eastAsia" w:eastAsiaTheme="minorEastAsia"/>
          <w:color w:val="000000" w:themeColor="text1"/>
        </w:rPr>
        <w:t>用水</w:t>
      </w:r>
      <w:r>
        <w:rPr>
          <w:rFonts w:eastAsiaTheme="minorEastAsia"/>
          <w:color w:val="000000" w:themeColor="text1"/>
        </w:rPr>
        <w:t>量为</w:t>
      </w:r>
      <w:r>
        <w:rPr>
          <w:rFonts w:hint="eastAsia" w:eastAsiaTheme="minorEastAsia"/>
          <w:color w:val="000000" w:themeColor="text1"/>
        </w:rPr>
        <w:t>356.755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技改项目选矿废水一部分回用</w:t>
      </w:r>
      <w:r>
        <w:rPr>
          <w:rFonts w:eastAsiaTheme="minorEastAsia"/>
          <w:color w:val="000000" w:themeColor="text1"/>
        </w:rPr>
        <w:t>，</w:t>
      </w:r>
      <w:r>
        <w:rPr>
          <w:rFonts w:hint="eastAsia" w:eastAsiaTheme="minorEastAsia"/>
          <w:color w:val="000000" w:themeColor="text1"/>
        </w:rPr>
        <w:t>随尾矿携带的部分进入依托的浓密池内（辣子箐口选厂），</w:t>
      </w:r>
      <w:r>
        <w:rPr>
          <w:rFonts w:eastAsiaTheme="minorEastAsia"/>
          <w:color w:val="000000" w:themeColor="text1"/>
        </w:rPr>
        <w:t>原有选矿车间尾矿进入辣子箐尾矿库。</w:t>
      </w:r>
    </w:p>
    <w:p>
      <w:pPr>
        <w:ind w:firstLine="482"/>
        <w:rPr>
          <w:rFonts w:eastAsiaTheme="minorEastAsia"/>
          <w:b/>
          <w:color w:val="000000" w:themeColor="text1"/>
        </w:rPr>
      </w:pPr>
      <w:r>
        <w:rPr>
          <w:rFonts w:eastAsiaTheme="minorEastAsia"/>
          <w:b/>
          <w:color w:val="000000" w:themeColor="text1"/>
        </w:rPr>
        <w:t>2、洗砂</w:t>
      </w:r>
      <w:r>
        <w:rPr>
          <w:rFonts w:eastAsiaTheme="minorEastAsia"/>
          <w:b/>
          <w:color w:val="000000" w:themeColor="text1"/>
          <w:szCs w:val="24"/>
        </w:rPr>
        <w:t>用水</w:t>
      </w:r>
    </w:p>
    <w:p>
      <w:pPr>
        <w:ind w:firstLine="480"/>
        <w:rPr>
          <w:rFonts w:eastAsiaTheme="minorEastAsia"/>
          <w:color w:val="000000" w:themeColor="text1"/>
        </w:rPr>
      </w:pPr>
      <w:r>
        <w:rPr>
          <w:rFonts w:eastAsiaTheme="minorEastAsia"/>
          <w:color w:val="000000" w:themeColor="text1"/>
        </w:rPr>
        <w:t>技改项目洗砂过程水用量为</w:t>
      </w:r>
      <w:r>
        <w:rPr>
          <w:rFonts w:hint="eastAsia" w:eastAsiaTheme="minorEastAsia"/>
          <w:color w:val="000000" w:themeColor="text1"/>
        </w:rPr>
        <w:t>9.24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其中砂子带入水量为3.96</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副产品机制砂</w:t>
      </w:r>
      <w:r>
        <w:rPr>
          <w:rFonts w:eastAsiaTheme="minorEastAsia"/>
          <w:color w:val="000000" w:themeColor="text1"/>
        </w:rPr>
        <w:t>携带走</w:t>
      </w:r>
      <w:r>
        <w:rPr>
          <w:rFonts w:hint="eastAsia" w:eastAsiaTheme="minorEastAsia"/>
          <w:color w:val="000000" w:themeColor="text1"/>
        </w:rPr>
        <w:t>3.96</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/d，洗砂废水进入原选矿工艺水量为</w:t>
      </w:r>
      <w:r>
        <w:rPr>
          <w:rFonts w:hint="eastAsia" w:eastAsiaTheme="minorEastAsia"/>
          <w:color w:val="000000" w:themeColor="text1"/>
        </w:rPr>
        <w:t>9.24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p>
    <w:p>
      <w:pPr>
        <w:ind w:firstLine="482"/>
        <w:rPr>
          <w:rFonts w:eastAsiaTheme="minorEastAsia"/>
          <w:b/>
          <w:color w:val="000000" w:themeColor="text1"/>
        </w:rPr>
      </w:pPr>
      <w:r>
        <w:rPr>
          <w:rFonts w:eastAsiaTheme="minorEastAsia"/>
          <w:b/>
          <w:color w:val="000000" w:themeColor="text1"/>
        </w:rPr>
        <w:t>3、实验室及机修用水</w:t>
      </w:r>
    </w:p>
    <w:p>
      <w:pPr>
        <w:pStyle w:val="51"/>
        <w:ind w:left="0" w:firstLine="480"/>
        <w:rPr>
          <w:smallCaps w:val="0"/>
          <w:color w:val="000000" w:themeColor="text1"/>
          <w:kern w:val="2"/>
          <w:sz w:val="24"/>
          <w:szCs w:val="22"/>
          <w:lang w:eastAsia="zh-CN" w:bidi="ar-SA"/>
        </w:rPr>
      </w:pPr>
      <w:r>
        <w:rPr>
          <w:smallCaps w:val="0"/>
          <w:color w:val="000000" w:themeColor="text1"/>
          <w:kern w:val="2"/>
          <w:sz w:val="24"/>
          <w:szCs w:val="22"/>
          <w:lang w:eastAsia="zh-CN" w:bidi="ar-SA"/>
        </w:rPr>
        <w:t>实验室检验及机修用水量为1m</w:t>
      </w:r>
      <w:r>
        <w:rPr>
          <w:smallCaps w:val="0"/>
          <w:color w:val="000000" w:themeColor="text1"/>
          <w:kern w:val="2"/>
          <w:sz w:val="24"/>
          <w:szCs w:val="22"/>
          <w:vertAlign w:val="superscript"/>
          <w:lang w:eastAsia="zh-CN" w:bidi="ar-SA"/>
        </w:rPr>
        <w:t>3</w:t>
      </w:r>
      <w:r>
        <w:rPr>
          <w:smallCaps w:val="0"/>
          <w:color w:val="000000" w:themeColor="text1"/>
          <w:kern w:val="2"/>
          <w:sz w:val="24"/>
          <w:szCs w:val="22"/>
          <w:lang w:eastAsia="zh-CN" w:bidi="ar-SA"/>
        </w:rPr>
        <w:t>/d，经过项目沉淀池沉淀后返回生产使用。</w:t>
      </w:r>
    </w:p>
    <w:p>
      <w:pPr>
        <w:numPr>
          <w:ilvl w:val="0"/>
          <w:numId w:val="31"/>
        </w:numPr>
        <w:adjustRightInd w:val="0"/>
        <w:snapToGrid w:val="0"/>
        <w:ind w:firstLine="482"/>
        <w:rPr>
          <w:rFonts w:eastAsiaTheme="minorEastAsia"/>
          <w:b/>
          <w:bCs/>
          <w:color w:val="000000" w:themeColor="text1"/>
          <w:szCs w:val="24"/>
        </w:rPr>
      </w:pPr>
      <w:r>
        <w:rPr>
          <w:rFonts w:eastAsiaTheme="minorEastAsia"/>
          <w:b/>
          <w:bCs/>
          <w:color w:val="000000" w:themeColor="text1"/>
          <w:szCs w:val="24"/>
        </w:rPr>
        <w:t>降尘用水</w:t>
      </w:r>
    </w:p>
    <w:p>
      <w:pPr>
        <w:pStyle w:val="78"/>
        <w:ind w:firstLine="480"/>
        <w:rPr>
          <w:color w:val="000000" w:themeColor="text1"/>
        </w:rPr>
      </w:pPr>
      <w:r>
        <w:rPr>
          <w:rFonts w:eastAsiaTheme="minorEastAsia"/>
          <w:color w:val="000000" w:themeColor="text1"/>
          <w:kern w:val="24"/>
          <w:szCs w:val="24"/>
        </w:rPr>
        <w:t>原矿石中也有部分碎料，原料加工过程中需定期对原矿石堆棚、砂石料堆棚、低品位矿堆棚进行喷淋降尘，原矿石堆棚3500m</w:t>
      </w:r>
      <w:r>
        <w:rPr>
          <w:rFonts w:eastAsiaTheme="minorEastAsia"/>
          <w:color w:val="000000" w:themeColor="text1"/>
          <w:kern w:val="24"/>
          <w:szCs w:val="24"/>
          <w:vertAlign w:val="superscript"/>
        </w:rPr>
        <w:t>2</w:t>
      </w:r>
      <w:r>
        <w:rPr>
          <w:rFonts w:eastAsiaTheme="minorEastAsia"/>
          <w:color w:val="000000" w:themeColor="text1"/>
          <w:kern w:val="24"/>
          <w:szCs w:val="24"/>
        </w:rPr>
        <w:t>，砂石料堆棚120m</w:t>
      </w:r>
      <w:r>
        <w:rPr>
          <w:rFonts w:eastAsiaTheme="minorEastAsia"/>
          <w:color w:val="000000" w:themeColor="text1"/>
          <w:kern w:val="24"/>
          <w:szCs w:val="24"/>
          <w:vertAlign w:val="superscript"/>
        </w:rPr>
        <w:t>2</w:t>
      </w:r>
      <w:r>
        <w:rPr>
          <w:rFonts w:eastAsiaTheme="minorEastAsia"/>
          <w:color w:val="000000" w:themeColor="text1"/>
          <w:kern w:val="24"/>
          <w:szCs w:val="24"/>
        </w:rPr>
        <w:t>，低品位原矿堆棚500m</w:t>
      </w:r>
      <w:r>
        <w:rPr>
          <w:rFonts w:eastAsiaTheme="minorEastAsia"/>
          <w:color w:val="000000" w:themeColor="text1"/>
          <w:kern w:val="24"/>
          <w:szCs w:val="24"/>
          <w:vertAlign w:val="superscript"/>
        </w:rPr>
        <w:t>2</w:t>
      </w:r>
      <w:r>
        <w:rPr>
          <w:rFonts w:eastAsiaTheme="minorEastAsia"/>
          <w:color w:val="000000" w:themeColor="text1"/>
          <w:kern w:val="24"/>
          <w:szCs w:val="24"/>
        </w:rPr>
        <w:t>，原料加工厂内空余场地2880m</w:t>
      </w:r>
      <w:r>
        <w:rPr>
          <w:rFonts w:eastAsiaTheme="minorEastAsia"/>
          <w:color w:val="000000" w:themeColor="text1"/>
          <w:kern w:val="24"/>
          <w:szCs w:val="24"/>
          <w:vertAlign w:val="superscript"/>
        </w:rPr>
        <w:t>2</w:t>
      </w:r>
      <w:r>
        <w:rPr>
          <w:rFonts w:eastAsiaTheme="minorEastAsia"/>
          <w:color w:val="000000" w:themeColor="text1"/>
          <w:kern w:val="24"/>
          <w:szCs w:val="24"/>
        </w:rPr>
        <w:t>，</w:t>
      </w:r>
      <w:r>
        <w:rPr>
          <w:rFonts w:eastAsiaTheme="minorEastAsia"/>
          <w:color w:val="000000" w:themeColor="text1"/>
          <w:szCs w:val="24"/>
        </w:rPr>
        <w:t>厂区运输道路450m</w:t>
      </w:r>
      <w:r>
        <w:rPr>
          <w:rFonts w:eastAsiaTheme="minorEastAsia"/>
          <w:color w:val="000000" w:themeColor="text1"/>
          <w:szCs w:val="24"/>
          <w:vertAlign w:val="superscript"/>
        </w:rPr>
        <w:t>2</w:t>
      </w:r>
      <w:r>
        <w:rPr>
          <w:rFonts w:eastAsiaTheme="minorEastAsia"/>
          <w:color w:val="000000" w:themeColor="text1"/>
          <w:szCs w:val="24"/>
        </w:rPr>
        <w:t>（150×3m），需降尘面积共为7450m</w:t>
      </w:r>
      <w:r>
        <w:rPr>
          <w:rFonts w:eastAsiaTheme="minorEastAsia"/>
          <w:color w:val="000000" w:themeColor="text1"/>
          <w:szCs w:val="24"/>
          <w:vertAlign w:val="superscript"/>
        </w:rPr>
        <w:t>2</w:t>
      </w:r>
      <w:r>
        <w:rPr>
          <w:rFonts w:eastAsiaTheme="minorEastAsia"/>
          <w:color w:val="000000" w:themeColor="text1"/>
          <w:szCs w:val="24"/>
        </w:rPr>
        <w:t>，</w:t>
      </w:r>
      <w:r>
        <w:rPr>
          <w:color w:val="000000" w:themeColor="text1"/>
        </w:rPr>
        <w:t>要求企业晴天时对厂区洒水2-3次（报告以</w:t>
      </w:r>
      <w:r>
        <w:rPr>
          <w:rFonts w:hint="eastAsia"/>
          <w:color w:val="000000" w:themeColor="text1"/>
        </w:rPr>
        <w:t>3</w:t>
      </w:r>
      <w:r>
        <w:rPr>
          <w:color w:val="000000" w:themeColor="text1"/>
        </w:rPr>
        <w:t>次计算），每次用水量按2L/m</w:t>
      </w:r>
      <w:r>
        <w:rPr>
          <w:color w:val="000000" w:themeColor="text1"/>
          <w:vertAlign w:val="superscript"/>
        </w:rPr>
        <w:t>2</w:t>
      </w:r>
      <w:r>
        <w:rPr>
          <w:color w:val="000000" w:themeColor="text1"/>
        </w:rPr>
        <w:t>计算，一年中晴天按250d计算，用水量为</w:t>
      </w:r>
      <w:r>
        <w:rPr>
          <w:rFonts w:hint="eastAsia"/>
          <w:color w:val="000000" w:themeColor="text1"/>
        </w:rPr>
        <w:t>44.7</w:t>
      </w:r>
      <w:r>
        <w:rPr>
          <w:color w:val="000000" w:themeColor="text1"/>
        </w:rPr>
        <w:t>m</w:t>
      </w:r>
      <w:r>
        <w:rPr>
          <w:color w:val="000000" w:themeColor="text1"/>
          <w:vertAlign w:val="superscript"/>
        </w:rPr>
        <w:t>3</w:t>
      </w:r>
      <w:r>
        <w:rPr>
          <w:color w:val="000000" w:themeColor="text1"/>
        </w:rPr>
        <w:t>/d，</w:t>
      </w:r>
      <w:r>
        <w:rPr>
          <w:rFonts w:hint="eastAsia"/>
          <w:color w:val="000000" w:themeColor="text1"/>
        </w:rPr>
        <w:t>13410</w:t>
      </w:r>
      <w:r>
        <w:rPr>
          <w:color w:val="000000" w:themeColor="text1"/>
        </w:rPr>
        <w:t>m</w:t>
      </w:r>
      <w:r>
        <w:rPr>
          <w:color w:val="000000" w:themeColor="text1"/>
          <w:vertAlign w:val="superscript"/>
        </w:rPr>
        <w:t>3</w:t>
      </w:r>
      <w:r>
        <w:rPr>
          <w:color w:val="000000" w:themeColor="text1"/>
        </w:rPr>
        <w:t>/a。这部分水通过蒸发或存在物料中，不外排。</w:t>
      </w:r>
    </w:p>
    <w:p>
      <w:pPr>
        <w:numPr>
          <w:ilvl w:val="0"/>
          <w:numId w:val="31"/>
        </w:numPr>
        <w:ind w:firstLine="482"/>
        <w:rPr>
          <w:rFonts w:eastAsiaTheme="minorEastAsia"/>
          <w:b/>
          <w:bCs/>
          <w:color w:val="000000" w:themeColor="text1"/>
          <w:szCs w:val="24"/>
        </w:rPr>
      </w:pPr>
      <w:r>
        <w:rPr>
          <w:rFonts w:eastAsiaTheme="minorEastAsia"/>
          <w:b/>
          <w:bCs/>
          <w:color w:val="000000" w:themeColor="text1"/>
          <w:szCs w:val="24"/>
        </w:rPr>
        <w:t>绿化用水</w:t>
      </w:r>
    </w:p>
    <w:p>
      <w:pPr>
        <w:pStyle w:val="51"/>
        <w:ind w:left="0" w:firstLine="480"/>
        <w:jc w:val="both"/>
        <w:rPr>
          <w:smallCaps w:val="0"/>
          <w:color w:val="000000" w:themeColor="text1"/>
          <w:kern w:val="2"/>
          <w:sz w:val="24"/>
          <w:szCs w:val="24"/>
          <w:lang w:eastAsia="zh-CN" w:bidi="ar-SA"/>
        </w:rPr>
      </w:pPr>
      <w:r>
        <w:rPr>
          <w:rFonts w:hint="eastAsia"/>
          <w:color w:val="000000" w:themeColor="text1"/>
          <w:sz w:val="24"/>
          <w:szCs w:val="24"/>
          <w:lang w:eastAsia="zh-CN"/>
        </w:rPr>
        <w:t>厂区绿化面积为3000</w:t>
      </w:r>
      <w:r>
        <w:rPr>
          <w:smallCaps w:val="0"/>
          <w:color w:val="000000" w:themeColor="text1"/>
          <w:kern w:val="2"/>
          <w:sz w:val="24"/>
          <w:szCs w:val="24"/>
          <w:lang w:eastAsia="zh-CN" w:bidi="ar-SA"/>
        </w:rPr>
        <w:t>m</w:t>
      </w:r>
      <w:r>
        <w:rPr>
          <w:rFonts w:hint="eastAsia"/>
          <w:color w:val="000000" w:themeColor="text1"/>
          <w:sz w:val="24"/>
          <w:szCs w:val="24"/>
          <w:vertAlign w:val="superscript"/>
          <w:lang w:eastAsia="zh-CN"/>
        </w:rPr>
        <w:t>2</w:t>
      </w:r>
      <w:r>
        <w:rPr>
          <w:rFonts w:hint="eastAsia"/>
          <w:color w:val="000000" w:themeColor="text1"/>
          <w:sz w:val="24"/>
          <w:szCs w:val="24"/>
          <w:lang w:eastAsia="zh-CN"/>
        </w:rPr>
        <w:t>，</w:t>
      </w:r>
      <w:r>
        <w:rPr>
          <w:color w:val="000000" w:themeColor="text1"/>
          <w:sz w:val="24"/>
          <w:szCs w:val="24"/>
          <w:lang w:eastAsia="zh-CN"/>
        </w:rPr>
        <w:t>根据《云南省地方标准用水定额》（DB53/T168-2019）标准</w:t>
      </w:r>
      <w:r>
        <w:rPr>
          <w:rFonts w:hint="eastAsia"/>
          <w:color w:val="000000" w:themeColor="text1"/>
          <w:sz w:val="24"/>
          <w:szCs w:val="24"/>
          <w:lang w:eastAsia="zh-CN"/>
        </w:rPr>
        <w:t>，绿化用水定额为3L/</w:t>
      </w:r>
      <w:r>
        <w:rPr>
          <w:smallCaps w:val="0"/>
          <w:color w:val="000000" w:themeColor="text1"/>
          <w:kern w:val="2"/>
          <w:sz w:val="24"/>
          <w:szCs w:val="24"/>
          <w:lang w:eastAsia="zh-CN" w:bidi="ar-SA"/>
        </w:rPr>
        <w:t>m</w:t>
      </w:r>
      <w:r>
        <w:rPr>
          <w:rFonts w:hint="eastAsia"/>
          <w:color w:val="000000" w:themeColor="text1"/>
          <w:sz w:val="24"/>
          <w:szCs w:val="24"/>
          <w:vertAlign w:val="superscript"/>
          <w:lang w:eastAsia="zh-CN"/>
        </w:rPr>
        <w:t>2</w:t>
      </w:r>
      <w:r>
        <w:rPr>
          <w:rFonts w:hint="eastAsia"/>
          <w:color w:val="000000" w:themeColor="text1"/>
          <w:sz w:val="24"/>
          <w:szCs w:val="24"/>
          <w:lang w:eastAsia="zh-CN"/>
        </w:rPr>
        <w:t>，</w:t>
      </w:r>
      <w:r>
        <w:rPr>
          <w:color w:val="000000" w:themeColor="text1"/>
          <w:sz w:val="24"/>
          <w:szCs w:val="24"/>
          <w:lang w:eastAsia="zh-CN"/>
        </w:rPr>
        <w:t>厂区绿化用水量为</w:t>
      </w:r>
      <w:r>
        <w:rPr>
          <w:rFonts w:hint="eastAsia"/>
          <w:color w:val="000000" w:themeColor="text1"/>
          <w:sz w:val="24"/>
          <w:szCs w:val="24"/>
          <w:lang w:eastAsia="zh-CN"/>
        </w:rPr>
        <w:t>9</w:t>
      </w:r>
      <w:r>
        <w:rPr>
          <w:smallCaps w:val="0"/>
          <w:color w:val="000000" w:themeColor="text1"/>
          <w:kern w:val="2"/>
          <w:sz w:val="24"/>
          <w:szCs w:val="24"/>
          <w:lang w:eastAsia="zh-CN" w:bidi="ar-SA"/>
        </w:rPr>
        <w:t>m</w:t>
      </w:r>
      <w:r>
        <w:rPr>
          <w:smallCaps w:val="0"/>
          <w:color w:val="000000" w:themeColor="text1"/>
          <w:kern w:val="2"/>
          <w:sz w:val="24"/>
          <w:szCs w:val="24"/>
          <w:vertAlign w:val="superscript"/>
          <w:lang w:eastAsia="zh-CN" w:bidi="ar-SA"/>
        </w:rPr>
        <w:t>3</w:t>
      </w:r>
      <w:r>
        <w:rPr>
          <w:smallCaps w:val="0"/>
          <w:color w:val="000000" w:themeColor="text1"/>
          <w:kern w:val="2"/>
          <w:sz w:val="24"/>
          <w:szCs w:val="24"/>
          <w:lang w:eastAsia="zh-CN" w:bidi="ar-SA"/>
        </w:rPr>
        <w:t>/d。</w:t>
      </w:r>
      <w:r>
        <w:rPr>
          <w:rFonts w:hint="eastAsia"/>
          <w:smallCaps w:val="0"/>
          <w:color w:val="000000" w:themeColor="text1"/>
          <w:kern w:val="2"/>
          <w:sz w:val="24"/>
          <w:szCs w:val="24"/>
          <w:lang w:eastAsia="zh-CN" w:bidi="ar-SA"/>
        </w:rPr>
        <w:t>生活污水处理后用于厂区绿化，处理过的中水量为5.76</w:t>
      </w:r>
      <w:r>
        <w:rPr>
          <w:smallCaps w:val="0"/>
          <w:color w:val="000000" w:themeColor="text1"/>
          <w:kern w:val="2"/>
          <w:sz w:val="24"/>
          <w:szCs w:val="24"/>
          <w:lang w:eastAsia="zh-CN" w:bidi="ar-SA"/>
        </w:rPr>
        <w:t>m</w:t>
      </w:r>
      <w:r>
        <w:rPr>
          <w:smallCaps w:val="0"/>
          <w:color w:val="000000" w:themeColor="text1"/>
          <w:kern w:val="2"/>
          <w:sz w:val="24"/>
          <w:szCs w:val="24"/>
          <w:vertAlign w:val="superscript"/>
          <w:lang w:eastAsia="zh-CN" w:bidi="ar-SA"/>
        </w:rPr>
        <w:t>3</w:t>
      </w:r>
      <w:r>
        <w:rPr>
          <w:smallCaps w:val="0"/>
          <w:color w:val="000000" w:themeColor="text1"/>
          <w:kern w:val="2"/>
          <w:sz w:val="24"/>
          <w:szCs w:val="24"/>
          <w:lang w:eastAsia="zh-CN" w:bidi="ar-SA"/>
        </w:rPr>
        <w:t>/d</w:t>
      </w:r>
      <w:r>
        <w:rPr>
          <w:rFonts w:hint="eastAsia"/>
          <w:smallCaps w:val="0"/>
          <w:color w:val="000000" w:themeColor="text1"/>
          <w:kern w:val="2"/>
          <w:sz w:val="24"/>
          <w:szCs w:val="24"/>
          <w:lang w:eastAsia="zh-CN" w:bidi="ar-SA"/>
        </w:rPr>
        <w:t>，需补充水量为3.24</w:t>
      </w:r>
      <w:r>
        <w:rPr>
          <w:smallCaps w:val="0"/>
          <w:color w:val="000000" w:themeColor="text1"/>
          <w:kern w:val="2"/>
          <w:sz w:val="24"/>
          <w:szCs w:val="24"/>
          <w:lang w:eastAsia="zh-CN" w:bidi="ar-SA"/>
        </w:rPr>
        <w:t>m</w:t>
      </w:r>
      <w:r>
        <w:rPr>
          <w:smallCaps w:val="0"/>
          <w:color w:val="000000" w:themeColor="text1"/>
          <w:kern w:val="2"/>
          <w:sz w:val="24"/>
          <w:szCs w:val="24"/>
          <w:vertAlign w:val="superscript"/>
          <w:lang w:eastAsia="zh-CN" w:bidi="ar-SA"/>
        </w:rPr>
        <w:t>3</w:t>
      </w:r>
      <w:r>
        <w:rPr>
          <w:smallCaps w:val="0"/>
          <w:color w:val="000000" w:themeColor="text1"/>
          <w:kern w:val="2"/>
          <w:sz w:val="24"/>
          <w:szCs w:val="24"/>
          <w:lang w:eastAsia="zh-CN" w:bidi="ar-SA"/>
        </w:rPr>
        <w:t>/d</w:t>
      </w:r>
      <w:r>
        <w:rPr>
          <w:rFonts w:hint="eastAsia"/>
          <w:smallCaps w:val="0"/>
          <w:color w:val="000000" w:themeColor="text1"/>
          <w:kern w:val="2"/>
          <w:sz w:val="24"/>
          <w:szCs w:val="24"/>
          <w:lang w:eastAsia="zh-CN" w:bidi="ar-SA"/>
        </w:rPr>
        <w:t>。</w:t>
      </w:r>
    </w:p>
    <w:p>
      <w:pPr>
        <w:numPr>
          <w:ilvl w:val="0"/>
          <w:numId w:val="31"/>
        </w:numPr>
        <w:ind w:firstLine="482"/>
        <w:rPr>
          <w:rFonts w:eastAsiaTheme="minorEastAsia"/>
          <w:b/>
          <w:bCs/>
          <w:color w:val="000000" w:themeColor="text1"/>
          <w:szCs w:val="24"/>
        </w:rPr>
      </w:pPr>
      <w:r>
        <w:rPr>
          <w:rFonts w:eastAsiaTheme="minorEastAsia"/>
          <w:b/>
          <w:bCs/>
          <w:color w:val="000000" w:themeColor="text1"/>
          <w:szCs w:val="24"/>
        </w:rPr>
        <w:t>设备冷却用水</w:t>
      </w:r>
    </w:p>
    <w:p>
      <w:pPr>
        <w:pStyle w:val="51"/>
        <w:ind w:left="0" w:firstLine="480"/>
        <w:rPr>
          <w:color w:val="000000" w:themeColor="text1"/>
          <w:sz w:val="24"/>
          <w:szCs w:val="24"/>
          <w:lang w:eastAsia="zh-CN"/>
        </w:rPr>
      </w:pPr>
      <w:r>
        <w:rPr>
          <w:color w:val="000000" w:themeColor="text1"/>
          <w:sz w:val="24"/>
          <w:szCs w:val="24"/>
          <w:lang w:eastAsia="zh-CN"/>
        </w:rPr>
        <w:t>机械长时间运作时容易产生热量，为保障机械正常运作，对机械进行冷却，冷却水储存在冷却水沉淀池后循环使用，通过自然损耗后进行补充，</w:t>
      </w:r>
      <w:r>
        <w:rPr>
          <w:rFonts w:hint="eastAsia"/>
          <w:color w:val="000000" w:themeColor="text1"/>
          <w:sz w:val="24"/>
          <w:szCs w:val="24"/>
          <w:lang w:eastAsia="zh-CN"/>
        </w:rPr>
        <w:t>技改后全厂设备冷却水在线量为110</w:t>
      </w:r>
      <w:r>
        <w:rPr>
          <w:smallCaps w:val="0"/>
          <w:color w:val="000000" w:themeColor="text1"/>
          <w:kern w:val="2"/>
          <w:sz w:val="24"/>
          <w:szCs w:val="24"/>
          <w:lang w:eastAsia="zh-CN" w:bidi="ar-SA"/>
        </w:rPr>
        <w:t>m</w:t>
      </w:r>
      <w:r>
        <w:rPr>
          <w:smallCaps w:val="0"/>
          <w:color w:val="000000" w:themeColor="text1"/>
          <w:kern w:val="2"/>
          <w:sz w:val="24"/>
          <w:szCs w:val="24"/>
          <w:vertAlign w:val="superscript"/>
          <w:lang w:eastAsia="zh-CN" w:bidi="ar-SA"/>
        </w:rPr>
        <w:t>3</w:t>
      </w:r>
      <w:r>
        <w:rPr>
          <w:rFonts w:hint="eastAsia"/>
          <w:color w:val="000000" w:themeColor="text1"/>
          <w:sz w:val="24"/>
          <w:szCs w:val="24"/>
          <w:lang w:eastAsia="zh-CN"/>
        </w:rPr>
        <w:t>，循环量为100</w:t>
      </w:r>
      <w:r>
        <w:rPr>
          <w:smallCaps w:val="0"/>
          <w:color w:val="000000" w:themeColor="text1"/>
          <w:kern w:val="2"/>
          <w:sz w:val="24"/>
          <w:szCs w:val="24"/>
          <w:lang w:eastAsia="zh-CN" w:bidi="ar-SA"/>
        </w:rPr>
        <w:t>m</w:t>
      </w:r>
      <w:r>
        <w:rPr>
          <w:smallCaps w:val="0"/>
          <w:color w:val="000000" w:themeColor="text1"/>
          <w:kern w:val="2"/>
          <w:sz w:val="24"/>
          <w:szCs w:val="24"/>
          <w:vertAlign w:val="superscript"/>
          <w:lang w:eastAsia="zh-CN" w:bidi="ar-SA"/>
        </w:rPr>
        <w:t>3</w:t>
      </w:r>
      <w:r>
        <w:rPr>
          <w:rFonts w:hint="eastAsia"/>
          <w:color w:val="000000" w:themeColor="text1"/>
          <w:sz w:val="24"/>
          <w:szCs w:val="24"/>
          <w:lang w:eastAsia="zh-CN"/>
        </w:rPr>
        <w:t>，损失量为10</w:t>
      </w:r>
      <w:r>
        <w:rPr>
          <w:smallCaps w:val="0"/>
          <w:color w:val="000000" w:themeColor="text1"/>
          <w:kern w:val="2"/>
          <w:sz w:val="24"/>
          <w:szCs w:val="24"/>
          <w:lang w:eastAsia="zh-CN" w:bidi="ar-SA"/>
        </w:rPr>
        <w:t>m</w:t>
      </w:r>
      <w:r>
        <w:rPr>
          <w:smallCaps w:val="0"/>
          <w:color w:val="000000" w:themeColor="text1"/>
          <w:kern w:val="2"/>
          <w:sz w:val="24"/>
          <w:szCs w:val="24"/>
          <w:vertAlign w:val="superscript"/>
          <w:lang w:eastAsia="zh-CN" w:bidi="ar-SA"/>
        </w:rPr>
        <w:t>3</w:t>
      </w:r>
      <w:r>
        <w:rPr>
          <w:rFonts w:hint="eastAsia"/>
          <w:color w:val="000000" w:themeColor="text1"/>
          <w:sz w:val="24"/>
          <w:szCs w:val="24"/>
          <w:lang w:eastAsia="zh-CN"/>
        </w:rPr>
        <w:t>，</w:t>
      </w:r>
      <w:r>
        <w:rPr>
          <w:color w:val="000000" w:themeColor="text1"/>
          <w:sz w:val="24"/>
          <w:szCs w:val="24"/>
          <w:lang w:eastAsia="zh-CN"/>
        </w:rPr>
        <w:t>全厂冷却补充水量为10</w:t>
      </w:r>
      <w:r>
        <w:rPr>
          <w:smallCaps w:val="0"/>
          <w:color w:val="000000" w:themeColor="text1"/>
          <w:kern w:val="2"/>
          <w:sz w:val="24"/>
          <w:szCs w:val="24"/>
          <w:lang w:eastAsia="zh-CN" w:bidi="ar-SA"/>
        </w:rPr>
        <w:t>m</w:t>
      </w:r>
      <w:r>
        <w:rPr>
          <w:smallCaps w:val="0"/>
          <w:color w:val="000000" w:themeColor="text1"/>
          <w:kern w:val="2"/>
          <w:sz w:val="24"/>
          <w:szCs w:val="24"/>
          <w:vertAlign w:val="superscript"/>
          <w:lang w:eastAsia="zh-CN" w:bidi="ar-SA"/>
        </w:rPr>
        <w:t>3</w:t>
      </w:r>
      <w:r>
        <w:rPr>
          <w:smallCaps w:val="0"/>
          <w:color w:val="000000" w:themeColor="text1"/>
          <w:kern w:val="2"/>
          <w:sz w:val="24"/>
          <w:szCs w:val="24"/>
          <w:lang w:eastAsia="zh-CN" w:bidi="ar-SA"/>
        </w:rPr>
        <w:t>/d，冷却用水为自来水。</w:t>
      </w:r>
    </w:p>
    <w:p>
      <w:pPr>
        <w:ind w:firstLine="482"/>
        <w:rPr>
          <w:rFonts w:eastAsiaTheme="minorEastAsia"/>
          <w:b/>
          <w:color w:val="000000" w:themeColor="text1"/>
        </w:rPr>
      </w:pPr>
      <w:r>
        <w:rPr>
          <w:rFonts w:eastAsiaTheme="minorEastAsia"/>
          <w:b/>
          <w:color w:val="000000" w:themeColor="text1"/>
        </w:rPr>
        <w:t>7、生活用水</w:t>
      </w:r>
    </w:p>
    <w:p>
      <w:pPr>
        <w:ind w:firstLine="480"/>
        <w:rPr>
          <w:rFonts w:eastAsiaTheme="minorEastAsia"/>
          <w:color w:val="000000" w:themeColor="text1"/>
        </w:rPr>
      </w:pPr>
      <w:r>
        <w:rPr>
          <w:rFonts w:eastAsiaTheme="minorEastAsia"/>
          <w:color w:val="000000" w:themeColor="text1"/>
        </w:rPr>
        <w:t>项目建成以后，全厂劳动定员90人，轮夜班时在厂区</w:t>
      </w:r>
      <w:r>
        <w:rPr>
          <w:rFonts w:hint="eastAsia" w:eastAsiaTheme="minorEastAsia"/>
          <w:color w:val="000000" w:themeColor="text1"/>
        </w:rPr>
        <w:t>住</w:t>
      </w:r>
      <w:r>
        <w:rPr>
          <w:rFonts w:eastAsiaTheme="minorEastAsia"/>
          <w:color w:val="000000" w:themeColor="text1"/>
        </w:rPr>
        <w:t>宿，</w:t>
      </w:r>
      <w:r>
        <w:rPr>
          <w:rFonts w:hint="eastAsia" w:eastAsiaTheme="minorEastAsia"/>
          <w:color w:val="000000" w:themeColor="text1"/>
        </w:rPr>
        <w:t>不在厂区内餐饮，</w:t>
      </w:r>
      <w:r>
        <w:rPr>
          <w:rFonts w:eastAsiaTheme="minorEastAsia"/>
          <w:color w:val="000000" w:themeColor="text1"/>
        </w:rPr>
        <w:t>根据《云南省地方标准用水定额》（DB53/T168-2019）标准进行办公生活用水量核算，以</w:t>
      </w:r>
      <w:r>
        <w:rPr>
          <w:rFonts w:hint="eastAsia" w:eastAsiaTheme="minorEastAsia"/>
          <w:color w:val="000000" w:themeColor="text1"/>
        </w:rPr>
        <w:t>8</w:t>
      </w:r>
      <w:r>
        <w:rPr>
          <w:rFonts w:eastAsiaTheme="minorEastAsia"/>
          <w:color w:val="000000" w:themeColor="text1"/>
        </w:rPr>
        <w:t>0L/人·d计算，所以全厂生活用水量为</w:t>
      </w:r>
      <w:r>
        <w:rPr>
          <w:rFonts w:hint="eastAsia" w:eastAsiaTheme="minorEastAsia"/>
          <w:color w:val="000000" w:themeColor="text1"/>
        </w:rPr>
        <w:t>7.2</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2160</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/a）。</w:t>
      </w:r>
    </w:p>
    <w:p>
      <w:pPr>
        <w:ind w:firstLine="482"/>
        <w:rPr>
          <w:rFonts w:eastAsiaTheme="minorEastAsia"/>
          <w:b/>
          <w:color w:val="000000" w:themeColor="text1"/>
        </w:rPr>
      </w:pPr>
      <w:r>
        <w:rPr>
          <w:rFonts w:hint="eastAsia" w:eastAsiaTheme="minorEastAsia"/>
          <w:b/>
          <w:color w:val="000000" w:themeColor="text1"/>
        </w:rPr>
        <w:t>8、陶瓷过滤机用水</w:t>
      </w:r>
    </w:p>
    <w:p>
      <w:pPr>
        <w:pStyle w:val="2"/>
        <w:ind w:firstLine="480"/>
        <w:rPr>
          <w:rFonts w:ascii="Times New Roman" w:hAnsi="Times New Roman"/>
          <w:color w:val="000000" w:themeColor="text1"/>
          <w:lang w:eastAsia="zh-CN"/>
        </w:rPr>
      </w:pPr>
      <w:r>
        <w:rPr>
          <w:rFonts w:hint="eastAsia" w:ascii="Times New Roman" w:hAnsi="Times New Roman"/>
          <w:color w:val="000000" w:themeColor="text1"/>
          <w:lang w:eastAsia="zh-CN"/>
        </w:rPr>
        <w:t>陶瓷过滤机清洗使用自来水，</w:t>
      </w:r>
      <w:r>
        <w:rPr>
          <w:rFonts w:ascii="Times New Roman" w:hAnsi="Times New Roman"/>
          <w:color w:val="000000" w:themeColor="text1"/>
          <w:lang w:eastAsia="zh-CN"/>
        </w:rPr>
        <w:t>陶瓷过滤机每8h清洗一次，每次兑成清洗剂水溶液需用水30kg，则每天用水量为0.09t。</w:t>
      </w:r>
      <w:r>
        <w:rPr>
          <w:rFonts w:hint="eastAsia" w:ascii="Times New Roman" w:hAnsi="Times New Roman"/>
          <w:color w:val="000000" w:themeColor="text1"/>
          <w:lang w:eastAsia="zh-CN"/>
        </w:rPr>
        <w:t>清洗剂溶液清洗后的陶瓷过滤机不需用清水再冲洗。</w:t>
      </w:r>
    </w:p>
    <w:p>
      <w:pPr>
        <w:ind w:firstLine="480"/>
        <w:rPr>
          <w:color w:val="000000" w:themeColor="text1"/>
        </w:rPr>
      </w:pPr>
      <w:r>
        <w:rPr>
          <w:color w:val="000000" w:themeColor="text1"/>
        </w:rPr>
        <w:t>陶瓷过滤机在工作过程中，要保证矿浆稀释度符合设计要求，故</w:t>
      </w:r>
      <w:r>
        <w:rPr>
          <w:rFonts w:hint="eastAsia"/>
          <w:color w:val="000000" w:themeColor="text1"/>
        </w:rPr>
        <w:t>在矿浆浓度较大时</w:t>
      </w:r>
      <w:r>
        <w:rPr>
          <w:color w:val="000000" w:themeColor="text1"/>
        </w:rPr>
        <w:t>要加入自来水稀释矿浆，自来水加入量为</w:t>
      </w:r>
      <w:r>
        <w:rPr>
          <w:rFonts w:hint="eastAsia"/>
          <w:color w:val="000000" w:themeColor="text1"/>
        </w:rPr>
        <w:t>7.8</w:t>
      </w:r>
      <w:r>
        <w:rPr>
          <w:color w:val="000000" w:themeColor="text1"/>
        </w:rPr>
        <w:t>m</w:t>
      </w:r>
      <w:r>
        <w:rPr>
          <w:color w:val="000000" w:themeColor="text1"/>
          <w:vertAlign w:val="superscript"/>
        </w:rPr>
        <w:t>3</w:t>
      </w:r>
      <w:r>
        <w:rPr>
          <w:color w:val="000000" w:themeColor="text1"/>
        </w:rPr>
        <w:t>/d。</w:t>
      </w:r>
    </w:p>
    <w:p>
      <w:pPr>
        <w:pStyle w:val="6"/>
        <w:spacing w:beforeLines="0" w:afterLines="0"/>
        <w:rPr>
          <w:rFonts w:eastAsiaTheme="minorEastAsia"/>
          <w:color w:val="000000" w:themeColor="text1"/>
          <w:sz w:val="28"/>
          <w:szCs w:val="28"/>
        </w:rPr>
      </w:pPr>
      <w:bookmarkStart w:id="507" w:name="_Toc27914"/>
      <w:r>
        <w:rPr>
          <w:rFonts w:eastAsiaTheme="minorEastAsia"/>
          <w:color w:val="000000" w:themeColor="text1"/>
          <w:sz w:val="28"/>
          <w:szCs w:val="28"/>
        </w:rPr>
        <w:t>4.2.</w:t>
      </w:r>
      <w:r>
        <w:rPr>
          <w:rFonts w:hint="eastAsia" w:eastAsiaTheme="minorEastAsia"/>
          <w:color w:val="000000" w:themeColor="text1"/>
          <w:sz w:val="28"/>
          <w:szCs w:val="28"/>
        </w:rPr>
        <w:t>4</w:t>
      </w:r>
      <w:r>
        <w:rPr>
          <w:rFonts w:eastAsiaTheme="minorEastAsia"/>
          <w:color w:val="000000" w:themeColor="text1"/>
          <w:sz w:val="28"/>
          <w:szCs w:val="28"/>
        </w:rPr>
        <w:t>技改项目排水情况</w:t>
      </w:r>
      <w:bookmarkEnd w:id="507"/>
    </w:p>
    <w:p>
      <w:pPr>
        <w:ind w:firstLine="482"/>
        <w:rPr>
          <w:rFonts w:eastAsiaTheme="minorEastAsia"/>
          <w:b/>
          <w:bCs/>
          <w:color w:val="000000" w:themeColor="text1"/>
        </w:rPr>
      </w:pPr>
      <w:r>
        <w:rPr>
          <w:rFonts w:eastAsiaTheme="minorEastAsia"/>
          <w:b/>
          <w:bCs/>
          <w:color w:val="000000" w:themeColor="text1"/>
        </w:rPr>
        <w:t>1、生产废水</w:t>
      </w:r>
    </w:p>
    <w:p>
      <w:pPr>
        <w:ind w:firstLine="480"/>
        <w:jc w:val="both"/>
        <w:rPr>
          <w:color w:val="000000" w:themeColor="text1"/>
        </w:rPr>
      </w:pPr>
      <w:r>
        <w:rPr>
          <w:color w:val="000000" w:themeColor="text1"/>
        </w:rPr>
        <w:t>①洗砂废水</w:t>
      </w:r>
    </w:p>
    <w:p>
      <w:pPr>
        <w:ind w:firstLine="480"/>
        <w:jc w:val="both"/>
        <w:rPr>
          <w:color w:val="000000" w:themeColor="text1"/>
        </w:rPr>
      </w:pPr>
      <w:r>
        <w:rPr>
          <w:rFonts w:eastAsiaTheme="minorEastAsia"/>
          <w:color w:val="000000" w:themeColor="text1"/>
        </w:rPr>
        <w:t>洗沙后的水随机制砂携带走量为</w:t>
      </w:r>
      <w:r>
        <w:rPr>
          <w:rFonts w:hint="eastAsia" w:eastAsiaTheme="minorEastAsia"/>
          <w:color w:val="000000" w:themeColor="text1"/>
        </w:rPr>
        <w:t>3.96</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/d，泥浆水进入老选矿生产线内，进一步选出泥浆中夹带的铁矿，泥浆水内的含水量为</w:t>
      </w:r>
      <w:r>
        <w:rPr>
          <w:rFonts w:hint="eastAsia" w:eastAsiaTheme="minorEastAsia"/>
          <w:color w:val="000000" w:themeColor="text1"/>
        </w:rPr>
        <w:t>9.24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p>
    <w:p>
      <w:pPr>
        <w:ind w:firstLine="480"/>
        <w:jc w:val="both"/>
        <w:rPr>
          <w:rFonts w:eastAsiaTheme="minorEastAsia"/>
          <w:color w:val="000000" w:themeColor="text1"/>
        </w:rPr>
      </w:pPr>
      <w:r>
        <w:rPr>
          <w:color w:val="000000" w:themeColor="text1"/>
        </w:rPr>
        <w:t>②</w:t>
      </w:r>
      <w:r>
        <w:rPr>
          <w:rFonts w:eastAsiaTheme="minorEastAsia"/>
          <w:color w:val="000000" w:themeColor="text1"/>
        </w:rPr>
        <w:t>选矿废水</w:t>
      </w:r>
    </w:p>
    <w:p>
      <w:pPr>
        <w:ind w:firstLine="480"/>
        <w:jc w:val="both"/>
        <w:rPr>
          <w:rFonts w:eastAsiaTheme="minorEastAsia"/>
          <w:color w:val="000000" w:themeColor="text1"/>
        </w:rPr>
      </w:pPr>
      <w:r>
        <w:rPr>
          <w:rFonts w:eastAsiaTheme="minorEastAsia"/>
          <w:color w:val="000000" w:themeColor="text1"/>
        </w:rPr>
        <w:t>本技改项目生产废水主要为洗</w:t>
      </w:r>
      <w:r>
        <w:rPr>
          <w:rFonts w:hint="eastAsia" w:eastAsiaTheme="minorEastAsia"/>
          <w:color w:val="000000" w:themeColor="text1"/>
        </w:rPr>
        <w:t>砂</w:t>
      </w:r>
      <w:r>
        <w:rPr>
          <w:rFonts w:eastAsiaTheme="minorEastAsia"/>
          <w:color w:val="000000" w:themeColor="text1"/>
        </w:rPr>
        <w:t>废水、尾矿废水、陶瓷过滤机废水。尾矿废水</w:t>
      </w:r>
      <w:r>
        <w:rPr>
          <w:rFonts w:eastAsiaTheme="minorEastAsia"/>
          <w:color w:val="000000" w:themeColor="text1"/>
          <w:szCs w:val="24"/>
        </w:rPr>
        <w:t>随尾矿携带进入平安公司辣子箐口选厂的浓密池内，随尾矿携带进入平安公司辣子箐口选厂的浓密池内的水量为</w:t>
      </w:r>
      <w:r>
        <w:rPr>
          <w:rFonts w:hint="eastAsia" w:eastAsiaTheme="minorEastAsia"/>
          <w:color w:val="000000" w:themeColor="text1"/>
          <w:szCs w:val="24"/>
        </w:rPr>
        <w:t>53.125</w:t>
      </w:r>
      <w:r>
        <w:rPr>
          <w:rFonts w:eastAsiaTheme="minorEastAsia"/>
          <w:color w:val="000000" w:themeColor="text1"/>
          <w:szCs w:val="24"/>
        </w:rPr>
        <w:t>m</w:t>
      </w:r>
      <w:r>
        <w:rPr>
          <w:rFonts w:eastAsiaTheme="minorEastAsia"/>
          <w:color w:val="000000" w:themeColor="text1"/>
          <w:szCs w:val="24"/>
          <w:vertAlign w:val="superscript"/>
        </w:rPr>
        <w:t>3</w:t>
      </w:r>
      <w:r>
        <w:rPr>
          <w:rFonts w:eastAsiaTheme="minorEastAsia"/>
          <w:color w:val="000000" w:themeColor="text1"/>
          <w:szCs w:val="24"/>
        </w:rPr>
        <w:t>/d</w:t>
      </w:r>
      <w:r>
        <w:rPr>
          <w:rFonts w:hint="eastAsia" w:eastAsiaTheme="minorEastAsia"/>
          <w:color w:val="000000" w:themeColor="text1"/>
          <w:szCs w:val="24"/>
        </w:rPr>
        <w:t>（含水率约50%）</w:t>
      </w:r>
      <w:r>
        <w:rPr>
          <w:rFonts w:eastAsiaTheme="minorEastAsia"/>
          <w:color w:val="000000" w:themeColor="text1"/>
          <w:szCs w:val="24"/>
        </w:rPr>
        <w:t>，</w:t>
      </w:r>
      <w:r>
        <w:rPr>
          <w:rFonts w:eastAsiaTheme="minorEastAsia"/>
          <w:color w:val="000000" w:themeColor="text1"/>
        </w:rPr>
        <w:t>陶瓷过滤机脱水量为</w:t>
      </w:r>
      <w:r>
        <w:rPr>
          <w:rFonts w:hint="eastAsia" w:eastAsiaTheme="minorEastAsia"/>
          <w:color w:val="000000" w:themeColor="text1"/>
        </w:rPr>
        <w:t>305.8</w:t>
      </w:r>
      <w:r>
        <w:rPr>
          <w:rFonts w:eastAsiaTheme="minorEastAsia"/>
          <w:color w:val="000000" w:themeColor="text1"/>
          <w:szCs w:val="24"/>
        </w:rPr>
        <w:t>m</w:t>
      </w:r>
      <w:r>
        <w:rPr>
          <w:rFonts w:eastAsiaTheme="minorEastAsia"/>
          <w:color w:val="000000" w:themeColor="text1"/>
          <w:szCs w:val="24"/>
          <w:vertAlign w:val="superscript"/>
        </w:rPr>
        <w:t>3</w:t>
      </w:r>
      <w:r>
        <w:rPr>
          <w:rFonts w:eastAsiaTheme="minorEastAsia"/>
          <w:color w:val="000000" w:themeColor="text1"/>
          <w:szCs w:val="24"/>
        </w:rPr>
        <w:t>/d</w:t>
      </w:r>
      <w:r>
        <w:rPr>
          <w:rFonts w:eastAsiaTheme="minorEastAsia"/>
          <w:color w:val="000000" w:themeColor="text1"/>
        </w:rPr>
        <w:t>，全部进入</w:t>
      </w:r>
      <w:r>
        <w:rPr>
          <w:rFonts w:hint="eastAsia" w:eastAsiaTheme="minorEastAsia"/>
          <w:color w:val="000000" w:themeColor="text1"/>
        </w:rPr>
        <w:t>原项目</w:t>
      </w:r>
      <w:r>
        <w:rPr>
          <w:rFonts w:eastAsiaTheme="minorEastAsia"/>
          <w:color w:val="000000" w:themeColor="text1"/>
        </w:rPr>
        <w:t>尾矿浆沉淀池，</w:t>
      </w:r>
      <w:r>
        <w:rPr>
          <w:rFonts w:eastAsiaTheme="minorEastAsia"/>
          <w:color w:val="000000" w:themeColor="text1"/>
          <w:szCs w:val="24"/>
        </w:rPr>
        <w:t>尾矿沉淀池内回用水量为</w:t>
      </w:r>
      <w:r>
        <w:rPr>
          <w:rFonts w:hint="eastAsia" w:eastAsiaTheme="minorEastAsia"/>
          <w:color w:val="000000" w:themeColor="text1"/>
          <w:szCs w:val="24"/>
          <w:lang w:val="en-US" w:eastAsia="zh-CN"/>
        </w:rPr>
        <w:t>306.38</w:t>
      </w:r>
      <w:r>
        <w:rPr>
          <w:rFonts w:eastAsiaTheme="minorEastAsia"/>
          <w:color w:val="000000" w:themeColor="text1"/>
          <w:szCs w:val="24"/>
        </w:rPr>
        <w:t>m</w:t>
      </w:r>
      <w:r>
        <w:rPr>
          <w:rFonts w:eastAsiaTheme="minorEastAsia"/>
          <w:color w:val="000000" w:themeColor="text1"/>
          <w:szCs w:val="24"/>
          <w:vertAlign w:val="superscript"/>
        </w:rPr>
        <w:t>3</w:t>
      </w:r>
      <w:r>
        <w:rPr>
          <w:rFonts w:eastAsiaTheme="minorEastAsia"/>
          <w:color w:val="000000" w:themeColor="text1"/>
          <w:szCs w:val="24"/>
        </w:rPr>
        <w:t>/d。</w:t>
      </w:r>
    </w:p>
    <w:p>
      <w:pPr>
        <w:pStyle w:val="2"/>
        <w:ind w:firstLine="482"/>
        <w:rPr>
          <w:rFonts w:ascii="Times New Roman" w:hAnsi="Times New Roman"/>
          <w:b/>
          <w:bCs/>
          <w:color w:val="000000" w:themeColor="text1"/>
          <w:lang w:eastAsia="zh-CN"/>
        </w:rPr>
      </w:pPr>
      <w:r>
        <w:rPr>
          <w:rFonts w:hint="eastAsia" w:ascii="Times New Roman" w:hAnsi="Times New Roman"/>
          <w:b/>
          <w:bCs/>
          <w:color w:val="000000" w:themeColor="text1"/>
          <w:lang w:eastAsia="zh-CN"/>
        </w:rPr>
        <w:t>2、陶瓷过滤机清洗排水</w:t>
      </w:r>
    </w:p>
    <w:p>
      <w:pPr>
        <w:pStyle w:val="2"/>
        <w:ind w:firstLine="480"/>
        <w:rPr>
          <w:color w:val="000000" w:themeColor="text1"/>
          <w:lang w:eastAsia="zh-CN"/>
        </w:rPr>
      </w:pPr>
      <w:r>
        <w:rPr>
          <w:rFonts w:hint="eastAsia"/>
          <w:color w:val="000000" w:themeColor="text1"/>
          <w:lang w:eastAsia="zh-CN"/>
        </w:rPr>
        <w:t xml:space="preserve"> </w:t>
      </w:r>
      <w:r>
        <w:rPr>
          <w:rFonts w:hint="eastAsia" w:ascii="Times New Roman" w:hAnsi="Times New Roman"/>
          <w:color w:val="000000" w:themeColor="text1"/>
          <w:lang w:eastAsia="zh-CN"/>
        </w:rPr>
        <w:t>陶瓷过滤机清洗</w:t>
      </w:r>
      <w:r>
        <w:rPr>
          <w:rFonts w:ascii="Times New Roman" w:hAnsi="Times New Roman"/>
          <w:color w:val="000000" w:themeColor="text1"/>
          <w:lang w:eastAsia="zh-CN"/>
        </w:rPr>
        <w:t>每8h清洗一次，每次兑成清洗剂水溶液需用水30kg，则每天用水量为0.09t</w:t>
      </w:r>
      <w:r>
        <w:rPr>
          <w:rFonts w:hint="eastAsia" w:ascii="Times New Roman" w:hAnsi="Times New Roman"/>
          <w:color w:val="000000" w:themeColor="text1"/>
          <w:lang w:eastAsia="zh-CN"/>
        </w:rPr>
        <w:t>，损失水量为0.01t/d，还有0.08t/d清洗废水排入原有项目尾矿沉淀池</w:t>
      </w:r>
      <w:r>
        <w:rPr>
          <w:rFonts w:ascii="Times New Roman" w:hAnsi="Times New Roman"/>
          <w:color w:val="000000" w:themeColor="text1"/>
          <w:lang w:eastAsia="zh-CN"/>
        </w:rPr>
        <w:t>。</w:t>
      </w:r>
      <w:r>
        <w:rPr>
          <w:rFonts w:hint="eastAsia" w:ascii="Times New Roman" w:hAnsi="Times New Roman"/>
          <w:color w:val="000000" w:themeColor="text1"/>
          <w:lang w:eastAsia="zh-CN"/>
        </w:rPr>
        <w:t>清洗剂溶液清洗后的陶瓷过滤机不需用清水再冲洗。</w:t>
      </w:r>
    </w:p>
    <w:p>
      <w:pPr>
        <w:pStyle w:val="51"/>
        <w:ind w:left="0" w:firstLine="482"/>
        <w:rPr>
          <w:b/>
          <w:bCs/>
          <w:color w:val="000000" w:themeColor="text1"/>
          <w:sz w:val="24"/>
          <w:szCs w:val="24"/>
          <w:lang w:eastAsia="zh-CN"/>
        </w:rPr>
      </w:pPr>
      <w:r>
        <w:rPr>
          <w:rFonts w:hint="eastAsia"/>
          <w:b/>
          <w:bCs/>
          <w:color w:val="000000" w:themeColor="text1"/>
          <w:sz w:val="24"/>
          <w:szCs w:val="24"/>
          <w:lang w:eastAsia="zh-CN"/>
        </w:rPr>
        <w:t>3、生活污水</w:t>
      </w:r>
    </w:p>
    <w:p>
      <w:pPr>
        <w:ind w:firstLine="480"/>
        <w:jc w:val="both"/>
        <w:rPr>
          <w:rFonts w:eastAsiaTheme="minorEastAsia"/>
          <w:color w:val="000000" w:themeColor="text1"/>
        </w:rPr>
      </w:pPr>
      <w:r>
        <w:rPr>
          <w:rFonts w:eastAsiaTheme="minorEastAsia"/>
          <w:color w:val="000000" w:themeColor="text1"/>
        </w:rPr>
        <w:t>本技改项目生活用水量为0.</w:t>
      </w:r>
      <w:r>
        <w:rPr>
          <w:rFonts w:hint="eastAsia" w:eastAsiaTheme="minorEastAsia"/>
          <w:color w:val="000000" w:themeColor="text1"/>
        </w:rPr>
        <w:t>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/d，按80%排污系数计算，废水产生量为0.</w:t>
      </w:r>
      <w:r>
        <w:rPr>
          <w:rFonts w:hint="eastAsia" w:eastAsiaTheme="minorEastAsia"/>
          <w:color w:val="000000" w:themeColor="text1"/>
        </w:rPr>
        <w:t>32</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/d，与原有项目生活污水一起经过一体化污水处理设施处理后回用于厂区绿化。</w:t>
      </w:r>
    </w:p>
    <w:p>
      <w:pPr>
        <w:pStyle w:val="51"/>
        <w:ind w:left="0" w:firstLine="482"/>
        <w:rPr>
          <w:b/>
          <w:bCs/>
          <w:color w:val="000000" w:themeColor="text1"/>
          <w:sz w:val="24"/>
          <w:szCs w:val="24"/>
          <w:lang w:eastAsia="zh-CN"/>
        </w:rPr>
      </w:pPr>
      <w:r>
        <w:rPr>
          <w:rFonts w:hint="eastAsia"/>
          <w:b/>
          <w:bCs/>
          <w:color w:val="000000" w:themeColor="text1"/>
          <w:sz w:val="24"/>
          <w:szCs w:val="24"/>
          <w:lang w:eastAsia="zh-CN"/>
        </w:rPr>
        <w:t>4</w:t>
      </w:r>
      <w:r>
        <w:rPr>
          <w:b/>
          <w:bCs/>
          <w:color w:val="000000" w:themeColor="text1"/>
          <w:sz w:val="24"/>
          <w:szCs w:val="24"/>
          <w:lang w:eastAsia="zh-CN"/>
        </w:rPr>
        <w:t>、实验及机修废水</w:t>
      </w:r>
    </w:p>
    <w:p>
      <w:pPr>
        <w:ind w:firstLine="480"/>
        <w:rPr>
          <w:rFonts w:eastAsiaTheme="minorEastAsia"/>
          <w:color w:val="000000" w:themeColor="text1"/>
        </w:rPr>
      </w:pPr>
      <w:r>
        <w:rPr>
          <w:rFonts w:eastAsiaTheme="minorEastAsia"/>
          <w:color w:val="000000" w:themeColor="text1"/>
        </w:rPr>
        <w:t>实验及机修废水量为0.5m</w:t>
      </w:r>
      <w:r>
        <w:rPr>
          <w:rFonts w:eastAsiaTheme="minorEastAsia"/>
          <w:color w:val="000000" w:themeColor="text1"/>
          <w:vertAlign w:val="superscript"/>
        </w:rPr>
        <w:t>3</w:t>
      </w:r>
      <w:r>
        <w:rPr>
          <w:rFonts w:eastAsiaTheme="minorEastAsia"/>
          <w:color w:val="000000" w:themeColor="text1"/>
        </w:rPr>
        <w:t>/d，进入沉淀池沉淀后回用于生产。</w:t>
      </w:r>
    </w:p>
    <w:p>
      <w:pPr>
        <w:ind w:firstLine="480"/>
        <w:rPr>
          <w:rFonts w:eastAsiaTheme="minorEastAsia"/>
          <w:color w:val="000000" w:themeColor="text1"/>
        </w:rPr>
      </w:pPr>
      <w:r>
        <w:rPr>
          <w:rFonts w:eastAsiaTheme="minorEastAsia"/>
          <w:color w:val="000000" w:themeColor="text1"/>
        </w:rPr>
        <w:t>冷却水循环使用</w:t>
      </w:r>
      <w:r>
        <w:rPr>
          <w:rFonts w:hint="eastAsia" w:eastAsiaTheme="minorEastAsia"/>
          <w:color w:val="000000" w:themeColor="text1"/>
        </w:rPr>
        <w:t>，</w:t>
      </w:r>
      <w:r>
        <w:rPr>
          <w:rFonts w:eastAsiaTheme="minorEastAsia"/>
          <w:color w:val="000000" w:themeColor="text1"/>
        </w:rPr>
        <w:t>部分通过自然消耗，不外排。</w:t>
      </w:r>
    </w:p>
    <w:p>
      <w:pPr>
        <w:kinsoku w:val="0"/>
        <w:overflowPunct w:val="0"/>
        <w:autoSpaceDE w:val="0"/>
        <w:adjustRightInd w:val="0"/>
        <w:snapToGrid w:val="0"/>
        <w:ind w:firstLine="482"/>
        <w:rPr>
          <w:b/>
          <w:bCs/>
          <w:color w:val="000000" w:themeColor="text1"/>
        </w:rPr>
      </w:pPr>
      <w:r>
        <w:rPr>
          <w:rFonts w:hint="eastAsia"/>
          <w:b/>
          <w:bCs/>
          <w:color w:val="000000" w:themeColor="text1"/>
        </w:rPr>
        <w:t>5</w:t>
      </w:r>
      <w:r>
        <w:rPr>
          <w:b/>
          <w:bCs/>
          <w:color w:val="000000" w:themeColor="text1"/>
        </w:rPr>
        <w:t>、初期雨水</w:t>
      </w:r>
    </w:p>
    <w:p>
      <w:pPr>
        <w:kinsoku w:val="0"/>
        <w:overflowPunct w:val="0"/>
        <w:autoSpaceDE w:val="0"/>
        <w:adjustRightInd w:val="0"/>
        <w:snapToGrid w:val="0"/>
        <w:ind w:firstLine="480"/>
        <w:rPr>
          <w:color w:val="000000" w:themeColor="text1"/>
        </w:rPr>
      </w:pPr>
      <w:r>
        <w:rPr>
          <w:color w:val="000000" w:themeColor="text1"/>
        </w:rPr>
        <w:t>项目厂区设置雨水沟，初期雨水经收集后进入雨水收集池。初期雨水按降雨重现期10年计算降雨初期前15分钟雨水量作为初期雨水量，根据《给水排水设计手册》，初期雨水径流采用如下公式：</w:t>
      </w:r>
    </w:p>
    <w:p>
      <w:pPr>
        <w:ind w:firstLine="480"/>
        <w:jc w:val="center"/>
        <w:rPr>
          <w:color w:val="000000" w:themeColor="text1"/>
        </w:rPr>
      </w:pPr>
      <w:r>
        <w:rPr>
          <w:color w:val="000000" w:themeColor="text1"/>
        </w:rPr>
        <w:object>
          <v:shape id="_x0000_i1037" o:spt="75" type="#_x0000_t75" style="height:15.75pt;width:61.5pt;" o:ole="t" filled="f" o:preferrelative="t" stroked="f" coordsize="21600,21600">
            <v:path/>
            <v:fill on="f" focussize="0,0"/>
            <v:stroke on="f" joinstyle="miter"/>
            <v:imagedata r:id="rId41" o:title=""/>
            <o:lock v:ext="edit" aspectratio="t"/>
            <w10:wrap type="none"/>
            <w10:anchorlock/>
          </v:shape>
          <o:OLEObject Type="Embed" ProgID="Equation.3" ShapeID="_x0000_i1037" DrawAspect="Content" ObjectID="_1468075736" r:id="rId57">
            <o:LockedField>false</o:LockedField>
          </o:OLEObject>
        </w:object>
      </w:r>
    </w:p>
    <w:p>
      <w:pPr>
        <w:ind w:firstLine="480"/>
        <w:rPr>
          <w:color w:val="000000" w:themeColor="text1"/>
        </w:rPr>
      </w:pPr>
      <w:r>
        <w:rPr>
          <w:color w:val="000000" w:themeColor="text1"/>
        </w:rPr>
        <w:t>式中：Q—雨水流量，L/s；</w:t>
      </w:r>
    </w:p>
    <w:p>
      <w:pPr>
        <w:ind w:firstLine="480"/>
        <w:rPr>
          <w:color w:val="000000" w:themeColor="text1"/>
        </w:rPr>
      </w:pPr>
      <w:r>
        <w:rPr>
          <w:color w:val="000000" w:themeColor="text1"/>
        </w:rPr>
        <w:object>
          <v:shape id="_x0000_i1038" o:spt="75" type="#_x0000_t75" style="height:12.75pt;width:12pt;" o:ole="t" filled="f" o:preferrelative="t" stroked="f" coordsize="21600,21600">
            <v:path/>
            <v:fill on="f" focussize="0,0"/>
            <v:stroke on="f" joinstyle="miter"/>
            <v:imagedata r:id="rId43" o:title=""/>
            <o:lock v:ext="edit" aspectratio="t"/>
            <w10:wrap type="none"/>
            <w10:anchorlock/>
          </v:shape>
          <o:OLEObject Type="Embed" ProgID="Equation.3" ShapeID="_x0000_i1038" DrawAspect="Content" ObjectID="_1468075737" r:id="rId58">
            <o:LockedField>false</o:LockedField>
          </o:OLEObject>
        </w:object>
      </w:r>
      <w:r>
        <w:rPr>
          <w:color w:val="000000" w:themeColor="text1"/>
        </w:rPr>
        <w:t>—径流系数，场地硬化后经验数值取0.9；</w:t>
      </w:r>
    </w:p>
    <w:p>
      <w:pPr>
        <w:ind w:firstLine="480"/>
        <w:rPr>
          <w:color w:val="000000" w:themeColor="text1"/>
        </w:rPr>
      </w:pPr>
      <w:r>
        <w:rPr>
          <w:color w:val="000000" w:themeColor="text1"/>
        </w:rPr>
        <w:t>q—设计暴雨强度，L/s·hm</w:t>
      </w:r>
      <w:r>
        <w:rPr>
          <w:color w:val="000000" w:themeColor="text1"/>
          <w:vertAlign w:val="superscript"/>
        </w:rPr>
        <w:t>2</w:t>
      </w:r>
      <w:r>
        <w:rPr>
          <w:color w:val="000000" w:themeColor="text1"/>
        </w:rPr>
        <w:t>；</w:t>
      </w:r>
    </w:p>
    <w:p>
      <w:pPr>
        <w:ind w:firstLine="480"/>
        <w:rPr>
          <w:color w:val="000000" w:themeColor="text1"/>
        </w:rPr>
      </w:pPr>
      <w:r>
        <w:rPr>
          <w:color w:val="000000" w:themeColor="text1"/>
        </w:rPr>
        <w:t>F—汇水面积，m</w:t>
      </w:r>
      <w:r>
        <w:rPr>
          <w:color w:val="000000" w:themeColor="text1"/>
          <w:vertAlign w:val="superscript"/>
        </w:rPr>
        <w:t>2</w:t>
      </w:r>
      <w:r>
        <w:rPr>
          <w:color w:val="000000" w:themeColor="text1"/>
        </w:rPr>
        <w:t>，本项目初期雨水收集面积共</w:t>
      </w:r>
      <w:r>
        <w:rPr>
          <w:rFonts w:hint="eastAsia"/>
          <w:color w:val="000000" w:themeColor="text1"/>
        </w:rPr>
        <w:t>68</w:t>
      </w:r>
      <w:r>
        <w:rPr>
          <w:color w:val="000000" w:themeColor="text1"/>
        </w:rPr>
        <w:t>00m</w:t>
      </w:r>
      <w:r>
        <w:rPr>
          <w:color w:val="000000" w:themeColor="text1"/>
          <w:vertAlign w:val="superscript"/>
        </w:rPr>
        <w:t>2</w:t>
      </w:r>
      <w:r>
        <w:rPr>
          <w:color w:val="000000" w:themeColor="text1"/>
        </w:rPr>
        <w:t>。</w:t>
      </w:r>
    </w:p>
    <w:p>
      <w:pPr>
        <w:ind w:firstLine="480"/>
        <w:rPr>
          <w:color w:val="000000" w:themeColor="text1"/>
        </w:rPr>
      </w:pPr>
      <w:r>
        <w:rPr>
          <w:color w:val="000000" w:themeColor="text1"/>
        </w:rPr>
        <w:t>降雨强度按照玉溪市暴雨强度公式（修订）计算：</w:t>
      </w:r>
    </w:p>
    <w:p>
      <w:pPr>
        <w:ind w:firstLine="480"/>
        <w:rPr>
          <w:color w:val="000000" w:themeColor="text1"/>
        </w:rPr>
      </w:pPr>
      <w:r>
        <w:rPr>
          <w:color w:val="000000" w:themeColor="text1"/>
        </w:rPr>
        <w:t>q=2870.528（1+0.633lgP）/（t+14.742）</w:t>
      </w:r>
      <w:r>
        <w:rPr>
          <w:color w:val="000000" w:themeColor="text1"/>
          <w:vertAlign w:val="superscript"/>
        </w:rPr>
        <w:t>0.818</w:t>
      </w:r>
    </w:p>
    <w:p>
      <w:pPr>
        <w:ind w:firstLine="480"/>
        <w:rPr>
          <w:color w:val="000000" w:themeColor="text1"/>
        </w:rPr>
      </w:pPr>
      <w:r>
        <w:rPr>
          <w:color w:val="000000" w:themeColor="text1"/>
        </w:rPr>
        <w:t>式中：P—设计降雨重现期10a，</w:t>
      </w:r>
    </w:p>
    <w:p>
      <w:pPr>
        <w:ind w:firstLine="600" w:firstLineChars="250"/>
        <w:rPr>
          <w:color w:val="000000" w:themeColor="text1"/>
        </w:rPr>
      </w:pPr>
      <w:r>
        <w:rPr>
          <w:color w:val="000000" w:themeColor="text1"/>
        </w:rPr>
        <w:t>t—降雨历时，min（取15min）。</w:t>
      </w:r>
    </w:p>
    <w:p>
      <w:pPr>
        <w:kinsoku w:val="0"/>
        <w:overflowPunct w:val="0"/>
        <w:autoSpaceDE w:val="0"/>
        <w:ind w:firstLine="480"/>
        <w:rPr>
          <w:rFonts w:eastAsiaTheme="minorEastAsia"/>
          <w:color w:val="000000" w:themeColor="text1"/>
          <w:sz w:val="28"/>
          <w:szCs w:val="28"/>
        </w:rPr>
      </w:pPr>
      <w:r>
        <w:rPr>
          <w:color w:val="000000" w:themeColor="text1"/>
        </w:rPr>
        <w:t>根据计算，q值为292.24L/s·hm</w:t>
      </w:r>
      <w:r>
        <w:rPr>
          <w:color w:val="000000" w:themeColor="text1"/>
          <w:vertAlign w:val="superscript"/>
        </w:rPr>
        <w:t>2</w:t>
      </w:r>
      <w:r>
        <w:rPr>
          <w:color w:val="000000" w:themeColor="text1"/>
        </w:rPr>
        <w:t>，收集雨水主要针对原料加工处理站</w:t>
      </w:r>
      <w:r>
        <w:rPr>
          <w:rFonts w:hint="eastAsia"/>
          <w:color w:val="000000" w:themeColor="text1"/>
        </w:rPr>
        <w:t>的砂石料堆场、低品位矿堆场及其</w:t>
      </w:r>
      <w:r>
        <w:rPr>
          <w:rFonts w:hint="eastAsia"/>
          <w:color w:val="000000" w:themeColor="text1"/>
          <w:szCs w:val="24"/>
        </w:rPr>
        <w:t>附近</w:t>
      </w:r>
      <w:r>
        <w:rPr>
          <w:rStyle w:val="73"/>
          <w:rFonts w:hint="eastAsia"/>
          <w:color w:val="000000" w:themeColor="text1"/>
          <w:kern w:val="0"/>
          <w:sz w:val="24"/>
          <w:szCs w:val="24"/>
        </w:rPr>
        <w:t>区域</w:t>
      </w:r>
      <w:r>
        <w:rPr>
          <w:rFonts w:hint="eastAsia"/>
          <w:color w:val="000000" w:themeColor="text1"/>
          <w:szCs w:val="24"/>
        </w:rPr>
        <w:t>进</w:t>
      </w:r>
      <w:r>
        <w:rPr>
          <w:rFonts w:hint="eastAsia"/>
          <w:color w:val="000000" w:themeColor="text1"/>
        </w:rPr>
        <w:t>行收集</w:t>
      </w:r>
      <w:r>
        <w:rPr>
          <w:color w:val="000000" w:themeColor="text1"/>
        </w:rPr>
        <w:t>，汇水面积约</w:t>
      </w:r>
      <w:r>
        <w:rPr>
          <w:rFonts w:hint="eastAsia"/>
          <w:color w:val="000000" w:themeColor="text1"/>
        </w:rPr>
        <w:t>6800</w:t>
      </w:r>
      <w:r>
        <w:rPr>
          <w:color w:val="000000" w:themeColor="text1"/>
        </w:rPr>
        <w:t>m</w:t>
      </w:r>
      <w:r>
        <w:rPr>
          <w:color w:val="000000" w:themeColor="text1"/>
          <w:vertAlign w:val="superscript"/>
        </w:rPr>
        <w:t>2</w:t>
      </w:r>
      <w:r>
        <w:rPr>
          <w:color w:val="000000" w:themeColor="text1"/>
        </w:rPr>
        <w:t>，Q为</w:t>
      </w:r>
      <w:r>
        <w:rPr>
          <w:rFonts w:hint="eastAsia"/>
          <w:color w:val="000000" w:themeColor="text1"/>
        </w:rPr>
        <w:t>198.72</w:t>
      </w:r>
      <w:r>
        <w:rPr>
          <w:color w:val="000000" w:themeColor="text1"/>
        </w:rPr>
        <w:t>L/s，计算前15分钟的初期雨水量为</w:t>
      </w:r>
      <w:r>
        <w:rPr>
          <w:rFonts w:hint="eastAsia"/>
          <w:color w:val="000000" w:themeColor="text1"/>
        </w:rPr>
        <w:t>178.85</w:t>
      </w:r>
      <w:r>
        <w:rPr>
          <w:color w:val="000000" w:themeColor="text1"/>
        </w:rPr>
        <w:t>m</w:t>
      </w:r>
      <w:r>
        <w:rPr>
          <w:color w:val="000000" w:themeColor="text1"/>
          <w:vertAlign w:val="superscript"/>
        </w:rPr>
        <w:t>3</w:t>
      </w:r>
      <w:r>
        <w:rPr>
          <w:color w:val="000000" w:themeColor="text1"/>
        </w:rPr>
        <w:t>/次，初期雨水收集池容积设置为</w:t>
      </w:r>
      <w:r>
        <w:rPr>
          <w:rFonts w:hint="eastAsia"/>
          <w:color w:val="000000" w:themeColor="text1"/>
        </w:rPr>
        <w:t>2</w:t>
      </w:r>
      <w:r>
        <w:rPr>
          <w:color w:val="000000" w:themeColor="text1"/>
        </w:rPr>
        <w:t>00m</w:t>
      </w:r>
      <w:r>
        <w:rPr>
          <w:color w:val="000000" w:themeColor="text1"/>
          <w:vertAlign w:val="superscript"/>
        </w:rPr>
        <w:t>3</w:t>
      </w:r>
      <w:r>
        <w:rPr>
          <w:color w:val="000000" w:themeColor="text1"/>
        </w:rPr>
        <w:t>，初期雨水主要污染物为SS，</w:t>
      </w:r>
      <w:r>
        <w:rPr>
          <w:rFonts w:hint="eastAsia"/>
          <w:color w:val="000000" w:themeColor="text1"/>
        </w:rPr>
        <w:t>在</w:t>
      </w:r>
      <w:r>
        <w:rPr>
          <w:color w:val="000000" w:themeColor="text1"/>
        </w:rPr>
        <w:t>原料加工处理站</w:t>
      </w:r>
      <w:r>
        <w:rPr>
          <w:rFonts w:hint="eastAsia"/>
          <w:color w:val="000000" w:themeColor="text1"/>
        </w:rPr>
        <w:t>的砂石料堆场、低品位矿堆场及其附近区域</w:t>
      </w:r>
      <w:r>
        <w:rPr>
          <w:color w:val="000000" w:themeColor="text1"/>
        </w:rPr>
        <w:t>设置排水沟</w:t>
      </w:r>
      <w:r>
        <w:rPr>
          <w:rFonts w:hint="eastAsia"/>
          <w:color w:val="000000" w:themeColor="text1"/>
        </w:rPr>
        <w:t>约250m</w:t>
      </w:r>
      <w:r>
        <w:rPr>
          <w:color w:val="000000" w:themeColor="text1"/>
        </w:rPr>
        <w:t>，</w:t>
      </w:r>
      <w:r>
        <w:rPr>
          <w:rFonts w:hint="eastAsia"/>
          <w:color w:val="000000" w:themeColor="text1"/>
        </w:rPr>
        <w:t>雨水通过截排水沟从较高处北面汇入较低处南面，进入到初期雨水池，</w:t>
      </w:r>
      <w:r>
        <w:rPr>
          <w:color w:val="000000" w:themeColor="text1"/>
        </w:rPr>
        <w:t>初期雨水收集进入雨水池沉淀后，上清液抽至厂区内的高位水池，用于选矿。</w:t>
      </w:r>
    </w:p>
    <w:p>
      <w:pPr>
        <w:pStyle w:val="6"/>
        <w:spacing w:beforeLines="0" w:afterLines="0"/>
        <w:rPr>
          <w:rFonts w:eastAsiaTheme="minorEastAsia"/>
          <w:color w:val="000000" w:themeColor="text1"/>
          <w:sz w:val="28"/>
          <w:szCs w:val="28"/>
        </w:rPr>
      </w:pPr>
      <w:bookmarkStart w:id="508" w:name="_Toc16466"/>
      <w:r>
        <w:rPr>
          <w:rFonts w:eastAsiaTheme="minorEastAsia"/>
          <w:color w:val="000000" w:themeColor="text1"/>
          <w:sz w:val="28"/>
          <w:szCs w:val="28"/>
        </w:rPr>
        <w:t>4.2.</w:t>
      </w:r>
      <w:r>
        <w:rPr>
          <w:rFonts w:hint="eastAsia" w:eastAsiaTheme="minorEastAsia"/>
          <w:color w:val="000000" w:themeColor="text1"/>
          <w:sz w:val="28"/>
          <w:szCs w:val="28"/>
        </w:rPr>
        <w:t>5</w:t>
      </w:r>
      <w:r>
        <w:rPr>
          <w:rFonts w:eastAsiaTheme="minorEastAsia"/>
          <w:color w:val="000000" w:themeColor="text1"/>
          <w:sz w:val="28"/>
          <w:szCs w:val="28"/>
        </w:rPr>
        <w:t>技改后原项目排水情况</w:t>
      </w:r>
      <w:bookmarkEnd w:id="508"/>
    </w:p>
    <w:p>
      <w:pPr>
        <w:pStyle w:val="127"/>
        <w:ind w:firstLine="482"/>
        <w:rPr>
          <w:rFonts w:eastAsiaTheme="minorEastAsia"/>
          <w:b/>
          <w:bCs/>
          <w:color w:val="000000" w:themeColor="text1"/>
        </w:rPr>
      </w:pPr>
      <w:r>
        <w:rPr>
          <w:rFonts w:eastAsiaTheme="minorEastAsia"/>
          <w:b/>
          <w:bCs/>
          <w:color w:val="000000" w:themeColor="text1"/>
        </w:rPr>
        <w:t>1、选矿废水</w:t>
      </w:r>
    </w:p>
    <w:p>
      <w:pPr>
        <w:pStyle w:val="127"/>
        <w:jc w:val="both"/>
        <w:rPr>
          <w:rFonts w:eastAsiaTheme="minorEastAsia"/>
          <w:color w:val="000000" w:themeColor="text1"/>
        </w:rPr>
      </w:pPr>
      <w:r>
        <w:rPr>
          <w:rFonts w:eastAsiaTheme="minorEastAsia"/>
          <w:color w:val="000000" w:themeColor="text1"/>
        </w:rPr>
        <w:t>选矿</w:t>
      </w:r>
      <w:r>
        <w:rPr>
          <w:rFonts w:hint="eastAsia" w:eastAsiaTheme="minorEastAsia"/>
          <w:color w:val="000000" w:themeColor="text1"/>
        </w:rPr>
        <w:t>用水</w:t>
      </w:r>
      <w:r>
        <w:rPr>
          <w:rFonts w:eastAsiaTheme="minorEastAsia"/>
          <w:color w:val="000000" w:themeColor="text1"/>
        </w:rPr>
        <w:t>量为</w:t>
      </w:r>
      <w:r>
        <w:rPr>
          <w:rFonts w:hint="eastAsia" w:eastAsiaTheme="minorEastAsia"/>
          <w:bCs/>
          <w:color w:val="000000" w:themeColor="text1"/>
        </w:rPr>
        <w:t>656.545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选矿生产线自然消耗量为5m</w:t>
      </w:r>
      <w:r>
        <w:rPr>
          <w:rFonts w:hint="eastAsia" w:eastAsiaTheme="minorEastAsia"/>
          <w:color w:val="000000" w:themeColor="text1"/>
          <w:vertAlign w:val="superscript"/>
        </w:rPr>
        <w:t>3</w:t>
      </w:r>
      <w:r>
        <w:rPr>
          <w:rFonts w:hint="eastAsia" w:eastAsiaTheme="minorEastAsia"/>
          <w:color w:val="000000" w:themeColor="text1"/>
        </w:rPr>
        <w:t>/d，</w:t>
      </w:r>
      <w:r>
        <w:rPr>
          <w:rFonts w:eastAsiaTheme="minorEastAsia"/>
          <w:color w:val="000000" w:themeColor="text1"/>
        </w:rPr>
        <w:t>尾矿浆沉淀池蒸发消耗量为</w:t>
      </w:r>
      <w:r>
        <w:rPr>
          <w:rFonts w:hint="eastAsia" w:eastAsiaTheme="minorEastAsia"/>
          <w:color w:val="000000" w:themeColor="text1"/>
        </w:rPr>
        <w:t>3.3</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/d，尾矿库余留及蒸发</w:t>
      </w:r>
      <w:r>
        <w:rPr>
          <w:rFonts w:hint="eastAsia" w:eastAsiaTheme="minorEastAsia"/>
          <w:color w:val="000000" w:themeColor="text1"/>
        </w:rPr>
        <w:t>33.4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/d，精矿含水及蒸发</w:t>
      </w:r>
      <w:r>
        <w:rPr>
          <w:rFonts w:hint="eastAsia" w:eastAsiaTheme="minorEastAsia"/>
          <w:color w:val="000000" w:themeColor="text1"/>
        </w:rPr>
        <w:t>40</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/d，尾矿库回水及沉淀池上清液水量共为</w:t>
      </w:r>
      <w:r>
        <w:rPr>
          <w:rFonts w:hint="eastAsia" w:eastAsiaTheme="minorEastAsia"/>
          <w:color w:val="000000" w:themeColor="text1"/>
        </w:rPr>
        <w:t>598.085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/d，全部回用于选矿生产。</w:t>
      </w:r>
    </w:p>
    <w:p>
      <w:pPr>
        <w:pStyle w:val="127"/>
        <w:ind w:firstLine="482"/>
        <w:rPr>
          <w:rFonts w:eastAsiaTheme="minorEastAsia"/>
          <w:b/>
          <w:bCs/>
          <w:color w:val="000000" w:themeColor="text1"/>
        </w:rPr>
      </w:pPr>
      <w:r>
        <w:rPr>
          <w:rFonts w:eastAsiaTheme="minorEastAsia"/>
          <w:b/>
          <w:bCs/>
          <w:color w:val="000000" w:themeColor="text1"/>
        </w:rPr>
        <w:t>2、生活污水</w:t>
      </w:r>
    </w:p>
    <w:p>
      <w:pPr>
        <w:pStyle w:val="127"/>
        <w:rPr>
          <w:rFonts w:eastAsiaTheme="minorEastAsia"/>
          <w:color w:val="000000" w:themeColor="text1"/>
        </w:rPr>
      </w:pPr>
      <w:r>
        <w:rPr>
          <w:rFonts w:eastAsiaTheme="minorEastAsia"/>
          <w:color w:val="000000" w:themeColor="text1"/>
        </w:rPr>
        <w:t>生活区生活用水量为</w:t>
      </w:r>
      <w:r>
        <w:rPr>
          <w:rFonts w:hint="eastAsia" w:eastAsiaTheme="minorEastAsia"/>
          <w:color w:val="000000" w:themeColor="text1"/>
        </w:rPr>
        <w:t>6.8</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/d，生活污水主要排放系数按0.8计算，则生活污水排放量为</w:t>
      </w:r>
      <w:r>
        <w:rPr>
          <w:rFonts w:hint="eastAsia" w:eastAsiaTheme="minorEastAsia"/>
          <w:color w:val="000000" w:themeColor="text1"/>
        </w:rPr>
        <w:t>5.44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/d，生活污水经化粪池处理后晴天回用于厂区绿化，不外排。</w:t>
      </w:r>
    </w:p>
    <w:p>
      <w:pPr>
        <w:pStyle w:val="127"/>
        <w:ind w:firstLine="482"/>
        <w:rPr>
          <w:rFonts w:eastAsiaTheme="minorEastAsia"/>
          <w:b/>
          <w:bCs/>
          <w:color w:val="000000" w:themeColor="text1"/>
        </w:rPr>
      </w:pPr>
      <w:r>
        <w:rPr>
          <w:rFonts w:eastAsiaTheme="minorEastAsia"/>
          <w:b/>
          <w:bCs/>
          <w:color w:val="000000" w:themeColor="text1"/>
        </w:rPr>
        <w:t>3、实验室废水</w:t>
      </w:r>
    </w:p>
    <w:p>
      <w:pPr>
        <w:pStyle w:val="127"/>
        <w:rPr>
          <w:rFonts w:eastAsiaTheme="minorEastAsia"/>
          <w:color w:val="000000" w:themeColor="text1"/>
          <w:sz w:val="28"/>
          <w:szCs w:val="28"/>
        </w:rPr>
      </w:pPr>
      <w:r>
        <w:rPr>
          <w:rFonts w:eastAsiaTheme="minorEastAsia"/>
          <w:color w:val="000000" w:themeColor="text1"/>
        </w:rPr>
        <w:t>实验室废水产量0.5m</w:t>
      </w:r>
      <w:r>
        <w:rPr>
          <w:rFonts w:eastAsiaTheme="minorEastAsia"/>
          <w:color w:val="000000" w:themeColor="text1"/>
          <w:vertAlign w:val="superscript"/>
        </w:rPr>
        <w:t>3</w:t>
      </w:r>
      <w:r>
        <w:rPr>
          <w:rFonts w:eastAsiaTheme="minorEastAsia"/>
          <w:color w:val="000000" w:themeColor="text1"/>
        </w:rPr>
        <w:t>/d，该部分废水水量较少，收集后排入沉淀池，与选矿废水一起沉淀处理后全部回用于选矿生产。</w:t>
      </w:r>
    </w:p>
    <w:p>
      <w:pPr>
        <w:pStyle w:val="6"/>
        <w:spacing w:beforeLines="0" w:afterLines="0"/>
        <w:rPr>
          <w:rFonts w:eastAsiaTheme="minorEastAsia"/>
          <w:color w:val="000000" w:themeColor="text1"/>
          <w:sz w:val="28"/>
          <w:szCs w:val="28"/>
        </w:rPr>
      </w:pPr>
      <w:bookmarkStart w:id="509" w:name="_Toc9893"/>
      <w:r>
        <w:rPr>
          <w:rFonts w:eastAsiaTheme="minorEastAsia"/>
          <w:color w:val="000000" w:themeColor="text1"/>
          <w:sz w:val="28"/>
          <w:szCs w:val="28"/>
        </w:rPr>
        <w:t>4.2.</w:t>
      </w:r>
      <w:r>
        <w:rPr>
          <w:rFonts w:hint="eastAsia" w:eastAsiaTheme="minorEastAsia"/>
          <w:color w:val="000000" w:themeColor="text1"/>
          <w:sz w:val="28"/>
          <w:szCs w:val="28"/>
        </w:rPr>
        <w:t>6技改后</w:t>
      </w:r>
      <w:r>
        <w:rPr>
          <w:rFonts w:eastAsiaTheme="minorEastAsia"/>
          <w:color w:val="000000" w:themeColor="text1"/>
          <w:sz w:val="28"/>
          <w:szCs w:val="28"/>
        </w:rPr>
        <w:t>全厂项目排水情况</w:t>
      </w:r>
      <w:bookmarkEnd w:id="509"/>
    </w:p>
    <w:p>
      <w:pPr>
        <w:ind w:firstLine="482"/>
        <w:rPr>
          <w:rFonts w:eastAsiaTheme="minorEastAsia"/>
          <w:b/>
          <w:color w:val="000000" w:themeColor="text1"/>
        </w:rPr>
      </w:pPr>
      <w:r>
        <w:rPr>
          <w:rFonts w:eastAsiaTheme="minorEastAsia"/>
          <w:b/>
          <w:color w:val="000000" w:themeColor="text1"/>
        </w:rPr>
        <w:t>1、生产废水</w:t>
      </w:r>
    </w:p>
    <w:p>
      <w:pPr>
        <w:ind w:firstLine="480"/>
        <w:rPr>
          <w:rFonts w:eastAsiaTheme="minorEastAsia"/>
          <w:color w:val="000000" w:themeColor="text1"/>
        </w:rPr>
      </w:pPr>
      <w:r>
        <w:rPr>
          <w:color w:val="000000" w:themeColor="text1"/>
        </w:rPr>
        <w:t>①</w:t>
      </w:r>
      <w:r>
        <w:rPr>
          <w:rFonts w:eastAsiaTheme="minorEastAsia"/>
          <w:color w:val="000000" w:themeColor="text1"/>
        </w:rPr>
        <w:t>选矿废水</w:t>
      </w:r>
    </w:p>
    <w:p>
      <w:pPr>
        <w:ind w:firstLine="480"/>
        <w:jc w:val="both"/>
        <w:rPr>
          <w:rFonts w:eastAsiaTheme="minorEastAsia"/>
          <w:color w:val="000000" w:themeColor="text1"/>
          <w:szCs w:val="24"/>
        </w:rPr>
      </w:pPr>
      <w:r>
        <w:rPr>
          <w:rFonts w:eastAsiaTheme="minorEastAsia"/>
          <w:color w:val="000000" w:themeColor="text1"/>
        </w:rPr>
        <w:t>本项目生产废水主要为尾矿废水、陶瓷过滤机脱水废水、尾矿库废水。</w:t>
      </w:r>
      <w:r>
        <w:rPr>
          <w:rFonts w:hint="eastAsia" w:eastAsiaTheme="minorEastAsia"/>
          <w:color w:val="000000" w:themeColor="text1"/>
        </w:rPr>
        <w:t>技改项目陶瓷过滤机压滤水进入原有项目尾矿沉淀池内，尾矿沉淀池</w:t>
      </w:r>
      <w:r>
        <w:rPr>
          <w:rFonts w:eastAsiaTheme="minorEastAsia"/>
          <w:color w:val="000000" w:themeColor="text1"/>
        </w:rPr>
        <w:t>回用量为</w:t>
      </w:r>
      <w:r>
        <w:rPr>
          <w:rFonts w:hint="eastAsia" w:eastAsiaTheme="minorEastAsia"/>
          <w:color w:val="000000" w:themeColor="text1"/>
        </w:rPr>
        <w:t>848.365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原有选矿生产线</w:t>
      </w:r>
      <w:r>
        <w:rPr>
          <w:rFonts w:eastAsiaTheme="minorEastAsia"/>
          <w:color w:val="000000" w:themeColor="text1"/>
          <w:szCs w:val="24"/>
        </w:rPr>
        <w:t>尾矿进入尾矿库带走水量为</w:t>
      </w:r>
      <w:r>
        <w:rPr>
          <w:rFonts w:hint="eastAsia" w:eastAsiaTheme="minorEastAsia"/>
          <w:color w:val="000000" w:themeColor="text1"/>
          <w:szCs w:val="24"/>
        </w:rPr>
        <w:t>89.5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eastAsiaTheme="minorEastAsia"/>
          <w:color w:val="000000" w:themeColor="text1"/>
          <w:szCs w:val="24"/>
        </w:rPr>
        <w:t>，经尾矿库澄清后，上清液通过库内回水系统扬送至高位水池，</w:t>
      </w:r>
      <w:r>
        <w:rPr>
          <w:rFonts w:hint="eastAsia" w:eastAsiaTheme="minorEastAsia"/>
          <w:color w:val="000000" w:themeColor="text1"/>
          <w:szCs w:val="24"/>
        </w:rPr>
        <w:t>尾矿库</w:t>
      </w:r>
      <w:r>
        <w:rPr>
          <w:rFonts w:eastAsiaTheme="minorEastAsia"/>
          <w:color w:val="000000" w:themeColor="text1"/>
          <w:szCs w:val="24"/>
        </w:rPr>
        <w:t>回水量为</w:t>
      </w:r>
      <w:r>
        <w:rPr>
          <w:rFonts w:hint="eastAsia" w:eastAsiaTheme="minorEastAsia"/>
          <w:color w:val="000000" w:themeColor="text1"/>
          <w:szCs w:val="24"/>
        </w:rPr>
        <w:t>56.1</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eastAsiaTheme="minorEastAsia"/>
          <w:color w:val="000000" w:themeColor="text1"/>
          <w:szCs w:val="24"/>
        </w:rPr>
        <w:t>。</w:t>
      </w:r>
    </w:p>
    <w:p>
      <w:pPr>
        <w:pStyle w:val="78"/>
        <w:ind w:firstLine="480"/>
        <w:jc w:val="both"/>
        <w:rPr>
          <w:rFonts w:eastAsiaTheme="minorEastAsia"/>
          <w:color w:val="000000" w:themeColor="text1"/>
        </w:rPr>
      </w:pPr>
      <w:r>
        <w:rPr>
          <w:rFonts w:eastAsiaTheme="minorEastAsia"/>
          <w:color w:val="000000" w:themeColor="text1"/>
          <w:szCs w:val="24"/>
        </w:rPr>
        <w:t>技改选矿工艺中选矿废水回用水量为</w:t>
      </w:r>
      <w:r>
        <w:rPr>
          <w:rFonts w:hint="eastAsia" w:eastAsiaTheme="minorEastAsia"/>
          <w:color w:val="000000" w:themeColor="text1"/>
          <w:szCs w:val="24"/>
          <w:lang w:val="en-US" w:eastAsia="zh-CN"/>
        </w:rPr>
        <w:t>306.38</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/d，尾矿携带水</w:t>
      </w:r>
      <w:r>
        <w:rPr>
          <w:rFonts w:hint="eastAsia" w:eastAsiaTheme="minorEastAsia"/>
          <w:color w:val="000000" w:themeColor="text1"/>
        </w:rPr>
        <w:t>53.125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/d进入依托的浓密池内。选矿后随精矿进入陶瓷压滤机的水量为</w:t>
      </w:r>
      <w:r>
        <w:rPr>
          <w:rFonts w:hint="eastAsia" w:eastAsiaTheme="minorEastAsia"/>
          <w:color w:val="000000" w:themeColor="text1"/>
        </w:rPr>
        <w:t>333.3</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/d，陶瓷压滤机出水量为</w:t>
      </w:r>
      <w:r>
        <w:rPr>
          <w:rFonts w:hint="eastAsia" w:eastAsiaTheme="minorEastAsia"/>
          <w:color w:val="000000" w:themeColor="text1"/>
        </w:rPr>
        <w:t>305.8</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/d，有</w:t>
      </w:r>
      <w:r>
        <w:rPr>
          <w:rFonts w:hint="eastAsia" w:eastAsiaTheme="minorEastAsia"/>
          <w:color w:val="000000" w:themeColor="text1"/>
        </w:rPr>
        <w:t>33.3</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/d的水量随精矿携带走。</w:t>
      </w:r>
    </w:p>
    <w:p>
      <w:pPr>
        <w:pStyle w:val="78"/>
        <w:ind w:left="480" w:leftChars="200" w:firstLine="0" w:firstLineChars="0"/>
        <w:rPr>
          <w:rFonts w:eastAsiaTheme="minorEastAsia"/>
          <w:color w:val="000000" w:themeColor="text1"/>
        </w:rPr>
      </w:pPr>
      <w:r>
        <w:rPr>
          <w:color w:val="000000" w:themeColor="text1"/>
        </w:rPr>
        <w:t>②</w:t>
      </w:r>
      <w:r>
        <w:rPr>
          <w:rFonts w:eastAsiaTheme="minorEastAsia"/>
          <w:color w:val="000000" w:themeColor="text1"/>
        </w:rPr>
        <w:t>洗砂废水</w:t>
      </w:r>
    </w:p>
    <w:p>
      <w:pPr>
        <w:pStyle w:val="78"/>
        <w:ind w:firstLine="480"/>
        <w:rPr>
          <w:rFonts w:eastAsiaTheme="minorEastAsia"/>
          <w:color w:val="000000" w:themeColor="text1"/>
        </w:rPr>
      </w:pPr>
      <w:r>
        <w:rPr>
          <w:rFonts w:hint="eastAsia" w:eastAsiaTheme="minorEastAsia"/>
          <w:color w:val="000000" w:themeColor="text1"/>
        </w:rPr>
        <w:t>洗砂后</w:t>
      </w:r>
      <w:r>
        <w:rPr>
          <w:rFonts w:eastAsiaTheme="minorEastAsia"/>
          <w:color w:val="000000" w:themeColor="text1"/>
        </w:rPr>
        <w:t>随砂子带走量为</w:t>
      </w:r>
      <w:r>
        <w:rPr>
          <w:rFonts w:hint="eastAsia" w:eastAsiaTheme="minorEastAsia"/>
          <w:color w:val="000000" w:themeColor="text1"/>
        </w:rPr>
        <w:t>3.96</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/d，剩余</w:t>
      </w:r>
      <w:r>
        <w:rPr>
          <w:rFonts w:hint="eastAsia" w:eastAsiaTheme="minorEastAsia"/>
          <w:color w:val="000000" w:themeColor="text1"/>
        </w:rPr>
        <w:t>9.24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/d的废水随泥浆进入原有选矿工艺。</w:t>
      </w:r>
    </w:p>
    <w:p>
      <w:pPr>
        <w:pStyle w:val="78"/>
        <w:ind w:firstLine="480"/>
        <w:rPr>
          <w:rFonts w:eastAsiaTheme="minorEastAsia"/>
          <w:color w:val="000000" w:themeColor="text1"/>
        </w:rPr>
      </w:pPr>
      <w:r>
        <w:rPr>
          <w:rFonts w:hint="eastAsia" w:eastAsiaTheme="minorEastAsia"/>
          <w:color w:val="000000" w:themeColor="text1"/>
        </w:rPr>
        <w:t>其次，</w:t>
      </w:r>
      <w:r>
        <w:rPr>
          <w:rFonts w:eastAsiaTheme="minorEastAsia"/>
          <w:bCs/>
          <w:color w:val="000000" w:themeColor="text1"/>
          <w:szCs w:val="24"/>
        </w:rPr>
        <w:t>降尘用水</w:t>
      </w:r>
      <w:r>
        <w:rPr>
          <w:color w:val="000000" w:themeColor="text1"/>
        </w:rPr>
        <w:t>通过蒸发或存在物料中，不外排。</w:t>
      </w:r>
      <w:r>
        <w:rPr>
          <w:rFonts w:eastAsiaTheme="minorEastAsia"/>
          <w:color w:val="000000" w:themeColor="text1"/>
        </w:rPr>
        <w:t>冷却水循环使用</w:t>
      </w:r>
      <w:r>
        <w:rPr>
          <w:rFonts w:hint="eastAsia" w:eastAsiaTheme="minorEastAsia"/>
          <w:color w:val="000000" w:themeColor="text1"/>
        </w:rPr>
        <w:t>，</w:t>
      </w:r>
      <w:r>
        <w:rPr>
          <w:rFonts w:eastAsiaTheme="minorEastAsia"/>
          <w:color w:val="000000" w:themeColor="text1"/>
        </w:rPr>
        <w:t>部分通过自然消耗，不外排。</w:t>
      </w:r>
    </w:p>
    <w:p>
      <w:pPr>
        <w:pStyle w:val="51"/>
        <w:ind w:left="0" w:firstLine="482"/>
        <w:rPr>
          <w:b/>
          <w:bCs/>
          <w:color w:val="000000" w:themeColor="text1"/>
          <w:sz w:val="24"/>
          <w:szCs w:val="24"/>
          <w:lang w:eastAsia="zh-CN"/>
        </w:rPr>
      </w:pPr>
      <w:r>
        <w:rPr>
          <w:b/>
          <w:bCs/>
          <w:color w:val="000000" w:themeColor="text1"/>
          <w:sz w:val="24"/>
          <w:szCs w:val="24"/>
          <w:lang w:eastAsia="zh-CN"/>
        </w:rPr>
        <w:t>2、实验及机修废水</w:t>
      </w:r>
    </w:p>
    <w:p>
      <w:pPr>
        <w:ind w:firstLine="480"/>
        <w:rPr>
          <w:rFonts w:eastAsiaTheme="minorEastAsia"/>
          <w:color w:val="000000" w:themeColor="text1"/>
          <w:szCs w:val="24"/>
        </w:rPr>
      </w:pPr>
      <w:r>
        <w:rPr>
          <w:rFonts w:eastAsiaTheme="minorEastAsia"/>
          <w:color w:val="000000" w:themeColor="text1"/>
          <w:szCs w:val="24"/>
        </w:rPr>
        <w:t>实验及机修废水量为1m</w:t>
      </w:r>
      <w:r>
        <w:rPr>
          <w:rFonts w:eastAsiaTheme="minorEastAsia"/>
          <w:color w:val="000000" w:themeColor="text1"/>
          <w:szCs w:val="24"/>
          <w:vertAlign w:val="superscript"/>
        </w:rPr>
        <w:t>3</w:t>
      </w:r>
      <w:r>
        <w:rPr>
          <w:rFonts w:eastAsiaTheme="minorEastAsia"/>
          <w:color w:val="000000" w:themeColor="text1"/>
          <w:szCs w:val="24"/>
        </w:rPr>
        <w:t>/d，进入沉淀池沉淀后回用于生产。</w:t>
      </w:r>
    </w:p>
    <w:p>
      <w:pPr>
        <w:ind w:firstLine="482"/>
        <w:rPr>
          <w:rFonts w:eastAsiaTheme="minorEastAsia"/>
          <w:b/>
          <w:color w:val="000000" w:themeColor="text1"/>
        </w:rPr>
      </w:pPr>
      <w:r>
        <w:rPr>
          <w:rFonts w:eastAsiaTheme="minorEastAsia"/>
          <w:b/>
          <w:color w:val="000000" w:themeColor="text1"/>
        </w:rPr>
        <w:t>3、生活用水</w:t>
      </w:r>
    </w:p>
    <w:p>
      <w:pPr>
        <w:ind w:firstLine="480"/>
        <w:rPr>
          <w:rFonts w:eastAsiaTheme="minorEastAsia"/>
          <w:color w:val="000000" w:themeColor="text1"/>
        </w:rPr>
      </w:pPr>
      <w:r>
        <w:rPr>
          <w:rFonts w:eastAsiaTheme="minorEastAsia"/>
          <w:color w:val="000000" w:themeColor="text1"/>
        </w:rPr>
        <w:t>项目建成以后，全厂劳动定员90人，轮夜班时在厂区</w:t>
      </w:r>
      <w:r>
        <w:rPr>
          <w:rFonts w:hint="eastAsia" w:eastAsiaTheme="minorEastAsia"/>
          <w:color w:val="000000" w:themeColor="text1"/>
        </w:rPr>
        <w:t>住</w:t>
      </w:r>
      <w:r>
        <w:rPr>
          <w:rFonts w:eastAsiaTheme="minorEastAsia"/>
          <w:color w:val="000000" w:themeColor="text1"/>
        </w:rPr>
        <w:t>宿，</w:t>
      </w:r>
      <w:r>
        <w:rPr>
          <w:rFonts w:hint="eastAsia" w:eastAsiaTheme="minorEastAsia"/>
          <w:color w:val="000000" w:themeColor="text1"/>
        </w:rPr>
        <w:t>不在厂区内餐饮，</w:t>
      </w:r>
      <w:r>
        <w:rPr>
          <w:rFonts w:eastAsiaTheme="minorEastAsia"/>
          <w:color w:val="000000" w:themeColor="text1"/>
        </w:rPr>
        <w:t>根据《云南省地方标准用水定额》（DB53/T168-2019）标准进行办公生活用水量核算，以</w:t>
      </w:r>
      <w:r>
        <w:rPr>
          <w:rFonts w:hint="eastAsia" w:eastAsiaTheme="minorEastAsia"/>
          <w:color w:val="000000" w:themeColor="text1"/>
        </w:rPr>
        <w:t>8</w:t>
      </w:r>
      <w:r>
        <w:rPr>
          <w:rFonts w:eastAsiaTheme="minorEastAsia"/>
          <w:color w:val="000000" w:themeColor="text1"/>
        </w:rPr>
        <w:t>0L/人·d计算，所以全厂生活用水量为</w:t>
      </w:r>
      <w:r>
        <w:rPr>
          <w:rFonts w:hint="eastAsia" w:eastAsiaTheme="minorEastAsia"/>
          <w:color w:val="000000" w:themeColor="text1"/>
        </w:rPr>
        <w:t>7.2</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/d，排污系数为80%，污水产生量为</w:t>
      </w:r>
      <w:r>
        <w:rPr>
          <w:rFonts w:hint="eastAsia" w:eastAsiaTheme="minorEastAsia"/>
          <w:color w:val="000000" w:themeColor="text1"/>
        </w:rPr>
        <w:t>5.76</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1728</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/a），生活污水经化粪池处理后经拟建的一体化污水处理设施处理后用于厂区绿化。</w:t>
      </w:r>
    </w:p>
    <w:p>
      <w:pPr>
        <w:pStyle w:val="2"/>
        <w:ind w:firstLine="482"/>
        <w:rPr>
          <w:rFonts w:ascii="Times New Roman" w:hAnsi="Times New Roman"/>
          <w:b/>
          <w:bCs/>
          <w:color w:val="000000" w:themeColor="text1"/>
          <w:lang w:eastAsia="zh-CN"/>
        </w:rPr>
      </w:pPr>
      <w:r>
        <w:rPr>
          <w:rFonts w:hint="eastAsia" w:ascii="Times New Roman" w:hAnsi="Times New Roman"/>
          <w:b/>
          <w:bCs/>
          <w:color w:val="000000" w:themeColor="text1"/>
          <w:lang w:eastAsia="zh-CN"/>
        </w:rPr>
        <w:t>4、陶瓷过滤机清洗排水</w:t>
      </w:r>
    </w:p>
    <w:p>
      <w:pPr>
        <w:pStyle w:val="2"/>
        <w:ind w:firstLine="480"/>
        <w:rPr>
          <w:rFonts w:eastAsiaTheme="minorEastAsia"/>
          <w:color w:val="000000" w:themeColor="text1"/>
          <w:lang w:eastAsia="zh-CN"/>
        </w:rPr>
      </w:pPr>
      <w:r>
        <w:rPr>
          <w:rFonts w:hint="eastAsia" w:ascii="Times New Roman" w:hAnsi="Times New Roman"/>
          <w:color w:val="000000" w:themeColor="text1"/>
          <w:lang w:eastAsia="zh-CN"/>
        </w:rPr>
        <w:t>陶瓷过滤机清洗</w:t>
      </w:r>
      <w:r>
        <w:rPr>
          <w:rFonts w:ascii="Times New Roman" w:hAnsi="Times New Roman"/>
          <w:color w:val="000000" w:themeColor="text1"/>
          <w:lang w:eastAsia="zh-CN"/>
        </w:rPr>
        <w:t>每8h清洗一次，每次兑成清洗剂水溶液需用水30kg，则每天用水量为0.09t</w:t>
      </w:r>
      <w:r>
        <w:rPr>
          <w:rFonts w:hint="eastAsia" w:ascii="Times New Roman" w:hAnsi="Times New Roman"/>
          <w:color w:val="000000" w:themeColor="text1"/>
          <w:lang w:eastAsia="zh-CN"/>
        </w:rPr>
        <w:t>，损失水量为0.01t/d，还有0.08t/d清洗废水排入原有项目尾矿沉淀池</w:t>
      </w:r>
      <w:r>
        <w:rPr>
          <w:rFonts w:ascii="Times New Roman" w:hAnsi="Times New Roman"/>
          <w:color w:val="000000" w:themeColor="text1"/>
          <w:lang w:eastAsia="zh-CN"/>
        </w:rPr>
        <w:t>。</w:t>
      </w:r>
      <w:r>
        <w:rPr>
          <w:rFonts w:hint="eastAsia" w:ascii="Times New Roman" w:hAnsi="Times New Roman"/>
          <w:color w:val="000000" w:themeColor="text1"/>
          <w:lang w:eastAsia="zh-CN"/>
        </w:rPr>
        <w:t>清洗剂溶液清洗后的陶瓷过滤机不需用清水再冲洗。</w:t>
      </w:r>
    </w:p>
    <w:p>
      <w:pPr>
        <w:kinsoku w:val="0"/>
        <w:overflowPunct w:val="0"/>
        <w:autoSpaceDE w:val="0"/>
        <w:ind w:firstLine="480"/>
        <w:rPr>
          <w:rFonts w:eastAsiaTheme="minorEastAsia"/>
          <w:color w:val="000000" w:themeColor="text1"/>
          <w:sz w:val="28"/>
          <w:szCs w:val="28"/>
        </w:rPr>
      </w:pPr>
      <w:r>
        <w:rPr>
          <w:rFonts w:hint="eastAsia" w:eastAsiaTheme="minorEastAsia"/>
          <w:color w:val="000000" w:themeColor="text1"/>
        </w:rPr>
        <w:t>5</w:t>
      </w:r>
      <w:r>
        <w:rPr>
          <w:rFonts w:eastAsiaTheme="minorEastAsia"/>
          <w:color w:val="000000" w:themeColor="text1"/>
        </w:rPr>
        <w:t>、对原料处理站初期雨水进行收集，通过</w:t>
      </w:r>
      <w:r>
        <w:rPr>
          <w:color w:val="000000" w:themeColor="text1"/>
        </w:rPr>
        <w:t>计算前15分钟的初期雨水量为</w:t>
      </w:r>
      <w:r>
        <w:rPr>
          <w:rFonts w:hint="eastAsia"/>
          <w:color w:val="000000" w:themeColor="text1"/>
        </w:rPr>
        <w:t>178.85</w:t>
      </w:r>
      <w:r>
        <w:rPr>
          <w:color w:val="000000" w:themeColor="text1"/>
        </w:rPr>
        <w:t>m</w:t>
      </w:r>
      <w:r>
        <w:rPr>
          <w:color w:val="000000" w:themeColor="text1"/>
          <w:vertAlign w:val="superscript"/>
        </w:rPr>
        <w:t>3</w:t>
      </w:r>
      <w:r>
        <w:rPr>
          <w:color w:val="000000" w:themeColor="text1"/>
        </w:rPr>
        <w:t>/次，初期雨水收集池容积设置为</w:t>
      </w:r>
      <w:r>
        <w:rPr>
          <w:rFonts w:hint="eastAsia"/>
          <w:color w:val="000000" w:themeColor="text1"/>
        </w:rPr>
        <w:t>2</w:t>
      </w:r>
      <w:r>
        <w:rPr>
          <w:color w:val="000000" w:themeColor="text1"/>
        </w:rPr>
        <w:t>00m</w:t>
      </w:r>
      <w:r>
        <w:rPr>
          <w:color w:val="000000" w:themeColor="text1"/>
          <w:vertAlign w:val="superscript"/>
        </w:rPr>
        <w:t>3</w:t>
      </w:r>
      <w:r>
        <w:rPr>
          <w:color w:val="000000" w:themeColor="text1"/>
        </w:rPr>
        <w:t>，初期雨水主要污染物为SS，初期雨水收集进入雨水池沉淀后，上清液抽至厂区内的高位水池，用于选矿。</w:t>
      </w:r>
    </w:p>
    <w:p>
      <w:pPr>
        <w:ind w:firstLine="480"/>
        <w:rPr>
          <w:rFonts w:eastAsiaTheme="minorEastAsia"/>
          <w:color w:val="000000" w:themeColor="text1"/>
        </w:rPr>
      </w:pPr>
      <w:bookmarkStart w:id="510" w:name="_Toc24208331"/>
      <w:r>
        <w:rPr>
          <w:rFonts w:hint="eastAsia" w:eastAsiaTheme="minorEastAsia"/>
          <w:color w:val="000000" w:themeColor="text1"/>
        </w:rPr>
        <w:t>通过与技改前原有项目用排水水情况比较，技改后原有项目与技改前原有项目、技改后全厂与技改前原有项目用排水变化情况见下表所示：</w:t>
      </w:r>
    </w:p>
    <w:p>
      <w:pPr>
        <w:ind w:firstLine="0" w:firstLineChars="0"/>
        <w:jc w:val="center"/>
        <w:rPr>
          <w:rFonts w:eastAsiaTheme="minorEastAsia"/>
          <w:b/>
          <w:bCs/>
          <w:color w:val="000000" w:themeColor="text1"/>
          <w:sz w:val="21"/>
          <w:szCs w:val="21"/>
        </w:rPr>
      </w:pPr>
      <w:r>
        <w:rPr>
          <w:rFonts w:hint="eastAsia" w:eastAsiaTheme="minorEastAsia"/>
          <w:b/>
          <w:bCs/>
          <w:color w:val="000000" w:themeColor="text1"/>
          <w:sz w:val="21"/>
          <w:szCs w:val="21"/>
        </w:rPr>
        <w:t>表4.2-1 技改后原有项目排水变化情况 单位：m</w:t>
      </w:r>
      <w:r>
        <w:rPr>
          <w:rFonts w:hint="eastAsia" w:eastAsiaTheme="minorEastAsia"/>
          <w:b/>
          <w:bCs/>
          <w:color w:val="000000" w:themeColor="text1"/>
          <w:sz w:val="21"/>
          <w:szCs w:val="21"/>
          <w:vertAlign w:val="superscript"/>
        </w:rPr>
        <w:t>3</w:t>
      </w:r>
      <w:r>
        <w:rPr>
          <w:rFonts w:hint="eastAsia" w:eastAsiaTheme="minorEastAsia"/>
          <w:b/>
          <w:bCs/>
          <w:color w:val="000000" w:themeColor="text1"/>
          <w:sz w:val="21"/>
          <w:szCs w:val="21"/>
        </w:rPr>
        <w:t>/d</w:t>
      </w:r>
    </w:p>
    <w:tbl>
      <w:tblPr>
        <w:tblStyle w:val="62"/>
        <w:tblW w:w="8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
        <w:gridCol w:w="885"/>
        <w:gridCol w:w="1177"/>
        <w:gridCol w:w="1151"/>
        <w:gridCol w:w="1146"/>
        <w:gridCol w:w="1148"/>
        <w:gridCol w:w="1318"/>
        <w:gridCol w:w="12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9" w:hRule="atLeast"/>
        </w:trPr>
        <w:tc>
          <w:tcPr>
            <w:tcW w:w="449"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序号</w:t>
            </w:r>
          </w:p>
        </w:tc>
        <w:tc>
          <w:tcPr>
            <w:tcW w:w="885"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节点</w:t>
            </w:r>
          </w:p>
        </w:tc>
        <w:tc>
          <w:tcPr>
            <w:tcW w:w="2328" w:type="dxa"/>
            <w:gridSpan w:val="2"/>
            <w:vAlign w:val="center"/>
          </w:tcPr>
          <w:p>
            <w:pPr>
              <w:spacing w:line="240" w:lineRule="auto"/>
              <w:ind w:firstLine="0" w:firstLineChars="0"/>
              <w:jc w:val="center"/>
              <w:rPr>
                <w:color w:val="000000" w:themeColor="text1"/>
                <w:sz w:val="21"/>
                <w:szCs w:val="21"/>
              </w:rPr>
            </w:pPr>
            <w:r>
              <w:rPr>
                <w:color w:val="000000" w:themeColor="text1"/>
                <w:sz w:val="21"/>
                <w:szCs w:val="21"/>
              </w:rPr>
              <w:t>技改后</w:t>
            </w:r>
            <w:r>
              <w:rPr>
                <w:rFonts w:hint="eastAsia"/>
                <w:color w:val="000000" w:themeColor="text1"/>
                <w:sz w:val="21"/>
                <w:szCs w:val="21"/>
              </w:rPr>
              <w:t>原有</w:t>
            </w:r>
            <w:r>
              <w:rPr>
                <w:color w:val="000000" w:themeColor="text1"/>
                <w:sz w:val="21"/>
                <w:szCs w:val="21"/>
              </w:rPr>
              <w:t>项目</w:t>
            </w:r>
          </w:p>
        </w:tc>
        <w:tc>
          <w:tcPr>
            <w:tcW w:w="2294" w:type="dxa"/>
            <w:gridSpan w:val="2"/>
            <w:vAlign w:val="center"/>
          </w:tcPr>
          <w:p>
            <w:pPr>
              <w:spacing w:line="240" w:lineRule="auto"/>
              <w:ind w:firstLine="0" w:firstLineChars="0"/>
              <w:jc w:val="center"/>
              <w:rPr>
                <w:color w:val="000000" w:themeColor="text1"/>
                <w:sz w:val="21"/>
                <w:szCs w:val="21"/>
              </w:rPr>
            </w:pPr>
            <w:r>
              <w:rPr>
                <w:color w:val="000000" w:themeColor="text1"/>
                <w:sz w:val="21"/>
                <w:szCs w:val="21"/>
              </w:rPr>
              <w:t>技改前原有项目</w:t>
            </w:r>
          </w:p>
        </w:tc>
        <w:tc>
          <w:tcPr>
            <w:tcW w:w="2569" w:type="dxa"/>
            <w:gridSpan w:val="2"/>
            <w:vAlign w:val="center"/>
          </w:tcPr>
          <w:p>
            <w:pPr>
              <w:spacing w:line="240" w:lineRule="auto"/>
              <w:ind w:firstLine="0" w:firstLineChars="0"/>
              <w:jc w:val="center"/>
              <w:rPr>
                <w:color w:val="000000" w:themeColor="text1"/>
                <w:sz w:val="21"/>
                <w:szCs w:val="21"/>
              </w:rPr>
            </w:pPr>
            <w:r>
              <w:rPr>
                <w:color w:val="000000" w:themeColor="text1"/>
                <w:sz w:val="21"/>
                <w:szCs w:val="21"/>
              </w:rPr>
              <w:t>技改后</w:t>
            </w:r>
            <w:r>
              <w:rPr>
                <w:rFonts w:hint="eastAsia"/>
                <w:color w:val="000000" w:themeColor="text1"/>
                <w:sz w:val="21"/>
                <w:szCs w:val="21"/>
              </w:rPr>
              <w:t>原有项目</w:t>
            </w:r>
            <w:r>
              <w:rPr>
                <w:color w:val="000000" w:themeColor="text1"/>
                <w:sz w:val="21"/>
                <w:szCs w:val="21"/>
              </w:rPr>
              <w:t>与技改前</w:t>
            </w:r>
            <w:r>
              <w:rPr>
                <w:rFonts w:hint="eastAsia"/>
                <w:color w:val="000000" w:themeColor="text1"/>
                <w:sz w:val="21"/>
                <w:szCs w:val="21"/>
              </w:rPr>
              <w:t>原有项目</w:t>
            </w:r>
            <w:r>
              <w:rPr>
                <w:color w:val="000000" w:themeColor="text1"/>
                <w:sz w:val="21"/>
                <w:szCs w:val="21"/>
              </w:rPr>
              <w:t>对比增减量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Merge w:val="continue"/>
            <w:vAlign w:val="center"/>
          </w:tcPr>
          <w:p>
            <w:pPr>
              <w:spacing w:line="240" w:lineRule="auto"/>
              <w:ind w:firstLine="0" w:firstLineChars="0"/>
              <w:jc w:val="center"/>
              <w:rPr>
                <w:color w:val="000000" w:themeColor="text1"/>
                <w:sz w:val="21"/>
                <w:szCs w:val="21"/>
              </w:rPr>
            </w:pPr>
          </w:p>
        </w:tc>
        <w:tc>
          <w:tcPr>
            <w:tcW w:w="885" w:type="dxa"/>
            <w:vMerge w:val="continue"/>
            <w:vAlign w:val="center"/>
          </w:tcPr>
          <w:p>
            <w:pPr>
              <w:spacing w:line="240" w:lineRule="auto"/>
              <w:ind w:firstLine="0" w:firstLineChars="0"/>
              <w:jc w:val="center"/>
              <w:rPr>
                <w:color w:val="000000" w:themeColor="text1"/>
                <w:sz w:val="21"/>
                <w:szCs w:val="21"/>
              </w:rPr>
            </w:pPr>
          </w:p>
        </w:tc>
        <w:tc>
          <w:tcPr>
            <w:tcW w:w="1177" w:type="dxa"/>
            <w:vAlign w:val="center"/>
          </w:tcPr>
          <w:p>
            <w:pPr>
              <w:spacing w:line="240" w:lineRule="auto"/>
              <w:ind w:firstLine="0" w:firstLineChars="0"/>
              <w:jc w:val="center"/>
              <w:rPr>
                <w:color w:val="000000" w:themeColor="text1"/>
                <w:sz w:val="21"/>
                <w:szCs w:val="21"/>
              </w:rPr>
            </w:pPr>
            <w:r>
              <w:rPr>
                <w:color w:val="000000" w:themeColor="text1"/>
                <w:sz w:val="21"/>
                <w:szCs w:val="21"/>
              </w:rPr>
              <w:t>用水</w:t>
            </w:r>
          </w:p>
        </w:tc>
        <w:tc>
          <w:tcPr>
            <w:tcW w:w="1151" w:type="dxa"/>
            <w:vAlign w:val="center"/>
          </w:tcPr>
          <w:p>
            <w:pPr>
              <w:spacing w:line="240" w:lineRule="auto"/>
              <w:ind w:firstLine="0" w:firstLineChars="0"/>
              <w:jc w:val="center"/>
              <w:rPr>
                <w:color w:val="000000" w:themeColor="text1"/>
                <w:sz w:val="21"/>
                <w:szCs w:val="21"/>
              </w:rPr>
            </w:pPr>
            <w:r>
              <w:rPr>
                <w:color w:val="000000" w:themeColor="text1"/>
                <w:sz w:val="21"/>
                <w:szCs w:val="21"/>
              </w:rPr>
              <w:t>排水</w:t>
            </w:r>
          </w:p>
        </w:tc>
        <w:tc>
          <w:tcPr>
            <w:tcW w:w="1146" w:type="dxa"/>
            <w:vAlign w:val="center"/>
          </w:tcPr>
          <w:p>
            <w:pPr>
              <w:spacing w:line="240" w:lineRule="auto"/>
              <w:ind w:firstLine="0" w:firstLineChars="0"/>
              <w:jc w:val="center"/>
              <w:rPr>
                <w:color w:val="000000" w:themeColor="text1"/>
                <w:sz w:val="21"/>
                <w:szCs w:val="21"/>
              </w:rPr>
            </w:pPr>
            <w:r>
              <w:rPr>
                <w:color w:val="000000" w:themeColor="text1"/>
                <w:sz w:val="21"/>
                <w:szCs w:val="21"/>
              </w:rPr>
              <w:t>用水</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排水</w:t>
            </w:r>
          </w:p>
        </w:tc>
        <w:tc>
          <w:tcPr>
            <w:tcW w:w="1318" w:type="dxa"/>
            <w:vAlign w:val="center"/>
          </w:tcPr>
          <w:p>
            <w:pPr>
              <w:spacing w:line="240" w:lineRule="auto"/>
              <w:ind w:firstLine="0" w:firstLineChars="0"/>
              <w:jc w:val="center"/>
              <w:rPr>
                <w:color w:val="000000" w:themeColor="text1"/>
                <w:sz w:val="21"/>
                <w:szCs w:val="21"/>
              </w:rPr>
            </w:pPr>
            <w:r>
              <w:rPr>
                <w:color w:val="000000" w:themeColor="text1"/>
                <w:sz w:val="21"/>
                <w:szCs w:val="21"/>
              </w:rPr>
              <w:t>用水</w:t>
            </w:r>
          </w:p>
        </w:tc>
        <w:tc>
          <w:tcPr>
            <w:tcW w:w="1251" w:type="dxa"/>
            <w:vAlign w:val="center"/>
          </w:tcPr>
          <w:p>
            <w:pPr>
              <w:spacing w:line="240" w:lineRule="auto"/>
              <w:ind w:firstLine="0" w:firstLineChars="0"/>
              <w:jc w:val="center"/>
              <w:rPr>
                <w:color w:val="000000" w:themeColor="text1"/>
                <w:sz w:val="21"/>
                <w:szCs w:val="21"/>
              </w:rPr>
            </w:pPr>
            <w:r>
              <w:rPr>
                <w:color w:val="000000" w:themeColor="text1"/>
                <w:sz w:val="21"/>
                <w:szCs w:val="21"/>
              </w:rPr>
              <w:t>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rFonts w:hint="eastAsia" w:eastAsia="宋体"/>
                <w:color w:val="000000" w:themeColor="text1"/>
                <w:sz w:val="21"/>
                <w:szCs w:val="21"/>
                <w:lang w:eastAsia="zh-CN"/>
              </w:rPr>
            </w:pPr>
            <w:r>
              <w:rPr>
                <w:rFonts w:hint="eastAsia"/>
                <w:color w:val="000000" w:themeColor="text1"/>
                <w:sz w:val="21"/>
                <w:szCs w:val="21"/>
                <w:lang w:val="en-US" w:eastAsia="zh-CN"/>
              </w:rPr>
              <w:t>1</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降尘</w:t>
            </w:r>
          </w:p>
        </w:tc>
        <w:tc>
          <w:tcPr>
            <w:tcW w:w="117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1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14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p>
        </w:tc>
        <w:tc>
          <w:tcPr>
            <w:tcW w:w="131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w:t>
            </w:r>
          </w:p>
        </w:tc>
        <w:tc>
          <w:tcPr>
            <w:tcW w:w="12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rFonts w:hint="eastAsia" w:eastAsia="宋体"/>
                <w:color w:val="000000" w:themeColor="text1"/>
                <w:sz w:val="21"/>
                <w:szCs w:val="21"/>
                <w:lang w:eastAsia="zh-CN"/>
              </w:rPr>
            </w:pPr>
            <w:r>
              <w:rPr>
                <w:rFonts w:hint="eastAsia"/>
                <w:color w:val="000000" w:themeColor="text1"/>
                <w:sz w:val="21"/>
                <w:szCs w:val="21"/>
                <w:lang w:val="en-US" w:eastAsia="zh-CN"/>
              </w:rPr>
              <w:t>2</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选矿</w:t>
            </w:r>
          </w:p>
        </w:tc>
        <w:tc>
          <w:tcPr>
            <w:tcW w:w="117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656.545</w:t>
            </w:r>
          </w:p>
        </w:tc>
        <w:tc>
          <w:tcPr>
            <w:tcW w:w="11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634.285</w:t>
            </w:r>
          </w:p>
        </w:tc>
        <w:tc>
          <w:tcPr>
            <w:tcW w:w="114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1465.8</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1384.8</w:t>
            </w:r>
          </w:p>
        </w:tc>
        <w:tc>
          <w:tcPr>
            <w:tcW w:w="131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-809.255</w:t>
            </w:r>
          </w:p>
        </w:tc>
        <w:tc>
          <w:tcPr>
            <w:tcW w:w="12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-750.515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rFonts w:hint="eastAsia" w:eastAsia="宋体"/>
                <w:color w:val="000000" w:themeColor="text1"/>
                <w:sz w:val="21"/>
                <w:szCs w:val="21"/>
                <w:lang w:eastAsia="zh-CN"/>
              </w:rPr>
            </w:pPr>
            <w:r>
              <w:rPr>
                <w:rFonts w:hint="eastAsia"/>
                <w:color w:val="000000" w:themeColor="text1"/>
                <w:sz w:val="21"/>
                <w:szCs w:val="21"/>
                <w:lang w:val="en-US" w:eastAsia="zh-CN"/>
              </w:rPr>
              <w:t>3</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职工生活</w:t>
            </w:r>
          </w:p>
        </w:tc>
        <w:tc>
          <w:tcPr>
            <w:tcW w:w="117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6.8</w:t>
            </w:r>
          </w:p>
        </w:tc>
        <w:tc>
          <w:tcPr>
            <w:tcW w:w="11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5.44</w:t>
            </w:r>
          </w:p>
        </w:tc>
        <w:tc>
          <w:tcPr>
            <w:tcW w:w="114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6.8</w:t>
            </w:r>
          </w:p>
        </w:tc>
        <w:tc>
          <w:tcPr>
            <w:tcW w:w="114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5.44</w:t>
            </w:r>
          </w:p>
        </w:tc>
        <w:tc>
          <w:tcPr>
            <w:tcW w:w="131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2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rFonts w:hint="eastAsia" w:eastAsia="宋体"/>
                <w:color w:val="000000" w:themeColor="text1"/>
                <w:sz w:val="21"/>
                <w:szCs w:val="21"/>
                <w:lang w:eastAsia="zh-CN"/>
              </w:rPr>
            </w:pPr>
            <w:r>
              <w:rPr>
                <w:rFonts w:hint="eastAsia"/>
                <w:color w:val="000000" w:themeColor="text1"/>
                <w:sz w:val="21"/>
                <w:szCs w:val="21"/>
                <w:lang w:val="en-US" w:eastAsia="zh-CN"/>
              </w:rPr>
              <w:t>4</w:t>
            </w:r>
          </w:p>
        </w:tc>
        <w:tc>
          <w:tcPr>
            <w:tcW w:w="885" w:type="dxa"/>
            <w:vAlign w:val="center"/>
          </w:tcPr>
          <w:p>
            <w:pPr>
              <w:spacing w:line="240" w:lineRule="auto"/>
              <w:ind w:firstLine="0" w:firstLineChars="0"/>
              <w:jc w:val="center"/>
              <w:rPr>
                <w:color w:val="000000" w:themeColor="text1"/>
                <w:sz w:val="21"/>
                <w:szCs w:val="21"/>
              </w:rPr>
            </w:pPr>
            <w:r>
              <w:rPr>
                <w:bCs/>
                <w:color w:val="000000" w:themeColor="text1"/>
                <w:sz w:val="21"/>
                <w:szCs w:val="21"/>
              </w:rPr>
              <w:t>实验及机修</w:t>
            </w:r>
          </w:p>
        </w:tc>
        <w:tc>
          <w:tcPr>
            <w:tcW w:w="117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0.5</w:t>
            </w:r>
          </w:p>
        </w:tc>
        <w:tc>
          <w:tcPr>
            <w:tcW w:w="11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0.5</w:t>
            </w:r>
          </w:p>
        </w:tc>
        <w:tc>
          <w:tcPr>
            <w:tcW w:w="1146" w:type="dxa"/>
            <w:vAlign w:val="center"/>
          </w:tcPr>
          <w:p>
            <w:pPr>
              <w:spacing w:line="240" w:lineRule="auto"/>
              <w:ind w:firstLine="0" w:firstLineChars="0"/>
              <w:jc w:val="center"/>
              <w:rPr>
                <w:color w:val="000000" w:themeColor="text1"/>
                <w:sz w:val="21"/>
                <w:szCs w:val="21"/>
              </w:rPr>
            </w:pPr>
            <w:r>
              <w:rPr>
                <w:color w:val="000000" w:themeColor="text1"/>
                <w:sz w:val="21"/>
                <w:szCs w:val="21"/>
              </w:rPr>
              <w:t>0.5</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0.5</w:t>
            </w:r>
          </w:p>
        </w:tc>
        <w:tc>
          <w:tcPr>
            <w:tcW w:w="131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2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rFonts w:hint="eastAsia" w:eastAsia="宋体"/>
                <w:color w:val="000000" w:themeColor="text1"/>
                <w:sz w:val="21"/>
                <w:szCs w:val="21"/>
                <w:lang w:eastAsia="zh-CN"/>
              </w:rPr>
            </w:pPr>
            <w:r>
              <w:rPr>
                <w:rFonts w:hint="eastAsia"/>
                <w:color w:val="000000" w:themeColor="text1"/>
                <w:sz w:val="21"/>
                <w:szCs w:val="21"/>
                <w:lang w:val="en-US" w:eastAsia="zh-CN"/>
              </w:rPr>
              <w:t>5</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冷却用水</w:t>
            </w:r>
          </w:p>
        </w:tc>
        <w:tc>
          <w:tcPr>
            <w:tcW w:w="117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8</w:t>
            </w:r>
          </w:p>
        </w:tc>
        <w:tc>
          <w:tcPr>
            <w:tcW w:w="11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146" w:type="dxa"/>
            <w:vAlign w:val="center"/>
          </w:tcPr>
          <w:p>
            <w:pPr>
              <w:spacing w:line="240" w:lineRule="auto"/>
              <w:ind w:firstLine="0" w:firstLineChars="0"/>
              <w:jc w:val="center"/>
              <w:rPr>
                <w:color w:val="000000" w:themeColor="text1"/>
                <w:sz w:val="21"/>
                <w:szCs w:val="21"/>
              </w:rPr>
            </w:pPr>
            <w:r>
              <w:rPr>
                <w:color w:val="000000" w:themeColor="text1"/>
                <w:sz w:val="21"/>
                <w:szCs w:val="21"/>
              </w:rPr>
              <w:t>8</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p>
        </w:tc>
        <w:tc>
          <w:tcPr>
            <w:tcW w:w="131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2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rFonts w:hint="eastAsia" w:eastAsia="宋体"/>
                <w:color w:val="000000" w:themeColor="text1"/>
                <w:sz w:val="21"/>
                <w:szCs w:val="21"/>
                <w:lang w:eastAsia="zh-CN"/>
              </w:rPr>
            </w:pPr>
            <w:r>
              <w:rPr>
                <w:rFonts w:hint="eastAsia"/>
                <w:color w:val="000000" w:themeColor="text1"/>
                <w:sz w:val="21"/>
                <w:szCs w:val="21"/>
                <w:lang w:val="en-US" w:eastAsia="zh-CN"/>
              </w:rPr>
              <w:t>6</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绿化</w:t>
            </w:r>
          </w:p>
        </w:tc>
        <w:tc>
          <w:tcPr>
            <w:tcW w:w="117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9</w:t>
            </w:r>
          </w:p>
        </w:tc>
        <w:tc>
          <w:tcPr>
            <w:tcW w:w="11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146" w:type="dxa"/>
            <w:vAlign w:val="center"/>
          </w:tcPr>
          <w:p>
            <w:pPr>
              <w:spacing w:line="240" w:lineRule="auto"/>
              <w:ind w:firstLine="0" w:firstLineChars="0"/>
              <w:jc w:val="center"/>
              <w:rPr>
                <w:color w:val="000000" w:themeColor="text1"/>
                <w:sz w:val="21"/>
                <w:szCs w:val="21"/>
              </w:rPr>
            </w:pPr>
            <w:r>
              <w:rPr>
                <w:color w:val="000000" w:themeColor="text1"/>
                <w:sz w:val="21"/>
                <w:szCs w:val="21"/>
              </w:rPr>
              <w:t>9</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p>
        </w:tc>
        <w:tc>
          <w:tcPr>
            <w:tcW w:w="131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2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rFonts w:hint="eastAsia" w:eastAsia="宋体"/>
                <w:color w:val="000000" w:themeColor="text1"/>
                <w:sz w:val="21"/>
                <w:szCs w:val="21"/>
                <w:lang w:eastAsia="zh-CN"/>
              </w:rPr>
            </w:pPr>
            <w:r>
              <w:rPr>
                <w:rFonts w:hint="eastAsia"/>
                <w:color w:val="000000" w:themeColor="text1"/>
                <w:sz w:val="21"/>
                <w:szCs w:val="21"/>
                <w:lang w:val="en-US" w:eastAsia="zh-CN"/>
              </w:rPr>
              <w:t>7</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原矿石堆场淋滤水</w:t>
            </w:r>
          </w:p>
        </w:tc>
        <w:tc>
          <w:tcPr>
            <w:tcW w:w="117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1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14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14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69.36</w:t>
            </w:r>
          </w:p>
        </w:tc>
        <w:tc>
          <w:tcPr>
            <w:tcW w:w="131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2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-69.36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rFonts w:hint="eastAsia" w:eastAsia="宋体"/>
                <w:color w:val="000000" w:themeColor="text1"/>
                <w:sz w:val="21"/>
                <w:szCs w:val="21"/>
                <w:lang w:val="en-US" w:eastAsia="zh-CN"/>
              </w:rPr>
            </w:pPr>
            <w:r>
              <w:rPr>
                <w:rFonts w:hint="eastAsia"/>
                <w:color w:val="000000" w:themeColor="text1"/>
                <w:sz w:val="21"/>
                <w:szCs w:val="21"/>
                <w:lang w:val="en-US" w:eastAsia="zh-CN"/>
              </w:rPr>
              <w:t>8</w:t>
            </w:r>
          </w:p>
        </w:tc>
        <w:tc>
          <w:tcPr>
            <w:tcW w:w="885" w:type="dxa"/>
            <w:vAlign w:val="center"/>
          </w:tcPr>
          <w:p>
            <w:pPr>
              <w:spacing w:line="240" w:lineRule="auto"/>
              <w:ind w:firstLine="0" w:firstLineChars="0"/>
              <w:jc w:val="center"/>
              <w:rPr>
                <w:rFonts w:hint="default" w:eastAsia="宋体"/>
                <w:color w:val="000000" w:themeColor="text1"/>
                <w:sz w:val="21"/>
                <w:szCs w:val="21"/>
                <w:lang w:val="en-US" w:eastAsia="zh-CN"/>
              </w:rPr>
            </w:pPr>
            <w:r>
              <w:rPr>
                <w:rFonts w:hint="eastAsia"/>
                <w:color w:val="000000" w:themeColor="text1"/>
                <w:sz w:val="21"/>
                <w:szCs w:val="21"/>
                <w:lang w:val="en-US" w:eastAsia="zh-CN"/>
              </w:rPr>
              <w:t>初期雨水</w:t>
            </w:r>
          </w:p>
        </w:tc>
        <w:tc>
          <w:tcPr>
            <w:tcW w:w="1177" w:type="dxa"/>
            <w:vAlign w:val="center"/>
          </w:tcPr>
          <w:p>
            <w:pPr>
              <w:spacing w:line="240" w:lineRule="auto"/>
              <w:ind w:firstLine="0" w:firstLineChars="0"/>
              <w:jc w:val="center"/>
              <w:rPr>
                <w:rFonts w:hint="eastAsia" w:eastAsia="宋体"/>
                <w:color w:val="000000" w:themeColor="text1"/>
                <w:sz w:val="21"/>
                <w:szCs w:val="21"/>
                <w:lang w:val="en-US" w:eastAsia="zh-CN"/>
              </w:rPr>
            </w:pPr>
            <w:r>
              <w:rPr>
                <w:rFonts w:hint="eastAsia"/>
                <w:color w:val="000000" w:themeColor="text1"/>
                <w:sz w:val="21"/>
                <w:szCs w:val="21"/>
                <w:lang w:val="en-US" w:eastAsia="zh-CN"/>
              </w:rPr>
              <w:t>/</w:t>
            </w:r>
          </w:p>
        </w:tc>
        <w:tc>
          <w:tcPr>
            <w:tcW w:w="1151" w:type="dxa"/>
            <w:vAlign w:val="center"/>
          </w:tcPr>
          <w:p>
            <w:pPr>
              <w:spacing w:line="240" w:lineRule="auto"/>
              <w:ind w:firstLine="0" w:firstLineChars="0"/>
              <w:jc w:val="center"/>
              <w:rPr>
                <w:rFonts w:hint="eastAsia" w:eastAsia="宋体"/>
                <w:color w:val="000000" w:themeColor="text1"/>
                <w:sz w:val="21"/>
                <w:szCs w:val="21"/>
                <w:lang w:val="en-US" w:eastAsia="zh-CN"/>
              </w:rPr>
            </w:pPr>
            <w:r>
              <w:rPr>
                <w:rFonts w:hint="eastAsia"/>
                <w:color w:val="000000" w:themeColor="text1"/>
                <w:sz w:val="21"/>
                <w:szCs w:val="21"/>
                <w:lang w:val="en-US" w:eastAsia="zh-CN"/>
              </w:rPr>
              <w:t>0</w:t>
            </w:r>
          </w:p>
        </w:tc>
        <w:tc>
          <w:tcPr>
            <w:tcW w:w="1146" w:type="dxa"/>
            <w:vAlign w:val="center"/>
          </w:tcPr>
          <w:p>
            <w:pPr>
              <w:spacing w:line="240" w:lineRule="auto"/>
              <w:ind w:firstLine="0" w:firstLineChars="0"/>
              <w:jc w:val="center"/>
              <w:rPr>
                <w:rFonts w:hint="eastAsia" w:eastAsia="宋体"/>
                <w:color w:val="000000" w:themeColor="text1"/>
                <w:sz w:val="21"/>
                <w:szCs w:val="21"/>
                <w:lang w:val="en-US" w:eastAsia="zh-CN"/>
              </w:rPr>
            </w:pPr>
            <w:r>
              <w:rPr>
                <w:rFonts w:hint="eastAsia"/>
                <w:color w:val="000000" w:themeColor="text1"/>
                <w:sz w:val="21"/>
                <w:szCs w:val="21"/>
                <w:lang w:val="en-US" w:eastAsia="zh-CN"/>
              </w:rPr>
              <w:t>/</w:t>
            </w:r>
          </w:p>
        </w:tc>
        <w:tc>
          <w:tcPr>
            <w:tcW w:w="1148" w:type="dxa"/>
            <w:vAlign w:val="center"/>
          </w:tcPr>
          <w:p>
            <w:pPr>
              <w:spacing w:line="240" w:lineRule="auto"/>
              <w:ind w:firstLine="0" w:firstLineChars="0"/>
              <w:jc w:val="center"/>
              <w:rPr>
                <w:rFonts w:hint="default" w:eastAsia="宋体"/>
                <w:color w:val="000000" w:themeColor="text1"/>
                <w:sz w:val="21"/>
                <w:szCs w:val="21"/>
                <w:lang w:val="en-US" w:eastAsia="zh-CN"/>
              </w:rPr>
            </w:pPr>
            <w:r>
              <w:rPr>
                <w:rFonts w:hint="eastAsia"/>
                <w:color w:val="000000" w:themeColor="text1"/>
                <w:sz w:val="21"/>
                <w:szCs w:val="21"/>
                <w:lang w:val="en-US" w:eastAsia="zh-CN"/>
              </w:rPr>
              <w:t>137.29</w:t>
            </w:r>
          </w:p>
        </w:tc>
        <w:tc>
          <w:tcPr>
            <w:tcW w:w="1318" w:type="dxa"/>
            <w:vAlign w:val="center"/>
          </w:tcPr>
          <w:p>
            <w:pPr>
              <w:spacing w:line="240" w:lineRule="auto"/>
              <w:ind w:firstLine="0" w:firstLineChars="0"/>
              <w:jc w:val="center"/>
              <w:rPr>
                <w:rFonts w:hint="eastAsia" w:eastAsia="宋体"/>
                <w:color w:val="000000" w:themeColor="text1"/>
                <w:sz w:val="21"/>
                <w:szCs w:val="21"/>
                <w:lang w:val="en-US" w:eastAsia="zh-CN"/>
              </w:rPr>
            </w:pPr>
            <w:r>
              <w:rPr>
                <w:rFonts w:hint="eastAsia"/>
                <w:color w:val="000000" w:themeColor="text1"/>
                <w:sz w:val="21"/>
                <w:szCs w:val="21"/>
                <w:lang w:val="en-US" w:eastAsia="zh-CN"/>
              </w:rPr>
              <w:t>/</w:t>
            </w:r>
          </w:p>
        </w:tc>
        <w:tc>
          <w:tcPr>
            <w:tcW w:w="1251" w:type="dxa"/>
            <w:vAlign w:val="center"/>
          </w:tcPr>
          <w:p>
            <w:pPr>
              <w:spacing w:line="240" w:lineRule="auto"/>
              <w:ind w:firstLine="0" w:firstLineChars="0"/>
              <w:jc w:val="center"/>
              <w:rPr>
                <w:rFonts w:hint="default" w:eastAsia="宋体"/>
                <w:color w:val="000000" w:themeColor="text1"/>
                <w:sz w:val="21"/>
                <w:szCs w:val="21"/>
                <w:lang w:val="en-US" w:eastAsia="zh-CN"/>
              </w:rPr>
            </w:pPr>
            <w:r>
              <w:rPr>
                <w:rFonts w:hint="eastAsia"/>
                <w:color w:val="000000" w:themeColor="text1"/>
                <w:sz w:val="21"/>
                <w:szCs w:val="21"/>
                <w:lang w:val="en-US" w:eastAsia="zh-CN"/>
              </w:rPr>
              <w:t>-137.29</w:t>
            </w:r>
          </w:p>
        </w:tc>
      </w:tr>
    </w:tbl>
    <w:p>
      <w:pPr>
        <w:ind w:firstLine="0" w:firstLineChars="0"/>
        <w:jc w:val="center"/>
        <w:rPr>
          <w:rFonts w:eastAsiaTheme="minorEastAsia"/>
          <w:b/>
          <w:bCs/>
          <w:color w:val="000000" w:themeColor="text1"/>
          <w:sz w:val="21"/>
          <w:szCs w:val="21"/>
        </w:rPr>
      </w:pPr>
      <w:r>
        <w:rPr>
          <w:rFonts w:hint="eastAsia" w:eastAsiaTheme="minorEastAsia"/>
          <w:b/>
          <w:bCs/>
          <w:color w:val="000000" w:themeColor="text1"/>
          <w:sz w:val="21"/>
          <w:szCs w:val="21"/>
        </w:rPr>
        <w:t>表4.2-2技改后全厂与技改前原有项目用排水变化情况</w:t>
      </w:r>
    </w:p>
    <w:tbl>
      <w:tblPr>
        <w:tblStyle w:val="62"/>
        <w:tblW w:w="8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
        <w:gridCol w:w="885"/>
        <w:gridCol w:w="1177"/>
        <w:gridCol w:w="1151"/>
        <w:gridCol w:w="1146"/>
        <w:gridCol w:w="1148"/>
        <w:gridCol w:w="1318"/>
        <w:gridCol w:w="12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9" w:hRule="atLeast"/>
        </w:trPr>
        <w:tc>
          <w:tcPr>
            <w:tcW w:w="449"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序号</w:t>
            </w:r>
          </w:p>
        </w:tc>
        <w:tc>
          <w:tcPr>
            <w:tcW w:w="885"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节点</w:t>
            </w:r>
          </w:p>
        </w:tc>
        <w:tc>
          <w:tcPr>
            <w:tcW w:w="2328" w:type="dxa"/>
            <w:gridSpan w:val="2"/>
            <w:vAlign w:val="center"/>
          </w:tcPr>
          <w:p>
            <w:pPr>
              <w:spacing w:line="240" w:lineRule="auto"/>
              <w:ind w:firstLine="0" w:firstLineChars="0"/>
              <w:jc w:val="center"/>
              <w:rPr>
                <w:color w:val="000000" w:themeColor="text1"/>
                <w:sz w:val="21"/>
                <w:szCs w:val="21"/>
              </w:rPr>
            </w:pPr>
            <w:r>
              <w:rPr>
                <w:color w:val="000000" w:themeColor="text1"/>
                <w:sz w:val="21"/>
                <w:szCs w:val="21"/>
              </w:rPr>
              <w:t>技改后全厂项目</w:t>
            </w:r>
          </w:p>
        </w:tc>
        <w:tc>
          <w:tcPr>
            <w:tcW w:w="2294" w:type="dxa"/>
            <w:gridSpan w:val="2"/>
            <w:vAlign w:val="center"/>
          </w:tcPr>
          <w:p>
            <w:pPr>
              <w:spacing w:line="240" w:lineRule="auto"/>
              <w:ind w:firstLine="0" w:firstLineChars="0"/>
              <w:jc w:val="center"/>
              <w:rPr>
                <w:color w:val="000000" w:themeColor="text1"/>
                <w:sz w:val="21"/>
                <w:szCs w:val="21"/>
              </w:rPr>
            </w:pPr>
            <w:r>
              <w:rPr>
                <w:color w:val="000000" w:themeColor="text1"/>
                <w:sz w:val="21"/>
                <w:szCs w:val="21"/>
              </w:rPr>
              <w:t>技改前原有项目</w:t>
            </w:r>
          </w:p>
        </w:tc>
        <w:tc>
          <w:tcPr>
            <w:tcW w:w="2569" w:type="dxa"/>
            <w:gridSpan w:val="2"/>
            <w:vAlign w:val="center"/>
          </w:tcPr>
          <w:p>
            <w:pPr>
              <w:spacing w:line="240" w:lineRule="auto"/>
              <w:ind w:firstLine="0" w:firstLineChars="0"/>
              <w:jc w:val="center"/>
              <w:rPr>
                <w:color w:val="000000" w:themeColor="text1"/>
                <w:sz w:val="21"/>
                <w:szCs w:val="21"/>
              </w:rPr>
            </w:pPr>
            <w:r>
              <w:rPr>
                <w:color w:val="000000" w:themeColor="text1"/>
                <w:sz w:val="21"/>
                <w:szCs w:val="21"/>
              </w:rPr>
              <w:t>技改后全厂与技改前对比增减量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Merge w:val="continue"/>
            <w:vAlign w:val="center"/>
          </w:tcPr>
          <w:p>
            <w:pPr>
              <w:spacing w:line="240" w:lineRule="auto"/>
              <w:ind w:firstLine="0" w:firstLineChars="0"/>
              <w:jc w:val="center"/>
              <w:rPr>
                <w:color w:val="000000" w:themeColor="text1"/>
                <w:sz w:val="21"/>
                <w:szCs w:val="21"/>
              </w:rPr>
            </w:pPr>
          </w:p>
        </w:tc>
        <w:tc>
          <w:tcPr>
            <w:tcW w:w="885" w:type="dxa"/>
            <w:vMerge w:val="continue"/>
            <w:vAlign w:val="center"/>
          </w:tcPr>
          <w:p>
            <w:pPr>
              <w:spacing w:line="240" w:lineRule="auto"/>
              <w:ind w:firstLine="0" w:firstLineChars="0"/>
              <w:jc w:val="center"/>
              <w:rPr>
                <w:color w:val="000000" w:themeColor="text1"/>
                <w:sz w:val="21"/>
                <w:szCs w:val="21"/>
              </w:rPr>
            </w:pPr>
          </w:p>
        </w:tc>
        <w:tc>
          <w:tcPr>
            <w:tcW w:w="1177" w:type="dxa"/>
            <w:vAlign w:val="center"/>
          </w:tcPr>
          <w:p>
            <w:pPr>
              <w:spacing w:line="240" w:lineRule="auto"/>
              <w:ind w:firstLine="0" w:firstLineChars="0"/>
              <w:jc w:val="center"/>
              <w:rPr>
                <w:color w:val="000000" w:themeColor="text1"/>
                <w:sz w:val="21"/>
                <w:szCs w:val="21"/>
              </w:rPr>
            </w:pPr>
            <w:r>
              <w:rPr>
                <w:color w:val="000000" w:themeColor="text1"/>
                <w:sz w:val="21"/>
                <w:szCs w:val="21"/>
              </w:rPr>
              <w:t>用水</w:t>
            </w:r>
          </w:p>
        </w:tc>
        <w:tc>
          <w:tcPr>
            <w:tcW w:w="1151" w:type="dxa"/>
            <w:vAlign w:val="center"/>
          </w:tcPr>
          <w:p>
            <w:pPr>
              <w:spacing w:line="240" w:lineRule="auto"/>
              <w:ind w:firstLine="0" w:firstLineChars="0"/>
              <w:jc w:val="center"/>
              <w:rPr>
                <w:color w:val="000000" w:themeColor="text1"/>
                <w:sz w:val="21"/>
                <w:szCs w:val="21"/>
              </w:rPr>
            </w:pPr>
            <w:r>
              <w:rPr>
                <w:color w:val="000000" w:themeColor="text1"/>
                <w:sz w:val="21"/>
                <w:szCs w:val="21"/>
              </w:rPr>
              <w:t>排水</w:t>
            </w:r>
          </w:p>
        </w:tc>
        <w:tc>
          <w:tcPr>
            <w:tcW w:w="1146" w:type="dxa"/>
            <w:vAlign w:val="center"/>
          </w:tcPr>
          <w:p>
            <w:pPr>
              <w:spacing w:line="240" w:lineRule="auto"/>
              <w:ind w:firstLine="0" w:firstLineChars="0"/>
              <w:jc w:val="center"/>
              <w:rPr>
                <w:color w:val="000000" w:themeColor="text1"/>
                <w:sz w:val="21"/>
                <w:szCs w:val="21"/>
              </w:rPr>
            </w:pPr>
            <w:r>
              <w:rPr>
                <w:color w:val="000000" w:themeColor="text1"/>
                <w:sz w:val="21"/>
                <w:szCs w:val="21"/>
              </w:rPr>
              <w:t>用水</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排水</w:t>
            </w:r>
          </w:p>
        </w:tc>
        <w:tc>
          <w:tcPr>
            <w:tcW w:w="1318" w:type="dxa"/>
            <w:vAlign w:val="center"/>
          </w:tcPr>
          <w:p>
            <w:pPr>
              <w:spacing w:line="240" w:lineRule="auto"/>
              <w:ind w:firstLine="0" w:firstLineChars="0"/>
              <w:jc w:val="center"/>
              <w:rPr>
                <w:color w:val="000000" w:themeColor="text1"/>
                <w:sz w:val="21"/>
                <w:szCs w:val="21"/>
              </w:rPr>
            </w:pPr>
            <w:r>
              <w:rPr>
                <w:color w:val="000000" w:themeColor="text1"/>
                <w:sz w:val="21"/>
                <w:szCs w:val="21"/>
              </w:rPr>
              <w:t>用水</w:t>
            </w:r>
          </w:p>
        </w:tc>
        <w:tc>
          <w:tcPr>
            <w:tcW w:w="1251" w:type="dxa"/>
            <w:vAlign w:val="center"/>
          </w:tcPr>
          <w:p>
            <w:pPr>
              <w:spacing w:line="240" w:lineRule="auto"/>
              <w:ind w:firstLine="0" w:firstLineChars="0"/>
              <w:jc w:val="center"/>
              <w:rPr>
                <w:color w:val="000000" w:themeColor="text1"/>
                <w:sz w:val="21"/>
                <w:szCs w:val="21"/>
              </w:rPr>
            </w:pPr>
            <w:r>
              <w:rPr>
                <w:color w:val="000000" w:themeColor="text1"/>
                <w:sz w:val="21"/>
                <w:szCs w:val="21"/>
              </w:rPr>
              <w:t>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color w:val="000000" w:themeColor="text1"/>
                <w:sz w:val="21"/>
                <w:szCs w:val="21"/>
              </w:rPr>
            </w:pPr>
            <w:r>
              <w:rPr>
                <w:color w:val="000000" w:themeColor="text1"/>
                <w:sz w:val="21"/>
                <w:szCs w:val="21"/>
              </w:rPr>
              <w:t>1</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洗沙</w:t>
            </w:r>
          </w:p>
        </w:tc>
        <w:tc>
          <w:tcPr>
            <w:tcW w:w="117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9.24</w:t>
            </w:r>
          </w:p>
        </w:tc>
        <w:tc>
          <w:tcPr>
            <w:tcW w:w="11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9.24</w:t>
            </w:r>
          </w:p>
        </w:tc>
        <w:tc>
          <w:tcPr>
            <w:tcW w:w="1146"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318" w:type="dxa"/>
            <w:vAlign w:val="center"/>
          </w:tcPr>
          <w:p>
            <w:pPr>
              <w:spacing w:line="240" w:lineRule="auto"/>
              <w:ind w:firstLine="0" w:firstLineChars="0"/>
              <w:jc w:val="center"/>
              <w:rPr>
                <w:color w:val="000000" w:themeColor="text1"/>
                <w:sz w:val="21"/>
                <w:szCs w:val="21"/>
              </w:rPr>
            </w:pPr>
            <w:r>
              <w:rPr>
                <w:color w:val="000000" w:themeColor="text1"/>
                <w:sz w:val="21"/>
                <w:szCs w:val="21"/>
              </w:rPr>
              <w:t>+</w:t>
            </w:r>
            <w:r>
              <w:rPr>
                <w:rFonts w:hint="eastAsia"/>
                <w:color w:val="000000" w:themeColor="text1"/>
                <w:sz w:val="21"/>
                <w:szCs w:val="21"/>
              </w:rPr>
              <w:t>9.24</w:t>
            </w:r>
          </w:p>
        </w:tc>
        <w:tc>
          <w:tcPr>
            <w:tcW w:w="1251" w:type="dxa"/>
            <w:vAlign w:val="center"/>
          </w:tcPr>
          <w:p>
            <w:pPr>
              <w:spacing w:line="240" w:lineRule="auto"/>
              <w:ind w:firstLine="0" w:firstLineChars="0"/>
              <w:jc w:val="center"/>
              <w:rPr>
                <w:color w:val="000000" w:themeColor="text1"/>
                <w:sz w:val="21"/>
                <w:szCs w:val="21"/>
              </w:rPr>
            </w:pPr>
            <w:r>
              <w:rPr>
                <w:color w:val="000000" w:themeColor="text1"/>
                <w:sz w:val="21"/>
                <w:szCs w:val="21"/>
              </w:rPr>
              <w:t>+</w:t>
            </w:r>
            <w:r>
              <w:rPr>
                <w:rFonts w:hint="eastAsia"/>
                <w:color w:val="000000" w:themeColor="text1"/>
                <w:sz w:val="21"/>
                <w:szCs w:val="21"/>
              </w:rPr>
              <w:t>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color w:val="000000" w:themeColor="text1"/>
                <w:sz w:val="21"/>
                <w:szCs w:val="21"/>
              </w:rPr>
            </w:pPr>
            <w:r>
              <w:rPr>
                <w:color w:val="000000" w:themeColor="text1"/>
                <w:sz w:val="21"/>
                <w:szCs w:val="21"/>
              </w:rPr>
              <w:t>2</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降尘</w:t>
            </w:r>
          </w:p>
        </w:tc>
        <w:tc>
          <w:tcPr>
            <w:tcW w:w="1177" w:type="dxa"/>
            <w:vAlign w:val="center"/>
          </w:tcPr>
          <w:p>
            <w:pPr>
              <w:spacing w:line="240" w:lineRule="auto"/>
              <w:ind w:firstLine="0" w:firstLineChars="0"/>
              <w:jc w:val="center"/>
              <w:rPr>
                <w:color w:val="000000" w:themeColor="text1"/>
                <w:sz w:val="21"/>
                <w:szCs w:val="21"/>
              </w:rPr>
            </w:pPr>
            <w:r>
              <w:rPr>
                <w:color w:val="000000" w:themeColor="text1"/>
                <w:sz w:val="21"/>
                <w:szCs w:val="21"/>
              </w:rPr>
              <w:t>44.7</w:t>
            </w:r>
          </w:p>
        </w:tc>
        <w:tc>
          <w:tcPr>
            <w:tcW w:w="1151"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p>
        </w:tc>
        <w:tc>
          <w:tcPr>
            <w:tcW w:w="114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p>
        </w:tc>
        <w:tc>
          <w:tcPr>
            <w:tcW w:w="1318" w:type="dxa"/>
            <w:vAlign w:val="center"/>
          </w:tcPr>
          <w:p>
            <w:pPr>
              <w:spacing w:line="240" w:lineRule="auto"/>
              <w:ind w:firstLine="0" w:firstLineChars="0"/>
              <w:jc w:val="center"/>
              <w:rPr>
                <w:color w:val="000000" w:themeColor="text1"/>
                <w:sz w:val="21"/>
                <w:szCs w:val="21"/>
              </w:rPr>
            </w:pPr>
            <w:r>
              <w:rPr>
                <w:color w:val="000000" w:themeColor="text1"/>
                <w:sz w:val="21"/>
                <w:szCs w:val="21"/>
              </w:rPr>
              <w:t>+3</w:t>
            </w:r>
            <w:r>
              <w:rPr>
                <w:rFonts w:hint="eastAsia"/>
                <w:color w:val="000000" w:themeColor="text1"/>
                <w:sz w:val="21"/>
                <w:szCs w:val="21"/>
              </w:rPr>
              <w:t>4</w:t>
            </w:r>
            <w:r>
              <w:rPr>
                <w:color w:val="000000" w:themeColor="text1"/>
                <w:sz w:val="21"/>
                <w:szCs w:val="21"/>
              </w:rPr>
              <w:t>.7</w:t>
            </w:r>
          </w:p>
        </w:tc>
        <w:tc>
          <w:tcPr>
            <w:tcW w:w="1251"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72" w:hRule="atLeast"/>
        </w:trPr>
        <w:tc>
          <w:tcPr>
            <w:tcW w:w="449" w:type="dxa"/>
            <w:vAlign w:val="center"/>
          </w:tcPr>
          <w:p>
            <w:pPr>
              <w:spacing w:line="240" w:lineRule="auto"/>
              <w:ind w:firstLine="0" w:firstLineChars="0"/>
              <w:jc w:val="center"/>
              <w:rPr>
                <w:color w:val="000000" w:themeColor="text1"/>
                <w:sz w:val="21"/>
                <w:szCs w:val="21"/>
              </w:rPr>
            </w:pPr>
            <w:r>
              <w:rPr>
                <w:color w:val="000000" w:themeColor="text1"/>
                <w:sz w:val="21"/>
                <w:szCs w:val="21"/>
              </w:rPr>
              <w:t>3</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陶瓷过滤机用水清洗</w:t>
            </w:r>
          </w:p>
        </w:tc>
        <w:tc>
          <w:tcPr>
            <w:tcW w:w="1177" w:type="dxa"/>
            <w:vAlign w:val="center"/>
          </w:tcPr>
          <w:p>
            <w:pPr>
              <w:spacing w:line="240" w:lineRule="auto"/>
              <w:ind w:firstLine="0" w:firstLineChars="0"/>
              <w:jc w:val="center"/>
              <w:rPr>
                <w:color w:val="000000" w:themeColor="text1"/>
                <w:sz w:val="21"/>
                <w:szCs w:val="21"/>
              </w:rPr>
            </w:pPr>
            <w:r>
              <w:rPr>
                <w:color w:val="000000" w:themeColor="text1"/>
                <w:sz w:val="21"/>
                <w:szCs w:val="21"/>
              </w:rPr>
              <w:t>0.09</w:t>
            </w:r>
          </w:p>
        </w:tc>
        <w:tc>
          <w:tcPr>
            <w:tcW w:w="1151" w:type="dxa"/>
            <w:vAlign w:val="center"/>
          </w:tcPr>
          <w:p>
            <w:pPr>
              <w:spacing w:line="240" w:lineRule="auto"/>
              <w:ind w:firstLine="0" w:firstLineChars="0"/>
              <w:jc w:val="center"/>
              <w:rPr>
                <w:color w:val="000000" w:themeColor="text1"/>
                <w:sz w:val="21"/>
                <w:szCs w:val="21"/>
              </w:rPr>
            </w:pPr>
            <w:r>
              <w:rPr>
                <w:color w:val="000000" w:themeColor="text1"/>
                <w:sz w:val="21"/>
                <w:szCs w:val="21"/>
              </w:rPr>
              <w:t>0.0</w:t>
            </w:r>
            <w:r>
              <w:rPr>
                <w:rFonts w:hint="eastAsia"/>
                <w:color w:val="000000" w:themeColor="text1"/>
                <w:sz w:val="21"/>
                <w:szCs w:val="21"/>
              </w:rPr>
              <w:t>8</w:t>
            </w:r>
          </w:p>
        </w:tc>
        <w:tc>
          <w:tcPr>
            <w:tcW w:w="1146"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318" w:type="dxa"/>
            <w:vAlign w:val="center"/>
          </w:tcPr>
          <w:p>
            <w:pPr>
              <w:spacing w:line="240" w:lineRule="auto"/>
              <w:ind w:firstLine="0" w:firstLineChars="0"/>
              <w:jc w:val="center"/>
              <w:rPr>
                <w:color w:val="000000" w:themeColor="text1"/>
                <w:sz w:val="21"/>
                <w:szCs w:val="21"/>
              </w:rPr>
            </w:pPr>
            <w:r>
              <w:rPr>
                <w:color w:val="000000" w:themeColor="text1"/>
                <w:sz w:val="21"/>
                <w:szCs w:val="21"/>
              </w:rPr>
              <w:t>+0.0</w:t>
            </w:r>
            <w:r>
              <w:rPr>
                <w:rFonts w:hint="eastAsia"/>
                <w:color w:val="000000" w:themeColor="text1"/>
                <w:sz w:val="21"/>
                <w:szCs w:val="21"/>
              </w:rPr>
              <w:t>8</w:t>
            </w:r>
          </w:p>
        </w:tc>
        <w:tc>
          <w:tcPr>
            <w:tcW w:w="1251" w:type="dxa"/>
            <w:vAlign w:val="center"/>
          </w:tcPr>
          <w:p>
            <w:pPr>
              <w:spacing w:line="240" w:lineRule="auto"/>
              <w:ind w:firstLine="0" w:firstLineChars="0"/>
              <w:jc w:val="center"/>
              <w:rPr>
                <w:color w:val="000000" w:themeColor="text1"/>
                <w:sz w:val="21"/>
                <w:szCs w:val="21"/>
              </w:rPr>
            </w:pPr>
            <w:r>
              <w:rPr>
                <w:color w:val="000000" w:themeColor="text1"/>
                <w:sz w:val="21"/>
                <w:szCs w:val="21"/>
              </w:rPr>
              <w:t>+0.0</w:t>
            </w:r>
            <w:r>
              <w:rPr>
                <w:rFonts w:hint="eastAsia"/>
                <w:color w:val="000000" w:themeColor="text1"/>
                <w:sz w:val="21"/>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color w:val="000000" w:themeColor="text1"/>
                <w:sz w:val="21"/>
                <w:szCs w:val="21"/>
              </w:rPr>
            </w:pPr>
            <w:r>
              <w:rPr>
                <w:color w:val="000000" w:themeColor="text1"/>
                <w:sz w:val="21"/>
                <w:szCs w:val="21"/>
              </w:rPr>
              <w:t>4</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陶瓷过滤机矿浆稀释</w:t>
            </w:r>
          </w:p>
        </w:tc>
        <w:tc>
          <w:tcPr>
            <w:tcW w:w="1177" w:type="dxa"/>
            <w:vAlign w:val="center"/>
          </w:tcPr>
          <w:p>
            <w:pPr>
              <w:spacing w:line="240" w:lineRule="auto"/>
              <w:ind w:firstLine="0" w:firstLineChars="0"/>
              <w:jc w:val="center"/>
              <w:rPr>
                <w:color w:val="000000" w:themeColor="text1"/>
                <w:sz w:val="21"/>
                <w:szCs w:val="21"/>
              </w:rPr>
            </w:pPr>
            <w:r>
              <w:rPr>
                <w:color w:val="000000" w:themeColor="text1"/>
                <w:sz w:val="21"/>
                <w:szCs w:val="21"/>
              </w:rPr>
              <w:t>7.8</w:t>
            </w:r>
          </w:p>
        </w:tc>
        <w:tc>
          <w:tcPr>
            <w:tcW w:w="1151"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46"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318" w:type="dxa"/>
            <w:vAlign w:val="center"/>
          </w:tcPr>
          <w:p>
            <w:pPr>
              <w:spacing w:line="240" w:lineRule="auto"/>
              <w:ind w:firstLine="0" w:firstLineChars="0"/>
              <w:jc w:val="center"/>
              <w:rPr>
                <w:color w:val="000000" w:themeColor="text1"/>
                <w:sz w:val="21"/>
                <w:szCs w:val="21"/>
              </w:rPr>
            </w:pPr>
            <w:r>
              <w:rPr>
                <w:color w:val="000000" w:themeColor="text1"/>
                <w:sz w:val="21"/>
                <w:szCs w:val="21"/>
              </w:rPr>
              <w:t>+7.8</w:t>
            </w:r>
          </w:p>
        </w:tc>
        <w:tc>
          <w:tcPr>
            <w:tcW w:w="1251"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color w:val="000000" w:themeColor="text1"/>
                <w:sz w:val="21"/>
                <w:szCs w:val="21"/>
              </w:rPr>
            </w:pPr>
            <w:r>
              <w:rPr>
                <w:color w:val="000000" w:themeColor="text1"/>
                <w:sz w:val="21"/>
                <w:szCs w:val="21"/>
              </w:rPr>
              <w:t>5</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陶瓷过滤机脱水</w:t>
            </w:r>
          </w:p>
        </w:tc>
        <w:tc>
          <w:tcPr>
            <w:tcW w:w="1177"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51" w:type="dxa"/>
            <w:vAlign w:val="center"/>
          </w:tcPr>
          <w:p>
            <w:pPr>
              <w:spacing w:line="240" w:lineRule="auto"/>
              <w:ind w:firstLine="0" w:firstLineChars="0"/>
              <w:jc w:val="center"/>
              <w:rPr>
                <w:color w:val="000000" w:themeColor="text1"/>
                <w:sz w:val="21"/>
                <w:szCs w:val="21"/>
              </w:rPr>
            </w:pPr>
            <w:r>
              <w:rPr>
                <w:color w:val="000000" w:themeColor="text1"/>
                <w:sz w:val="21"/>
                <w:szCs w:val="21"/>
              </w:rPr>
              <w:t>305.8</w:t>
            </w:r>
          </w:p>
        </w:tc>
        <w:tc>
          <w:tcPr>
            <w:tcW w:w="1146"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318"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251" w:type="dxa"/>
            <w:vAlign w:val="center"/>
          </w:tcPr>
          <w:p>
            <w:pPr>
              <w:spacing w:line="240" w:lineRule="auto"/>
              <w:ind w:firstLine="0" w:firstLineChars="0"/>
              <w:jc w:val="center"/>
              <w:rPr>
                <w:color w:val="000000" w:themeColor="text1"/>
                <w:sz w:val="21"/>
                <w:szCs w:val="21"/>
              </w:rPr>
            </w:pPr>
            <w:r>
              <w:rPr>
                <w:color w:val="000000" w:themeColor="text1"/>
                <w:sz w:val="21"/>
                <w:szCs w:val="21"/>
              </w:rPr>
              <w:t>+305.8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color w:val="000000" w:themeColor="text1"/>
                <w:sz w:val="21"/>
                <w:szCs w:val="21"/>
              </w:rPr>
            </w:pPr>
            <w:r>
              <w:rPr>
                <w:color w:val="000000" w:themeColor="text1"/>
                <w:sz w:val="21"/>
                <w:szCs w:val="21"/>
              </w:rPr>
              <w:t>6</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选矿</w:t>
            </w:r>
          </w:p>
        </w:tc>
        <w:tc>
          <w:tcPr>
            <w:tcW w:w="117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1013.3</w:t>
            </w:r>
          </w:p>
        </w:tc>
        <w:tc>
          <w:tcPr>
            <w:tcW w:w="1151" w:type="dxa"/>
            <w:vAlign w:val="center"/>
          </w:tcPr>
          <w:p>
            <w:pPr>
              <w:spacing w:line="240" w:lineRule="auto"/>
              <w:ind w:firstLine="0" w:firstLineChars="0"/>
              <w:jc w:val="center"/>
              <w:rPr>
                <w:color w:val="000000" w:themeColor="text1"/>
                <w:sz w:val="21"/>
                <w:szCs w:val="21"/>
              </w:rPr>
            </w:pPr>
            <w:r>
              <w:rPr>
                <w:color w:val="000000" w:themeColor="text1"/>
                <w:sz w:val="21"/>
                <w:szCs w:val="21"/>
              </w:rPr>
              <w:t>687.41</w:t>
            </w:r>
          </w:p>
        </w:tc>
        <w:tc>
          <w:tcPr>
            <w:tcW w:w="114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1465.8</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1384.8</w:t>
            </w:r>
          </w:p>
        </w:tc>
        <w:tc>
          <w:tcPr>
            <w:tcW w:w="1318" w:type="dxa"/>
            <w:vAlign w:val="center"/>
          </w:tcPr>
          <w:p>
            <w:pPr>
              <w:spacing w:line="240" w:lineRule="auto"/>
              <w:ind w:firstLine="0" w:firstLineChars="0"/>
              <w:jc w:val="center"/>
              <w:rPr>
                <w:color w:val="000000" w:themeColor="text1"/>
                <w:sz w:val="21"/>
                <w:szCs w:val="21"/>
              </w:rPr>
            </w:pPr>
            <w:r>
              <w:rPr>
                <w:color w:val="000000" w:themeColor="text1"/>
                <w:sz w:val="21"/>
                <w:szCs w:val="21"/>
              </w:rPr>
              <w:t>-</w:t>
            </w:r>
            <w:r>
              <w:rPr>
                <w:rFonts w:hint="eastAsia"/>
                <w:color w:val="000000" w:themeColor="text1"/>
                <w:sz w:val="21"/>
                <w:szCs w:val="21"/>
              </w:rPr>
              <w:t>452.5</w:t>
            </w:r>
          </w:p>
        </w:tc>
        <w:tc>
          <w:tcPr>
            <w:tcW w:w="1251" w:type="dxa"/>
            <w:vAlign w:val="center"/>
          </w:tcPr>
          <w:p>
            <w:pPr>
              <w:spacing w:line="240" w:lineRule="auto"/>
              <w:ind w:firstLine="0" w:firstLineChars="0"/>
              <w:jc w:val="center"/>
              <w:rPr>
                <w:color w:val="000000" w:themeColor="text1"/>
                <w:sz w:val="21"/>
                <w:szCs w:val="21"/>
              </w:rPr>
            </w:pPr>
            <w:r>
              <w:rPr>
                <w:color w:val="000000" w:themeColor="text1"/>
                <w:sz w:val="21"/>
                <w:szCs w:val="21"/>
              </w:rPr>
              <w:t>-697.39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color w:val="000000" w:themeColor="text1"/>
                <w:sz w:val="21"/>
                <w:szCs w:val="21"/>
              </w:rPr>
            </w:pPr>
            <w:r>
              <w:rPr>
                <w:color w:val="000000" w:themeColor="text1"/>
                <w:sz w:val="21"/>
                <w:szCs w:val="21"/>
              </w:rPr>
              <w:t>7</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职工生活</w:t>
            </w:r>
          </w:p>
        </w:tc>
        <w:tc>
          <w:tcPr>
            <w:tcW w:w="117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7.2</w:t>
            </w:r>
          </w:p>
        </w:tc>
        <w:tc>
          <w:tcPr>
            <w:tcW w:w="11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5.76</w:t>
            </w:r>
          </w:p>
        </w:tc>
        <w:tc>
          <w:tcPr>
            <w:tcW w:w="114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6.8</w:t>
            </w:r>
          </w:p>
        </w:tc>
        <w:tc>
          <w:tcPr>
            <w:tcW w:w="114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5.44</w:t>
            </w:r>
          </w:p>
        </w:tc>
        <w:tc>
          <w:tcPr>
            <w:tcW w:w="1318"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r>
              <w:rPr>
                <w:rFonts w:hint="eastAsia"/>
                <w:color w:val="000000" w:themeColor="text1"/>
                <w:sz w:val="21"/>
                <w:szCs w:val="21"/>
              </w:rPr>
              <w:t>4</w:t>
            </w:r>
          </w:p>
        </w:tc>
        <w:tc>
          <w:tcPr>
            <w:tcW w:w="1251"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r>
              <w:rPr>
                <w:rFonts w:hint="eastAsia"/>
                <w:color w:val="000000" w:themeColor="text1"/>
                <w:sz w:val="21"/>
                <w:szCs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color w:val="000000" w:themeColor="text1"/>
                <w:sz w:val="21"/>
                <w:szCs w:val="21"/>
              </w:rPr>
            </w:pPr>
            <w:r>
              <w:rPr>
                <w:color w:val="000000" w:themeColor="text1"/>
                <w:sz w:val="21"/>
                <w:szCs w:val="21"/>
              </w:rPr>
              <w:t>8</w:t>
            </w:r>
          </w:p>
        </w:tc>
        <w:tc>
          <w:tcPr>
            <w:tcW w:w="885" w:type="dxa"/>
            <w:vAlign w:val="center"/>
          </w:tcPr>
          <w:p>
            <w:pPr>
              <w:spacing w:line="240" w:lineRule="auto"/>
              <w:ind w:firstLine="0" w:firstLineChars="0"/>
              <w:jc w:val="center"/>
              <w:rPr>
                <w:color w:val="000000" w:themeColor="text1"/>
                <w:sz w:val="21"/>
                <w:szCs w:val="21"/>
              </w:rPr>
            </w:pPr>
            <w:r>
              <w:rPr>
                <w:bCs/>
                <w:color w:val="000000" w:themeColor="text1"/>
                <w:sz w:val="21"/>
                <w:szCs w:val="21"/>
              </w:rPr>
              <w:t>实验及机修</w:t>
            </w:r>
          </w:p>
        </w:tc>
        <w:tc>
          <w:tcPr>
            <w:tcW w:w="1177" w:type="dxa"/>
            <w:vAlign w:val="center"/>
          </w:tcPr>
          <w:p>
            <w:pPr>
              <w:spacing w:line="240" w:lineRule="auto"/>
              <w:ind w:firstLine="0" w:firstLineChars="0"/>
              <w:jc w:val="center"/>
              <w:rPr>
                <w:color w:val="000000" w:themeColor="text1"/>
                <w:sz w:val="21"/>
                <w:szCs w:val="21"/>
              </w:rPr>
            </w:pPr>
            <w:r>
              <w:rPr>
                <w:color w:val="000000" w:themeColor="text1"/>
                <w:sz w:val="21"/>
                <w:szCs w:val="21"/>
              </w:rPr>
              <w:t>1</w:t>
            </w:r>
          </w:p>
        </w:tc>
        <w:tc>
          <w:tcPr>
            <w:tcW w:w="1151" w:type="dxa"/>
            <w:vAlign w:val="center"/>
          </w:tcPr>
          <w:p>
            <w:pPr>
              <w:spacing w:line="240" w:lineRule="auto"/>
              <w:ind w:firstLine="0" w:firstLineChars="0"/>
              <w:jc w:val="center"/>
              <w:rPr>
                <w:color w:val="000000" w:themeColor="text1"/>
                <w:sz w:val="21"/>
                <w:szCs w:val="21"/>
              </w:rPr>
            </w:pPr>
            <w:r>
              <w:rPr>
                <w:color w:val="000000" w:themeColor="text1"/>
                <w:sz w:val="21"/>
                <w:szCs w:val="21"/>
              </w:rPr>
              <w:t>1</w:t>
            </w:r>
          </w:p>
        </w:tc>
        <w:tc>
          <w:tcPr>
            <w:tcW w:w="1146" w:type="dxa"/>
            <w:vAlign w:val="center"/>
          </w:tcPr>
          <w:p>
            <w:pPr>
              <w:spacing w:line="240" w:lineRule="auto"/>
              <w:ind w:firstLine="0" w:firstLineChars="0"/>
              <w:jc w:val="center"/>
              <w:rPr>
                <w:color w:val="000000" w:themeColor="text1"/>
                <w:sz w:val="21"/>
                <w:szCs w:val="21"/>
              </w:rPr>
            </w:pPr>
            <w:r>
              <w:rPr>
                <w:color w:val="000000" w:themeColor="text1"/>
                <w:sz w:val="21"/>
                <w:szCs w:val="21"/>
              </w:rPr>
              <w:t>0.5</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0.5</w:t>
            </w:r>
          </w:p>
        </w:tc>
        <w:tc>
          <w:tcPr>
            <w:tcW w:w="1318" w:type="dxa"/>
            <w:vAlign w:val="center"/>
          </w:tcPr>
          <w:p>
            <w:pPr>
              <w:spacing w:line="240" w:lineRule="auto"/>
              <w:ind w:firstLine="0" w:firstLineChars="0"/>
              <w:jc w:val="center"/>
              <w:rPr>
                <w:color w:val="000000" w:themeColor="text1"/>
                <w:sz w:val="21"/>
                <w:szCs w:val="21"/>
              </w:rPr>
            </w:pPr>
            <w:r>
              <w:rPr>
                <w:color w:val="000000" w:themeColor="text1"/>
                <w:sz w:val="21"/>
                <w:szCs w:val="21"/>
              </w:rPr>
              <w:t>+0.5</w:t>
            </w:r>
          </w:p>
        </w:tc>
        <w:tc>
          <w:tcPr>
            <w:tcW w:w="1251" w:type="dxa"/>
            <w:vAlign w:val="center"/>
          </w:tcPr>
          <w:p>
            <w:pPr>
              <w:spacing w:line="240" w:lineRule="auto"/>
              <w:ind w:firstLine="0" w:firstLineChars="0"/>
              <w:jc w:val="center"/>
              <w:rPr>
                <w:color w:val="000000" w:themeColor="text1"/>
                <w:sz w:val="21"/>
                <w:szCs w:val="21"/>
              </w:rPr>
            </w:pPr>
            <w:r>
              <w:rPr>
                <w:color w:val="000000" w:themeColor="text1"/>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color w:val="000000" w:themeColor="text1"/>
                <w:sz w:val="21"/>
                <w:szCs w:val="21"/>
              </w:rPr>
            </w:pPr>
            <w:r>
              <w:rPr>
                <w:color w:val="000000" w:themeColor="text1"/>
                <w:sz w:val="21"/>
                <w:szCs w:val="21"/>
              </w:rPr>
              <w:t>9</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冷却用水</w:t>
            </w:r>
          </w:p>
        </w:tc>
        <w:tc>
          <w:tcPr>
            <w:tcW w:w="1177" w:type="dxa"/>
            <w:vAlign w:val="center"/>
          </w:tcPr>
          <w:p>
            <w:pPr>
              <w:spacing w:line="240" w:lineRule="auto"/>
              <w:ind w:firstLine="0" w:firstLineChars="0"/>
              <w:jc w:val="center"/>
              <w:rPr>
                <w:color w:val="000000" w:themeColor="text1"/>
                <w:sz w:val="21"/>
                <w:szCs w:val="21"/>
              </w:rPr>
            </w:pPr>
            <w:r>
              <w:rPr>
                <w:color w:val="000000" w:themeColor="text1"/>
                <w:sz w:val="21"/>
                <w:szCs w:val="21"/>
              </w:rPr>
              <w:t>10</w:t>
            </w:r>
          </w:p>
        </w:tc>
        <w:tc>
          <w:tcPr>
            <w:tcW w:w="1151"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46" w:type="dxa"/>
            <w:vAlign w:val="center"/>
          </w:tcPr>
          <w:p>
            <w:pPr>
              <w:spacing w:line="240" w:lineRule="auto"/>
              <w:ind w:firstLine="0" w:firstLineChars="0"/>
              <w:jc w:val="center"/>
              <w:rPr>
                <w:color w:val="000000" w:themeColor="text1"/>
                <w:sz w:val="21"/>
                <w:szCs w:val="21"/>
              </w:rPr>
            </w:pPr>
            <w:r>
              <w:rPr>
                <w:color w:val="000000" w:themeColor="text1"/>
                <w:sz w:val="21"/>
                <w:szCs w:val="21"/>
              </w:rPr>
              <w:t>8</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p>
        </w:tc>
        <w:tc>
          <w:tcPr>
            <w:tcW w:w="1318" w:type="dxa"/>
            <w:vAlign w:val="center"/>
          </w:tcPr>
          <w:p>
            <w:pPr>
              <w:spacing w:line="240" w:lineRule="auto"/>
              <w:ind w:firstLine="0" w:firstLineChars="0"/>
              <w:jc w:val="center"/>
              <w:rPr>
                <w:color w:val="000000" w:themeColor="text1"/>
                <w:sz w:val="21"/>
                <w:szCs w:val="21"/>
              </w:rPr>
            </w:pPr>
            <w:r>
              <w:rPr>
                <w:color w:val="000000" w:themeColor="text1"/>
                <w:sz w:val="21"/>
                <w:szCs w:val="21"/>
              </w:rPr>
              <w:t>+2</w:t>
            </w:r>
          </w:p>
        </w:tc>
        <w:tc>
          <w:tcPr>
            <w:tcW w:w="1251"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color w:val="000000" w:themeColor="text1"/>
                <w:sz w:val="21"/>
                <w:szCs w:val="21"/>
              </w:rPr>
            </w:pPr>
            <w:r>
              <w:rPr>
                <w:color w:val="000000" w:themeColor="text1"/>
                <w:sz w:val="21"/>
                <w:szCs w:val="21"/>
              </w:rPr>
              <w:t>10</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绿化</w:t>
            </w:r>
          </w:p>
        </w:tc>
        <w:tc>
          <w:tcPr>
            <w:tcW w:w="1177" w:type="dxa"/>
            <w:vAlign w:val="center"/>
          </w:tcPr>
          <w:p>
            <w:pPr>
              <w:spacing w:line="240" w:lineRule="auto"/>
              <w:ind w:firstLine="0" w:firstLineChars="0"/>
              <w:jc w:val="center"/>
              <w:rPr>
                <w:color w:val="000000" w:themeColor="text1"/>
                <w:sz w:val="21"/>
                <w:szCs w:val="21"/>
              </w:rPr>
            </w:pPr>
            <w:r>
              <w:rPr>
                <w:color w:val="000000" w:themeColor="text1"/>
                <w:sz w:val="21"/>
                <w:szCs w:val="21"/>
              </w:rPr>
              <w:t>9</w:t>
            </w:r>
          </w:p>
        </w:tc>
        <w:tc>
          <w:tcPr>
            <w:tcW w:w="1151"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p>
        </w:tc>
        <w:tc>
          <w:tcPr>
            <w:tcW w:w="1146" w:type="dxa"/>
            <w:vAlign w:val="center"/>
          </w:tcPr>
          <w:p>
            <w:pPr>
              <w:spacing w:line="240" w:lineRule="auto"/>
              <w:ind w:firstLine="0" w:firstLineChars="0"/>
              <w:jc w:val="center"/>
              <w:rPr>
                <w:color w:val="000000" w:themeColor="text1"/>
                <w:sz w:val="21"/>
                <w:szCs w:val="21"/>
              </w:rPr>
            </w:pPr>
            <w:r>
              <w:rPr>
                <w:color w:val="000000" w:themeColor="text1"/>
                <w:sz w:val="21"/>
                <w:szCs w:val="21"/>
              </w:rPr>
              <w:t>9</w:t>
            </w:r>
          </w:p>
        </w:tc>
        <w:tc>
          <w:tcPr>
            <w:tcW w:w="1148"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p>
        </w:tc>
        <w:tc>
          <w:tcPr>
            <w:tcW w:w="1318"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p>
        </w:tc>
        <w:tc>
          <w:tcPr>
            <w:tcW w:w="1251"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color w:val="000000" w:themeColor="text1"/>
                <w:sz w:val="21"/>
                <w:szCs w:val="21"/>
              </w:rPr>
            </w:pPr>
            <w:r>
              <w:rPr>
                <w:color w:val="000000" w:themeColor="text1"/>
                <w:sz w:val="21"/>
                <w:szCs w:val="21"/>
              </w:rPr>
              <w:t>11</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初期雨水</w:t>
            </w:r>
          </w:p>
        </w:tc>
        <w:tc>
          <w:tcPr>
            <w:tcW w:w="1177"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5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146"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48" w:type="dxa"/>
            <w:vAlign w:val="center"/>
          </w:tcPr>
          <w:p>
            <w:pPr>
              <w:spacing w:line="240" w:lineRule="auto"/>
              <w:ind w:firstLine="0" w:firstLineChars="0"/>
              <w:jc w:val="center"/>
              <w:rPr>
                <w:rFonts w:hint="default" w:eastAsia="宋体"/>
                <w:color w:val="000000" w:themeColor="text1"/>
                <w:sz w:val="21"/>
                <w:szCs w:val="21"/>
                <w:lang w:val="en-US" w:eastAsia="zh-CN"/>
              </w:rPr>
            </w:pPr>
            <w:r>
              <w:rPr>
                <w:rFonts w:hint="eastAsia"/>
                <w:color w:val="000000" w:themeColor="text1"/>
                <w:sz w:val="21"/>
                <w:szCs w:val="21"/>
                <w:lang w:val="en-US" w:eastAsia="zh-CN"/>
              </w:rPr>
              <w:t>137.29</w:t>
            </w:r>
          </w:p>
        </w:tc>
        <w:tc>
          <w:tcPr>
            <w:tcW w:w="131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251" w:type="dxa"/>
            <w:vAlign w:val="center"/>
          </w:tcPr>
          <w:p>
            <w:pPr>
              <w:spacing w:line="240" w:lineRule="auto"/>
              <w:ind w:firstLine="0" w:firstLineChars="0"/>
              <w:jc w:val="center"/>
              <w:rPr>
                <w:rFonts w:hint="default" w:eastAsia="宋体"/>
                <w:color w:val="000000" w:themeColor="text1"/>
                <w:sz w:val="21"/>
                <w:szCs w:val="21"/>
                <w:lang w:val="en-US" w:eastAsia="zh-CN"/>
              </w:rPr>
            </w:pPr>
            <w:r>
              <w:rPr>
                <w:rFonts w:hint="eastAsia"/>
                <w:color w:val="000000" w:themeColor="text1"/>
                <w:sz w:val="21"/>
                <w:szCs w:val="21"/>
                <w:lang w:val="en-US" w:eastAsia="zh-CN"/>
              </w:rPr>
              <w:t>-137.29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9" w:type="dxa"/>
            <w:vAlign w:val="center"/>
          </w:tcPr>
          <w:p>
            <w:pPr>
              <w:spacing w:line="240" w:lineRule="auto"/>
              <w:ind w:firstLine="0" w:firstLineChars="0"/>
              <w:jc w:val="center"/>
              <w:rPr>
                <w:color w:val="000000" w:themeColor="text1"/>
                <w:sz w:val="21"/>
                <w:szCs w:val="21"/>
              </w:rPr>
            </w:pPr>
            <w:r>
              <w:rPr>
                <w:color w:val="000000" w:themeColor="text1"/>
                <w:sz w:val="21"/>
                <w:szCs w:val="21"/>
              </w:rPr>
              <w:t>12</w:t>
            </w:r>
          </w:p>
        </w:tc>
        <w:tc>
          <w:tcPr>
            <w:tcW w:w="885" w:type="dxa"/>
            <w:vAlign w:val="center"/>
          </w:tcPr>
          <w:p>
            <w:pPr>
              <w:spacing w:line="240" w:lineRule="auto"/>
              <w:ind w:firstLine="0" w:firstLineChars="0"/>
              <w:jc w:val="center"/>
              <w:rPr>
                <w:color w:val="000000" w:themeColor="text1"/>
                <w:sz w:val="21"/>
                <w:szCs w:val="21"/>
              </w:rPr>
            </w:pPr>
            <w:r>
              <w:rPr>
                <w:color w:val="000000" w:themeColor="text1"/>
                <w:sz w:val="21"/>
                <w:szCs w:val="21"/>
              </w:rPr>
              <w:t>原矿石堆场淋滤水</w:t>
            </w:r>
          </w:p>
        </w:tc>
        <w:tc>
          <w:tcPr>
            <w:tcW w:w="1177"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51"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4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14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69.36</w:t>
            </w:r>
          </w:p>
        </w:tc>
        <w:tc>
          <w:tcPr>
            <w:tcW w:w="131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251" w:type="dxa"/>
            <w:vAlign w:val="center"/>
          </w:tcPr>
          <w:p>
            <w:pPr>
              <w:spacing w:line="240" w:lineRule="auto"/>
              <w:ind w:firstLine="0" w:firstLineChars="0"/>
              <w:jc w:val="center"/>
              <w:rPr>
                <w:color w:val="000000" w:themeColor="text1"/>
                <w:sz w:val="21"/>
                <w:szCs w:val="21"/>
              </w:rPr>
            </w:pPr>
            <w:r>
              <w:rPr>
                <w:color w:val="000000" w:themeColor="text1"/>
                <w:sz w:val="21"/>
                <w:szCs w:val="21"/>
              </w:rPr>
              <w:t>-6</w:t>
            </w:r>
            <w:r>
              <w:rPr>
                <w:rFonts w:hint="eastAsia"/>
                <w:color w:val="000000" w:themeColor="text1"/>
                <w:sz w:val="21"/>
                <w:szCs w:val="21"/>
              </w:rPr>
              <w:t>9.36</w:t>
            </w:r>
          </w:p>
        </w:tc>
      </w:tr>
    </w:tbl>
    <w:p>
      <w:pPr>
        <w:pStyle w:val="574"/>
        <w:spacing w:beforeLines="0" w:afterLines="0"/>
        <w:rPr>
          <w:rFonts w:eastAsiaTheme="minorEastAsia"/>
          <w:color w:val="000000" w:themeColor="text1"/>
          <w:sz w:val="30"/>
          <w:szCs w:val="30"/>
        </w:rPr>
      </w:pPr>
      <w:bookmarkStart w:id="511" w:name="_Toc16857"/>
      <w:r>
        <w:rPr>
          <w:rFonts w:eastAsiaTheme="minorEastAsia"/>
          <w:color w:val="000000" w:themeColor="text1"/>
          <w:sz w:val="30"/>
          <w:szCs w:val="30"/>
        </w:rPr>
        <w:t>4.3项目关心平衡</w:t>
      </w:r>
      <w:bookmarkEnd w:id="510"/>
      <w:bookmarkEnd w:id="511"/>
    </w:p>
    <w:p>
      <w:pPr>
        <w:pStyle w:val="6"/>
        <w:spacing w:beforeLines="0" w:afterLines="0"/>
        <w:rPr>
          <w:rFonts w:eastAsiaTheme="minorEastAsia"/>
          <w:color w:val="000000" w:themeColor="text1"/>
          <w:sz w:val="28"/>
          <w:szCs w:val="28"/>
        </w:rPr>
      </w:pPr>
      <w:bookmarkStart w:id="512" w:name="_Toc430953654"/>
      <w:bookmarkStart w:id="513" w:name="_Toc31144"/>
      <w:bookmarkStart w:id="514" w:name="_Toc430953862"/>
      <w:bookmarkStart w:id="515" w:name="_Toc410033815"/>
      <w:bookmarkStart w:id="516" w:name="_Toc450603564"/>
      <w:bookmarkStart w:id="517" w:name="_Toc421915853"/>
      <w:bookmarkStart w:id="518" w:name="_Toc430201371"/>
      <w:r>
        <w:rPr>
          <w:rFonts w:eastAsiaTheme="minorEastAsia"/>
          <w:color w:val="000000" w:themeColor="text1"/>
          <w:sz w:val="28"/>
          <w:szCs w:val="28"/>
        </w:rPr>
        <w:t>4.3.1技改项目水量平衡</w:t>
      </w:r>
      <w:bookmarkEnd w:id="512"/>
      <w:bookmarkEnd w:id="513"/>
      <w:bookmarkEnd w:id="514"/>
      <w:bookmarkEnd w:id="515"/>
      <w:bookmarkEnd w:id="516"/>
      <w:bookmarkEnd w:id="517"/>
      <w:bookmarkEnd w:id="518"/>
    </w:p>
    <w:p>
      <w:pPr>
        <w:autoSpaceDE w:val="0"/>
        <w:autoSpaceDN w:val="0"/>
        <w:adjustRightInd w:val="0"/>
        <w:ind w:firstLine="480"/>
        <w:rPr>
          <w:rFonts w:eastAsiaTheme="minorEastAsia"/>
          <w:color w:val="000000" w:themeColor="text1"/>
        </w:rPr>
      </w:pPr>
      <w:r>
        <w:rPr>
          <w:rFonts w:eastAsiaTheme="minorEastAsia"/>
          <w:color w:val="000000" w:themeColor="text1"/>
        </w:rPr>
        <w:t>技改项目水量平衡图见图4.3-1。</w:t>
      </w:r>
    </w:p>
    <w:p>
      <w:pPr>
        <w:pStyle w:val="51"/>
        <w:ind w:left="0" w:firstLine="422"/>
        <w:rPr>
          <w:b/>
          <w:bCs/>
          <w:color w:val="000000" w:themeColor="text1"/>
          <w:lang w:eastAsia="zh-CN"/>
        </w:rPr>
      </w:pPr>
      <w:r>
        <w:rPr>
          <w:b/>
          <w:bCs/>
          <w:color w:val="000000" w:themeColor="text1"/>
          <w:lang w:eastAsia="zh-CN"/>
        </w:rPr>
        <w:object>
          <v:shape id="_x0000_i1039" o:spt="75" type="#_x0000_t75" style="height:457.5pt;width:415.5pt;" o:ole="t" filled="f" o:preferrelative="t" stroked="f" coordsize="21600,21600">
            <v:path/>
            <v:fill on="f" focussize="0,0"/>
            <v:stroke on="f" joinstyle="miter"/>
            <v:imagedata r:id="rId60" o:title=""/>
            <o:lock v:ext="edit" aspectratio="f"/>
            <w10:wrap type="none"/>
            <w10:anchorlock/>
          </v:shape>
          <o:OLEObject Type="Embed" ProgID="Visio.Drawing.11" ShapeID="_x0000_i1039" DrawAspect="Content" ObjectID="_1468075738" r:id="rId59">
            <o:LockedField>false</o:LockedField>
          </o:OLEObject>
        </w:object>
      </w: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图4.3-1</w:t>
      </w:r>
      <w:r>
        <w:rPr>
          <w:rFonts w:hint="eastAsia" w:eastAsiaTheme="minorEastAsia"/>
          <w:b/>
          <w:bCs/>
          <w:color w:val="000000" w:themeColor="text1"/>
          <w:sz w:val="21"/>
          <w:szCs w:val="21"/>
        </w:rPr>
        <w:t>（晴天）</w:t>
      </w:r>
      <w:r>
        <w:rPr>
          <w:rFonts w:eastAsiaTheme="minorEastAsia"/>
          <w:b/>
          <w:bCs/>
          <w:color w:val="000000" w:themeColor="text1"/>
          <w:sz w:val="21"/>
          <w:szCs w:val="21"/>
        </w:rPr>
        <w:t>技改项目水量平衡图</w:t>
      </w:r>
      <w:r>
        <w:rPr>
          <w:rFonts w:hint="eastAsia" w:eastAsiaTheme="minorEastAsia"/>
          <w:b/>
          <w:bCs/>
          <w:color w:val="000000" w:themeColor="text1"/>
          <w:sz w:val="21"/>
          <w:szCs w:val="21"/>
        </w:rPr>
        <w:t xml:space="preserve"> </w:t>
      </w:r>
      <w:r>
        <w:rPr>
          <w:rFonts w:eastAsiaTheme="minorEastAsia"/>
          <w:b/>
          <w:bCs/>
          <w:color w:val="000000" w:themeColor="text1"/>
          <w:sz w:val="21"/>
          <w:szCs w:val="21"/>
        </w:rPr>
        <w:t>单位：m</w:t>
      </w:r>
      <w:r>
        <w:rPr>
          <w:rFonts w:eastAsiaTheme="minorEastAsia"/>
          <w:b/>
          <w:bCs/>
          <w:color w:val="000000" w:themeColor="text1"/>
          <w:sz w:val="21"/>
          <w:szCs w:val="21"/>
          <w:vertAlign w:val="superscript"/>
        </w:rPr>
        <w:t>3</w:t>
      </w:r>
      <w:r>
        <w:rPr>
          <w:rFonts w:eastAsiaTheme="minorEastAsia"/>
          <w:b/>
          <w:bCs/>
          <w:color w:val="000000" w:themeColor="text1"/>
          <w:sz w:val="21"/>
          <w:szCs w:val="21"/>
        </w:rPr>
        <w:t>/d</w:t>
      </w:r>
    </w:p>
    <w:p>
      <w:pPr>
        <w:ind w:firstLine="560"/>
        <w:jc w:val="center"/>
        <w:rPr>
          <w:rFonts w:eastAsiaTheme="minorEastAsia"/>
          <w:b/>
          <w:bCs/>
          <w:color w:val="000000" w:themeColor="text1"/>
          <w:sz w:val="21"/>
          <w:szCs w:val="21"/>
        </w:rPr>
      </w:pPr>
      <w:r>
        <w:rPr>
          <w:rFonts w:eastAsiaTheme="minorEastAsia"/>
          <w:color w:val="000000" w:themeColor="text1"/>
          <w:sz w:val="28"/>
          <w:szCs w:val="28"/>
        </w:rPr>
        <w:object>
          <v:shape id="_x0000_i1040" o:spt="75" type="#_x0000_t75" style="height:504.75pt;width:415.5pt;" o:ole="t" filled="f" o:preferrelative="t" stroked="f" coordsize="21600,21600">
            <v:path/>
            <v:fill on="f" focussize="0,0"/>
            <v:stroke on="f" joinstyle="miter"/>
            <v:imagedata r:id="rId62" o:title=""/>
            <o:lock v:ext="edit" aspectratio="f"/>
            <w10:wrap type="none"/>
            <w10:anchorlock/>
          </v:shape>
          <o:OLEObject Type="Embed" ProgID="Visio.Drawing.11" ShapeID="_x0000_i1040" DrawAspect="Content" ObjectID="_1468075739" r:id="rId61">
            <o:LockedField>false</o:LockedField>
          </o:OLEObject>
        </w:object>
      </w: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图4.3-</w:t>
      </w:r>
      <w:r>
        <w:rPr>
          <w:rFonts w:hint="eastAsia" w:eastAsiaTheme="minorEastAsia"/>
          <w:b/>
          <w:bCs/>
          <w:color w:val="000000" w:themeColor="text1"/>
          <w:sz w:val="21"/>
          <w:szCs w:val="21"/>
        </w:rPr>
        <w:t>2（雨天）</w:t>
      </w:r>
      <w:r>
        <w:rPr>
          <w:rFonts w:eastAsiaTheme="minorEastAsia"/>
          <w:b/>
          <w:bCs/>
          <w:color w:val="000000" w:themeColor="text1"/>
          <w:sz w:val="21"/>
          <w:szCs w:val="21"/>
        </w:rPr>
        <w:t>技改项目水量平衡图</w:t>
      </w:r>
      <w:r>
        <w:rPr>
          <w:rFonts w:hint="eastAsia" w:eastAsiaTheme="minorEastAsia"/>
          <w:b/>
          <w:bCs/>
          <w:color w:val="000000" w:themeColor="text1"/>
          <w:sz w:val="21"/>
          <w:szCs w:val="21"/>
        </w:rPr>
        <w:t xml:space="preserve"> </w:t>
      </w:r>
      <w:r>
        <w:rPr>
          <w:rFonts w:eastAsiaTheme="minorEastAsia"/>
          <w:b/>
          <w:bCs/>
          <w:color w:val="000000" w:themeColor="text1"/>
          <w:sz w:val="21"/>
          <w:szCs w:val="21"/>
        </w:rPr>
        <w:t>单位：m</w:t>
      </w:r>
      <w:r>
        <w:rPr>
          <w:rFonts w:eastAsiaTheme="minorEastAsia"/>
          <w:b/>
          <w:bCs/>
          <w:color w:val="000000" w:themeColor="text1"/>
          <w:sz w:val="21"/>
          <w:szCs w:val="21"/>
          <w:vertAlign w:val="superscript"/>
        </w:rPr>
        <w:t>3</w:t>
      </w:r>
      <w:r>
        <w:rPr>
          <w:rFonts w:eastAsiaTheme="minorEastAsia"/>
          <w:b/>
          <w:bCs/>
          <w:color w:val="000000" w:themeColor="text1"/>
          <w:sz w:val="21"/>
          <w:szCs w:val="21"/>
        </w:rPr>
        <w:t>/d</w:t>
      </w:r>
    </w:p>
    <w:p>
      <w:pPr>
        <w:pStyle w:val="6"/>
        <w:spacing w:beforeLines="0" w:afterLines="0"/>
        <w:rPr>
          <w:rFonts w:eastAsiaTheme="minorEastAsia"/>
          <w:color w:val="000000" w:themeColor="text1"/>
          <w:sz w:val="28"/>
          <w:szCs w:val="28"/>
        </w:rPr>
      </w:pPr>
      <w:bookmarkStart w:id="519" w:name="_Toc6696"/>
      <w:r>
        <w:rPr>
          <w:rFonts w:eastAsiaTheme="minorEastAsia"/>
          <w:color w:val="000000" w:themeColor="text1"/>
          <w:sz w:val="28"/>
          <w:szCs w:val="28"/>
        </w:rPr>
        <w:t>4.3.</w:t>
      </w:r>
      <w:r>
        <w:rPr>
          <w:rFonts w:hint="eastAsia" w:eastAsiaTheme="minorEastAsia"/>
          <w:color w:val="000000" w:themeColor="text1"/>
          <w:sz w:val="28"/>
          <w:szCs w:val="28"/>
        </w:rPr>
        <w:t>2</w:t>
      </w:r>
      <w:r>
        <w:rPr>
          <w:rFonts w:eastAsiaTheme="minorEastAsia"/>
          <w:color w:val="000000" w:themeColor="text1"/>
          <w:sz w:val="28"/>
          <w:szCs w:val="28"/>
        </w:rPr>
        <w:t>技改后原项目水量平衡</w:t>
      </w:r>
      <w:bookmarkEnd w:id="519"/>
    </w:p>
    <w:p>
      <w:pPr>
        <w:pStyle w:val="78"/>
        <w:ind w:firstLine="480"/>
        <w:rPr>
          <w:color w:val="000000" w:themeColor="text1"/>
        </w:rPr>
      </w:pPr>
      <w:r>
        <w:rPr>
          <w:color w:val="000000" w:themeColor="text1"/>
        </w:rPr>
        <w:t>技改后原项目水量平衡图见下图所示：</w:t>
      </w:r>
    </w:p>
    <w:p>
      <w:pPr>
        <w:pStyle w:val="78"/>
        <w:ind w:firstLine="480"/>
        <w:rPr>
          <w:color w:val="000000" w:themeColor="text1"/>
        </w:rPr>
      </w:pPr>
      <w:r>
        <w:rPr>
          <w:color w:val="000000" w:themeColor="text1"/>
        </w:rPr>
        <w:object>
          <v:shape id="_x0000_i1041" o:spt="75" type="#_x0000_t75" style="height:427.5pt;width:415.5pt;" o:ole="t" filled="f" o:preferrelative="t" stroked="f" coordsize="21600,21600">
            <v:path/>
            <v:fill on="f" focussize="0,0"/>
            <v:stroke on="f" joinstyle="miter"/>
            <v:imagedata r:id="rId64" o:title=""/>
            <o:lock v:ext="edit" aspectratio="f"/>
            <w10:wrap type="none"/>
            <w10:anchorlock/>
          </v:shape>
          <o:OLEObject Type="Embed" ProgID="Visio.Drawing.11" ShapeID="_x0000_i1041" DrawAspect="Content" ObjectID="_1468075740" r:id="rId63">
            <o:LockedField>false</o:LockedField>
          </o:OLEObject>
        </w:object>
      </w: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图4.3-</w:t>
      </w:r>
      <w:r>
        <w:rPr>
          <w:rFonts w:hint="eastAsia" w:eastAsiaTheme="minorEastAsia"/>
          <w:b/>
          <w:bCs/>
          <w:color w:val="000000" w:themeColor="text1"/>
          <w:sz w:val="21"/>
          <w:szCs w:val="21"/>
        </w:rPr>
        <w:t>3（晴天）</w:t>
      </w:r>
      <w:r>
        <w:rPr>
          <w:rFonts w:eastAsiaTheme="minorEastAsia"/>
          <w:b/>
          <w:bCs/>
          <w:color w:val="000000" w:themeColor="text1"/>
          <w:sz w:val="21"/>
          <w:szCs w:val="21"/>
        </w:rPr>
        <w:t>技改后原有项目水量平衡图</w:t>
      </w:r>
      <w:r>
        <w:rPr>
          <w:rFonts w:hint="eastAsia" w:eastAsiaTheme="minorEastAsia"/>
          <w:b/>
          <w:bCs/>
          <w:color w:val="000000" w:themeColor="text1"/>
          <w:sz w:val="21"/>
          <w:szCs w:val="21"/>
        </w:rPr>
        <w:t xml:space="preserve"> </w:t>
      </w:r>
      <w:r>
        <w:rPr>
          <w:rFonts w:eastAsiaTheme="minorEastAsia"/>
          <w:b/>
          <w:bCs/>
          <w:color w:val="000000" w:themeColor="text1"/>
          <w:sz w:val="21"/>
          <w:szCs w:val="21"/>
        </w:rPr>
        <w:t>单位：m</w:t>
      </w:r>
      <w:r>
        <w:rPr>
          <w:rFonts w:eastAsiaTheme="minorEastAsia"/>
          <w:b/>
          <w:bCs/>
          <w:color w:val="000000" w:themeColor="text1"/>
          <w:sz w:val="21"/>
          <w:szCs w:val="21"/>
          <w:vertAlign w:val="superscript"/>
        </w:rPr>
        <w:t>3</w:t>
      </w:r>
      <w:r>
        <w:rPr>
          <w:rFonts w:eastAsiaTheme="minorEastAsia"/>
          <w:b/>
          <w:bCs/>
          <w:color w:val="000000" w:themeColor="text1"/>
          <w:sz w:val="21"/>
          <w:szCs w:val="21"/>
        </w:rPr>
        <w:t>/d</w:t>
      </w: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object>
          <v:shape id="_x0000_i1042" o:spt="75" type="#_x0000_t75" style="height:380.25pt;width:415.5pt;" o:ole="t" filled="f" o:preferrelative="t" stroked="f" coordsize="21600,21600">
            <v:path/>
            <v:fill on="f" focussize="0,0"/>
            <v:stroke on="f" joinstyle="miter"/>
            <v:imagedata r:id="rId66" o:title=""/>
            <o:lock v:ext="edit" aspectratio="f"/>
            <w10:wrap type="none"/>
            <w10:anchorlock/>
          </v:shape>
          <o:OLEObject Type="Embed" ProgID="Visio.Drawing.11" ShapeID="_x0000_i1042" DrawAspect="Content" ObjectID="_1468075741" r:id="rId65">
            <o:LockedField>false</o:LockedField>
          </o:OLEObject>
        </w:object>
      </w: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图4.3-</w:t>
      </w:r>
      <w:r>
        <w:rPr>
          <w:rFonts w:hint="eastAsia" w:eastAsiaTheme="minorEastAsia"/>
          <w:b/>
          <w:bCs/>
          <w:color w:val="000000" w:themeColor="text1"/>
          <w:sz w:val="21"/>
          <w:szCs w:val="21"/>
        </w:rPr>
        <w:t>4（雨天）</w:t>
      </w:r>
      <w:r>
        <w:rPr>
          <w:rFonts w:eastAsiaTheme="minorEastAsia"/>
          <w:b/>
          <w:bCs/>
          <w:color w:val="000000" w:themeColor="text1"/>
          <w:sz w:val="21"/>
          <w:szCs w:val="21"/>
        </w:rPr>
        <w:t>技改后原有项目水量平衡图</w:t>
      </w:r>
      <w:r>
        <w:rPr>
          <w:rFonts w:hint="eastAsia" w:eastAsiaTheme="minorEastAsia"/>
          <w:b/>
          <w:bCs/>
          <w:color w:val="000000" w:themeColor="text1"/>
          <w:sz w:val="21"/>
          <w:szCs w:val="21"/>
        </w:rPr>
        <w:t xml:space="preserve"> </w:t>
      </w:r>
      <w:r>
        <w:rPr>
          <w:rFonts w:eastAsiaTheme="minorEastAsia"/>
          <w:b/>
          <w:bCs/>
          <w:color w:val="000000" w:themeColor="text1"/>
          <w:sz w:val="21"/>
          <w:szCs w:val="21"/>
        </w:rPr>
        <w:t>单位：m</w:t>
      </w:r>
      <w:r>
        <w:rPr>
          <w:rFonts w:eastAsiaTheme="minorEastAsia"/>
          <w:b/>
          <w:bCs/>
          <w:color w:val="000000" w:themeColor="text1"/>
          <w:sz w:val="21"/>
          <w:szCs w:val="21"/>
          <w:vertAlign w:val="superscript"/>
        </w:rPr>
        <w:t>3</w:t>
      </w:r>
      <w:r>
        <w:rPr>
          <w:rFonts w:eastAsiaTheme="minorEastAsia"/>
          <w:b/>
          <w:bCs/>
          <w:color w:val="000000" w:themeColor="text1"/>
          <w:sz w:val="21"/>
          <w:szCs w:val="21"/>
        </w:rPr>
        <w:t>/d</w:t>
      </w:r>
    </w:p>
    <w:p>
      <w:pPr>
        <w:pStyle w:val="6"/>
        <w:spacing w:beforeLines="0" w:afterLines="0"/>
        <w:rPr>
          <w:rFonts w:eastAsiaTheme="minorEastAsia"/>
          <w:color w:val="000000" w:themeColor="text1"/>
          <w:sz w:val="28"/>
          <w:szCs w:val="28"/>
        </w:rPr>
      </w:pPr>
      <w:bookmarkStart w:id="520" w:name="_Toc29775"/>
      <w:r>
        <w:rPr>
          <w:rFonts w:eastAsiaTheme="minorEastAsia"/>
          <w:color w:val="000000" w:themeColor="text1"/>
          <w:sz w:val="28"/>
          <w:szCs w:val="28"/>
        </w:rPr>
        <w:t>4.3.</w:t>
      </w:r>
      <w:r>
        <w:rPr>
          <w:rFonts w:hint="eastAsia" w:eastAsiaTheme="minorEastAsia"/>
          <w:color w:val="000000" w:themeColor="text1"/>
          <w:sz w:val="28"/>
          <w:szCs w:val="28"/>
        </w:rPr>
        <w:t>3</w:t>
      </w:r>
      <w:r>
        <w:rPr>
          <w:rFonts w:eastAsiaTheme="minorEastAsia"/>
          <w:color w:val="000000" w:themeColor="text1"/>
          <w:sz w:val="28"/>
          <w:szCs w:val="28"/>
        </w:rPr>
        <w:t>全厂水量平衡</w:t>
      </w:r>
      <w:bookmarkEnd w:id="520"/>
    </w:p>
    <w:p>
      <w:pPr>
        <w:ind w:firstLine="480"/>
        <w:jc w:val="center"/>
        <w:rPr>
          <w:rFonts w:eastAsiaTheme="minorEastAsia"/>
          <w:b/>
          <w:bCs/>
          <w:color w:val="000000" w:themeColor="text1"/>
          <w:sz w:val="21"/>
          <w:szCs w:val="21"/>
        </w:rPr>
      </w:pPr>
      <w:r>
        <w:rPr>
          <w:rFonts w:eastAsiaTheme="minorEastAsia"/>
          <w:color w:val="000000" w:themeColor="text1"/>
        </w:rPr>
        <w:object>
          <v:shape id="_x0000_i1043" o:spt="75" type="#_x0000_t75" style="height:590.25pt;width:415.5pt;" o:ole="t" filled="f" o:preferrelative="t" stroked="f" coordsize="21600,21600">
            <v:path/>
            <v:fill on="f" focussize="0,0"/>
            <v:stroke on="f" joinstyle="miter"/>
            <v:imagedata r:id="rId68" o:title=""/>
            <o:lock v:ext="edit" aspectratio="f"/>
            <w10:wrap type="none"/>
            <w10:anchorlock/>
          </v:shape>
          <o:OLEObject Type="Embed" ProgID="Visio.Drawing.11" ShapeID="_x0000_i1043" DrawAspect="Content" ObjectID="_1468075742" r:id="rId67">
            <o:LockedField>false</o:LockedField>
          </o:OLEObject>
        </w:object>
      </w: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图4.3-</w:t>
      </w:r>
      <w:r>
        <w:rPr>
          <w:rFonts w:hint="eastAsia" w:eastAsiaTheme="minorEastAsia"/>
          <w:b/>
          <w:bCs/>
          <w:color w:val="000000" w:themeColor="text1"/>
          <w:sz w:val="21"/>
          <w:szCs w:val="21"/>
        </w:rPr>
        <w:t>5（晴天）</w:t>
      </w:r>
      <w:r>
        <w:rPr>
          <w:rFonts w:eastAsiaTheme="minorEastAsia"/>
          <w:b/>
          <w:bCs/>
          <w:color w:val="000000" w:themeColor="text1"/>
          <w:sz w:val="21"/>
          <w:szCs w:val="21"/>
        </w:rPr>
        <w:t>全厂水量平衡图</w:t>
      </w:r>
      <w:r>
        <w:rPr>
          <w:rFonts w:hint="eastAsia" w:eastAsiaTheme="minorEastAsia"/>
          <w:b/>
          <w:bCs/>
          <w:color w:val="000000" w:themeColor="text1"/>
          <w:sz w:val="21"/>
          <w:szCs w:val="21"/>
        </w:rPr>
        <w:t xml:space="preserve"> </w:t>
      </w:r>
      <w:r>
        <w:rPr>
          <w:rFonts w:eastAsiaTheme="minorEastAsia"/>
          <w:b/>
          <w:bCs/>
          <w:color w:val="000000" w:themeColor="text1"/>
          <w:sz w:val="21"/>
          <w:szCs w:val="21"/>
        </w:rPr>
        <w:t>单位：m</w:t>
      </w:r>
      <w:r>
        <w:rPr>
          <w:rFonts w:eastAsiaTheme="minorEastAsia"/>
          <w:b/>
          <w:bCs/>
          <w:color w:val="000000" w:themeColor="text1"/>
          <w:sz w:val="21"/>
          <w:szCs w:val="21"/>
          <w:vertAlign w:val="superscript"/>
        </w:rPr>
        <w:t>3</w:t>
      </w:r>
      <w:r>
        <w:rPr>
          <w:rFonts w:eastAsiaTheme="minorEastAsia"/>
          <w:b/>
          <w:bCs/>
          <w:color w:val="000000" w:themeColor="text1"/>
          <w:sz w:val="21"/>
          <w:szCs w:val="21"/>
        </w:rPr>
        <w:t>/d</w:t>
      </w:r>
    </w:p>
    <w:p>
      <w:pPr>
        <w:ind w:firstLine="422"/>
        <w:jc w:val="center"/>
        <w:rPr>
          <w:rFonts w:eastAsiaTheme="minorEastAsia"/>
          <w:color w:val="000000" w:themeColor="text1"/>
          <w:sz w:val="28"/>
          <w:szCs w:val="28"/>
        </w:rPr>
      </w:pPr>
      <w:r>
        <w:rPr>
          <w:rFonts w:eastAsiaTheme="minorEastAsia"/>
          <w:b/>
          <w:bCs/>
          <w:color w:val="000000" w:themeColor="text1"/>
          <w:sz w:val="21"/>
          <w:szCs w:val="21"/>
        </w:rPr>
        <w:object>
          <v:shape id="_x0000_i1044" o:spt="75" type="#_x0000_t75" style="height:577.5pt;width:415.5pt;" o:ole="t" filled="f" o:preferrelative="t" stroked="f" coordsize="21600,21600">
            <v:path/>
            <v:fill on="f" focussize="0,0"/>
            <v:stroke on="f" joinstyle="miter"/>
            <v:imagedata r:id="rId70" o:title=""/>
            <o:lock v:ext="edit" aspectratio="f"/>
            <w10:wrap type="none"/>
            <w10:anchorlock/>
          </v:shape>
          <o:OLEObject Type="Embed" ProgID="Visio.Drawing.11" ShapeID="_x0000_i1044" DrawAspect="Content" ObjectID="_1468075743" r:id="rId69">
            <o:LockedField>false</o:LockedField>
          </o:OLEObject>
        </w:object>
      </w:r>
      <w:r>
        <w:rPr>
          <w:rFonts w:eastAsiaTheme="minorEastAsia"/>
          <w:b/>
          <w:bCs/>
          <w:color w:val="000000" w:themeColor="text1"/>
          <w:sz w:val="21"/>
          <w:szCs w:val="21"/>
        </w:rPr>
        <w:t>图4.3-</w:t>
      </w:r>
      <w:r>
        <w:rPr>
          <w:rFonts w:hint="eastAsia" w:eastAsiaTheme="minorEastAsia"/>
          <w:b/>
          <w:bCs/>
          <w:color w:val="000000" w:themeColor="text1"/>
          <w:sz w:val="21"/>
          <w:szCs w:val="21"/>
        </w:rPr>
        <w:t>6（雨天）</w:t>
      </w:r>
      <w:r>
        <w:rPr>
          <w:rFonts w:eastAsiaTheme="minorEastAsia"/>
          <w:b/>
          <w:bCs/>
          <w:color w:val="000000" w:themeColor="text1"/>
          <w:sz w:val="21"/>
          <w:szCs w:val="21"/>
        </w:rPr>
        <w:t>全厂水量平衡图</w:t>
      </w:r>
      <w:r>
        <w:rPr>
          <w:rFonts w:hint="eastAsia" w:eastAsiaTheme="minorEastAsia"/>
          <w:b/>
          <w:bCs/>
          <w:color w:val="000000" w:themeColor="text1"/>
          <w:sz w:val="21"/>
          <w:szCs w:val="21"/>
        </w:rPr>
        <w:t xml:space="preserve"> </w:t>
      </w:r>
      <w:r>
        <w:rPr>
          <w:rFonts w:eastAsiaTheme="minorEastAsia"/>
          <w:b/>
          <w:bCs/>
          <w:color w:val="000000" w:themeColor="text1"/>
          <w:sz w:val="21"/>
          <w:szCs w:val="21"/>
        </w:rPr>
        <w:t>单位：m</w:t>
      </w:r>
      <w:r>
        <w:rPr>
          <w:rFonts w:eastAsiaTheme="minorEastAsia"/>
          <w:b/>
          <w:bCs/>
          <w:color w:val="000000" w:themeColor="text1"/>
          <w:sz w:val="21"/>
          <w:szCs w:val="21"/>
          <w:vertAlign w:val="superscript"/>
        </w:rPr>
        <w:t>3</w:t>
      </w:r>
      <w:r>
        <w:rPr>
          <w:rFonts w:eastAsiaTheme="minorEastAsia"/>
          <w:b/>
          <w:bCs/>
          <w:color w:val="000000" w:themeColor="text1"/>
          <w:sz w:val="21"/>
          <w:szCs w:val="21"/>
        </w:rPr>
        <w:t>/d</w:t>
      </w:r>
    </w:p>
    <w:p>
      <w:pPr>
        <w:pStyle w:val="6"/>
        <w:spacing w:beforeLines="0" w:afterLines="0"/>
        <w:rPr>
          <w:rFonts w:eastAsiaTheme="minorEastAsia"/>
          <w:color w:val="000000" w:themeColor="text1"/>
          <w:sz w:val="28"/>
          <w:szCs w:val="28"/>
        </w:rPr>
      </w:pPr>
      <w:bookmarkStart w:id="521" w:name="_Toc14488"/>
      <w:r>
        <w:rPr>
          <w:rFonts w:eastAsiaTheme="minorEastAsia"/>
          <w:color w:val="000000" w:themeColor="text1"/>
          <w:sz w:val="28"/>
          <w:szCs w:val="28"/>
        </w:rPr>
        <w:t>4.3.</w:t>
      </w:r>
      <w:r>
        <w:rPr>
          <w:rFonts w:hint="eastAsia" w:eastAsiaTheme="minorEastAsia"/>
          <w:color w:val="000000" w:themeColor="text1"/>
          <w:sz w:val="28"/>
          <w:szCs w:val="28"/>
        </w:rPr>
        <w:t>4</w:t>
      </w:r>
      <w:r>
        <w:rPr>
          <w:rFonts w:eastAsiaTheme="minorEastAsia"/>
          <w:color w:val="000000" w:themeColor="text1"/>
          <w:sz w:val="28"/>
          <w:szCs w:val="28"/>
        </w:rPr>
        <w:t>物料及元素平衡</w:t>
      </w:r>
      <w:bookmarkEnd w:id="521"/>
    </w:p>
    <w:p>
      <w:pPr>
        <w:ind w:firstLine="480"/>
        <w:rPr>
          <w:rFonts w:eastAsiaTheme="minorEastAsia"/>
          <w:b/>
          <w:bCs/>
          <w:color w:val="000000" w:themeColor="text1"/>
          <w:sz w:val="21"/>
          <w:szCs w:val="21"/>
        </w:rPr>
      </w:pPr>
      <w:r>
        <w:rPr>
          <w:rFonts w:hint="eastAsia" w:eastAsiaTheme="minorEastAsia"/>
          <w:color w:val="000000" w:themeColor="text1"/>
        </w:rPr>
        <w:t>本项目主要原料为铁矿石及购买回来的三级精铁矿，产品有砂石料、铁精矿，原铁矿石铁平均品位为22.3%，本项目自产和购买的三级铁精矿的平均品位为62%，技改项目尾矿的含铁量为10%，各物料铁成分情况见下表所示：</w:t>
      </w:r>
    </w:p>
    <w:p>
      <w:pPr>
        <w:pStyle w:val="78"/>
        <w:ind w:firstLine="0" w:firstLineChars="0"/>
        <w:jc w:val="center"/>
        <w:rPr>
          <w:rFonts w:eastAsiaTheme="minorEastAsia"/>
          <w:b/>
          <w:color w:val="000000" w:themeColor="text1"/>
          <w:sz w:val="21"/>
          <w:szCs w:val="20"/>
        </w:rPr>
      </w:pPr>
      <w:r>
        <w:rPr>
          <w:rFonts w:hint="eastAsia" w:eastAsiaTheme="minorEastAsia"/>
          <w:b/>
          <w:bCs/>
          <w:color w:val="000000" w:themeColor="text1"/>
          <w:sz w:val="21"/>
          <w:szCs w:val="21"/>
        </w:rPr>
        <w:t>表4.3-1 各物料铁成分含量一览表</w:t>
      </w:r>
    </w:p>
    <w:tbl>
      <w:tblPr>
        <w:tblStyle w:val="62"/>
        <w:tblW w:w="852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08"/>
        <w:gridCol w:w="1559"/>
        <w:gridCol w:w="1422"/>
        <w:gridCol w:w="21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40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名称</w:t>
            </w:r>
          </w:p>
        </w:tc>
        <w:tc>
          <w:tcPr>
            <w:tcW w:w="155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产量（t/a）</w:t>
            </w:r>
          </w:p>
        </w:tc>
        <w:tc>
          <w:tcPr>
            <w:tcW w:w="1422"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平均品位TFe</w:t>
            </w:r>
          </w:p>
        </w:tc>
        <w:tc>
          <w:tcPr>
            <w:tcW w:w="213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产品中铁含量（t/a）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40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铁矿石原料（含水率6%）</w:t>
            </w:r>
          </w:p>
        </w:tc>
        <w:tc>
          <w:tcPr>
            <w:tcW w:w="155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150000</w:t>
            </w:r>
          </w:p>
        </w:tc>
        <w:tc>
          <w:tcPr>
            <w:tcW w:w="1422"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22.3%</w:t>
            </w:r>
          </w:p>
        </w:tc>
        <w:tc>
          <w:tcPr>
            <w:tcW w:w="213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33450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40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副产品砂石料（含水率6%）</w:t>
            </w:r>
          </w:p>
        </w:tc>
        <w:tc>
          <w:tcPr>
            <w:tcW w:w="155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82500</w:t>
            </w:r>
          </w:p>
        </w:tc>
        <w:tc>
          <w:tcPr>
            <w:tcW w:w="1422"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2.91%</w:t>
            </w:r>
          </w:p>
        </w:tc>
        <w:tc>
          <w:tcPr>
            <w:tcW w:w="213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2402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40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自产三级精铁矿（含水率10%）</w:t>
            </w:r>
          </w:p>
        </w:tc>
        <w:tc>
          <w:tcPr>
            <w:tcW w:w="155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40000</w:t>
            </w:r>
          </w:p>
        </w:tc>
        <w:tc>
          <w:tcPr>
            <w:tcW w:w="1422"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62%</w:t>
            </w:r>
          </w:p>
        </w:tc>
        <w:tc>
          <w:tcPr>
            <w:tcW w:w="213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24800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40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购买三级精铁矿（含水率10%）</w:t>
            </w:r>
          </w:p>
        </w:tc>
        <w:tc>
          <w:tcPr>
            <w:tcW w:w="155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70000</w:t>
            </w:r>
          </w:p>
        </w:tc>
        <w:tc>
          <w:tcPr>
            <w:tcW w:w="1422"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62%</w:t>
            </w:r>
          </w:p>
        </w:tc>
        <w:tc>
          <w:tcPr>
            <w:tcW w:w="213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43400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40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尾矿（含水率50%）技改项目</w:t>
            </w:r>
          </w:p>
        </w:tc>
        <w:tc>
          <w:tcPr>
            <w:tcW w:w="155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31874.126</w:t>
            </w:r>
          </w:p>
        </w:tc>
        <w:tc>
          <w:tcPr>
            <w:tcW w:w="1422"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w:t>
            </w:r>
          </w:p>
        </w:tc>
        <w:tc>
          <w:tcPr>
            <w:tcW w:w="213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3187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40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尾矿（含水率50%）技改后原项目</w:t>
            </w:r>
          </w:p>
        </w:tc>
        <w:tc>
          <w:tcPr>
            <w:tcW w:w="155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39446.31</w:t>
            </w:r>
          </w:p>
        </w:tc>
        <w:tc>
          <w:tcPr>
            <w:tcW w:w="1422"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15.872%</w:t>
            </w:r>
          </w:p>
        </w:tc>
        <w:tc>
          <w:tcPr>
            <w:tcW w:w="213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6261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408"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产品铁精矿（含水率10%）</w:t>
            </w:r>
          </w:p>
        </w:tc>
        <w:tc>
          <w:tcPr>
            <w:tcW w:w="155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100000</w:t>
            </w:r>
          </w:p>
        </w:tc>
        <w:tc>
          <w:tcPr>
            <w:tcW w:w="1422"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65%</w:t>
            </w:r>
          </w:p>
        </w:tc>
        <w:tc>
          <w:tcPr>
            <w:tcW w:w="213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65000</w:t>
            </w:r>
          </w:p>
        </w:tc>
      </w:tr>
    </w:tbl>
    <w:p>
      <w:pPr>
        <w:pStyle w:val="78"/>
        <w:ind w:firstLine="422"/>
        <w:jc w:val="center"/>
        <w:rPr>
          <w:rFonts w:eastAsiaTheme="minorEastAsia"/>
          <w:b/>
          <w:color w:val="000000" w:themeColor="text1"/>
          <w:sz w:val="21"/>
          <w:szCs w:val="20"/>
        </w:rPr>
      </w:pPr>
      <w:r>
        <w:rPr>
          <w:rFonts w:hint="eastAsia" w:eastAsiaTheme="minorEastAsia"/>
          <w:b/>
          <w:color w:val="000000" w:themeColor="text1"/>
          <w:sz w:val="21"/>
          <w:szCs w:val="20"/>
        </w:rPr>
        <w:t>表4.3-2 物料折干情况一览表</w:t>
      </w:r>
    </w:p>
    <w:tbl>
      <w:tblPr>
        <w:tblStyle w:val="62"/>
        <w:tblW w:w="852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33"/>
        <w:gridCol w:w="2350"/>
        <w:gridCol w:w="2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33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名称</w:t>
            </w:r>
          </w:p>
        </w:tc>
        <w:tc>
          <w:tcPr>
            <w:tcW w:w="235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产量（t/a）</w:t>
            </w:r>
          </w:p>
        </w:tc>
        <w:tc>
          <w:tcPr>
            <w:tcW w:w="2842"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折干（t/a）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33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原矿石（含水率6%）</w:t>
            </w:r>
          </w:p>
        </w:tc>
        <w:tc>
          <w:tcPr>
            <w:tcW w:w="235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150000</w:t>
            </w:r>
          </w:p>
        </w:tc>
        <w:tc>
          <w:tcPr>
            <w:tcW w:w="2842" w:type="dxa"/>
            <w:vAlign w:val="center"/>
          </w:tcPr>
          <w:p>
            <w:pPr>
              <w:ind w:firstLine="0" w:firstLineChars="0"/>
              <w:jc w:val="center"/>
              <w:rPr>
                <w:color w:val="000000" w:themeColor="text1"/>
                <w:sz w:val="21"/>
                <w:szCs w:val="21"/>
              </w:rPr>
            </w:pPr>
            <w:r>
              <w:rPr>
                <w:rFonts w:hint="eastAsia"/>
                <w:color w:val="000000" w:themeColor="text1"/>
                <w:sz w:val="21"/>
                <w:szCs w:val="21"/>
              </w:rPr>
              <w:t>141000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33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副产品砂石料（含水率6%）</w:t>
            </w:r>
          </w:p>
        </w:tc>
        <w:tc>
          <w:tcPr>
            <w:tcW w:w="235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82500</w:t>
            </w:r>
          </w:p>
        </w:tc>
        <w:tc>
          <w:tcPr>
            <w:tcW w:w="2842" w:type="dxa"/>
            <w:vAlign w:val="center"/>
          </w:tcPr>
          <w:p>
            <w:pPr>
              <w:ind w:firstLine="0" w:firstLineChars="0"/>
              <w:jc w:val="center"/>
              <w:rPr>
                <w:color w:val="000000" w:themeColor="text1"/>
                <w:sz w:val="21"/>
                <w:szCs w:val="28"/>
              </w:rPr>
            </w:pPr>
            <w:r>
              <w:rPr>
                <w:rFonts w:hint="eastAsia"/>
                <w:color w:val="000000" w:themeColor="text1"/>
                <w:sz w:val="21"/>
                <w:szCs w:val="28"/>
              </w:rPr>
              <w:t>77550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33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自产三级精铁矿（含水率10%）</w:t>
            </w:r>
          </w:p>
        </w:tc>
        <w:tc>
          <w:tcPr>
            <w:tcW w:w="235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40000</w:t>
            </w:r>
          </w:p>
        </w:tc>
        <w:tc>
          <w:tcPr>
            <w:tcW w:w="2842" w:type="dxa"/>
            <w:vAlign w:val="center"/>
          </w:tcPr>
          <w:p>
            <w:pPr>
              <w:ind w:firstLine="0" w:firstLineChars="0"/>
              <w:jc w:val="center"/>
              <w:rPr>
                <w:color w:val="000000" w:themeColor="text1"/>
                <w:sz w:val="21"/>
                <w:szCs w:val="21"/>
              </w:rPr>
            </w:pPr>
            <w:r>
              <w:rPr>
                <w:rFonts w:hint="eastAsia"/>
                <w:color w:val="000000" w:themeColor="text1"/>
                <w:sz w:val="21"/>
                <w:szCs w:val="21"/>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33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购买三级精铁矿（含水率10%）</w:t>
            </w:r>
          </w:p>
        </w:tc>
        <w:tc>
          <w:tcPr>
            <w:tcW w:w="235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70000</w:t>
            </w:r>
          </w:p>
        </w:tc>
        <w:tc>
          <w:tcPr>
            <w:tcW w:w="2842" w:type="dxa"/>
            <w:vAlign w:val="center"/>
          </w:tcPr>
          <w:p>
            <w:pPr>
              <w:ind w:firstLine="0" w:firstLineChars="0"/>
              <w:jc w:val="center"/>
              <w:rPr>
                <w:color w:val="000000" w:themeColor="text1"/>
                <w:sz w:val="21"/>
                <w:szCs w:val="21"/>
              </w:rPr>
            </w:pPr>
            <w:r>
              <w:rPr>
                <w:rFonts w:hint="eastAsia"/>
                <w:color w:val="000000" w:themeColor="text1"/>
                <w:sz w:val="21"/>
                <w:szCs w:val="21"/>
              </w:rPr>
              <w:t>63000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33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技改项目尾矿（含水率50%）</w:t>
            </w:r>
          </w:p>
        </w:tc>
        <w:tc>
          <w:tcPr>
            <w:tcW w:w="235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31874.126</w:t>
            </w:r>
          </w:p>
        </w:tc>
        <w:tc>
          <w:tcPr>
            <w:tcW w:w="2842" w:type="dxa"/>
            <w:vAlign w:val="center"/>
          </w:tcPr>
          <w:p>
            <w:pPr>
              <w:ind w:firstLine="0" w:firstLineChars="0"/>
              <w:jc w:val="center"/>
              <w:rPr>
                <w:color w:val="000000" w:themeColor="text1"/>
                <w:sz w:val="21"/>
                <w:szCs w:val="21"/>
              </w:rPr>
            </w:pPr>
            <w:r>
              <w:rPr>
                <w:rFonts w:hint="eastAsia"/>
                <w:color w:val="000000" w:themeColor="text1"/>
                <w:sz w:val="21"/>
                <w:szCs w:val="21"/>
              </w:rPr>
              <w:t>15937.063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33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技改后原项目尾矿（含水率50%）</w:t>
            </w:r>
          </w:p>
        </w:tc>
        <w:tc>
          <w:tcPr>
            <w:tcW w:w="235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39446.31</w:t>
            </w:r>
          </w:p>
        </w:tc>
        <w:tc>
          <w:tcPr>
            <w:tcW w:w="2842" w:type="dxa"/>
            <w:vAlign w:val="center"/>
          </w:tcPr>
          <w:p>
            <w:pPr>
              <w:ind w:firstLine="0" w:firstLineChars="0"/>
              <w:jc w:val="center"/>
              <w:rPr>
                <w:color w:val="000000" w:themeColor="text1"/>
                <w:sz w:val="21"/>
                <w:szCs w:val="21"/>
              </w:rPr>
            </w:pPr>
            <w:r>
              <w:rPr>
                <w:rFonts w:hint="eastAsia"/>
                <w:color w:val="000000" w:themeColor="text1"/>
                <w:sz w:val="21"/>
                <w:szCs w:val="21"/>
              </w:rPr>
              <w:t>19723.155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33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铁精矿（含水率10%）</w:t>
            </w:r>
          </w:p>
        </w:tc>
        <w:tc>
          <w:tcPr>
            <w:tcW w:w="235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100000</w:t>
            </w:r>
          </w:p>
        </w:tc>
        <w:tc>
          <w:tcPr>
            <w:tcW w:w="2842" w:type="dxa"/>
            <w:vAlign w:val="center"/>
          </w:tcPr>
          <w:p>
            <w:pPr>
              <w:ind w:firstLine="0" w:firstLineChars="0"/>
              <w:jc w:val="center"/>
              <w:rPr>
                <w:color w:val="000000" w:themeColor="text1"/>
                <w:sz w:val="21"/>
                <w:szCs w:val="21"/>
              </w:rPr>
            </w:pPr>
            <w:r>
              <w:rPr>
                <w:rFonts w:hint="eastAsia"/>
                <w:color w:val="000000" w:themeColor="text1"/>
                <w:sz w:val="21"/>
                <w:szCs w:val="21"/>
              </w:rPr>
              <w:t>90000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exact"/>
          <w:jc w:val="center"/>
        </w:trPr>
        <w:tc>
          <w:tcPr>
            <w:tcW w:w="333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铜精矿（含水率10%）</w:t>
            </w:r>
          </w:p>
        </w:tc>
        <w:tc>
          <w:tcPr>
            <w:tcW w:w="235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650</w:t>
            </w:r>
          </w:p>
        </w:tc>
        <w:tc>
          <w:tcPr>
            <w:tcW w:w="2842" w:type="dxa"/>
            <w:vAlign w:val="center"/>
          </w:tcPr>
          <w:p>
            <w:pPr>
              <w:ind w:firstLine="0" w:firstLineChars="0"/>
              <w:jc w:val="center"/>
              <w:rPr>
                <w:color w:val="000000" w:themeColor="text1"/>
                <w:sz w:val="21"/>
                <w:szCs w:val="21"/>
              </w:rPr>
            </w:pPr>
            <w:r>
              <w:rPr>
                <w:rFonts w:hint="eastAsia"/>
                <w:color w:val="000000" w:themeColor="text1"/>
                <w:sz w:val="21"/>
                <w:szCs w:val="21"/>
              </w:rPr>
              <w:t>585</w:t>
            </w:r>
          </w:p>
        </w:tc>
      </w:tr>
    </w:tbl>
    <w:p>
      <w:pPr>
        <w:pStyle w:val="78"/>
        <w:ind w:firstLine="480"/>
        <w:jc w:val="both"/>
        <w:rPr>
          <w:rFonts w:eastAsiaTheme="minorEastAsia"/>
          <w:bCs/>
          <w:color w:val="000000" w:themeColor="text1"/>
          <w:szCs w:val="24"/>
        </w:rPr>
      </w:pPr>
      <w:r>
        <w:rPr>
          <w:rFonts w:hint="eastAsia" w:eastAsiaTheme="minorEastAsia"/>
          <w:bCs/>
          <w:color w:val="000000" w:themeColor="text1"/>
          <w:szCs w:val="24"/>
        </w:rPr>
        <w:t>技改后，项目物料平衡情况见下所示：</w:t>
      </w:r>
    </w:p>
    <w:p>
      <w:pPr>
        <w:pStyle w:val="78"/>
        <w:ind w:firstLine="422"/>
        <w:jc w:val="center"/>
        <w:rPr>
          <w:rFonts w:eastAsiaTheme="minorEastAsia"/>
          <w:b/>
          <w:color w:val="000000" w:themeColor="text1"/>
          <w:sz w:val="21"/>
          <w:szCs w:val="20"/>
        </w:rPr>
      </w:pPr>
      <w:r>
        <w:rPr>
          <w:rFonts w:hint="eastAsia" w:eastAsiaTheme="minorEastAsia"/>
          <w:b/>
          <w:color w:val="000000" w:themeColor="text1"/>
          <w:sz w:val="21"/>
          <w:szCs w:val="20"/>
        </w:rPr>
        <w:t>表4.3-3 项目物料平衡一览表</w:t>
      </w:r>
    </w:p>
    <w:tbl>
      <w:tblPr>
        <w:tblStyle w:val="6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1"/>
        <w:gridCol w:w="2385"/>
        <w:gridCol w:w="2553"/>
        <w:gridCol w:w="19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6" w:type="dxa"/>
            <w:gridSpan w:val="2"/>
            <w:vAlign w:val="center"/>
          </w:tcPr>
          <w:p>
            <w:pPr>
              <w:spacing w:line="240" w:lineRule="auto"/>
              <w:ind w:firstLine="0" w:firstLineChars="0"/>
              <w:jc w:val="center"/>
              <w:rPr>
                <w:color w:val="000000" w:themeColor="text1"/>
                <w:sz w:val="21"/>
                <w:szCs w:val="21"/>
              </w:rPr>
            </w:pPr>
            <w:r>
              <w:rPr>
                <w:color w:val="000000" w:themeColor="text1"/>
                <w:sz w:val="21"/>
                <w:szCs w:val="21"/>
              </w:rPr>
              <w:t>进料</w:t>
            </w:r>
          </w:p>
        </w:tc>
        <w:tc>
          <w:tcPr>
            <w:tcW w:w="4456" w:type="dxa"/>
            <w:gridSpan w:val="2"/>
            <w:vAlign w:val="center"/>
          </w:tcPr>
          <w:p>
            <w:pPr>
              <w:spacing w:line="240" w:lineRule="auto"/>
              <w:ind w:firstLine="0" w:firstLineChars="0"/>
              <w:jc w:val="center"/>
              <w:rPr>
                <w:color w:val="000000" w:themeColor="text1"/>
                <w:sz w:val="21"/>
                <w:szCs w:val="21"/>
              </w:rPr>
            </w:pPr>
            <w:r>
              <w:rPr>
                <w:color w:val="000000" w:themeColor="text1"/>
                <w:sz w:val="21"/>
                <w:szCs w:val="21"/>
              </w:rPr>
              <w:t>出料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1" w:type="dxa"/>
            <w:vAlign w:val="center"/>
          </w:tcPr>
          <w:p>
            <w:pPr>
              <w:spacing w:line="240" w:lineRule="auto"/>
              <w:ind w:firstLine="0" w:firstLineChars="0"/>
              <w:jc w:val="center"/>
              <w:rPr>
                <w:color w:val="000000" w:themeColor="text1"/>
                <w:sz w:val="21"/>
                <w:szCs w:val="21"/>
              </w:rPr>
            </w:pPr>
            <w:r>
              <w:rPr>
                <w:color w:val="000000" w:themeColor="text1"/>
                <w:sz w:val="21"/>
                <w:szCs w:val="21"/>
              </w:rPr>
              <w:t>名称</w:t>
            </w:r>
          </w:p>
        </w:tc>
        <w:tc>
          <w:tcPr>
            <w:tcW w:w="2385" w:type="dxa"/>
            <w:vAlign w:val="center"/>
          </w:tcPr>
          <w:p>
            <w:pPr>
              <w:spacing w:line="240" w:lineRule="auto"/>
              <w:ind w:firstLine="0" w:firstLineChars="0"/>
              <w:jc w:val="center"/>
              <w:rPr>
                <w:color w:val="000000" w:themeColor="text1"/>
                <w:sz w:val="21"/>
                <w:szCs w:val="21"/>
              </w:rPr>
            </w:pPr>
            <w:r>
              <w:rPr>
                <w:color w:val="000000" w:themeColor="text1"/>
                <w:sz w:val="21"/>
                <w:szCs w:val="21"/>
              </w:rPr>
              <w:t>用量（t/a）</w:t>
            </w:r>
          </w:p>
        </w:tc>
        <w:tc>
          <w:tcPr>
            <w:tcW w:w="2553" w:type="dxa"/>
            <w:vAlign w:val="center"/>
          </w:tcPr>
          <w:p>
            <w:pPr>
              <w:spacing w:line="240" w:lineRule="auto"/>
              <w:ind w:firstLine="0" w:firstLineChars="0"/>
              <w:jc w:val="center"/>
              <w:rPr>
                <w:color w:val="000000" w:themeColor="text1"/>
                <w:sz w:val="21"/>
                <w:szCs w:val="21"/>
              </w:rPr>
            </w:pPr>
            <w:r>
              <w:rPr>
                <w:color w:val="000000" w:themeColor="text1"/>
                <w:sz w:val="21"/>
                <w:szCs w:val="21"/>
              </w:rPr>
              <w:t>名称</w:t>
            </w:r>
          </w:p>
        </w:tc>
        <w:tc>
          <w:tcPr>
            <w:tcW w:w="1903" w:type="dxa"/>
            <w:vAlign w:val="center"/>
          </w:tcPr>
          <w:p>
            <w:pPr>
              <w:spacing w:line="240" w:lineRule="auto"/>
              <w:ind w:firstLine="0" w:firstLineChars="0"/>
              <w:jc w:val="center"/>
              <w:rPr>
                <w:color w:val="000000" w:themeColor="text1"/>
                <w:sz w:val="21"/>
                <w:szCs w:val="21"/>
              </w:rPr>
            </w:pPr>
            <w:r>
              <w:rPr>
                <w:color w:val="000000" w:themeColor="text1"/>
                <w:sz w:val="21"/>
                <w:szCs w:val="21"/>
              </w:rPr>
              <w:t>产量（t/a）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1" w:type="dxa"/>
            <w:vAlign w:val="center"/>
          </w:tcPr>
          <w:p>
            <w:pPr>
              <w:spacing w:line="240" w:lineRule="auto"/>
              <w:ind w:firstLine="0" w:firstLineChars="0"/>
              <w:jc w:val="center"/>
              <w:rPr>
                <w:color w:val="000000" w:themeColor="text1"/>
                <w:sz w:val="21"/>
                <w:szCs w:val="21"/>
              </w:rPr>
            </w:pPr>
            <w:r>
              <w:rPr>
                <w:rFonts w:eastAsiaTheme="minorEastAsia"/>
                <w:color w:val="000000" w:themeColor="text1"/>
                <w:sz w:val="21"/>
                <w:szCs w:val="21"/>
              </w:rPr>
              <w:t>原矿</w:t>
            </w:r>
            <w:r>
              <w:rPr>
                <w:rFonts w:hint="eastAsia" w:eastAsiaTheme="minorEastAsia"/>
                <w:color w:val="000000" w:themeColor="text1"/>
                <w:sz w:val="21"/>
                <w:szCs w:val="21"/>
              </w:rPr>
              <w:t>石</w:t>
            </w:r>
            <w:r>
              <w:rPr>
                <w:rStyle w:val="73"/>
                <w:rFonts w:hint="eastAsia"/>
                <w:color w:val="000000" w:themeColor="text1"/>
                <w:kern w:val="0"/>
              </w:rPr>
              <w:t>（折干）</w:t>
            </w:r>
          </w:p>
        </w:tc>
        <w:tc>
          <w:tcPr>
            <w:tcW w:w="2385" w:type="dxa"/>
            <w:vAlign w:val="center"/>
          </w:tcPr>
          <w:p>
            <w:pPr>
              <w:spacing w:line="240" w:lineRule="auto"/>
              <w:ind w:firstLine="0" w:firstLineChars="0"/>
              <w:jc w:val="center"/>
              <w:rPr>
                <w:color w:val="000000" w:themeColor="text1"/>
                <w:sz w:val="21"/>
                <w:szCs w:val="21"/>
              </w:rPr>
            </w:pPr>
            <w:r>
              <w:rPr>
                <w:color w:val="000000" w:themeColor="text1"/>
                <w:sz w:val="21"/>
                <w:szCs w:val="21"/>
              </w:rPr>
              <w:t>141000</w:t>
            </w:r>
          </w:p>
        </w:tc>
        <w:tc>
          <w:tcPr>
            <w:tcW w:w="25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副产品</w:t>
            </w:r>
            <w:r>
              <w:rPr>
                <w:color w:val="000000" w:themeColor="text1"/>
                <w:sz w:val="21"/>
                <w:szCs w:val="21"/>
              </w:rPr>
              <w:t>砂石料（折干）</w:t>
            </w:r>
          </w:p>
        </w:tc>
        <w:tc>
          <w:tcPr>
            <w:tcW w:w="190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77550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黄药</w:t>
            </w:r>
          </w:p>
        </w:tc>
        <w:tc>
          <w:tcPr>
            <w:tcW w:w="238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9</w:t>
            </w:r>
          </w:p>
        </w:tc>
        <w:tc>
          <w:tcPr>
            <w:tcW w:w="2553" w:type="dxa"/>
            <w:vAlign w:val="center"/>
          </w:tcPr>
          <w:p>
            <w:pPr>
              <w:spacing w:line="240" w:lineRule="auto"/>
              <w:ind w:firstLine="0" w:firstLineChars="0"/>
              <w:jc w:val="center"/>
              <w:rPr>
                <w:color w:val="000000" w:themeColor="text1"/>
                <w:sz w:val="21"/>
                <w:szCs w:val="21"/>
              </w:rPr>
            </w:pPr>
            <w:r>
              <w:rPr>
                <w:color w:val="000000" w:themeColor="text1"/>
                <w:sz w:val="21"/>
                <w:szCs w:val="21"/>
              </w:rPr>
              <w:t>本项目尾矿（折干）</w:t>
            </w:r>
          </w:p>
        </w:tc>
        <w:tc>
          <w:tcPr>
            <w:tcW w:w="190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15937.063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1" w:type="dxa"/>
            <w:vAlign w:val="center"/>
          </w:tcPr>
          <w:p>
            <w:pPr>
              <w:pStyle w:val="126"/>
              <w:tabs>
                <w:tab w:val="left" w:pos="1960"/>
              </w:tabs>
              <w:rPr>
                <w:rFonts w:eastAsiaTheme="minorEastAsia"/>
                <w:color w:val="000000" w:themeColor="text1"/>
                <w:lang w:eastAsia="zh-CN"/>
              </w:rPr>
            </w:pPr>
            <w:r>
              <w:rPr>
                <w:rFonts w:eastAsiaTheme="minorEastAsia"/>
                <w:color w:val="000000" w:themeColor="text1"/>
                <w:lang w:eastAsia="zh-CN"/>
              </w:rPr>
              <w:t>松油</w:t>
            </w:r>
          </w:p>
        </w:tc>
        <w:tc>
          <w:tcPr>
            <w:tcW w:w="238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9</w:t>
            </w:r>
          </w:p>
        </w:tc>
        <w:tc>
          <w:tcPr>
            <w:tcW w:w="25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技改后原</w:t>
            </w:r>
            <w:r>
              <w:rPr>
                <w:color w:val="000000" w:themeColor="text1"/>
                <w:sz w:val="21"/>
                <w:szCs w:val="21"/>
              </w:rPr>
              <w:t>项目尾矿（折干）</w:t>
            </w:r>
          </w:p>
        </w:tc>
        <w:tc>
          <w:tcPr>
            <w:tcW w:w="190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19723.155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1" w:type="dxa"/>
            <w:vAlign w:val="center"/>
          </w:tcPr>
          <w:p>
            <w:pPr>
              <w:spacing w:line="240" w:lineRule="auto"/>
              <w:ind w:firstLine="0" w:firstLineChars="0"/>
              <w:jc w:val="center"/>
              <w:rPr>
                <w:color w:val="000000" w:themeColor="text1"/>
                <w:sz w:val="21"/>
                <w:szCs w:val="21"/>
              </w:rPr>
            </w:pPr>
            <w:r>
              <w:rPr>
                <w:rFonts w:eastAsiaTheme="minorEastAsia"/>
                <w:color w:val="000000" w:themeColor="text1"/>
                <w:sz w:val="21"/>
                <w:szCs w:val="21"/>
              </w:rPr>
              <w:t>陶瓷过滤机清洗剂（HQ-320）</w:t>
            </w:r>
          </w:p>
        </w:tc>
        <w:tc>
          <w:tcPr>
            <w:tcW w:w="2385" w:type="dxa"/>
            <w:vAlign w:val="center"/>
          </w:tcPr>
          <w:p>
            <w:pPr>
              <w:spacing w:line="240" w:lineRule="auto"/>
              <w:ind w:firstLine="0" w:firstLineChars="0"/>
              <w:jc w:val="center"/>
              <w:rPr>
                <w:color w:val="000000" w:themeColor="text1"/>
                <w:sz w:val="21"/>
                <w:szCs w:val="21"/>
              </w:rPr>
            </w:pPr>
            <w:r>
              <w:rPr>
                <w:color w:val="000000" w:themeColor="text1"/>
                <w:sz w:val="21"/>
                <w:szCs w:val="21"/>
              </w:rPr>
              <w:t>2.7</w:t>
            </w:r>
          </w:p>
        </w:tc>
        <w:tc>
          <w:tcPr>
            <w:tcW w:w="2553" w:type="dxa"/>
            <w:vAlign w:val="center"/>
          </w:tcPr>
          <w:p>
            <w:pPr>
              <w:spacing w:line="240" w:lineRule="auto"/>
              <w:ind w:firstLine="0" w:firstLineChars="0"/>
              <w:jc w:val="center"/>
              <w:rPr>
                <w:color w:val="000000" w:themeColor="text1"/>
                <w:sz w:val="21"/>
                <w:szCs w:val="21"/>
              </w:rPr>
            </w:pPr>
            <w:r>
              <w:rPr>
                <w:color w:val="000000" w:themeColor="text1"/>
                <w:sz w:val="21"/>
                <w:szCs w:val="21"/>
              </w:rPr>
              <w:t>铁精矿（含水率10%）折干</w:t>
            </w:r>
          </w:p>
        </w:tc>
        <w:tc>
          <w:tcPr>
            <w:tcW w:w="1903" w:type="dxa"/>
            <w:vAlign w:val="center"/>
          </w:tcPr>
          <w:p>
            <w:pPr>
              <w:spacing w:line="240" w:lineRule="auto"/>
              <w:ind w:firstLine="0" w:firstLineChars="0"/>
              <w:jc w:val="center"/>
              <w:rPr>
                <w:color w:val="000000" w:themeColor="text1"/>
                <w:sz w:val="21"/>
                <w:szCs w:val="21"/>
              </w:rPr>
            </w:pPr>
            <w:r>
              <w:rPr>
                <w:color w:val="000000" w:themeColor="text1"/>
                <w:sz w:val="21"/>
                <w:szCs w:val="21"/>
              </w:rPr>
              <w:t>90000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9" w:hRule="atLeast"/>
        </w:trPr>
        <w:tc>
          <w:tcPr>
            <w:tcW w:w="1681" w:type="dxa"/>
            <w:vAlign w:val="center"/>
          </w:tcPr>
          <w:p>
            <w:pPr>
              <w:spacing w:line="240" w:lineRule="auto"/>
              <w:ind w:firstLine="0" w:firstLineChars="0"/>
              <w:jc w:val="center"/>
              <w:rPr>
                <w:color w:val="000000" w:themeColor="text1"/>
                <w:sz w:val="21"/>
                <w:szCs w:val="21"/>
              </w:rPr>
            </w:pPr>
            <w:r>
              <w:rPr>
                <w:color w:val="000000" w:themeColor="text1"/>
                <w:sz w:val="21"/>
                <w:szCs w:val="21"/>
              </w:rPr>
              <w:t>购买的三级精铁矿（折干）</w:t>
            </w:r>
          </w:p>
        </w:tc>
        <w:tc>
          <w:tcPr>
            <w:tcW w:w="238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63000</w:t>
            </w:r>
          </w:p>
        </w:tc>
        <w:tc>
          <w:tcPr>
            <w:tcW w:w="2553" w:type="dxa"/>
            <w:vAlign w:val="center"/>
          </w:tcPr>
          <w:p>
            <w:pPr>
              <w:spacing w:line="240" w:lineRule="auto"/>
              <w:ind w:firstLine="0" w:firstLineChars="0"/>
              <w:jc w:val="center"/>
              <w:rPr>
                <w:color w:val="000000" w:themeColor="text1"/>
                <w:sz w:val="21"/>
                <w:szCs w:val="21"/>
              </w:rPr>
            </w:pPr>
            <w:r>
              <w:rPr>
                <w:color w:val="000000" w:themeColor="text1"/>
                <w:sz w:val="21"/>
                <w:szCs w:val="21"/>
              </w:rPr>
              <w:t>无组织</w:t>
            </w:r>
            <w:r>
              <w:rPr>
                <w:rFonts w:hint="eastAsia"/>
                <w:color w:val="000000" w:themeColor="text1"/>
                <w:sz w:val="21"/>
                <w:szCs w:val="21"/>
              </w:rPr>
              <w:t>排放</w:t>
            </w:r>
            <w:r>
              <w:rPr>
                <w:color w:val="000000" w:themeColor="text1"/>
                <w:sz w:val="21"/>
                <w:szCs w:val="21"/>
              </w:rPr>
              <w:t>粉尘</w:t>
            </w:r>
          </w:p>
        </w:tc>
        <w:tc>
          <w:tcPr>
            <w:tcW w:w="190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13.521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1" w:type="dxa"/>
            <w:vAlign w:val="center"/>
          </w:tcPr>
          <w:p>
            <w:pPr>
              <w:spacing w:line="240" w:lineRule="auto"/>
              <w:ind w:firstLine="0" w:firstLineChars="0"/>
              <w:jc w:val="center"/>
              <w:rPr>
                <w:color w:val="000000" w:themeColor="text1"/>
                <w:sz w:val="21"/>
                <w:szCs w:val="21"/>
              </w:rPr>
            </w:pPr>
            <w:r>
              <w:rPr>
                <w:rFonts w:eastAsiaTheme="minorEastAsia"/>
                <w:color w:val="000000" w:themeColor="text1"/>
                <w:sz w:val="21"/>
                <w:szCs w:val="21"/>
              </w:rPr>
              <w:t>聚合氯化铝</w:t>
            </w:r>
          </w:p>
        </w:tc>
        <w:tc>
          <w:tcPr>
            <w:tcW w:w="2385"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sz w:val="21"/>
                <w:szCs w:val="21"/>
              </w:rPr>
              <w:t>14</w:t>
            </w:r>
          </w:p>
        </w:tc>
        <w:tc>
          <w:tcPr>
            <w:tcW w:w="2553" w:type="dxa"/>
            <w:vAlign w:val="center"/>
          </w:tcPr>
          <w:p>
            <w:pPr>
              <w:spacing w:line="240" w:lineRule="auto"/>
              <w:ind w:firstLine="0" w:firstLineChars="0"/>
              <w:jc w:val="center"/>
              <w:rPr>
                <w:color w:val="000000" w:themeColor="text1"/>
                <w:sz w:val="21"/>
                <w:szCs w:val="21"/>
              </w:rPr>
            </w:pPr>
            <w:r>
              <w:rPr>
                <w:color w:val="000000" w:themeColor="text1"/>
                <w:sz w:val="21"/>
                <w:szCs w:val="21"/>
              </w:rPr>
              <w:t>有组织粉</w:t>
            </w:r>
            <w:r>
              <w:rPr>
                <w:rFonts w:hint="eastAsia"/>
                <w:color w:val="000000" w:themeColor="text1"/>
                <w:sz w:val="21"/>
                <w:szCs w:val="21"/>
              </w:rPr>
              <w:t>排放</w:t>
            </w:r>
            <w:r>
              <w:rPr>
                <w:color w:val="000000" w:themeColor="text1"/>
                <w:sz w:val="21"/>
                <w:szCs w:val="21"/>
              </w:rPr>
              <w:t>尘</w:t>
            </w:r>
          </w:p>
        </w:tc>
        <w:tc>
          <w:tcPr>
            <w:tcW w:w="190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238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2553" w:type="dxa"/>
            <w:vAlign w:val="center"/>
          </w:tcPr>
          <w:p>
            <w:pPr>
              <w:spacing w:line="240" w:lineRule="auto"/>
              <w:ind w:firstLine="0" w:firstLineChars="0"/>
              <w:jc w:val="center"/>
              <w:rPr>
                <w:color w:val="000000" w:themeColor="text1"/>
                <w:sz w:val="21"/>
                <w:szCs w:val="21"/>
              </w:rPr>
            </w:pPr>
            <w:r>
              <w:rPr>
                <w:color w:val="000000" w:themeColor="text1"/>
                <w:sz w:val="21"/>
                <w:szCs w:val="21"/>
              </w:rPr>
              <w:t>收尘灰</w:t>
            </w:r>
          </w:p>
        </w:tc>
        <w:tc>
          <w:tcPr>
            <w:tcW w:w="190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225.51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238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25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铜精矿（含水率10%）折干</w:t>
            </w:r>
          </w:p>
        </w:tc>
        <w:tc>
          <w:tcPr>
            <w:tcW w:w="190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681" w:type="dxa"/>
            <w:vAlign w:val="center"/>
          </w:tcPr>
          <w:p>
            <w:pPr>
              <w:spacing w:line="240" w:lineRule="auto"/>
              <w:ind w:firstLine="0" w:firstLineChars="0"/>
              <w:jc w:val="center"/>
              <w:rPr>
                <w:color w:val="000000" w:themeColor="text1"/>
                <w:sz w:val="21"/>
                <w:szCs w:val="21"/>
              </w:rPr>
            </w:pPr>
            <w:r>
              <w:rPr>
                <w:color w:val="000000" w:themeColor="text1"/>
                <w:sz w:val="21"/>
                <w:szCs w:val="21"/>
              </w:rPr>
              <w:t>合计</w:t>
            </w:r>
          </w:p>
        </w:tc>
        <w:tc>
          <w:tcPr>
            <w:tcW w:w="238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204034.7</w:t>
            </w:r>
          </w:p>
        </w:tc>
        <w:tc>
          <w:tcPr>
            <w:tcW w:w="25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合计</w:t>
            </w:r>
          </w:p>
        </w:tc>
        <w:tc>
          <w:tcPr>
            <w:tcW w:w="190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204034.7</w:t>
            </w:r>
          </w:p>
        </w:tc>
      </w:tr>
    </w:tbl>
    <w:p>
      <w:pPr>
        <w:pStyle w:val="78"/>
        <w:ind w:firstLine="422"/>
        <w:jc w:val="center"/>
        <w:rPr>
          <w:rFonts w:eastAsiaTheme="minorEastAsia"/>
          <w:b/>
          <w:color w:val="000000" w:themeColor="text1"/>
          <w:sz w:val="21"/>
          <w:szCs w:val="20"/>
        </w:rPr>
      </w:pPr>
      <w:r>
        <w:rPr>
          <w:rFonts w:eastAsiaTheme="minorEastAsia"/>
          <w:b/>
          <w:color w:val="000000" w:themeColor="text1"/>
          <w:sz w:val="21"/>
          <w:szCs w:val="20"/>
        </w:rPr>
        <w:object>
          <v:shape id="_x0000_i1045" o:spt="75" type="#_x0000_t75" style="height:243pt;width:414.75pt;" o:ole="t" filled="f" o:preferrelative="t" stroked="f" coordsize="21600,21600">
            <v:path/>
            <v:fill on="f" focussize="0,0"/>
            <v:stroke on="f"/>
            <v:imagedata r:id="rId72" o:title=""/>
            <o:lock v:ext="edit" aspectratio="f"/>
            <w10:wrap type="none"/>
            <w10:anchorlock/>
          </v:shape>
          <o:OLEObject Type="Embed" ProgID="Visio.Drawing.11" ShapeID="_x0000_i1045" DrawAspect="Content" ObjectID="_1468075744" r:id="rId71">
            <o:LockedField>false</o:LockedField>
          </o:OLEObject>
        </w:object>
      </w:r>
      <w:r>
        <w:rPr>
          <w:rFonts w:hint="eastAsia" w:eastAsiaTheme="minorEastAsia"/>
          <w:b/>
          <w:color w:val="000000" w:themeColor="text1"/>
          <w:sz w:val="21"/>
          <w:szCs w:val="20"/>
        </w:rPr>
        <w:t>图4.3-7 物料平衡图 单位:t/a</w:t>
      </w:r>
    </w:p>
    <w:p>
      <w:pPr>
        <w:pStyle w:val="78"/>
        <w:ind w:firstLine="480"/>
        <w:rPr>
          <w:rFonts w:eastAsiaTheme="minorEastAsia"/>
          <w:b/>
          <w:color w:val="000000" w:themeColor="text1"/>
          <w:sz w:val="21"/>
          <w:szCs w:val="20"/>
        </w:rPr>
      </w:pPr>
      <w:r>
        <w:rPr>
          <w:rFonts w:hint="eastAsia" w:eastAsiaTheme="minorEastAsia"/>
          <w:bCs/>
          <w:color w:val="000000" w:themeColor="text1"/>
          <w:szCs w:val="24"/>
        </w:rPr>
        <w:t>技改后，由于原矿加工所排粉尘量较小，粉尘中关心元素含量小，所以平衡核算中忽略不计。项目铁元素和铜元素平衡情况见下所示：</w:t>
      </w:r>
    </w:p>
    <w:p>
      <w:pPr>
        <w:widowControl/>
        <w:ind w:firstLine="0" w:firstLineChars="0"/>
        <w:jc w:val="center"/>
        <w:rPr>
          <w:color w:val="000000" w:themeColor="text1"/>
        </w:rPr>
      </w:pPr>
      <w:r>
        <w:rPr>
          <w:rFonts w:hint="eastAsia" w:eastAsiaTheme="minorEastAsia"/>
          <w:b/>
          <w:color w:val="000000" w:themeColor="text1"/>
          <w:sz w:val="21"/>
          <w:szCs w:val="20"/>
        </w:rPr>
        <w:t>表4.2-4 项目铁元素平衡一览表</w:t>
      </w:r>
    </w:p>
    <w:tbl>
      <w:tblPr>
        <w:tblStyle w:val="6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9"/>
        <w:gridCol w:w="2127"/>
        <w:gridCol w:w="2325"/>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66" w:type="dxa"/>
            <w:gridSpan w:val="2"/>
            <w:vAlign w:val="center"/>
          </w:tcPr>
          <w:p>
            <w:pPr>
              <w:ind w:firstLine="0" w:firstLineChars="0"/>
              <w:jc w:val="center"/>
              <w:rPr>
                <w:color w:val="000000" w:themeColor="text1"/>
                <w:sz w:val="21"/>
                <w:szCs w:val="21"/>
              </w:rPr>
            </w:pPr>
            <w:r>
              <w:rPr>
                <w:color w:val="000000" w:themeColor="text1"/>
                <w:sz w:val="21"/>
                <w:szCs w:val="21"/>
              </w:rPr>
              <w:t>进料</w:t>
            </w:r>
          </w:p>
        </w:tc>
        <w:tc>
          <w:tcPr>
            <w:tcW w:w="4456" w:type="dxa"/>
            <w:gridSpan w:val="2"/>
            <w:vAlign w:val="center"/>
          </w:tcPr>
          <w:p>
            <w:pPr>
              <w:ind w:firstLine="0" w:firstLineChars="0"/>
              <w:jc w:val="center"/>
              <w:rPr>
                <w:color w:val="000000" w:themeColor="text1"/>
                <w:sz w:val="21"/>
                <w:szCs w:val="21"/>
              </w:rPr>
            </w:pPr>
            <w:r>
              <w:rPr>
                <w:color w:val="000000" w:themeColor="text1"/>
                <w:sz w:val="21"/>
                <w:szCs w:val="21"/>
              </w:rPr>
              <w:t>出料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39" w:type="dxa"/>
            <w:vAlign w:val="center"/>
          </w:tcPr>
          <w:p>
            <w:pPr>
              <w:ind w:firstLine="0" w:firstLineChars="0"/>
              <w:jc w:val="center"/>
              <w:rPr>
                <w:color w:val="000000" w:themeColor="text1"/>
                <w:sz w:val="21"/>
                <w:szCs w:val="21"/>
              </w:rPr>
            </w:pPr>
            <w:r>
              <w:rPr>
                <w:color w:val="000000" w:themeColor="text1"/>
                <w:sz w:val="21"/>
                <w:szCs w:val="21"/>
              </w:rPr>
              <w:t>名称</w:t>
            </w:r>
          </w:p>
        </w:tc>
        <w:tc>
          <w:tcPr>
            <w:tcW w:w="2127" w:type="dxa"/>
            <w:vAlign w:val="center"/>
          </w:tcPr>
          <w:p>
            <w:pPr>
              <w:ind w:firstLine="0" w:firstLineChars="0"/>
              <w:jc w:val="center"/>
              <w:rPr>
                <w:color w:val="000000" w:themeColor="text1"/>
                <w:sz w:val="21"/>
                <w:szCs w:val="21"/>
              </w:rPr>
            </w:pPr>
            <w:r>
              <w:rPr>
                <w:rFonts w:hint="eastAsia"/>
                <w:color w:val="000000" w:themeColor="text1"/>
                <w:sz w:val="21"/>
                <w:szCs w:val="21"/>
              </w:rPr>
              <w:t>含铁量</w:t>
            </w:r>
            <w:r>
              <w:rPr>
                <w:color w:val="000000" w:themeColor="text1"/>
                <w:sz w:val="21"/>
                <w:szCs w:val="21"/>
              </w:rPr>
              <w:t>（t/a）</w:t>
            </w:r>
          </w:p>
        </w:tc>
        <w:tc>
          <w:tcPr>
            <w:tcW w:w="2325" w:type="dxa"/>
            <w:vAlign w:val="center"/>
          </w:tcPr>
          <w:p>
            <w:pPr>
              <w:ind w:firstLine="0" w:firstLineChars="0"/>
              <w:jc w:val="center"/>
              <w:rPr>
                <w:color w:val="000000" w:themeColor="text1"/>
                <w:sz w:val="21"/>
                <w:szCs w:val="21"/>
              </w:rPr>
            </w:pPr>
            <w:r>
              <w:rPr>
                <w:color w:val="000000" w:themeColor="text1"/>
                <w:sz w:val="21"/>
                <w:szCs w:val="21"/>
              </w:rPr>
              <w:t>名称</w:t>
            </w:r>
          </w:p>
        </w:tc>
        <w:tc>
          <w:tcPr>
            <w:tcW w:w="2131" w:type="dxa"/>
            <w:vAlign w:val="center"/>
          </w:tcPr>
          <w:p>
            <w:pPr>
              <w:ind w:firstLine="0" w:firstLineChars="0"/>
              <w:jc w:val="center"/>
              <w:rPr>
                <w:color w:val="000000" w:themeColor="text1"/>
                <w:sz w:val="21"/>
                <w:szCs w:val="21"/>
              </w:rPr>
            </w:pPr>
            <w:r>
              <w:rPr>
                <w:rFonts w:hint="eastAsia"/>
                <w:color w:val="000000" w:themeColor="text1"/>
                <w:sz w:val="21"/>
                <w:szCs w:val="21"/>
              </w:rPr>
              <w:t>含铁量</w:t>
            </w:r>
            <w:r>
              <w:rPr>
                <w:color w:val="000000" w:themeColor="text1"/>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39" w:type="dxa"/>
            <w:vAlign w:val="center"/>
          </w:tcPr>
          <w:p>
            <w:pPr>
              <w:ind w:firstLine="0" w:firstLineChars="0"/>
              <w:jc w:val="both"/>
              <w:rPr>
                <w:color w:val="000000" w:themeColor="text1"/>
                <w:sz w:val="21"/>
                <w:szCs w:val="21"/>
              </w:rPr>
            </w:pPr>
            <w:r>
              <w:rPr>
                <w:rFonts w:hint="eastAsia"/>
                <w:color w:val="000000" w:themeColor="text1"/>
                <w:sz w:val="21"/>
                <w:szCs w:val="21"/>
              </w:rPr>
              <w:t>铁矿石原料</w:t>
            </w:r>
          </w:p>
        </w:tc>
        <w:tc>
          <w:tcPr>
            <w:tcW w:w="2127" w:type="dxa"/>
            <w:vAlign w:val="center"/>
          </w:tcPr>
          <w:p>
            <w:pPr>
              <w:ind w:firstLine="0" w:firstLineChars="0"/>
              <w:jc w:val="center"/>
              <w:rPr>
                <w:color w:val="000000" w:themeColor="text1"/>
                <w:sz w:val="21"/>
                <w:szCs w:val="21"/>
              </w:rPr>
            </w:pPr>
            <w:r>
              <w:rPr>
                <w:rFonts w:hint="eastAsia"/>
                <w:color w:val="000000" w:themeColor="text1"/>
                <w:sz w:val="21"/>
                <w:szCs w:val="21"/>
              </w:rPr>
              <w:t>33450</w:t>
            </w:r>
          </w:p>
        </w:tc>
        <w:tc>
          <w:tcPr>
            <w:tcW w:w="2325" w:type="dxa"/>
            <w:vAlign w:val="center"/>
          </w:tcPr>
          <w:p>
            <w:pPr>
              <w:ind w:firstLine="0" w:firstLineChars="0"/>
              <w:jc w:val="center"/>
              <w:rPr>
                <w:color w:val="000000" w:themeColor="text1"/>
                <w:sz w:val="21"/>
                <w:szCs w:val="21"/>
              </w:rPr>
            </w:pPr>
            <w:r>
              <w:rPr>
                <w:rFonts w:hint="eastAsia"/>
                <w:color w:val="000000" w:themeColor="text1"/>
                <w:sz w:val="21"/>
                <w:szCs w:val="21"/>
              </w:rPr>
              <w:t>产品铁精矿</w:t>
            </w:r>
          </w:p>
        </w:tc>
        <w:tc>
          <w:tcPr>
            <w:tcW w:w="2131" w:type="dxa"/>
            <w:vAlign w:val="center"/>
          </w:tcPr>
          <w:p>
            <w:pPr>
              <w:ind w:firstLine="0" w:firstLineChars="0"/>
              <w:jc w:val="center"/>
              <w:rPr>
                <w:color w:val="000000" w:themeColor="text1"/>
                <w:sz w:val="21"/>
                <w:szCs w:val="21"/>
              </w:rPr>
            </w:pPr>
            <w:r>
              <w:rPr>
                <w:rFonts w:hint="eastAsia"/>
                <w:color w:val="000000" w:themeColor="text1"/>
                <w:sz w:val="21"/>
                <w:szCs w:val="21"/>
              </w:rPr>
              <w:t>65000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39" w:type="dxa"/>
            <w:vAlign w:val="center"/>
          </w:tcPr>
          <w:p>
            <w:pPr>
              <w:pStyle w:val="126"/>
              <w:tabs>
                <w:tab w:val="left" w:pos="1960"/>
              </w:tabs>
              <w:jc w:val="both"/>
              <w:rPr>
                <w:rFonts w:eastAsiaTheme="minorEastAsia"/>
                <w:color w:val="000000" w:themeColor="text1"/>
                <w:lang w:eastAsia="zh-CN"/>
              </w:rPr>
            </w:pPr>
            <w:r>
              <w:rPr>
                <w:rFonts w:hint="eastAsia" w:eastAsiaTheme="minorEastAsia"/>
                <w:color w:val="000000" w:themeColor="text1"/>
                <w:lang w:eastAsia="zh-CN"/>
              </w:rPr>
              <w:t>购买三级精铁矿</w:t>
            </w:r>
          </w:p>
        </w:tc>
        <w:tc>
          <w:tcPr>
            <w:tcW w:w="2127" w:type="dxa"/>
            <w:vAlign w:val="center"/>
          </w:tcPr>
          <w:p>
            <w:pPr>
              <w:ind w:firstLine="0" w:firstLineChars="0"/>
              <w:jc w:val="center"/>
              <w:rPr>
                <w:color w:val="000000" w:themeColor="text1"/>
                <w:sz w:val="21"/>
                <w:szCs w:val="21"/>
              </w:rPr>
            </w:pPr>
            <w:r>
              <w:rPr>
                <w:rFonts w:hint="eastAsia"/>
                <w:color w:val="000000" w:themeColor="text1"/>
                <w:sz w:val="21"/>
                <w:szCs w:val="21"/>
              </w:rPr>
              <w:t>43400</w:t>
            </w:r>
          </w:p>
        </w:tc>
        <w:tc>
          <w:tcPr>
            <w:tcW w:w="2325" w:type="dxa"/>
            <w:vAlign w:val="center"/>
          </w:tcPr>
          <w:p>
            <w:pPr>
              <w:ind w:firstLine="0" w:firstLineChars="0"/>
              <w:jc w:val="center"/>
              <w:rPr>
                <w:color w:val="000000" w:themeColor="text1"/>
                <w:sz w:val="21"/>
                <w:szCs w:val="21"/>
              </w:rPr>
            </w:pPr>
            <w:r>
              <w:rPr>
                <w:rFonts w:hint="eastAsia"/>
                <w:color w:val="000000" w:themeColor="text1"/>
                <w:sz w:val="21"/>
                <w:szCs w:val="21"/>
              </w:rPr>
              <w:t>副产品砂石料</w:t>
            </w:r>
          </w:p>
        </w:tc>
        <w:tc>
          <w:tcPr>
            <w:tcW w:w="2131" w:type="dxa"/>
            <w:vAlign w:val="center"/>
          </w:tcPr>
          <w:p>
            <w:pPr>
              <w:ind w:firstLine="0" w:firstLineChars="0"/>
              <w:jc w:val="center"/>
              <w:rPr>
                <w:color w:val="000000" w:themeColor="text1"/>
                <w:sz w:val="21"/>
                <w:szCs w:val="21"/>
              </w:rPr>
            </w:pPr>
            <w:r>
              <w:rPr>
                <w:rFonts w:hint="eastAsia"/>
                <w:color w:val="000000" w:themeColor="text1"/>
                <w:sz w:val="21"/>
                <w:szCs w:val="21"/>
              </w:rPr>
              <w:t>2402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39" w:type="dxa"/>
            <w:vAlign w:val="center"/>
          </w:tcPr>
          <w:p>
            <w:pPr>
              <w:pStyle w:val="126"/>
              <w:tabs>
                <w:tab w:val="left" w:pos="1960"/>
              </w:tabs>
              <w:rPr>
                <w:rFonts w:eastAsiaTheme="minorEastAsia"/>
                <w:color w:val="000000" w:themeColor="text1"/>
                <w:lang w:eastAsia="zh-CN"/>
              </w:rPr>
            </w:pPr>
            <w:r>
              <w:rPr>
                <w:rFonts w:hint="eastAsia" w:eastAsiaTheme="minorEastAsia"/>
                <w:color w:val="000000" w:themeColor="text1"/>
                <w:lang w:eastAsia="zh-CN"/>
              </w:rPr>
              <w:t>/</w:t>
            </w:r>
          </w:p>
        </w:tc>
        <w:tc>
          <w:tcPr>
            <w:tcW w:w="2127" w:type="dxa"/>
            <w:vAlign w:val="center"/>
          </w:tcPr>
          <w:p>
            <w:pPr>
              <w:ind w:firstLine="0" w:firstLineChars="0"/>
              <w:jc w:val="center"/>
              <w:rPr>
                <w:color w:val="000000" w:themeColor="text1"/>
                <w:sz w:val="21"/>
                <w:szCs w:val="21"/>
              </w:rPr>
            </w:pPr>
            <w:r>
              <w:rPr>
                <w:rFonts w:hint="eastAsia"/>
                <w:color w:val="000000" w:themeColor="text1"/>
                <w:sz w:val="21"/>
                <w:szCs w:val="21"/>
              </w:rPr>
              <w:t>/</w:t>
            </w:r>
          </w:p>
        </w:tc>
        <w:tc>
          <w:tcPr>
            <w:tcW w:w="2325" w:type="dxa"/>
            <w:vAlign w:val="center"/>
          </w:tcPr>
          <w:p>
            <w:pPr>
              <w:ind w:firstLine="0" w:firstLineChars="0"/>
              <w:jc w:val="center"/>
              <w:rPr>
                <w:color w:val="000000" w:themeColor="text1"/>
                <w:sz w:val="21"/>
                <w:szCs w:val="21"/>
              </w:rPr>
            </w:pPr>
            <w:r>
              <w:rPr>
                <w:rFonts w:hint="eastAsia"/>
                <w:color w:val="000000" w:themeColor="text1"/>
                <w:sz w:val="21"/>
                <w:szCs w:val="21"/>
              </w:rPr>
              <w:t>技改项目尾矿</w:t>
            </w:r>
          </w:p>
        </w:tc>
        <w:tc>
          <w:tcPr>
            <w:tcW w:w="2131" w:type="dxa"/>
            <w:vAlign w:val="center"/>
          </w:tcPr>
          <w:p>
            <w:pPr>
              <w:ind w:firstLine="0" w:firstLineChars="0"/>
              <w:jc w:val="center"/>
              <w:rPr>
                <w:color w:val="000000" w:themeColor="text1"/>
                <w:sz w:val="21"/>
                <w:szCs w:val="21"/>
              </w:rPr>
            </w:pPr>
            <w:r>
              <w:rPr>
                <w:rFonts w:hint="eastAsia"/>
                <w:color w:val="000000" w:themeColor="text1"/>
                <w:sz w:val="21"/>
                <w:szCs w:val="21"/>
              </w:rPr>
              <w:t>3187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39" w:type="dxa"/>
            <w:vAlign w:val="center"/>
          </w:tcPr>
          <w:p>
            <w:pPr>
              <w:ind w:firstLine="0" w:firstLineChars="0"/>
              <w:jc w:val="center"/>
              <w:rPr>
                <w:color w:val="000000" w:themeColor="text1"/>
                <w:sz w:val="21"/>
                <w:szCs w:val="21"/>
              </w:rPr>
            </w:pPr>
            <w:r>
              <w:rPr>
                <w:rFonts w:hint="eastAsia"/>
                <w:color w:val="000000" w:themeColor="text1"/>
                <w:sz w:val="21"/>
                <w:szCs w:val="21"/>
              </w:rPr>
              <w:t>/</w:t>
            </w:r>
          </w:p>
        </w:tc>
        <w:tc>
          <w:tcPr>
            <w:tcW w:w="2127" w:type="dxa"/>
            <w:vAlign w:val="center"/>
          </w:tcPr>
          <w:p>
            <w:pPr>
              <w:ind w:firstLine="0" w:firstLineChars="0"/>
              <w:jc w:val="center"/>
              <w:rPr>
                <w:color w:val="000000" w:themeColor="text1"/>
                <w:sz w:val="21"/>
                <w:szCs w:val="21"/>
              </w:rPr>
            </w:pPr>
            <w:r>
              <w:rPr>
                <w:rFonts w:hint="eastAsia"/>
                <w:color w:val="000000" w:themeColor="text1"/>
                <w:sz w:val="21"/>
                <w:szCs w:val="21"/>
              </w:rPr>
              <w:t>/</w:t>
            </w:r>
          </w:p>
        </w:tc>
        <w:tc>
          <w:tcPr>
            <w:tcW w:w="2325" w:type="dxa"/>
            <w:vAlign w:val="center"/>
          </w:tcPr>
          <w:p>
            <w:pPr>
              <w:ind w:firstLine="0" w:firstLineChars="0"/>
              <w:jc w:val="center"/>
              <w:rPr>
                <w:color w:val="000000" w:themeColor="text1"/>
                <w:sz w:val="21"/>
                <w:szCs w:val="21"/>
              </w:rPr>
            </w:pPr>
            <w:r>
              <w:rPr>
                <w:rFonts w:hint="eastAsia"/>
                <w:color w:val="000000" w:themeColor="text1"/>
                <w:sz w:val="21"/>
                <w:szCs w:val="21"/>
              </w:rPr>
              <w:t>技改后原项目尾矿</w:t>
            </w:r>
          </w:p>
        </w:tc>
        <w:tc>
          <w:tcPr>
            <w:tcW w:w="2131" w:type="dxa"/>
            <w:vAlign w:val="center"/>
          </w:tcPr>
          <w:p>
            <w:pPr>
              <w:ind w:firstLine="0" w:firstLineChars="0"/>
              <w:jc w:val="center"/>
              <w:rPr>
                <w:color w:val="000000" w:themeColor="text1"/>
                <w:sz w:val="21"/>
                <w:szCs w:val="21"/>
              </w:rPr>
            </w:pPr>
            <w:r>
              <w:rPr>
                <w:rFonts w:hint="eastAsia"/>
                <w:color w:val="000000" w:themeColor="text1"/>
                <w:sz w:val="21"/>
                <w:szCs w:val="21"/>
              </w:rPr>
              <w:t>6261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9" w:hRule="atLeast"/>
        </w:trPr>
        <w:tc>
          <w:tcPr>
            <w:tcW w:w="1939" w:type="dxa"/>
            <w:vAlign w:val="center"/>
          </w:tcPr>
          <w:p>
            <w:pPr>
              <w:ind w:firstLine="0" w:firstLineChars="0"/>
              <w:jc w:val="center"/>
              <w:rPr>
                <w:color w:val="000000" w:themeColor="text1"/>
                <w:sz w:val="21"/>
                <w:szCs w:val="21"/>
              </w:rPr>
            </w:pPr>
            <w:r>
              <w:rPr>
                <w:rFonts w:hint="eastAsia"/>
                <w:color w:val="000000" w:themeColor="text1"/>
                <w:sz w:val="21"/>
                <w:szCs w:val="21"/>
              </w:rPr>
              <w:t>合计</w:t>
            </w:r>
          </w:p>
        </w:tc>
        <w:tc>
          <w:tcPr>
            <w:tcW w:w="2127" w:type="dxa"/>
            <w:vAlign w:val="center"/>
          </w:tcPr>
          <w:p>
            <w:pPr>
              <w:ind w:firstLine="0" w:firstLineChars="0"/>
              <w:jc w:val="center"/>
              <w:rPr>
                <w:color w:val="000000" w:themeColor="text1"/>
                <w:sz w:val="21"/>
                <w:szCs w:val="21"/>
              </w:rPr>
            </w:pPr>
            <w:r>
              <w:rPr>
                <w:rFonts w:hint="eastAsia"/>
                <w:color w:val="000000" w:themeColor="text1"/>
                <w:sz w:val="21"/>
                <w:szCs w:val="21"/>
              </w:rPr>
              <w:t>76850</w:t>
            </w:r>
          </w:p>
        </w:tc>
        <w:tc>
          <w:tcPr>
            <w:tcW w:w="2325" w:type="dxa"/>
            <w:vAlign w:val="center"/>
          </w:tcPr>
          <w:p>
            <w:pPr>
              <w:ind w:firstLine="0" w:firstLineChars="0"/>
              <w:jc w:val="center"/>
              <w:rPr>
                <w:color w:val="000000" w:themeColor="text1"/>
                <w:sz w:val="21"/>
                <w:szCs w:val="21"/>
              </w:rPr>
            </w:pPr>
            <w:r>
              <w:rPr>
                <w:rFonts w:hint="eastAsia"/>
                <w:color w:val="000000" w:themeColor="text1"/>
                <w:sz w:val="21"/>
                <w:szCs w:val="21"/>
              </w:rPr>
              <w:t>合计</w:t>
            </w:r>
          </w:p>
        </w:tc>
        <w:tc>
          <w:tcPr>
            <w:tcW w:w="2131" w:type="dxa"/>
            <w:vAlign w:val="center"/>
          </w:tcPr>
          <w:p>
            <w:pPr>
              <w:ind w:firstLine="0" w:firstLineChars="0"/>
              <w:jc w:val="center"/>
              <w:rPr>
                <w:color w:val="000000" w:themeColor="text1"/>
                <w:sz w:val="21"/>
                <w:szCs w:val="21"/>
              </w:rPr>
            </w:pPr>
            <w:r>
              <w:rPr>
                <w:rFonts w:hint="eastAsia"/>
                <w:color w:val="000000" w:themeColor="text1"/>
                <w:sz w:val="21"/>
                <w:szCs w:val="21"/>
              </w:rPr>
              <w:t>76850</w:t>
            </w:r>
          </w:p>
        </w:tc>
      </w:tr>
    </w:tbl>
    <w:p>
      <w:pPr>
        <w:widowControl/>
        <w:ind w:firstLine="0" w:firstLineChars="0"/>
        <w:jc w:val="center"/>
        <w:rPr>
          <w:rFonts w:eastAsiaTheme="minorEastAsia"/>
          <w:b/>
          <w:color w:val="000000" w:themeColor="text1"/>
          <w:sz w:val="21"/>
          <w:szCs w:val="20"/>
        </w:rPr>
      </w:pPr>
    </w:p>
    <w:p>
      <w:pPr>
        <w:widowControl/>
        <w:ind w:firstLine="0" w:firstLineChars="0"/>
        <w:jc w:val="center"/>
        <w:rPr>
          <w:rFonts w:eastAsiaTheme="minorEastAsia"/>
          <w:b/>
          <w:color w:val="000000" w:themeColor="text1"/>
          <w:sz w:val="21"/>
          <w:szCs w:val="20"/>
        </w:rPr>
      </w:pPr>
    </w:p>
    <w:p>
      <w:pPr>
        <w:widowControl/>
        <w:ind w:firstLine="0" w:firstLineChars="0"/>
        <w:jc w:val="center"/>
        <w:rPr>
          <w:rFonts w:eastAsiaTheme="minorEastAsia"/>
          <w:b/>
          <w:color w:val="000000" w:themeColor="text1"/>
          <w:sz w:val="21"/>
          <w:szCs w:val="20"/>
        </w:rPr>
      </w:pPr>
    </w:p>
    <w:p>
      <w:pPr>
        <w:widowControl/>
        <w:ind w:firstLine="0" w:firstLineChars="0"/>
        <w:jc w:val="center"/>
        <w:rPr>
          <w:rFonts w:eastAsiaTheme="minorEastAsia"/>
          <w:b/>
          <w:color w:val="000000" w:themeColor="text1"/>
          <w:sz w:val="21"/>
          <w:szCs w:val="20"/>
        </w:rPr>
      </w:pPr>
    </w:p>
    <w:p>
      <w:pPr>
        <w:widowControl/>
        <w:ind w:firstLine="0" w:firstLineChars="0"/>
        <w:jc w:val="center"/>
        <w:rPr>
          <w:rFonts w:eastAsiaTheme="minorEastAsia"/>
          <w:b/>
          <w:color w:val="000000" w:themeColor="text1"/>
          <w:sz w:val="21"/>
          <w:szCs w:val="20"/>
        </w:rPr>
      </w:pPr>
    </w:p>
    <w:p>
      <w:pPr>
        <w:widowControl/>
        <w:ind w:firstLine="0" w:firstLineChars="0"/>
        <w:jc w:val="center"/>
        <w:rPr>
          <w:rFonts w:eastAsiaTheme="minorEastAsia"/>
          <w:b/>
          <w:color w:val="000000" w:themeColor="text1"/>
          <w:sz w:val="21"/>
          <w:szCs w:val="20"/>
        </w:rPr>
      </w:pP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object>
          <v:shape id="_x0000_i1046" o:spt="75" type="#_x0000_t75" style="height:123.75pt;width:357.75pt;" o:ole="t" filled="f" o:preferrelative="t" stroked="f" coordsize="21600,21600">
            <v:path/>
            <v:fill on="f" focussize="0,0"/>
            <v:stroke on="f"/>
            <v:imagedata r:id="rId74" o:title=""/>
            <o:lock v:ext="edit" aspectratio="f"/>
            <w10:wrap type="none"/>
            <w10:anchorlock/>
          </v:shape>
          <o:OLEObject Type="Embed" ProgID="Visio.Drawing.11" ShapeID="_x0000_i1046" DrawAspect="Content" ObjectID="_1468075745" r:id="rId73">
            <o:LockedField>false</o:LockedField>
          </o:OLEObject>
        </w:object>
      </w:r>
    </w:p>
    <w:p>
      <w:pPr>
        <w:widowControl/>
        <w:ind w:firstLine="0" w:firstLineChars="0"/>
        <w:jc w:val="center"/>
        <w:rPr>
          <w:rFonts w:eastAsiaTheme="minorEastAsia"/>
          <w:b/>
          <w:color w:val="000000" w:themeColor="text1"/>
          <w:sz w:val="21"/>
          <w:szCs w:val="20"/>
        </w:rPr>
      </w:pPr>
      <w:r>
        <w:rPr>
          <w:rFonts w:hint="eastAsia" w:eastAsiaTheme="minorEastAsia"/>
          <w:b/>
          <w:color w:val="000000" w:themeColor="text1"/>
          <w:sz w:val="21"/>
          <w:szCs w:val="20"/>
        </w:rPr>
        <w:t>图4.3-8 铁元素平衡图 单位：t/a</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表4.3-</w:t>
      </w:r>
      <w:r>
        <w:rPr>
          <w:rFonts w:hint="eastAsia" w:eastAsiaTheme="minorEastAsia"/>
          <w:b/>
          <w:color w:val="000000" w:themeColor="text1"/>
          <w:sz w:val="21"/>
          <w:szCs w:val="20"/>
        </w:rPr>
        <w:t>5</w:t>
      </w:r>
      <w:r>
        <w:rPr>
          <w:rFonts w:eastAsiaTheme="minorEastAsia"/>
          <w:b/>
          <w:color w:val="000000" w:themeColor="text1"/>
          <w:sz w:val="21"/>
          <w:szCs w:val="20"/>
        </w:rPr>
        <w:t>技改后原有项目铜元素平衡表</w:t>
      </w:r>
    </w:p>
    <w:tbl>
      <w:tblPr>
        <w:tblStyle w:val="61"/>
        <w:tblW w:w="902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2"/>
        <w:gridCol w:w="1065"/>
        <w:gridCol w:w="860"/>
        <w:gridCol w:w="999"/>
        <w:gridCol w:w="1208"/>
        <w:gridCol w:w="1156"/>
        <w:gridCol w:w="1025"/>
        <w:gridCol w:w="13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4286" w:type="dxa"/>
            <w:gridSpan w:val="4"/>
            <w:tcBorders>
              <w:tl2br w:val="nil"/>
              <w:tr2bl w:val="nil"/>
            </w:tcBorders>
            <w:vAlign w:val="center"/>
          </w:tcPr>
          <w:p>
            <w:pPr>
              <w:spacing w:line="240" w:lineRule="auto"/>
              <w:ind w:firstLine="480" w:firstLineChars="0"/>
              <w:jc w:val="center"/>
              <w:rPr>
                <w:rFonts w:eastAsiaTheme="minorEastAsia"/>
                <w:color w:val="000000" w:themeColor="text1"/>
                <w:kern w:val="0"/>
                <w:sz w:val="21"/>
                <w:szCs w:val="21"/>
              </w:rPr>
            </w:pPr>
            <w:r>
              <w:rPr>
                <w:rFonts w:eastAsiaTheme="minorEastAsia"/>
                <w:color w:val="000000" w:themeColor="text1"/>
                <w:kern w:val="0"/>
                <w:sz w:val="21"/>
                <w:szCs w:val="21"/>
              </w:rPr>
              <w:t>进料</w:t>
            </w:r>
          </w:p>
        </w:tc>
        <w:tc>
          <w:tcPr>
            <w:tcW w:w="4738" w:type="dxa"/>
            <w:gridSpan w:val="4"/>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出料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1362"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物料名称</w:t>
            </w:r>
          </w:p>
        </w:tc>
        <w:tc>
          <w:tcPr>
            <w:tcW w:w="1065"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物料量</w:t>
            </w:r>
            <w:r>
              <w:rPr>
                <w:rFonts w:eastAsiaTheme="minorEastAsia"/>
                <w:color w:val="000000" w:themeColor="text1"/>
                <w:sz w:val="21"/>
                <w:szCs w:val="21"/>
              </w:rPr>
              <w:t>（t/a）</w:t>
            </w:r>
          </w:p>
        </w:tc>
        <w:tc>
          <w:tcPr>
            <w:tcW w:w="860"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品位</w:t>
            </w:r>
          </w:p>
        </w:tc>
        <w:tc>
          <w:tcPr>
            <w:tcW w:w="999"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铜金属量</w:t>
            </w:r>
            <w:r>
              <w:rPr>
                <w:rFonts w:eastAsiaTheme="minorEastAsia"/>
                <w:color w:val="000000" w:themeColor="text1"/>
                <w:sz w:val="21"/>
                <w:szCs w:val="21"/>
              </w:rPr>
              <w:t>（t/a）</w:t>
            </w:r>
          </w:p>
        </w:tc>
        <w:tc>
          <w:tcPr>
            <w:tcW w:w="1208"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物料名称</w:t>
            </w:r>
          </w:p>
        </w:tc>
        <w:tc>
          <w:tcPr>
            <w:tcW w:w="1156"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物料量</w:t>
            </w:r>
            <w:r>
              <w:rPr>
                <w:rFonts w:eastAsiaTheme="minorEastAsia"/>
                <w:color w:val="000000" w:themeColor="text1"/>
                <w:sz w:val="21"/>
                <w:szCs w:val="21"/>
              </w:rPr>
              <w:t>（t/a）</w:t>
            </w:r>
          </w:p>
        </w:tc>
        <w:tc>
          <w:tcPr>
            <w:tcW w:w="1025"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品位</w:t>
            </w:r>
          </w:p>
        </w:tc>
        <w:tc>
          <w:tcPr>
            <w:tcW w:w="1349"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铜</w:t>
            </w:r>
            <w:r>
              <w:rPr>
                <w:rFonts w:eastAsiaTheme="minorEastAsia"/>
                <w:color w:val="000000" w:themeColor="text1"/>
                <w:kern w:val="0"/>
                <w:sz w:val="21"/>
                <w:szCs w:val="21"/>
              </w:rPr>
              <w:t>金属量</w:t>
            </w:r>
            <w:r>
              <w:rPr>
                <w:rFonts w:eastAsiaTheme="minorEastAsia"/>
                <w:color w:val="000000" w:themeColor="text1"/>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1362" w:type="dxa"/>
            <w:vMerge w:val="restart"/>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原矿</w:t>
            </w:r>
          </w:p>
        </w:tc>
        <w:tc>
          <w:tcPr>
            <w:tcW w:w="1065" w:type="dxa"/>
            <w:vMerge w:val="restart"/>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150000</w:t>
            </w:r>
          </w:p>
        </w:tc>
        <w:tc>
          <w:tcPr>
            <w:tcW w:w="860" w:type="dxa"/>
            <w:vMerge w:val="restart"/>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0.1</w:t>
            </w:r>
            <w:r>
              <w:rPr>
                <w:rFonts w:hint="eastAsia" w:eastAsiaTheme="minorEastAsia"/>
                <w:color w:val="000000" w:themeColor="text1"/>
                <w:kern w:val="0"/>
                <w:sz w:val="21"/>
                <w:szCs w:val="21"/>
              </w:rPr>
              <w:t>4</w:t>
            </w:r>
          </w:p>
        </w:tc>
        <w:tc>
          <w:tcPr>
            <w:tcW w:w="999" w:type="dxa"/>
            <w:vMerge w:val="restart"/>
            <w:tcBorders>
              <w:tl2br w:val="nil"/>
              <w:tr2bl w:val="nil"/>
            </w:tcBorders>
            <w:vAlign w:val="center"/>
          </w:tcPr>
          <w:p>
            <w:pPr>
              <w:tabs>
                <w:tab w:val="left" w:pos="337"/>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205.81</w:t>
            </w:r>
          </w:p>
        </w:tc>
        <w:tc>
          <w:tcPr>
            <w:tcW w:w="1208"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铜精矿</w:t>
            </w:r>
          </w:p>
        </w:tc>
        <w:tc>
          <w:tcPr>
            <w:tcW w:w="1156" w:type="dxa"/>
            <w:tcBorders>
              <w:tl2br w:val="nil"/>
              <w:tr2bl w:val="nil"/>
            </w:tcBorders>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650</w:t>
            </w:r>
          </w:p>
        </w:tc>
        <w:tc>
          <w:tcPr>
            <w:tcW w:w="1025" w:type="dxa"/>
            <w:tcBorders>
              <w:tl2br w:val="nil"/>
              <w:tr2bl w:val="nil"/>
            </w:tcBorders>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20%</w:t>
            </w:r>
          </w:p>
        </w:tc>
        <w:tc>
          <w:tcPr>
            <w:tcW w:w="1349" w:type="dxa"/>
            <w:tcBorders>
              <w:tl2br w:val="nil"/>
              <w:tr2bl w:val="nil"/>
            </w:tcBorders>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1362" w:type="dxa"/>
            <w:vMerge w:val="continue"/>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p>
        </w:tc>
        <w:tc>
          <w:tcPr>
            <w:tcW w:w="1065" w:type="dxa"/>
            <w:vMerge w:val="continue"/>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p>
        </w:tc>
        <w:tc>
          <w:tcPr>
            <w:tcW w:w="860" w:type="dxa"/>
            <w:vMerge w:val="continue"/>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p>
        </w:tc>
        <w:tc>
          <w:tcPr>
            <w:tcW w:w="999" w:type="dxa"/>
            <w:vMerge w:val="continue"/>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p>
        </w:tc>
        <w:tc>
          <w:tcPr>
            <w:tcW w:w="1208"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尾矿</w:t>
            </w:r>
          </w:p>
        </w:tc>
        <w:tc>
          <w:tcPr>
            <w:tcW w:w="1156" w:type="dxa"/>
            <w:tcBorders>
              <w:tl2br w:val="nil"/>
              <w:tr2bl w:val="nil"/>
            </w:tcBorders>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sz w:val="21"/>
                <w:szCs w:val="21"/>
              </w:rPr>
              <w:t>39446.31</w:t>
            </w:r>
          </w:p>
        </w:tc>
        <w:tc>
          <w:tcPr>
            <w:tcW w:w="1025" w:type="dxa"/>
            <w:tcBorders>
              <w:tl2br w:val="nil"/>
              <w:tr2bl w:val="nil"/>
            </w:tcBorders>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0.135%</w:t>
            </w:r>
          </w:p>
        </w:tc>
        <w:tc>
          <w:tcPr>
            <w:tcW w:w="1349" w:type="dxa"/>
            <w:tcBorders>
              <w:tl2br w:val="nil"/>
              <w:tr2bl w:val="nil"/>
            </w:tcBorders>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hint="eastAsia" w:eastAsiaTheme="minorEastAsia"/>
                <w:color w:val="000000" w:themeColor="text1"/>
                <w:kern w:val="24"/>
                <w:sz w:val="21"/>
                <w:szCs w:val="21"/>
              </w:rPr>
              <w:t>53.25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1362" w:type="dxa"/>
            <w:vMerge w:val="continue"/>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p>
        </w:tc>
        <w:tc>
          <w:tcPr>
            <w:tcW w:w="1065" w:type="dxa"/>
            <w:vMerge w:val="continue"/>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p>
        </w:tc>
        <w:tc>
          <w:tcPr>
            <w:tcW w:w="860" w:type="dxa"/>
            <w:vMerge w:val="continue"/>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p>
        </w:tc>
        <w:tc>
          <w:tcPr>
            <w:tcW w:w="999" w:type="dxa"/>
            <w:vMerge w:val="continue"/>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p>
        </w:tc>
        <w:tc>
          <w:tcPr>
            <w:tcW w:w="1208"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砂石料含量</w:t>
            </w:r>
          </w:p>
        </w:tc>
        <w:tc>
          <w:tcPr>
            <w:tcW w:w="1156"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82500</w:t>
            </w:r>
          </w:p>
        </w:tc>
        <w:tc>
          <w:tcPr>
            <w:tcW w:w="1025"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0.027%</w:t>
            </w:r>
          </w:p>
        </w:tc>
        <w:tc>
          <w:tcPr>
            <w:tcW w:w="1349"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22.5</w:t>
            </w:r>
            <w:r>
              <w:rPr>
                <w:rFonts w:hint="eastAsia" w:eastAsiaTheme="minorEastAsia"/>
                <w:color w:val="000000" w:themeColor="text1"/>
                <w:kern w:val="0"/>
                <w:sz w:val="21"/>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69" w:hRule="atLeast"/>
          <w:jc w:val="center"/>
        </w:trPr>
        <w:tc>
          <w:tcPr>
            <w:tcW w:w="3287" w:type="dxa"/>
            <w:gridSpan w:val="3"/>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合计</w:t>
            </w:r>
          </w:p>
        </w:tc>
        <w:tc>
          <w:tcPr>
            <w:tcW w:w="999"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205.81</w:t>
            </w:r>
          </w:p>
        </w:tc>
        <w:tc>
          <w:tcPr>
            <w:tcW w:w="3389" w:type="dxa"/>
            <w:gridSpan w:val="3"/>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合计</w:t>
            </w:r>
          </w:p>
        </w:tc>
        <w:tc>
          <w:tcPr>
            <w:tcW w:w="1349" w:type="dxa"/>
            <w:tcBorders>
              <w:tl2br w:val="nil"/>
              <w:tr2bl w:val="nil"/>
            </w:tcBorders>
            <w:vAlign w:val="center"/>
          </w:tcPr>
          <w:p>
            <w:pPr>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205.81</w:t>
            </w:r>
          </w:p>
        </w:tc>
      </w:tr>
    </w:tbl>
    <w:p>
      <w:pPr>
        <w:pStyle w:val="26"/>
        <w:ind w:firstLine="0" w:firstLineChars="0"/>
        <w:jc w:val="center"/>
        <w:rPr>
          <w:color w:val="000000" w:themeColor="text1"/>
        </w:rPr>
      </w:pPr>
      <w:r>
        <w:rPr>
          <w:color w:val="000000" w:themeColor="text1"/>
        </w:rPr>
        <w:object>
          <v:shape id="_x0000_i1047" o:spt="75" type="#_x0000_t75" style="height:95.25pt;width:273pt;" o:ole="t" filled="f" o:preferrelative="t" stroked="f" coordsize="21600,21600">
            <v:path/>
            <v:fill on="f" focussize="0,0"/>
            <v:stroke on="f" joinstyle="miter"/>
            <v:imagedata r:id="rId76" o:title=""/>
            <o:lock v:ext="edit" aspectratio="f"/>
            <w10:wrap type="none"/>
            <w10:anchorlock/>
          </v:shape>
          <o:OLEObject Type="Embed" ProgID="Visio.Drawing.11" ShapeID="_x0000_i1047" DrawAspect="Content" ObjectID="_1468075746" r:id="rId75">
            <o:LockedField>false</o:LockedField>
          </o:OLEObject>
        </w:object>
      </w:r>
    </w:p>
    <w:p>
      <w:pPr>
        <w:widowControl/>
        <w:ind w:firstLine="0" w:firstLineChars="0"/>
        <w:jc w:val="center"/>
        <w:rPr>
          <w:rFonts w:eastAsiaTheme="minorEastAsia"/>
          <w:b/>
          <w:bCs/>
          <w:color w:val="000000" w:themeColor="text1"/>
          <w:sz w:val="21"/>
          <w:szCs w:val="21"/>
        </w:rPr>
      </w:pPr>
      <w:r>
        <w:rPr>
          <w:rFonts w:hint="eastAsia" w:eastAsiaTheme="minorEastAsia"/>
          <w:b/>
          <w:bCs/>
          <w:color w:val="000000" w:themeColor="text1"/>
          <w:sz w:val="21"/>
          <w:szCs w:val="21"/>
        </w:rPr>
        <w:t>图4.3-9 铜元素平衡图 单位：t/a</w:t>
      </w:r>
    </w:p>
    <w:p>
      <w:pPr>
        <w:pStyle w:val="574"/>
        <w:spacing w:beforeLines="0" w:afterLines="0"/>
        <w:rPr>
          <w:rFonts w:eastAsiaTheme="minorEastAsia"/>
          <w:color w:val="000000" w:themeColor="text1"/>
          <w:sz w:val="30"/>
          <w:szCs w:val="30"/>
        </w:rPr>
      </w:pPr>
      <w:bookmarkStart w:id="522" w:name="_Toc8816"/>
      <w:r>
        <w:rPr>
          <w:rFonts w:eastAsiaTheme="minorEastAsia"/>
          <w:color w:val="000000" w:themeColor="text1"/>
          <w:sz w:val="30"/>
          <w:szCs w:val="30"/>
        </w:rPr>
        <w:t>4.4污染源分析</w:t>
      </w:r>
      <w:bookmarkEnd w:id="522"/>
    </w:p>
    <w:p>
      <w:pPr>
        <w:pStyle w:val="6"/>
        <w:spacing w:beforeLines="0" w:afterLines="0"/>
        <w:rPr>
          <w:rFonts w:eastAsiaTheme="minorEastAsia"/>
          <w:color w:val="000000" w:themeColor="text1"/>
          <w:sz w:val="28"/>
          <w:szCs w:val="28"/>
        </w:rPr>
      </w:pPr>
      <w:bookmarkStart w:id="523" w:name="_Toc29695"/>
      <w:r>
        <w:rPr>
          <w:rFonts w:eastAsiaTheme="minorEastAsia"/>
          <w:color w:val="000000" w:themeColor="text1"/>
          <w:sz w:val="28"/>
          <w:szCs w:val="28"/>
        </w:rPr>
        <w:t>4.4.1施工期污染物治理和排放情况</w:t>
      </w:r>
      <w:bookmarkEnd w:id="523"/>
    </w:p>
    <w:p>
      <w:pPr>
        <w:ind w:firstLine="480"/>
        <w:rPr>
          <w:rFonts w:eastAsiaTheme="minorEastAsia"/>
          <w:color w:val="000000" w:themeColor="text1"/>
        </w:rPr>
      </w:pPr>
      <w:r>
        <w:rPr>
          <w:rFonts w:hint="eastAsia" w:eastAsiaTheme="minorEastAsia"/>
          <w:color w:val="000000" w:themeColor="text1"/>
        </w:rPr>
        <w:t>勘查现场阶段，项目生产设备已经建设完成，但部分相应的环保设备未建设，原矿石破碎站、原料堆场及砂石料场均未硬化，物料堆棚未建设。本环评提出的整改措施，整改内容施工天数</w:t>
      </w:r>
      <w:r>
        <w:rPr>
          <w:rFonts w:eastAsiaTheme="minorEastAsia"/>
          <w:color w:val="000000" w:themeColor="text1"/>
        </w:rPr>
        <w:t>为</w:t>
      </w:r>
      <w:r>
        <w:rPr>
          <w:rFonts w:hint="eastAsia" w:eastAsiaTheme="minorEastAsia"/>
          <w:color w:val="000000" w:themeColor="text1"/>
        </w:rPr>
        <w:t>2</w:t>
      </w:r>
      <w:r>
        <w:rPr>
          <w:rFonts w:eastAsiaTheme="minorEastAsia"/>
          <w:color w:val="000000" w:themeColor="text1"/>
        </w:rPr>
        <w:t>个月（按</w:t>
      </w:r>
      <w:r>
        <w:rPr>
          <w:rFonts w:hint="eastAsia" w:eastAsiaTheme="minorEastAsia"/>
          <w:color w:val="000000" w:themeColor="text1"/>
        </w:rPr>
        <w:t>61</w:t>
      </w:r>
      <w:r>
        <w:rPr>
          <w:rFonts w:eastAsiaTheme="minorEastAsia"/>
          <w:color w:val="000000" w:themeColor="text1"/>
        </w:rPr>
        <w:t>天计算），项目在现有占地范围内进行</w:t>
      </w:r>
      <w:r>
        <w:rPr>
          <w:rFonts w:hint="eastAsia" w:eastAsiaTheme="minorEastAsia"/>
          <w:color w:val="000000" w:themeColor="text1"/>
        </w:rPr>
        <w:t>整</w:t>
      </w:r>
      <w:r>
        <w:rPr>
          <w:rFonts w:eastAsiaTheme="minorEastAsia"/>
          <w:color w:val="000000" w:themeColor="text1"/>
        </w:rPr>
        <w:t>改，</w:t>
      </w:r>
      <w:r>
        <w:rPr>
          <w:rFonts w:hint="eastAsia" w:eastAsiaTheme="minorEastAsia"/>
          <w:color w:val="000000" w:themeColor="text1"/>
        </w:rPr>
        <w:t>不新增占地</w:t>
      </w:r>
      <w:r>
        <w:rPr>
          <w:rFonts w:eastAsiaTheme="minorEastAsia"/>
          <w:color w:val="000000" w:themeColor="text1"/>
        </w:rPr>
        <w:t>。施工材料均由汽车运输进入施工现场。项目施工期施工人员为20人。施工期主要污染为废气、废水、固废、噪声等。</w:t>
      </w:r>
    </w:p>
    <w:p>
      <w:pPr>
        <w:autoSpaceDE w:val="0"/>
        <w:autoSpaceDN w:val="0"/>
        <w:adjustRightInd w:val="0"/>
        <w:ind w:firstLine="480"/>
        <w:rPr>
          <w:rFonts w:eastAsiaTheme="minorEastAsia"/>
          <w:color w:val="000000" w:themeColor="text1"/>
        </w:rPr>
      </w:pPr>
      <w:r>
        <w:rPr>
          <w:rFonts w:eastAsiaTheme="minorEastAsia"/>
          <w:color w:val="000000" w:themeColor="text1"/>
        </w:rPr>
        <w:t>施工期工序及污染工艺流程，如下图所示：</w:t>
      </w:r>
    </w:p>
    <w:p>
      <w:pPr>
        <w:autoSpaceDE w:val="0"/>
        <w:autoSpaceDN w:val="0"/>
        <w:adjustRightInd w:val="0"/>
        <w:ind w:firstLine="480"/>
        <w:jc w:val="center"/>
        <w:rPr>
          <w:rFonts w:eastAsiaTheme="minorEastAsia"/>
          <w:color w:val="000000" w:themeColor="text1"/>
        </w:rPr>
      </w:pPr>
      <w:r>
        <w:rPr>
          <w:rFonts w:eastAsiaTheme="minorEastAsia"/>
          <w:color w:val="000000" w:themeColor="text1"/>
        </w:rPr>
        <w:object>
          <v:shape id="_x0000_i1048" o:spt="75" type="#_x0000_t75" style="height:118.5pt;width:260.25pt;" o:ole="t" filled="f" o:preferrelative="t" stroked="f" coordsize="21600,21600">
            <v:path/>
            <v:fill on="f" focussize="0,0"/>
            <v:stroke on="f" joinstyle="miter"/>
            <v:imagedata r:id="rId78" o:title=""/>
            <o:lock v:ext="edit" aspectratio="f"/>
            <w10:wrap type="none"/>
            <w10:anchorlock/>
          </v:shape>
          <o:OLEObject Type="Embed" ProgID="Visio.Drawing.11" ShapeID="_x0000_i1048" DrawAspect="Content" ObjectID="_1468075747" r:id="rId77">
            <o:LockedField>false</o:LockedField>
          </o:OLEObject>
        </w:object>
      </w:r>
    </w:p>
    <w:p>
      <w:pPr>
        <w:autoSpaceDE w:val="0"/>
        <w:autoSpaceDN w:val="0"/>
        <w:adjustRightInd w:val="0"/>
        <w:ind w:firstLine="422"/>
        <w:jc w:val="center"/>
        <w:rPr>
          <w:rFonts w:eastAsiaTheme="minorEastAsia"/>
          <w:b/>
          <w:color w:val="000000" w:themeColor="text1"/>
          <w:sz w:val="21"/>
          <w:szCs w:val="21"/>
        </w:rPr>
      </w:pPr>
      <w:r>
        <w:rPr>
          <w:rFonts w:eastAsiaTheme="minorEastAsia"/>
          <w:b/>
          <w:color w:val="000000" w:themeColor="text1"/>
          <w:sz w:val="21"/>
          <w:szCs w:val="21"/>
        </w:rPr>
        <w:t>图4.4-1施工期工艺流程图及产物节点图</w:t>
      </w:r>
    </w:p>
    <w:p>
      <w:pPr>
        <w:ind w:firstLine="482"/>
        <w:rPr>
          <w:rFonts w:eastAsiaTheme="minorEastAsia"/>
          <w:b/>
          <w:color w:val="000000" w:themeColor="text1"/>
        </w:rPr>
      </w:pPr>
      <w:r>
        <w:rPr>
          <w:rFonts w:eastAsiaTheme="minorEastAsia"/>
          <w:b/>
          <w:color w:val="000000" w:themeColor="text1"/>
        </w:rPr>
        <w:t>1、施工废气</w:t>
      </w:r>
    </w:p>
    <w:p>
      <w:pPr>
        <w:ind w:firstLine="480"/>
        <w:rPr>
          <w:rFonts w:eastAsiaTheme="minorEastAsia"/>
          <w:color w:val="000000" w:themeColor="text1"/>
        </w:rPr>
      </w:pPr>
      <w:r>
        <w:rPr>
          <w:rFonts w:eastAsiaTheme="minorEastAsia"/>
          <w:color w:val="000000" w:themeColor="text1"/>
        </w:rPr>
        <w:t>施工过程中造成大气污染的主要产生源有：新建构筑物采用钢架结构，</w:t>
      </w:r>
      <w:r>
        <w:rPr>
          <w:rFonts w:hint="eastAsia" w:eastAsiaTheme="minorEastAsia"/>
          <w:color w:val="000000" w:themeColor="text1"/>
        </w:rPr>
        <w:t>料棚建设、雨污水管线工程、初雨收集池、污水收集及处理系统等涉及</w:t>
      </w:r>
      <w:r>
        <w:rPr>
          <w:rFonts w:eastAsiaTheme="minorEastAsia"/>
          <w:color w:val="000000" w:themeColor="text1"/>
        </w:rPr>
        <w:t>一定的开挖和回填。施工废气主要为场地平整、运输车辆、施工机械行走所带来的扬尘，施工建筑材料（水泥、石灰、砂石料）的装卸、堆砌过程以及开挖弃土的堆砌、运输过程造成扬起和洒落；各类施工机械和运输车辆所排放的废气。</w:t>
      </w:r>
    </w:p>
    <w:p>
      <w:pPr>
        <w:numPr>
          <w:ilvl w:val="0"/>
          <w:numId w:val="32"/>
        </w:numPr>
        <w:ind w:firstLine="480"/>
        <w:rPr>
          <w:rFonts w:eastAsiaTheme="minorEastAsia"/>
          <w:color w:val="000000" w:themeColor="text1"/>
        </w:rPr>
      </w:pPr>
      <w:r>
        <w:rPr>
          <w:rFonts w:eastAsiaTheme="minorEastAsia"/>
          <w:color w:val="000000" w:themeColor="text1"/>
        </w:rPr>
        <w:t>扬尘</w:t>
      </w:r>
    </w:p>
    <w:p>
      <w:pPr>
        <w:ind w:firstLine="480"/>
        <w:rPr>
          <w:rFonts w:eastAsiaTheme="minorEastAsia"/>
          <w:color w:val="000000" w:themeColor="text1"/>
        </w:rPr>
      </w:pPr>
      <w:r>
        <w:rPr>
          <w:rFonts w:eastAsiaTheme="minorEastAsia"/>
          <w:color w:val="000000" w:themeColor="text1"/>
        </w:rPr>
        <w:t>施工产生的大气污染物主要为扬尘，来源于场地平整等，扬尘污染会造成大气</w:t>
      </w:r>
      <w:r>
        <w:rPr>
          <w:rStyle w:val="73"/>
          <w:color w:val="000000" w:themeColor="text1"/>
          <w:kern w:val="0"/>
          <w:sz w:val="24"/>
          <w:szCs w:val="24"/>
        </w:rPr>
        <w:t>环境</w:t>
      </w:r>
      <w:r>
        <w:rPr>
          <w:rFonts w:eastAsiaTheme="minorEastAsia"/>
          <w:color w:val="000000" w:themeColor="text1"/>
        </w:rPr>
        <w:t>中TSP值增高，施工扬尘的起尘量与许多因素有关。影响起尘量的因素包括：基础开挖起尘量、施工渣土堆场起尘量、进出车辆夹带泥砂量、水泥搬运量、弃土外运装载起尘量以及起尘高度、采取的防护措施、空气湿度、风速等因素有关。类比同类工程，源强处扬尘浓度为10mg/m</w:t>
      </w:r>
      <w:r>
        <w:rPr>
          <w:rFonts w:eastAsiaTheme="minorEastAsia"/>
          <w:color w:val="000000" w:themeColor="text1"/>
          <w:vertAlign w:val="superscript"/>
        </w:rPr>
        <w:t>3</w:t>
      </w:r>
      <w:r>
        <w:rPr>
          <w:rFonts w:eastAsiaTheme="minorEastAsia"/>
          <w:color w:val="000000" w:themeColor="text1"/>
        </w:rPr>
        <w:t>，距离扬尘点25m处扬尘浓度范围在0.37～1.10mg/m</w:t>
      </w:r>
      <w:r>
        <w:rPr>
          <w:rFonts w:eastAsiaTheme="minorEastAsia"/>
          <w:color w:val="000000" w:themeColor="text1"/>
          <w:vertAlign w:val="superscript"/>
        </w:rPr>
        <w:t>3</w:t>
      </w:r>
      <w:r>
        <w:rPr>
          <w:rFonts w:eastAsiaTheme="minorEastAsia"/>
          <w:color w:val="000000" w:themeColor="text1"/>
        </w:rPr>
        <w:t>，距扬尘点50m处扬尘浓度范围在0.31～0.98mg/m</w:t>
      </w:r>
      <w:r>
        <w:rPr>
          <w:rFonts w:eastAsiaTheme="minorEastAsia"/>
          <w:color w:val="000000" w:themeColor="text1"/>
          <w:vertAlign w:val="superscript"/>
        </w:rPr>
        <w:t>3</w:t>
      </w:r>
      <w:r>
        <w:rPr>
          <w:rFonts w:eastAsiaTheme="minorEastAsia"/>
          <w:color w:val="000000" w:themeColor="text1"/>
        </w:rPr>
        <w:t>。</w:t>
      </w:r>
    </w:p>
    <w:p>
      <w:pPr>
        <w:numPr>
          <w:ilvl w:val="0"/>
          <w:numId w:val="32"/>
        </w:numPr>
        <w:ind w:firstLine="480"/>
        <w:rPr>
          <w:rFonts w:eastAsiaTheme="minorEastAsia"/>
          <w:color w:val="000000" w:themeColor="text1"/>
        </w:rPr>
      </w:pPr>
      <w:r>
        <w:rPr>
          <w:rFonts w:eastAsiaTheme="minorEastAsia"/>
          <w:color w:val="000000" w:themeColor="text1"/>
        </w:rPr>
        <w:t>施工机械废气</w:t>
      </w:r>
    </w:p>
    <w:p>
      <w:pPr>
        <w:ind w:firstLine="480"/>
        <w:rPr>
          <w:rFonts w:eastAsiaTheme="minorEastAsia"/>
          <w:color w:val="000000" w:themeColor="text1"/>
        </w:rPr>
      </w:pPr>
      <w:r>
        <w:rPr>
          <w:rFonts w:eastAsiaTheme="minorEastAsia"/>
          <w:color w:val="000000" w:themeColor="text1"/>
        </w:rPr>
        <w:t>施工过程中需要使用挖掘机、推土机等大型机械设备</w:t>
      </w:r>
      <w:r>
        <w:rPr>
          <w:rFonts w:hint="eastAsia" w:eastAsiaTheme="minorEastAsia"/>
          <w:color w:val="000000" w:themeColor="text1"/>
        </w:rPr>
        <w:t>，部分施工机械和车辆的能源为柴油，在运行时产生燃油废气，主要为</w:t>
      </w:r>
      <w:r>
        <w:rPr>
          <w:rFonts w:eastAsiaTheme="minorEastAsia"/>
          <w:color w:val="000000" w:themeColor="text1"/>
        </w:rPr>
        <w:t>CO、NO</w:t>
      </w:r>
      <w:r>
        <w:rPr>
          <w:rFonts w:eastAsiaTheme="minorEastAsia"/>
          <w:color w:val="000000" w:themeColor="text1"/>
          <w:vertAlign w:val="subscript"/>
        </w:rPr>
        <w:t>x</w:t>
      </w:r>
      <w:r>
        <w:rPr>
          <w:rFonts w:eastAsiaTheme="minorEastAsia"/>
          <w:color w:val="000000" w:themeColor="text1"/>
        </w:rPr>
        <w:t>以及未完全燃烧的碳氢化物非甲烷总烃等大气污染物，会对环境产生一定的影响。</w:t>
      </w:r>
    </w:p>
    <w:p>
      <w:pPr>
        <w:ind w:firstLine="482"/>
        <w:rPr>
          <w:rFonts w:eastAsiaTheme="minorEastAsia"/>
          <w:b/>
          <w:color w:val="000000" w:themeColor="text1"/>
        </w:rPr>
      </w:pPr>
      <w:r>
        <w:rPr>
          <w:rFonts w:eastAsiaTheme="minorEastAsia"/>
          <w:b/>
          <w:color w:val="000000" w:themeColor="text1"/>
        </w:rPr>
        <w:t>2、施工废水</w:t>
      </w:r>
    </w:p>
    <w:p>
      <w:pPr>
        <w:ind w:firstLine="480"/>
        <w:rPr>
          <w:rFonts w:eastAsiaTheme="minorEastAsia"/>
          <w:color w:val="000000" w:themeColor="text1"/>
        </w:rPr>
      </w:pPr>
      <w:r>
        <w:rPr>
          <w:rFonts w:eastAsiaTheme="minorEastAsia"/>
          <w:color w:val="000000" w:themeColor="text1"/>
        </w:rPr>
        <w:t>施工期废水主要为施工人员生活污水、施工废水</w:t>
      </w:r>
      <w:r>
        <w:rPr>
          <w:rFonts w:hint="eastAsia" w:eastAsiaTheme="minorEastAsia"/>
          <w:color w:val="000000" w:themeColor="text1"/>
        </w:rPr>
        <w:t>和雨天降雨冲刷水</w:t>
      </w:r>
      <w:r>
        <w:rPr>
          <w:rFonts w:eastAsiaTheme="minorEastAsia"/>
          <w:color w:val="000000" w:themeColor="text1"/>
        </w:rPr>
        <w:t>。</w:t>
      </w:r>
    </w:p>
    <w:p>
      <w:pPr>
        <w:ind w:firstLine="480"/>
        <w:rPr>
          <w:rFonts w:eastAsiaTheme="minorEastAsia"/>
          <w:color w:val="000000" w:themeColor="text1"/>
        </w:rPr>
      </w:pPr>
      <w:r>
        <w:rPr>
          <w:rFonts w:eastAsiaTheme="minorEastAsia"/>
          <w:color w:val="000000" w:themeColor="text1"/>
        </w:rPr>
        <w:t>（1）施工人员生活污水</w:t>
      </w:r>
    </w:p>
    <w:p>
      <w:pPr>
        <w:ind w:firstLine="480"/>
        <w:rPr>
          <w:rFonts w:eastAsiaTheme="minorEastAsia"/>
          <w:color w:val="000000" w:themeColor="text1"/>
        </w:rPr>
      </w:pPr>
      <w:r>
        <w:rPr>
          <w:rFonts w:eastAsiaTheme="minorEastAsia"/>
          <w:color w:val="000000" w:themeColor="text1"/>
        </w:rPr>
        <w:t>施工人数平均20人/d，施工人员不在场区内食宿。生活用水量以30L/人</w:t>
      </w:r>
      <w:r>
        <w:rPr>
          <w:rFonts w:eastAsiaTheme="minorEastAsia"/>
          <w:b/>
          <w:color w:val="000000" w:themeColor="text1"/>
          <w:sz w:val="20"/>
          <w:shd w:val="clear" w:color="auto" w:fill="FFFFFF"/>
        </w:rPr>
        <w:t>·</w:t>
      </w:r>
      <w:r>
        <w:rPr>
          <w:rFonts w:eastAsiaTheme="minorEastAsia"/>
          <w:color w:val="000000" w:themeColor="text1"/>
        </w:rPr>
        <w:t>d计，则施工人员用水量为0.6m</w:t>
      </w:r>
      <w:r>
        <w:rPr>
          <w:rFonts w:eastAsiaTheme="minorEastAsia"/>
          <w:color w:val="000000" w:themeColor="text1"/>
          <w:vertAlign w:val="superscript"/>
        </w:rPr>
        <w:t>3</w:t>
      </w:r>
      <w:r>
        <w:rPr>
          <w:rFonts w:eastAsiaTheme="minorEastAsia"/>
          <w:color w:val="000000" w:themeColor="text1"/>
        </w:rPr>
        <w:t>/d，施工期生活用水量为</w:t>
      </w:r>
      <w:r>
        <w:rPr>
          <w:rFonts w:hint="eastAsia" w:eastAsiaTheme="minorEastAsia"/>
          <w:color w:val="000000" w:themeColor="text1"/>
        </w:rPr>
        <w:t>36.6</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。污水产生量按用水量的80%计，则施工人员生活污水产生量预计为0.48m</w:t>
      </w:r>
      <w:r>
        <w:rPr>
          <w:rFonts w:eastAsiaTheme="minorEastAsia"/>
          <w:color w:val="000000" w:themeColor="text1"/>
          <w:vertAlign w:val="superscript"/>
        </w:rPr>
        <w:t>3</w:t>
      </w:r>
      <w:r>
        <w:rPr>
          <w:rFonts w:eastAsiaTheme="minorEastAsia"/>
          <w:color w:val="000000" w:themeColor="text1"/>
        </w:rPr>
        <w:t>/d，施工期生活污水总量为</w:t>
      </w:r>
      <w:r>
        <w:rPr>
          <w:rFonts w:hint="eastAsia" w:eastAsiaTheme="minorEastAsia"/>
          <w:color w:val="000000" w:themeColor="text1"/>
        </w:rPr>
        <w:t>29.28</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。生活污水浓度类比其他类似施工工程，COD</w:t>
      </w:r>
      <w:r>
        <w:rPr>
          <w:rFonts w:eastAsiaTheme="minorEastAsia"/>
          <w:color w:val="000000" w:themeColor="text1"/>
          <w:vertAlign w:val="subscript"/>
        </w:rPr>
        <w:t>cr</w:t>
      </w:r>
      <w:r>
        <w:rPr>
          <w:rFonts w:eastAsiaTheme="minorEastAsia"/>
          <w:color w:val="000000" w:themeColor="text1"/>
        </w:rPr>
        <w:t>为250mg/L，BOD</w:t>
      </w:r>
      <w:r>
        <w:rPr>
          <w:rFonts w:eastAsiaTheme="minorEastAsia"/>
          <w:color w:val="000000" w:themeColor="text1"/>
          <w:vertAlign w:val="subscript"/>
        </w:rPr>
        <w:t>5</w:t>
      </w:r>
      <w:r>
        <w:rPr>
          <w:rFonts w:eastAsiaTheme="minorEastAsia"/>
          <w:color w:val="000000" w:themeColor="text1"/>
        </w:rPr>
        <w:t>为150mg/L，SS为200mg/L。施工期工人生活污水依托现有化粪池处理后</w:t>
      </w:r>
      <w:r>
        <w:rPr>
          <w:rFonts w:hint="eastAsia" w:eastAsiaTheme="minorEastAsia"/>
          <w:color w:val="000000" w:themeColor="text1"/>
        </w:rPr>
        <w:t>定时委托周边农民清掏</w:t>
      </w:r>
      <w:r>
        <w:rPr>
          <w:rFonts w:eastAsiaTheme="minorEastAsia"/>
          <w:color w:val="000000" w:themeColor="text1"/>
        </w:rPr>
        <w:t>。</w:t>
      </w:r>
    </w:p>
    <w:p>
      <w:pPr>
        <w:ind w:firstLine="480"/>
        <w:rPr>
          <w:rFonts w:eastAsiaTheme="minorEastAsia"/>
          <w:color w:val="000000" w:themeColor="text1"/>
        </w:rPr>
      </w:pPr>
      <w:r>
        <w:rPr>
          <w:rFonts w:eastAsiaTheme="minorEastAsia"/>
          <w:color w:val="000000" w:themeColor="text1"/>
        </w:rPr>
        <w:t>（2）施工废水</w:t>
      </w:r>
    </w:p>
    <w:p>
      <w:pPr>
        <w:ind w:firstLine="480"/>
        <w:rPr>
          <w:rFonts w:eastAsiaTheme="minorEastAsia"/>
          <w:color w:val="000000" w:themeColor="text1"/>
        </w:rPr>
      </w:pPr>
      <w:r>
        <w:rPr>
          <w:rFonts w:eastAsiaTheme="minorEastAsia"/>
          <w:color w:val="000000" w:themeColor="text1"/>
        </w:rPr>
        <w:t>施工废水主要产生于工具清洗，污染物以大量的泥沙悬浮物为主，此类水废水量小，收集沉淀后用于场地洒水抑尘，无外排。</w:t>
      </w:r>
    </w:p>
    <w:p>
      <w:pPr>
        <w:ind w:firstLine="480"/>
        <w:rPr>
          <w:rFonts w:eastAsiaTheme="minorEastAsia"/>
          <w:color w:val="000000" w:themeColor="text1"/>
        </w:rPr>
      </w:pPr>
      <w:r>
        <w:rPr>
          <w:rFonts w:eastAsiaTheme="minorEastAsia"/>
          <w:color w:val="000000" w:themeColor="text1"/>
        </w:rPr>
        <w:t>为有效降低运输车辆扬尘、保持项目区外环境的清洁，含泥量大的汽车进行轮胎冲洗，冲洗废水经临时收集池收集沉淀用于场地洒水，无外排。</w:t>
      </w:r>
    </w:p>
    <w:p>
      <w:pPr>
        <w:ind w:firstLine="480"/>
        <w:rPr>
          <w:rFonts w:eastAsiaTheme="minorEastAsia"/>
          <w:bCs/>
          <w:color w:val="000000" w:themeColor="text1"/>
        </w:rPr>
      </w:pPr>
      <w:r>
        <w:rPr>
          <w:rFonts w:hint="eastAsia" w:eastAsiaTheme="minorEastAsia"/>
          <w:bCs/>
          <w:color w:val="000000" w:themeColor="text1"/>
        </w:rPr>
        <w:t>（3）雨天降雨冲刷水</w:t>
      </w:r>
    </w:p>
    <w:p>
      <w:pPr>
        <w:ind w:firstLine="480"/>
        <w:rPr>
          <w:rFonts w:eastAsiaTheme="minorEastAsia"/>
          <w:bCs/>
          <w:color w:val="000000" w:themeColor="text1"/>
        </w:rPr>
      </w:pPr>
      <w:r>
        <w:rPr>
          <w:rFonts w:hint="eastAsia" w:eastAsiaTheme="minorEastAsia"/>
          <w:bCs/>
          <w:color w:val="000000" w:themeColor="text1"/>
        </w:rPr>
        <w:t>施工期间，施工场地雨天降雨冲刷水主要污染物为SS，通过设置沉淀池沉淀处理后用于晴天场地洒水降尘，不能用完的通过沉淀后外排。</w:t>
      </w:r>
    </w:p>
    <w:p>
      <w:pPr>
        <w:ind w:firstLine="482"/>
        <w:rPr>
          <w:rFonts w:eastAsiaTheme="minorEastAsia"/>
          <w:b/>
          <w:color w:val="000000" w:themeColor="text1"/>
        </w:rPr>
      </w:pPr>
      <w:r>
        <w:rPr>
          <w:rFonts w:eastAsiaTheme="minorEastAsia"/>
          <w:b/>
          <w:color w:val="000000" w:themeColor="text1"/>
        </w:rPr>
        <w:t>3、施工噪声</w:t>
      </w:r>
    </w:p>
    <w:p>
      <w:pPr>
        <w:ind w:firstLine="480"/>
        <w:rPr>
          <w:rFonts w:eastAsiaTheme="minorEastAsia"/>
          <w:color w:val="000000" w:themeColor="text1"/>
        </w:rPr>
      </w:pPr>
      <w:r>
        <w:rPr>
          <w:rFonts w:eastAsiaTheme="minorEastAsia"/>
          <w:color w:val="000000" w:themeColor="text1"/>
        </w:rPr>
        <w:t>施工阶段主要使用推土机、装载机、运输车辆、电焊机等，这些机械产生的噪声对环境造成不利影响。在不同施工过程，作业噪声由于施工机械的数量、构成动作等的随机性，导致了噪声产生的随机性和无规律性，为无组织、不连续排放；汽车运输中产生的噪声则只与物料的运输过程有关，更具有不规律性，为无组织、不连续排放。主要施工机械噪声源强见表4.4-1。</w:t>
      </w:r>
    </w:p>
    <w:p>
      <w:pPr>
        <w:ind w:firstLine="422"/>
        <w:jc w:val="center"/>
        <w:rPr>
          <w:rFonts w:eastAsiaTheme="minorEastAsia"/>
          <w:b/>
          <w:color w:val="000000" w:themeColor="text1"/>
          <w:sz w:val="21"/>
          <w:szCs w:val="21"/>
        </w:rPr>
      </w:pPr>
      <w:r>
        <w:rPr>
          <w:rFonts w:eastAsiaTheme="minorEastAsia"/>
          <w:b/>
          <w:color w:val="000000" w:themeColor="text1"/>
          <w:sz w:val="21"/>
          <w:szCs w:val="21"/>
        </w:rPr>
        <w:t>表4.4-1施工期主要施工机械噪声源强表单位：dB(A)</w:t>
      </w:r>
    </w:p>
    <w:tbl>
      <w:tblPr>
        <w:tblStyle w:val="61"/>
        <w:tblW w:w="8168" w:type="dxa"/>
        <w:jc w:val="center"/>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547"/>
        <w:gridCol w:w="3301"/>
        <w:gridCol w:w="332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1547" w:type="dxa"/>
            <w:vAlign w:val="center"/>
          </w:tcPr>
          <w:p>
            <w:pPr>
              <w:widowControl/>
              <w:ind w:firstLine="420"/>
              <w:jc w:val="center"/>
              <w:rPr>
                <w:rFonts w:eastAsiaTheme="minorEastAsia"/>
                <w:color w:val="000000" w:themeColor="text1"/>
                <w:sz w:val="21"/>
                <w:szCs w:val="21"/>
              </w:rPr>
            </w:pPr>
            <w:r>
              <w:rPr>
                <w:rFonts w:eastAsiaTheme="minorEastAsia"/>
                <w:color w:val="000000" w:themeColor="text1"/>
                <w:sz w:val="21"/>
                <w:szCs w:val="21"/>
              </w:rPr>
              <w:t>序号</w:t>
            </w:r>
          </w:p>
        </w:tc>
        <w:tc>
          <w:tcPr>
            <w:tcW w:w="3301" w:type="dxa"/>
            <w:vAlign w:val="center"/>
          </w:tcPr>
          <w:p>
            <w:pPr>
              <w:widowControl/>
              <w:ind w:firstLine="420"/>
              <w:jc w:val="center"/>
              <w:rPr>
                <w:rFonts w:eastAsiaTheme="minorEastAsia"/>
                <w:color w:val="000000" w:themeColor="text1"/>
                <w:sz w:val="21"/>
                <w:szCs w:val="21"/>
              </w:rPr>
            </w:pPr>
            <w:r>
              <w:rPr>
                <w:rFonts w:eastAsiaTheme="minorEastAsia"/>
                <w:color w:val="000000" w:themeColor="text1"/>
                <w:sz w:val="21"/>
                <w:szCs w:val="21"/>
              </w:rPr>
              <w:t>施工机械名称</w:t>
            </w:r>
          </w:p>
        </w:tc>
        <w:tc>
          <w:tcPr>
            <w:tcW w:w="3320" w:type="dxa"/>
            <w:vAlign w:val="center"/>
          </w:tcPr>
          <w:p>
            <w:pPr>
              <w:widowControl/>
              <w:ind w:firstLine="420"/>
              <w:jc w:val="center"/>
              <w:rPr>
                <w:rFonts w:eastAsiaTheme="minorEastAsia"/>
                <w:color w:val="000000" w:themeColor="text1"/>
                <w:sz w:val="21"/>
                <w:szCs w:val="21"/>
              </w:rPr>
            </w:pPr>
            <w:r>
              <w:rPr>
                <w:rFonts w:eastAsiaTheme="minorEastAsia"/>
                <w:color w:val="000000" w:themeColor="text1"/>
                <w:sz w:val="21"/>
                <w:szCs w:val="21"/>
              </w:rPr>
              <w:t>噪声</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1547"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1</w:t>
            </w:r>
          </w:p>
        </w:tc>
        <w:tc>
          <w:tcPr>
            <w:tcW w:w="3301"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推土机</w:t>
            </w:r>
          </w:p>
        </w:tc>
        <w:tc>
          <w:tcPr>
            <w:tcW w:w="3320" w:type="dxa"/>
            <w:vAlign w:val="center"/>
          </w:tcPr>
          <w:p>
            <w:pPr>
              <w:ind w:firstLine="420"/>
              <w:jc w:val="center"/>
              <w:rPr>
                <w:rFonts w:eastAsiaTheme="minorEastAsia"/>
                <w:color w:val="000000" w:themeColor="text1"/>
                <w:sz w:val="21"/>
                <w:szCs w:val="21"/>
              </w:rPr>
            </w:pPr>
            <w:r>
              <w:rPr>
                <w:rFonts w:eastAsiaTheme="minorEastAsia"/>
                <w:color w:val="000000" w:themeColor="text1"/>
                <w:sz w:val="21"/>
                <w:szCs w:val="21"/>
              </w:rPr>
              <w:t>86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PrEx>
        <w:trPr>
          <w:trHeight w:val="397" w:hRule="exact"/>
          <w:jc w:val="center"/>
        </w:trPr>
        <w:tc>
          <w:tcPr>
            <w:tcW w:w="1547"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2</w:t>
            </w:r>
          </w:p>
        </w:tc>
        <w:tc>
          <w:tcPr>
            <w:tcW w:w="3301"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装载机</w:t>
            </w:r>
          </w:p>
        </w:tc>
        <w:tc>
          <w:tcPr>
            <w:tcW w:w="3320" w:type="dxa"/>
            <w:vAlign w:val="center"/>
          </w:tcPr>
          <w:p>
            <w:pPr>
              <w:ind w:firstLine="420"/>
              <w:jc w:val="center"/>
              <w:rPr>
                <w:rFonts w:eastAsiaTheme="minorEastAsia"/>
                <w:color w:val="000000" w:themeColor="text1"/>
                <w:sz w:val="21"/>
                <w:szCs w:val="21"/>
              </w:rPr>
            </w:pPr>
            <w:r>
              <w:rPr>
                <w:rFonts w:eastAsiaTheme="minorEastAsia"/>
                <w:color w:val="000000" w:themeColor="text1"/>
                <w:sz w:val="21"/>
                <w:szCs w:val="21"/>
              </w:rPr>
              <w:t>79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1547"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3</w:t>
            </w:r>
          </w:p>
        </w:tc>
        <w:tc>
          <w:tcPr>
            <w:tcW w:w="3301"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大型载重车</w:t>
            </w:r>
          </w:p>
        </w:tc>
        <w:tc>
          <w:tcPr>
            <w:tcW w:w="3320" w:type="dxa"/>
            <w:vAlign w:val="center"/>
          </w:tcPr>
          <w:p>
            <w:pPr>
              <w:ind w:firstLine="420"/>
              <w:jc w:val="center"/>
              <w:rPr>
                <w:rFonts w:eastAsiaTheme="minorEastAsia"/>
                <w:color w:val="000000" w:themeColor="text1"/>
                <w:sz w:val="21"/>
                <w:szCs w:val="21"/>
              </w:rPr>
            </w:pPr>
            <w:r>
              <w:rPr>
                <w:rFonts w:eastAsiaTheme="minorEastAsia"/>
                <w:color w:val="000000" w:themeColor="text1"/>
                <w:sz w:val="21"/>
                <w:szCs w:val="21"/>
              </w:rPr>
              <w:t>79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1547"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4</w:t>
            </w:r>
          </w:p>
        </w:tc>
        <w:tc>
          <w:tcPr>
            <w:tcW w:w="3301"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电锯</w:t>
            </w:r>
          </w:p>
        </w:tc>
        <w:tc>
          <w:tcPr>
            <w:tcW w:w="3320" w:type="dxa"/>
            <w:vAlign w:val="center"/>
          </w:tcPr>
          <w:p>
            <w:pPr>
              <w:ind w:firstLine="420"/>
              <w:jc w:val="center"/>
              <w:rPr>
                <w:rFonts w:eastAsiaTheme="minorEastAsia"/>
                <w:color w:val="000000" w:themeColor="text1"/>
                <w:sz w:val="21"/>
                <w:szCs w:val="21"/>
              </w:rPr>
            </w:pPr>
            <w:r>
              <w:rPr>
                <w:rFonts w:eastAsiaTheme="minorEastAsia"/>
                <w:color w:val="000000" w:themeColor="text1"/>
                <w:sz w:val="21"/>
                <w:szCs w:val="21"/>
              </w:rPr>
              <w:t>94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1547"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5</w:t>
            </w:r>
          </w:p>
        </w:tc>
        <w:tc>
          <w:tcPr>
            <w:tcW w:w="3301"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电焊机</w:t>
            </w:r>
          </w:p>
        </w:tc>
        <w:tc>
          <w:tcPr>
            <w:tcW w:w="3320" w:type="dxa"/>
            <w:vAlign w:val="center"/>
          </w:tcPr>
          <w:p>
            <w:pPr>
              <w:ind w:firstLine="420"/>
              <w:jc w:val="center"/>
              <w:rPr>
                <w:rFonts w:eastAsiaTheme="minorEastAsia"/>
                <w:color w:val="000000" w:themeColor="text1"/>
                <w:sz w:val="21"/>
                <w:szCs w:val="21"/>
              </w:rPr>
            </w:pPr>
            <w:r>
              <w:rPr>
                <w:rFonts w:eastAsiaTheme="minorEastAsia"/>
                <w:color w:val="000000" w:themeColor="text1"/>
                <w:sz w:val="21"/>
                <w:szCs w:val="21"/>
              </w:rPr>
              <w:t>89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1547"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6</w:t>
            </w:r>
          </w:p>
        </w:tc>
        <w:tc>
          <w:tcPr>
            <w:tcW w:w="3301"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中型载重车</w:t>
            </w:r>
          </w:p>
        </w:tc>
        <w:tc>
          <w:tcPr>
            <w:tcW w:w="3320" w:type="dxa"/>
            <w:vAlign w:val="center"/>
          </w:tcPr>
          <w:p>
            <w:pPr>
              <w:ind w:firstLine="420"/>
              <w:jc w:val="center"/>
              <w:rPr>
                <w:rFonts w:eastAsiaTheme="minorEastAsia"/>
                <w:color w:val="000000" w:themeColor="text1"/>
                <w:sz w:val="21"/>
                <w:szCs w:val="21"/>
              </w:rPr>
            </w:pPr>
            <w:r>
              <w:rPr>
                <w:rFonts w:eastAsiaTheme="minorEastAsia"/>
                <w:color w:val="000000" w:themeColor="text1"/>
                <w:sz w:val="21"/>
                <w:szCs w:val="21"/>
              </w:rPr>
              <w:t>74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1547"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7</w:t>
            </w:r>
          </w:p>
        </w:tc>
        <w:tc>
          <w:tcPr>
            <w:tcW w:w="3301"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电钻</w:t>
            </w:r>
          </w:p>
        </w:tc>
        <w:tc>
          <w:tcPr>
            <w:tcW w:w="3320" w:type="dxa"/>
            <w:vAlign w:val="center"/>
          </w:tcPr>
          <w:p>
            <w:pPr>
              <w:ind w:firstLine="420"/>
              <w:jc w:val="center"/>
              <w:rPr>
                <w:rFonts w:eastAsiaTheme="minorEastAsia"/>
                <w:color w:val="000000" w:themeColor="text1"/>
                <w:sz w:val="21"/>
                <w:szCs w:val="21"/>
              </w:rPr>
            </w:pPr>
            <w:r>
              <w:rPr>
                <w:rFonts w:eastAsiaTheme="minorEastAsia"/>
                <w:color w:val="000000" w:themeColor="text1"/>
                <w:sz w:val="21"/>
                <w:szCs w:val="21"/>
              </w:rPr>
              <w:t>104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97" w:hRule="exact"/>
          <w:jc w:val="center"/>
        </w:trPr>
        <w:tc>
          <w:tcPr>
            <w:tcW w:w="1547"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8</w:t>
            </w:r>
          </w:p>
        </w:tc>
        <w:tc>
          <w:tcPr>
            <w:tcW w:w="3301" w:type="dxa"/>
            <w:vAlign w:val="center"/>
          </w:tcPr>
          <w:p>
            <w:pPr>
              <w:pStyle w:val="144"/>
              <w:spacing w:line="360" w:lineRule="auto"/>
              <w:ind w:firstLine="380"/>
              <w:rPr>
                <w:rFonts w:ascii="Times New Roman" w:eastAsiaTheme="minorEastAsia"/>
                <w:color w:val="000000" w:themeColor="text1"/>
                <w:kern w:val="2"/>
                <w:sz w:val="21"/>
                <w:szCs w:val="21"/>
              </w:rPr>
            </w:pPr>
            <w:r>
              <w:rPr>
                <w:rFonts w:ascii="Times New Roman" w:eastAsiaTheme="minorEastAsia"/>
                <w:color w:val="000000" w:themeColor="text1"/>
                <w:kern w:val="2"/>
                <w:sz w:val="21"/>
                <w:szCs w:val="21"/>
              </w:rPr>
              <w:t>手工钻</w:t>
            </w:r>
          </w:p>
        </w:tc>
        <w:tc>
          <w:tcPr>
            <w:tcW w:w="3320" w:type="dxa"/>
            <w:vAlign w:val="center"/>
          </w:tcPr>
          <w:p>
            <w:pPr>
              <w:ind w:firstLine="420"/>
              <w:jc w:val="center"/>
              <w:rPr>
                <w:rFonts w:eastAsiaTheme="minorEastAsia"/>
                <w:color w:val="000000" w:themeColor="text1"/>
                <w:sz w:val="21"/>
                <w:szCs w:val="21"/>
              </w:rPr>
            </w:pPr>
            <w:r>
              <w:rPr>
                <w:rFonts w:eastAsiaTheme="minorEastAsia"/>
                <w:color w:val="000000" w:themeColor="text1"/>
                <w:sz w:val="21"/>
                <w:szCs w:val="21"/>
              </w:rPr>
              <w:t>99</w:t>
            </w:r>
          </w:p>
        </w:tc>
      </w:tr>
    </w:tbl>
    <w:p>
      <w:pPr>
        <w:ind w:firstLine="482"/>
        <w:rPr>
          <w:rFonts w:eastAsiaTheme="minorEastAsia"/>
          <w:b/>
          <w:color w:val="000000" w:themeColor="text1"/>
        </w:rPr>
      </w:pPr>
      <w:r>
        <w:rPr>
          <w:rFonts w:eastAsiaTheme="minorEastAsia"/>
          <w:b/>
          <w:color w:val="000000" w:themeColor="text1"/>
        </w:rPr>
        <w:t>4、施工固废</w:t>
      </w:r>
    </w:p>
    <w:p>
      <w:pPr>
        <w:ind w:firstLine="480"/>
        <w:rPr>
          <w:rFonts w:eastAsiaTheme="minorEastAsia"/>
          <w:b/>
          <w:color w:val="000000" w:themeColor="text1"/>
        </w:rPr>
      </w:pPr>
      <w:r>
        <w:rPr>
          <w:rFonts w:eastAsiaTheme="minorEastAsia"/>
          <w:color w:val="000000" w:themeColor="text1"/>
        </w:rPr>
        <w:t>施工期固废主要为土石方、建筑垃圾、生活垃圾。</w:t>
      </w:r>
    </w:p>
    <w:p>
      <w:pPr>
        <w:ind w:firstLine="480"/>
        <w:rPr>
          <w:rFonts w:eastAsiaTheme="minorEastAsia"/>
          <w:color w:val="000000" w:themeColor="text1"/>
        </w:rPr>
      </w:pPr>
      <w:r>
        <w:rPr>
          <w:rFonts w:eastAsiaTheme="minorEastAsia"/>
          <w:color w:val="000000" w:themeColor="text1"/>
        </w:rPr>
        <w:t>（1）土石方</w:t>
      </w:r>
    </w:p>
    <w:p>
      <w:pPr>
        <w:ind w:firstLine="480"/>
        <w:rPr>
          <w:rFonts w:eastAsiaTheme="minorEastAsia"/>
          <w:color w:val="000000" w:themeColor="text1"/>
        </w:rPr>
      </w:pPr>
      <w:r>
        <w:rPr>
          <w:rFonts w:eastAsiaTheme="minorEastAsia"/>
          <w:color w:val="000000" w:themeColor="text1"/>
        </w:rPr>
        <w:t>根据现场踏勘，技改项目区地势较平坦，</w:t>
      </w:r>
      <w:r>
        <w:rPr>
          <w:rFonts w:hint="eastAsia" w:eastAsiaTheme="minorEastAsia"/>
          <w:color w:val="000000" w:themeColor="text1"/>
        </w:rPr>
        <w:t>项目涉及基础开挖的工程量小，</w:t>
      </w:r>
      <w:r>
        <w:rPr>
          <w:rFonts w:eastAsiaTheme="minorEastAsia"/>
          <w:color w:val="000000" w:themeColor="text1"/>
        </w:rPr>
        <w:t>土石方回填较少，主要为基础开挖产生的土石方，不需要外借土石方。</w:t>
      </w:r>
    </w:p>
    <w:p>
      <w:pPr>
        <w:ind w:firstLine="480"/>
        <w:rPr>
          <w:rFonts w:eastAsiaTheme="minorEastAsia"/>
          <w:color w:val="000000" w:themeColor="text1"/>
        </w:rPr>
      </w:pPr>
      <w:r>
        <w:rPr>
          <w:rFonts w:eastAsiaTheme="minorEastAsia"/>
          <w:color w:val="000000" w:themeColor="text1"/>
        </w:rPr>
        <w:t>（2）建筑垃圾</w:t>
      </w:r>
    </w:p>
    <w:p>
      <w:pPr>
        <w:ind w:firstLine="480"/>
        <w:rPr>
          <w:rFonts w:eastAsiaTheme="minorEastAsia"/>
          <w:color w:val="000000" w:themeColor="text1"/>
        </w:rPr>
      </w:pPr>
      <w:r>
        <w:rPr>
          <w:rFonts w:eastAsiaTheme="minorEastAsia"/>
          <w:color w:val="000000" w:themeColor="text1"/>
        </w:rPr>
        <w:t>建筑垃圾产生量采用建筑面积预测模式计算：</w:t>
      </w:r>
    </w:p>
    <w:p>
      <w:pPr>
        <w:ind w:firstLine="480"/>
        <w:jc w:val="center"/>
        <w:rPr>
          <w:rFonts w:eastAsiaTheme="minorEastAsia"/>
          <w:color w:val="000000" w:themeColor="text1"/>
        </w:rPr>
      </w:pPr>
      <w:r>
        <w:rPr>
          <w:rFonts w:eastAsiaTheme="minorEastAsia"/>
          <w:color w:val="000000" w:themeColor="text1"/>
        </w:rPr>
        <w:t>JS=Q</w:t>
      </w:r>
      <w:r>
        <w:rPr>
          <w:rFonts w:eastAsiaTheme="minorEastAsia"/>
          <w:color w:val="000000" w:themeColor="text1"/>
          <w:vertAlign w:val="subscript"/>
        </w:rPr>
        <w:t>S</w:t>
      </w:r>
      <w:r>
        <w:rPr>
          <w:rFonts w:eastAsiaTheme="minorEastAsia"/>
          <w:color w:val="000000" w:themeColor="text1"/>
        </w:rPr>
        <w:t>×C</w:t>
      </w:r>
      <w:r>
        <w:rPr>
          <w:rFonts w:eastAsiaTheme="minorEastAsia"/>
          <w:color w:val="000000" w:themeColor="text1"/>
          <w:vertAlign w:val="subscript"/>
        </w:rPr>
        <w:t>S</w:t>
      </w:r>
    </w:p>
    <w:p>
      <w:pPr>
        <w:ind w:firstLine="480"/>
        <w:rPr>
          <w:rFonts w:eastAsiaTheme="minorEastAsia"/>
          <w:color w:val="000000" w:themeColor="text1"/>
        </w:rPr>
      </w:pPr>
      <w:r>
        <w:rPr>
          <w:rFonts w:eastAsiaTheme="minorEastAsia"/>
          <w:color w:val="000000" w:themeColor="text1"/>
        </w:rPr>
        <w:t>式中：J</w:t>
      </w:r>
      <w:r>
        <w:rPr>
          <w:rFonts w:eastAsiaTheme="minorEastAsia"/>
          <w:color w:val="000000" w:themeColor="text1"/>
          <w:vertAlign w:val="subscript"/>
        </w:rPr>
        <w:t>S</w:t>
      </w:r>
      <w:r>
        <w:rPr>
          <w:rFonts w:eastAsiaTheme="minorEastAsia"/>
          <w:color w:val="000000" w:themeColor="text1"/>
        </w:rPr>
        <w:t>：建筑垃圾总产生量（t）</w:t>
      </w:r>
    </w:p>
    <w:p>
      <w:pPr>
        <w:ind w:firstLine="480"/>
        <w:rPr>
          <w:rFonts w:eastAsiaTheme="minorEastAsia"/>
          <w:color w:val="000000" w:themeColor="text1"/>
        </w:rPr>
      </w:pPr>
      <w:r>
        <w:rPr>
          <w:rFonts w:eastAsiaTheme="minorEastAsia"/>
          <w:color w:val="000000" w:themeColor="text1"/>
        </w:rPr>
        <w:t>Q</w:t>
      </w:r>
      <w:r>
        <w:rPr>
          <w:rFonts w:eastAsiaTheme="minorEastAsia"/>
          <w:color w:val="000000" w:themeColor="text1"/>
          <w:vertAlign w:val="subscript"/>
        </w:rPr>
        <w:t>S</w:t>
      </w:r>
      <w:r>
        <w:rPr>
          <w:rFonts w:eastAsiaTheme="minorEastAsia"/>
          <w:color w:val="000000" w:themeColor="text1"/>
        </w:rPr>
        <w:t>：总建筑面积，8140m</w:t>
      </w:r>
      <w:r>
        <w:rPr>
          <w:rFonts w:eastAsiaTheme="minorEastAsia"/>
          <w:color w:val="000000" w:themeColor="text1"/>
          <w:vertAlign w:val="superscript"/>
        </w:rPr>
        <w:t>2</w:t>
      </w:r>
      <w:r>
        <w:rPr>
          <w:rFonts w:eastAsiaTheme="minorEastAsia"/>
          <w:color w:val="000000" w:themeColor="text1"/>
        </w:rPr>
        <w:t>。</w:t>
      </w:r>
    </w:p>
    <w:p>
      <w:pPr>
        <w:ind w:firstLine="480"/>
        <w:rPr>
          <w:rFonts w:eastAsiaTheme="minorEastAsia"/>
          <w:color w:val="000000" w:themeColor="text1"/>
        </w:rPr>
      </w:pPr>
      <w:r>
        <w:rPr>
          <w:rFonts w:eastAsiaTheme="minorEastAsia"/>
          <w:color w:val="000000" w:themeColor="text1"/>
        </w:rPr>
        <w:t>C</w:t>
      </w:r>
      <w:r>
        <w:rPr>
          <w:rFonts w:eastAsiaTheme="minorEastAsia"/>
          <w:color w:val="000000" w:themeColor="text1"/>
          <w:vertAlign w:val="subscript"/>
        </w:rPr>
        <w:t>S</w:t>
      </w:r>
      <w:r>
        <w:rPr>
          <w:rFonts w:eastAsiaTheme="minorEastAsia"/>
          <w:color w:val="000000" w:themeColor="text1"/>
        </w:rPr>
        <w:t>：每平方米建筑垃圾产生量，按建设部建筑垃圾系数取4.4kg/m</w:t>
      </w:r>
      <w:r>
        <w:rPr>
          <w:rFonts w:eastAsiaTheme="minorEastAsia"/>
          <w:color w:val="000000" w:themeColor="text1"/>
          <w:vertAlign w:val="superscript"/>
        </w:rPr>
        <w:t>2</w:t>
      </w:r>
      <w:r>
        <w:rPr>
          <w:rFonts w:eastAsiaTheme="minorEastAsia"/>
          <w:color w:val="000000" w:themeColor="text1"/>
        </w:rPr>
        <w:t>。</w:t>
      </w:r>
    </w:p>
    <w:p>
      <w:pPr>
        <w:ind w:firstLine="480"/>
        <w:rPr>
          <w:rFonts w:eastAsiaTheme="minorEastAsia"/>
          <w:color w:val="000000" w:themeColor="text1"/>
        </w:rPr>
      </w:pPr>
      <w:r>
        <w:rPr>
          <w:rFonts w:eastAsiaTheme="minorEastAsia"/>
          <w:color w:val="000000" w:themeColor="text1"/>
        </w:rPr>
        <w:t>根据上式计算，该项目施工期建筑垃圾产生量为35.82t。</w:t>
      </w:r>
    </w:p>
    <w:p>
      <w:pPr>
        <w:ind w:firstLine="480"/>
        <w:rPr>
          <w:rFonts w:eastAsiaTheme="minorEastAsia"/>
          <w:color w:val="000000" w:themeColor="text1"/>
        </w:rPr>
      </w:pPr>
      <w:r>
        <w:rPr>
          <w:rFonts w:eastAsiaTheme="minorEastAsia"/>
          <w:color w:val="000000" w:themeColor="text1"/>
        </w:rPr>
        <w:t>建筑垃圾分类收集后能外卖的外卖，不能外卖的运至管理部门指定场所处置。</w:t>
      </w:r>
    </w:p>
    <w:p>
      <w:pPr>
        <w:ind w:firstLine="480"/>
        <w:rPr>
          <w:rFonts w:eastAsiaTheme="minorEastAsia"/>
          <w:color w:val="000000" w:themeColor="text1"/>
        </w:rPr>
      </w:pPr>
      <w:r>
        <w:rPr>
          <w:rFonts w:eastAsiaTheme="minorEastAsia"/>
          <w:color w:val="000000" w:themeColor="text1"/>
        </w:rPr>
        <w:t>（3）生活垃圾</w:t>
      </w:r>
    </w:p>
    <w:p>
      <w:pPr>
        <w:ind w:firstLine="480"/>
        <w:rPr>
          <w:rFonts w:eastAsiaTheme="minorEastAsia"/>
          <w:color w:val="000000" w:themeColor="text1"/>
        </w:rPr>
      </w:pPr>
      <w:r>
        <w:rPr>
          <w:rFonts w:eastAsiaTheme="minorEastAsia"/>
          <w:color w:val="000000" w:themeColor="text1"/>
        </w:rPr>
        <w:t>项目施工人员20人，生活垃圾产生量按0.5kg/(人·d)计算，则施工期生活垃圾产生量为10kg/d，整个施工期产生0.</w:t>
      </w:r>
      <w:r>
        <w:rPr>
          <w:rFonts w:hint="eastAsia" w:eastAsiaTheme="minorEastAsia"/>
          <w:color w:val="000000" w:themeColor="text1"/>
        </w:rPr>
        <w:t>61</w:t>
      </w:r>
      <w:r>
        <w:rPr>
          <w:rFonts w:eastAsiaTheme="minorEastAsia"/>
          <w:color w:val="000000" w:themeColor="text1"/>
        </w:rPr>
        <w:t>t。施工人员生活垃圾收集后与原有项目员工生活垃圾一同清运处置。</w:t>
      </w:r>
      <w:bookmarkStart w:id="524" w:name="_Toc421915858"/>
      <w:bookmarkStart w:id="525" w:name="_Toc430201376"/>
      <w:bookmarkStart w:id="526" w:name="_Toc430953659"/>
      <w:bookmarkStart w:id="527" w:name="_Toc430953867"/>
    </w:p>
    <w:p>
      <w:pPr>
        <w:ind w:firstLine="482"/>
        <w:rPr>
          <w:rFonts w:eastAsiaTheme="minorEastAsia"/>
          <w:b/>
          <w:color w:val="000000" w:themeColor="text1"/>
        </w:rPr>
      </w:pPr>
      <w:bookmarkStart w:id="528" w:name="_Toc450603569"/>
      <w:r>
        <w:rPr>
          <w:rFonts w:hint="eastAsia" w:eastAsiaTheme="minorEastAsia"/>
          <w:b/>
          <w:color w:val="000000" w:themeColor="text1"/>
        </w:rPr>
        <w:t>5</w:t>
      </w:r>
      <w:r>
        <w:rPr>
          <w:rFonts w:eastAsiaTheme="minorEastAsia"/>
          <w:b/>
          <w:color w:val="000000" w:themeColor="text1"/>
        </w:rPr>
        <w:t>、施工</w:t>
      </w:r>
      <w:r>
        <w:rPr>
          <w:rFonts w:hint="eastAsia" w:eastAsiaTheme="minorEastAsia"/>
          <w:b/>
          <w:color w:val="000000" w:themeColor="text1"/>
        </w:rPr>
        <w:t>水土流失</w:t>
      </w:r>
    </w:p>
    <w:p>
      <w:pPr>
        <w:ind w:firstLine="480"/>
        <w:rPr>
          <w:rFonts w:eastAsiaTheme="minorEastAsia"/>
          <w:color w:val="000000" w:themeColor="text1"/>
        </w:rPr>
      </w:pPr>
      <w:r>
        <w:rPr>
          <w:rFonts w:hint="eastAsia" w:eastAsiaTheme="minorEastAsia"/>
          <w:color w:val="000000" w:themeColor="text1"/>
        </w:rPr>
        <w:t>项目在原厂区空地上建设，料棚建设、雨污水管线工程、初雨收集池、污水收集及处理系统等涉及</w:t>
      </w:r>
      <w:r>
        <w:rPr>
          <w:rFonts w:eastAsiaTheme="minorEastAsia"/>
          <w:color w:val="000000" w:themeColor="text1"/>
        </w:rPr>
        <w:t>一定的开挖</w:t>
      </w:r>
      <w:r>
        <w:rPr>
          <w:rFonts w:hint="eastAsia" w:eastAsiaTheme="minorEastAsia"/>
          <w:color w:val="000000" w:themeColor="text1"/>
        </w:rPr>
        <w:t>的工程会造成一定程度的水土流失，但开挖量较小，作业周期短，且项目建设后加强厂区绿化，能在一定程度上减少水土流失情况。</w:t>
      </w:r>
    </w:p>
    <w:p>
      <w:pPr>
        <w:pStyle w:val="6"/>
        <w:spacing w:beforeLines="0" w:afterLines="0"/>
        <w:rPr>
          <w:rFonts w:eastAsiaTheme="minorEastAsia"/>
          <w:color w:val="000000" w:themeColor="text1"/>
          <w:sz w:val="28"/>
          <w:szCs w:val="28"/>
        </w:rPr>
      </w:pPr>
      <w:bookmarkStart w:id="529" w:name="_Toc30844"/>
      <w:r>
        <w:rPr>
          <w:rFonts w:eastAsiaTheme="minorEastAsia"/>
          <w:color w:val="000000" w:themeColor="text1"/>
          <w:sz w:val="28"/>
          <w:szCs w:val="28"/>
        </w:rPr>
        <w:t>4.4.2营运期污染物治理和排放情况</w:t>
      </w:r>
      <w:bookmarkEnd w:id="524"/>
      <w:bookmarkEnd w:id="525"/>
      <w:bookmarkEnd w:id="526"/>
      <w:bookmarkEnd w:id="527"/>
      <w:bookmarkEnd w:id="528"/>
      <w:bookmarkEnd w:id="529"/>
    </w:p>
    <w:p>
      <w:pPr>
        <w:ind w:firstLine="482"/>
        <w:rPr>
          <w:rFonts w:eastAsiaTheme="minorEastAsia"/>
          <w:b/>
          <w:bCs/>
          <w:color w:val="000000" w:themeColor="text1"/>
          <w:szCs w:val="24"/>
        </w:rPr>
      </w:pPr>
      <w:r>
        <w:rPr>
          <w:rFonts w:eastAsiaTheme="minorEastAsia"/>
          <w:b/>
          <w:bCs/>
          <w:color w:val="000000" w:themeColor="text1"/>
          <w:szCs w:val="24"/>
        </w:rPr>
        <w:t>1、大气污染物排放及治理情况</w:t>
      </w:r>
    </w:p>
    <w:p>
      <w:pPr>
        <w:ind w:firstLine="480"/>
        <w:rPr>
          <w:rFonts w:eastAsiaTheme="minorEastAsia"/>
          <w:color w:val="000000" w:themeColor="text1"/>
          <w:szCs w:val="24"/>
        </w:rPr>
      </w:pPr>
      <w:r>
        <w:rPr>
          <w:rFonts w:eastAsiaTheme="minorEastAsia"/>
          <w:color w:val="000000" w:themeColor="text1"/>
        </w:rPr>
        <w:t>技改工程中的选矿工序全程湿法作业，</w:t>
      </w:r>
      <w:r>
        <w:rPr>
          <w:rFonts w:hint="eastAsia" w:eastAsiaTheme="minorEastAsia"/>
          <w:color w:val="000000" w:themeColor="text1"/>
        </w:rPr>
        <w:t>生产过程的物料</w:t>
      </w:r>
      <w:r>
        <w:rPr>
          <w:rFonts w:eastAsiaTheme="minorEastAsia"/>
          <w:color w:val="000000" w:themeColor="text1"/>
        </w:rPr>
        <w:t>含水量较大，生产过程中基本没有粉尘产生。</w:t>
      </w:r>
      <w:r>
        <w:rPr>
          <w:rFonts w:eastAsiaTheme="minorEastAsia"/>
          <w:color w:val="000000" w:themeColor="text1"/>
          <w:szCs w:val="24"/>
        </w:rPr>
        <w:t>废气主要为原矿处理加工中破碎、筛分、制砂、给料、装卸、运输</w:t>
      </w:r>
      <w:r>
        <w:rPr>
          <w:rStyle w:val="73"/>
          <w:rFonts w:hint="eastAsia"/>
          <w:color w:val="000000" w:themeColor="text1"/>
          <w:kern w:val="0"/>
          <w:sz w:val="24"/>
          <w:szCs w:val="24"/>
        </w:rPr>
        <w:t>及物料堆存</w:t>
      </w:r>
      <w:r>
        <w:rPr>
          <w:rFonts w:eastAsiaTheme="minorEastAsia"/>
          <w:color w:val="000000" w:themeColor="text1"/>
          <w:szCs w:val="24"/>
        </w:rPr>
        <w:t>过程中产生的粉尘。龙都尾矿库干滩扬尘不在项目评价范围内。</w:t>
      </w:r>
    </w:p>
    <w:p>
      <w:pPr>
        <w:ind w:firstLine="482"/>
        <w:rPr>
          <w:rFonts w:eastAsiaTheme="minorEastAsia"/>
          <w:b/>
          <w:color w:val="000000" w:themeColor="text1"/>
          <w:szCs w:val="24"/>
        </w:rPr>
      </w:pPr>
      <w:r>
        <w:rPr>
          <w:rFonts w:eastAsiaTheme="minorEastAsia"/>
          <w:b/>
          <w:color w:val="000000" w:themeColor="text1"/>
          <w:szCs w:val="24"/>
        </w:rPr>
        <w:t>（1）颗粒物</w:t>
      </w:r>
    </w:p>
    <w:p>
      <w:pPr>
        <w:ind w:firstLine="480"/>
        <w:rPr>
          <w:rFonts w:eastAsiaTheme="minorEastAsia"/>
          <w:color w:val="000000" w:themeColor="text1"/>
          <w:szCs w:val="24"/>
        </w:rPr>
      </w:pPr>
      <w:r>
        <w:rPr>
          <w:rFonts w:hint="eastAsia" w:eastAsiaTheme="minorEastAsia"/>
          <w:color w:val="000000" w:themeColor="text1"/>
          <w:szCs w:val="24"/>
        </w:rPr>
        <w:t>由于目前国家还未发布过选矿行业的排污许可证申请与核发技术规范或污染源核算技术指南，</w:t>
      </w:r>
      <w:r>
        <w:rPr>
          <w:rFonts w:hint="eastAsia"/>
          <w:bCs/>
          <w:color w:val="000000" w:themeColor="text1"/>
          <w:szCs w:val="24"/>
        </w:rPr>
        <w:t>并且《未纳入排污许可管理行业适用的排污系数、物料衡算方法（试行）》也未明确此类项目排污系数，故本项目原料处理核算分析如下所述：</w:t>
      </w:r>
    </w:p>
    <w:p>
      <w:pPr>
        <w:ind w:firstLine="482"/>
        <w:rPr>
          <w:rFonts w:eastAsiaTheme="minorEastAsia"/>
          <w:b/>
          <w:color w:val="000000" w:themeColor="text1"/>
          <w:szCs w:val="24"/>
        </w:rPr>
      </w:pPr>
      <w:r>
        <w:rPr>
          <w:rFonts w:hint="eastAsia" w:eastAsiaTheme="minorEastAsia"/>
          <w:b/>
          <w:color w:val="000000" w:themeColor="text1"/>
          <w:szCs w:val="24"/>
        </w:rPr>
        <w:t>①装载机装料（原矿石）粉尘</w:t>
      </w:r>
    </w:p>
    <w:p>
      <w:pPr>
        <w:ind w:firstLine="480"/>
        <w:rPr>
          <w:color w:val="000000" w:themeColor="text1"/>
        </w:rPr>
      </w:pPr>
      <w:r>
        <w:rPr>
          <w:color w:val="000000" w:themeColor="text1"/>
        </w:rPr>
        <w:t>本项目</w:t>
      </w:r>
      <w:r>
        <w:rPr>
          <w:rFonts w:hint="eastAsia"/>
          <w:color w:val="000000" w:themeColor="text1"/>
        </w:rPr>
        <w:t>原矿石从堆场至料口</w:t>
      </w:r>
      <w:r>
        <w:rPr>
          <w:color w:val="000000" w:themeColor="text1"/>
        </w:rPr>
        <w:t>过程中，会产生无组织粉尘。本项目用</w:t>
      </w:r>
      <w:r>
        <w:rPr>
          <w:rFonts w:hint="eastAsia"/>
          <w:color w:val="000000" w:themeColor="text1"/>
        </w:rPr>
        <w:t>1</w:t>
      </w:r>
      <w:r>
        <w:rPr>
          <w:color w:val="000000" w:themeColor="text1"/>
        </w:rPr>
        <w:t>台铲斗容量为5t的装载机进行</w:t>
      </w:r>
      <w:r>
        <w:rPr>
          <w:rFonts w:hint="eastAsia"/>
          <w:color w:val="000000" w:themeColor="text1"/>
        </w:rPr>
        <w:t>装料</w:t>
      </w:r>
      <w:r>
        <w:rPr>
          <w:color w:val="000000" w:themeColor="text1"/>
        </w:rPr>
        <w:t>。</w:t>
      </w:r>
      <w:r>
        <w:rPr>
          <w:rFonts w:hint="eastAsia"/>
          <w:color w:val="000000" w:themeColor="text1"/>
        </w:rPr>
        <w:t>装料</w:t>
      </w:r>
      <w:r>
        <w:rPr>
          <w:color w:val="000000" w:themeColor="text1"/>
        </w:rPr>
        <w:t>过程粉尘产生量的大小与矿岩硬度、自然含湿量、装车高度、风流速度及治理水平等一系列因素关系密切，主要措施为洒水抑尘，增大矿岩湿度。根据</w:t>
      </w:r>
      <w:r>
        <w:rPr>
          <w:rFonts w:hint="eastAsia"/>
          <w:color w:val="000000" w:themeColor="text1"/>
        </w:rPr>
        <w:t>选矿项目统计资料</w:t>
      </w:r>
      <w:r>
        <w:rPr>
          <w:color w:val="000000" w:themeColor="text1"/>
        </w:rPr>
        <w:t>，一般干燥情况下，</w:t>
      </w:r>
      <w:r>
        <w:rPr>
          <w:rFonts w:hint="eastAsia"/>
          <w:color w:val="000000" w:themeColor="text1"/>
        </w:rPr>
        <w:t>装载机</w:t>
      </w:r>
      <w:r>
        <w:rPr>
          <w:color w:val="000000" w:themeColor="text1"/>
        </w:rPr>
        <w:t>粉尘的产生量为2.77kg/h•台，湿度不足时，为0.83kg/h•台，湿度充分情况下为0.</w:t>
      </w:r>
      <w:r>
        <w:rPr>
          <w:rFonts w:hint="eastAsia"/>
          <w:color w:val="000000" w:themeColor="text1"/>
        </w:rPr>
        <w:t>1</w:t>
      </w:r>
      <w:r>
        <w:rPr>
          <w:color w:val="000000" w:themeColor="text1"/>
        </w:rPr>
        <w:t>4kg/h•台。</w:t>
      </w:r>
    </w:p>
    <w:p>
      <w:pPr>
        <w:ind w:firstLine="480"/>
        <w:rPr>
          <w:rFonts w:ascii="宋体" w:hAnsi="宋体" w:cs="宋体"/>
          <w:color w:val="000000" w:themeColor="text1"/>
          <w:szCs w:val="24"/>
        </w:rPr>
      </w:pPr>
      <w:r>
        <w:rPr>
          <w:color w:val="000000" w:themeColor="text1"/>
        </w:rPr>
        <w:t>项目配备装载机</w:t>
      </w:r>
      <w:r>
        <w:rPr>
          <w:rFonts w:hint="eastAsia"/>
          <w:color w:val="000000" w:themeColor="text1"/>
        </w:rPr>
        <w:t>1</w:t>
      </w:r>
      <w:r>
        <w:rPr>
          <w:color w:val="000000" w:themeColor="text1"/>
        </w:rPr>
        <w:t>台，</w:t>
      </w:r>
      <w:r>
        <w:rPr>
          <w:rFonts w:hint="eastAsia"/>
          <w:color w:val="000000" w:themeColor="text1"/>
        </w:rPr>
        <w:t>按每天装载原料量为500t计算，装载机从原料堆场装料至料口每次需要时间为3min，每次装料5t，故计算得出每台每天平均作业时间为5</w:t>
      </w:r>
      <w:r>
        <w:rPr>
          <w:color w:val="000000" w:themeColor="text1"/>
        </w:rPr>
        <w:t>小时，300d计。干燥情况下，预计铲装作业粉尘产生量为</w:t>
      </w:r>
      <w:r>
        <w:rPr>
          <w:rFonts w:hint="eastAsia"/>
          <w:color w:val="000000" w:themeColor="text1"/>
        </w:rPr>
        <w:t>4.155</w:t>
      </w:r>
      <w:r>
        <w:rPr>
          <w:color w:val="000000" w:themeColor="text1"/>
        </w:rPr>
        <w:t>t/a（</w:t>
      </w:r>
      <w:r>
        <w:rPr>
          <w:rFonts w:hint="eastAsia"/>
          <w:color w:val="000000" w:themeColor="text1"/>
        </w:rPr>
        <w:t>2.77</w:t>
      </w:r>
      <w:r>
        <w:rPr>
          <w:color w:val="000000" w:themeColor="text1"/>
        </w:rPr>
        <w:t>kg/h）。</w:t>
      </w:r>
      <w:r>
        <w:rPr>
          <w:color w:val="000000" w:themeColor="text1"/>
          <w:szCs w:val="24"/>
        </w:rPr>
        <w:t>通过采取洒水</w:t>
      </w:r>
      <w:r>
        <w:rPr>
          <w:rFonts w:hint="eastAsia"/>
          <w:color w:val="000000" w:themeColor="text1"/>
          <w:szCs w:val="24"/>
        </w:rPr>
        <w:t>降尘、对原矿堆场进行封闭</w:t>
      </w:r>
      <w:r>
        <w:rPr>
          <w:color w:val="000000" w:themeColor="text1"/>
          <w:szCs w:val="24"/>
        </w:rPr>
        <w:t>等</w:t>
      </w:r>
      <w:r>
        <w:rPr>
          <w:rStyle w:val="73"/>
          <w:rFonts w:hint="eastAsia"/>
          <w:color w:val="000000" w:themeColor="text1"/>
          <w:kern w:val="0"/>
          <w:sz w:val="24"/>
          <w:szCs w:val="24"/>
        </w:rPr>
        <w:t>降</w:t>
      </w:r>
      <w:r>
        <w:rPr>
          <w:color w:val="000000" w:themeColor="text1"/>
          <w:szCs w:val="24"/>
        </w:rPr>
        <w:t>尘措施后，</w:t>
      </w:r>
      <w:r>
        <w:rPr>
          <w:color w:val="000000" w:themeColor="text1"/>
        </w:rPr>
        <w:t>粉尘排放量计算参数取0.14kg/h•台，则铲装作业粉尘排放量</w:t>
      </w:r>
      <w:r>
        <w:rPr>
          <w:rFonts w:hint="eastAsia"/>
          <w:color w:val="000000" w:themeColor="text1"/>
        </w:rPr>
        <w:t>0.21</w:t>
      </w:r>
      <w:r>
        <w:rPr>
          <w:color w:val="000000" w:themeColor="text1"/>
        </w:rPr>
        <w:t>t/a（</w:t>
      </w:r>
      <w:r>
        <w:rPr>
          <w:rFonts w:hint="eastAsia"/>
          <w:color w:val="000000" w:themeColor="text1"/>
        </w:rPr>
        <w:t>0.14</w:t>
      </w:r>
      <w:r>
        <w:rPr>
          <w:color w:val="000000" w:themeColor="text1"/>
        </w:rPr>
        <w:t>kg/h）。</w:t>
      </w:r>
    </w:p>
    <w:p>
      <w:pPr>
        <w:ind w:firstLine="482"/>
        <w:rPr>
          <w:rFonts w:eastAsiaTheme="minorEastAsia"/>
          <w:b/>
          <w:color w:val="000000" w:themeColor="text1"/>
          <w:szCs w:val="24"/>
        </w:rPr>
      </w:pPr>
      <w:r>
        <w:rPr>
          <w:rFonts w:hint="eastAsia" w:eastAsiaTheme="minorEastAsia"/>
          <w:b/>
          <w:color w:val="000000" w:themeColor="text1"/>
          <w:szCs w:val="24"/>
        </w:rPr>
        <w:t>②</w:t>
      </w:r>
      <w:r>
        <w:rPr>
          <w:rFonts w:eastAsiaTheme="minorEastAsia"/>
          <w:b/>
          <w:color w:val="000000" w:themeColor="text1"/>
          <w:szCs w:val="24"/>
        </w:rPr>
        <w:t>原矿给料</w:t>
      </w:r>
      <w:r>
        <w:rPr>
          <w:rFonts w:hint="eastAsia" w:eastAsiaTheme="minorEastAsia"/>
          <w:b/>
          <w:color w:val="000000" w:themeColor="text1"/>
          <w:szCs w:val="24"/>
        </w:rPr>
        <w:t>粉尘</w:t>
      </w:r>
    </w:p>
    <w:p>
      <w:pPr>
        <w:ind w:firstLine="480"/>
        <w:rPr>
          <w:color w:val="000000" w:themeColor="text1"/>
          <w:szCs w:val="24"/>
        </w:rPr>
      </w:pPr>
      <w:r>
        <w:rPr>
          <w:color w:val="000000" w:themeColor="text1"/>
          <w:szCs w:val="24"/>
        </w:rPr>
        <w:t>原矿给料粉尘产污系数为0.005kg</w:t>
      </w:r>
      <w:r>
        <w:rPr>
          <w:rFonts w:eastAsiaTheme="minorEastAsia"/>
          <w:bCs/>
          <w:color w:val="000000" w:themeColor="text1"/>
          <w:szCs w:val="24"/>
        </w:rPr>
        <w:t>/t-原料，物料量为15万吨/a，粉尘产生量为0.75t/a，通过喷淋降尘，降尘效率为70%，排放粉尘量为0.225t/a，排放速率为0.031kg/h。</w:t>
      </w:r>
    </w:p>
    <w:p>
      <w:pPr>
        <w:ind w:firstLine="482"/>
        <w:rPr>
          <w:rFonts w:eastAsiaTheme="minorEastAsia"/>
          <w:b/>
          <w:color w:val="000000" w:themeColor="text1"/>
          <w:szCs w:val="24"/>
        </w:rPr>
      </w:pPr>
      <w:r>
        <w:rPr>
          <w:rFonts w:hint="eastAsia" w:eastAsiaTheme="minorEastAsia"/>
          <w:b/>
          <w:color w:val="000000" w:themeColor="text1"/>
          <w:szCs w:val="24"/>
        </w:rPr>
        <w:t>③</w:t>
      </w:r>
      <w:r>
        <w:rPr>
          <w:rFonts w:eastAsiaTheme="minorEastAsia"/>
          <w:b/>
          <w:color w:val="000000" w:themeColor="text1"/>
          <w:szCs w:val="24"/>
        </w:rPr>
        <w:t>破碎、筛分、制砂</w:t>
      </w:r>
      <w:r>
        <w:rPr>
          <w:rFonts w:hint="eastAsia" w:eastAsiaTheme="minorEastAsia"/>
          <w:b/>
          <w:color w:val="000000" w:themeColor="text1"/>
          <w:szCs w:val="24"/>
        </w:rPr>
        <w:t>石料</w:t>
      </w:r>
      <w:r>
        <w:rPr>
          <w:rFonts w:eastAsiaTheme="minorEastAsia"/>
          <w:b/>
          <w:color w:val="000000" w:themeColor="text1"/>
          <w:szCs w:val="24"/>
        </w:rPr>
        <w:t>粉尘</w:t>
      </w:r>
    </w:p>
    <w:p>
      <w:pPr>
        <w:ind w:firstLine="480"/>
        <w:jc w:val="both"/>
        <w:rPr>
          <w:rFonts w:eastAsiaTheme="minorEastAsia"/>
          <w:b/>
          <w:bCs/>
          <w:color w:val="000000" w:themeColor="text1"/>
          <w:sz w:val="21"/>
          <w:szCs w:val="21"/>
        </w:rPr>
      </w:pPr>
      <w:r>
        <w:rPr>
          <w:rFonts w:eastAsiaTheme="minorEastAsia"/>
          <w:color w:val="000000" w:themeColor="text1"/>
          <w:szCs w:val="24"/>
        </w:rPr>
        <w:t>原矿处理及制造砂石料共采取</w:t>
      </w:r>
      <w:r>
        <w:rPr>
          <w:rFonts w:hint="eastAsia" w:eastAsiaTheme="minorEastAsia"/>
          <w:color w:val="000000" w:themeColor="text1"/>
          <w:szCs w:val="24"/>
        </w:rPr>
        <w:t>四</w:t>
      </w:r>
      <w:r>
        <w:rPr>
          <w:rFonts w:eastAsiaTheme="minorEastAsia"/>
          <w:color w:val="000000" w:themeColor="text1"/>
          <w:szCs w:val="24"/>
        </w:rPr>
        <w:t>级破碎</w:t>
      </w:r>
      <w:r>
        <w:rPr>
          <w:rStyle w:val="73"/>
          <w:rFonts w:hint="eastAsia"/>
          <w:color w:val="000000" w:themeColor="text1"/>
          <w:kern w:val="0"/>
        </w:rPr>
        <w:t>三</w:t>
      </w:r>
      <w:r>
        <w:rPr>
          <w:rFonts w:eastAsiaTheme="minorEastAsia"/>
          <w:color w:val="000000" w:themeColor="text1"/>
          <w:szCs w:val="24"/>
        </w:rPr>
        <w:t>级筛分工艺，</w:t>
      </w:r>
      <w:r>
        <w:rPr>
          <w:rFonts w:hint="eastAsia" w:eastAsiaTheme="minorEastAsia"/>
          <w:color w:val="000000" w:themeColor="text1"/>
          <w:szCs w:val="24"/>
        </w:rPr>
        <w:t>进入原有选矿</w:t>
      </w:r>
      <w:r>
        <w:rPr>
          <w:rStyle w:val="73"/>
          <w:rFonts w:hint="eastAsia"/>
          <w:color w:val="000000" w:themeColor="text1"/>
          <w:kern w:val="0"/>
          <w:sz w:val="24"/>
          <w:szCs w:val="24"/>
        </w:rPr>
        <w:t>系统前</w:t>
      </w:r>
      <w:r>
        <w:rPr>
          <w:rFonts w:hint="eastAsia" w:eastAsiaTheme="minorEastAsia"/>
          <w:color w:val="000000" w:themeColor="text1"/>
          <w:szCs w:val="24"/>
        </w:rPr>
        <w:t>的矿料还有一次破碎（辊压机）、一次筛分，</w:t>
      </w:r>
      <w:r>
        <w:rPr>
          <w:rFonts w:eastAsiaTheme="minorEastAsia"/>
          <w:color w:val="000000" w:themeColor="text1"/>
          <w:szCs w:val="24"/>
        </w:rPr>
        <w:t>查阅《工业污染源产排污系数手册》</w:t>
      </w:r>
      <w:r>
        <w:rPr>
          <w:rFonts w:eastAsiaTheme="minorEastAsia"/>
          <w:color w:val="000000" w:themeColor="text1"/>
        </w:rPr>
        <w:t>，原矿破碎最初的给料使用装载机，</w:t>
      </w:r>
      <w:r>
        <w:rPr>
          <w:color w:val="000000" w:themeColor="text1"/>
        </w:rPr>
        <w:t>破碎产污系数为</w:t>
      </w:r>
      <w:r>
        <w:rPr>
          <w:rFonts w:eastAsia="Times New Roman"/>
          <w:color w:val="000000" w:themeColor="text1"/>
        </w:rPr>
        <w:t>0.</w:t>
      </w:r>
      <w:r>
        <w:rPr>
          <w:color w:val="000000" w:themeColor="text1"/>
        </w:rPr>
        <w:t>25</w:t>
      </w:r>
      <w:r>
        <w:rPr>
          <w:rFonts w:eastAsia="Times New Roman"/>
          <w:color w:val="000000" w:themeColor="text1"/>
        </w:rPr>
        <w:t>kg/t</w:t>
      </w:r>
      <w:r>
        <w:rPr>
          <w:color w:val="000000" w:themeColor="text1"/>
        </w:rPr>
        <w:t>-原料，筛分产污系数为0.08</w:t>
      </w:r>
      <w:r>
        <w:rPr>
          <w:rFonts w:eastAsia="Times New Roman"/>
          <w:color w:val="000000" w:themeColor="text1"/>
        </w:rPr>
        <w:t>kg/t</w:t>
      </w:r>
      <w:r>
        <w:rPr>
          <w:color w:val="000000" w:themeColor="text1"/>
        </w:rPr>
        <w:t>-原料</w:t>
      </w:r>
      <w:r>
        <w:rPr>
          <w:rFonts w:eastAsiaTheme="minorEastAsia"/>
          <w:color w:val="000000" w:themeColor="text1"/>
        </w:rPr>
        <w:t>。</w:t>
      </w:r>
      <w:r>
        <w:rPr>
          <w:rFonts w:hint="eastAsia" w:eastAsiaTheme="minorEastAsia"/>
          <w:color w:val="000000" w:themeColor="text1"/>
        </w:rPr>
        <w:t>鄂式破碎机</w:t>
      </w:r>
      <w:r>
        <w:rPr>
          <w:rFonts w:eastAsiaTheme="minorEastAsia"/>
          <w:color w:val="000000" w:themeColor="text1"/>
        </w:rPr>
        <w:t>（有两级破碎）、圆锥破碎机（有两级破碎）、筛分机</w:t>
      </w:r>
      <w:r>
        <w:rPr>
          <w:rFonts w:hint="eastAsia" w:eastAsiaTheme="minorEastAsia"/>
          <w:color w:val="000000" w:themeColor="text1"/>
          <w:szCs w:val="24"/>
        </w:rPr>
        <w:t>（4个</w:t>
      </w:r>
      <w:r>
        <w:rPr>
          <w:rStyle w:val="73"/>
          <w:rFonts w:hint="eastAsia"/>
          <w:color w:val="000000" w:themeColor="text1"/>
          <w:kern w:val="0"/>
          <w:sz w:val="24"/>
          <w:szCs w:val="24"/>
        </w:rPr>
        <w:t>，其中3个为振动筛，1个水平筛</w:t>
      </w:r>
      <w:r>
        <w:rPr>
          <w:rFonts w:hint="eastAsia" w:eastAsiaTheme="minorEastAsia"/>
          <w:color w:val="000000" w:themeColor="text1"/>
          <w:szCs w:val="24"/>
        </w:rPr>
        <w:t>）</w:t>
      </w:r>
      <w:r>
        <w:rPr>
          <w:rFonts w:eastAsiaTheme="minorEastAsia"/>
          <w:color w:val="000000" w:themeColor="text1"/>
          <w:szCs w:val="24"/>
        </w:rPr>
        <w:t>、</w:t>
      </w:r>
      <w:r>
        <w:rPr>
          <w:rFonts w:eastAsiaTheme="minorEastAsia"/>
          <w:color w:val="000000" w:themeColor="text1"/>
        </w:rPr>
        <w:t>制砂机粉尘的产排情况见下表所示：</w:t>
      </w:r>
    </w:p>
    <w:p>
      <w:pPr>
        <w:ind w:firstLine="422"/>
        <w:rPr>
          <w:rFonts w:eastAsiaTheme="minorEastAsia"/>
          <w:b/>
          <w:bCs/>
          <w:color w:val="000000" w:themeColor="text1"/>
          <w:sz w:val="21"/>
          <w:szCs w:val="21"/>
        </w:rPr>
      </w:pP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表4.4-2各生产设备</w:t>
      </w:r>
      <w:r>
        <w:rPr>
          <w:rFonts w:hint="eastAsia" w:eastAsiaTheme="minorEastAsia"/>
          <w:b/>
          <w:bCs/>
          <w:color w:val="000000" w:themeColor="text1"/>
          <w:sz w:val="21"/>
          <w:szCs w:val="21"/>
        </w:rPr>
        <w:t>有组织</w:t>
      </w:r>
      <w:r>
        <w:rPr>
          <w:rFonts w:eastAsiaTheme="minorEastAsia"/>
          <w:b/>
          <w:bCs/>
          <w:color w:val="000000" w:themeColor="text1"/>
          <w:sz w:val="21"/>
          <w:szCs w:val="21"/>
        </w:rPr>
        <w:t>颗粒物产排情况一览表</w:t>
      </w:r>
    </w:p>
    <w:tbl>
      <w:tblPr>
        <w:tblStyle w:val="61"/>
        <w:tblW w:w="90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41"/>
        <w:gridCol w:w="1112"/>
        <w:gridCol w:w="1081"/>
        <w:gridCol w:w="1008"/>
        <w:gridCol w:w="1026"/>
        <w:gridCol w:w="917"/>
        <w:gridCol w:w="1119"/>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9"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序号</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工段</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产污系数</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物料量（t/a）</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产生量（t/a）</w:t>
            </w:r>
          </w:p>
        </w:tc>
        <w:tc>
          <w:tcPr>
            <w:tcW w:w="10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降尘措施</w:t>
            </w: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降尘效率</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排放量（t/a）</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1</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1#鄂式破碎机</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0.25kg/t-原料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150000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37.5</w:t>
            </w:r>
          </w:p>
        </w:tc>
        <w:tc>
          <w:tcPr>
            <w:tcW w:w="1026" w:type="dxa"/>
            <w:vMerge w:val="restart"/>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集气罩+</w:t>
            </w:r>
            <w:r>
              <w:rPr>
                <w:rFonts w:eastAsiaTheme="minorEastAsia"/>
                <w:bCs/>
                <w:color w:val="000000" w:themeColor="text1"/>
                <w:sz w:val="21"/>
                <w:szCs w:val="21"/>
              </w:rPr>
              <w:t>布袋除尘</w:t>
            </w:r>
            <w:r>
              <w:rPr>
                <w:rFonts w:hint="eastAsia" w:eastAsiaTheme="minorEastAsia"/>
                <w:bCs/>
                <w:color w:val="000000" w:themeColor="text1"/>
                <w:sz w:val="21"/>
                <w:szCs w:val="21"/>
              </w:rPr>
              <w:t>（收尘效率95%）</w:t>
            </w: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99</w:t>
            </w:r>
            <w:r>
              <w:rPr>
                <w:rFonts w:hint="eastAsia" w:eastAsiaTheme="minorEastAsia"/>
                <w:bCs/>
                <w:color w:val="000000" w:themeColor="text1"/>
                <w:sz w:val="21"/>
                <w:szCs w:val="21"/>
              </w:rPr>
              <w:t>.8</w:t>
            </w:r>
            <w:r>
              <w:rPr>
                <w:rFonts w:eastAsiaTheme="minorEastAsia"/>
                <w:bCs/>
                <w:color w:val="000000" w:themeColor="text1"/>
                <w:sz w:val="21"/>
                <w:szCs w:val="21"/>
              </w:rPr>
              <w:t>%</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0.071</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有组织</w:t>
            </w:r>
            <w:r>
              <w:rPr>
                <w:rFonts w:hint="eastAsia" w:eastAsiaTheme="minorEastAsia"/>
                <w:bCs/>
                <w:color w:val="000000" w:themeColor="text1"/>
                <w:sz w:val="21"/>
                <w:szCs w:val="21"/>
              </w:rPr>
              <w:t>，DA001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2</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2#鄂式破碎机</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0.25kg/t-原料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150000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37.5</w:t>
            </w:r>
          </w:p>
        </w:tc>
        <w:tc>
          <w:tcPr>
            <w:tcW w:w="1026"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99</w:t>
            </w:r>
            <w:r>
              <w:rPr>
                <w:rFonts w:hint="eastAsia" w:eastAsiaTheme="minorEastAsia"/>
                <w:bCs/>
                <w:color w:val="000000" w:themeColor="text1"/>
                <w:sz w:val="21"/>
                <w:szCs w:val="21"/>
              </w:rPr>
              <w:t>.8</w:t>
            </w:r>
            <w:r>
              <w:rPr>
                <w:rFonts w:eastAsiaTheme="minorEastAsia"/>
                <w:bCs/>
                <w:color w:val="000000" w:themeColor="text1"/>
                <w:sz w:val="21"/>
                <w:szCs w:val="21"/>
              </w:rPr>
              <w:t>%</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0.071</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有组织</w:t>
            </w:r>
            <w:r>
              <w:rPr>
                <w:rFonts w:hint="eastAsia" w:eastAsiaTheme="minorEastAsia"/>
                <w:bCs/>
                <w:color w:val="000000" w:themeColor="text1"/>
                <w:sz w:val="21"/>
                <w:szCs w:val="21"/>
              </w:rPr>
              <w:t>，DA001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3</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1#圆锥破碎机</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0.25kg/t-原料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150000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37.5</w:t>
            </w:r>
          </w:p>
        </w:tc>
        <w:tc>
          <w:tcPr>
            <w:tcW w:w="1026"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99</w:t>
            </w:r>
            <w:r>
              <w:rPr>
                <w:rFonts w:hint="eastAsia" w:eastAsiaTheme="minorEastAsia"/>
                <w:bCs/>
                <w:color w:val="000000" w:themeColor="text1"/>
                <w:sz w:val="21"/>
                <w:szCs w:val="21"/>
              </w:rPr>
              <w:t>.8</w:t>
            </w:r>
            <w:r>
              <w:rPr>
                <w:rFonts w:eastAsiaTheme="minorEastAsia"/>
                <w:bCs/>
                <w:color w:val="000000" w:themeColor="text1"/>
                <w:sz w:val="21"/>
                <w:szCs w:val="21"/>
              </w:rPr>
              <w:t>%</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0.071</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有组织</w:t>
            </w:r>
            <w:r>
              <w:rPr>
                <w:rFonts w:hint="eastAsia" w:eastAsiaTheme="minorEastAsia"/>
                <w:bCs/>
                <w:color w:val="000000" w:themeColor="text1"/>
                <w:sz w:val="21"/>
                <w:szCs w:val="21"/>
              </w:rPr>
              <w:t>，DA001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4</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1#振动筛</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0.08kg/t-原料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150000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12</w:t>
            </w:r>
          </w:p>
        </w:tc>
        <w:tc>
          <w:tcPr>
            <w:tcW w:w="1026"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99</w:t>
            </w:r>
            <w:r>
              <w:rPr>
                <w:rFonts w:hint="eastAsia" w:eastAsiaTheme="minorEastAsia"/>
                <w:bCs/>
                <w:color w:val="000000" w:themeColor="text1"/>
                <w:sz w:val="21"/>
                <w:szCs w:val="21"/>
              </w:rPr>
              <w:t>.8</w:t>
            </w:r>
            <w:r>
              <w:rPr>
                <w:rFonts w:eastAsiaTheme="minorEastAsia"/>
                <w:bCs/>
                <w:color w:val="000000" w:themeColor="text1"/>
                <w:sz w:val="21"/>
                <w:szCs w:val="21"/>
              </w:rPr>
              <w:t>%</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0.023</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有组织</w:t>
            </w:r>
            <w:r>
              <w:rPr>
                <w:rFonts w:hint="eastAsia" w:eastAsiaTheme="minorEastAsia"/>
                <w:bCs/>
                <w:color w:val="000000" w:themeColor="text1"/>
                <w:sz w:val="21"/>
                <w:szCs w:val="21"/>
              </w:rPr>
              <w:t>，DA002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71"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5</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2#圆锥破碎机</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0.25kg/t-原料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180000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45</w:t>
            </w:r>
          </w:p>
        </w:tc>
        <w:tc>
          <w:tcPr>
            <w:tcW w:w="1026"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99.8%</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0.086</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有组织，DA001，破碎量为15万吨及从2#振动筛返回来20%的量，即180000吨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6</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2#振动筛</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0.08kg/t-原料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180000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14.4</w:t>
            </w:r>
          </w:p>
        </w:tc>
        <w:tc>
          <w:tcPr>
            <w:tcW w:w="1026"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99.8%</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0.027</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有组织，DA002，和2#圆锥破碎机处理量相同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7</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制砂机（整形机）</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0.25kg/t-原料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82500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20.625</w:t>
            </w:r>
          </w:p>
        </w:tc>
        <w:tc>
          <w:tcPr>
            <w:tcW w:w="1026"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99.8%</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0.039</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有组织，DA002，处理量为不带磁性的砂石料量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8</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水平筛</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0.08kg/t-原料</w:t>
            </w:r>
            <w:r>
              <w:rPr>
                <w:rFonts w:hint="eastAsia" w:eastAsiaTheme="minorEastAsia"/>
                <w:bCs/>
                <w:color w:val="000000" w:themeColor="text1"/>
                <w:sz w:val="21"/>
                <w:szCs w:val="21"/>
              </w:rPr>
              <w:t xml:space="preserve"> </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82500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6.6</w:t>
            </w:r>
          </w:p>
        </w:tc>
        <w:tc>
          <w:tcPr>
            <w:tcW w:w="1026"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99.8%</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0.013</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有组织</w:t>
            </w:r>
            <w:r>
              <w:rPr>
                <w:rFonts w:hint="eastAsia" w:eastAsiaTheme="minorEastAsia"/>
                <w:bCs/>
                <w:color w:val="000000" w:themeColor="text1"/>
                <w:sz w:val="21"/>
                <w:szCs w:val="21"/>
              </w:rPr>
              <w:t>，DA002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9</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3#振动筛</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0.08kg/t-原料</w:t>
            </w:r>
            <w:r>
              <w:rPr>
                <w:rFonts w:hint="eastAsia" w:eastAsiaTheme="minorEastAsia"/>
                <w:bCs/>
                <w:color w:val="000000" w:themeColor="text1"/>
                <w:sz w:val="21"/>
                <w:szCs w:val="21"/>
              </w:rPr>
              <w:t xml:space="preserve"> </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81000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6.48</w:t>
            </w:r>
          </w:p>
        </w:tc>
        <w:tc>
          <w:tcPr>
            <w:tcW w:w="1026"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99.8%</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0.012</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有组织</w:t>
            </w:r>
            <w:r>
              <w:rPr>
                <w:rFonts w:hint="eastAsia" w:eastAsiaTheme="minorEastAsia"/>
                <w:bCs/>
                <w:color w:val="000000" w:themeColor="text1"/>
                <w:sz w:val="21"/>
                <w:szCs w:val="21"/>
              </w:rPr>
              <w:t>，DA002，处理量为67500t，以及有20%需返回辊压机后再筛分的量，总处理量为81000吨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6" w:hRule="atLeast"/>
        </w:trPr>
        <w:tc>
          <w:tcPr>
            <w:tcW w:w="4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10</w:t>
            </w:r>
          </w:p>
        </w:tc>
        <w:tc>
          <w:tcPr>
            <w:tcW w:w="84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辊压机</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0.25kg/t-原料</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81000</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20.25</w:t>
            </w:r>
          </w:p>
        </w:tc>
        <w:tc>
          <w:tcPr>
            <w:tcW w:w="1026" w:type="dxa"/>
            <w:vMerge w:val="continue"/>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99.8%</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0.038</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有组织</w:t>
            </w:r>
            <w:r>
              <w:rPr>
                <w:rFonts w:hint="eastAsia" w:eastAsiaTheme="minorEastAsia"/>
                <w:bCs/>
                <w:color w:val="000000" w:themeColor="text1"/>
                <w:sz w:val="21"/>
                <w:szCs w:val="21"/>
              </w:rPr>
              <w:t>，DA002，和3#振动筛处理量相同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8" w:hRule="atLeast"/>
        </w:trPr>
        <w:tc>
          <w:tcPr>
            <w:tcW w:w="9095" w:type="dxa"/>
            <w:gridSpan w:val="9"/>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小</w:t>
            </w:r>
            <w:r>
              <w:rPr>
                <w:rFonts w:eastAsiaTheme="minorEastAsia"/>
                <w:bCs/>
                <w:color w:val="000000" w:themeColor="text1"/>
                <w:sz w:val="21"/>
                <w:szCs w:val="21"/>
              </w:rPr>
              <w:t>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8" w:hRule="atLeast"/>
        </w:trPr>
        <w:tc>
          <w:tcPr>
            <w:tcW w:w="1267" w:type="dxa"/>
            <w:gridSpan w:val="2"/>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DA001</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157.5</w:t>
            </w:r>
          </w:p>
        </w:tc>
        <w:tc>
          <w:tcPr>
            <w:tcW w:w="10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w:t>
            </w: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99.8%</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0.299</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8" w:hRule="atLeast"/>
        </w:trPr>
        <w:tc>
          <w:tcPr>
            <w:tcW w:w="1267" w:type="dxa"/>
            <w:gridSpan w:val="2"/>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DA002</w:t>
            </w:r>
          </w:p>
        </w:tc>
        <w:tc>
          <w:tcPr>
            <w:tcW w:w="1112"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w:t>
            </w:r>
          </w:p>
        </w:tc>
        <w:tc>
          <w:tcPr>
            <w:tcW w:w="1081"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80.355</w:t>
            </w:r>
          </w:p>
        </w:tc>
        <w:tc>
          <w:tcPr>
            <w:tcW w:w="10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w:t>
            </w: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99.8%</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0.152</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8" w:hRule="atLeast"/>
        </w:trPr>
        <w:tc>
          <w:tcPr>
            <w:tcW w:w="3460" w:type="dxa"/>
            <w:gridSpan w:val="4"/>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有组织合计</w:t>
            </w:r>
          </w:p>
        </w:tc>
        <w:tc>
          <w:tcPr>
            <w:tcW w:w="100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237.855</w:t>
            </w:r>
          </w:p>
        </w:tc>
        <w:tc>
          <w:tcPr>
            <w:tcW w:w="1026"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w:t>
            </w:r>
          </w:p>
        </w:tc>
        <w:tc>
          <w:tcPr>
            <w:tcW w:w="917"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99.8%</w:t>
            </w:r>
          </w:p>
        </w:tc>
        <w:tc>
          <w:tcPr>
            <w:tcW w:w="1119"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0.451</w:t>
            </w:r>
          </w:p>
        </w:tc>
        <w:tc>
          <w:tcPr>
            <w:tcW w:w="1565"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w:t>
            </w:r>
          </w:p>
        </w:tc>
      </w:tr>
    </w:tbl>
    <w:p>
      <w:pPr>
        <w:pStyle w:val="78"/>
        <w:ind w:firstLine="482"/>
        <w:jc w:val="both"/>
        <w:rPr>
          <w:rFonts w:eastAsiaTheme="minorEastAsia"/>
          <w:color w:val="000000" w:themeColor="text1"/>
          <w:szCs w:val="24"/>
        </w:rPr>
      </w:pPr>
      <w:r>
        <w:rPr>
          <w:rFonts w:hint="eastAsia" w:eastAsiaTheme="minorEastAsia"/>
          <w:b/>
          <w:bCs/>
          <w:color w:val="000000" w:themeColor="text1"/>
          <w:szCs w:val="24"/>
        </w:rPr>
        <w:t>项目存在的环境问题：</w:t>
      </w:r>
      <w:r>
        <w:rPr>
          <w:rFonts w:hint="eastAsia" w:eastAsiaTheme="minorEastAsia"/>
          <w:color w:val="000000" w:themeColor="text1"/>
          <w:szCs w:val="24"/>
        </w:rPr>
        <w:t>现场勘查时，项目破碎、筛分、制砂工序均为无组排放，未安装布袋除尘器，排放的粉尘量较大，对周边环境影响较大。</w:t>
      </w:r>
    </w:p>
    <w:p>
      <w:pPr>
        <w:pStyle w:val="78"/>
        <w:ind w:firstLine="482"/>
        <w:jc w:val="both"/>
        <w:rPr>
          <w:rFonts w:eastAsiaTheme="minorEastAsia"/>
          <w:color w:val="000000" w:themeColor="text1"/>
          <w:szCs w:val="24"/>
        </w:rPr>
      </w:pPr>
      <w:r>
        <w:rPr>
          <w:rFonts w:hint="eastAsia" w:eastAsiaTheme="minorEastAsia"/>
          <w:b/>
          <w:bCs/>
          <w:color w:val="000000" w:themeColor="text1"/>
          <w:szCs w:val="24"/>
        </w:rPr>
        <w:t>整改措施：</w:t>
      </w:r>
      <w:r>
        <w:rPr>
          <w:rFonts w:hint="eastAsia" w:eastAsiaTheme="minorEastAsia"/>
          <w:color w:val="000000" w:themeColor="text1"/>
          <w:szCs w:val="24"/>
        </w:rPr>
        <w:t>2台鄂式破碎机和2台圆锥破碎机通过分别设置集气罩集尘再送入同一台布袋除尘器处理后经1根15m高排气筒排放（DA001）。</w:t>
      </w:r>
    </w:p>
    <w:p>
      <w:pPr>
        <w:pStyle w:val="78"/>
        <w:ind w:firstLine="480"/>
        <w:jc w:val="both"/>
        <w:rPr>
          <w:rFonts w:eastAsiaTheme="minorEastAsia"/>
          <w:color w:val="000000" w:themeColor="text1"/>
          <w:szCs w:val="24"/>
        </w:rPr>
      </w:pPr>
      <w:r>
        <w:rPr>
          <w:rFonts w:hint="eastAsia" w:eastAsiaTheme="minorEastAsia"/>
          <w:color w:val="000000" w:themeColor="text1"/>
          <w:szCs w:val="24"/>
        </w:rPr>
        <w:t>3台振动筛、1台水平筛、1台制砂机（整形机）、1台辊压机通过</w:t>
      </w:r>
      <w:r>
        <w:rPr>
          <w:rStyle w:val="73"/>
          <w:rFonts w:hint="eastAsia"/>
          <w:color w:val="000000" w:themeColor="text1"/>
          <w:kern w:val="0"/>
          <w:sz w:val="24"/>
          <w:szCs w:val="24"/>
        </w:rPr>
        <w:t>分别设置</w:t>
      </w:r>
      <w:r>
        <w:rPr>
          <w:rFonts w:hint="eastAsia" w:eastAsiaTheme="minorEastAsia"/>
          <w:color w:val="000000" w:themeColor="text1"/>
          <w:szCs w:val="24"/>
        </w:rPr>
        <w:t>集气罩集尘再送入同一台布袋除尘器处理后经1根15m高排气筒排放（DA002）。</w:t>
      </w:r>
    </w:p>
    <w:p>
      <w:pPr>
        <w:ind w:firstLine="482"/>
        <w:rPr>
          <w:rFonts w:eastAsiaTheme="minorEastAsia"/>
          <w:b/>
          <w:bCs/>
          <w:color w:val="000000" w:themeColor="text1"/>
          <w:szCs w:val="24"/>
        </w:rPr>
      </w:pPr>
      <w:r>
        <w:rPr>
          <w:rFonts w:hint="eastAsia" w:ascii="宋体" w:hAnsi="宋体" w:cs="宋体"/>
          <w:b/>
          <w:bCs/>
          <w:color w:val="000000" w:themeColor="text1"/>
          <w:szCs w:val="24"/>
        </w:rPr>
        <w:t>④</w:t>
      </w:r>
      <w:r>
        <w:rPr>
          <w:rFonts w:eastAsiaTheme="minorEastAsia"/>
          <w:b/>
          <w:bCs/>
          <w:color w:val="000000" w:themeColor="text1"/>
          <w:szCs w:val="24"/>
        </w:rPr>
        <w:t>物料堆场扬尘</w:t>
      </w:r>
    </w:p>
    <w:p>
      <w:pPr>
        <w:kinsoku w:val="0"/>
        <w:overflowPunct w:val="0"/>
        <w:autoSpaceDE w:val="0"/>
        <w:ind w:firstLine="462" w:firstLineChars="196"/>
        <w:rPr>
          <w:color w:val="000000" w:themeColor="text1"/>
        </w:rPr>
      </w:pPr>
      <w:r>
        <w:rPr>
          <w:rFonts w:hint="eastAsia"/>
          <w:color w:val="000000" w:themeColor="text1"/>
          <w:spacing w:val="-2"/>
        </w:rPr>
        <w:t>环评要求</w:t>
      </w:r>
      <w:r>
        <w:rPr>
          <w:color w:val="000000" w:themeColor="text1"/>
          <w:spacing w:val="-2"/>
        </w:rPr>
        <w:t>项目原矿堆场、砂石料堆场、低品位矿堆场设置</w:t>
      </w:r>
      <w:r>
        <w:rPr>
          <w:rFonts w:hint="eastAsia"/>
          <w:color w:val="000000" w:themeColor="text1"/>
          <w:spacing w:val="-2"/>
        </w:rPr>
        <w:t>半封闭</w:t>
      </w:r>
      <w:r>
        <w:rPr>
          <w:color w:val="000000" w:themeColor="text1"/>
          <w:spacing w:val="-2"/>
        </w:rPr>
        <w:t>钢架棚堆放，</w:t>
      </w:r>
      <w:r>
        <w:rPr>
          <w:color w:val="000000" w:themeColor="text1"/>
        </w:rPr>
        <w:t>在此采用西安冶金建筑学院干堆公式计算物料堆场的扬尘量。</w:t>
      </w:r>
    </w:p>
    <w:p>
      <w:pPr>
        <w:kinsoku w:val="0"/>
        <w:overflowPunct w:val="0"/>
        <w:autoSpaceDE w:val="0"/>
        <w:ind w:firstLine="470" w:firstLineChars="196"/>
        <w:rPr>
          <w:color w:val="000000" w:themeColor="text1"/>
        </w:rPr>
      </w:pPr>
      <w:r>
        <w:rPr>
          <w:color w:val="000000" w:themeColor="text1"/>
        </w:rPr>
        <w:t>公式如下：</w:t>
      </w:r>
    </w:p>
    <w:p>
      <w:pPr>
        <w:kinsoku w:val="0"/>
        <w:overflowPunct w:val="0"/>
        <w:autoSpaceDE w:val="0"/>
        <w:ind w:firstLine="470" w:firstLineChars="196"/>
        <w:jc w:val="center"/>
        <w:rPr>
          <w:color w:val="000000" w:themeColor="text1"/>
        </w:rPr>
      </w:pPr>
      <w:r>
        <w:rPr>
          <w:color w:val="000000" w:themeColor="text1"/>
        </w:rPr>
        <w:t>Q=4.23×10</w:t>
      </w:r>
      <w:r>
        <w:rPr>
          <w:color w:val="000000" w:themeColor="text1"/>
          <w:vertAlign w:val="superscript"/>
        </w:rPr>
        <w:t>-4</w:t>
      </w:r>
      <w:r>
        <w:rPr>
          <w:color w:val="000000" w:themeColor="text1"/>
        </w:rPr>
        <w:t>•U</w:t>
      </w:r>
      <w:r>
        <w:rPr>
          <w:color w:val="000000" w:themeColor="text1"/>
          <w:vertAlign w:val="superscript"/>
        </w:rPr>
        <w:t>4.9</w:t>
      </w:r>
      <w:r>
        <w:rPr>
          <w:color w:val="000000" w:themeColor="text1"/>
        </w:rPr>
        <w:t>•Ap</w:t>
      </w:r>
    </w:p>
    <w:p>
      <w:pPr>
        <w:kinsoku w:val="0"/>
        <w:overflowPunct w:val="0"/>
        <w:autoSpaceDE w:val="0"/>
        <w:ind w:firstLine="470" w:firstLineChars="196"/>
        <w:rPr>
          <w:color w:val="000000" w:themeColor="text1"/>
        </w:rPr>
      </w:pPr>
      <w:r>
        <w:rPr>
          <w:color w:val="000000" w:themeColor="text1"/>
        </w:rPr>
        <w:t>式中：Q：起尘量，mg/s；</w:t>
      </w:r>
    </w:p>
    <w:p>
      <w:pPr>
        <w:kinsoku w:val="0"/>
        <w:overflowPunct w:val="0"/>
        <w:autoSpaceDE w:val="0"/>
        <w:ind w:firstLine="470" w:firstLineChars="196"/>
        <w:rPr>
          <w:color w:val="000000" w:themeColor="text1"/>
        </w:rPr>
      </w:pPr>
      <w:r>
        <w:rPr>
          <w:color w:val="000000" w:themeColor="text1"/>
        </w:rPr>
        <w:t>U：平均风速，m/s，2.3m/s；</w:t>
      </w:r>
    </w:p>
    <w:p>
      <w:pPr>
        <w:kinsoku w:val="0"/>
        <w:overflowPunct w:val="0"/>
        <w:autoSpaceDE w:val="0"/>
        <w:ind w:firstLine="470" w:firstLineChars="196"/>
        <w:rPr>
          <w:color w:val="000000" w:themeColor="text1"/>
        </w:rPr>
      </w:pPr>
      <w:r>
        <w:rPr>
          <w:color w:val="000000" w:themeColor="text1"/>
        </w:rPr>
        <w:t>A</w:t>
      </w:r>
      <w:r>
        <w:rPr>
          <w:color w:val="000000" w:themeColor="text1"/>
          <w:vertAlign w:val="subscript"/>
        </w:rPr>
        <w:t>p</w:t>
      </w:r>
      <w:r>
        <w:rPr>
          <w:color w:val="000000" w:themeColor="text1"/>
        </w:rPr>
        <w:t>：物料堆场的面积，m</w:t>
      </w:r>
      <w:r>
        <w:rPr>
          <w:color w:val="000000" w:themeColor="text1"/>
          <w:vertAlign w:val="superscript"/>
        </w:rPr>
        <w:t>2</w:t>
      </w:r>
      <w:r>
        <w:rPr>
          <w:color w:val="000000" w:themeColor="text1"/>
        </w:rPr>
        <w:t>，物料堆棚面积为4120m</w:t>
      </w:r>
      <w:r>
        <w:rPr>
          <w:color w:val="000000" w:themeColor="text1"/>
          <w:vertAlign w:val="superscript"/>
        </w:rPr>
        <w:t>2</w:t>
      </w:r>
      <w:r>
        <w:rPr>
          <w:color w:val="000000" w:themeColor="text1"/>
        </w:rPr>
        <w:t>；</w:t>
      </w:r>
    </w:p>
    <w:p>
      <w:pPr>
        <w:kinsoku w:val="0"/>
        <w:overflowPunct w:val="0"/>
        <w:autoSpaceDE w:val="0"/>
        <w:ind w:firstLine="470" w:firstLineChars="196"/>
        <w:rPr>
          <w:rFonts w:eastAsiaTheme="minorEastAsia"/>
          <w:color w:val="000000" w:themeColor="text1"/>
          <w:szCs w:val="24"/>
        </w:rPr>
      </w:pPr>
      <w:r>
        <w:rPr>
          <w:color w:val="000000" w:themeColor="text1"/>
          <w:szCs w:val="24"/>
        </w:rPr>
        <w:t>本项目物料堆场面积4120m</w:t>
      </w:r>
      <w:r>
        <w:rPr>
          <w:color w:val="000000" w:themeColor="text1"/>
          <w:szCs w:val="24"/>
          <w:vertAlign w:val="superscript"/>
        </w:rPr>
        <w:t>2</w:t>
      </w:r>
      <w:r>
        <w:rPr>
          <w:color w:val="000000" w:themeColor="text1"/>
          <w:szCs w:val="24"/>
        </w:rPr>
        <w:t>，堆料场起尘量为103.2mg/s，0.37kg/h，2.66t/a。</w:t>
      </w:r>
      <w:r>
        <w:rPr>
          <w:rFonts w:eastAsiaTheme="minorEastAsia"/>
          <w:color w:val="000000" w:themeColor="text1"/>
          <w:kern w:val="24"/>
          <w:szCs w:val="24"/>
        </w:rPr>
        <w:t>原矿石堆场设置堆棚形式，三面围挡+遮雨棚</w:t>
      </w:r>
      <w:r>
        <w:rPr>
          <w:rFonts w:hint="eastAsia" w:eastAsiaTheme="minorEastAsia"/>
          <w:color w:val="000000" w:themeColor="text1"/>
          <w:szCs w:val="24"/>
        </w:rPr>
        <w:t>；</w:t>
      </w:r>
      <w:r>
        <w:rPr>
          <w:rFonts w:eastAsiaTheme="minorEastAsia"/>
          <w:color w:val="000000" w:themeColor="text1"/>
          <w:kern w:val="24"/>
          <w:szCs w:val="24"/>
        </w:rPr>
        <w:t>低品位原矿堆场设置堆棚形式，三面围挡+遮雨棚，堆棚设置喷淋装置</w:t>
      </w:r>
      <w:r>
        <w:rPr>
          <w:rFonts w:hint="eastAsia" w:eastAsiaTheme="minorEastAsia"/>
          <w:color w:val="000000" w:themeColor="text1"/>
          <w:kern w:val="24"/>
          <w:szCs w:val="24"/>
        </w:rPr>
        <w:t>；</w:t>
      </w:r>
      <w:r>
        <w:rPr>
          <w:rFonts w:eastAsiaTheme="minorEastAsia"/>
          <w:color w:val="000000" w:themeColor="text1"/>
          <w:kern w:val="24"/>
          <w:szCs w:val="24"/>
        </w:rPr>
        <w:t>公分石和瓜子石堆场设置堆棚形式，三面围挡+遮雨棚</w:t>
      </w:r>
      <w:r>
        <w:rPr>
          <w:rFonts w:hint="eastAsia" w:eastAsiaTheme="minorEastAsia"/>
          <w:color w:val="000000" w:themeColor="text1"/>
          <w:kern w:val="24"/>
          <w:szCs w:val="24"/>
        </w:rPr>
        <w:t>；</w:t>
      </w:r>
      <w:r>
        <w:rPr>
          <w:rFonts w:eastAsiaTheme="minorEastAsia"/>
          <w:color w:val="000000" w:themeColor="text1"/>
          <w:kern w:val="24"/>
          <w:szCs w:val="24"/>
        </w:rPr>
        <w:t>机制砂堆场设</w:t>
      </w:r>
      <w:r>
        <w:rPr>
          <w:rFonts w:hint="eastAsia" w:eastAsiaTheme="minorEastAsia"/>
          <w:color w:val="000000" w:themeColor="text1"/>
          <w:kern w:val="24"/>
          <w:szCs w:val="24"/>
        </w:rPr>
        <w:t>置</w:t>
      </w:r>
      <w:r>
        <w:rPr>
          <w:rFonts w:eastAsiaTheme="minorEastAsia"/>
          <w:color w:val="000000" w:themeColor="text1"/>
          <w:kern w:val="24"/>
          <w:szCs w:val="24"/>
        </w:rPr>
        <w:t>堆棚形式，三面围挡+遮雨棚，堆棚设置喷淋装置</w:t>
      </w:r>
      <w:r>
        <w:rPr>
          <w:rFonts w:hint="eastAsia" w:eastAsiaTheme="minorEastAsia"/>
          <w:color w:val="000000" w:themeColor="text1"/>
          <w:kern w:val="24"/>
          <w:szCs w:val="24"/>
        </w:rPr>
        <w:t>。</w:t>
      </w:r>
      <w:r>
        <w:rPr>
          <w:color w:val="000000" w:themeColor="text1"/>
          <w:szCs w:val="24"/>
        </w:rPr>
        <w:t>抑尘率可达</w:t>
      </w:r>
      <w:r>
        <w:rPr>
          <w:rFonts w:hint="eastAsia"/>
          <w:color w:val="000000" w:themeColor="text1"/>
          <w:szCs w:val="24"/>
        </w:rPr>
        <w:t>8</w:t>
      </w:r>
      <w:r>
        <w:rPr>
          <w:color w:val="000000" w:themeColor="text1"/>
          <w:szCs w:val="24"/>
        </w:rPr>
        <w:t>0%，堆</w:t>
      </w:r>
      <w:r>
        <w:rPr>
          <w:rFonts w:hint="eastAsia"/>
          <w:color w:val="000000" w:themeColor="text1"/>
          <w:szCs w:val="24"/>
        </w:rPr>
        <w:t>棚</w:t>
      </w:r>
      <w:r>
        <w:rPr>
          <w:color w:val="000000" w:themeColor="text1"/>
          <w:szCs w:val="24"/>
        </w:rPr>
        <w:t>粉尘无组织排放</w:t>
      </w:r>
      <w:r>
        <w:rPr>
          <w:rFonts w:hint="eastAsia"/>
          <w:color w:val="000000" w:themeColor="text1"/>
          <w:szCs w:val="24"/>
        </w:rPr>
        <w:t>量0.532</w:t>
      </w:r>
      <w:r>
        <w:rPr>
          <w:color w:val="000000" w:themeColor="text1"/>
          <w:szCs w:val="24"/>
        </w:rPr>
        <w:t>t/a，0.0</w:t>
      </w:r>
      <w:r>
        <w:rPr>
          <w:rFonts w:hint="eastAsia"/>
          <w:color w:val="000000" w:themeColor="text1"/>
          <w:szCs w:val="24"/>
        </w:rPr>
        <w:t>74</w:t>
      </w:r>
      <w:r>
        <w:rPr>
          <w:color w:val="000000" w:themeColor="text1"/>
          <w:szCs w:val="24"/>
        </w:rPr>
        <w:t>kg/h。</w:t>
      </w:r>
    </w:p>
    <w:p>
      <w:pPr>
        <w:pStyle w:val="78"/>
        <w:ind w:firstLine="482"/>
        <w:jc w:val="both"/>
        <w:rPr>
          <w:rFonts w:eastAsiaTheme="minorEastAsia"/>
          <w:color w:val="000000" w:themeColor="text1"/>
          <w:szCs w:val="24"/>
        </w:rPr>
      </w:pPr>
      <w:r>
        <w:rPr>
          <w:rFonts w:hint="eastAsia" w:eastAsiaTheme="minorEastAsia"/>
          <w:b/>
          <w:bCs/>
          <w:color w:val="000000" w:themeColor="text1"/>
          <w:szCs w:val="24"/>
        </w:rPr>
        <w:t>项目存在的环境问题：</w:t>
      </w:r>
      <w:r>
        <w:rPr>
          <w:rFonts w:hint="eastAsia" w:eastAsiaTheme="minorEastAsia"/>
          <w:color w:val="000000" w:themeColor="text1"/>
          <w:szCs w:val="24"/>
        </w:rPr>
        <w:t>现场勘查时，项目物料均处于露天堆放状态，未设置堆棚，未采取其它降尘措施，露天排放的粉尘量较大，对周边环境影响较大。</w:t>
      </w:r>
    </w:p>
    <w:p>
      <w:pPr>
        <w:pStyle w:val="78"/>
        <w:ind w:firstLine="482"/>
        <w:jc w:val="both"/>
        <w:rPr>
          <w:rFonts w:eastAsiaTheme="minorEastAsia"/>
          <w:color w:val="000000" w:themeColor="text1"/>
          <w:szCs w:val="24"/>
        </w:rPr>
      </w:pPr>
      <w:r>
        <w:rPr>
          <w:rFonts w:hint="eastAsia" w:eastAsiaTheme="minorEastAsia"/>
          <w:b/>
          <w:bCs/>
          <w:color w:val="000000" w:themeColor="text1"/>
          <w:szCs w:val="24"/>
        </w:rPr>
        <w:t>整改措施：</w:t>
      </w:r>
      <w:r>
        <w:rPr>
          <w:rFonts w:hint="eastAsia" w:eastAsiaTheme="minorEastAsia"/>
          <w:color w:val="000000" w:themeColor="text1"/>
          <w:szCs w:val="24"/>
        </w:rPr>
        <w:t>原矿石堆场、</w:t>
      </w:r>
      <w:r>
        <w:rPr>
          <w:rFonts w:eastAsiaTheme="minorEastAsia"/>
          <w:color w:val="000000" w:themeColor="text1"/>
          <w:kern w:val="24"/>
          <w:szCs w:val="24"/>
        </w:rPr>
        <w:t>低品位原矿堆场</w:t>
      </w:r>
      <w:r>
        <w:rPr>
          <w:rFonts w:hint="eastAsia" w:eastAsiaTheme="minorEastAsia"/>
          <w:color w:val="000000" w:themeColor="text1"/>
          <w:kern w:val="24"/>
          <w:szCs w:val="24"/>
        </w:rPr>
        <w:t>、</w:t>
      </w:r>
      <w:r>
        <w:rPr>
          <w:rFonts w:eastAsiaTheme="minorEastAsia"/>
          <w:color w:val="000000" w:themeColor="text1"/>
          <w:kern w:val="24"/>
          <w:szCs w:val="24"/>
        </w:rPr>
        <w:t>公分石和瓜子石堆场</w:t>
      </w:r>
      <w:r>
        <w:rPr>
          <w:rFonts w:hint="eastAsia" w:eastAsiaTheme="minorEastAsia"/>
          <w:color w:val="000000" w:themeColor="text1"/>
          <w:kern w:val="24"/>
          <w:szCs w:val="24"/>
        </w:rPr>
        <w:t>、</w:t>
      </w:r>
      <w:r>
        <w:rPr>
          <w:rFonts w:eastAsiaTheme="minorEastAsia"/>
          <w:color w:val="000000" w:themeColor="text1"/>
          <w:kern w:val="24"/>
          <w:szCs w:val="24"/>
        </w:rPr>
        <w:t>机制砂堆场</w:t>
      </w:r>
      <w:r>
        <w:rPr>
          <w:rFonts w:hint="eastAsia" w:eastAsiaTheme="minorEastAsia"/>
          <w:color w:val="000000" w:themeColor="text1"/>
          <w:kern w:val="24"/>
          <w:szCs w:val="24"/>
        </w:rPr>
        <w:t>设置成“</w:t>
      </w:r>
      <w:r>
        <w:rPr>
          <w:rFonts w:eastAsiaTheme="minorEastAsia"/>
          <w:color w:val="000000" w:themeColor="text1"/>
          <w:kern w:val="24"/>
          <w:szCs w:val="24"/>
        </w:rPr>
        <w:t>三面围挡+遮雨棚</w:t>
      </w:r>
      <w:r>
        <w:rPr>
          <w:rFonts w:hint="eastAsia" w:eastAsiaTheme="minorEastAsia"/>
          <w:color w:val="000000" w:themeColor="text1"/>
          <w:kern w:val="24"/>
          <w:szCs w:val="24"/>
        </w:rPr>
        <w:t>”形式，细料</w:t>
      </w:r>
      <w:r>
        <w:rPr>
          <w:rFonts w:eastAsiaTheme="minorEastAsia"/>
          <w:color w:val="000000" w:themeColor="text1"/>
          <w:kern w:val="24"/>
          <w:szCs w:val="24"/>
        </w:rPr>
        <w:t>堆棚</w:t>
      </w:r>
      <w:r>
        <w:rPr>
          <w:rStyle w:val="73"/>
          <w:rFonts w:hint="eastAsia"/>
          <w:color w:val="000000" w:themeColor="text1"/>
          <w:kern w:val="0"/>
          <w:sz w:val="24"/>
          <w:szCs w:val="24"/>
        </w:rPr>
        <w:t>还增加</w:t>
      </w:r>
      <w:r>
        <w:rPr>
          <w:rFonts w:eastAsiaTheme="minorEastAsia"/>
          <w:color w:val="000000" w:themeColor="text1"/>
          <w:kern w:val="24"/>
          <w:szCs w:val="24"/>
        </w:rPr>
        <w:t>设置喷淋装置</w:t>
      </w:r>
      <w:r>
        <w:rPr>
          <w:rFonts w:hint="eastAsia" w:eastAsiaTheme="minorEastAsia"/>
          <w:color w:val="000000" w:themeColor="text1"/>
          <w:kern w:val="24"/>
          <w:szCs w:val="24"/>
        </w:rPr>
        <w:t>，</w:t>
      </w:r>
      <w:r>
        <w:rPr>
          <w:rFonts w:hint="eastAsia"/>
          <w:color w:val="000000" w:themeColor="text1"/>
          <w:szCs w:val="24"/>
        </w:rPr>
        <w:t>减少无组织粉尘的排放</w:t>
      </w:r>
      <w:r>
        <w:rPr>
          <w:rFonts w:hint="eastAsia" w:eastAsiaTheme="minorEastAsia"/>
          <w:color w:val="000000" w:themeColor="text1"/>
          <w:szCs w:val="24"/>
        </w:rPr>
        <w:t>。</w:t>
      </w:r>
    </w:p>
    <w:p>
      <w:pPr>
        <w:ind w:firstLine="482"/>
        <w:rPr>
          <w:rFonts w:eastAsiaTheme="minorEastAsia"/>
          <w:b/>
          <w:bCs/>
          <w:color w:val="000000" w:themeColor="text1"/>
          <w:szCs w:val="24"/>
        </w:rPr>
      </w:pPr>
      <w:r>
        <w:rPr>
          <w:rFonts w:hint="eastAsia" w:ascii="宋体" w:hAnsi="宋体" w:cs="宋体"/>
          <w:b/>
          <w:bCs/>
          <w:color w:val="000000" w:themeColor="text1"/>
          <w:szCs w:val="24"/>
        </w:rPr>
        <w:t>⑤</w:t>
      </w:r>
      <w:r>
        <w:rPr>
          <w:rFonts w:eastAsiaTheme="minorEastAsia"/>
          <w:b/>
          <w:bCs/>
          <w:color w:val="000000" w:themeColor="text1"/>
          <w:szCs w:val="24"/>
        </w:rPr>
        <w:t>场内运输粉尘</w:t>
      </w:r>
    </w:p>
    <w:p>
      <w:pPr>
        <w:ind w:firstLine="480"/>
        <w:rPr>
          <w:rFonts w:eastAsiaTheme="minorEastAsia"/>
          <w:color w:val="000000" w:themeColor="text1"/>
          <w:szCs w:val="24"/>
        </w:rPr>
      </w:pPr>
      <w:r>
        <w:rPr>
          <w:rFonts w:eastAsiaTheme="minorEastAsia"/>
          <w:color w:val="000000" w:themeColor="text1"/>
          <w:szCs w:val="24"/>
        </w:rPr>
        <w:t>在项目区内运输过程中会产生少量粉尘，粉尘产生量按如下公式计算。</w:t>
      </w:r>
    </w:p>
    <w:p>
      <w:pPr>
        <w:ind w:firstLine="480"/>
        <w:jc w:val="center"/>
        <w:rPr>
          <w:rFonts w:eastAsiaTheme="minorEastAsia"/>
          <w:color w:val="000000" w:themeColor="text1"/>
          <w:szCs w:val="24"/>
        </w:rPr>
      </w:pPr>
      <w:r>
        <w:rPr>
          <w:rFonts w:eastAsiaTheme="minorEastAsia"/>
          <w:color w:val="000000" w:themeColor="text1"/>
          <w:szCs w:val="24"/>
        </w:rPr>
        <w:t>Q=0.123×(v/5)×(W/6.8)</w:t>
      </w:r>
      <w:r>
        <w:rPr>
          <w:rFonts w:eastAsiaTheme="minorEastAsia"/>
          <w:color w:val="000000" w:themeColor="text1"/>
          <w:szCs w:val="24"/>
          <w:vertAlign w:val="superscript"/>
        </w:rPr>
        <w:t>0.85</w:t>
      </w:r>
      <w:r>
        <w:rPr>
          <w:rFonts w:eastAsiaTheme="minorEastAsia"/>
          <w:color w:val="000000" w:themeColor="text1"/>
          <w:szCs w:val="24"/>
        </w:rPr>
        <w:t>×(P/0.5)</w:t>
      </w:r>
      <w:r>
        <w:rPr>
          <w:rFonts w:eastAsiaTheme="minorEastAsia"/>
          <w:color w:val="000000" w:themeColor="text1"/>
          <w:szCs w:val="24"/>
          <w:vertAlign w:val="superscript"/>
        </w:rPr>
        <w:t>0.72</w:t>
      </w:r>
    </w:p>
    <w:p>
      <w:pPr>
        <w:ind w:firstLine="480"/>
        <w:rPr>
          <w:rFonts w:eastAsiaTheme="minorEastAsia"/>
          <w:color w:val="000000" w:themeColor="text1"/>
          <w:szCs w:val="24"/>
        </w:rPr>
      </w:pPr>
      <w:r>
        <w:rPr>
          <w:rFonts w:eastAsiaTheme="minorEastAsia"/>
          <w:color w:val="000000" w:themeColor="text1"/>
          <w:szCs w:val="24"/>
        </w:rPr>
        <w:t>式中：Q—汽车行驶的扬尘，kg/km·辆；</w:t>
      </w:r>
    </w:p>
    <w:p>
      <w:pPr>
        <w:ind w:firstLine="480"/>
        <w:rPr>
          <w:rFonts w:eastAsiaTheme="minorEastAsia"/>
          <w:color w:val="000000" w:themeColor="text1"/>
          <w:szCs w:val="24"/>
        </w:rPr>
      </w:pPr>
      <w:r>
        <w:rPr>
          <w:rFonts w:eastAsiaTheme="minorEastAsia"/>
          <w:color w:val="000000" w:themeColor="text1"/>
          <w:szCs w:val="24"/>
        </w:rPr>
        <w:t>v—汽车速度，km/h，取10km/h；</w:t>
      </w:r>
    </w:p>
    <w:p>
      <w:pPr>
        <w:ind w:firstLine="480"/>
        <w:rPr>
          <w:rFonts w:eastAsiaTheme="minorEastAsia"/>
          <w:color w:val="000000" w:themeColor="text1"/>
          <w:szCs w:val="24"/>
        </w:rPr>
      </w:pPr>
      <w:r>
        <w:rPr>
          <w:rFonts w:eastAsiaTheme="minorEastAsia"/>
          <w:color w:val="000000" w:themeColor="text1"/>
          <w:szCs w:val="24"/>
        </w:rPr>
        <w:t>W—汽车载重量，t；</w:t>
      </w:r>
    </w:p>
    <w:p>
      <w:pPr>
        <w:ind w:firstLine="480"/>
        <w:rPr>
          <w:rFonts w:eastAsiaTheme="minorEastAsia"/>
          <w:color w:val="000000" w:themeColor="text1"/>
          <w:szCs w:val="24"/>
        </w:rPr>
      </w:pPr>
      <w:r>
        <w:rPr>
          <w:rFonts w:eastAsiaTheme="minorEastAsia"/>
          <w:color w:val="000000" w:themeColor="text1"/>
          <w:szCs w:val="24"/>
        </w:rPr>
        <w:t>P—道路表面粉尘量，kg/m</w:t>
      </w:r>
      <w:r>
        <w:rPr>
          <w:rFonts w:eastAsiaTheme="minorEastAsia"/>
          <w:color w:val="000000" w:themeColor="text1"/>
          <w:szCs w:val="24"/>
          <w:vertAlign w:val="superscript"/>
        </w:rPr>
        <w:t>2</w:t>
      </w:r>
      <w:r>
        <w:rPr>
          <w:rFonts w:eastAsiaTheme="minorEastAsia"/>
          <w:color w:val="000000" w:themeColor="text1"/>
          <w:szCs w:val="24"/>
        </w:rPr>
        <w:t>，取0.1kg/m</w:t>
      </w:r>
      <w:r>
        <w:rPr>
          <w:rFonts w:eastAsiaTheme="minorEastAsia"/>
          <w:color w:val="000000" w:themeColor="text1"/>
          <w:szCs w:val="24"/>
          <w:vertAlign w:val="superscript"/>
        </w:rPr>
        <w:t>2</w:t>
      </w:r>
      <w:r>
        <w:rPr>
          <w:rFonts w:eastAsiaTheme="minorEastAsia"/>
          <w:color w:val="000000" w:themeColor="text1"/>
          <w:szCs w:val="24"/>
        </w:rPr>
        <w:t>；</w:t>
      </w:r>
    </w:p>
    <w:p>
      <w:pPr>
        <w:pStyle w:val="26"/>
        <w:widowControl w:val="0"/>
        <w:kinsoku w:val="0"/>
        <w:overflowPunct w:val="0"/>
        <w:autoSpaceDE w:val="0"/>
        <w:ind w:firstLine="480"/>
        <w:jc w:val="both"/>
        <w:rPr>
          <w:rFonts w:eastAsiaTheme="minorEastAsia"/>
          <w:color w:val="000000" w:themeColor="text1"/>
          <w:lang w:eastAsia="zh-CN"/>
        </w:rPr>
      </w:pPr>
      <w:r>
        <w:rPr>
          <w:rFonts w:eastAsiaTheme="minorEastAsia"/>
          <w:color w:val="000000" w:themeColor="text1"/>
          <w:lang w:eastAsia="zh-CN"/>
        </w:rPr>
        <w:t>根据上式计算得每辆运输车辆空载和负载情况下扬尘产生量分别为</w:t>
      </w:r>
      <w:r>
        <w:rPr>
          <w:rFonts w:eastAsiaTheme="minorEastAsia"/>
          <w:color w:val="000000" w:themeColor="text1"/>
          <w:spacing w:val="-2"/>
          <w:lang w:eastAsia="zh-CN"/>
        </w:rPr>
        <w:t>0.23kg/km·辆和</w:t>
      </w:r>
      <w:r>
        <w:rPr>
          <w:rFonts w:eastAsiaTheme="minorEastAsia"/>
          <w:color w:val="000000" w:themeColor="text1"/>
          <w:spacing w:val="-1"/>
          <w:lang w:eastAsia="zh-CN"/>
        </w:rPr>
        <w:t>0.3kg/km·辆，</w:t>
      </w:r>
      <w:r>
        <w:rPr>
          <w:rFonts w:eastAsiaTheme="minorEastAsia"/>
          <w:color w:val="000000" w:themeColor="text1"/>
          <w:spacing w:val="-4"/>
          <w:lang w:eastAsia="zh-CN"/>
        </w:rPr>
        <w:t>本项目原矿石料量为</w:t>
      </w:r>
      <w:r>
        <w:rPr>
          <w:rFonts w:eastAsiaTheme="minorEastAsia"/>
          <w:bCs/>
          <w:color w:val="000000" w:themeColor="text1"/>
          <w:lang w:eastAsia="zh-CN"/>
        </w:rPr>
        <w:t>150000t/a</w:t>
      </w:r>
      <w:r>
        <w:rPr>
          <w:rFonts w:eastAsiaTheme="minorEastAsia"/>
          <w:color w:val="000000" w:themeColor="text1"/>
          <w:spacing w:val="-4"/>
          <w:lang w:eastAsia="zh-CN"/>
        </w:rPr>
        <w:t>，购进三级精铁矿量为70000</w:t>
      </w:r>
      <w:r>
        <w:rPr>
          <w:rFonts w:eastAsiaTheme="minorEastAsia"/>
          <w:bCs/>
          <w:color w:val="000000" w:themeColor="text1"/>
          <w:lang w:eastAsia="zh-CN"/>
        </w:rPr>
        <w:t>t/a</w:t>
      </w:r>
      <w:r>
        <w:rPr>
          <w:rFonts w:eastAsiaTheme="minorEastAsia"/>
          <w:color w:val="000000" w:themeColor="text1"/>
          <w:spacing w:val="-4"/>
          <w:lang w:eastAsia="zh-CN"/>
        </w:rPr>
        <w:t>，产品铁精矿量为100000</w:t>
      </w:r>
      <w:r>
        <w:rPr>
          <w:rFonts w:eastAsiaTheme="minorEastAsia"/>
          <w:bCs/>
          <w:color w:val="000000" w:themeColor="text1"/>
          <w:lang w:eastAsia="zh-CN"/>
        </w:rPr>
        <w:t>t/a</w:t>
      </w:r>
      <w:r>
        <w:rPr>
          <w:rFonts w:eastAsiaTheme="minorEastAsia"/>
          <w:color w:val="000000" w:themeColor="text1"/>
          <w:spacing w:val="-4"/>
          <w:lang w:eastAsia="zh-CN"/>
        </w:rPr>
        <w:t>，砂石料量为82500t/a，原料和产品运输采用载重</w:t>
      </w:r>
      <w:r>
        <w:rPr>
          <w:rFonts w:eastAsiaTheme="minorEastAsia"/>
          <w:color w:val="000000" w:themeColor="text1"/>
          <w:lang w:eastAsia="zh-CN"/>
        </w:rPr>
        <w:t>25t</w:t>
      </w:r>
      <w:r>
        <w:rPr>
          <w:rFonts w:eastAsiaTheme="minorEastAsia"/>
          <w:color w:val="000000" w:themeColor="text1"/>
          <w:spacing w:val="-3"/>
          <w:lang w:eastAsia="zh-CN"/>
        </w:rPr>
        <w:t>级自</w:t>
      </w:r>
      <w:r>
        <w:rPr>
          <w:rFonts w:eastAsiaTheme="minorEastAsia"/>
          <w:color w:val="000000" w:themeColor="text1"/>
          <w:spacing w:val="-5"/>
          <w:lang w:eastAsia="zh-CN"/>
        </w:rPr>
        <w:t>卸车辆，车自重</w:t>
      </w:r>
      <w:r>
        <w:rPr>
          <w:rFonts w:eastAsiaTheme="minorEastAsia"/>
          <w:color w:val="000000" w:themeColor="text1"/>
          <w:spacing w:val="-4"/>
          <w:lang w:eastAsia="zh-CN"/>
        </w:rPr>
        <w:t>10t，负重时</w:t>
      </w:r>
      <w:r>
        <w:rPr>
          <w:rFonts w:eastAsiaTheme="minorEastAsia"/>
          <w:color w:val="000000" w:themeColor="text1"/>
          <w:spacing w:val="-5"/>
          <w:lang w:eastAsia="zh-CN"/>
        </w:rPr>
        <w:t>35t。运输汽车完成一次运输过程包括空载和负载两种情况，则原料运输车辆空载和负载的车次均为</w:t>
      </w:r>
      <w:r>
        <w:rPr>
          <w:rFonts w:eastAsiaTheme="minorEastAsia"/>
          <w:color w:val="000000" w:themeColor="text1"/>
          <w:lang w:eastAsia="zh-CN"/>
        </w:rPr>
        <w:t>8800</w:t>
      </w:r>
      <w:r>
        <w:rPr>
          <w:rFonts w:eastAsiaTheme="minorEastAsia"/>
          <w:color w:val="000000" w:themeColor="text1"/>
          <w:spacing w:val="-9"/>
          <w:lang w:eastAsia="zh-CN"/>
        </w:rPr>
        <w:t>次/年。产品量为182500t/a，产品</w:t>
      </w:r>
      <w:r>
        <w:rPr>
          <w:rFonts w:eastAsiaTheme="minorEastAsia"/>
          <w:color w:val="000000" w:themeColor="text1"/>
          <w:spacing w:val="-5"/>
          <w:lang w:eastAsia="zh-CN"/>
        </w:rPr>
        <w:t>空载和负载的车次均为</w:t>
      </w:r>
      <w:r>
        <w:rPr>
          <w:rFonts w:eastAsiaTheme="minorEastAsia"/>
          <w:color w:val="000000" w:themeColor="text1"/>
          <w:spacing w:val="-9"/>
          <w:lang w:eastAsia="zh-CN"/>
        </w:rPr>
        <w:t>7300次/年。项目厂区内平均运输距离约为</w:t>
      </w:r>
      <w:r>
        <w:rPr>
          <w:rFonts w:eastAsiaTheme="minorEastAsia"/>
          <w:color w:val="000000" w:themeColor="text1"/>
          <w:spacing w:val="-3"/>
          <w:lang w:eastAsia="zh-CN"/>
        </w:rPr>
        <w:t>150m，</w:t>
      </w:r>
      <w:r>
        <w:rPr>
          <w:rFonts w:eastAsiaTheme="minorEastAsia"/>
          <w:color w:val="000000" w:themeColor="text1"/>
          <w:spacing w:val="-1"/>
          <w:lang w:eastAsia="zh-CN"/>
        </w:rPr>
        <w:t>则厂区运输原料和产品的扬尘产生量为</w:t>
      </w:r>
      <w:r>
        <w:rPr>
          <w:rFonts w:eastAsiaTheme="minorEastAsia"/>
          <w:color w:val="000000" w:themeColor="text1"/>
          <w:lang w:eastAsia="zh-CN"/>
        </w:rPr>
        <w:t>1.28t/a。</w:t>
      </w:r>
    </w:p>
    <w:p>
      <w:pPr>
        <w:pStyle w:val="26"/>
        <w:widowControl w:val="0"/>
        <w:kinsoku w:val="0"/>
        <w:overflowPunct w:val="0"/>
        <w:autoSpaceDE w:val="0"/>
        <w:adjustRightInd w:val="0"/>
        <w:snapToGrid w:val="0"/>
        <w:spacing w:after="0"/>
        <w:ind w:firstLine="482"/>
        <w:jc w:val="both"/>
        <w:rPr>
          <w:rFonts w:eastAsiaTheme="minorEastAsia"/>
          <w:color w:val="000000" w:themeColor="text1"/>
          <w:lang w:eastAsia="zh-CN"/>
        </w:rPr>
      </w:pPr>
      <w:r>
        <w:rPr>
          <w:rFonts w:hint="eastAsia" w:eastAsiaTheme="minorEastAsia"/>
          <w:b/>
          <w:bCs/>
          <w:color w:val="000000" w:themeColor="text1"/>
          <w:lang w:eastAsia="zh-CN"/>
        </w:rPr>
        <w:t>项目存在的环境问题：</w:t>
      </w:r>
      <w:r>
        <w:rPr>
          <w:rFonts w:hint="eastAsia" w:eastAsiaTheme="minorEastAsia"/>
          <w:color w:val="000000" w:themeColor="text1"/>
          <w:lang w:eastAsia="zh-CN"/>
        </w:rPr>
        <w:t>现场勘查时，项目原料加工场地均未作硬化，洒水不及时，物料运输皮带未封闭，扬尘产生量较大。</w:t>
      </w:r>
    </w:p>
    <w:p>
      <w:pPr>
        <w:pStyle w:val="26"/>
        <w:widowControl w:val="0"/>
        <w:kinsoku w:val="0"/>
        <w:overflowPunct w:val="0"/>
        <w:autoSpaceDE w:val="0"/>
        <w:adjustRightInd w:val="0"/>
        <w:snapToGrid w:val="0"/>
        <w:spacing w:after="0"/>
        <w:ind w:firstLine="482"/>
        <w:jc w:val="both"/>
        <w:rPr>
          <w:rFonts w:eastAsiaTheme="minorEastAsia"/>
          <w:color w:val="000000" w:themeColor="text1"/>
          <w:lang w:eastAsia="zh-CN"/>
        </w:rPr>
      </w:pPr>
      <w:r>
        <w:rPr>
          <w:rFonts w:hint="eastAsia" w:eastAsiaTheme="minorEastAsia"/>
          <w:b/>
          <w:bCs/>
          <w:color w:val="000000" w:themeColor="text1"/>
          <w:lang w:eastAsia="zh-CN"/>
        </w:rPr>
        <w:t>整改措施：</w:t>
      </w:r>
      <w:r>
        <w:rPr>
          <w:rFonts w:eastAsiaTheme="minorEastAsia"/>
          <w:color w:val="000000" w:themeColor="text1"/>
          <w:lang w:eastAsia="zh-CN"/>
        </w:rPr>
        <w:t>为减少物料运输产生的颗粒物，建设单位应采取如下措施：</w:t>
      </w:r>
    </w:p>
    <w:p>
      <w:pPr>
        <w:kinsoku w:val="0"/>
        <w:overflowPunct w:val="0"/>
        <w:autoSpaceDE w:val="0"/>
        <w:adjustRightInd w:val="0"/>
        <w:snapToGrid w:val="0"/>
        <w:ind w:firstLine="480"/>
        <w:rPr>
          <w:color w:val="000000" w:themeColor="text1"/>
        </w:rPr>
      </w:pPr>
      <w:r>
        <w:rPr>
          <w:color w:val="000000" w:themeColor="text1"/>
        </w:rPr>
        <w:t>1）对厂区道路进行硬化，</w:t>
      </w:r>
      <w:r>
        <w:rPr>
          <w:rFonts w:hint="eastAsia"/>
          <w:color w:val="000000" w:themeColor="text1"/>
        </w:rPr>
        <w:t>并加强保洁，及时清扫路面散落物料，</w:t>
      </w:r>
      <w:r>
        <w:rPr>
          <w:color w:val="000000" w:themeColor="text1"/>
        </w:rPr>
        <w:t>减少输送车辆扬尘对外环境的影响；</w:t>
      </w:r>
    </w:p>
    <w:p>
      <w:pPr>
        <w:kinsoku w:val="0"/>
        <w:overflowPunct w:val="0"/>
        <w:autoSpaceDE w:val="0"/>
        <w:adjustRightInd w:val="0"/>
        <w:snapToGrid w:val="0"/>
        <w:ind w:firstLine="480"/>
        <w:rPr>
          <w:color w:val="000000" w:themeColor="text1"/>
        </w:rPr>
      </w:pPr>
      <w:r>
        <w:rPr>
          <w:color w:val="000000" w:themeColor="text1"/>
        </w:rPr>
        <w:t>2）运输车辆装载高度最高点不得超过车辆槽帮上沿40厘米，两侧边缘应当低于槽帮上缘10厘米，车斗应采用苫布覆盖，苫布边缘至少要遮住槽帮上沿以下15厘米，禁止厂内露天转运散状物料；</w:t>
      </w:r>
    </w:p>
    <w:p>
      <w:pPr>
        <w:kinsoku w:val="0"/>
        <w:overflowPunct w:val="0"/>
        <w:autoSpaceDE w:val="0"/>
        <w:adjustRightInd w:val="0"/>
        <w:snapToGrid w:val="0"/>
        <w:ind w:firstLine="480"/>
        <w:rPr>
          <w:color w:val="000000" w:themeColor="text1"/>
        </w:rPr>
      </w:pPr>
      <w:r>
        <w:rPr>
          <w:color w:val="000000" w:themeColor="text1"/>
        </w:rPr>
        <w:t>3）配备专人对厂区及入厂道路定期清扫，防止积尘，加强场地洒水降尘，以降低扬尘污染；</w:t>
      </w:r>
    </w:p>
    <w:p>
      <w:pPr>
        <w:kinsoku w:val="0"/>
        <w:overflowPunct w:val="0"/>
        <w:autoSpaceDE w:val="0"/>
        <w:adjustRightInd w:val="0"/>
        <w:snapToGrid w:val="0"/>
        <w:ind w:firstLine="480"/>
        <w:rPr>
          <w:color w:val="000000" w:themeColor="text1"/>
        </w:rPr>
      </w:pPr>
      <w:r>
        <w:rPr>
          <w:rFonts w:hint="eastAsia"/>
          <w:color w:val="000000" w:themeColor="text1"/>
        </w:rPr>
        <w:t>4）物料运输皮带廊道进行密闭，减少扬尘的排放量；</w:t>
      </w:r>
    </w:p>
    <w:p>
      <w:pPr>
        <w:kinsoku w:val="0"/>
        <w:overflowPunct w:val="0"/>
        <w:autoSpaceDE w:val="0"/>
        <w:adjustRightInd w:val="0"/>
        <w:snapToGrid w:val="0"/>
        <w:ind w:firstLine="480"/>
        <w:rPr>
          <w:color w:val="000000" w:themeColor="text1"/>
        </w:rPr>
      </w:pPr>
      <w:r>
        <w:rPr>
          <w:rFonts w:hint="eastAsia"/>
          <w:color w:val="000000" w:themeColor="text1"/>
        </w:rPr>
        <w:t>5</w:t>
      </w:r>
      <w:r>
        <w:rPr>
          <w:color w:val="000000" w:themeColor="text1"/>
        </w:rPr>
        <w:t>）厂区内设置洒水装置，企业出厂口配备高压清洗装置对所有车辆车轮、底盘进行冲洗，严禁带泥上路。洗车平台四周应设置洗车废水收集防治设施。</w:t>
      </w:r>
    </w:p>
    <w:p>
      <w:pPr>
        <w:adjustRightInd w:val="0"/>
        <w:snapToGrid w:val="0"/>
        <w:ind w:firstLine="480"/>
        <w:jc w:val="both"/>
        <w:rPr>
          <w:color w:val="000000" w:themeColor="text1"/>
        </w:rPr>
      </w:pPr>
      <w:r>
        <w:rPr>
          <w:color w:val="000000" w:themeColor="text1"/>
        </w:rPr>
        <w:t>采取以上措施后，可使颗粒物降低</w:t>
      </w:r>
      <w:r>
        <w:rPr>
          <w:rFonts w:hint="eastAsia"/>
          <w:color w:val="000000" w:themeColor="text1"/>
        </w:rPr>
        <w:t>8</w:t>
      </w:r>
      <w:r>
        <w:rPr>
          <w:color w:val="000000" w:themeColor="text1"/>
        </w:rPr>
        <w:t>0%以上，即汽车运输起尘量约为</w:t>
      </w:r>
      <w:r>
        <w:rPr>
          <w:rFonts w:hint="eastAsia"/>
          <w:color w:val="000000" w:themeColor="text1"/>
        </w:rPr>
        <w:t>0.256</w:t>
      </w:r>
      <w:r>
        <w:rPr>
          <w:color w:val="000000" w:themeColor="text1"/>
        </w:rPr>
        <w:t>t/a，在厂区内运输一次需要时间为0.015h，产品和物料的运输空车和负载总共为32200次，通过计算，每年原料和产品在厂区内的运输时间总共为483h，</w:t>
      </w:r>
      <w:r>
        <w:rPr>
          <w:rFonts w:hint="eastAsia"/>
          <w:color w:val="000000" w:themeColor="text1"/>
        </w:rPr>
        <w:t>厂内道路运输</w:t>
      </w:r>
      <w:r>
        <w:rPr>
          <w:color w:val="000000" w:themeColor="text1"/>
        </w:rPr>
        <w:t>扬尘排放速率为0.</w:t>
      </w:r>
      <w:r>
        <w:rPr>
          <w:rFonts w:hint="eastAsia"/>
          <w:color w:val="000000" w:themeColor="text1"/>
        </w:rPr>
        <w:t>55</w:t>
      </w:r>
      <w:r>
        <w:rPr>
          <w:color w:val="000000" w:themeColor="text1"/>
        </w:rPr>
        <w:t>kg/h。</w:t>
      </w:r>
    </w:p>
    <w:p>
      <w:pPr>
        <w:kinsoku w:val="0"/>
        <w:overflowPunct w:val="0"/>
        <w:autoSpaceDE w:val="0"/>
        <w:ind w:firstLine="472" w:firstLineChars="196"/>
        <w:rPr>
          <w:b/>
          <w:bCs/>
          <w:color w:val="000000" w:themeColor="text1"/>
        </w:rPr>
      </w:pPr>
      <w:r>
        <w:rPr>
          <w:rFonts w:hint="eastAsia" w:ascii="宋体" w:hAnsi="宋体" w:cs="宋体"/>
          <w:b/>
          <w:bCs/>
          <w:color w:val="000000" w:themeColor="text1"/>
        </w:rPr>
        <w:t>⑥</w:t>
      </w:r>
      <w:r>
        <w:rPr>
          <w:b/>
          <w:bCs/>
          <w:color w:val="000000" w:themeColor="text1"/>
        </w:rPr>
        <w:t>原料卸载粉尘</w:t>
      </w:r>
    </w:p>
    <w:p>
      <w:pPr>
        <w:kinsoku w:val="0"/>
        <w:overflowPunct w:val="0"/>
        <w:autoSpaceDE w:val="0"/>
        <w:ind w:firstLine="470" w:firstLineChars="196"/>
        <w:rPr>
          <w:color w:val="000000" w:themeColor="text1"/>
        </w:rPr>
      </w:pPr>
      <w:r>
        <w:rPr>
          <w:color w:val="000000" w:themeColor="text1"/>
        </w:rPr>
        <w:t>项目原料在场地内倒运和铲车装卸过程中会产生粉尘，当运输车辆进入原料储存区卸原料时产生的粉尘量由装卸高度、车辆吨位、物料含水率和地面风速决定。</w:t>
      </w:r>
    </w:p>
    <w:p>
      <w:pPr>
        <w:kinsoku w:val="0"/>
        <w:overflowPunct w:val="0"/>
        <w:autoSpaceDE w:val="0"/>
        <w:ind w:firstLine="470" w:firstLineChars="196"/>
        <w:jc w:val="center"/>
        <w:rPr>
          <w:color w:val="000000" w:themeColor="text1"/>
        </w:rPr>
      </w:pPr>
      <w:r>
        <w:rPr>
          <w:color w:val="000000" w:themeColor="text1"/>
        </w:rPr>
        <w:drawing>
          <wp:inline distT="0" distB="0" distL="114300" distR="114300">
            <wp:extent cx="2827655" cy="818515"/>
            <wp:effectExtent l="0" t="0" r="10795" b="635"/>
            <wp:docPr id="2" name="图片 25" descr="C:\Users\Administrator\AppData\Roaming\Tencent\Users\1948171439\TIM\WinTemp\RichOle\X~}@N1PM1)CTHL]TZ8A78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5" descr="C:\Users\Administrator\AppData\Roaming\Tencent\Users\1948171439\TIM\WinTemp\RichOle\X~}@N1PM1)CTHL]TZ8A78AA.png"/>
                    <pic:cNvPicPr>
                      <a:picLocks noChangeAspect="1"/>
                    </pic:cNvPicPr>
                  </pic:nvPicPr>
                  <pic:blipFill>
                    <a:blip r:embed="rId48" cstate="print"/>
                    <a:stretch>
                      <a:fillRect/>
                    </a:stretch>
                  </pic:blipFill>
                  <pic:spPr>
                    <a:xfrm>
                      <a:off x="0" y="0"/>
                      <a:ext cx="2827655" cy="818515"/>
                    </a:xfrm>
                    <a:prstGeom prst="rect">
                      <a:avLst/>
                    </a:prstGeom>
                    <a:noFill/>
                    <a:ln>
                      <a:noFill/>
                    </a:ln>
                  </pic:spPr>
                </pic:pic>
              </a:graphicData>
            </a:graphic>
          </wp:inline>
        </w:drawing>
      </w:r>
    </w:p>
    <w:p>
      <w:pPr>
        <w:kinsoku w:val="0"/>
        <w:overflowPunct w:val="0"/>
        <w:autoSpaceDE w:val="0"/>
        <w:ind w:firstLine="470" w:firstLineChars="196"/>
        <w:rPr>
          <w:color w:val="000000" w:themeColor="text1"/>
        </w:rPr>
      </w:pPr>
      <w:r>
        <w:rPr>
          <w:color w:val="000000" w:themeColor="text1"/>
        </w:rPr>
        <w:t>式中：Q</w:t>
      </w:r>
      <w:r>
        <w:rPr>
          <w:color w:val="000000" w:themeColor="text1"/>
          <w:vertAlign w:val="subscript"/>
        </w:rPr>
        <w:t>2</w:t>
      </w:r>
      <w:r>
        <w:rPr>
          <w:color w:val="000000" w:themeColor="text1"/>
        </w:rPr>
        <w:t>——起尘量，mg/s；</w:t>
      </w:r>
    </w:p>
    <w:p>
      <w:pPr>
        <w:kinsoku w:val="0"/>
        <w:overflowPunct w:val="0"/>
        <w:autoSpaceDE w:val="0"/>
        <w:ind w:firstLine="470" w:firstLineChars="196"/>
        <w:rPr>
          <w:color w:val="000000" w:themeColor="text1"/>
        </w:rPr>
      </w:pPr>
      <w:r>
        <w:rPr>
          <w:color w:val="000000" w:themeColor="text1"/>
        </w:rPr>
        <w:t>M——车辆吨位，t；25t；</w:t>
      </w:r>
    </w:p>
    <w:p>
      <w:pPr>
        <w:kinsoku w:val="0"/>
        <w:overflowPunct w:val="0"/>
        <w:autoSpaceDE w:val="0"/>
        <w:ind w:firstLine="470" w:firstLineChars="196"/>
        <w:rPr>
          <w:color w:val="000000" w:themeColor="text1"/>
        </w:rPr>
      </w:pPr>
      <w:r>
        <w:rPr>
          <w:color w:val="000000" w:themeColor="text1"/>
        </w:rPr>
        <w:t>U——平均风速，当地平均风速为2.3m/s；</w:t>
      </w:r>
    </w:p>
    <w:p>
      <w:pPr>
        <w:kinsoku w:val="0"/>
        <w:overflowPunct w:val="0"/>
        <w:autoSpaceDE w:val="0"/>
        <w:ind w:firstLine="470" w:firstLineChars="196"/>
        <w:rPr>
          <w:color w:val="000000" w:themeColor="text1"/>
        </w:rPr>
      </w:pPr>
      <w:r>
        <w:rPr>
          <w:color w:val="000000" w:themeColor="text1"/>
        </w:rPr>
        <w:t>H——物料装卸高度，m，取0.5m；</w:t>
      </w:r>
    </w:p>
    <w:p>
      <w:pPr>
        <w:kinsoku w:val="0"/>
        <w:overflowPunct w:val="0"/>
        <w:autoSpaceDE w:val="0"/>
        <w:ind w:firstLine="470" w:firstLineChars="196"/>
        <w:rPr>
          <w:color w:val="000000" w:themeColor="text1"/>
        </w:rPr>
      </w:pPr>
      <w:r>
        <w:rPr>
          <w:color w:val="000000" w:themeColor="text1"/>
        </w:rPr>
        <w:t>W——物料含水率，%；取原矿石</w:t>
      </w:r>
      <w:r>
        <w:rPr>
          <w:rFonts w:hint="eastAsia"/>
          <w:color w:val="000000" w:themeColor="text1"/>
        </w:rPr>
        <w:t>6</w:t>
      </w:r>
      <w:r>
        <w:rPr>
          <w:color w:val="000000" w:themeColor="text1"/>
        </w:rPr>
        <w:t>%，三级铁精矿取10%。</w:t>
      </w:r>
    </w:p>
    <w:p>
      <w:pPr>
        <w:kinsoku w:val="0"/>
        <w:overflowPunct w:val="0"/>
        <w:autoSpaceDE w:val="0"/>
        <w:adjustRightInd w:val="0"/>
        <w:snapToGrid w:val="0"/>
        <w:ind w:firstLine="480"/>
        <w:rPr>
          <w:rFonts w:eastAsiaTheme="minorEastAsia"/>
          <w:b/>
          <w:bCs/>
          <w:color w:val="000000" w:themeColor="text1"/>
        </w:rPr>
      </w:pPr>
      <w:r>
        <w:rPr>
          <w:color w:val="000000" w:themeColor="text1"/>
        </w:rPr>
        <w:t>该公式适用于无人工增湿、晴天、自然状态下的原料装卸过程的起尘量计算，由计算可知，本项目原矿石在装卸过程中起尘速率为68</w:t>
      </w:r>
      <w:r>
        <w:rPr>
          <w:rFonts w:hint="eastAsia"/>
          <w:color w:val="000000" w:themeColor="text1"/>
        </w:rPr>
        <w:t>9.76</w:t>
      </w:r>
      <w:r>
        <w:rPr>
          <w:color w:val="000000" w:themeColor="text1"/>
        </w:rPr>
        <w:t>mg/s，三级精铁矿在装卸过程中起尘速率为721.32mg/s，原矿石装卸量为150000t/a，每吨卸货时间为5s，则卸货时间为750000s（208.33h），则项目原矿石装卸过程起尘量为0.51</w:t>
      </w:r>
      <w:r>
        <w:rPr>
          <w:rFonts w:hint="eastAsia"/>
          <w:color w:val="000000" w:themeColor="text1"/>
        </w:rPr>
        <w:t>7</w:t>
      </w:r>
      <w:r>
        <w:rPr>
          <w:color w:val="000000" w:themeColor="text1"/>
        </w:rPr>
        <w:t>t/a；三级精铁矿卸货量为70000t/a，每吨卸货时间为5s，则卸货时间为350000s（97.22h），则项目三级精铁矿装卸过程起尘量为0.25t/a，三级精和原矿石卸货粉尘共产生0.76</w:t>
      </w:r>
      <w:r>
        <w:rPr>
          <w:rFonts w:hint="eastAsia"/>
          <w:color w:val="000000" w:themeColor="text1"/>
        </w:rPr>
        <w:t>7</w:t>
      </w:r>
      <w:r>
        <w:rPr>
          <w:color w:val="000000" w:themeColor="text1"/>
        </w:rPr>
        <w:t>t/a，环评要求在原料装卸的过程中使用移动式雾炮机进行喷雾降尘，并且原料采用堆棚形式，堆棚三面围挡+遮雨棚，在此条件下进行装卸，</w:t>
      </w:r>
      <w:r>
        <w:rPr>
          <w:rFonts w:hint="eastAsia"/>
          <w:color w:val="000000" w:themeColor="text1"/>
        </w:rPr>
        <w:t>降</w:t>
      </w:r>
      <w:r>
        <w:rPr>
          <w:color w:val="000000" w:themeColor="text1"/>
        </w:rPr>
        <w:t>尘效率以</w:t>
      </w:r>
      <w:r>
        <w:rPr>
          <w:rFonts w:hint="eastAsia"/>
          <w:color w:val="000000" w:themeColor="text1"/>
        </w:rPr>
        <w:t>80</w:t>
      </w:r>
      <w:r>
        <w:rPr>
          <w:color w:val="000000" w:themeColor="text1"/>
        </w:rPr>
        <w:t>%计，则项目原料卸载扬尘量为</w:t>
      </w:r>
      <w:r>
        <w:rPr>
          <w:rFonts w:hint="eastAsia"/>
          <w:color w:val="000000" w:themeColor="text1"/>
        </w:rPr>
        <w:t>0.153</w:t>
      </w:r>
      <w:r>
        <w:rPr>
          <w:color w:val="000000" w:themeColor="text1"/>
        </w:rPr>
        <w:t>t/a，0.</w:t>
      </w:r>
      <w:r>
        <w:rPr>
          <w:rFonts w:hint="eastAsia"/>
          <w:color w:val="000000" w:themeColor="text1"/>
        </w:rPr>
        <w:t>5</w:t>
      </w:r>
      <w:r>
        <w:rPr>
          <w:color w:val="000000" w:themeColor="text1"/>
        </w:rPr>
        <w:t>kg/h，呈无组织排放。</w:t>
      </w:r>
    </w:p>
    <w:p>
      <w:pPr>
        <w:pStyle w:val="26"/>
        <w:widowControl w:val="0"/>
        <w:kinsoku w:val="0"/>
        <w:overflowPunct w:val="0"/>
        <w:autoSpaceDE w:val="0"/>
        <w:ind w:firstLine="482"/>
        <w:jc w:val="both"/>
        <w:rPr>
          <w:rFonts w:eastAsiaTheme="minorEastAsia"/>
          <w:color w:val="000000" w:themeColor="text1"/>
          <w:lang w:eastAsia="zh-CN"/>
        </w:rPr>
      </w:pPr>
      <w:r>
        <w:rPr>
          <w:rFonts w:hint="eastAsia" w:eastAsiaTheme="minorEastAsia"/>
          <w:b/>
          <w:bCs/>
          <w:color w:val="000000" w:themeColor="text1"/>
          <w:lang w:eastAsia="zh-CN"/>
        </w:rPr>
        <w:t>项目存在的环境问题：</w:t>
      </w:r>
      <w:r>
        <w:rPr>
          <w:rFonts w:hint="eastAsia" w:eastAsiaTheme="minorEastAsia"/>
          <w:color w:val="000000" w:themeColor="text1"/>
          <w:lang w:eastAsia="zh-CN"/>
        </w:rPr>
        <w:t>现场勘查时，原料卸载未采取环保设施避免扬尘的产生。</w:t>
      </w:r>
    </w:p>
    <w:p>
      <w:pPr>
        <w:kinsoku w:val="0"/>
        <w:overflowPunct w:val="0"/>
        <w:autoSpaceDE w:val="0"/>
        <w:ind w:firstLine="482"/>
        <w:rPr>
          <w:rFonts w:eastAsiaTheme="minorEastAsia"/>
          <w:b/>
          <w:bCs/>
          <w:color w:val="000000" w:themeColor="text1"/>
        </w:rPr>
      </w:pPr>
      <w:r>
        <w:rPr>
          <w:rFonts w:hint="eastAsia" w:eastAsiaTheme="minorEastAsia"/>
          <w:b/>
          <w:bCs/>
          <w:color w:val="000000" w:themeColor="text1"/>
          <w:szCs w:val="24"/>
        </w:rPr>
        <w:t>整改措施：</w:t>
      </w:r>
      <w:r>
        <w:rPr>
          <w:rFonts w:eastAsiaTheme="minorEastAsia"/>
          <w:color w:val="000000" w:themeColor="text1"/>
          <w:szCs w:val="24"/>
        </w:rPr>
        <w:t>为减少</w:t>
      </w:r>
      <w:r>
        <w:rPr>
          <w:rFonts w:hint="eastAsia" w:eastAsiaTheme="minorEastAsia"/>
          <w:color w:val="000000" w:themeColor="text1"/>
          <w:szCs w:val="24"/>
        </w:rPr>
        <w:t>原料卸载</w:t>
      </w:r>
      <w:r>
        <w:rPr>
          <w:rFonts w:eastAsiaTheme="minorEastAsia"/>
          <w:color w:val="000000" w:themeColor="text1"/>
          <w:szCs w:val="24"/>
        </w:rPr>
        <w:t>产生的</w:t>
      </w:r>
      <w:r>
        <w:rPr>
          <w:rFonts w:hint="eastAsia" w:eastAsiaTheme="minorEastAsia"/>
          <w:color w:val="000000" w:themeColor="text1"/>
          <w:szCs w:val="24"/>
        </w:rPr>
        <w:t>扬尘</w:t>
      </w:r>
      <w:r>
        <w:rPr>
          <w:rFonts w:eastAsiaTheme="minorEastAsia"/>
          <w:color w:val="000000" w:themeColor="text1"/>
          <w:szCs w:val="24"/>
        </w:rPr>
        <w:t>，建设单位应</w:t>
      </w:r>
      <w:r>
        <w:rPr>
          <w:rFonts w:hint="eastAsia" w:eastAsiaTheme="minorEastAsia"/>
          <w:color w:val="000000" w:themeColor="text1"/>
          <w:szCs w:val="24"/>
        </w:rPr>
        <w:t>设置一台雾炮机对卸载原料时进行喷雾降尘，原料采取堆棚的形式，降低扬尘的排放量。</w:t>
      </w:r>
    </w:p>
    <w:p>
      <w:pPr>
        <w:kinsoku w:val="0"/>
        <w:overflowPunct w:val="0"/>
        <w:autoSpaceDE w:val="0"/>
        <w:ind w:firstLine="482"/>
        <w:rPr>
          <w:b/>
          <w:bCs/>
          <w:color w:val="000000" w:themeColor="text1"/>
        </w:rPr>
      </w:pPr>
      <w:r>
        <w:rPr>
          <w:rFonts w:hint="eastAsia" w:ascii="宋体" w:hAnsi="宋体" w:cs="宋体"/>
          <w:b/>
          <w:bCs/>
          <w:color w:val="000000" w:themeColor="text1"/>
        </w:rPr>
        <w:t>⑦</w:t>
      </w:r>
      <w:r>
        <w:rPr>
          <w:b/>
          <w:bCs/>
          <w:color w:val="000000" w:themeColor="text1"/>
        </w:rPr>
        <w:t>成品</w:t>
      </w:r>
      <w:r>
        <w:rPr>
          <w:rFonts w:hint="eastAsia"/>
          <w:b/>
          <w:bCs/>
          <w:color w:val="000000" w:themeColor="text1"/>
        </w:rPr>
        <w:t>及副产品</w:t>
      </w:r>
      <w:r>
        <w:rPr>
          <w:b/>
          <w:bCs/>
          <w:color w:val="000000" w:themeColor="text1"/>
        </w:rPr>
        <w:t>装载粉尘</w:t>
      </w:r>
    </w:p>
    <w:p>
      <w:pPr>
        <w:ind w:firstLine="480"/>
        <w:rPr>
          <w:color w:val="000000" w:themeColor="text1"/>
        </w:rPr>
      </w:pPr>
      <w:r>
        <w:rPr>
          <w:color w:val="000000" w:themeColor="text1"/>
        </w:rPr>
        <w:t>本项目产品外售装车过程中，会产生无组织粉尘。本项目用2台铲斗容量为5t的装载机进行装车。装车过程粉尘产生量的大小与矿岩硬度、自然含湿量、装车高度、风流速度及治理水平等一系列因素关系密切，主要措施为洒水抑尘，增大矿岩湿度。根据选矿项目统计资料，一般干燥情况下，汽车采装粉尘的产生量为2.77kg/h•台，湿度不足时，为0.83kg/h•台，湿度充分情况下为0.4kg/h•台。</w:t>
      </w:r>
    </w:p>
    <w:p>
      <w:pPr>
        <w:ind w:firstLine="480"/>
        <w:rPr>
          <w:rFonts w:eastAsiaTheme="minorEastAsia"/>
          <w:color w:val="000000" w:themeColor="text1"/>
        </w:rPr>
      </w:pPr>
      <w:r>
        <w:rPr>
          <w:rFonts w:hint="eastAsia" w:eastAsiaTheme="minorEastAsia"/>
          <w:color w:val="000000" w:themeColor="text1"/>
        </w:rPr>
        <w:t xml:space="preserve"> </w:t>
      </w:r>
      <w:r>
        <w:rPr>
          <w:color w:val="000000" w:themeColor="text1"/>
        </w:rPr>
        <w:t>项目配备装载机</w:t>
      </w:r>
      <w:r>
        <w:rPr>
          <w:rFonts w:hint="eastAsia"/>
          <w:color w:val="000000" w:themeColor="text1"/>
        </w:rPr>
        <w:t>2</w:t>
      </w:r>
      <w:r>
        <w:rPr>
          <w:color w:val="000000" w:themeColor="text1"/>
        </w:rPr>
        <w:t>台，</w:t>
      </w:r>
      <w:r>
        <w:rPr>
          <w:rFonts w:hint="eastAsia"/>
          <w:color w:val="000000" w:themeColor="text1"/>
        </w:rPr>
        <w:t>按装货182500t/a计算（608.3t/d），装载机从产品堆场装料至装车每次需要时间为3min，每次装料10t（2台），故计算得出每台每天平均作业时间为3.04h</w:t>
      </w:r>
      <w:r>
        <w:rPr>
          <w:color w:val="000000" w:themeColor="text1"/>
        </w:rPr>
        <w:t>。干燥情况下，</w:t>
      </w:r>
      <w:r>
        <w:rPr>
          <w:rFonts w:hint="eastAsia"/>
          <w:color w:val="000000" w:themeColor="text1"/>
        </w:rPr>
        <w:t>2台装载机</w:t>
      </w:r>
      <w:r>
        <w:rPr>
          <w:color w:val="000000" w:themeColor="text1"/>
        </w:rPr>
        <w:t>预计铲装作业粉尘产生量为</w:t>
      </w:r>
      <w:r>
        <w:rPr>
          <w:rFonts w:hint="eastAsia"/>
          <w:color w:val="000000" w:themeColor="text1"/>
        </w:rPr>
        <w:t>5.052</w:t>
      </w:r>
      <w:r>
        <w:rPr>
          <w:color w:val="000000" w:themeColor="text1"/>
        </w:rPr>
        <w:t>t/a（</w:t>
      </w:r>
      <w:r>
        <w:rPr>
          <w:rFonts w:hint="eastAsia"/>
          <w:color w:val="000000" w:themeColor="text1"/>
        </w:rPr>
        <w:t>5.54</w:t>
      </w:r>
      <w:r>
        <w:rPr>
          <w:color w:val="000000" w:themeColor="text1"/>
        </w:rPr>
        <w:t>kg/h）。通过采取喷雾洒水等抑尘措施后，充分抑尘后粉尘排放量计算参数取0.</w:t>
      </w:r>
      <w:r>
        <w:rPr>
          <w:rFonts w:hint="eastAsia"/>
          <w:color w:val="000000" w:themeColor="text1"/>
        </w:rPr>
        <w:t>1</w:t>
      </w:r>
      <w:r>
        <w:rPr>
          <w:color w:val="000000" w:themeColor="text1"/>
        </w:rPr>
        <w:t>4kg/h•台，则铲装作业粉尘排放量</w:t>
      </w:r>
      <w:r>
        <w:rPr>
          <w:rFonts w:hint="eastAsia"/>
          <w:color w:val="000000" w:themeColor="text1"/>
        </w:rPr>
        <w:t>0.255</w:t>
      </w:r>
      <w:r>
        <w:rPr>
          <w:color w:val="000000" w:themeColor="text1"/>
        </w:rPr>
        <w:t>t/a（0.</w:t>
      </w:r>
      <w:r>
        <w:rPr>
          <w:rFonts w:hint="eastAsia"/>
          <w:color w:val="000000" w:themeColor="text1"/>
        </w:rPr>
        <w:t>28</w:t>
      </w:r>
      <w:r>
        <w:rPr>
          <w:color w:val="000000" w:themeColor="text1"/>
        </w:rPr>
        <w:t>kg/h）。</w:t>
      </w:r>
    </w:p>
    <w:p>
      <w:pPr>
        <w:pStyle w:val="26"/>
        <w:widowControl w:val="0"/>
        <w:kinsoku w:val="0"/>
        <w:overflowPunct w:val="0"/>
        <w:autoSpaceDE w:val="0"/>
        <w:ind w:firstLine="482"/>
        <w:jc w:val="both"/>
        <w:rPr>
          <w:rFonts w:eastAsiaTheme="minorEastAsia"/>
          <w:color w:val="000000" w:themeColor="text1"/>
          <w:lang w:eastAsia="zh-CN"/>
        </w:rPr>
      </w:pPr>
      <w:r>
        <w:rPr>
          <w:rFonts w:hint="eastAsia" w:eastAsiaTheme="minorEastAsia"/>
          <w:b/>
          <w:bCs/>
          <w:color w:val="000000" w:themeColor="text1"/>
          <w:lang w:eastAsia="zh-CN"/>
        </w:rPr>
        <w:t>项目存在的环境问题：</w:t>
      </w:r>
      <w:r>
        <w:rPr>
          <w:rFonts w:hint="eastAsia" w:eastAsiaTheme="minorEastAsia"/>
          <w:color w:val="000000" w:themeColor="text1"/>
          <w:lang w:eastAsia="zh-CN"/>
        </w:rPr>
        <w:t>现场勘查时，产品装载未采取环保设施避免扬尘的产生。</w:t>
      </w:r>
    </w:p>
    <w:p>
      <w:pPr>
        <w:kinsoku w:val="0"/>
        <w:overflowPunct w:val="0"/>
        <w:autoSpaceDE w:val="0"/>
        <w:ind w:firstLine="482"/>
        <w:rPr>
          <w:rFonts w:eastAsiaTheme="minorEastAsia"/>
          <w:b/>
          <w:bCs/>
          <w:color w:val="000000" w:themeColor="text1"/>
        </w:rPr>
      </w:pPr>
      <w:r>
        <w:rPr>
          <w:rFonts w:hint="eastAsia" w:eastAsiaTheme="minorEastAsia"/>
          <w:b/>
          <w:bCs/>
          <w:color w:val="000000" w:themeColor="text1"/>
          <w:szCs w:val="24"/>
        </w:rPr>
        <w:t>整改措施：</w:t>
      </w:r>
      <w:r>
        <w:rPr>
          <w:rFonts w:eastAsiaTheme="minorEastAsia"/>
          <w:color w:val="000000" w:themeColor="text1"/>
          <w:szCs w:val="24"/>
        </w:rPr>
        <w:t>为减少</w:t>
      </w:r>
      <w:r>
        <w:rPr>
          <w:rFonts w:hint="eastAsia" w:eastAsiaTheme="minorEastAsia"/>
          <w:color w:val="000000" w:themeColor="text1"/>
          <w:szCs w:val="24"/>
        </w:rPr>
        <w:t>产品装载</w:t>
      </w:r>
      <w:r>
        <w:rPr>
          <w:rFonts w:eastAsiaTheme="minorEastAsia"/>
          <w:color w:val="000000" w:themeColor="text1"/>
          <w:szCs w:val="24"/>
        </w:rPr>
        <w:t>产生的</w:t>
      </w:r>
      <w:r>
        <w:rPr>
          <w:rFonts w:hint="eastAsia" w:eastAsiaTheme="minorEastAsia"/>
          <w:color w:val="000000" w:themeColor="text1"/>
          <w:szCs w:val="24"/>
        </w:rPr>
        <w:t>扬尘</w:t>
      </w:r>
      <w:r>
        <w:rPr>
          <w:rFonts w:eastAsiaTheme="minorEastAsia"/>
          <w:color w:val="000000" w:themeColor="text1"/>
          <w:szCs w:val="24"/>
        </w:rPr>
        <w:t>，建设单位应</w:t>
      </w:r>
      <w:r>
        <w:rPr>
          <w:rFonts w:hint="eastAsia" w:eastAsiaTheme="minorEastAsia"/>
          <w:color w:val="000000" w:themeColor="text1"/>
          <w:szCs w:val="24"/>
        </w:rPr>
        <w:t>设置一台雾炮机对产品、副产品砂石料装载时进行喷雾降尘，产品采取堆棚的形式，降低扬尘的排放量。</w:t>
      </w:r>
    </w:p>
    <w:p>
      <w:pPr>
        <w:ind w:firstLine="482"/>
        <w:rPr>
          <w:rFonts w:eastAsiaTheme="minorEastAsia"/>
          <w:b/>
          <w:bCs/>
          <w:color w:val="000000" w:themeColor="text1"/>
        </w:rPr>
      </w:pPr>
      <w:r>
        <w:rPr>
          <w:rFonts w:hint="eastAsia" w:ascii="宋体" w:hAnsi="宋体" w:cs="宋体"/>
          <w:b/>
          <w:bCs/>
          <w:color w:val="000000" w:themeColor="text1"/>
        </w:rPr>
        <w:t>⑧</w:t>
      </w:r>
      <w:r>
        <w:rPr>
          <w:rFonts w:hint="eastAsia" w:eastAsiaTheme="minorEastAsia"/>
          <w:b/>
          <w:bCs/>
          <w:color w:val="000000" w:themeColor="text1"/>
        </w:rPr>
        <w:t>未收集的无组织粉尘</w:t>
      </w:r>
    </w:p>
    <w:p>
      <w:pPr>
        <w:ind w:firstLine="480"/>
        <w:rPr>
          <w:rFonts w:eastAsiaTheme="minorEastAsia"/>
          <w:color w:val="000000" w:themeColor="text1"/>
        </w:rPr>
      </w:pPr>
      <w:r>
        <w:rPr>
          <w:rFonts w:hint="eastAsia" w:eastAsiaTheme="minorEastAsia"/>
          <w:color w:val="000000" w:themeColor="text1"/>
        </w:rPr>
        <w:t>破碎、筛分、制砂工段对粉尘用集气罩收集，收集效率为95%，还有5%以无组织的形式进行排放，有组织粉尘产生量为237.855t/a，未收集的粉尘量为11.89t/a，排放速率为1.65kg/h。</w:t>
      </w:r>
    </w:p>
    <w:p>
      <w:pPr>
        <w:ind w:firstLine="482"/>
        <w:rPr>
          <w:rFonts w:eastAsiaTheme="minorEastAsia"/>
          <w:b/>
          <w:bCs/>
          <w:color w:val="000000" w:themeColor="text1"/>
        </w:rPr>
      </w:pPr>
      <w:r>
        <w:rPr>
          <w:rFonts w:eastAsiaTheme="minorEastAsia"/>
          <w:b/>
          <w:bCs/>
          <w:color w:val="000000" w:themeColor="text1"/>
        </w:rPr>
        <w:t>（2）污染物</w:t>
      </w:r>
      <w:r>
        <w:rPr>
          <w:rFonts w:hint="eastAsia" w:eastAsiaTheme="minorEastAsia"/>
          <w:b/>
          <w:bCs/>
          <w:color w:val="000000" w:themeColor="text1"/>
        </w:rPr>
        <w:t>达</w:t>
      </w:r>
      <w:r>
        <w:rPr>
          <w:rFonts w:eastAsiaTheme="minorEastAsia"/>
          <w:b/>
          <w:bCs/>
          <w:color w:val="000000" w:themeColor="text1"/>
        </w:rPr>
        <w:t>标排放</w:t>
      </w:r>
    </w:p>
    <w:p>
      <w:pPr>
        <w:ind w:firstLine="480"/>
        <w:rPr>
          <w:rFonts w:eastAsiaTheme="minorEastAsia"/>
          <w:color w:val="000000" w:themeColor="text1"/>
        </w:rPr>
      </w:pPr>
      <w:r>
        <w:rPr>
          <w:rFonts w:hint="eastAsia" w:eastAsiaTheme="minorEastAsia"/>
          <w:color w:val="000000" w:themeColor="text1"/>
        </w:rPr>
        <w:t>2台鄂式破碎机</w:t>
      </w:r>
      <w:r>
        <w:rPr>
          <w:rFonts w:eastAsiaTheme="minorEastAsia"/>
          <w:color w:val="000000" w:themeColor="text1"/>
        </w:rPr>
        <w:t>和2台圆锥破碎机共用1套布袋除尘器和1根15m排气筒（</w:t>
      </w:r>
      <w:r>
        <w:rPr>
          <w:rFonts w:hint="eastAsia" w:eastAsiaTheme="minorEastAsia"/>
          <w:color w:val="000000" w:themeColor="text1"/>
        </w:rPr>
        <w:t>DA001</w:t>
      </w:r>
      <w:r>
        <w:rPr>
          <w:rFonts w:eastAsiaTheme="minorEastAsia"/>
          <w:color w:val="000000" w:themeColor="text1"/>
        </w:rPr>
        <w:t>），</w:t>
      </w:r>
      <w:r>
        <w:rPr>
          <w:rFonts w:hint="eastAsia" w:eastAsiaTheme="minorEastAsia"/>
          <w:color w:val="000000" w:themeColor="text1"/>
        </w:rPr>
        <w:t>DA001</w:t>
      </w:r>
      <w:r>
        <w:rPr>
          <w:rFonts w:eastAsiaTheme="minorEastAsia"/>
          <w:color w:val="000000" w:themeColor="text1"/>
        </w:rPr>
        <w:t>的产生量为</w:t>
      </w:r>
      <w:r>
        <w:rPr>
          <w:rFonts w:hint="eastAsia" w:eastAsiaTheme="minorEastAsia"/>
          <w:color w:val="000000" w:themeColor="text1"/>
        </w:rPr>
        <w:t>157.5</w:t>
      </w:r>
      <w:r>
        <w:rPr>
          <w:rFonts w:eastAsiaTheme="minorEastAsia"/>
          <w:color w:val="000000" w:themeColor="text1"/>
        </w:rPr>
        <w:t>t/a，排放量为</w:t>
      </w:r>
      <w:r>
        <w:rPr>
          <w:rFonts w:hint="eastAsia" w:eastAsiaTheme="minorEastAsia"/>
          <w:color w:val="000000" w:themeColor="text1"/>
        </w:rPr>
        <w:t>0.299</w:t>
      </w:r>
      <w:r>
        <w:rPr>
          <w:rFonts w:eastAsiaTheme="minorEastAsia"/>
          <w:color w:val="000000" w:themeColor="text1"/>
        </w:rPr>
        <w:t>t/a（0.</w:t>
      </w:r>
      <w:r>
        <w:rPr>
          <w:rFonts w:hint="eastAsia" w:eastAsiaTheme="minorEastAsia"/>
          <w:color w:val="000000" w:themeColor="text1"/>
        </w:rPr>
        <w:t>042</w:t>
      </w:r>
      <w:r>
        <w:rPr>
          <w:rFonts w:eastAsiaTheme="minorEastAsia"/>
          <w:color w:val="000000" w:themeColor="text1"/>
        </w:rPr>
        <w:t>kg/h），废气量为</w:t>
      </w:r>
      <w:r>
        <w:rPr>
          <w:rFonts w:hint="eastAsia" w:eastAsiaTheme="minorEastAsia"/>
          <w:color w:val="000000" w:themeColor="text1"/>
        </w:rPr>
        <w:t>200</w:t>
      </w:r>
      <w:r>
        <w:rPr>
          <w:rFonts w:eastAsiaTheme="minorEastAsia"/>
          <w:color w:val="000000" w:themeColor="text1"/>
        </w:rPr>
        <w:t>00Nm</w:t>
      </w:r>
      <w:r>
        <w:rPr>
          <w:rFonts w:eastAsiaTheme="minorEastAsia"/>
          <w:color w:val="000000" w:themeColor="text1"/>
          <w:vertAlign w:val="superscript"/>
        </w:rPr>
        <w:t>3</w:t>
      </w:r>
      <w:r>
        <w:rPr>
          <w:rFonts w:eastAsiaTheme="minorEastAsia"/>
          <w:color w:val="000000" w:themeColor="text1"/>
        </w:rPr>
        <w:t>/h，排气筒内径为0.</w:t>
      </w:r>
      <w:r>
        <w:rPr>
          <w:rFonts w:hint="eastAsia" w:eastAsiaTheme="minorEastAsia"/>
          <w:color w:val="000000" w:themeColor="text1"/>
        </w:rPr>
        <w:t>5</w:t>
      </w:r>
      <w:r>
        <w:rPr>
          <w:rFonts w:eastAsiaTheme="minorEastAsia"/>
          <w:color w:val="000000" w:themeColor="text1"/>
        </w:rPr>
        <w:t>m，高度为15m，排放浓度为</w:t>
      </w:r>
      <w:r>
        <w:rPr>
          <w:rFonts w:hint="eastAsia" w:eastAsiaTheme="minorEastAsia"/>
          <w:color w:val="000000" w:themeColor="text1"/>
        </w:rPr>
        <w:t>2.1</w:t>
      </w:r>
      <w:r>
        <w:rPr>
          <w:rFonts w:eastAsiaTheme="minorEastAsia"/>
          <w:color w:val="000000" w:themeColor="text1"/>
        </w:rPr>
        <w:t>mg/m</w:t>
      </w:r>
      <w:r>
        <w:rPr>
          <w:rFonts w:eastAsiaTheme="minorEastAsia"/>
          <w:color w:val="000000" w:themeColor="text1"/>
          <w:vertAlign w:val="superscript"/>
        </w:rPr>
        <w:t>3</w:t>
      </w:r>
      <w:r>
        <w:rPr>
          <w:rFonts w:eastAsiaTheme="minorEastAsia"/>
          <w:color w:val="000000" w:themeColor="text1"/>
        </w:rPr>
        <w:t>，排放标准为20mg/m</w:t>
      </w:r>
      <w:r>
        <w:rPr>
          <w:rFonts w:eastAsiaTheme="minorEastAsia"/>
          <w:color w:val="000000" w:themeColor="text1"/>
          <w:vertAlign w:val="superscript"/>
        </w:rPr>
        <w:t>3</w:t>
      </w:r>
      <w:r>
        <w:rPr>
          <w:rFonts w:eastAsiaTheme="minorEastAsia"/>
          <w:color w:val="000000" w:themeColor="text1"/>
        </w:rPr>
        <w:t>，项目有组织能够达标排放。</w:t>
      </w:r>
    </w:p>
    <w:p>
      <w:pPr>
        <w:ind w:firstLine="480"/>
        <w:rPr>
          <w:color w:val="000000" w:themeColor="text1"/>
        </w:rPr>
      </w:pPr>
      <w:r>
        <w:rPr>
          <w:rFonts w:hint="eastAsia" w:eastAsiaTheme="minorEastAsia"/>
          <w:color w:val="000000" w:themeColor="text1"/>
        </w:rPr>
        <w:t>3台振动筛、1台水平筛、1台</w:t>
      </w:r>
      <w:r>
        <w:rPr>
          <w:rFonts w:eastAsiaTheme="minorEastAsia"/>
          <w:color w:val="000000" w:themeColor="text1"/>
        </w:rPr>
        <w:t>制砂机</w:t>
      </w:r>
      <w:r>
        <w:rPr>
          <w:rFonts w:hint="eastAsia" w:eastAsiaTheme="minorEastAsia"/>
          <w:color w:val="000000" w:themeColor="text1"/>
        </w:rPr>
        <w:t>、1台辊压机</w:t>
      </w:r>
      <w:r>
        <w:rPr>
          <w:rFonts w:eastAsiaTheme="minorEastAsia"/>
          <w:color w:val="000000" w:themeColor="text1"/>
        </w:rPr>
        <w:t>共用1套布袋除尘器和1根15m排气筒（</w:t>
      </w:r>
      <w:r>
        <w:rPr>
          <w:rFonts w:hint="eastAsia" w:eastAsiaTheme="minorEastAsia"/>
          <w:color w:val="000000" w:themeColor="text1"/>
        </w:rPr>
        <w:t>DA002</w:t>
      </w:r>
      <w:r>
        <w:rPr>
          <w:rFonts w:eastAsiaTheme="minorEastAsia"/>
          <w:color w:val="000000" w:themeColor="text1"/>
        </w:rPr>
        <w:t>），</w:t>
      </w:r>
      <w:r>
        <w:rPr>
          <w:rFonts w:hint="eastAsia" w:eastAsiaTheme="minorEastAsia"/>
          <w:color w:val="000000" w:themeColor="text1"/>
        </w:rPr>
        <w:t>DA002</w:t>
      </w:r>
      <w:r>
        <w:rPr>
          <w:rFonts w:eastAsiaTheme="minorEastAsia"/>
          <w:color w:val="000000" w:themeColor="text1"/>
        </w:rPr>
        <w:t>的产生量为</w:t>
      </w:r>
      <w:r>
        <w:rPr>
          <w:rFonts w:hint="eastAsia" w:eastAsiaTheme="minorEastAsia"/>
          <w:color w:val="000000" w:themeColor="text1"/>
        </w:rPr>
        <w:t>80.355</w:t>
      </w:r>
      <w:r>
        <w:rPr>
          <w:rFonts w:eastAsiaTheme="minorEastAsia"/>
          <w:color w:val="000000" w:themeColor="text1"/>
        </w:rPr>
        <w:t>t/a，排放量为</w:t>
      </w:r>
      <w:r>
        <w:rPr>
          <w:rFonts w:hint="eastAsia" w:eastAsiaTheme="minorEastAsia"/>
          <w:color w:val="000000" w:themeColor="text1"/>
        </w:rPr>
        <w:t>0.152</w:t>
      </w:r>
      <w:r>
        <w:rPr>
          <w:rFonts w:eastAsiaTheme="minorEastAsia"/>
          <w:color w:val="000000" w:themeColor="text1"/>
        </w:rPr>
        <w:t>t/a（</w:t>
      </w:r>
      <w:r>
        <w:rPr>
          <w:rFonts w:hint="eastAsia" w:eastAsiaTheme="minorEastAsia"/>
          <w:color w:val="000000" w:themeColor="text1"/>
        </w:rPr>
        <w:t>0.021</w:t>
      </w:r>
      <w:r>
        <w:rPr>
          <w:rFonts w:eastAsiaTheme="minorEastAsia"/>
          <w:color w:val="000000" w:themeColor="text1"/>
        </w:rPr>
        <w:t>kg/h），废气量为</w:t>
      </w:r>
      <w:r>
        <w:rPr>
          <w:rFonts w:hint="eastAsia" w:eastAsiaTheme="minorEastAsia"/>
          <w:color w:val="000000" w:themeColor="text1"/>
        </w:rPr>
        <w:t>150</w:t>
      </w:r>
      <w:r>
        <w:rPr>
          <w:rFonts w:eastAsiaTheme="minorEastAsia"/>
          <w:color w:val="000000" w:themeColor="text1"/>
        </w:rPr>
        <w:t>00Nm</w:t>
      </w:r>
      <w:r>
        <w:rPr>
          <w:rFonts w:eastAsiaTheme="minorEastAsia"/>
          <w:color w:val="000000" w:themeColor="text1"/>
          <w:vertAlign w:val="superscript"/>
        </w:rPr>
        <w:t>3</w:t>
      </w:r>
      <w:r>
        <w:rPr>
          <w:rFonts w:eastAsiaTheme="minorEastAsia"/>
          <w:color w:val="000000" w:themeColor="text1"/>
        </w:rPr>
        <w:t>/h，排气筒内径为0.</w:t>
      </w:r>
      <w:r>
        <w:rPr>
          <w:rFonts w:hint="eastAsia" w:eastAsiaTheme="minorEastAsia"/>
          <w:color w:val="000000" w:themeColor="text1"/>
        </w:rPr>
        <w:t>3</w:t>
      </w:r>
      <w:r>
        <w:rPr>
          <w:rFonts w:eastAsiaTheme="minorEastAsia"/>
          <w:color w:val="000000" w:themeColor="text1"/>
        </w:rPr>
        <w:t>m，高度为15m，排放浓度为</w:t>
      </w:r>
      <w:r>
        <w:rPr>
          <w:rFonts w:hint="eastAsia" w:eastAsiaTheme="minorEastAsia"/>
          <w:color w:val="000000" w:themeColor="text1"/>
        </w:rPr>
        <w:t>1.4</w:t>
      </w:r>
      <w:r>
        <w:rPr>
          <w:rFonts w:eastAsiaTheme="minorEastAsia"/>
          <w:color w:val="000000" w:themeColor="text1"/>
        </w:rPr>
        <w:t>mg/m</w:t>
      </w:r>
      <w:r>
        <w:rPr>
          <w:rFonts w:eastAsiaTheme="minorEastAsia"/>
          <w:color w:val="000000" w:themeColor="text1"/>
          <w:vertAlign w:val="superscript"/>
        </w:rPr>
        <w:t>3</w:t>
      </w:r>
      <w:r>
        <w:rPr>
          <w:rFonts w:eastAsiaTheme="minorEastAsia"/>
          <w:color w:val="000000" w:themeColor="text1"/>
        </w:rPr>
        <w:t>，排放标准为20mg/m</w:t>
      </w:r>
      <w:r>
        <w:rPr>
          <w:rFonts w:eastAsiaTheme="minorEastAsia"/>
          <w:color w:val="000000" w:themeColor="text1"/>
          <w:vertAlign w:val="superscript"/>
        </w:rPr>
        <w:t>3</w:t>
      </w:r>
      <w:r>
        <w:rPr>
          <w:rFonts w:eastAsiaTheme="minorEastAsia"/>
          <w:color w:val="000000" w:themeColor="text1"/>
        </w:rPr>
        <w:t>，项目有组织能够达标排放。</w:t>
      </w:r>
    </w:p>
    <w:p>
      <w:pPr>
        <w:ind w:firstLine="480"/>
        <w:rPr>
          <w:b/>
          <w:bCs/>
          <w:color w:val="000000" w:themeColor="text1"/>
          <w:kern w:val="0"/>
          <w:sz w:val="21"/>
          <w:szCs w:val="21"/>
        </w:rPr>
      </w:pPr>
      <w:r>
        <w:rPr>
          <w:rFonts w:hint="eastAsia"/>
          <w:color w:val="000000" w:themeColor="text1"/>
        </w:rPr>
        <w:t>项目共设置2个有组织废气排放口，排放口参数情况见下表所示：</w:t>
      </w:r>
    </w:p>
    <w:p>
      <w:pPr>
        <w:pStyle w:val="75"/>
        <w:ind w:firstLine="413"/>
        <w:rPr>
          <w:b/>
          <w:bCs/>
          <w:color w:val="000000" w:themeColor="text1"/>
          <w:sz w:val="21"/>
          <w:szCs w:val="21"/>
        </w:rPr>
      </w:pPr>
      <w:r>
        <w:rPr>
          <w:rFonts w:eastAsia="宋体"/>
          <w:b/>
          <w:bCs/>
          <w:color w:val="000000" w:themeColor="text1"/>
          <w:kern w:val="0"/>
          <w:sz w:val="21"/>
          <w:szCs w:val="21"/>
        </w:rPr>
        <w:t>表4</w:t>
      </w:r>
      <w:r>
        <w:rPr>
          <w:rFonts w:hint="eastAsia" w:eastAsia="宋体"/>
          <w:b/>
          <w:bCs/>
          <w:color w:val="000000" w:themeColor="text1"/>
          <w:kern w:val="0"/>
          <w:sz w:val="21"/>
          <w:szCs w:val="21"/>
        </w:rPr>
        <w:t>.4</w:t>
      </w:r>
      <w:r>
        <w:rPr>
          <w:rFonts w:eastAsia="宋体"/>
          <w:b/>
          <w:bCs/>
          <w:color w:val="000000" w:themeColor="text1"/>
          <w:kern w:val="0"/>
          <w:sz w:val="21"/>
          <w:szCs w:val="21"/>
        </w:rPr>
        <w:t>-</w:t>
      </w:r>
      <w:r>
        <w:rPr>
          <w:rFonts w:hint="eastAsia" w:eastAsia="宋体"/>
          <w:b/>
          <w:bCs/>
          <w:color w:val="000000" w:themeColor="text1"/>
          <w:kern w:val="0"/>
          <w:sz w:val="21"/>
          <w:szCs w:val="21"/>
        </w:rPr>
        <w:t>3</w:t>
      </w:r>
      <w:r>
        <w:rPr>
          <w:rFonts w:eastAsia="宋体"/>
          <w:b/>
          <w:bCs/>
          <w:color w:val="000000" w:themeColor="text1"/>
          <w:kern w:val="0"/>
          <w:sz w:val="21"/>
          <w:szCs w:val="21"/>
        </w:rPr>
        <w:t>废气污染物有组织排放口情况一览表</w:t>
      </w:r>
    </w:p>
    <w:tbl>
      <w:tblPr>
        <w:tblStyle w:val="61"/>
        <w:tblW w:w="85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255"/>
        <w:gridCol w:w="800"/>
        <w:gridCol w:w="800"/>
        <w:gridCol w:w="846"/>
        <w:gridCol w:w="583"/>
        <w:gridCol w:w="1864"/>
        <w:gridCol w:w="1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30" w:type="dxa"/>
            <w:vAlign w:val="center"/>
          </w:tcPr>
          <w:p>
            <w:pPr>
              <w:pStyle w:val="75"/>
              <w:adjustRightInd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序号</w:t>
            </w:r>
          </w:p>
        </w:tc>
        <w:tc>
          <w:tcPr>
            <w:tcW w:w="1255" w:type="dxa"/>
            <w:vAlign w:val="center"/>
          </w:tcPr>
          <w:p>
            <w:pPr>
              <w:pStyle w:val="75"/>
              <w:adjustRightInd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编号及名称</w:t>
            </w:r>
          </w:p>
        </w:tc>
        <w:tc>
          <w:tcPr>
            <w:tcW w:w="800" w:type="dxa"/>
            <w:vAlign w:val="center"/>
          </w:tcPr>
          <w:p>
            <w:pPr>
              <w:pStyle w:val="75"/>
              <w:adjustRightInd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高度（</w:t>
            </w:r>
            <w:r>
              <w:rPr>
                <w:rFonts w:eastAsia="宋体"/>
                <w:bCs/>
                <w:color w:val="000000" w:themeColor="text1"/>
                <w:sz w:val="21"/>
                <w:szCs w:val="21"/>
              </w:rPr>
              <w:t>m</w:t>
            </w:r>
            <w:r>
              <w:rPr>
                <w:rFonts w:eastAsia="宋体"/>
                <w:color w:val="000000" w:themeColor="text1"/>
                <w:sz w:val="21"/>
                <w:szCs w:val="21"/>
              </w:rPr>
              <w:t>）</w:t>
            </w:r>
          </w:p>
        </w:tc>
        <w:tc>
          <w:tcPr>
            <w:tcW w:w="800" w:type="dxa"/>
            <w:vAlign w:val="center"/>
          </w:tcPr>
          <w:p>
            <w:pPr>
              <w:pStyle w:val="75"/>
              <w:adjustRightInd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内径（</w:t>
            </w:r>
            <w:r>
              <w:rPr>
                <w:rFonts w:eastAsia="宋体"/>
                <w:bCs/>
                <w:color w:val="000000" w:themeColor="text1"/>
                <w:sz w:val="21"/>
                <w:szCs w:val="21"/>
              </w:rPr>
              <w:t>m</w:t>
            </w:r>
            <w:r>
              <w:rPr>
                <w:rFonts w:eastAsia="宋体"/>
                <w:color w:val="000000" w:themeColor="text1"/>
                <w:sz w:val="21"/>
                <w:szCs w:val="21"/>
              </w:rPr>
              <w:t>）</w:t>
            </w:r>
          </w:p>
        </w:tc>
        <w:tc>
          <w:tcPr>
            <w:tcW w:w="846" w:type="dxa"/>
            <w:vAlign w:val="center"/>
          </w:tcPr>
          <w:p>
            <w:pPr>
              <w:pStyle w:val="75"/>
              <w:adjustRightInd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温度（℃）</w:t>
            </w:r>
          </w:p>
        </w:tc>
        <w:tc>
          <w:tcPr>
            <w:tcW w:w="583" w:type="dxa"/>
            <w:vAlign w:val="center"/>
          </w:tcPr>
          <w:p>
            <w:pPr>
              <w:pStyle w:val="75"/>
              <w:adjustRightInd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类型</w:t>
            </w:r>
          </w:p>
        </w:tc>
        <w:tc>
          <w:tcPr>
            <w:tcW w:w="1864" w:type="dxa"/>
            <w:vAlign w:val="center"/>
          </w:tcPr>
          <w:p>
            <w:pPr>
              <w:widowControl/>
              <w:ind w:firstLine="420"/>
              <w:jc w:val="both"/>
              <w:rPr>
                <w:color w:val="000000" w:themeColor="text1"/>
                <w:sz w:val="21"/>
                <w:szCs w:val="21"/>
              </w:rPr>
            </w:pPr>
            <w:r>
              <w:rPr>
                <w:bCs/>
                <w:color w:val="000000" w:themeColor="text1"/>
                <w:kern w:val="0"/>
                <w:sz w:val="21"/>
                <w:szCs w:val="21"/>
              </w:rPr>
              <w:t>地理坐标</w:t>
            </w:r>
          </w:p>
        </w:tc>
        <w:tc>
          <w:tcPr>
            <w:tcW w:w="1945" w:type="dxa"/>
            <w:vAlign w:val="center"/>
          </w:tcPr>
          <w:p>
            <w:pPr>
              <w:pStyle w:val="75"/>
              <w:adjustRightInd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07" w:hRule="exact"/>
        </w:trPr>
        <w:tc>
          <w:tcPr>
            <w:tcW w:w="430" w:type="dxa"/>
            <w:vAlign w:val="center"/>
          </w:tcPr>
          <w:p>
            <w:pPr>
              <w:pStyle w:val="75"/>
              <w:adjustRightInd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1</w:t>
            </w:r>
          </w:p>
        </w:tc>
        <w:tc>
          <w:tcPr>
            <w:tcW w:w="1255"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color w:val="000000" w:themeColor="text1"/>
                <w:sz w:val="21"/>
                <w:szCs w:val="21"/>
              </w:rPr>
              <w:t>DA001</w:t>
            </w:r>
            <w:r>
              <w:rPr>
                <w:rFonts w:eastAsia="宋体"/>
                <w:color w:val="000000" w:themeColor="text1"/>
                <w:sz w:val="21"/>
                <w:szCs w:val="21"/>
              </w:rPr>
              <w:t>(</w:t>
            </w:r>
            <w:r>
              <w:rPr>
                <w:rFonts w:hint="eastAsia" w:eastAsia="宋体"/>
                <w:color w:val="000000" w:themeColor="text1"/>
                <w:sz w:val="21"/>
                <w:szCs w:val="21"/>
              </w:rPr>
              <w:t>2台鄂式破碎机</w:t>
            </w:r>
            <w:r>
              <w:rPr>
                <w:rFonts w:eastAsia="宋体"/>
                <w:color w:val="000000" w:themeColor="text1"/>
                <w:sz w:val="21"/>
                <w:szCs w:val="21"/>
              </w:rPr>
              <w:t>和2台圆锥破碎机)</w:t>
            </w:r>
          </w:p>
        </w:tc>
        <w:tc>
          <w:tcPr>
            <w:tcW w:w="800" w:type="dxa"/>
            <w:vAlign w:val="center"/>
          </w:tcPr>
          <w:p>
            <w:pPr>
              <w:pStyle w:val="75"/>
              <w:adjustRightInd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15</w:t>
            </w:r>
          </w:p>
        </w:tc>
        <w:tc>
          <w:tcPr>
            <w:tcW w:w="800" w:type="dxa"/>
            <w:vAlign w:val="center"/>
          </w:tcPr>
          <w:p>
            <w:pPr>
              <w:pStyle w:val="75"/>
              <w:adjustRightInd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0.5</w:t>
            </w:r>
          </w:p>
        </w:tc>
        <w:tc>
          <w:tcPr>
            <w:tcW w:w="846" w:type="dxa"/>
            <w:vAlign w:val="center"/>
          </w:tcPr>
          <w:p>
            <w:pPr>
              <w:pStyle w:val="75"/>
              <w:adjustRightInd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常温</w:t>
            </w:r>
          </w:p>
        </w:tc>
        <w:tc>
          <w:tcPr>
            <w:tcW w:w="583" w:type="dxa"/>
            <w:vAlign w:val="center"/>
          </w:tcPr>
          <w:p>
            <w:pPr>
              <w:pStyle w:val="75"/>
              <w:adjustRightInd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一般排放口</w:t>
            </w:r>
          </w:p>
        </w:tc>
        <w:tc>
          <w:tcPr>
            <w:tcW w:w="1864" w:type="dxa"/>
            <w:vAlign w:val="center"/>
          </w:tcPr>
          <w:p>
            <w:pPr>
              <w:pStyle w:val="75"/>
              <w:adjustRightInd w:val="0"/>
              <w:snapToGrid w:val="0"/>
              <w:spacing w:line="240" w:lineRule="auto"/>
              <w:ind w:firstLine="0" w:firstLineChars="0"/>
              <w:rPr>
                <w:color w:val="000000" w:themeColor="text1"/>
                <w:sz w:val="21"/>
                <w:szCs w:val="21"/>
              </w:rPr>
            </w:pPr>
            <w:r>
              <w:rPr>
                <w:rFonts w:hint="eastAsia"/>
                <w:color w:val="000000" w:themeColor="text1"/>
                <w:sz w:val="21"/>
                <w:szCs w:val="21"/>
              </w:rPr>
              <w:t>E101</w:t>
            </w:r>
            <w:r>
              <w:rPr>
                <w:color w:val="000000" w:themeColor="text1"/>
                <w:sz w:val="21"/>
                <w:szCs w:val="21"/>
              </w:rPr>
              <w:t>°</w:t>
            </w:r>
            <w:r>
              <w:rPr>
                <w:rFonts w:hint="eastAsia"/>
                <w:color w:val="000000" w:themeColor="text1"/>
                <w:sz w:val="21"/>
                <w:szCs w:val="21"/>
              </w:rPr>
              <w:t>60</w:t>
            </w:r>
            <w:r>
              <w:rPr>
                <w:color w:val="000000" w:themeColor="text1"/>
                <w:sz w:val="21"/>
                <w:szCs w:val="21"/>
              </w:rPr>
              <w:t>ʹ</w:t>
            </w:r>
            <w:r>
              <w:rPr>
                <w:rFonts w:hint="eastAsia"/>
                <w:color w:val="000000" w:themeColor="text1"/>
                <w:sz w:val="21"/>
                <w:szCs w:val="21"/>
              </w:rPr>
              <w:t>09.802</w:t>
            </w:r>
            <w:r>
              <w:rPr>
                <w:color w:val="000000" w:themeColor="text1"/>
                <w:sz w:val="21"/>
                <w:szCs w:val="21"/>
              </w:rPr>
              <w:t>ʺ</w:t>
            </w:r>
            <w:r>
              <w:rPr>
                <w:rFonts w:hint="eastAsia"/>
                <w:color w:val="000000" w:themeColor="text1"/>
                <w:sz w:val="21"/>
                <w:szCs w:val="21"/>
              </w:rPr>
              <w:t>；N24</w:t>
            </w:r>
            <w:r>
              <w:rPr>
                <w:color w:val="000000" w:themeColor="text1"/>
                <w:sz w:val="21"/>
                <w:szCs w:val="21"/>
              </w:rPr>
              <w:t>°</w:t>
            </w:r>
            <w:r>
              <w:rPr>
                <w:rFonts w:hint="eastAsia"/>
                <w:color w:val="000000" w:themeColor="text1"/>
                <w:sz w:val="21"/>
                <w:szCs w:val="21"/>
              </w:rPr>
              <w:t>07</w:t>
            </w:r>
            <w:r>
              <w:rPr>
                <w:color w:val="000000" w:themeColor="text1"/>
                <w:sz w:val="21"/>
                <w:szCs w:val="21"/>
              </w:rPr>
              <w:t>ʹ</w:t>
            </w:r>
            <w:r>
              <w:rPr>
                <w:rFonts w:hint="eastAsia"/>
                <w:color w:val="000000" w:themeColor="text1"/>
                <w:sz w:val="21"/>
                <w:szCs w:val="21"/>
              </w:rPr>
              <w:t>32.391</w:t>
            </w:r>
            <w:r>
              <w:rPr>
                <w:color w:val="000000" w:themeColor="text1"/>
                <w:sz w:val="21"/>
                <w:szCs w:val="21"/>
              </w:rPr>
              <w:t>ʺ</w:t>
            </w:r>
          </w:p>
        </w:tc>
        <w:tc>
          <w:tcPr>
            <w:tcW w:w="1945" w:type="dxa"/>
            <w:vAlign w:val="center"/>
          </w:tcPr>
          <w:p>
            <w:pPr>
              <w:pStyle w:val="75"/>
              <w:adjustRightInd w:val="0"/>
              <w:snapToGrid w:val="0"/>
              <w:spacing w:line="240" w:lineRule="auto"/>
              <w:ind w:firstLine="0" w:firstLineChars="0"/>
              <w:rPr>
                <w:rFonts w:eastAsia="宋体"/>
                <w:color w:val="000000" w:themeColor="text1"/>
                <w:sz w:val="21"/>
                <w:szCs w:val="21"/>
              </w:rPr>
            </w:pPr>
            <w:r>
              <w:rPr>
                <w:rFonts w:eastAsiaTheme="minorEastAsia"/>
                <w:color w:val="000000" w:themeColor="text1"/>
                <w:sz w:val="21"/>
                <w:szCs w:val="21"/>
              </w:rPr>
              <w:t>《铁矿采选工业污染物排放标准》（GB28661-2012）表5标准限值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47" w:hRule="exact"/>
        </w:trPr>
        <w:tc>
          <w:tcPr>
            <w:tcW w:w="430" w:type="dxa"/>
            <w:vAlign w:val="center"/>
          </w:tcPr>
          <w:p>
            <w:pPr>
              <w:pStyle w:val="75"/>
              <w:adjustRightInd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2</w:t>
            </w:r>
          </w:p>
        </w:tc>
        <w:tc>
          <w:tcPr>
            <w:tcW w:w="1255"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color w:val="000000" w:themeColor="text1"/>
                <w:sz w:val="21"/>
                <w:szCs w:val="21"/>
              </w:rPr>
              <w:t>DA002</w:t>
            </w:r>
            <w:r>
              <w:rPr>
                <w:rFonts w:eastAsia="宋体"/>
                <w:color w:val="000000" w:themeColor="text1"/>
                <w:sz w:val="21"/>
                <w:szCs w:val="21"/>
              </w:rPr>
              <w:t>(筛分机</w:t>
            </w:r>
            <w:r>
              <w:rPr>
                <w:rFonts w:hint="eastAsia" w:eastAsia="宋体"/>
                <w:color w:val="000000" w:themeColor="text1"/>
                <w:sz w:val="21"/>
                <w:szCs w:val="21"/>
              </w:rPr>
              <w:t>、</w:t>
            </w:r>
            <w:r>
              <w:rPr>
                <w:rFonts w:eastAsia="宋体"/>
                <w:color w:val="000000" w:themeColor="text1"/>
                <w:sz w:val="21"/>
                <w:szCs w:val="21"/>
              </w:rPr>
              <w:t>制砂机</w:t>
            </w:r>
            <w:r>
              <w:rPr>
                <w:rFonts w:hint="eastAsia" w:eastAsia="宋体"/>
                <w:color w:val="000000" w:themeColor="text1"/>
                <w:sz w:val="21"/>
                <w:szCs w:val="21"/>
              </w:rPr>
              <w:t>、辊压机</w:t>
            </w:r>
            <w:r>
              <w:rPr>
                <w:rFonts w:eastAsia="宋体"/>
                <w:color w:val="000000" w:themeColor="text1"/>
                <w:sz w:val="21"/>
                <w:szCs w:val="21"/>
              </w:rPr>
              <w:t>)</w:t>
            </w:r>
          </w:p>
        </w:tc>
        <w:tc>
          <w:tcPr>
            <w:tcW w:w="800" w:type="dxa"/>
            <w:vAlign w:val="center"/>
          </w:tcPr>
          <w:p>
            <w:pPr>
              <w:pStyle w:val="75"/>
              <w:adjustRightInd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15</w:t>
            </w:r>
          </w:p>
        </w:tc>
        <w:tc>
          <w:tcPr>
            <w:tcW w:w="800" w:type="dxa"/>
            <w:vAlign w:val="center"/>
          </w:tcPr>
          <w:p>
            <w:pPr>
              <w:pStyle w:val="75"/>
              <w:adjustRightInd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0.3</w:t>
            </w:r>
          </w:p>
        </w:tc>
        <w:tc>
          <w:tcPr>
            <w:tcW w:w="846" w:type="dxa"/>
            <w:vAlign w:val="center"/>
          </w:tcPr>
          <w:p>
            <w:pPr>
              <w:pStyle w:val="75"/>
              <w:adjustRightInd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常温</w:t>
            </w:r>
          </w:p>
        </w:tc>
        <w:tc>
          <w:tcPr>
            <w:tcW w:w="583" w:type="dxa"/>
            <w:vAlign w:val="center"/>
          </w:tcPr>
          <w:p>
            <w:pPr>
              <w:pStyle w:val="75"/>
              <w:adjustRightInd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一般排放口</w:t>
            </w:r>
          </w:p>
        </w:tc>
        <w:tc>
          <w:tcPr>
            <w:tcW w:w="1864" w:type="dxa"/>
            <w:vAlign w:val="center"/>
          </w:tcPr>
          <w:p>
            <w:pPr>
              <w:pStyle w:val="75"/>
              <w:adjustRightInd w:val="0"/>
              <w:snapToGrid w:val="0"/>
              <w:spacing w:line="240" w:lineRule="auto"/>
              <w:ind w:firstLine="0" w:firstLineChars="0"/>
              <w:rPr>
                <w:color w:val="000000" w:themeColor="text1"/>
                <w:sz w:val="21"/>
                <w:szCs w:val="21"/>
              </w:rPr>
            </w:pPr>
            <w:r>
              <w:rPr>
                <w:rFonts w:hint="eastAsia"/>
                <w:color w:val="000000" w:themeColor="text1"/>
                <w:sz w:val="21"/>
                <w:szCs w:val="21"/>
              </w:rPr>
              <w:t>E101</w:t>
            </w:r>
            <w:r>
              <w:rPr>
                <w:color w:val="000000" w:themeColor="text1"/>
                <w:sz w:val="21"/>
                <w:szCs w:val="21"/>
              </w:rPr>
              <w:t>°</w:t>
            </w:r>
            <w:r>
              <w:rPr>
                <w:rFonts w:hint="eastAsia"/>
                <w:color w:val="000000" w:themeColor="text1"/>
                <w:sz w:val="21"/>
                <w:szCs w:val="21"/>
              </w:rPr>
              <w:t>60</w:t>
            </w:r>
            <w:r>
              <w:rPr>
                <w:color w:val="000000" w:themeColor="text1"/>
                <w:sz w:val="21"/>
                <w:szCs w:val="21"/>
              </w:rPr>
              <w:t>ʹ</w:t>
            </w:r>
            <w:r>
              <w:rPr>
                <w:rFonts w:hint="eastAsia"/>
                <w:color w:val="000000" w:themeColor="text1"/>
                <w:sz w:val="21"/>
                <w:szCs w:val="21"/>
              </w:rPr>
              <w:t>07.349</w:t>
            </w:r>
            <w:r>
              <w:rPr>
                <w:color w:val="000000" w:themeColor="text1"/>
                <w:sz w:val="21"/>
                <w:szCs w:val="21"/>
              </w:rPr>
              <w:t>ʺ</w:t>
            </w:r>
            <w:r>
              <w:rPr>
                <w:rFonts w:hint="eastAsia"/>
                <w:color w:val="000000" w:themeColor="text1"/>
                <w:sz w:val="21"/>
                <w:szCs w:val="21"/>
              </w:rPr>
              <w:t>；N24</w:t>
            </w:r>
            <w:r>
              <w:rPr>
                <w:color w:val="000000" w:themeColor="text1"/>
                <w:sz w:val="21"/>
                <w:szCs w:val="21"/>
              </w:rPr>
              <w:t>°</w:t>
            </w:r>
            <w:r>
              <w:rPr>
                <w:rFonts w:hint="eastAsia"/>
                <w:color w:val="000000" w:themeColor="text1"/>
                <w:sz w:val="21"/>
                <w:szCs w:val="21"/>
              </w:rPr>
              <w:t>07</w:t>
            </w:r>
            <w:r>
              <w:rPr>
                <w:color w:val="000000" w:themeColor="text1"/>
                <w:sz w:val="21"/>
                <w:szCs w:val="21"/>
              </w:rPr>
              <w:t>ʹ</w:t>
            </w:r>
            <w:r>
              <w:rPr>
                <w:rFonts w:hint="eastAsia"/>
                <w:color w:val="000000" w:themeColor="text1"/>
                <w:sz w:val="21"/>
                <w:szCs w:val="21"/>
              </w:rPr>
              <w:t>29.732</w:t>
            </w:r>
            <w:r>
              <w:rPr>
                <w:color w:val="000000" w:themeColor="text1"/>
                <w:sz w:val="21"/>
                <w:szCs w:val="21"/>
              </w:rPr>
              <w:t>ʺ</w:t>
            </w:r>
          </w:p>
        </w:tc>
        <w:tc>
          <w:tcPr>
            <w:tcW w:w="1945" w:type="dxa"/>
            <w:vAlign w:val="center"/>
          </w:tcPr>
          <w:p>
            <w:pPr>
              <w:pStyle w:val="75"/>
              <w:adjustRightInd w:val="0"/>
              <w:snapToGrid w:val="0"/>
              <w:spacing w:line="240" w:lineRule="auto"/>
              <w:ind w:firstLine="0" w:firstLineChars="0"/>
              <w:rPr>
                <w:rFonts w:eastAsia="宋体"/>
                <w:color w:val="000000" w:themeColor="text1"/>
                <w:sz w:val="21"/>
                <w:szCs w:val="21"/>
              </w:rPr>
            </w:pPr>
            <w:r>
              <w:rPr>
                <w:rFonts w:eastAsiaTheme="minorEastAsia"/>
                <w:color w:val="000000" w:themeColor="text1"/>
                <w:sz w:val="21"/>
                <w:szCs w:val="21"/>
              </w:rPr>
              <w:t>《铁矿采选工业污染物排放标准》（GB28661-2012）表5标准限值</w:t>
            </w:r>
          </w:p>
        </w:tc>
      </w:tr>
    </w:tbl>
    <w:p>
      <w:pPr>
        <w:ind w:firstLine="482"/>
        <w:rPr>
          <w:b/>
          <w:bCs/>
          <w:color w:val="000000" w:themeColor="text1"/>
        </w:rPr>
      </w:pPr>
      <w:r>
        <w:rPr>
          <w:rFonts w:hint="eastAsia"/>
          <w:b/>
          <w:bCs/>
          <w:color w:val="000000" w:themeColor="text1"/>
        </w:rPr>
        <w:t xml:space="preserve"> （3）排气筒设置合理性分析</w:t>
      </w:r>
    </w:p>
    <w:p>
      <w:pPr>
        <w:ind w:firstLine="480"/>
        <w:rPr>
          <w:rFonts w:eastAsiaTheme="minorEastAsia"/>
          <w:color w:val="000000" w:themeColor="text1"/>
          <w:szCs w:val="24"/>
        </w:rPr>
      </w:pPr>
      <w:r>
        <w:rPr>
          <w:rFonts w:hint="eastAsia" w:eastAsiaTheme="minorEastAsia"/>
          <w:color w:val="000000" w:themeColor="text1"/>
          <w:szCs w:val="24"/>
        </w:rPr>
        <w:t>项目2台鄂式破碎机和2台圆锥破碎机通过设置集气罩和布袋除尘处理后经1根15m的排气筒排放（DA001），筛分机、制砂机、辊压机通过设置集气罩和布袋除尘处理后经1根15m的排气筒排放（DA002）。</w:t>
      </w:r>
    </w:p>
    <w:p>
      <w:pPr>
        <w:pStyle w:val="59"/>
        <w:spacing w:after="0" w:line="360" w:lineRule="auto"/>
        <w:ind w:firstLine="480" w:firstLineChars="200"/>
        <w:rPr>
          <w:color w:val="000000" w:themeColor="text1"/>
          <w:lang w:eastAsia="zh-CN"/>
        </w:rPr>
      </w:pPr>
      <w:r>
        <w:rPr>
          <w:color w:val="000000" w:themeColor="text1"/>
          <w:kern w:val="24"/>
          <w:lang w:eastAsia="zh-CN"/>
        </w:rPr>
        <w:t>根据《</w:t>
      </w:r>
      <w:r>
        <w:rPr>
          <w:rFonts w:eastAsiaTheme="minorEastAsia"/>
          <w:color w:val="000000" w:themeColor="text1"/>
          <w:lang w:eastAsia="zh-CN"/>
        </w:rPr>
        <w:t>铁矿采选工业污染物排放标准</w:t>
      </w:r>
      <w:r>
        <w:rPr>
          <w:color w:val="000000" w:themeColor="text1"/>
          <w:kern w:val="24"/>
          <w:lang w:eastAsia="zh-CN"/>
        </w:rPr>
        <w:t>》（</w:t>
      </w:r>
      <w:r>
        <w:rPr>
          <w:rFonts w:eastAsiaTheme="minorEastAsia"/>
          <w:color w:val="000000" w:themeColor="text1"/>
          <w:lang w:eastAsia="zh-CN"/>
        </w:rPr>
        <w:t>GB28661-2012</w:t>
      </w:r>
      <w:r>
        <w:rPr>
          <w:color w:val="000000" w:themeColor="text1"/>
          <w:kern w:val="24"/>
          <w:lang w:eastAsia="zh-CN"/>
        </w:rPr>
        <w:t>）</w:t>
      </w:r>
      <w:r>
        <w:rPr>
          <w:color w:val="000000" w:themeColor="text1"/>
          <w:lang w:eastAsia="zh-CN"/>
        </w:rPr>
        <w:t>4.</w:t>
      </w:r>
      <w:r>
        <w:rPr>
          <w:rFonts w:hint="eastAsia"/>
          <w:color w:val="000000" w:themeColor="text1"/>
          <w:lang w:eastAsia="zh-CN"/>
        </w:rPr>
        <w:t>2.7</w:t>
      </w:r>
      <w:r>
        <w:rPr>
          <w:color w:val="000000" w:themeColor="text1"/>
          <w:lang w:eastAsia="zh-CN"/>
        </w:rPr>
        <w:t>相关规定：所有排气筒高度应不低于15m，排气筒周围半径200m范围内有建筑物时，排气筒高度还应高出最高建（构）筑物3m以上。</w:t>
      </w:r>
      <w:r>
        <w:rPr>
          <w:rFonts w:hint="eastAsia"/>
          <w:color w:val="000000" w:themeColor="text1"/>
          <w:lang w:eastAsia="zh-CN"/>
        </w:rPr>
        <w:t>本项目</w:t>
      </w:r>
      <w:r>
        <w:rPr>
          <w:color w:val="000000" w:themeColor="text1"/>
          <w:lang w:eastAsia="zh-CN"/>
        </w:rPr>
        <w:t>排气筒周围半径200m范围内</w:t>
      </w:r>
      <w:r>
        <w:rPr>
          <w:rFonts w:hint="eastAsia"/>
          <w:color w:val="000000" w:themeColor="text1"/>
          <w:lang w:eastAsia="zh-CN"/>
        </w:rPr>
        <w:t>主要为现有项目厂房，且本项目原料处理区处于厂区最高点，现有厂房高度均不高于10m，本项目设置的排气筒高度最低为15m。因此</w:t>
      </w:r>
      <w:r>
        <w:rPr>
          <w:color w:val="000000" w:themeColor="text1"/>
          <w:lang w:eastAsia="zh-CN"/>
        </w:rPr>
        <w:t>本项目排气筒高度设置均合理。</w:t>
      </w:r>
    </w:p>
    <w:p>
      <w:pPr>
        <w:ind w:firstLine="480"/>
        <w:rPr>
          <w:color w:val="000000" w:themeColor="text1"/>
        </w:rPr>
      </w:pPr>
      <w:r>
        <w:rPr>
          <w:color w:val="000000" w:themeColor="text1"/>
        </w:rPr>
        <w:t>根据以上分析，</w:t>
      </w:r>
      <w:r>
        <w:rPr>
          <w:rFonts w:hint="eastAsia"/>
          <w:color w:val="000000" w:themeColor="text1"/>
        </w:rPr>
        <w:t>原石料处理有组织颗粒物污染治理措施类比</w:t>
      </w:r>
      <w:r>
        <w:rPr>
          <w:rFonts w:hint="eastAsia"/>
          <w:bCs/>
          <w:color w:val="000000" w:themeColor="text1"/>
          <w:szCs w:val="24"/>
        </w:rPr>
        <w:t>《排污许可证申请与核发技术规范 陶瓷砖瓦业》中推荐的可行技术，布袋除尘为可行技术，无组织颗粒物可行技术为原料设置半封闭或封闭式堆棚、厂区道路洒水降尘等措施，</w:t>
      </w:r>
      <w:r>
        <w:rPr>
          <w:color w:val="000000" w:themeColor="text1"/>
        </w:rPr>
        <w:t>项目废气污染产排总情况见下表所示：</w:t>
      </w:r>
    </w:p>
    <w:p>
      <w:pPr>
        <w:ind w:firstLine="480"/>
        <w:rPr>
          <w:color w:val="000000" w:themeColor="text1"/>
        </w:rPr>
        <w:sectPr>
          <w:pgSz w:w="11906" w:h="16838"/>
          <w:pgMar w:top="1440" w:right="1797" w:bottom="1440" w:left="1797" w:header="850" w:footer="992" w:gutter="0"/>
          <w:pgNumType w:fmt="numberInDash"/>
          <w:cols w:space="425" w:num="1"/>
          <w:docGrid w:type="lines" w:linePitch="326" w:charSpace="0"/>
        </w:sectPr>
      </w:pPr>
    </w:p>
    <w:p>
      <w:pPr>
        <w:pStyle w:val="78"/>
        <w:ind w:firstLine="422"/>
        <w:jc w:val="center"/>
        <w:rPr>
          <w:b/>
          <w:bCs/>
          <w:color w:val="000000" w:themeColor="text1"/>
          <w:sz w:val="21"/>
          <w:szCs w:val="21"/>
        </w:rPr>
      </w:pPr>
      <w:r>
        <w:rPr>
          <w:b/>
          <w:bCs/>
          <w:color w:val="000000" w:themeColor="text1"/>
          <w:sz w:val="21"/>
          <w:szCs w:val="21"/>
        </w:rPr>
        <w:t>表4.4-</w:t>
      </w:r>
      <w:r>
        <w:rPr>
          <w:rFonts w:hint="eastAsia"/>
          <w:b/>
          <w:bCs/>
          <w:color w:val="000000" w:themeColor="text1"/>
          <w:sz w:val="21"/>
          <w:szCs w:val="21"/>
        </w:rPr>
        <w:t>4</w:t>
      </w:r>
      <w:r>
        <w:rPr>
          <w:b/>
          <w:bCs/>
          <w:color w:val="000000" w:themeColor="text1"/>
          <w:sz w:val="21"/>
          <w:szCs w:val="21"/>
        </w:rPr>
        <w:t>项目废气产排情况一览表</w:t>
      </w:r>
    </w:p>
    <w:tbl>
      <w:tblPr>
        <w:tblStyle w:val="61"/>
        <w:tblW w:w="143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
        <w:gridCol w:w="1288"/>
        <w:gridCol w:w="1039"/>
        <w:gridCol w:w="1128"/>
        <w:gridCol w:w="985"/>
        <w:gridCol w:w="1110"/>
        <w:gridCol w:w="1433"/>
        <w:gridCol w:w="764"/>
        <w:gridCol w:w="883"/>
        <w:gridCol w:w="897"/>
        <w:gridCol w:w="1218"/>
        <w:gridCol w:w="1003"/>
        <w:gridCol w:w="914"/>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0" w:hRule="atLeast"/>
        </w:trPr>
        <w:tc>
          <w:tcPr>
            <w:tcW w:w="600"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序号</w:t>
            </w:r>
          </w:p>
        </w:tc>
        <w:tc>
          <w:tcPr>
            <w:tcW w:w="1288"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产排污环节</w:t>
            </w:r>
          </w:p>
        </w:tc>
        <w:tc>
          <w:tcPr>
            <w:tcW w:w="1039"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污染物</w:t>
            </w:r>
          </w:p>
        </w:tc>
        <w:tc>
          <w:tcPr>
            <w:tcW w:w="2113" w:type="dxa"/>
            <w:gridSpan w:val="2"/>
            <w:vAlign w:val="center"/>
          </w:tcPr>
          <w:p>
            <w:pPr>
              <w:spacing w:line="240" w:lineRule="auto"/>
              <w:ind w:firstLine="0" w:firstLineChars="0"/>
              <w:jc w:val="center"/>
              <w:rPr>
                <w:color w:val="000000" w:themeColor="text1"/>
                <w:sz w:val="21"/>
                <w:szCs w:val="21"/>
              </w:rPr>
            </w:pPr>
            <w:r>
              <w:rPr>
                <w:color w:val="000000" w:themeColor="text1"/>
                <w:sz w:val="21"/>
                <w:szCs w:val="21"/>
              </w:rPr>
              <w:t>污染物产生</w:t>
            </w:r>
          </w:p>
        </w:tc>
        <w:tc>
          <w:tcPr>
            <w:tcW w:w="1110"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排放形式</w:t>
            </w:r>
          </w:p>
        </w:tc>
        <w:tc>
          <w:tcPr>
            <w:tcW w:w="3977" w:type="dxa"/>
            <w:gridSpan w:val="4"/>
            <w:vAlign w:val="center"/>
          </w:tcPr>
          <w:p>
            <w:pPr>
              <w:spacing w:line="240" w:lineRule="auto"/>
              <w:ind w:firstLine="0" w:firstLineChars="0"/>
              <w:jc w:val="center"/>
              <w:rPr>
                <w:color w:val="000000" w:themeColor="text1"/>
                <w:sz w:val="21"/>
                <w:szCs w:val="21"/>
              </w:rPr>
            </w:pPr>
            <w:r>
              <w:rPr>
                <w:color w:val="000000" w:themeColor="text1"/>
                <w:sz w:val="21"/>
                <w:szCs w:val="21"/>
              </w:rPr>
              <w:t>治理设施</w:t>
            </w:r>
          </w:p>
        </w:tc>
        <w:tc>
          <w:tcPr>
            <w:tcW w:w="3135" w:type="dxa"/>
            <w:gridSpan w:val="3"/>
            <w:vAlign w:val="center"/>
          </w:tcPr>
          <w:p>
            <w:pPr>
              <w:spacing w:line="240" w:lineRule="auto"/>
              <w:ind w:firstLine="0" w:firstLineChars="0"/>
              <w:jc w:val="center"/>
              <w:rPr>
                <w:color w:val="000000" w:themeColor="text1"/>
                <w:sz w:val="21"/>
                <w:szCs w:val="21"/>
              </w:rPr>
            </w:pPr>
            <w:r>
              <w:rPr>
                <w:color w:val="000000" w:themeColor="text1"/>
                <w:sz w:val="21"/>
                <w:szCs w:val="21"/>
              </w:rPr>
              <w:t>污染物排放</w:t>
            </w:r>
          </w:p>
        </w:tc>
        <w:tc>
          <w:tcPr>
            <w:tcW w:w="1134"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57" w:hRule="atLeast"/>
        </w:trPr>
        <w:tc>
          <w:tcPr>
            <w:tcW w:w="600" w:type="dxa"/>
            <w:vMerge w:val="continue"/>
            <w:vAlign w:val="center"/>
          </w:tcPr>
          <w:p>
            <w:pPr>
              <w:spacing w:line="240" w:lineRule="auto"/>
              <w:ind w:firstLine="0" w:firstLineChars="0"/>
              <w:jc w:val="center"/>
              <w:rPr>
                <w:color w:val="000000" w:themeColor="text1"/>
                <w:sz w:val="21"/>
                <w:szCs w:val="21"/>
              </w:rPr>
            </w:pPr>
          </w:p>
        </w:tc>
        <w:tc>
          <w:tcPr>
            <w:tcW w:w="1288" w:type="dxa"/>
            <w:vMerge w:val="continue"/>
            <w:vAlign w:val="center"/>
          </w:tcPr>
          <w:p>
            <w:pPr>
              <w:spacing w:line="240" w:lineRule="auto"/>
              <w:ind w:firstLine="0" w:firstLineChars="0"/>
              <w:jc w:val="center"/>
              <w:rPr>
                <w:color w:val="000000" w:themeColor="text1"/>
                <w:sz w:val="21"/>
                <w:szCs w:val="21"/>
              </w:rPr>
            </w:pPr>
          </w:p>
        </w:tc>
        <w:tc>
          <w:tcPr>
            <w:tcW w:w="1039" w:type="dxa"/>
            <w:vMerge w:val="continue"/>
            <w:vAlign w:val="center"/>
          </w:tcPr>
          <w:p>
            <w:pPr>
              <w:spacing w:line="240" w:lineRule="auto"/>
              <w:ind w:firstLine="0" w:firstLineChars="0"/>
              <w:jc w:val="center"/>
              <w:rPr>
                <w:color w:val="000000" w:themeColor="text1"/>
                <w:sz w:val="21"/>
                <w:szCs w:val="21"/>
              </w:rPr>
            </w:pPr>
          </w:p>
        </w:tc>
        <w:tc>
          <w:tcPr>
            <w:tcW w:w="1128" w:type="dxa"/>
            <w:vAlign w:val="center"/>
          </w:tcPr>
          <w:p>
            <w:pPr>
              <w:spacing w:line="240" w:lineRule="auto"/>
              <w:ind w:firstLine="0" w:firstLineChars="0"/>
              <w:jc w:val="center"/>
              <w:rPr>
                <w:color w:val="000000" w:themeColor="text1"/>
                <w:sz w:val="21"/>
                <w:szCs w:val="21"/>
              </w:rPr>
            </w:pPr>
            <w:r>
              <w:rPr>
                <w:color w:val="000000" w:themeColor="text1"/>
                <w:sz w:val="21"/>
                <w:szCs w:val="21"/>
              </w:rPr>
              <w:t>产生量（t/a）</w:t>
            </w:r>
          </w:p>
        </w:tc>
        <w:tc>
          <w:tcPr>
            <w:tcW w:w="985" w:type="dxa"/>
            <w:vAlign w:val="center"/>
          </w:tcPr>
          <w:p>
            <w:pPr>
              <w:spacing w:line="240" w:lineRule="auto"/>
              <w:ind w:firstLine="0" w:firstLineChars="0"/>
              <w:jc w:val="center"/>
              <w:rPr>
                <w:color w:val="000000" w:themeColor="text1"/>
                <w:sz w:val="21"/>
                <w:szCs w:val="21"/>
              </w:rPr>
            </w:pPr>
            <w:r>
              <w:rPr>
                <w:color w:val="000000" w:themeColor="text1"/>
                <w:sz w:val="21"/>
                <w:szCs w:val="21"/>
              </w:rPr>
              <w:t>产生浓度（mg/m</w:t>
            </w:r>
            <w:r>
              <w:rPr>
                <w:color w:val="000000" w:themeColor="text1"/>
                <w:sz w:val="21"/>
                <w:szCs w:val="21"/>
                <w:vertAlign w:val="superscript"/>
              </w:rPr>
              <w:t>3</w:t>
            </w:r>
            <w:r>
              <w:rPr>
                <w:color w:val="000000" w:themeColor="text1"/>
                <w:sz w:val="21"/>
                <w:szCs w:val="21"/>
              </w:rPr>
              <w:t>）</w:t>
            </w:r>
          </w:p>
        </w:tc>
        <w:tc>
          <w:tcPr>
            <w:tcW w:w="1110" w:type="dxa"/>
            <w:vMerge w:val="continue"/>
            <w:vAlign w:val="center"/>
          </w:tcPr>
          <w:p>
            <w:pPr>
              <w:spacing w:line="240" w:lineRule="auto"/>
              <w:ind w:firstLine="0" w:firstLineChars="0"/>
              <w:jc w:val="center"/>
              <w:rPr>
                <w:color w:val="000000" w:themeColor="text1"/>
                <w:sz w:val="21"/>
                <w:szCs w:val="21"/>
              </w:rPr>
            </w:pPr>
          </w:p>
        </w:tc>
        <w:tc>
          <w:tcPr>
            <w:tcW w:w="1433" w:type="dxa"/>
            <w:vAlign w:val="center"/>
          </w:tcPr>
          <w:p>
            <w:pPr>
              <w:spacing w:line="240" w:lineRule="auto"/>
              <w:ind w:firstLine="0" w:firstLineChars="0"/>
              <w:jc w:val="center"/>
              <w:rPr>
                <w:color w:val="000000" w:themeColor="text1"/>
                <w:sz w:val="21"/>
                <w:szCs w:val="21"/>
              </w:rPr>
            </w:pPr>
            <w:r>
              <w:rPr>
                <w:color w:val="000000" w:themeColor="text1"/>
                <w:sz w:val="21"/>
                <w:szCs w:val="21"/>
              </w:rPr>
              <w:t>工艺</w:t>
            </w:r>
          </w:p>
        </w:tc>
        <w:tc>
          <w:tcPr>
            <w:tcW w:w="764" w:type="dxa"/>
            <w:vAlign w:val="center"/>
          </w:tcPr>
          <w:p>
            <w:pPr>
              <w:spacing w:line="240" w:lineRule="auto"/>
              <w:ind w:firstLine="0" w:firstLineChars="0"/>
              <w:jc w:val="center"/>
              <w:rPr>
                <w:color w:val="000000" w:themeColor="text1"/>
                <w:sz w:val="21"/>
                <w:szCs w:val="21"/>
              </w:rPr>
            </w:pPr>
            <w:r>
              <w:rPr>
                <w:color w:val="000000" w:themeColor="text1"/>
                <w:sz w:val="21"/>
                <w:szCs w:val="21"/>
              </w:rPr>
              <w:t>是否为可行技术</w:t>
            </w:r>
          </w:p>
        </w:tc>
        <w:tc>
          <w:tcPr>
            <w:tcW w:w="883" w:type="dxa"/>
            <w:vAlign w:val="center"/>
          </w:tcPr>
          <w:p>
            <w:pPr>
              <w:spacing w:line="240" w:lineRule="auto"/>
              <w:ind w:firstLine="0" w:firstLineChars="0"/>
              <w:jc w:val="center"/>
              <w:rPr>
                <w:color w:val="000000" w:themeColor="text1"/>
                <w:sz w:val="21"/>
                <w:szCs w:val="21"/>
              </w:rPr>
            </w:pPr>
            <w:r>
              <w:rPr>
                <w:color w:val="000000" w:themeColor="text1"/>
                <w:sz w:val="21"/>
                <w:szCs w:val="21"/>
              </w:rPr>
              <w:t>收集效率%</w:t>
            </w:r>
          </w:p>
        </w:tc>
        <w:tc>
          <w:tcPr>
            <w:tcW w:w="897" w:type="dxa"/>
            <w:vAlign w:val="center"/>
          </w:tcPr>
          <w:p>
            <w:pPr>
              <w:spacing w:line="240" w:lineRule="auto"/>
              <w:ind w:firstLine="0" w:firstLineChars="0"/>
              <w:jc w:val="center"/>
              <w:rPr>
                <w:color w:val="000000" w:themeColor="text1"/>
                <w:sz w:val="21"/>
                <w:szCs w:val="21"/>
              </w:rPr>
            </w:pPr>
            <w:r>
              <w:rPr>
                <w:color w:val="000000" w:themeColor="text1"/>
                <w:sz w:val="21"/>
                <w:szCs w:val="21"/>
              </w:rPr>
              <w:t>去除效率%</w:t>
            </w:r>
          </w:p>
        </w:tc>
        <w:tc>
          <w:tcPr>
            <w:tcW w:w="1218" w:type="dxa"/>
            <w:vAlign w:val="center"/>
          </w:tcPr>
          <w:p>
            <w:pPr>
              <w:spacing w:line="240" w:lineRule="auto"/>
              <w:ind w:firstLine="0" w:firstLineChars="0"/>
              <w:jc w:val="center"/>
              <w:rPr>
                <w:color w:val="000000" w:themeColor="text1"/>
                <w:sz w:val="21"/>
                <w:szCs w:val="21"/>
              </w:rPr>
            </w:pPr>
            <w:r>
              <w:rPr>
                <w:color w:val="000000" w:themeColor="text1"/>
                <w:sz w:val="21"/>
                <w:szCs w:val="21"/>
              </w:rPr>
              <w:t>排放量（t/a）</w:t>
            </w:r>
          </w:p>
        </w:tc>
        <w:tc>
          <w:tcPr>
            <w:tcW w:w="1003" w:type="dxa"/>
            <w:vAlign w:val="center"/>
          </w:tcPr>
          <w:p>
            <w:pPr>
              <w:spacing w:line="240" w:lineRule="auto"/>
              <w:ind w:firstLine="0" w:firstLineChars="0"/>
              <w:jc w:val="center"/>
              <w:rPr>
                <w:color w:val="000000" w:themeColor="text1"/>
                <w:sz w:val="21"/>
                <w:szCs w:val="21"/>
              </w:rPr>
            </w:pPr>
            <w:r>
              <w:rPr>
                <w:color w:val="000000" w:themeColor="text1"/>
                <w:sz w:val="21"/>
                <w:szCs w:val="21"/>
              </w:rPr>
              <w:t>排放速率（kg/h）</w:t>
            </w:r>
          </w:p>
        </w:tc>
        <w:tc>
          <w:tcPr>
            <w:tcW w:w="914" w:type="dxa"/>
            <w:vAlign w:val="center"/>
          </w:tcPr>
          <w:p>
            <w:pPr>
              <w:spacing w:line="240" w:lineRule="auto"/>
              <w:ind w:firstLine="0" w:firstLineChars="0"/>
              <w:jc w:val="center"/>
              <w:rPr>
                <w:color w:val="000000" w:themeColor="text1"/>
                <w:sz w:val="21"/>
                <w:szCs w:val="21"/>
              </w:rPr>
            </w:pPr>
            <w:r>
              <w:rPr>
                <w:color w:val="000000" w:themeColor="text1"/>
                <w:sz w:val="21"/>
                <w:szCs w:val="21"/>
              </w:rPr>
              <w:t>排放浓度（mg/m</w:t>
            </w:r>
            <w:r>
              <w:rPr>
                <w:color w:val="000000" w:themeColor="text1"/>
                <w:sz w:val="21"/>
                <w:szCs w:val="21"/>
                <w:vertAlign w:val="superscript"/>
              </w:rPr>
              <w:t>3</w:t>
            </w:r>
            <w:r>
              <w:rPr>
                <w:color w:val="000000" w:themeColor="text1"/>
                <w:sz w:val="21"/>
                <w:szCs w:val="21"/>
              </w:rPr>
              <w:t>）</w:t>
            </w:r>
          </w:p>
        </w:tc>
        <w:tc>
          <w:tcPr>
            <w:tcW w:w="1134" w:type="dxa"/>
            <w:vMerge w:val="continue"/>
            <w:vAlign w:val="center"/>
          </w:tcPr>
          <w:p>
            <w:pPr>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6" w:hRule="atLeast"/>
        </w:trPr>
        <w:tc>
          <w:tcPr>
            <w:tcW w:w="600" w:type="dxa"/>
            <w:vAlign w:val="center"/>
          </w:tcPr>
          <w:p>
            <w:pPr>
              <w:spacing w:line="240" w:lineRule="auto"/>
              <w:ind w:firstLine="0" w:firstLineChars="0"/>
              <w:jc w:val="center"/>
              <w:rPr>
                <w:color w:val="000000" w:themeColor="text1"/>
                <w:sz w:val="21"/>
                <w:szCs w:val="21"/>
              </w:rPr>
            </w:pPr>
            <w:r>
              <w:rPr>
                <w:color w:val="000000" w:themeColor="text1"/>
                <w:sz w:val="21"/>
                <w:szCs w:val="21"/>
              </w:rPr>
              <w:t>1</w:t>
            </w:r>
          </w:p>
        </w:tc>
        <w:tc>
          <w:tcPr>
            <w:tcW w:w="1288"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color w:val="000000" w:themeColor="text1"/>
                <w:sz w:val="21"/>
                <w:szCs w:val="21"/>
              </w:rPr>
              <w:t>DA001</w:t>
            </w:r>
            <w:r>
              <w:rPr>
                <w:rFonts w:eastAsia="宋体"/>
                <w:color w:val="000000" w:themeColor="text1"/>
                <w:sz w:val="21"/>
                <w:szCs w:val="21"/>
              </w:rPr>
              <w:t>(</w:t>
            </w:r>
            <w:r>
              <w:rPr>
                <w:rFonts w:hint="eastAsia" w:eastAsia="宋体"/>
                <w:color w:val="000000" w:themeColor="text1"/>
                <w:sz w:val="21"/>
                <w:szCs w:val="21"/>
              </w:rPr>
              <w:t>鄂式破碎机</w:t>
            </w:r>
            <w:r>
              <w:rPr>
                <w:rFonts w:eastAsia="宋体"/>
                <w:color w:val="000000" w:themeColor="text1"/>
                <w:sz w:val="21"/>
                <w:szCs w:val="21"/>
              </w:rPr>
              <w:t>和2台圆锥破碎机)</w:t>
            </w:r>
          </w:p>
        </w:tc>
        <w:tc>
          <w:tcPr>
            <w:tcW w:w="1039" w:type="dxa"/>
            <w:vAlign w:val="center"/>
          </w:tcPr>
          <w:p>
            <w:pPr>
              <w:spacing w:line="240" w:lineRule="auto"/>
              <w:ind w:firstLine="0" w:firstLineChars="0"/>
              <w:jc w:val="center"/>
              <w:rPr>
                <w:color w:val="000000" w:themeColor="text1"/>
                <w:sz w:val="21"/>
                <w:szCs w:val="21"/>
              </w:rPr>
            </w:pPr>
            <w:r>
              <w:rPr>
                <w:color w:val="000000" w:themeColor="text1"/>
                <w:sz w:val="21"/>
                <w:szCs w:val="21"/>
              </w:rPr>
              <w:t>颗粒物</w:t>
            </w:r>
          </w:p>
        </w:tc>
        <w:tc>
          <w:tcPr>
            <w:tcW w:w="1128"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157.5</w:t>
            </w:r>
          </w:p>
        </w:tc>
        <w:tc>
          <w:tcPr>
            <w:tcW w:w="98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1035.75</w:t>
            </w:r>
          </w:p>
        </w:tc>
        <w:tc>
          <w:tcPr>
            <w:tcW w:w="11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有组织</w:t>
            </w:r>
          </w:p>
        </w:tc>
        <w:tc>
          <w:tcPr>
            <w:tcW w:w="143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集气罩+布袋除尘</w:t>
            </w:r>
          </w:p>
        </w:tc>
        <w:tc>
          <w:tcPr>
            <w:tcW w:w="76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是</w:t>
            </w:r>
          </w:p>
        </w:tc>
        <w:tc>
          <w:tcPr>
            <w:tcW w:w="88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95</w:t>
            </w:r>
          </w:p>
        </w:tc>
        <w:tc>
          <w:tcPr>
            <w:tcW w:w="897"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99.8</w:t>
            </w:r>
          </w:p>
        </w:tc>
        <w:tc>
          <w:tcPr>
            <w:tcW w:w="1218"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0.299</w:t>
            </w:r>
          </w:p>
        </w:tc>
        <w:tc>
          <w:tcPr>
            <w:tcW w:w="1003"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0.042</w:t>
            </w:r>
          </w:p>
        </w:tc>
        <w:tc>
          <w:tcPr>
            <w:tcW w:w="914"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2.1</w:t>
            </w:r>
          </w:p>
        </w:tc>
        <w:tc>
          <w:tcPr>
            <w:tcW w:w="1134" w:type="dxa"/>
            <w:vMerge w:val="restart"/>
            <w:vAlign w:val="center"/>
          </w:tcPr>
          <w:p>
            <w:pPr>
              <w:spacing w:line="240" w:lineRule="auto"/>
              <w:ind w:firstLine="0" w:firstLineChars="0"/>
              <w:jc w:val="center"/>
              <w:rPr>
                <w:color w:val="000000" w:themeColor="text1"/>
                <w:sz w:val="21"/>
                <w:szCs w:val="21"/>
              </w:rPr>
            </w:pPr>
            <w:r>
              <w:rPr>
                <w:rFonts w:eastAsiaTheme="minorEastAsia"/>
                <w:color w:val="000000" w:themeColor="text1"/>
                <w:sz w:val="21"/>
                <w:szCs w:val="21"/>
              </w:rPr>
              <w:t>《铁矿采选工业污染物排放标准》（GB28661-2012）表5标准限值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51" w:hRule="atLeast"/>
        </w:trPr>
        <w:tc>
          <w:tcPr>
            <w:tcW w:w="600" w:type="dxa"/>
            <w:vAlign w:val="center"/>
          </w:tcPr>
          <w:p>
            <w:pPr>
              <w:spacing w:line="240" w:lineRule="auto"/>
              <w:ind w:firstLine="0" w:firstLineChars="0"/>
              <w:jc w:val="center"/>
              <w:rPr>
                <w:color w:val="000000" w:themeColor="text1"/>
                <w:sz w:val="21"/>
                <w:szCs w:val="21"/>
              </w:rPr>
            </w:pPr>
            <w:r>
              <w:rPr>
                <w:color w:val="000000" w:themeColor="text1"/>
                <w:sz w:val="21"/>
                <w:szCs w:val="21"/>
              </w:rPr>
              <w:t>2</w:t>
            </w:r>
          </w:p>
        </w:tc>
        <w:tc>
          <w:tcPr>
            <w:tcW w:w="1288"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color w:val="000000" w:themeColor="text1"/>
                <w:sz w:val="21"/>
                <w:szCs w:val="21"/>
              </w:rPr>
              <w:t>DA002</w:t>
            </w:r>
            <w:r>
              <w:rPr>
                <w:rFonts w:eastAsia="宋体"/>
                <w:color w:val="000000" w:themeColor="text1"/>
                <w:sz w:val="21"/>
                <w:szCs w:val="21"/>
              </w:rPr>
              <w:t>(筛分机</w:t>
            </w:r>
            <w:r>
              <w:rPr>
                <w:rFonts w:hint="eastAsia" w:eastAsia="宋体"/>
                <w:color w:val="000000" w:themeColor="text1"/>
                <w:sz w:val="21"/>
                <w:szCs w:val="21"/>
              </w:rPr>
              <w:t>、</w:t>
            </w:r>
            <w:r>
              <w:rPr>
                <w:rFonts w:eastAsia="宋体"/>
                <w:color w:val="000000" w:themeColor="text1"/>
                <w:sz w:val="21"/>
                <w:szCs w:val="21"/>
              </w:rPr>
              <w:t>制砂机</w:t>
            </w:r>
            <w:r>
              <w:rPr>
                <w:rFonts w:hint="eastAsia" w:eastAsia="宋体"/>
                <w:color w:val="000000" w:themeColor="text1"/>
                <w:sz w:val="21"/>
                <w:szCs w:val="21"/>
              </w:rPr>
              <w:t>、辊压机</w:t>
            </w:r>
            <w:r>
              <w:rPr>
                <w:rFonts w:eastAsia="宋体"/>
                <w:color w:val="000000" w:themeColor="text1"/>
                <w:sz w:val="21"/>
                <w:szCs w:val="21"/>
              </w:rPr>
              <w:t>)</w:t>
            </w:r>
          </w:p>
        </w:tc>
        <w:tc>
          <w:tcPr>
            <w:tcW w:w="1039" w:type="dxa"/>
            <w:vAlign w:val="center"/>
          </w:tcPr>
          <w:p>
            <w:pPr>
              <w:spacing w:line="240" w:lineRule="auto"/>
              <w:ind w:firstLine="0" w:firstLineChars="0"/>
              <w:jc w:val="center"/>
              <w:rPr>
                <w:color w:val="000000" w:themeColor="text1"/>
                <w:sz w:val="21"/>
                <w:szCs w:val="21"/>
              </w:rPr>
            </w:pPr>
            <w:r>
              <w:rPr>
                <w:color w:val="000000" w:themeColor="text1"/>
                <w:sz w:val="21"/>
                <w:szCs w:val="21"/>
              </w:rPr>
              <w:t>颗粒物</w:t>
            </w:r>
          </w:p>
        </w:tc>
        <w:tc>
          <w:tcPr>
            <w:tcW w:w="1128"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80.355</w:t>
            </w:r>
          </w:p>
        </w:tc>
        <w:tc>
          <w:tcPr>
            <w:tcW w:w="98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706.67</w:t>
            </w:r>
          </w:p>
        </w:tc>
        <w:tc>
          <w:tcPr>
            <w:tcW w:w="11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有组织</w:t>
            </w:r>
          </w:p>
        </w:tc>
        <w:tc>
          <w:tcPr>
            <w:tcW w:w="143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集气罩+布袋除尘</w:t>
            </w:r>
          </w:p>
        </w:tc>
        <w:tc>
          <w:tcPr>
            <w:tcW w:w="76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是</w:t>
            </w:r>
          </w:p>
        </w:tc>
        <w:tc>
          <w:tcPr>
            <w:tcW w:w="88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95</w:t>
            </w:r>
          </w:p>
        </w:tc>
        <w:tc>
          <w:tcPr>
            <w:tcW w:w="897"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99.8</w:t>
            </w:r>
          </w:p>
        </w:tc>
        <w:tc>
          <w:tcPr>
            <w:tcW w:w="1218"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0.152</w:t>
            </w:r>
          </w:p>
        </w:tc>
        <w:tc>
          <w:tcPr>
            <w:tcW w:w="1003"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0.021</w:t>
            </w:r>
          </w:p>
        </w:tc>
        <w:tc>
          <w:tcPr>
            <w:tcW w:w="914"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1.4</w:t>
            </w:r>
          </w:p>
        </w:tc>
        <w:tc>
          <w:tcPr>
            <w:tcW w:w="1134" w:type="dxa"/>
            <w:vMerge w:val="continue"/>
            <w:vAlign w:val="center"/>
          </w:tcPr>
          <w:p>
            <w:pPr>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0" w:hRule="atLeast"/>
        </w:trPr>
        <w:tc>
          <w:tcPr>
            <w:tcW w:w="2927" w:type="dxa"/>
            <w:gridSpan w:val="3"/>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小计</w:t>
            </w:r>
          </w:p>
        </w:tc>
        <w:tc>
          <w:tcPr>
            <w:tcW w:w="1128" w:type="dxa"/>
            <w:vAlign w:val="center"/>
          </w:tcPr>
          <w:p>
            <w:pPr>
              <w:pStyle w:val="75"/>
              <w:kinsoku w:val="0"/>
              <w:overflowPunct w:val="0"/>
              <w:autoSpaceDE w:val="0"/>
              <w:snapToGrid w:val="0"/>
              <w:spacing w:line="240" w:lineRule="auto"/>
              <w:ind w:firstLine="0" w:firstLineChars="0"/>
              <w:rPr>
                <w:rFonts w:eastAsia="宋体"/>
                <w:bCs/>
                <w:color w:val="000000" w:themeColor="text1"/>
                <w:sz w:val="21"/>
                <w:szCs w:val="21"/>
              </w:rPr>
            </w:pPr>
            <w:r>
              <w:rPr>
                <w:rFonts w:hint="eastAsia" w:eastAsia="宋体"/>
                <w:bCs/>
                <w:color w:val="000000" w:themeColor="text1"/>
                <w:sz w:val="21"/>
                <w:szCs w:val="21"/>
              </w:rPr>
              <w:t>237.855</w:t>
            </w:r>
          </w:p>
        </w:tc>
        <w:tc>
          <w:tcPr>
            <w:tcW w:w="985" w:type="dxa"/>
            <w:vAlign w:val="center"/>
          </w:tcPr>
          <w:p>
            <w:pPr>
              <w:spacing w:line="240" w:lineRule="auto"/>
              <w:ind w:firstLine="0" w:firstLineChars="0"/>
              <w:jc w:val="center"/>
              <w:rPr>
                <w:bCs/>
                <w:color w:val="000000" w:themeColor="text1"/>
                <w:sz w:val="21"/>
                <w:szCs w:val="21"/>
              </w:rPr>
            </w:pPr>
            <w:r>
              <w:rPr>
                <w:rFonts w:hint="eastAsia"/>
                <w:bCs/>
                <w:color w:val="000000" w:themeColor="text1"/>
                <w:sz w:val="21"/>
                <w:szCs w:val="21"/>
              </w:rPr>
              <w:t>/</w:t>
            </w:r>
          </w:p>
        </w:tc>
        <w:tc>
          <w:tcPr>
            <w:tcW w:w="11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43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76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88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897"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1218" w:type="dxa"/>
            <w:vAlign w:val="center"/>
          </w:tcPr>
          <w:p>
            <w:pPr>
              <w:pStyle w:val="75"/>
              <w:kinsoku w:val="0"/>
              <w:overflowPunct w:val="0"/>
              <w:autoSpaceDE w:val="0"/>
              <w:snapToGrid w:val="0"/>
              <w:spacing w:line="240" w:lineRule="auto"/>
              <w:ind w:firstLine="0" w:firstLineChars="0"/>
              <w:rPr>
                <w:rFonts w:eastAsia="宋体"/>
                <w:bCs/>
                <w:color w:val="000000" w:themeColor="text1"/>
                <w:sz w:val="21"/>
                <w:szCs w:val="21"/>
              </w:rPr>
            </w:pPr>
            <w:r>
              <w:rPr>
                <w:rFonts w:hint="eastAsia" w:eastAsia="宋体"/>
                <w:bCs/>
                <w:color w:val="000000" w:themeColor="text1"/>
                <w:sz w:val="21"/>
                <w:szCs w:val="21"/>
              </w:rPr>
              <w:t>0.451</w:t>
            </w:r>
          </w:p>
        </w:tc>
        <w:tc>
          <w:tcPr>
            <w:tcW w:w="1003" w:type="dxa"/>
            <w:vAlign w:val="center"/>
          </w:tcPr>
          <w:p>
            <w:pPr>
              <w:pStyle w:val="75"/>
              <w:kinsoku w:val="0"/>
              <w:overflowPunct w:val="0"/>
              <w:autoSpaceDE w:val="0"/>
              <w:snapToGrid w:val="0"/>
              <w:spacing w:line="240" w:lineRule="auto"/>
              <w:ind w:firstLine="0" w:firstLineChars="0"/>
              <w:rPr>
                <w:rFonts w:eastAsia="宋体"/>
                <w:bCs/>
                <w:color w:val="000000" w:themeColor="text1"/>
                <w:sz w:val="21"/>
                <w:szCs w:val="21"/>
              </w:rPr>
            </w:pPr>
            <w:r>
              <w:rPr>
                <w:rFonts w:hint="eastAsia" w:eastAsia="宋体"/>
                <w:bCs/>
                <w:color w:val="000000" w:themeColor="text1"/>
                <w:sz w:val="21"/>
                <w:szCs w:val="21"/>
              </w:rPr>
              <w:t>/</w:t>
            </w:r>
          </w:p>
        </w:tc>
        <w:tc>
          <w:tcPr>
            <w:tcW w:w="914" w:type="dxa"/>
            <w:vAlign w:val="center"/>
          </w:tcPr>
          <w:p>
            <w:pPr>
              <w:pStyle w:val="75"/>
              <w:kinsoku w:val="0"/>
              <w:overflowPunct w:val="0"/>
              <w:autoSpaceDE w:val="0"/>
              <w:snapToGrid w:val="0"/>
              <w:spacing w:line="240" w:lineRule="auto"/>
              <w:ind w:firstLine="0" w:firstLineChars="0"/>
              <w:rPr>
                <w:rFonts w:eastAsia="宋体"/>
                <w:bCs/>
                <w:color w:val="000000" w:themeColor="text1"/>
                <w:sz w:val="21"/>
                <w:szCs w:val="21"/>
              </w:rPr>
            </w:pPr>
            <w:r>
              <w:rPr>
                <w:rFonts w:hint="eastAsia" w:eastAsia="宋体"/>
                <w:bCs/>
                <w:color w:val="000000" w:themeColor="text1"/>
                <w:sz w:val="21"/>
                <w:szCs w:val="21"/>
              </w:rPr>
              <w:t>/</w:t>
            </w:r>
          </w:p>
        </w:tc>
        <w:tc>
          <w:tcPr>
            <w:tcW w:w="1134" w:type="dxa"/>
            <w:vMerge w:val="continue"/>
            <w:vAlign w:val="center"/>
          </w:tcPr>
          <w:p>
            <w:pPr>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0" w:hRule="atLeast"/>
        </w:trPr>
        <w:tc>
          <w:tcPr>
            <w:tcW w:w="14396" w:type="dxa"/>
            <w:gridSpan w:val="14"/>
            <w:vAlign w:val="center"/>
          </w:tcPr>
          <w:p>
            <w:pPr>
              <w:spacing w:line="240" w:lineRule="auto"/>
              <w:ind w:firstLine="0" w:firstLineChars="0"/>
              <w:jc w:val="center"/>
              <w:rPr>
                <w:color w:val="000000" w:themeColor="text1"/>
                <w:sz w:val="21"/>
                <w:szCs w:val="21"/>
              </w:rPr>
            </w:pPr>
            <w:r>
              <w:rPr>
                <w:color w:val="000000" w:themeColor="text1"/>
                <w:sz w:val="21"/>
                <w:szCs w:val="21"/>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1" w:hRule="atLeast"/>
        </w:trPr>
        <w:tc>
          <w:tcPr>
            <w:tcW w:w="60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w:t>
            </w:r>
          </w:p>
        </w:tc>
        <w:tc>
          <w:tcPr>
            <w:tcW w:w="1288" w:type="dxa"/>
            <w:vAlign w:val="center"/>
          </w:tcPr>
          <w:p>
            <w:pPr>
              <w:pStyle w:val="78"/>
              <w:spacing w:line="240" w:lineRule="auto"/>
              <w:ind w:firstLine="0" w:firstLineChars="0"/>
              <w:jc w:val="center"/>
              <w:rPr>
                <w:bCs/>
                <w:color w:val="000000" w:themeColor="text1"/>
                <w:sz w:val="21"/>
                <w:szCs w:val="21"/>
              </w:rPr>
            </w:pPr>
            <w:r>
              <w:rPr>
                <w:rFonts w:hint="eastAsia"/>
                <w:bCs/>
                <w:color w:val="000000" w:themeColor="text1"/>
                <w:sz w:val="21"/>
                <w:szCs w:val="21"/>
              </w:rPr>
              <w:t>装载机装料（原矿石）粉尘</w:t>
            </w:r>
          </w:p>
        </w:tc>
        <w:tc>
          <w:tcPr>
            <w:tcW w:w="1039" w:type="dxa"/>
            <w:vAlign w:val="center"/>
          </w:tcPr>
          <w:p>
            <w:pPr>
              <w:spacing w:line="240" w:lineRule="auto"/>
              <w:ind w:firstLine="0" w:firstLineChars="0"/>
              <w:jc w:val="center"/>
              <w:rPr>
                <w:color w:val="000000" w:themeColor="text1"/>
                <w:sz w:val="21"/>
                <w:szCs w:val="21"/>
              </w:rPr>
            </w:pPr>
            <w:r>
              <w:rPr>
                <w:color w:val="000000" w:themeColor="text1"/>
                <w:sz w:val="21"/>
                <w:szCs w:val="21"/>
              </w:rPr>
              <w:t>颗粒物</w:t>
            </w:r>
          </w:p>
        </w:tc>
        <w:tc>
          <w:tcPr>
            <w:tcW w:w="1128" w:type="dxa"/>
            <w:vAlign w:val="center"/>
          </w:tcPr>
          <w:p>
            <w:pPr>
              <w:pStyle w:val="78"/>
              <w:spacing w:line="240" w:lineRule="auto"/>
              <w:ind w:firstLine="0" w:firstLineChars="0"/>
              <w:jc w:val="center"/>
              <w:rPr>
                <w:bCs/>
                <w:color w:val="000000" w:themeColor="text1"/>
                <w:sz w:val="21"/>
                <w:szCs w:val="21"/>
              </w:rPr>
            </w:pPr>
            <w:r>
              <w:rPr>
                <w:rFonts w:hint="eastAsia"/>
                <w:bCs/>
                <w:color w:val="000000" w:themeColor="text1"/>
                <w:sz w:val="21"/>
                <w:szCs w:val="21"/>
              </w:rPr>
              <w:t>4.155</w:t>
            </w:r>
          </w:p>
        </w:tc>
        <w:tc>
          <w:tcPr>
            <w:tcW w:w="98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1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无组织</w:t>
            </w:r>
          </w:p>
        </w:tc>
        <w:tc>
          <w:tcPr>
            <w:tcW w:w="1433" w:type="dxa"/>
            <w:vAlign w:val="center"/>
          </w:tcPr>
          <w:p>
            <w:pPr>
              <w:pStyle w:val="75"/>
              <w:kinsoku w:val="0"/>
              <w:overflowPunct w:val="0"/>
              <w:autoSpaceDE w:val="0"/>
              <w:snapToGrid w:val="0"/>
              <w:spacing w:line="240" w:lineRule="auto"/>
              <w:ind w:firstLine="0" w:firstLineChars="0"/>
              <w:rPr>
                <w:rFonts w:eastAsia="宋体"/>
                <w:bCs/>
                <w:color w:val="000000" w:themeColor="text1"/>
                <w:sz w:val="21"/>
                <w:szCs w:val="21"/>
              </w:rPr>
            </w:pPr>
            <w:r>
              <w:rPr>
                <w:rFonts w:hint="eastAsia" w:eastAsia="宋体"/>
                <w:bCs/>
                <w:color w:val="000000" w:themeColor="text1"/>
                <w:sz w:val="21"/>
                <w:szCs w:val="21"/>
              </w:rPr>
              <w:t>设置半封闭式堆料棚，在装料处设置喷淋设施</w:t>
            </w:r>
          </w:p>
        </w:tc>
        <w:tc>
          <w:tcPr>
            <w:tcW w:w="76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是</w:t>
            </w:r>
          </w:p>
        </w:tc>
        <w:tc>
          <w:tcPr>
            <w:tcW w:w="88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897" w:type="dxa"/>
            <w:vAlign w:val="center"/>
          </w:tcPr>
          <w:p>
            <w:pPr>
              <w:pStyle w:val="75"/>
              <w:kinsoku w:val="0"/>
              <w:overflowPunct w:val="0"/>
              <w:autoSpaceDE w:val="0"/>
              <w:snapToGrid w:val="0"/>
              <w:spacing w:line="240" w:lineRule="auto"/>
              <w:ind w:firstLine="0" w:firstLineChars="0"/>
              <w:rPr>
                <w:rFonts w:eastAsia="宋体"/>
                <w:bCs/>
                <w:color w:val="000000" w:themeColor="text1"/>
                <w:sz w:val="21"/>
                <w:szCs w:val="21"/>
              </w:rPr>
            </w:pPr>
            <w:r>
              <w:rPr>
                <w:rFonts w:hint="eastAsia" w:eastAsia="宋体"/>
                <w:bCs/>
                <w:color w:val="000000" w:themeColor="text1"/>
                <w:sz w:val="21"/>
                <w:szCs w:val="21"/>
              </w:rPr>
              <w:t>/</w:t>
            </w:r>
          </w:p>
        </w:tc>
        <w:tc>
          <w:tcPr>
            <w:tcW w:w="121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0.21</w:t>
            </w:r>
          </w:p>
        </w:tc>
        <w:tc>
          <w:tcPr>
            <w:tcW w:w="1003" w:type="dxa"/>
            <w:vAlign w:val="center"/>
          </w:tcPr>
          <w:p>
            <w:pPr>
              <w:pStyle w:val="78"/>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0.14</w:t>
            </w:r>
          </w:p>
        </w:tc>
        <w:tc>
          <w:tcPr>
            <w:tcW w:w="91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1134" w:type="dxa"/>
            <w:vMerge w:val="restart"/>
            <w:vAlign w:val="center"/>
          </w:tcPr>
          <w:p>
            <w:pPr>
              <w:spacing w:line="240" w:lineRule="auto"/>
              <w:ind w:firstLine="0" w:firstLineChars="0"/>
              <w:jc w:val="center"/>
              <w:rPr>
                <w:color w:val="000000" w:themeColor="text1"/>
                <w:sz w:val="21"/>
                <w:szCs w:val="21"/>
              </w:rPr>
            </w:pPr>
            <w:r>
              <w:rPr>
                <w:rFonts w:eastAsiaTheme="minorEastAsia"/>
                <w:color w:val="000000" w:themeColor="text1"/>
                <w:sz w:val="21"/>
                <w:szCs w:val="21"/>
              </w:rPr>
              <w:t>《铁矿采选工业污染物排放标准》（GB28661-2012）中表7的现有和新建企业边界大气污染物浓度限值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1" w:hRule="atLeast"/>
        </w:trPr>
        <w:tc>
          <w:tcPr>
            <w:tcW w:w="60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4</w:t>
            </w:r>
          </w:p>
        </w:tc>
        <w:tc>
          <w:tcPr>
            <w:tcW w:w="1288" w:type="dxa"/>
            <w:vAlign w:val="center"/>
          </w:tcPr>
          <w:p>
            <w:pPr>
              <w:pStyle w:val="78"/>
              <w:spacing w:line="240" w:lineRule="auto"/>
              <w:ind w:firstLine="0" w:firstLineChars="0"/>
              <w:jc w:val="center"/>
              <w:rPr>
                <w:color w:val="000000" w:themeColor="text1"/>
                <w:sz w:val="21"/>
                <w:szCs w:val="21"/>
              </w:rPr>
            </w:pPr>
            <w:r>
              <w:rPr>
                <w:bCs/>
                <w:color w:val="000000" w:themeColor="text1"/>
                <w:sz w:val="21"/>
                <w:szCs w:val="21"/>
              </w:rPr>
              <w:t>给料口扬尘</w:t>
            </w:r>
          </w:p>
        </w:tc>
        <w:tc>
          <w:tcPr>
            <w:tcW w:w="1039" w:type="dxa"/>
            <w:vAlign w:val="center"/>
          </w:tcPr>
          <w:p>
            <w:pPr>
              <w:spacing w:line="240" w:lineRule="auto"/>
              <w:ind w:firstLine="0" w:firstLineChars="0"/>
              <w:jc w:val="center"/>
              <w:rPr>
                <w:color w:val="000000" w:themeColor="text1"/>
                <w:sz w:val="21"/>
                <w:szCs w:val="21"/>
              </w:rPr>
            </w:pPr>
            <w:r>
              <w:rPr>
                <w:color w:val="000000" w:themeColor="text1"/>
                <w:sz w:val="21"/>
                <w:szCs w:val="21"/>
              </w:rPr>
              <w:t>颗粒物</w:t>
            </w:r>
          </w:p>
        </w:tc>
        <w:tc>
          <w:tcPr>
            <w:tcW w:w="1128" w:type="dxa"/>
            <w:vAlign w:val="center"/>
          </w:tcPr>
          <w:p>
            <w:pPr>
              <w:pStyle w:val="78"/>
              <w:spacing w:line="240" w:lineRule="auto"/>
              <w:ind w:firstLine="0" w:firstLineChars="0"/>
              <w:jc w:val="center"/>
              <w:rPr>
                <w:color w:val="000000" w:themeColor="text1"/>
                <w:sz w:val="21"/>
                <w:szCs w:val="21"/>
              </w:rPr>
            </w:pPr>
            <w:r>
              <w:rPr>
                <w:bCs/>
                <w:color w:val="000000" w:themeColor="text1"/>
                <w:sz w:val="21"/>
                <w:szCs w:val="21"/>
              </w:rPr>
              <w:t>0.75</w:t>
            </w:r>
          </w:p>
        </w:tc>
        <w:tc>
          <w:tcPr>
            <w:tcW w:w="985"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10" w:type="dxa"/>
            <w:vAlign w:val="center"/>
          </w:tcPr>
          <w:p>
            <w:pPr>
              <w:spacing w:line="240" w:lineRule="auto"/>
              <w:ind w:firstLine="0" w:firstLineChars="0"/>
              <w:jc w:val="center"/>
              <w:rPr>
                <w:color w:val="000000" w:themeColor="text1"/>
                <w:sz w:val="21"/>
                <w:szCs w:val="21"/>
              </w:rPr>
            </w:pPr>
            <w:r>
              <w:rPr>
                <w:color w:val="000000" w:themeColor="text1"/>
                <w:sz w:val="21"/>
                <w:szCs w:val="21"/>
              </w:rPr>
              <w:t>无组织</w:t>
            </w:r>
          </w:p>
        </w:tc>
        <w:tc>
          <w:tcPr>
            <w:tcW w:w="143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bCs/>
                <w:color w:val="000000" w:themeColor="text1"/>
                <w:sz w:val="21"/>
                <w:szCs w:val="21"/>
              </w:rPr>
              <w:t>在给料口设置喷淋设施</w:t>
            </w:r>
          </w:p>
        </w:tc>
        <w:tc>
          <w:tcPr>
            <w:tcW w:w="76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是</w:t>
            </w:r>
          </w:p>
        </w:tc>
        <w:tc>
          <w:tcPr>
            <w:tcW w:w="88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w:t>
            </w:r>
          </w:p>
        </w:tc>
        <w:tc>
          <w:tcPr>
            <w:tcW w:w="897"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bCs/>
                <w:color w:val="000000" w:themeColor="text1"/>
                <w:sz w:val="21"/>
                <w:szCs w:val="21"/>
              </w:rPr>
              <w:t>70</w:t>
            </w:r>
          </w:p>
        </w:tc>
        <w:tc>
          <w:tcPr>
            <w:tcW w:w="1218" w:type="dxa"/>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0.225</w:t>
            </w:r>
          </w:p>
        </w:tc>
        <w:tc>
          <w:tcPr>
            <w:tcW w:w="1003" w:type="dxa"/>
            <w:vAlign w:val="center"/>
          </w:tcPr>
          <w:p>
            <w:pPr>
              <w:pStyle w:val="78"/>
              <w:spacing w:line="240" w:lineRule="auto"/>
              <w:ind w:firstLine="0" w:firstLineChars="0"/>
              <w:jc w:val="center"/>
              <w:rPr>
                <w:rFonts w:eastAsiaTheme="minorEastAsia"/>
                <w:color w:val="000000" w:themeColor="text1"/>
                <w:sz w:val="21"/>
                <w:szCs w:val="21"/>
              </w:rPr>
            </w:pPr>
            <w:r>
              <w:rPr>
                <w:rFonts w:hint="eastAsia" w:eastAsiaTheme="minorEastAsia"/>
                <w:bCs/>
                <w:color w:val="000000" w:themeColor="text1"/>
                <w:sz w:val="21"/>
                <w:szCs w:val="21"/>
              </w:rPr>
              <w:t>0.031</w:t>
            </w:r>
          </w:p>
        </w:tc>
        <w:tc>
          <w:tcPr>
            <w:tcW w:w="91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1134" w:type="dxa"/>
            <w:vMerge w:val="continue"/>
            <w:vAlign w:val="center"/>
          </w:tcPr>
          <w:p>
            <w:pPr>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71" w:hRule="atLeast"/>
        </w:trPr>
        <w:tc>
          <w:tcPr>
            <w:tcW w:w="60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5</w:t>
            </w:r>
          </w:p>
        </w:tc>
        <w:tc>
          <w:tcPr>
            <w:tcW w:w="1288" w:type="dxa"/>
            <w:vAlign w:val="center"/>
          </w:tcPr>
          <w:p>
            <w:pPr>
              <w:spacing w:line="240" w:lineRule="auto"/>
              <w:ind w:firstLine="0" w:firstLineChars="0"/>
              <w:jc w:val="center"/>
              <w:rPr>
                <w:color w:val="000000" w:themeColor="text1"/>
                <w:sz w:val="21"/>
                <w:szCs w:val="21"/>
              </w:rPr>
            </w:pPr>
            <w:r>
              <w:rPr>
                <w:color w:val="000000" w:themeColor="text1"/>
                <w:sz w:val="21"/>
                <w:szCs w:val="21"/>
              </w:rPr>
              <w:t>物料堆场扬尘</w:t>
            </w:r>
          </w:p>
        </w:tc>
        <w:tc>
          <w:tcPr>
            <w:tcW w:w="1039" w:type="dxa"/>
            <w:vAlign w:val="center"/>
          </w:tcPr>
          <w:p>
            <w:pPr>
              <w:spacing w:line="240" w:lineRule="auto"/>
              <w:ind w:firstLine="0" w:firstLineChars="0"/>
              <w:jc w:val="center"/>
              <w:rPr>
                <w:color w:val="000000" w:themeColor="text1"/>
                <w:sz w:val="21"/>
                <w:szCs w:val="21"/>
              </w:rPr>
            </w:pPr>
            <w:r>
              <w:rPr>
                <w:color w:val="000000" w:themeColor="text1"/>
                <w:sz w:val="21"/>
                <w:szCs w:val="21"/>
              </w:rPr>
              <w:t>颗粒物</w:t>
            </w:r>
          </w:p>
        </w:tc>
        <w:tc>
          <w:tcPr>
            <w:tcW w:w="1128" w:type="dxa"/>
            <w:vAlign w:val="center"/>
          </w:tcPr>
          <w:p>
            <w:pPr>
              <w:pStyle w:val="78"/>
              <w:spacing w:line="240" w:lineRule="auto"/>
              <w:ind w:firstLine="0" w:firstLineChars="0"/>
              <w:jc w:val="center"/>
              <w:rPr>
                <w:color w:val="000000" w:themeColor="text1"/>
                <w:sz w:val="21"/>
                <w:szCs w:val="21"/>
              </w:rPr>
            </w:pPr>
            <w:r>
              <w:rPr>
                <w:color w:val="000000" w:themeColor="text1"/>
                <w:sz w:val="21"/>
                <w:szCs w:val="21"/>
              </w:rPr>
              <w:t>2.66</w:t>
            </w:r>
          </w:p>
        </w:tc>
        <w:tc>
          <w:tcPr>
            <w:tcW w:w="985"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10" w:type="dxa"/>
            <w:vAlign w:val="center"/>
          </w:tcPr>
          <w:p>
            <w:pPr>
              <w:spacing w:line="240" w:lineRule="auto"/>
              <w:ind w:firstLine="0" w:firstLineChars="0"/>
              <w:jc w:val="center"/>
              <w:rPr>
                <w:color w:val="000000" w:themeColor="text1"/>
                <w:sz w:val="21"/>
                <w:szCs w:val="21"/>
              </w:rPr>
            </w:pPr>
            <w:r>
              <w:rPr>
                <w:color w:val="000000" w:themeColor="text1"/>
                <w:sz w:val="21"/>
                <w:szCs w:val="21"/>
              </w:rPr>
              <w:t>无组织</w:t>
            </w:r>
          </w:p>
        </w:tc>
        <w:tc>
          <w:tcPr>
            <w:tcW w:w="143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Theme="minorEastAsia"/>
                <w:color w:val="000000" w:themeColor="text1"/>
                <w:kern w:val="24"/>
                <w:sz w:val="21"/>
                <w:szCs w:val="21"/>
              </w:rPr>
              <w:t>设置堆棚形式，三面围挡+遮雨棚</w:t>
            </w:r>
            <w:r>
              <w:rPr>
                <w:rFonts w:hint="eastAsia" w:eastAsiaTheme="minorEastAsia"/>
                <w:color w:val="000000" w:themeColor="text1"/>
                <w:kern w:val="24"/>
                <w:sz w:val="21"/>
                <w:szCs w:val="21"/>
              </w:rPr>
              <w:t>，机制砂</w:t>
            </w:r>
            <w:r>
              <w:rPr>
                <w:rFonts w:eastAsiaTheme="minorEastAsia"/>
                <w:color w:val="000000" w:themeColor="text1"/>
                <w:kern w:val="24"/>
                <w:sz w:val="21"/>
                <w:szCs w:val="21"/>
              </w:rPr>
              <w:t>堆棚设置喷淋装置</w:t>
            </w:r>
          </w:p>
        </w:tc>
        <w:tc>
          <w:tcPr>
            <w:tcW w:w="76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是</w:t>
            </w:r>
          </w:p>
        </w:tc>
        <w:tc>
          <w:tcPr>
            <w:tcW w:w="88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w:t>
            </w:r>
          </w:p>
        </w:tc>
        <w:tc>
          <w:tcPr>
            <w:tcW w:w="897"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bCs/>
                <w:color w:val="000000" w:themeColor="text1"/>
                <w:sz w:val="21"/>
                <w:szCs w:val="21"/>
              </w:rPr>
              <w:t>80</w:t>
            </w:r>
          </w:p>
        </w:tc>
        <w:tc>
          <w:tcPr>
            <w:tcW w:w="1218"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0.532</w:t>
            </w:r>
          </w:p>
        </w:tc>
        <w:tc>
          <w:tcPr>
            <w:tcW w:w="1003" w:type="dxa"/>
            <w:vAlign w:val="center"/>
          </w:tcPr>
          <w:p>
            <w:pPr>
              <w:pStyle w:val="78"/>
              <w:spacing w:line="240" w:lineRule="auto"/>
              <w:ind w:firstLine="0" w:firstLineChars="0"/>
              <w:jc w:val="center"/>
              <w:rPr>
                <w:color w:val="000000" w:themeColor="text1"/>
                <w:sz w:val="21"/>
                <w:szCs w:val="21"/>
              </w:rPr>
            </w:pPr>
            <w:r>
              <w:rPr>
                <w:color w:val="000000" w:themeColor="text1"/>
                <w:sz w:val="21"/>
                <w:szCs w:val="21"/>
              </w:rPr>
              <w:t>0.0</w:t>
            </w:r>
            <w:r>
              <w:rPr>
                <w:rFonts w:hint="eastAsia"/>
                <w:color w:val="000000" w:themeColor="text1"/>
                <w:sz w:val="21"/>
                <w:szCs w:val="21"/>
              </w:rPr>
              <w:t>74</w:t>
            </w:r>
          </w:p>
        </w:tc>
        <w:tc>
          <w:tcPr>
            <w:tcW w:w="91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1134" w:type="dxa"/>
            <w:vMerge w:val="continue"/>
            <w:vAlign w:val="center"/>
          </w:tcPr>
          <w:p>
            <w:pPr>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1" w:hRule="atLeast"/>
        </w:trPr>
        <w:tc>
          <w:tcPr>
            <w:tcW w:w="60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w:t>
            </w:r>
          </w:p>
        </w:tc>
        <w:tc>
          <w:tcPr>
            <w:tcW w:w="1288" w:type="dxa"/>
            <w:vAlign w:val="center"/>
          </w:tcPr>
          <w:p>
            <w:pPr>
              <w:spacing w:line="240" w:lineRule="auto"/>
              <w:ind w:firstLine="0" w:firstLineChars="0"/>
              <w:jc w:val="center"/>
              <w:rPr>
                <w:color w:val="000000" w:themeColor="text1"/>
                <w:sz w:val="21"/>
                <w:szCs w:val="21"/>
              </w:rPr>
            </w:pPr>
            <w:r>
              <w:rPr>
                <w:color w:val="000000" w:themeColor="text1"/>
                <w:sz w:val="21"/>
                <w:szCs w:val="21"/>
              </w:rPr>
              <w:t>场内运输粉尘</w:t>
            </w:r>
          </w:p>
        </w:tc>
        <w:tc>
          <w:tcPr>
            <w:tcW w:w="1039" w:type="dxa"/>
            <w:vAlign w:val="center"/>
          </w:tcPr>
          <w:p>
            <w:pPr>
              <w:spacing w:line="240" w:lineRule="auto"/>
              <w:ind w:firstLine="0" w:firstLineChars="0"/>
              <w:jc w:val="center"/>
              <w:rPr>
                <w:color w:val="000000" w:themeColor="text1"/>
                <w:sz w:val="21"/>
                <w:szCs w:val="21"/>
              </w:rPr>
            </w:pPr>
            <w:r>
              <w:rPr>
                <w:color w:val="000000" w:themeColor="text1"/>
                <w:sz w:val="21"/>
                <w:szCs w:val="21"/>
              </w:rPr>
              <w:t>颗粒物</w:t>
            </w:r>
          </w:p>
        </w:tc>
        <w:tc>
          <w:tcPr>
            <w:tcW w:w="1128" w:type="dxa"/>
            <w:vAlign w:val="center"/>
          </w:tcPr>
          <w:p>
            <w:pPr>
              <w:pStyle w:val="78"/>
              <w:spacing w:line="240" w:lineRule="auto"/>
              <w:ind w:firstLine="0" w:firstLineChars="0"/>
              <w:jc w:val="center"/>
              <w:rPr>
                <w:color w:val="000000" w:themeColor="text1"/>
                <w:sz w:val="21"/>
                <w:szCs w:val="21"/>
              </w:rPr>
            </w:pPr>
            <w:r>
              <w:rPr>
                <w:color w:val="000000" w:themeColor="text1"/>
                <w:sz w:val="21"/>
                <w:szCs w:val="21"/>
              </w:rPr>
              <w:t>1.28</w:t>
            </w:r>
          </w:p>
        </w:tc>
        <w:tc>
          <w:tcPr>
            <w:tcW w:w="985"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10" w:type="dxa"/>
            <w:vAlign w:val="center"/>
          </w:tcPr>
          <w:p>
            <w:pPr>
              <w:spacing w:line="240" w:lineRule="auto"/>
              <w:ind w:firstLine="0" w:firstLineChars="0"/>
              <w:jc w:val="center"/>
              <w:rPr>
                <w:color w:val="000000" w:themeColor="text1"/>
                <w:sz w:val="21"/>
                <w:szCs w:val="21"/>
              </w:rPr>
            </w:pPr>
            <w:r>
              <w:rPr>
                <w:color w:val="000000" w:themeColor="text1"/>
                <w:sz w:val="21"/>
                <w:szCs w:val="21"/>
              </w:rPr>
              <w:t>无组织</w:t>
            </w:r>
          </w:p>
        </w:tc>
        <w:tc>
          <w:tcPr>
            <w:tcW w:w="143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厂区道路进行硬化</w:t>
            </w:r>
            <w:r>
              <w:rPr>
                <w:rFonts w:hint="eastAsia" w:eastAsia="宋体"/>
                <w:color w:val="000000" w:themeColor="text1"/>
                <w:sz w:val="21"/>
                <w:szCs w:val="21"/>
              </w:rPr>
              <w:t>，定时洒水降尘</w:t>
            </w:r>
          </w:p>
        </w:tc>
        <w:tc>
          <w:tcPr>
            <w:tcW w:w="76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是</w:t>
            </w:r>
          </w:p>
        </w:tc>
        <w:tc>
          <w:tcPr>
            <w:tcW w:w="88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w:t>
            </w:r>
          </w:p>
        </w:tc>
        <w:tc>
          <w:tcPr>
            <w:tcW w:w="897"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bCs/>
                <w:color w:val="000000" w:themeColor="text1"/>
                <w:sz w:val="21"/>
                <w:szCs w:val="21"/>
              </w:rPr>
              <w:t>80</w:t>
            </w:r>
          </w:p>
        </w:tc>
        <w:tc>
          <w:tcPr>
            <w:tcW w:w="1218"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0.256</w:t>
            </w:r>
          </w:p>
        </w:tc>
        <w:tc>
          <w:tcPr>
            <w:tcW w:w="1003" w:type="dxa"/>
            <w:vAlign w:val="center"/>
          </w:tcPr>
          <w:p>
            <w:pPr>
              <w:pStyle w:val="78"/>
              <w:spacing w:line="240" w:lineRule="auto"/>
              <w:ind w:firstLine="0" w:firstLineChars="0"/>
              <w:jc w:val="center"/>
              <w:rPr>
                <w:color w:val="000000" w:themeColor="text1"/>
                <w:sz w:val="21"/>
                <w:szCs w:val="21"/>
              </w:rPr>
            </w:pPr>
            <w:r>
              <w:rPr>
                <w:color w:val="000000" w:themeColor="text1"/>
                <w:sz w:val="21"/>
                <w:szCs w:val="21"/>
              </w:rPr>
              <w:t>0.</w:t>
            </w:r>
            <w:r>
              <w:rPr>
                <w:rFonts w:hint="eastAsia"/>
                <w:color w:val="000000" w:themeColor="text1"/>
                <w:sz w:val="21"/>
                <w:szCs w:val="21"/>
              </w:rPr>
              <w:t>55</w:t>
            </w:r>
          </w:p>
        </w:tc>
        <w:tc>
          <w:tcPr>
            <w:tcW w:w="91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1134" w:type="dxa"/>
            <w:vMerge w:val="continue"/>
            <w:vAlign w:val="center"/>
          </w:tcPr>
          <w:p>
            <w:pPr>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5" w:hRule="atLeast"/>
        </w:trPr>
        <w:tc>
          <w:tcPr>
            <w:tcW w:w="60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7</w:t>
            </w:r>
          </w:p>
        </w:tc>
        <w:tc>
          <w:tcPr>
            <w:tcW w:w="1288" w:type="dxa"/>
            <w:vAlign w:val="center"/>
          </w:tcPr>
          <w:p>
            <w:pPr>
              <w:pStyle w:val="78"/>
              <w:spacing w:line="240" w:lineRule="auto"/>
              <w:ind w:firstLine="0" w:firstLineChars="0"/>
              <w:jc w:val="center"/>
              <w:rPr>
                <w:color w:val="000000" w:themeColor="text1"/>
                <w:sz w:val="21"/>
                <w:szCs w:val="21"/>
              </w:rPr>
            </w:pPr>
            <w:r>
              <w:rPr>
                <w:color w:val="000000" w:themeColor="text1"/>
                <w:sz w:val="21"/>
                <w:szCs w:val="21"/>
              </w:rPr>
              <w:t>原料卸载粉尘</w:t>
            </w:r>
          </w:p>
        </w:tc>
        <w:tc>
          <w:tcPr>
            <w:tcW w:w="1039" w:type="dxa"/>
            <w:vAlign w:val="center"/>
          </w:tcPr>
          <w:p>
            <w:pPr>
              <w:spacing w:line="240" w:lineRule="auto"/>
              <w:ind w:firstLine="0" w:firstLineChars="0"/>
              <w:jc w:val="center"/>
              <w:rPr>
                <w:color w:val="000000" w:themeColor="text1"/>
                <w:sz w:val="21"/>
                <w:szCs w:val="21"/>
              </w:rPr>
            </w:pPr>
            <w:r>
              <w:rPr>
                <w:color w:val="000000" w:themeColor="text1"/>
                <w:sz w:val="21"/>
                <w:szCs w:val="21"/>
              </w:rPr>
              <w:t>颗粒物</w:t>
            </w:r>
          </w:p>
        </w:tc>
        <w:tc>
          <w:tcPr>
            <w:tcW w:w="1128" w:type="dxa"/>
            <w:vAlign w:val="center"/>
          </w:tcPr>
          <w:p>
            <w:pPr>
              <w:pStyle w:val="78"/>
              <w:spacing w:line="240" w:lineRule="auto"/>
              <w:ind w:firstLine="0" w:firstLineChars="0"/>
              <w:jc w:val="center"/>
              <w:rPr>
                <w:color w:val="000000" w:themeColor="text1"/>
                <w:sz w:val="21"/>
                <w:szCs w:val="21"/>
              </w:rPr>
            </w:pPr>
            <w:r>
              <w:rPr>
                <w:color w:val="000000" w:themeColor="text1"/>
                <w:sz w:val="21"/>
                <w:szCs w:val="21"/>
              </w:rPr>
              <w:t>0.76</w:t>
            </w:r>
            <w:r>
              <w:rPr>
                <w:rFonts w:hint="eastAsia"/>
                <w:color w:val="000000" w:themeColor="text1"/>
                <w:sz w:val="21"/>
                <w:szCs w:val="21"/>
              </w:rPr>
              <w:t>7</w:t>
            </w:r>
          </w:p>
        </w:tc>
        <w:tc>
          <w:tcPr>
            <w:tcW w:w="985"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10" w:type="dxa"/>
            <w:vAlign w:val="center"/>
          </w:tcPr>
          <w:p>
            <w:pPr>
              <w:spacing w:line="240" w:lineRule="auto"/>
              <w:ind w:firstLine="0" w:firstLineChars="0"/>
              <w:jc w:val="center"/>
              <w:rPr>
                <w:color w:val="000000" w:themeColor="text1"/>
                <w:sz w:val="21"/>
                <w:szCs w:val="21"/>
              </w:rPr>
            </w:pPr>
            <w:r>
              <w:rPr>
                <w:color w:val="000000" w:themeColor="text1"/>
                <w:sz w:val="21"/>
                <w:szCs w:val="21"/>
              </w:rPr>
              <w:t>无组织</w:t>
            </w:r>
          </w:p>
        </w:tc>
        <w:tc>
          <w:tcPr>
            <w:tcW w:w="143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使用移动式雾炮机进行喷雾降尘，并且原料采用堆棚形式，堆棚三面围挡+遮雨棚</w:t>
            </w:r>
          </w:p>
        </w:tc>
        <w:tc>
          <w:tcPr>
            <w:tcW w:w="76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88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897" w:type="dxa"/>
            <w:vAlign w:val="center"/>
          </w:tcPr>
          <w:p>
            <w:pPr>
              <w:pStyle w:val="75"/>
              <w:kinsoku w:val="0"/>
              <w:overflowPunct w:val="0"/>
              <w:autoSpaceDE w:val="0"/>
              <w:snapToGrid w:val="0"/>
              <w:spacing w:line="240" w:lineRule="auto"/>
              <w:ind w:firstLine="0" w:firstLineChars="0"/>
              <w:rPr>
                <w:rFonts w:eastAsia="宋体"/>
                <w:bCs/>
                <w:color w:val="000000" w:themeColor="text1"/>
                <w:sz w:val="21"/>
                <w:szCs w:val="21"/>
              </w:rPr>
            </w:pPr>
            <w:r>
              <w:rPr>
                <w:rFonts w:hint="eastAsia" w:eastAsia="宋体"/>
                <w:bCs/>
                <w:color w:val="000000" w:themeColor="text1"/>
                <w:sz w:val="21"/>
                <w:szCs w:val="21"/>
              </w:rPr>
              <w:t>80</w:t>
            </w:r>
          </w:p>
        </w:tc>
        <w:tc>
          <w:tcPr>
            <w:tcW w:w="1218"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0.153</w:t>
            </w:r>
          </w:p>
        </w:tc>
        <w:tc>
          <w:tcPr>
            <w:tcW w:w="1003" w:type="dxa"/>
            <w:vAlign w:val="center"/>
          </w:tcPr>
          <w:p>
            <w:pPr>
              <w:pStyle w:val="78"/>
              <w:spacing w:line="240" w:lineRule="auto"/>
              <w:ind w:firstLine="0" w:firstLineChars="0"/>
              <w:jc w:val="center"/>
              <w:rPr>
                <w:color w:val="000000" w:themeColor="text1"/>
                <w:sz w:val="21"/>
                <w:szCs w:val="21"/>
              </w:rPr>
            </w:pPr>
            <w:r>
              <w:rPr>
                <w:color w:val="000000" w:themeColor="text1"/>
                <w:sz w:val="21"/>
                <w:szCs w:val="21"/>
              </w:rPr>
              <w:t>0.</w:t>
            </w:r>
            <w:r>
              <w:rPr>
                <w:rFonts w:hint="eastAsia"/>
                <w:color w:val="000000" w:themeColor="text1"/>
                <w:sz w:val="21"/>
                <w:szCs w:val="21"/>
              </w:rPr>
              <w:t>5</w:t>
            </w:r>
          </w:p>
        </w:tc>
        <w:tc>
          <w:tcPr>
            <w:tcW w:w="91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1134" w:type="dxa"/>
            <w:vMerge w:val="continue"/>
            <w:vAlign w:val="center"/>
          </w:tcPr>
          <w:p>
            <w:pPr>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63" w:hRule="atLeast"/>
        </w:trPr>
        <w:tc>
          <w:tcPr>
            <w:tcW w:w="60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8</w:t>
            </w:r>
          </w:p>
        </w:tc>
        <w:tc>
          <w:tcPr>
            <w:tcW w:w="1288" w:type="dxa"/>
            <w:vAlign w:val="center"/>
          </w:tcPr>
          <w:p>
            <w:pPr>
              <w:pStyle w:val="78"/>
              <w:spacing w:line="240" w:lineRule="auto"/>
              <w:ind w:firstLine="0" w:firstLineChars="0"/>
              <w:jc w:val="center"/>
              <w:rPr>
                <w:color w:val="000000" w:themeColor="text1"/>
                <w:sz w:val="21"/>
                <w:szCs w:val="21"/>
              </w:rPr>
            </w:pPr>
            <w:r>
              <w:rPr>
                <w:color w:val="000000" w:themeColor="text1"/>
                <w:sz w:val="21"/>
                <w:szCs w:val="21"/>
              </w:rPr>
              <w:t>成品</w:t>
            </w:r>
            <w:r>
              <w:rPr>
                <w:rFonts w:hint="eastAsia"/>
                <w:color w:val="000000" w:themeColor="text1"/>
                <w:sz w:val="21"/>
                <w:szCs w:val="21"/>
              </w:rPr>
              <w:t>及副产品</w:t>
            </w:r>
            <w:r>
              <w:rPr>
                <w:color w:val="000000" w:themeColor="text1"/>
                <w:sz w:val="21"/>
                <w:szCs w:val="21"/>
              </w:rPr>
              <w:t>装载粉尘</w:t>
            </w:r>
          </w:p>
        </w:tc>
        <w:tc>
          <w:tcPr>
            <w:tcW w:w="1039" w:type="dxa"/>
            <w:vAlign w:val="center"/>
          </w:tcPr>
          <w:p>
            <w:pPr>
              <w:spacing w:line="240" w:lineRule="auto"/>
              <w:ind w:firstLine="0" w:firstLineChars="0"/>
              <w:jc w:val="center"/>
              <w:rPr>
                <w:color w:val="000000" w:themeColor="text1"/>
                <w:sz w:val="21"/>
                <w:szCs w:val="21"/>
              </w:rPr>
            </w:pPr>
            <w:r>
              <w:rPr>
                <w:color w:val="000000" w:themeColor="text1"/>
                <w:sz w:val="21"/>
                <w:szCs w:val="21"/>
              </w:rPr>
              <w:t>颗粒物</w:t>
            </w:r>
          </w:p>
        </w:tc>
        <w:tc>
          <w:tcPr>
            <w:tcW w:w="1128"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5.052</w:t>
            </w:r>
          </w:p>
        </w:tc>
        <w:tc>
          <w:tcPr>
            <w:tcW w:w="985"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10" w:type="dxa"/>
            <w:vAlign w:val="center"/>
          </w:tcPr>
          <w:p>
            <w:pPr>
              <w:spacing w:line="240" w:lineRule="auto"/>
              <w:ind w:firstLine="0" w:firstLineChars="0"/>
              <w:jc w:val="center"/>
              <w:rPr>
                <w:color w:val="000000" w:themeColor="text1"/>
                <w:sz w:val="21"/>
                <w:szCs w:val="21"/>
              </w:rPr>
            </w:pPr>
            <w:r>
              <w:rPr>
                <w:color w:val="000000" w:themeColor="text1"/>
                <w:sz w:val="21"/>
                <w:szCs w:val="21"/>
              </w:rPr>
              <w:t>无组织</w:t>
            </w:r>
          </w:p>
        </w:tc>
        <w:tc>
          <w:tcPr>
            <w:tcW w:w="143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采取喷雾洒水等抑尘措施</w:t>
            </w:r>
            <w:r>
              <w:rPr>
                <w:rStyle w:val="73"/>
                <w:rFonts w:hint="eastAsia" w:eastAsia="宋体"/>
                <w:color w:val="000000" w:themeColor="text1"/>
                <w:kern w:val="0"/>
              </w:rPr>
              <w:t>，成品库设棚</w:t>
            </w:r>
          </w:p>
        </w:tc>
        <w:tc>
          <w:tcPr>
            <w:tcW w:w="76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是</w:t>
            </w:r>
          </w:p>
        </w:tc>
        <w:tc>
          <w:tcPr>
            <w:tcW w:w="88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w:t>
            </w:r>
          </w:p>
        </w:tc>
        <w:tc>
          <w:tcPr>
            <w:tcW w:w="897"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bCs/>
                <w:color w:val="000000" w:themeColor="text1"/>
                <w:sz w:val="21"/>
                <w:szCs w:val="21"/>
              </w:rPr>
              <w:t>/</w:t>
            </w:r>
          </w:p>
        </w:tc>
        <w:tc>
          <w:tcPr>
            <w:tcW w:w="1218"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0.255</w:t>
            </w:r>
          </w:p>
        </w:tc>
        <w:tc>
          <w:tcPr>
            <w:tcW w:w="1003" w:type="dxa"/>
            <w:vAlign w:val="center"/>
          </w:tcPr>
          <w:p>
            <w:pPr>
              <w:pStyle w:val="78"/>
              <w:spacing w:line="240" w:lineRule="auto"/>
              <w:ind w:firstLine="0" w:firstLineChars="0"/>
              <w:jc w:val="center"/>
              <w:rPr>
                <w:color w:val="000000" w:themeColor="text1"/>
                <w:sz w:val="21"/>
                <w:szCs w:val="21"/>
              </w:rPr>
            </w:pPr>
            <w:r>
              <w:rPr>
                <w:color w:val="000000" w:themeColor="text1"/>
                <w:sz w:val="21"/>
                <w:szCs w:val="21"/>
              </w:rPr>
              <w:t>0.28</w:t>
            </w:r>
          </w:p>
        </w:tc>
        <w:tc>
          <w:tcPr>
            <w:tcW w:w="91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1134" w:type="dxa"/>
            <w:vMerge w:val="continue"/>
            <w:vAlign w:val="center"/>
          </w:tcPr>
          <w:p>
            <w:pPr>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47" w:hRule="atLeast"/>
        </w:trPr>
        <w:tc>
          <w:tcPr>
            <w:tcW w:w="60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9</w:t>
            </w:r>
          </w:p>
        </w:tc>
        <w:tc>
          <w:tcPr>
            <w:tcW w:w="1288"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未收集粉尘</w:t>
            </w:r>
          </w:p>
        </w:tc>
        <w:tc>
          <w:tcPr>
            <w:tcW w:w="1039" w:type="dxa"/>
            <w:vAlign w:val="center"/>
          </w:tcPr>
          <w:p>
            <w:pPr>
              <w:spacing w:line="240" w:lineRule="auto"/>
              <w:ind w:firstLine="0" w:firstLineChars="0"/>
              <w:jc w:val="center"/>
              <w:rPr>
                <w:color w:val="000000" w:themeColor="text1"/>
                <w:sz w:val="21"/>
                <w:szCs w:val="21"/>
              </w:rPr>
            </w:pPr>
            <w:r>
              <w:rPr>
                <w:color w:val="000000" w:themeColor="text1"/>
                <w:sz w:val="21"/>
                <w:szCs w:val="21"/>
              </w:rPr>
              <w:t>颗粒物</w:t>
            </w:r>
          </w:p>
        </w:tc>
        <w:tc>
          <w:tcPr>
            <w:tcW w:w="1128"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985" w:type="dxa"/>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1110" w:type="dxa"/>
            <w:vAlign w:val="center"/>
          </w:tcPr>
          <w:p>
            <w:pPr>
              <w:spacing w:line="240" w:lineRule="auto"/>
              <w:ind w:firstLine="0" w:firstLineChars="0"/>
              <w:jc w:val="center"/>
              <w:rPr>
                <w:color w:val="000000" w:themeColor="text1"/>
                <w:sz w:val="21"/>
                <w:szCs w:val="21"/>
              </w:rPr>
            </w:pPr>
            <w:r>
              <w:rPr>
                <w:color w:val="000000" w:themeColor="text1"/>
                <w:sz w:val="21"/>
                <w:szCs w:val="21"/>
              </w:rPr>
              <w:t>无组织</w:t>
            </w:r>
          </w:p>
        </w:tc>
        <w:tc>
          <w:tcPr>
            <w:tcW w:w="143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 xml:space="preserve">合理设计破碎、筛分产尘点集气罩及位置，选用合理的风量、风压，提高集气效率 </w:t>
            </w:r>
          </w:p>
        </w:tc>
        <w:tc>
          <w:tcPr>
            <w:tcW w:w="76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88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eastAsia="宋体"/>
                <w:color w:val="000000" w:themeColor="text1"/>
                <w:sz w:val="21"/>
                <w:szCs w:val="21"/>
              </w:rPr>
              <w:t>/</w:t>
            </w:r>
          </w:p>
        </w:tc>
        <w:tc>
          <w:tcPr>
            <w:tcW w:w="897"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1218"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11.89</w:t>
            </w:r>
          </w:p>
        </w:tc>
        <w:tc>
          <w:tcPr>
            <w:tcW w:w="1003"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1.65</w:t>
            </w:r>
          </w:p>
        </w:tc>
        <w:tc>
          <w:tcPr>
            <w:tcW w:w="91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1134" w:type="dxa"/>
            <w:vMerge w:val="continue"/>
            <w:vAlign w:val="center"/>
          </w:tcPr>
          <w:p>
            <w:pPr>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2" w:hRule="atLeast"/>
        </w:trPr>
        <w:tc>
          <w:tcPr>
            <w:tcW w:w="2927" w:type="dxa"/>
            <w:gridSpan w:val="3"/>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小计</w:t>
            </w:r>
          </w:p>
        </w:tc>
        <w:tc>
          <w:tcPr>
            <w:tcW w:w="1128"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98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1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43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764"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88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w:t>
            </w:r>
          </w:p>
        </w:tc>
        <w:tc>
          <w:tcPr>
            <w:tcW w:w="897" w:type="dxa"/>
            <w:vAlign w:val="center"/>
          </w:tcPr>
          <w:p>
            <w:pPr>
              <w:pStyle w:val="75"/>
              <w:kinsoku w:val="0"/>
              <w:overflowPunct w:val="0"/>
              <w:autoSpaceDE w:val="0"/>
              <w:snapToGrid w:val="0"/>
              <w:spacing w:line="240" w:lineRule="auto"/>
              <w:ind w:firstLine="0" w:firstLineChars="0"/>
              <w:rPr>
                <w:rFonts w:eastAsia="宋体"/>
                <w:bCs/>
                <w:color w:val="000000" w:themeColor="text1"/>
                <w:sz w:val="21"/>
                <w:szCs w:val="21"/>
              </w:rPr>
            </w:pPr>
            <w:r>
              <w:rPr>
                <w:rFonts w:hint="eastAsia" w:eastAsia="宋体"/>
                <w:bCs/>
                <w:color w:val="000000" w:themeColor="text1"/>
                <w:sz w:val="21"/>
                <w:szCs w:val="21"/>
              </w:rPr>
              <w:t>/</w:t>
            </w:r>
          </w:p>
        </w:tc>
        <w:tc>
          <w:tcPr>
            <w:tcW w:w="1218"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13.521</w:t>
            </w:r>
          </w:p>
        </w:tc>
        <w:tc>
          <w:tcPr>
            <w:tcW w:w="1003" w:type="dxa"/>
            <w:vAlign w:val="center"/>
          </w:tcPr>
          <w:p>
            <w:pPr>
              <w:pStyle w:val="75"/>
              <w:kinsoku w:val="0"/>
              <w:overflowPunct w:val="0"/>
              <w:autoSpaceDE w:val="0"/>
              <w:snapToGrid w:val="0"/>
              <w:spacing w:line="240" w:lineRule="auto"/>
              <w:ind w:firstLine="0" w:firstLineChars="0"/>
              <w:rPr>
                <w:rFonts w:eastAsia="宋体"/>
                <w:color w:val="000000" w:themeColor="text1"/>
                <w:sz w:val="21"/>
                <w:szCs w:val="21"/>
              </w:rPr>
            </w:pPr>
            <w:r>
              <w:rPr>
                <w:rFonts w:hint="eastAsia" w:eastAsia="宋体"/>
                <w:color w:val="000000" w:themeColor="text1"/>
                <w:sz w:val="21"/>
                <w:szCs w:val="21"/>
              </w:rPr>
              <w:t>3.225</w:t>
            </w:r>
          </w:p>
        </w:tc>
        <w:tc>
          <w:tcPr>
            <w:tcW w:w="914"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134"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r>
    </w:tbl>
    <w:p>
      <w:pPr>
        <w:pStyle w:val="78"/>
        <w:ind w:firstLine="422"/>
        <w:jc w:val="center"/>
        <w:rPr>
          <w:b/>
          <w:bCs/>
          <w:color w:val="000000" w:themeColor="text1"/>
          <w:sz w:val="21"/>
          <w:szCs w:val="21"/>
        </w:rPr>
        <w:sectPr>
          <w:pgSz w:w="16838" w:h="11906" w:orient="landscape"/>
          <w:pgMar w:top="1417" w:right="1440" w:bottom="1417" w:left="1440" w:header="850" w:footer="992" w:gutter="0"/>
          <w:pgNumType w:fmt="numberInDash"/>
          <w:cols w:space="425" w:num="1"/>
          <w:docGrid w:type="lines" w:linePitch="326" w:charSpace="0"/>
        </w:sectPr>
      </w:pPr>
    </w:p>
    <w:p>
      <w:pPr>
        <w:pStyle w:val="78"/>
        <w:ind w:firstLine="0" w:firstLineChars="0"/>
        <w:rPr>
          <w:color w:val="000000" w:themeColor="text1"/>
          <w:szCs w:val="24"/>
        </w:rPr>
      </w:pPr>
    </w:p>
    <w:p>
      <w:pPr>
        <w:adjustRightInd w:val="0"/>
        <w:snapToGrid w:val="0"/>
        <w:ind w:firstLine="361" w:firstLineChars="150"/>
        <w:rPr>
          <w:b/>
          <w:color w:val="000000" w:themeColor="text1"/>
        </w:rPr>
      </w:pPr>
      <w:r>
        <w:rPr>
          <w:b/>
          <w:bCs/>
          <w:color w:val="000000" w:themeColor="text1"/>
          <w:szCs w:val="24"/>
        </w:rPr>
        <w:t>（3）</w:t>
      </w:r>
      <w:r>
        <w:rPr>
          <w:b/>
          <w:color w:val="000000" w:themeColor="text1"/>
        </w:rPr>
        <w:t>大气污染物非正常排放条件的设计</w:t>
      </w:r>
    </w:p>
    <w:p>
      <w:pPr>
        <w:adjustRightInd w:val="0"/>
        <w:snapToGrid w:val="0"/>
        <w:ind w:firstLine="480"/>
        <w:rPr>
          <w:b/>
          <w:color w:val="000000" w:themeColor="text1"/>
          <w:sz w:val="21"/>
          <w:szCs w:val="21"/>
        </w:rPr>
      </w:pPr>
      <w:r>
        <w:rPr>
          <w:color w:val="000000" w:themeColor="text1"/>
        </w:rPr>
        <w:t>建设项目引起颗粒物非正常排放的因素和环节较多，但无论何种原因，其结果均与治理设施不能正常运转有关。建设项目投产后，全厂污染物有组织排放点2个，非正常排放主要针对布袋除尘颗粒物非正常排放。因此，项目大气污染物非正常排放条件按布袋除尘设施运行不正常条件下进行设计，即当布袋破损出现故障，此时除尘效率下降到</w:t>
      </w:r>
      <w:r>
        <w:rPr>
          <w:rFonts w:hint="eastAsia"/>
          <w:color w:val="000000" w:themeColor="text1"/>
        </w:rPr>
        <w:t>8</w:t>
      </w:r>
      <w:r>
        <w:rPr>
          <w:color w:val="000000" w:themeColor="text1"/>
        </w:rPr>
        <w:t>0%，其它排放源正常工作。其源强详见表4.4-</w:t>
      </w:r>
      <w:r>
        <w:rPr>
          <w:rFonts w:hint="eastAsia"/>
          <w:color w:val="000000" w:themeColor="text1"/>
        </w:rPr>
        <w:t>5</w:t>
      </w:r>
      <w:r>
        <w:rPr>
          <w:color w:val="000000" w:themeColor="text1"/>
        </w:rPr>
        <w:t>。</w:t>
      </w:r>
    </w:p>
    <w:p>
      <w:pPr>
        <w:ind w:firstLine="0" w:firstLineChars="0"/>
        <w:jc w:val="center"/>
        <w:rPr>
          <w:b/>
          <w:color w:val="000000" w:themeColor="text1"/>
          <w:sz w:val="21"/>
          <w:szCs w:val="21"/>
        </w:rPr>
      </w:pPr>
      <w:r>
        <w:rPr>
          <w:b/>
          <w:color w:val="000000" w:themeColor="text1"/>
          <w:sz w:val="21"/>
          <w:szCs w:val="21"/>
        </w:rPr>
        <w:t>表4.4-</w:t>
      </w:r>
      <w:r>
        <w:rPr>
          <w:rFonts w:hint="eastAsia"/>
          <w:b/>
          <w:color w:val="000000" w:themeColor="text1"/>
          <w:sz w:val="21"/>
          <w:szCs w:val="21"/>
        </w:rPr>
        <w:t>5</w:t>
      </w:r>
      <w:r>
        <w:rPr>
          <w:b/>
          <w:color w:val="000000" w:themeColor="text1"/>
          <w:sz w:val="21"/>
          <w:szCs w:val="21"/>
        </w:rPr>
        <w:t>布袋除尘非正常排放源强</w:t>
      </w:r>
    </w:p>
    <w:tbl>
      <w:tblPr>
        <w:tblStyle w:val="61"/>
        <w:tblW w:w="928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1071"/>
        <w:gridCol w:w="1285"/>
        <w:gridCol w:w="1290"/>
        <w:gridCol w:w="1279"/>
        <w:gridCol w:w="1285"/>
        <w:gridCol w:w="14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8" w:hRule="atLeast"/>
          <w:jc w:val="center"/>
        </w:trPr>
        <w:tc>
          <w:tcPr>
            <w:tcW w:w="1600" w:type="dxa"/>
            <w:vMerge w:val="restart"/>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污染物名称</w:t>
            </w:r>
          </w:p>
        </w:tc>
        <w:tc>
          <w:tcPr>
            <w:tcW w:w="3646" w:type="dxa"/>
            <w:gridSpan w:val="3"/>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正常排放</w:t>
            </w:r>
          </w:p>
        </w:tc>
        <w:tc>
          <w:tcPr>
            <w:tcW w:w="4035" w:type="dxa"/>
            <w:gridSpan w:val="3"/>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非正常排放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6" w:hRule="atLeast"/>
          <w:jc w:val="center"/>
        </w:trPr>
        <w:tc>
          <w:tcPr>
            <w:tcW w:w="1600" w:type="dxa"/>
            <w:vMerge w:val="continue"/>
            <w:vAlign w:val="center"/>
          </w:tcPr>
          <w:p>
            <w:pPr>
              <w:adjustRightInd w:val="0"/>
              <w:snapToGrid w:val="0"/>
              <w:spacing w:line="240" w:lineRule="auto"/>
              <w:ind w:firstLine="0" w:firstLineChars="0"/>
              <w:jc w:val="center"/>
              <w:rPr>
                <w:color w:val="000000" w:themeColor="text1"/>
                <w:sz w:val="21"/>
                <w:szCs w:val="21"/>
              </w:rPr>
            </w:pPr>
          </w:p>
        </w:tc>
        <w:tc>
          <w:tcPr>
            <w:tcW w:w="107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净化效率</w:t>
            </w:r>
          </w:p>
          <w:p>
            <w:pPr>
              <w:adjustRightInd w:val="0"/>
              <w:snapToGrid w:val="0"/>
              <w:spacing w:line="240" w:lineRule="auto"/>
              <w:ind w:firstLine="0" w:firstLineChars="0"/>
              <w:jc w:val="center"/>
              <w:rPr>
                <w:color w:val="000000" w:themeColor="text1"/>
                <w:sz w:val="21"/>
                <w:szCs w:val="21"/>
              </w:rPr>
            </w:pPr>
            <w:r>
              <w:rPr>
                <w:color w:val="000000" w:themeColor="text1"/>
                <w:sz w:val="21"/>
                <w:szCs w:val="21"/>
              </w:rPr>
              <w:t>%</w:t>
            </w:r>
          </w:p>
        </w:tc>
        <w:tc>
          <w:tcPr>
            <w:tcW w:w="128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排放浓度mg/m</w:t>
            </w:r>
            <w:r>
              <w:rPr>
                <w:color w:val="000000" w:themeColor="text1"/>
                <w:sz w:val="21"/>
                <w:szCs w:val="21"/>
                <w:vertAlign w:val="superscript"/>
              </w:rPr>
              <w:t>3</w:t>
            </w:r>
          </w:p>
        </w:tc>
        <w:tc>
          <w:tcPr>
            <w:tcW w:w="12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排放速率kg/h</w:t>
            </w:r>
          </w:p>
        </w:tc>
        <w:tc>
          <w:tcPr>
            <w:tcW w:w="127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净化效率</w:t>
            </w:r>
          </w:p>
          <w:p>
            <w:pPr>
              <w:adjustRightInd w:val="0"/>
              <w:snapToGrid w:val="0"/>
              <w:spacing w:line="240" w:lineRule="auto"/>
              <w:ind w:firstLine="0" w:firstLineChars="0"/>
              <w:jc w:val="center"/>
              <w:rPr>
                <w:color w:val="000000" w:themeColor="text1"/>
                <w:sz w:val="21"/>
                <w:szCs w:val="21"/>
              </w:rPr>
            </w:pPr>
            <w:r>
              <w:rPr>
                <w:color w:val="000000" w:themeColor="text1"/>
                <w:sz w:val="21"/>
                <w:szCs w:val="21"/>
              </w:rPr>
              <w:t>%</w:t>
            </w:r>
          </w:p>
        </w:tc>
        <w:tc>
          <w:tcPr>
            <w:tcW w:w="128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排放速率kg/h</w:t>
            </w:r>
          </w:p>
        </w:tc>
        <w:tc>
          <w:tcPr>
            <w:tcW w:w="147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排放浓度mg/m</w:t>
            </w:r>
            <w:r>
              <w:rPr>
                <w:color w:val="000000" w:themeColor="text1"/>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60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DA001</w:t>
            </w:r>
            <w:r>
              <w:rPr>
                <w:color w:val="000000" w:themeColor="text1"/>
                <w:sz w:val="21"/>
                <w:szCs w:val="21"/>
              </w:rPr>
              <w:t>颗粒物</w:t>
            </w:r>
          </w:p>
        </w:tc>
        <w:tc>
          <w:tcPr>
            <w:tcW w:w="107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99</w:t>
            </w:r>
            <w:r>
              <w:rPr>
                <w:rFonts w:hint="eastAsia"/>
                <w:color w:val="000000" w:themeColor="text1"/>
                <w:sz w:val="21"/>
                <w:szCs w:val="21"/>
              </w:rPr>
              <w:t>.8</w:t>
            </w:r>
            <w:r>
              <w:rPr>
                <w:color w:val="000000" w:themeColor="text1"/>
                <w:sz w:val="21"/>
                <w:szCs w:val="21"/>
              </w:rPr>
              <w:t>%</w:t>
            </w:r>
          </w:p>
        </w:tc>
        <w:tc>
          <w:tcPr>
            <w:tcW w:w="1285"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2.1</w:t>
            </w:r>
          </w:p>
        </w:tc>
        <w:tc>
          <w:tcPr>
            <w:tcW w:w="1290"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0.042</w:t>
            </w:r>
          </w:p>
        </w:tc>
        <w:tc>
          <w:tcPr>
            <w:tcW w:w="1279"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80</w:t>
            </w:r>
          </w:p>
        </w:tc>
        <w:tc>
          <w:tcPr>
            <w:tcW w:w="1285"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4.16</w:t>
            </w:r>
          </w:p>
        </w:tc>
        <w:tc>
          <w:tcPr>
            <w:tcW w:w="1471" w:type="dxa"/>
            <w:vAlign w:val="center"/>
          </w:tcPr>
          <w:p>
            <w:pPr>
              <w:adjustRightInd w:val="0"/>
              <w:snapToGrid w:val="0"/>
              <w:spacing w:line="240" w:lineRule="auto"/>
              <w:ind w:firstLine="0" w:firstLineChars="0"/>
              <w:jc w:val="center"/>
              <w:rPr>
                <w:bCs/>
                <w:color w:val="000000" w:themeColor="text1"/>
                <w:sz w:val="21"/>
                <w:szCs w:val="21"/>
              </w:rPr>
            </w:pPr>
            <w:r>
              <w:rPr>
                <w:rFonts w:hint="eastAsia"/>
                <w:bCs/>
                <w:color w:val="000000" w:themeColor="text1"/>
                <w:sz w:val="21"/>
                <w:szCs w:val="21"/>
              </w:rPr>
              <w:t>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jc w:val="center"/>
        </w:trPr>
        <w:tc>
          <w:tcPr>
            <w:tcW w:w="160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DA002</w:t>
            </w:r>
            <w:r>
              <w:rPr>
                <w:color w:val="000000" w:themeColor="text1"/>
                <w:sz w:val="21"/>
                <w:szCs w:val="21"/>
              </w:rPr>
              <w:t>颗粒物</w:t>
            </w:r>
          </w:p>
        </w:tc>
        <w:tc>
          <w:tcPr>
            <w:tcW w:w="107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99</w:t>
            </w:r>
            <w:r>
              <w:rPr>
                <w:rFonts w:hint="eastAsia"/>
                <w:color w:val="000000" w:themeColor="text1"/>
                <w:sz w:val="21"/>
                <w:szCs w:val="21"/>
              </w:rPr>
              <w:t>.8</w:t>
            </w:r>
            <w:r>
              <w:rPr>
                <w:color w:val="000000" w:themeColor="text1"/>
                <w:sz w:val="21"/>
                <w:szCs w:val="21"/>
              </w:rPr>
              <w:t>%</w:t>
            </w:r>
          </w:p>
        </w:tc>
        <w:tc>
          <w:tcPr>
            <w:tcW w:w="1285"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1.4</w:t>
            </w:r>
          </w:p>
        </w:tc>
        <w:tc>
          <w:tcPr>
            <w:tcW w:w="1290" w:type="dxa"/>
            <w:vAlign w:val="center"/>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0.021</w:t>
            </w:r>
          </w:p>
        </w:tc>
        <w:tc>
          <w:tcPr>
            <w:tcW w:w="1279"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80</w:t>
            </w:r>
          </w:p>
        </w:tc>
        <w:tc>
          <w:tcPr>
            <w:tcW w:w="1285"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2.12</w:t>
            </w:r>
          </w:p>
        </w:tc>
        <w:tc>
          <w:tcPr>
            <w:tcW w:w="1471" w:type="dxa"/>
            <w:vAlign w:val="center"/>
          </w:tcPr>
          <w:p>
            <w:pPr>
              <w:adjustRightInd w:val="0"/>
              <w:snapToGrid w:val="0"/>
              <w:spacing w:line="240" w:lineRule="auto"/>
              <w:ind w:firstLine="0" w:firstLineChars="0"/>
              <w:jc w:val="center"/>
              <w:rPr>
                <w:bCs/>
                <w:color w:val="000000" w:themeColor="text1"/>
                <w:sz w:val="21"/>
                <w:szCs w:val="21"/>
              </w:rPr>
            </w:pPr>
            <w:r>
              <w:rPr>
                <w:rFonts w:hint="eastAsia"/>
                <w:bCs/>
                <w:color w:val="000000" w:themeColor="text1"/>
                <w:sz w:val="21"/>
                <w:szCs w:val="21"/>
              </w:rPr>
              <w:t>141.33</w:t>
            </w:r>
          </w:p>
        </w:tc>
      </w:tr>
    </w:tbl>
    <w:p>
      <w:pPr>
        <w:ind w:firstLine="480"/>
        <w:rPr>
          <w:rFonts w:eastAsiaTheme="minorEastAsia"/>
          <w:color w:val="000000" w:themeColor="text1"/>
        </w:rPr>
      </w:pPr>
      <w:r>
        <w:rPr>
          <w:rFonts w:hint="eastAsia" w:eastAsiaTheme="minorEastAsia"/>
          <w:color w:val="000000" w:themeColor="text1"/>
        </w:rPr>
        <w:t>根据以上表格计算结果，若布袋除尘器出现布袋破损，就会出现颗粒物超标现象，故在日常管理中，加强设备的巡检，若发现布袋破损现象，立即停止生产，并更换布袋，确保颗粒物达标排放。</w:t>
      </w:r>
    </w:p>
    <w:p>
      <w:pPr>
        <w:adjustRightInd w:val="0"/>
        <w:snapToGrid w:val="0"/>
        <w:ind w:firstLine="361" w:firstLineChars="150"/>
        <w:rPr>
          <w:b/>
          <w:bCs/>
          <w:color w:val="000000" w:themeColor="text1"/>
          <w:szCs w:val="24"/>
        </w:rPr>
      </w:pPr>
      <w:r>
        <w:rPr>
          <w:b/>
          <w:bCs/>
          <w:color w:val="000000" w:themeColor="text1"/>
          <w:szCs w:val="24"/>
        </w:rPr>
        <w:t>2、废水排放及治理情况</w:t>
      </w:r>
    </w:p>
    <w:p>
      <w:pPr>
        <w:ind w:firstLine="480"/>
        <w:rPr>
          <w:rFonts w:eastAsiaTheme="minorEastAsia"/>
          <w:color w:val="000000" w:themeColor="text1"/>
        </w:rPr>
      </w:pPr>
      <w:r>
        <w:rPr>
          <w:rFonts w:eastAsiaTheme="minorEastAsia"/>
          <w:color w:val="000000" w:themeColor="text1"/>
        </w:rPr>
        <w:t>项目运营期废水主要为生产废水及生活污水。</w:t>
      </w:r>
    </w:p>
    <w:p>
      <w:pPr>
        <w:adjustRightInd w:val="0"/>
        <w:snapToGrid w:val="0"/>
        <w:ind w:firstLine="361" w:firstLineChars="150"/>
        <w:rPr>
          <w:b/>
          <w:bCs/>
          <w:color w:val="000000" w:themeColor="text1"/>
          <w:szCs w:val="24"/>
        </w:rPr>
      </w:pPr>
      <w:r>
        <w:rPr>
          <w:b/>
          <w:bCs/>
          <w:color w:val="000000" w:themeColor="text1"/>
          <w:szCs w:val="24"/>
        </w:rPr>
        <w:fldChar w:fldCharType="begin"/>
      </w:r>
      <w:r>
        <w:rPr>
          <w:b/>
          <w:bCs/>
          <w:color w:val="000000" w:themeColor="text1"/>
          <w:szCs w:val="24"/>
        </w:rPr>
        <w:instrText xml:space="preserve"> = 1 \* GB3 </w:instrText>
      </w:r>
      <w:r>
        <w:rPr>
          <w:b/>
          <w:bCs/>
          <w:color w:val="000000" w:themeColor="text1"/>
          <w:szCs w:val="24"/>
        </w:rPr>
        <w:fldChar w:fldCharType="separate"/>
      </w:r>
      <w:r>
        <w:rPr>
          <w:b/>
          <w:bCs/>
          <w:color w:val="000000" w:themeColor="text1"/>
          <w:szCs w:val="24"/>
        </w:rPr>
        <w:t>①</w:t>
      </w:r>
      <w:r>
        <w:rPr>
          <w:b/>
          <w:bCs/>
          <w:color w:val="000000" w:themeColor="text1"/>
          <w:szCs w:val="24"/>
        </w:rPr>
        <w:fldChar w:fldCharType="end"/>
      </w:r>
      <w:r>
        <w:rPr>
          <w:b/>
          <w:bCs/>
          <w:color w:val="000000" w:themeColor="text1"/>
          <w:szCs w:val="24"/>
        </w:rPr>
        <w:t>选矿废水</w:t>
      </w:r>
    </w:p>
    <w:p>
      <w:pPr>
        <w:ind w:firstLine="480"/>
        <w:jc w:val="both"/>
        <w:rPr>
          <w:rFonts w:eastAsiaTheme="minorEastAsia"/>
          <w:color w:val="000000" w:themeColor="text1"/>
          <w:szCs w:val="24"/>
        </w:rPr>
      </w:pPr>
      <w:r>
        <w:rPr>
          <w:rFonts w:hint="eastAsia" w:eastAsiaTheme="minorEastAsia"/>
          <w:color w:val="000000" w:themeColor="text1"/>
        </w:rPr>
        <w:t>全厂</w:t>
      </w:r>
      <w:r>
        <w:rPr>
          <w:rFonts w:eastAsiaTheme="minorEastAsia"/>
          <w:color w:val="000000" w:themeColor="text1"/>
        </w:rPr>
        <w:t>生产废水主要为尾矿废水、陶瓷过滤机脱水废水</w:t>
      </w:r>
      <w:r>
        <w:rPr>
          <w:rFonts w:hint="eastAsia" w:eastAsiaTheme="minorEastAsia"/>
          <w:color w:val="000000" w:themeColor="text1"/>
        </w:rPr>
        <w:t>及清洗废水</w:t>
      </w:r>
      <w:r>
        <w:rPr>
          <w:rFonts w:eastAsiaTheme="minorEastAsia"/>
          <w:color w:val="000000" w:themeColor="text1"/>
        </w:rPr>
        <w:t>、尾矿库废水。</w:t>
      </w:r>
      <w:r>
        <w:rPr>
          <w:rFonts w:hint="eastAsia" w:eastAsiaTheme="minorEastAsia"/>
          <w:color w:val="000000" w:themeColor="text1"/>
        </w:rPr>
        <w:t>技改项目陶瓷过滤机压滤水进入原有项目尾矿沉淀池内，尾矿沉淀池</w:t>
      </w:r>
      <w:r>
        <w:rPr>
          <w:rFonts w:eastAsiaTheme="minorEastAsia"/>
          <w:color w:val="000000" w:themeColor="text1"/>
        </w:rPr>
        <w:t>回用量为</w:t>
      </w:r>
      <w:r>
        <w:rPr>
          <w:rFonts w:hint="eastAsia" w:eastAsiaTheme="minorEastAsia"/>
          <w:color w:val="000000" w:themeColor="text1"/>
        </w:rPr>
        <w:t>848.365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eastAsiaTheme="minorEastAsia"/>
          <w:color w:val="000000" w:themeColor="text1"/>
          <w:szCs w:val="24"/>
        </w:rPr>
        <w:t>尾矿进入尾矿库带走水量为</w:t>
      </w:r>
      <w:r>
        <w:rPr>
          <w:rFonts w:hint="eastAsia" w:eastAsiaTheme="minorEastAsia"/>
          <w:color w:val="000000" w:themeColor="text1"/>
          <w:szCs w:val="24"/>
        </w:rPr>
        <w:t>89.5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eastAsiaTheme="minorEastAsia"/>
          <w:color w:val="000000" w:themeColor="text1"/>
          <w:szCs w:val="24"/>
        </w:rPr>
        <w:t>，经尾矿库澄清后，上清液通过库内回水系统扬送至高位水池，</w:t>
      </w:r>
      <w:r>
        <w:rPr>
          <w:rFonts w:hint="eastAsia" w:eastAsiaTheme="minorEastAsia"/>
          <w:color w:val="000000" w:themeColor="text1"/>
          <w:szCs w:val="24"/>
        </w:rPr>
        <w:t>尾矿库</w:t>
      </w:r>
      <w:r>
        <w:rPr>
          <w:rFonts w:eastAsiaTheme="minorEastAsia"/>
          <w:color w:val="000000" w:themeColor="text1"/>
          <w:szCs w:val="24"/>
        </w:rPr>
        <w:t>回水量为</w:t>
      </w:r>
      <w:r>
        <w:rPr>
          <w:rFonts w:hint="eastAsia" w:eastAsiaTheme="minorEastAsia"/>
          <w:color w:val="000000" w:themeColor="text1"/>
          <w:szCs w:val="24"/>
        </w:rPr>
        <w:t>56.1</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eastAsiaTheme="minorEastAsia"/>
          <w:color w:val="000000" w:themeColor="text1"/>
          <w:szCs w:val="24"/>
        </w:rPr>
        <w:t>。</w:t>
      </w:r>
    </w:p>
    <w:p>
      <w:pPr>
        <w:pStyle w:val="78"/>
        <w:ind w:firstLine="480"/>
        <w:jc w:val="both"/>
        <w:rPr>
          <w:rFonts w:eastAsiaTheme="minorEastAsia"/>
          <w:color w:val="000000" w:themeColor="text1"/>
          <w:szCs w:val="24"/>
        </w:rPr>
      </w:pPr>
      <w:r>
        <w:rPr>
          <w:rFonts w:eastAsiaTheme="minorEastAsia"/>
          <w:color w:val="000000" w:themeColor="text1"/>
          <w:szCs w:val="24"/>
        </w:rPr>
        <w:t>技改选矿工艺中选矿废水回用水量为</w:t>
      </w:r>
      <w:r>
        <w:rPr>
          <w:rFonts w:hint="eastAsia" w:eastAsiaTheme="minorEastAsia"/>
          <w:color w:val="000000" w:themeColor="text1"/>
          <w:szCs w:val="24"/>
          <w:lang w:val="en-US" w:eastAsia="zh-CN"/>
        </w:rPr>
        <w:t>306.38</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/d，尾矿携带水</w:t>
      </w:r>
      <w:r>
        <w:rPr>
          <w:rFonts w:hint="eastAsia" w:eastAsiaTheme="minorEastAsia"/>
          <w:color w:val="000000" w:themeColor="text1"/>
        </w:rPr>
        <w:t>53.125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/d进入依托的浓密池内。选矿后随精矿进入陶瓷压滤机的水量为</w:t>
      </w:r>
      <w:r>
        <w:rPr>
          <w:rFonts w:hint="eastAsia" w:eastAsiaTheme="minorEastAsia"/>
          <w:color w:val="000000" w:themeColor="text1"/>
        </w:rPr>
        <w:t>333.3</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/d，陶瓷压滤机出水量为</w:t>
      </w:r>
      <w:r>
        <w:rPr>
          <w:rFonts w:hint="eastAsia" w:eastAsiaTheme="minorEastAsia"/>
          <w:color w:val="000000" w:themeColor="text1"/>
        </w:rPr>
        <w:t>305.8</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/d，有</w:t>
      </w:r>
      <w:r>
        <w:rPr>
          <w:rFonts w:hint="eastAsia" w:eastAsiaTheme="minorEastAsia"/>
          <w:color w:val="000000" w:themeColor="text1"/>
        </w:rPr>
        <w:t>33.3</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/d的水量随精矿携带走。</w:t>
      </w:r>
    </w:p>
    <w:p>
      <w:pPr>
        <w:adjustRightInd w:val="0"/>
        <w:snapToGrid w:val="0"/>
        <w:ind w:firstLine="361" w:firstLineChars="150"/>
        <w:rPr>
          <w:b/>
          <w:bCs/>
          <w:color w:val="000000" w:themeColor="text1"/>
          <w:szCs w:val="24"/>
        </w:rPr>
      </w:pPr>
      <w:r>
        <w:rPr>
          <w:b/>
          <w:bCs/>
          <w:color w:val="000000" w:themeColor="text1"/>
          <w:szCs w:val="24"/>
        </w:rPr>
        <w:fldChar w:fldCharType="begin"/>
      </w:r>
      <w:r>
        <w:rPr>
          <w:b/>
          <w:bCs/>
          <w:color w:val="000000" w:themeColor="text1"/>
          <w:szCs w:val="24"/>
        </w:rPr>
        <w:instrText xml:space="preserve"> = 2 \* GB3 </w:instrText>
      </w:r>
      <w:r>
        <w:rPr>
          <w:b/>
          <w:bCs/>
          <w:color w:val="000000" w:themeColor="text1"/>
          <w:szCs w:val="24"/>
        </w:rPr>
        <w:fldChar w:fldCharType="separate"/>
      </w:r>
      <w:r>
        <w:rPr>
          <w:b/>
          <w:bCs/>
          <w:color w:val="000000" w:themeColor="text1"/>
          <w:szCs w:val="24"/>
        </w:rPr>
        <w:t>②</w:t>
      </w:r>
      <w:r>
        <w:rPr>
          <w:b/>
          <w:bCs/>
          <w:color w:val="000000" w:themeColor="text1"/>
          <w:szCs w:val="24"/>
        </w:rPr>
        <w:fldChar w:fldCharType="end"/>
      </w:r>
      <w:r>
        <w:rPr>
          <w:b/>
          <w:bCs/>
          <w:color w:val="000000" w:themeColor="text1"/>
          <w:szCs w:val="24"/>
        </w:rPr>
        <w:t>生活污水</w:t>
      </w:r>
    </w:p>
    <w:p>
      <w:pPr>
        <w:ind w:firstLine="480"/>
        <w:rPr>
          <w:rFonts w:eastAsiaTheme="minorEastAsia"/>
          <w:b/>
          <w:color w:val="000000" w:themeColor="text1"/>
          <w:sz w:val="21"/>
          <w:szCs w:val="20"/>
        </w:rPr>
      </w:pPr>
      <w:r>
        <w:rPr>
          <w:rFonts w:eastAsiaTheme="minorEastAsia"/>
          <w:color w:val="000000" w:themeColor="text1"/>
        </w:rPr>
        <w:t>技改生活污水来自行政办公、生活区内的生活设施，技改新增生活污水排放量0.</w:t>
      </w:r>
      <w:r>
        <w:rPr>
          <w:rFonts w:hint="eastAsia" w:eastAsiaTheme="minorEastAsia"/>
          <w:color w:val="000000" w:themeColor="text1"/>
        </w:rPr>
        <w:t>32</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96</w:t>
      </w:r>
      <w:r>
        <w:rPr>
          <w:rFonts w:eastAsiaTheme="minorEastAsia"/>
          <w:color w:val="000000" w:themeColor="text1"/>
        </w:rPr>
        <w:t>t/a），原有项目生活污水产生量</w:t>
      </w:r>
      <w:r>
        <w:rPr>
          <w:rFonts w:hint="eastAsia" w:eastAsiaTheme="minorEastAsia"/>
          <w:color w:val="000000" w:themeColor="text1"/>
        </w:rPr>
        <w:t>5.44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/d，合计生活污水产量</w:t>
      </w:r>
      <w:r>
        <w:rPr>
          <w:rFonts w:hint="eastAsia" w:eastAsiaTheme="minorEastAsia"/>
          <w:color w:val="000000" w:themeColor="text1"/>
        </w:rPr>
        <w:t>5.76</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1728</w:t>
      </w:r>
      <w:r>
        <w:rPr>
          <w:rFonts w:eastAsiaTheme="minorEastAsia"/>
          <w:color w:val="000000" w:themeColor="text1"/>
        </w:rPr>
        <w:t>t/a），污染物主要为SS、氨氮、BOD</w:t>
      </w:r>
      <w:r>
        <w:rPr>
          <w:rFonts w:eastAsiaTheme="minorEastAsia"/>
          <w:color w:val="000000" w:themeColor="text1"/>
          <w:vertAlign w:val="subscript"/>
        </w:rPr>
        <w:t>5</w:t>
      </w:r>
      <w:r>
        <w:rPr>
          <w:rFonts w:eastAsiaTheme="minorEastAsia"/>
          <w:color w:val="000000" w:themeColor="text1"/>
        </w:rPr>
        <w:t>、COD</w:t>
      </w:r>
      <w:r>
        <w:rPr>
          <w:rFonts w:eastAsiaTheme="minorEastAsia"/>
          <w:color w:val="000000" w:themeColor="text1"/>
          <w:vertAlign w:val="subscript"/>
        </w:rPr>
        <w:t>Cr、</w:t>
      </w:r>
      <w:r>
        <w:rPr>
          <w:rFonts w:eastAsiaTheme="minorEastAsia"/>
          <w:color w:val="000000" w:themeColor="text1"/>
        </w:rPr>
        <w:t>动植物油和阴离子表面活性剂等。原有项目生活污水没有处理设施，以新带老新增一套规模为15m</w:t>
      </w:r>
      <w:r>
        <w:rPr>
          <w:rFonts w:eastAsiaTheme="minorEastAsia"/>
          <w:color w:val="000000" w:themeColor="text1"/>
          <w:vertAlign w:val="superscript"/>
        </w:rPr>
        <w:t>3</w:t>
      </w:r>
      <w:r>
        <w:rPr>
          <w:rFonts w:eastAsiaTheme="minorEastAsia"/>
          <w:color w:val="000000" w:themeColor="text1"/>
        </w:rPr>
        <w:t>/d的一体化生活污水处理设施，并配套50m</w:t>
      </w:r>
      <w:r>
        <w:rPr>
          <w:rFonts w:eastAsiaTheme="minorEastAsia"/>
          <w:color w:val="000000" w:themeColor="text1"/>
          <w:vertAlign w:val="superscript"/>
        </w:rPr>
        <w:t>3</w:t>
      </w:r>
      <w:r>
        <w:rPr>
          <w:rFonts w:eastAsiaTheme="minorEastAsia"/>
          <w:color w:val="000000" w:themeColor="text1"/>
        </w:rPr>
        <w:t>的</w:t>
      </w:r>
      <w:r>
        <w:rPr>
          <w:rFonts w:hint="eastAsia" w:eastAsiaTheme="minorEastAsia"/>
          <w:color w:val="000000" w:themeColor="text1"/>
        </w:rPr>
        <w:t>中水收集池</w:t>
      </w:r>
      <w:r>
        <w:rPr>
          <w:rFonts w:eastAsiaTheme="minorEastAsia"/>
          <w:color w:val="000000" w:themeColor="text1"/>
        </w:rPr>
        <w:t>，生活污水水质类比同类项目，技改项目生活污水污染物产排情况见表4.4-</w:t>
      </w:r>
      <w:r>
        <w:rPr>
          <w:rFonts w:hint="eastAsia" w:eastAsiaTheme="minorEastAsia"/>
          <w:color w:val="000000" w:themeColor="text1"/>
        </w:rPr>
        <w:t>6</w:t>
      </w:r>
      <w:r>
        <w:rPr>
          <w:rFonts w:eastAsiaTheme="minorEastAsia"/>
          <w:color w:val="000000" w:themeColor="text1"/>
        </w:rPr>
        <w:t>，技改后全厂项目生活污水污染物产排放情况见表4.4-</w:t>
      </w:r>
      <w:r>
        <w:rPr>
          <w:rFonts w:hint="eastAsia" w:eastAsiaTheme="minorEastAsia"/>
          <w:color w:val="000000" w:themeColor="text1"/>
        </w:rPr>
        <w:t>7</w:t>
      </w:r>
      <w:r>
        <w:rPr>
          <w:rFonts w:eastAsiaTheme="minorEastAsia"/>
          <w:color w:val="000000" w:themeColor="text1"/>
        </w:rPr>
        <w:t>。</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表4.4-</w:t>
      </w:r>
      <w:r>
        <w:rPr>
          <w:rFonts w:hint="eastAsia" w:eastAsiaTheme="minorEastAsia"/>
          <w:b/>
          <w:color w:val="000000" w:themeColor="text1"/>
          <w:sz w:val="21"/>
          <w:szCs w:val="20"/>
        </w:rPr>
        <w:t>6</w:t>
      </w:r>
      <w:r>
        <w:rPr>
          <w:rFonts w:eastAsiaTheme="minorEastAsia"/>
          <w:b/>
          <w:color w:val="000000" w:themeColor="text1"/>
          <w:sz w:val="21"/>
          <w:szCs w:val="20"/>
        </w:rPr>
        <w:t>技改</w:t>
      </w:r>
      <w:r>
        <w:rPr>
          <w:rStyle w:val="73"/>
          <w:rFonts w:hint="eastAsia"/>
          <w:b/>
          <w:bCs/>
          <w:color w:val="000000" w:themeColor="text1"/>
          <w:kern w:val="0"/>
        </w:rPr>
        <w:t>项目</w:t>
      </w:r>
      <w:r>
        <w:rPr>
          <w:rFonts w:eastAsiaTheme="minorEastAsia"/>
          <w:b/>
          <w:color w:val="000000" w:themeColor="text1"/>
          <w:sz w:val="21"/>
          <w:szCs w:val="20"/>
        </w:rPr>
        <w:t>生活污水处理前后污染物产生和排放情况一览表</w:t>
      </w:r>
    </w:p>
    <w:tbl>
      <w:tblPr>
        <w:tblStyle w:val="61"/>
        <w:tblW w:w="909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959"/>
        <w:gridCol w:w="1340"/>
        <w:gridCol w:w="952"/>
        <w:gridCol w:w="947"/>
        <w:gridCol w:w="1331"/>
        <w:gridCol w:w="970"/>
        <w:gridCol w:w="1706"/>
        <w:gridCol w:w="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1573" w:hRule="atLeast"/>
          <w:jc w:val="center"/>
        </w:trPr>
        <w:tc>
          <w:tcPr>
            <w:tcW w:w="959"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项目</w:t>
            </w:r>
          </w:p>
        </w:tc>
        <w:tc>
          <w:tcPr>
            <w:tcW w:w="1340"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进水</w:t>
            </w:r>
          </w:p>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水质（</w:t>
            </w:r>
            <w:r>
              <w:rPr>
                <w:rStyle w:val="616"/>
                <w:rFonts w:eastAsiaTheme="minorEastAsia"/>
                <w:color w:val="000000" w:themeColor="text1"/>
              </w:rPr>
              <w:t>mg/L</w:t>
            </w:r>
            <w:r>
              <w:rPr>
                <w:rFonts w:eastAsiaTheme="minorEastAsia"/>
                <w:color w:val="000000" w:themeColor="text1"/>
                <w:kern w:val="0"/>
                <w:sz w:val="21"/>
                <w:szCs w:val="21"/>
              </w:rPr>
              <w:t>）</w:t>
            </w:r>
          </w:p>
        </w:tc>
        <w:tc>
          <w:tcPr>
            <w:tcW w:w="952"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产生量（t</w:t>
            </w:r>
            <w:r>
              <w:rPr>
                <w:rStyle w:val="616"/>
                <w:rFonts w:eastAsiaTheme="minorEastAsia"/>
                <w:color w:val="000000" w:themeColor="text1"/>
              </w:rPr>
              <w:t>/a</w:t>
            </w:r>
            <w:r>
              <w:rPr>
                <w:rFonts w:eastAsiaTheme="minorEastAsia"/>
                <w:color w:val="000000" w:themeColor="text1"/>
                <w:kern w:val="0"/>
                <w:sz w:val="21"/>
                <w:szCs w:val="21"/>
              </w:rPr>
              <w:t>）</w:t>
            </w:r>
          </w:p>
        </w:tc>
        <w:tc>
          <w:tcPr>
            <w:tcW w:w="947"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处理设施</w:t>
            </w:r>
          </w:p>
        </w:tc>
        <w:tc>
          <w:tcPr>
            <w:tcW w:w="1331"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出水</w:t>
            </w:r>
          </w:p>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水质（</w:t>
            </w:r>
            <w:r>
              <w:rPr>
                <w:rStyle w:val="616"/>
                <w:rFonts w:eastAsiaTheme="minorEastAsia"/>
                <w:color w:val="000000" w:themeColor="text1"/>
              </w:rPr>
              <w:t>mg/L</w:t>
            </w:r>
            <w:r>
              <w:rPr>
                <w:rFonts w:eastAsiaTheme="minorEastAsia"/>
                <w:color w:val="000000" w:themeColor="text1"/>
                <w:kern w:val="0"/>
                <w:sz w:val="21"/>
                <w:szCs w:val="21"/>
              </w:rPr>
              <w:t>）</w:t>
            </w:r>
          </w:p>
        </w:tc>
        <w:tc>
          <w:tcPr>
            <w:tcW w:w="970" w:type="dxa"/>
            <w:tcBorders>
              <w:tl2br w:val="nil"/>
              <w:tr2bl w:val="nil"/>
            </w:tcBorders>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排放量（t</w:t>
            </w:r>
            <w:r>
              <w:rPr>
                <w:rStyle w:val="616"/>
                <w:rFonts w:eastAsiaTheme="minorEastAsia"/>
                <w:color w:val="000000" w:themeColor="text1"/>
              </w:rPr>
              <w:t>/a</w:t>
            </w:r>
            <w:r>
              <w:rPr>
                <w:rFonts w:eastAsiaTheme="minorEastAsia"/>
                <w:color w:val="000000" w:themeColor="text1"/>
                <w:kern w:val="0"/>
                <w:sz w:val="21"/>
                <w:szCs w:val="21"/>
              </w:rPr>
              <w:t>）</w:t>
            </w:r>
          </w:p>
        </w:tc>
        <w:tc>
          <w:tcPr>
            <w:tcW w:w="1706" w:type="dxa"/>
            <w:tcBorders>
              <w:tl2br w:val="nil"/>
              <w:tr2bl w:val="nil"/>
            </w:tcBorders>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回用标准（mg/L）</w:t>
            </w:r>
          </w:p>
        </w:tc>
        <w:tc>
          <w:tcPr>
            <w:tcW w:w="892"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达标</w:t>
            </w:r>
          </w:p>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628" w:hRule="atLeast"/>
          <w:jc w:val="center"/>
        </w:trPr>
        <w:tc>
          <w:tcPr>
            <w:tcW w:w="959"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废水量</w:t>
            </w:r>
          </w:p>
        </w:tc>
        <w:tc>
          <w:tcPr>
            <w:tcW w:w="1340" w:type="dxa"/>
            <w:tcBorders>
              <w:tl2br w:val="nil"/>
              <w:tr2bl w:val="nil"/>
            </w:tcBorders>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kern w:val="0"/>
                <w:sz w:val="21"/>
                <w:szCs w:val="21"/>
              </w:rPr>
              <w:t>/</w:t>
            </w:r>
          </w:p>
        </w:tc>
        <w:tc>
          <w:tcPr>
            <w:tcW w:w="952"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kern w:val="0"/>
                <w:sz w:val="21"/>
                <w:szCs w:val="21"/>
              </w:rPr>
              <w:t>96</w:t>
            </w:r>
          </w:p>
        </w:tc>
        <w:tc>
          <w:tcPr>
            <w:tcW w:w="947" w:type="dxa"/>
            <w:vMerge w:val="restart"/>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经化粪池预处理+一体化生化处理设施</w:t>
            </w:r>
          </w:p>
        </w:tc>
        <w:tc>
          <w:tcPr>
            <w:tcW w:w="1331" w:type="dxa"/>
            <w:tcBorders>
              <w:tl2br w:val="nil"/>
              <w:tr2bl w:val="nil"/>
            </w:tcBorders>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kern w:val="0"/>
                <w:sz w:val="21"/>
                <w:szCs w:val="21"/>
              </w:rPr>
              <w:t>/</w:t>
            </w:r>
          </w:p>
        </w:tc>
        <w:tc>
          <w:tcPr>
            <w:tcW w:w="970" w:type="dxa"/>
            <w:tcBorders>
              <w:tl2br w:val="nil"/>
              <w:tr2bl w:val="nil"/>
            </w:tcBorders>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0</w:t>
            </w:r>
          </w:p>
        </w:tc>
        <w:tc>
          <w:tcPr>
            <w:tcW w:w="1706" w:type="dxa"/>
            <w:tcBorders>
              <w:tl2br w:val="nil"/>
              <w:tr2bl w:val="nil"/>
            </w:tcBorders>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kern w:val="0"/>
                <w:sz w:val="21"/>
                <w:szCs w:val="21"/>
              </w:rPr>
              <w:t>/</w:t>
            </w:r>
          </w:p>
        </w:tc>
        <w:tc>
          <w:tcPr>
            <w:tcW w:w="892" w:type="dxa"/>
            <w:tcBorders>
              <w:tl2br w:val="nil"/>
              <w:tr2bl w:val="nil"/>
            </w:tcBorders>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628" w:hRule="atLeast"/>
          <w:jc w:val="center"/>
        </w:trPr>
        <w:tc>
          <w:tcPr>
            <w:tcW w:w="959"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pH</w:t>
            </w:r>
          </w:p>
        </w:tc>
        <w:tc>
          <w:tcPr>
            <w:tcW w:w="1340"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7.16~</w:t>
            </w:r>
            <w:r>
              <w:rPr>
                <w:rStyle w:val="616"/>
                <w:rFonts w:eastAsiaTheme="minorEastAsia"/>
                <w:color w:val="000000" w:themeColor="text1"/>
              </w:rPr>
              <w:t>7.30</w:t>
            </w:r>
          </w:p>
        </w:tc>
        <w:tc>
          <w:tcPr>
            <w:tcW w:w="952"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w:t>
            </w:r>
          </w:p>
        </w:tc>
        <w:tc>
          <w:tcPr>
            <w:tcW w:w="947" w:type="dxa"/>
            <w:vMerge w:val="continue"/>
            <w:tcBorders>
              <w:tl2br w:val="nil"/>
              <w:tr2bl w:val="nil"/>
            </w:tcBorders>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c>
          <w:tcPr>
            <w:tcW w:w="1331"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6.96~</w:t>
            </w:r>
            <w:r>
              <w:rPr>
                <w:rStyle w:val="616"/>
                <w:rFonts w:eastAsiaTheme="minorEastAsia"/>
                <w:color w:val="000000" w:themeColor="text1"/>
              </w:rPr>
              <w:t>7.10</w:t>
            </w:r>
          </w:p>
        </w:tc>
        <w:tc>
          <w:tcPr>
            <w:tcW w:w="970" w:type="dxa"/>
            <w:tcBorders>
              <w:tl2br w:val="nil"/>
              <w:tr2bl w:val="nil"/>
            </w:tcBorders>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w:t>
            </w:r>
          </w:p>
        </w:tc>
        <w:tc>
          <w:tcPr>
            <w:tcW w:w="1706" w:type="dxa"/>
            <w:tcBorders>
              <w:tl2br w:val="nil"/>
              <w:tr2bl w:val="nil"/>
            </w:tcBorders>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6~9</w:t>
            </w:r>
          </w:p>
        </w:tc>
        <w:tc>
          <w:tcPr>
            <w:tcW w:w="892"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628" w:hRule="atLeast"/>
          <w:jc w:val="center"/>
        </w:trPr>
        <w:tc>
          <w:tcPr>
            <w:tcW w:w="959"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SS</w:t>
            </w:r>
          </w:p>
        </w:tc>
        <w:tc>
          <w:tcPr>
            <w:tcW w:w="1340"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325</w:t>
            </w:r>
          </w:p>
        </w:tc>
        <w:tc>
          <w:tcPr>
            <w:tcW w:w="952"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0.031</w:t>
            </w:r>
          </w:p>
        </w:tc>
        <w:tc>
          <w:tcPr>
            <w:tcW w:w="947" w:type="dxa"/>
            <w:vMerge w:val="continue"/>
            <w:tcBorders>
              <w:tl2br w:val="nil"/>
              <w:tr2bl w:val="nil"/>
            </w:tcBorders>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c>
          <w:tcPr>
            <w:tcW w:w="1331"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94.35</w:t>
            </w:r>
          </w:p>
        </w:tc>
        <w:tc>
          <w:tcPr>
            <w:tcW w:w="970" w:type="dxa"/>
            <w:tcBorders>
              <w:tl2br w:val="nil"/>
              <w:tr2bl w:val="nil"/>
            </w:tcBorders>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0</w:t>
            </w:r>
          </w:p>
        </w:tc>
        <w:tc>
          <w:tcPr>
            <w:tcW w:w="1706" w:type="dxa"/>
            <w:tcBorders>
              <w:tl2br w:val="nil"/>
              <w:tr2bl w:val="nil"/>
            </w:tcBorders>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892"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628" w:hRule="atLeast"/>
          <w:jc w:val="center"/>
        </w:trPr>
        <w:tc>
          <w:tcPr>
            <w:tcW w:w="959"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COD</w:t>
            </w:r>
          </w:p>
        </w:tc>
        <w:tc>
          <w:tcPr>
            <w:tcW w:w="1340"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280</w:t>
            </w:r>
          </w:p>
        </w:tc>
        <w:tc>
          <w:tcPr>
            <w:tcW w:w="952"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0.027</w:t>
            </w:r>
          </w:p>
        </w:tc>
        <w:tc>
          <w:tcPr>
            <w:tcW w:w="947" w:type="dxa"/>
            <w:vMerge w:val="continue"/>
            <w:tcBorders>
              <w:tl2br w:val="nil"/>
              <w:tr2bl w:val="nil"/>
            </w:tcBorders>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c>
          <w:tcPr>
            <w:tcW w:w="1331"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15.96</w:t>
            </w:r>
          </w:p>
        </w:tc>
        <w:tc>
          <w:tcPr>
            <w:tcW w:w="970" w:type="dxa"/>
            <w:tcBorders>
              <w:tl2br w:val="nil"/>
              <w:tr2bl w:val="nil"/>
            </w:tcBorders>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0</w:t>
            </w:r>
          </w:p>
        </w:tc>
        <w:tc>
          <w:tcPr>
            <w:tcW w:w="1706" w:type="dxa"/>
            <w:tcBorders>
              <w:tl2br w:val="nil"/>
              <w:tr2bl w:val="nil"/>
            </w:tcBorders>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w:t>
            </w:r>
          </w:p>
        </w:tc>
        <w:tc>
          <w:tcPr>
            <w:tcW w:w="892"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628" w:hRule="atLeast"/>
          <w:jc w:val="center"/>
        </w:trPr>
        <w:tc>
          <w:tcPr>
            <w:tcW w:w="959"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BOD</w:t>
            </w:r>
            <w:r>
              <w:rPr>
                <w:rFonts w:eastAsiaTheme="minorEastAsia"/>
                <w:color w:val="000000" w:themeColor="text1"/>
                <w:kern w:val="0"/>
                <w:sz w:val="21"/>
                <w:szCs w:val="21"/>
                <w:vertAlign w:val="subscript"/>
              </w:rPr>
              <w:t>5</w:t>
            </w:r>
          </w:p>
        </w:tc>
        <w:tc>
          <w:tcPr>
            <w:tcW w:w="1340"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130</w:t>
            </w:r>
          </w:p>
        </w:tc>
        <w:tc>
          <w:tcPr>
            <w:tcW w:w="952"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0.012</w:t>
            </w:r>
          </w:p>
        </w:tc>
        <w:tc>
          <w:tcPr>
            <w:tcW w:w="947" w:type="dxa"/>
            <w:vMerge w:val="continue"/>
            <w:tcBorders>
              <w:tl2br w:val="nil"/>
              <w:tr2bl w:val="nil"/>
            </w:tcBorders>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c>
          <w:tcPr>
            <w:tcW w:w="1331"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8.892</w:t>
            </w:r>
          </w:p>
        </w:tc>
        <w:tc>
          <w:tcPr>
            <w:tcW w:w="970" w:type="dxa"/>
            <w:tcBorders>
              <w:tl2br w:val="nil"/>
              <w:tr2bl w:val="nil"/>
            </w:tcBorders>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0</w:t>
            </w:r>
          </w:p>
        </w:tc>
        <w:tc>
          <w:tcPr>
            <w:tcW w:w="1706" w:type="dxa"/>
            <w:tcBorders>
              <w:tl2br w:val="nil"/>
              <w:tr2bl w:val="nil"/>
            </w:tcBorders>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10</w:t>
            </w:r>
          </w:p>
        </w:tc>
        <w:tc>
          <w:tcPr>
            <w:tcW w:w="892"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658" w:hRule="atLeast"/>
          <w:jc w:val="center"/>
        </w:trPr>
        <w:tc>
          <w:tcPr>
            <w:tcW w:w="959"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氨氮</w:t>
            </w:r>
          </w:p>
        </w:tc>
        <w:tc>
          <w:tcPr>
            <w:tcW w:w="1340"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30</w:t>
            </w:r>
          </w:p>
        </w:tc>
        <w:tc>
          <w:tcPr>
            <w:tcW w:w="952"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0.003</w:t>
            </w:r>
          </w:p>
        </w:tc>
        <w:tc>
          <w:tcPr>
            <w:tcW w:w="947" w:type="dxa"/>
            <w:vMerge w:val="continue"/>
            <w:tcBorders>
              <w:tl2br w:val="nil"/>
              <w:tr2bl w:val="nil"/>
            </w:tcBorders>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c>
          <w:tcPr>
            <w:tcW w:w="1331"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1.745</w:t>
            </w:r>
          </w:p>
        </w:tc>
        <w:tc>
          <w:tcPr>
            <w:tcW w:w="970" w:type="dxa"/>
            <w:tcBorders>
              <w:tl2br w:val="nil"/>
              <w:tr2bl w:val="nil"/>
            </w:tcBorders>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0</w:t>
            </w:r>
          </w:p>
        </w:tc>
        <w:tc>
          <w:tcPr>
            <w:tcW w:w="1706" w:type="dxa"/>
            <w:tcBorders>
              <w:tl2br w:val="nil"/>
              <w:tr2bl w:val="nil"/>
            </w:tcBorders>
            <w:vAlign w:val="center"/>
          </w:tcPr>
          <w:p>
            <w:pPr>
              <w:widowControl/>
              <w:spacing w:line="240" w:lineRule="auto"/>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8</w:t>
            </w:r>
          </w:p>
        </w:tc>
        <w:tc>
          <w:tcPr>
            <w:tcW w:w="892" w:type="dxa"/>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达标</w:t>
            </w:r>
          </w:p>
        </w:tc>
      </w:tr>
    </w:tbl>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表4.4-</w:t>
      </w:r>
      <w:r>
        <w:rPr>
          <w:rFonts w:hint="eastAsia" w:eastAsiaTheme="minorEastAsia"/>
          <w:b/>
          <w:color w:val="000000" w:themeColor="text1"/>
          <w:sz w:val="21"/>
          <w:szCs w:val="20"/>
        </w:rPr>
        <w:t>7</w:t>
      </w:r>
      <w:r>
        <w:rPr>
          <w:rFonts w:eastAsiaTheme="minorEastAsia"/>
          <w:b/>
          <w:color w:val="000000" w:themeColor="text1"/>
          <w:sz w:val="21"/>
          <w:szCs w:val="20"/>
        </w:rPr>
        <w:t>全厂生活污水处理前后污染物产生和排放情况一览表</w:t>
      </w:r>
    </w:p>
    <w:tbl>
      <w:tblPr>
        <w:tblStyle w:val="61"/>
        <w:tblW w:w="909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959"/>
        <w:gridCol w:w="1338"/>
        <w:gridCol w:w="952"/>
        <w:gridCol w:w="947"/>
        <w:gridCol w:w="1331"/>
        <w:gridCol w:w="970"/>
        <w:gridCol w:w="1708"/>
        <w:gridCol w:w="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1565" w:hRule="atLeast"/>
          <w:jc w:val="center"/>
        </w:trPr>
        <w:tc>
          <w:tcPr>
            <w:tcW w:w="959"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项目</w:t>
            </w:r>
          </w:p>
        </w:tc>
        <w:tc>
          <w:tcPr>
            <w:tcW w:w="1338"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进水</w:t>
            </w:r>
          </w:p>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水质（</w:t>
            </w:r>
            <w:r>
              <w:rPr>
                <w:rStyle w:val="616"/>
                <w:rFonts w:eastAsiaTheme="minorEastAsia"/>
                <w:color w:val="000000" w:themeColor="text1"/>
              </w:rPr>
              <w:t>mg/L</w:t>
            </w:r>
            <w:r>
              <w:rPr>
                <w:rFonts w:eastAsiaTheme="minorEastAsia"/>
                <w:color w:val="000000" w:themeColor="text1"/>
                <w:kern w:val="0"/>
                <w:sz w:val="21"/>
                <w:szCs w:val="21"/>
              </w:rPr>
              <w:t>）</w:t>
            </w:r>
          </w:p>
        </w:tc>
        <w:tc>
          <w:tcPr>
            <w:tcW w:w="952"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产生量（t</w:t>
            </w:r>
            <w:r>
              <w:rPr>
                <w:rStyle w:val="616"/>
                <w:rFonts w:eastAsiaTheme="minorEastAsia"/>
                <w:color w:val="000000" w:themeColor="text1"/>
              </w:rPr>
              <w:t>/a</w:t>
            </w:r>
            <w:r>
              <w:rPr>
                <w:rFonts w:eastAsiaTheme="minorEastAsia"/>
                <w:color w:val="000000" w:themeColor="text1"/>
                <w:kern w:val="0"/>
                <w:sz w:val="21"/>
                <w:szCs w:val="21"/>
              </w:rPr>
              <w:t>）</w:t>
            </w:r>
          </w:p>
        </w:tc>
        <w:tc>
          <w:tcPr>
            <w:tcW w:w="947"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处理设施</w:t>
            </w:r>
          </w:p>
        </w:tc>
        <w:tc>
          <w:tcPr>
            <w:tcW w:w="1331"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出水</w:t>
            </w:r>
          </w:p>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水质（</w:t>
            </w:r>
            <w:r>
              <w:rPr>
                <w:rStyle w:val="616"/>
                <w:rFonts w:eastAsiaTheme="minorEastAsia"/>
                <w:color w:val="000000" w:themeColor="text1"/>
              </w:rPr>
              <w:t>mg/L</w:t>
            </w:r>
            <w:r>
              <w:rPr>
                <w:rFonts w:eastAsiaTheme="minorEastAsia"/>
                <w:color w:val="000000" w:themeColor="text1"/>
                <w:kern w:val="0"/>
                <w:sz w:val="21"/>
                <w:szCs w:val="21"/>
              </w:rPr>
              <w:t>）</w:t>
            </w:r>
          </w:p>
        </w:tc>
        <w:tc>
          <w:tcPr>
            <w:tcW w:w="970" w:type="dxa"/>
            <w:tcBorders>
              <w:tl2br w:val="nil"/>
              <w:tr2bl w:val="nil"/>
            </w:tcBorders>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排放量（t</w:t>
            </w:r>
            <w:r>
              <w:rPr>
                <w:rStyle w:val="616"/>
                <w:rFonts w:eastAsiaTheme="minorEastAsia"/>
                <w:color w:val="000000" w:themeColor="text1"/>
              </w:rPr>
              <w:t>/a</w:t>
            </w:r>
            <w:r>
              <w:rPr>
                <w:rFonts w:eastAsiaTheme="minorEastAsia"/>
                <w:color w:val="000000" w:themeColor="text1"/>
                <w:kern w:val="0"/>
                <w:sz w:val="21"/>
                <w:szCs w:val="21"/>
              </w:rPr>
              <w:t>）</w:t>
            </w:r>
          </w:p>
        </w:tc>
        <w:tc>
          <w:tcPr>
            <w:tcW w:w="1708" w:type="dxa"/>
            <w:tcBorders>
              <w:tl2br w:val="nil"/>
              <w:tr2bl w:val="nil"/>
            </w:tcBorders>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回用标准（mg/L）</w:t>
            </w:r>
          </w:p>
        </w:tc>
        <w:tc>
          <w:tcPr>
            <w:tcW w:w="893" w:type="dxa"/>
            <w:tcBorders>
              <w:tl2br w:val="nil"/>
              <w:tr2bl w:val="nil"/>
            </w:tcBorders>
            <w:shd w:val="clear" w:color="auto" w:fill="auto"/>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达标</w:t>
            </w:r>
          </w:p>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601" w:hRule="atLeast"/>
          <w:jc w:val="center"/>
        </w:trPr>
        <w:tc>
          <w:tcPr>
            <w:tcW w:w="959"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废水量</w:t>
            </w:r>
          </w:p>
        </w:tc>
        <w:tc>
          <w:tcPr>
            <w:tcW w:w="1338" w:type="dxa"/>
            <w:tcBorders>
              <w:tl2br w:val="nil"/>
              <w:tr2bl w:val="nil"/>
            </w:tcBorders>
            <w:shd w:val="clear" w:color="auto" w:fill="auto"/>
            <w:vAlign w:val="bottom"/>
          </w:tcPr>
          <w:p>
            <w:pPr>
              <w:widowControl/>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952"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kern w:val="0"/>
                <w:sz w:val="21"/>
                <w:szCs w:val="21"/>
              </w:rPr>
              <w:t>1728</w:t>
            </w:r>
          </w:p>
        </w:tc>
        <w:tc>
          <w:tcPr>
            <w:tcW w:w="947" w:type="dxa"/>
            <w:vMerge w:val="restart"/>
            <w:tcBorders>
              <w:tl2br w:val="nil"/>
              <w:tr2bl w:val="nil"/>
            </w:tcBorders>
            <w:shd w:val="clear" w:color="auto" w:fill="auto"/>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经化粪池预处理+一体化生化处理设施</w:t>
            </w:r>
          </w:p>
        </w:tc>
        <w:tc>
          <w:tcPr>
            <w:tcW w:w="1331" w:type="dxa"/>
            <w:tcBorders>
              <w:tl2br w:val="nil"/>
              <w:tr2bl w:val="nil"/>
            </w:tcBorders>
            <w:shd w:val="clear" w:color="auto" w:fill="auto"/>
            <w:vAlign w:val="bottom"/>
          </w:tcPr>
          <w:p>
            <w:pPr>
              <w:widowControl/>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970" w:type="dxa"/>
            <w:tcBorders>
              <w:tl2br w:val="nil"/>
              <w:tr2bl w:val="nil"/>
            </w:tcBorders>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0</w:t>
            </w:r>
          </w:p>
        </w:tc>
        <w:tc>
          <w:tcPr>
            <w:tcW w:w="1708" w:type="dxa"/>
            <w:tcBorders>
              <w:tl2br w:val="nil"/>
              <w:tr2bl w:val="nil"/>
            </w:tcBorders>
          </w:tcPr>
          <w:p>
            <w:pPr>
              <w:widowControl/>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893" w:type="dxa"/>
            <w:tcBorders>
              <w:tl2br w:val="nil"/>
              <w:tr2bl w:val="nil"/>
            </w:tcBorders>
            <w:shd w:val="clear" w:color="auto" w:fill="auto"/>
            <w:vAlign w:val="bottom"/>
          </w:tcPr>
          <w:p>
            <w:pPr>
              <w:widowControl/>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601" w:hRule="atLeast"/>
          <w:jc w:val="center"/>
        </w:trPr>
        <w:tc>
          <w:tcPr>
            <w:tcW w:w="959"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pH</w:t>
            </w:r>
          </w:p>
        </w:tc>
        <w:tc>
          <w:tcPr>
            <w:tcW w:w="1338"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7.16~</w:t>
            </w:r>
            <w:r>
              <w:rPr>
                <w:rStyle w:val="616"/>
                <w:rFonts w:eastAsiaTheme="minorEastAsia"/>
                <w:color w:val="000000" w:themeColor="text1"/>
              </w:rPr>
              <w:t>7.30</w:t>
            </w:r>
          </w:p>
        </w:tc>
        <w:tc>
          <w:tcPr>
            <w:tcW w:w="952"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w:t>
            </w:r>
          </w:p>
        </w:tc>
        <w:tc>
          <w:tcPr>
            <w:tcW w:w="947" w:type="dxa"/>
            <w:vMerge w:val="continue"/>
            <w:tcBorders>
              <w:tl2br w:val="nil"/>
              <w:tr2bl w:val="nil"/>
            </w:tcBorders>
            <w:shd w:val="clear" w:color="auto" w:fill="auto"/>
            <w:vAlign w:val="bottom"/>
          </w:tcPr>
          <w:p>
            <w:pPr>
              <w:widowControl/>
              <w:ind w:firstLine="0" w:firstLineChars="0"/>
              <w:jc w:val="center"/>
              <w:rPr>
                <w:rFonts w:eastAsiaTheme="minorEastAsia"/>
                <w:color w:val="000000" w:themeColor="text1"/>
                <w:sz w:val="21"/>
                <w:szCs w:val="21"/>
              </w:rPr>
            </w:pPr>
          </w:p>
        </w:tc>
        <w:tc>
          <w:tcPr>
            <w:tcW w:w="1331"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6.96~</w:t>
            </w:r>
            <w:r>
              <w:rPr>
                <w:rStyle w:val="616"/>
                <w:rFonts w:eastAsiaTheme="minorEastAsia"/>
                <w:color w:val="000000" w:themeColor="text1"/>
              </w:rPr>
              <w:t>7.10</w:t>
            </w:r>
          </w:p>
        </w:tc>
        <w:tc>
          <w:tcPr>
            <w:tcW w:w="970" w:type="dxa"/>
            <w:tcBorders>
              <w:tl2br w:val="nil"/>
              <w:tr2bl w:val="nil"/>
            </w:tcBorders>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w:t>
            </w:r>
          </w:p>
        </w:tc>
        <w:tc>
          <w:tcPr>
            <w:tcW w:w="1708" w:type="dxa"/>
            <w:tcBorders>
              <w:tl2br w:val="nil"/>
              <w:tr2bl w:val="nil"/>
            </w:tcBorders>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6~9</w:t>
            </w:r>
          </w:p>
        </w:tc>
        <w:tc>
          <w:tcPr>
            <w:tcW w:w="893"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601" w:hRule="atLeast"/>
          <w:jc w:val="center"/>
        </w:trPr>
        <w:tc>
          <w:tcPr>
            <w:tcW w:w="959"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SS</w:t>
            </w:r>
          </w:p>
        </w:tc>
        <w:tc>
          <w:tcPr>
            <w:tcW w:w="1338"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325</w:t>
            </w:r>
          </w:p>
        </w:tc>
        <w:tc>
          <w:tcPr>
            <w:tcW w:w="952"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0.562</w:t>
            </w:r>
          </w:p>
        </w:tc>
        <w:tc>
          <w:tcPr>
            <w:tcW w:w="947" w:type="dxa"/>
            <w:vMerge w:val="continue"/>
            <w:tcBorders>
              <w:tl2br w:val="nil"/>
              <w:tr2bl w:val="nil"/>
            </w:tcBorders>
            <w:shd w:val="clear" w:color="auto" w:fill="auto"/>
            <w:vAlign w:val="bottom"/>
          </w:tcPr>
          <w:p>
            <w:pPr>
              <w:widowControl/>
              <w:ind w:firstLine="0" w:firstLineChars="0"/>
              <w:jc w:val="center"/>
              <w:rPr>
                <w:rFonts w:eastAsiaTheme="minorEastAsia"/>
                <w:color w:val="000000" w:themeColor="text1"/>
                <w:sz w:val="21"/>
                <w:szCs w:val="21"/>
              </w:rPr>
            </w:pPr>
          </w:p>
        </w:tc>
        <w:tc>
          <w:tcPr>
            <w:tcW w:w="1331"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94.35</w:t>
            </w:r>
          </w:p>
        </w:tc>
        <w:tc>
          <w:tcPr>
            <w:tcW w:w="970" w:type="dxa"/>
            <w:tcBorders>
              <w:tl2br w:val="nil"/>
              <w:tr2bl w:val="nil"/>
            </w:tcBorders>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0</w:t>
            </w:r>
          </w:p>
        </w:tc>
        <w:tc>
          <w:tcPr>
            <w:tcW w:w="1708" w:type="dxa"/>
            <w:tcBorders>
              <w:tl2br w:val="nil"/>
              <w:tr2bl w:val="nil"/>
            </w:tcBorders>
          </w:tcPr>
          <w:p>
            <w:pPr>
              <w:widowControl/>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893"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601" w:hRule="atLeast"/>
          <w:jc w:val="center"/>
        </w:trPr>
        <w:tc>
          <w:tcPr>
            <w:tcW w:w="959"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COD</w:t>
            </w:r>
          </w:p>
        </w:tc>
        <w:tc>
          <w:tcPr>
            <w:tcW w:w="1338"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280</w:t>
            </w:r>
          </w:p>
        </w:tc>
        <w:tc>
          <w:tcPr>
            <w:tcW w:w="952"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0.484</w:t>
            </w:r>
          </w:p>
        </w:tc>
        <w:tc>
          <w:tcPr>
            <w:tcW w:w="947" w:type="dxa"/>
            <w:vMerge w:val="continue"/>
            <w:tcBorders>
              <w:tl2br w:val="nil"/>
              <w:tr2bl w:val="nil"/>
            </w:tcBorders>
            <w:shd w:val="clear" w:color="auto" w:fill="auto"/>
            <w:vAlign w:val="bottom"/>
          </w:tcPr>
          <w:p>
            <w:pPr>
              <w:widowControl/>
              <w:ind w:firstLine="0" w:firstLineChars="0"/>
              <w:jc w:val="center"/>
              <w:rPr>
                <w:rFonts w:eastAsiaTheme="minorEastAsia"/>
                <w:color w:val="000000" w:themeColor="text1"/>
                <w:sz w:val="21"/>
                <w:szCs w:val="21"/>
              </w:rPr>
            </w:pPr>
          </w:p>
        </w:tc>
        <w:tc>
          <w:tcPr>
            <w:tcW w:w="1331"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15.96</w:t>
            </w:r>
          </w:p>
        </w:tc>
        <w:tc>
          <w:tcPr>
            <w:tcW w:w="970" w:type="dxa"/>
            <w:tcBorders>
              <w:tl2br w:val="nil"/>
              <w:tr2bl w:val="nil"/>
            </w:tcBorders>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0</w:t>
            </w:r>
          </w:p>
        </w:tc>
        <w:tc>
          <w:tcPr>
            <w:tcW w:w="1708" w:type="dxa"/>
            <w:tcBorders>
              <w:tl2br w:val="nil"/>
              <w:tr2bl w:val="nil"/>
            </w:tcBorders>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w:t>
            </w:r>
          </w:p>
        </w:tc>
        <w:tc>
          <w:tcPr>
            <w:tcW w:w="893"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601" w:hRule="atLeast"/>
          <w:jc w:val="center"/>
        </w:trPr>
        <w:tc>
          <w:tcPr>
            <w:tcW w:w="959"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BOD</w:t>
            </w:r>
            <w:r>
              <w:rPr>
                <w:rFonts w:eastAsiaTheme="minorEastAsia"/>
                <w:color w:val="000000" w:themeColor="text1"/>
                <w:kern w:val="0"/>
                <w:sz w:val="21"/>
                <w:szCs w:val="21"/>
                <w:vertAlign w:val="subscript"/>
              </w:rPr>
              <w:t>5</w:t>
            </w:r>
          </w:p>
        </w:tc>
        <w:tc>
          <w:tcPr>
            <w:tcW w:w="1338"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130</w:t>
            </w:r>
          </w:p>
        </w:tc>
        <w:tc>
          <w:tcPr>
            <w:tcW w:w="952"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0.225</w:t>
            </w:r>
          </w:p>
        </w:tc>
        <w:tc>
          <w:tcPr>
            <w:tcW w:w="947" w:type="dxa"/>
            <w:vMerge w:val="continue"/>
            <w:tcBorders>
              <w:tl2br w:val="nil"/>
              <w:tr2bl w:val="nil"/>
            </w:tcBorders>
            <w:shd w:val="clear" w:color="auto" w:fill="auto"/>
            <w:vAlign w:val="bottom"/>
          </w:tcPr>
          <w:p>
            <w:pPr>
              <w:widowControl/>
              <w:ind w:firstLine="0" w:firstLineChars="0"/>
              <w:jc w:val="center"/>
              <w:rPr>
                <w:rFonts w:eastAsiaTheme="minorEastAsia"/>
                <w:color w:val="000000" w:themeColor="text1"/>
                <w:sz w:val="21"/>
                <w:szCs w:val="21"/>
              </w:rPr>
            </w:pPr>
          </w:p>
        </w:tc>
        <w:tc>
          <w:tcPr>
            <w:tcW w:w="1331"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8.892</w:t>
            </w:r>
          </w:p>
        </w:tc>
        <w:tc>
          <w:tcPr>
            <w:tcW w:w="970" w:type="dxa"/>
            <w:tcBorders>
              <w:tl2br w:val="nil"/>
              <w:tr2bl w:val="nil"/>
            </w:tcBorders>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0</w:t>
            </w:r>
          </w:p>
        </w:tc>
        <w:tc>
          <w:tcPr>
            <w:tcW w:w="1708" w:type="dxa"/>
            <w:tcBorders>
              <w:tl2br w:val="nil"/>
              <w:tr2bl w:val="nil"/>
            </w:tcBorders>
          </w:tcPr>
          <w:p>
            <w:pPr>
              <w:widowControl/>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10</w:t>
            </w:r>
          </w:p>
        </w:tc>
        <w:tc>
          <w:tcPr>
            <w:tcW w:w="893"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622" w:hRule="atLeast"/>
          <w:jc w:val="center"/>
        </w:trPr>
        <w:tc>
          <w:tcPr>
            <w:tcW w:w="959"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氨氮</w:t>
            </w:r>
          </w:p>
        </w:tc>
        <w:tc>
          <w:tcPr>
            <w:tcW w:w="1338"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30</w:t>
            </w:r>
          </w:p>
        </w:tc>
        <w:tc>
          <w:tcPr>
            <w:tcW w:w="952"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0.052</w:t>
            </w:r>
          </w:p>
        </w:tc>
        <w:tc>
          <w:tcPr>
            <w:tcW w:w="947" w:type="dxa"/>
            <w:vMerge w:val="continue"/>
            <w:tcBorders>
              <w:tl2br w:val="nil"/>
              <w:tr2bl w:val="nil"/>
            </w:tcBorders>
            <w:shd w:val="clear" w:color="auto" w:fill="auto"/>
            <w:vAlign w:val="bottom"/>
          </w:tcPr>
          <w:p>
            <w:pPr>
              <w:widowControl/>
              <w:ind w:firstLine="0" w:firstLineChars="0"/>
              <w:jc w:val="center"/>
              <w:rPr>
                <w:rFonts w:eastAsiaTheme="minorEastAsia"/>
                <w:color w:val="000000" w:themeColor="text1"/>
                <w:sz w:val="21"/>
                <w:szCs w:val="21"/>
              </w:rPr>
            </w:pPr>
          </w:p>
        </w:tc>
        <w:tc>
          <w:tcPr>
            <w:tcW w:w="1331"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1.745</w:t>
            </w:r>
          </w:p>
        </w:tc>
        <w:tc>
          <w:tcPr>
            <w:tcW w:w="970" w:type="dxa"/>
            <w:tcBorders>
              <w:tl2br w:val="nil"/>
              <w:tr2bl w:val="nil"/>
            </w:tcBorders>
            <w:vAlign w:val="center"/>
          </w:tcPr>
          <w:p>
            <w:pPr>
              <w:widowControl/>
              <w:ind w:firstLine="0" w:firstLineChars="0"/>
              <w:jc w:val="center"/>
              <w:textAlignment w:val="bottom"/>
              <w:rPr>
                <w:rFonts w:eastAsiaTheme="minorEastAsia"/>
                <w:color w:val="000000" w:themeColor="text1"/>
                <w:kern w:val="0"/>
                <w:sz w:val="21"/>
                <w:szCs w:val="21"/>
              </w:rPr>
            </w:pPr>
            <w:r>
              <w:rPr>
                <w:rFonts w:eastAsiaTheme="minorEastAsia"/>
                <w:color w:val="000000" w:themeColor="text1"/>
                <w:kern w:val="0"/>
                <w:sz w:val="21"/>
                <w:szCs w:val="21"/>
              </w:rPr>
              <w:t>0</w:t>
            </w:r>
          </w:p>
        </w:tc>
        <w:tc>
          <w:tcPr>
            <w:tcW w:w="1708" w:type="dxa"/>
            <w:tcBorders>
              <w:tl2br w:val="nil"/>
              <w:tr2bl w:val="nil"/>
            </w:tcBorders>
          </w:tcPr>
          <w:p>
            <w:pPr>
              <w:widowControl/>
              <w:ind w:firstLine="0" w:firstLineChars="0"/>
              <w:jc w:val="center"/>
              <w:textAlignment w:val="bottom"/>
              <w:rPr>
                <w:rFonts w:eastAsiaTheme="minorEastAsia"/>
                <w:color w:val="000000" w:themeColor="text1"/>
                <w:kern w:val="0"/>
                <w:sz w:val="21"/>
                <w:szCs w:val="21"/>
              </w:rPr>
            </w:pPr>
            <w:r>
              <w:rPr>
                <w:rFonts w:hint="eastAsia" w:eastAsiaTheme="minorEastAsia"/>
                <w:color w:val="000000" w:themeColor="text1"/>
                <w:kern w:val="0"/>
                <w:sz w:val="21"/>
                <w:szCs w:val="21"/>
              </w:rPr>
              <w:t>8</w:t>
            </w:r>
          </w:p>
        </w:tc>
        <w:tc>
          <w:tcPr>
            <w:tcW w:w="893" w:type="dxa"/>
            <w:tcBorders>
              <w:tl2br w:val="nil"/>
              <w:tr2bl w:val="nil"/>
            </w:tcBorders>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达标</w:t>
            </w:r>
          </w:p>
        </w:tc>
      </w:tr>
    </w:tbl>
    <w:p>
      <w:pPr>
        <w:ind w:firstLine="480"/>
        <w:rPr>
          <w:rFonts w:eastAsiaTheme="minorEastAsia"/>
          <w:color w:val="000000" w:themeColor="text1"/>
          <w:lang w:val="en-GB"/>
        </w:rPr>
      </w:pPr>
      <w:r>
        <w:rPr>
          <w:rFonts w:eastAsiaTheme="minorEastAsia"/>
          <w:color w:val="000000" w:themeColor="text1"/>
        </w:rPr>
        <w:t>从以上表格看出生活污水处理之后出水水质可以达到</w:t>
      </w:r>
      <w:r>
        <w:rPr>
          <w:rFonts w:hint="eastAsia"/>
          <w:bCs/>
          <w:color w:val="000000" w:themeColor="text1"/>
          <w:szCs w:val="24"/>
        </w:rPr>
        <w:t>《城市污水再生利用城市杂用水水质标准》</w:t>
      </w:r>
      <w:r>
        <w:rPr>
          <w:bCs/>
          <w:color w:val="000000" w:themeColor="text1"/>
          <w:szCs w:val="24"/>
        </w:rPr>
        <w:t>（GB/T18920-2020）</w:t>
      </w:r>
      <w:r>
        <w:rPr>
          <w:rFonts w:eastAsiaTheme="minorEastAsia"/>
          <w:color w:val="000000" w:themeColor="text1"/>
          <w:lang w:val="en-GB"/>
        </w:rPr>
        <w:t>，</w:t>
      </w:r>
      <w:r>
        <w:rPr>
          <w:rFonts w:hint="eastAsia" w:eastAsiaTheme="minorEastAsia"/>
          <w:color w:val="000000" w:themeColor="text1"/>
          <w:lang w:val="en-GB"/>
        </w:rPr>
        <w:t>处理系统排出的尾水</w:t>
      </w:r>
      <w:r>
        <w:rPr>
          <w:rFonts w:eastAsiaTheme="minorEastAsia"/>
          <w:color w:val="000000" w:themeColor="text1"/>
        </w:rPr>
        <w:t>进入50m</w:t>
      </w:r>
      <w:r>
        <w:rPr>
          <w:rFonts w:eastAsiaTheme="minorEastAsia"/>
          <w:color w:val="000000" w:themeColor="text1"/>
          <w:vertAlign w:val="superscript"/>
        </w:rPr>
        <w:t>3</w:t>
      </w:r>
      <w:r>
        <w:rPr>
          <w:rFonts w:hint="eastAsia" w:eastAsiaTheme="minorEastAsia"/>
          <w:color w:val="000000" w:themeColor="text1"/>
        </w:rPr>
        <w:t>中水收集池</w:t>
      </w:r>
      <w:r>
        <w:rPr>
          <w:rFonts w:eastAsiaTheme="minorEastAsia"/>
          <w:color w:val="000000" w:themeColor="text1"/>
        </w:rPr>
        <w:t>，</w:t>
      </w:r>
      <w:r>
        <w:rPr>
          <w:rFonts w:hint="eastAsia" w:eastAsiaTheme="minorEastAsia"/>
          <w:color w:val="000000" w:themeColor="text1"/>
        </w:rPr>
        <w:t>收集池</w:t>
      </w:r>
      <w:r>
        <w:rPr>
          <w:rFonts w:eastAsiaTheme="minorEastAsia"/>
          <w:color w:val="000000" w:themeColor="text1"/>
        </w:rPr>
        <w:t>为本次生活污水处理设施改造以老带新要求建设的</w:t>
      </w:r>
      <w:r>
        <w:rPr>
          <w:rFonts w:hint="eastAsia" w:eastAsiaTheme="minorEastAsia"/>
          <w:color w:val="000000" w:themeColor="text1"/>
        </w:rPr>
        <w:t>工程内容</w:t>
      </w:r>
      <w:r>
        <w:rPr>
          <w:rFonts w:eastAsiaTheme="minorEastAsia"/>
          <w:color w:val="000000" w:themeColor="text1"/>
        </w:rPr>
        <w:t>，处理后的</w:t>
      </w:r>
      <w:r>
        <w:rPr>
          <w:rFonts w:hint="eastAsia" w:eastAsiaTheme="minorEastAsia"/>
          <w:color w:val="000000" w:themeColor="text1"/>
        </w:rPr>
        <w:t>中水</w:t>
      </w:r>
      <w:r>
        <w:rPr>
          <w:rFonts w:eastAsiaTheme="minorEastAsia"/>
          <w:color w:val="000000" w:themeColor="text1"/>
        </w:rPr>
        <w:t>晴天用于</w:t>
      </w:r>
      <w:r>
        <w:rPr>
          <w:rFonts w:hint="eastAsia" w:eastAsiaTheme="minorEastAsia"/>
          <w:color w:val="000000" w:themeColor="text1"/>
        </w:rPr>
        <w:t>厂区</w:t>
      </w:r>
      <w:r>
        <w:rPr>
          <w:rFonts w:eastAsiaTheme="minorEastAsia"/>
          <w:color w:val="000000" w:themeColor="text1"/>
        </w:rPr>
        <w:t>绿化，雨季储存在</w:t>
      </w:r>
      <w:r>
        <w:rPr>
          <w:rFonts w:hint="eastAsia" w:eastAsiaTheme="minorEastAsia"/>
          <w:color w:val="000000" w:themeColor="text1"/>
        </w:rPr>
        <w:t>收集池</w:t>
      </w:r>
      <w:r>
        <w:rPr>
          <w:rFonts w:eastAsiaTheme="minorEastAsia"/>
          <w:color w:val="000000" w:themeColor="text1"/>
        </w:rPr>
        <w:t>中，</w:t>
      </w:r>
      <w:r>
        <w:rPr>
          <w:rFonts w:hint="eastAsia" w:eastAsiaTheme="minorEastAsia"/>
          <w:color w:val="000000" w:themeColor="text1"/>
        </w:rPr>
        <w:t>用于非雨天绿化</w:t>
      </w:r>
      <w:r>
        <w:rPr>
          <w:rFonts w:eastAsiaTheme="minorEastAsia"/>
          <w:color w:val="000000" w:themeColor="text1"/>
        </w:rPr>
        <w:t>。</w:t>
      </w:r>
    </w:p>
    <w:p>
      <w:pPr>
        <w:pStyle w:val="26"/>
        <w:widowControl w:val="0"/>
        <w:kinsoku w:val="0"/>
        <w:overflowPunct w:val="0"/>
        <w:autoSpaceDE w:val="0"/>
        <w:ind w:firstLine="482"/>
        <w:jc w:val="both"/>
        <w:rPr>
          <w:rFonts w:eastAsiaTheme="minorEastAsia"/>
          <w:color w:val="000000" w:themeColor="text1"/>
          <w:lang w:eastAsia="zh-CN"/>
        </w:rPr>
      </w:pPr>
      <w:r>
        <w:rPr>
          <w:rFonts w:hint="eastAsia" w:eastAsiaTheme="minorEastAsia"/>
          <w:b/>
          <w:bCs/>
          <w:color w:val="000000" w:themeColor="text1"/>
          <w:lang w:eastAsia="zh-CN"/>
        </w:rPr>
        <w:t>项目存在的环境问题：</w:t>
      </w:r>
      <w:r>
        <w:rPr>
          <w:rFonts w:hint="eastAsia" w:eastAsiaTheme="minorEastAsia"/>
          <w:color w:val="000000" w:themeColor="text1"/>
          <w:lang w:eastAsia="zh-CN"/>
        </w:rPr>
        <w:t>项目生产废水管道及相应的沉淀池已经建设完毕，但生活污水仅经化粪池处理，未配套相应的生活污水处置设施。</w:t>
      </w:r>
    </w:p>
    <w:p>
      <w:pPr>
        <w:ind w:firstLine="482"/>
        <w:rPr>
          <w:rFonts w:eastAsiaTheme="minorEastAsia"/>
          <w:b/>
          <w:bCs/>
          <w:color w:val="000000" w:themeColor="text1"/>
        </w:rPr>
      </w:pPr>
      <w:r>
        <w:rPr>
          <w:rFonts w:hint="eastAsia" w:eastAsiaTheme="minorEastAsia"/>
          <w:b/>
          <w:bCs/>
          <w:color w:val="000000" w:themeColor="text1"/>
          <w:szCs w:val="24"/>
        </w:rPr>
        <w:t>整改措施：</w:t>
      </w:r>
      <w:r>
        <w:rPr>
          <w:rFonts w:hint="eastAsia" w:eastAsiaTheme="minorEastAsia"/>
          <w:color w:val="000000" w:themeColor="text1"/>
          <w:szCs w:val="24"/>
        </w:rPr>
        <w:t>新增一套15m</w:t>
      </w:r>
      <w:r>
        <w:rPr>
          <w:rFonts w:hint="eastAsia" w:eastAsiaTheme="minorEastAsia"/>
          <w:color w:val="000000" w:themeColor="text1"/>
          <w:szCs w:val="24"/>
          <w:vertAlign w:val="superscript"/>
        </w:rPr>
        <w:t>3</w:t>
      </w:r>
      <w:r>
        <w:rPr>
          <w:rFonts w:hint="eastAsia" w:eastAsiaTheme="minorEastAsia"/>
          <w:color w:val="000000" w:themeColor="text1"/>
          <w:szCs w:val="24"/>
        </w:rPr>
        <w:t>/d规模的一体化生活污水处理设备，并配套一个50m</w:t>
      </w:r>
      <w:r>
        <w:rPr>
          <w:rFonts w:hint="eastAsia" w:eastAsiaTheme="minorEastAsia"/>
          <w:color w:val="000000" w:themeColor="text1"/>
          <w:szCs w:val="24"/>
          <w:vertAlign w:val="superscript"/>
        </w:rPr>
        <w:t>3</w:t>
      </w:r>
      <w:r>
        <w:rPr>
          <w:rFonts w:hint="eastAsia" w:eastAsiaTheme="minorEastAsia"/>
          <w:color w:val="000000" w:themeColor="text1"/>
          <w:szCs w:val="24"/>
        </w:rPr>
        <w:t>的中水收集池，</w:t>
      </w:r>
      <w:r>
        <w:rPr>
          <w:rFonts w:eastAsiaTheme="minorEastAsia"/>
          <w:color w:val="000000" w:themeColor="text1"/>
        </w:rPr>
        <w:t>处理后的</w:t>
      </w:r>
      <w:r>
        <w:rPr>
          <w:rFonts w:hint="eastAsia" w:eastAsiaTheme="minorEastAsia"/>
          <w:color w:val="000000" w:themeColor="text1"/>
        </w:rPr>
        <w:t>中水</w:t>
      </w:r>
      <w:r>
        <w:rPr>
          <w:rFonts w:eastAsiaTheme="minorEastAsia"/>
          <w:color w:val="000000" w:themeColor="text1"/>
        </w:rPr>
        <w:t>晴天用于</w:t>
      </w:r>
      <w:r>
        <w:rPr>
          <w:rFonts w:hint="eastAsia" w:eastAsiaTheme="minorEastAsia"/>
          <w:color w:val="000000" w:themeColor="text1"/>
        </w:rPr>
        <w:t>厂区</w:t>
      </w:r>
      <w:r>
        <w:rPr>
          <w:rFonts w:eastAsiaTheme="minorEastAsia"/>
          <w:color w:val="000000" w:themeColor="text1"/>
        </w:rPr>
        <w:t>绿化，雨季储存在</w:t>
      </w:r>
      <w:r>
        <w:rPr>
          <w:rFonts w:hint="eastAsia" w:eastAsiaTheme="minorEastAsia"/>
          <w:color w:val="000000" w:themeColor="text1"/>
        </w:rPr>
        <w:t>收集池</w:t>
      </w:r>
      <w:r>
        <w:rPr>
          <w:rFonts w:eastAsiaTheme="minorEastAsia"/>
          <w:color w:val="000000" w:themeColor="text1"/>
        </w:rPr>
        <w:t>中，</w:t>
      </w:r>
      <w:r>
        <w:rPr>
          <w:rFonts w:hint="eastAsia" w:eastAsiaTheme="minorEastAsia"/>
          <w:color w:val="000000" w:themeColor="text1"/>
        </w:rPr>
        <w:t>用于非雨天绿化</w:t>
      </w:r>
      <w:r>
        <w:rPr>
          <w:rFonts w:eastAsiaTheme="minorEastAsia"/>
          <w:color w:val="000000" w:themeColor="text1"/>
        </w:rPr>
        <w:t>。</w:t>
      </w:r>
    </w:p>
    <w:p>
      <w:pPr>
        <w:adjustRightInd w:val="0"/>
        <w:snapToGrid w:val="0"/>
        <w:ind w:firstLine="361" w:firstLineChars="150"/>
        <w:rPr>
          <w:b/>
          <w:bCs/>
          <w:color w:val="000000" w:themeColor="text1"/>
          <w:szCs w:val="24"/>
        </w:rPr>
      </w:pPr>
      <w:r>
        <w:rPr>
          <w:b/>
          <w:bCs/>
          <w:color w:val="000000" w:themeColor="text1"/>
          <w:szCs w:val="24"/>
        </w:rPr>
        <w:t>3、固体废物及处置</w:t>
      </w:r>
    </w:p>
    <w:p>
      <w:pPr>
        <w:ind w:firstLine="480"/>
        <w:rPr>
          <w:rFonts w:eastAsiaTheme="minorEastAsia"/>
          <w:color w:val="000000" w:themeColor="text1"/>
        </w:rPr>
      </w:pPr>
      <w:r>
        <w:rPr>
          <w:rFonts w:eastAsiaTheme="minorEastAsia"/>
          <w:color w:val="000000" w:themeColor="text1"/>
        </w:rPr>
        <w:t>项目所产生的固体废物主要包括尾矿、生活垃圾、</w:t>
      </w:r>
      <w:r>
        <w:rPr>
          <w:rFonts w:hint="eastAsia" w:eastAsiaTheme="minorEastAsia"/>
          <w:color w:val="000000" w:themeColor="text1"/>
        </w:rPr>
        <w:t>收尘灰、</w:t>
      </w:r>
      <w:r>
        <w:rPr>
          <w:rFonts w:eastAsiaTheme="minorEastAsia"/>
          <w:color w:val="000000" w:themeColor="text1"/>
        </w:rPr>
        <w:t>机修废机油。</w:t>
      </w:r>
    </w:p>
    <w:p>
      <w:pPr>
        <w:adjustRightInd w:val="0"/>
        <w:snapToGrid w:val="0"/>
        <w:ind w:firstLine="361" w:firstLineChars="150"/>
        <w:rPr>
          <w:b/>
          <w:bCs/>
          <w:color w:val="000000" w:themeColor="text1"/>
          <w:szCs w:val="24"/>
        </w:rPr>
      </w:pPr>
      <w:r>
        <w:rPr>
          <w:b/>
          <w:bCs/>
          <w:color w:val="000000" w:themeColor="text1"/>
          <w:szCs w:val="24"/>
        </w:rPr>
        <w:fldChar w:fldCharType="begin"/>
      </w:r>
      <w:r>
        <w:rPr>
          <w:b/>
          <w:bCs/>
          <w:color w:val="000000" w:themeColor="text1"/>
          <w:szCs w:val="24"/>
        </w:rPr>
        <w:instrText xml:space="preserve"> = 1 \* GB3 </w:instrText>
      </w:r>
      <w:r>
        <w:rPr>
          <w:b/>
          <w:bCs/>
          <w:color w:val="000000" w:themeColor="text1"/>
          <w:szCs w:val="24"/>
        </w:rPr>
        <w:fldChar w:fldCharType="separate"/>
      </w:r>
      <w:r>
        <w:rPr>
          <w:b/>
          <w:bCs/>
          <w:color w:val="000000" w:themeColor="text1"/>
          <w:szCs w:val="24"/>
        </w:rPr>
        <w:t>①</w:t>
      </w:r>
      <w:r>
        <w:rPr>
          <w:b/>
          <w:bCs/>
          <w:color w:val="000000" w:themeColor="text1"/>
          <w:szCs w:val="24"/>
        </w:rPr>
        <w:fldChar w:fldCharType="end"/>
      </w:r>
      <w:r>
        <w:rPr>
          <w:b/>
          <w:bCs/>
          <w:color w:val="000000" w:themeColor="text1"/>
          <w:szCs w:val="24"/>
        </w:rPr>
        <w:t>技改</w:t>
      </w:r>
      <w:r>
        <w:rPr>
          <w:rFonts w:hint="eastAsia"/>
          <w:b/>
          <w:bCs/>
          <w:color w:val="000000" w:themeColor="text1"/>
          <w:szCs w:val="24"/>
        </w:rPr>
        <w:t>项目</w:t>
      </w:r>
      <w:r>
        <w:rPr>
          <w:b/>
          <w:bCs/>
          <w:color w:val="000000" w:themeColor="text1"/>
          <w:szCs w:val="24"/>
        </w:rPr>
        <w:t>再选尾矿</w:t>
      </w:r>
    </w:p>
    <w:p>
      <w:pPr>
        <w:ind w:firstLine="480"/>
        <w:rPr>
          <w:rFonts w:eastAsiaTheme="minorEastAsia"/>
          <w:color w:val="000000" w:themeColor="text1"/>
        </w:rPr>
      </w:pPr>
      <w:r>
        <w:rPr>
          <w:rFonts w:eastAsiaTheme="minorEastAsia"/>
          <w:color w:val="000000" w:themeColor="text1"/>
        </w:rPr>
        <w:t>根据设计，项目利用三级精铁矿再</w:t>
      </w:r>
      <w:r>
        <w:rPr>
          <w:rFonts w:hint="eastAsia" w:eastAsiaTheme="minorEastAsia"/>
          <w:color w:val="000000" w:themeColor="text1"/>
        </w:rPr>
        <w:t>选以提高精矿品位</w:t>
      </w:r>
      <w:r>
        <w:rPr>
          <w:rFonts w:eastAsiaTheme="minorEastAsia"/>
          <w:color w:val="000000" w:themeColor="text1"/>
        </w:rPr>
        <w:t>，生产过程中不进行pH调节，技改工艺不增加浮选工段，不需要使用到浮选剂，选矿后尾矿只是铁的品位发生变化，尾矿属性未发生变化，</w:t>
      </w:r>
      <w:r>
        <w:rPr>
          <w:color w:val="000000" w:themeColor="text1"/>
        </w:rPr>
        <w:t>为</w:t>
      </w:r>
      <w:r>
        <w:rPr>
          <w:rFonts w:eastAsiaTheme="minorEastAsia"/>
          <w:bCs/>
          <w:color w:val="000000" w:themeColor="text1"/>
        </w:rPr>
        <w:t>Ⅰ类一般工业固废，经平安公司已建设的尾矿管道输送至龙都尾矿库，该尾矿库已经过环境影响评价、安评和环保竣工验收，环保审批程序完善。</w:t>
      </w:r>
      <w:r>
        <w:rPr>
          <w:rFonts w:eastAsiaTheme="minorEastAsia"/>
          <w:color w:val="000000" w:themeColor="text1"/>
        </w:rPr>
        <w:t>现有尾矿库满足</w:t>
      </w:r>
      <w:r>
        <w:rPr>
          <w:rFonts w:hint="eastAsia" w:eastAsiaTheme="minorEastAsia"/>
          <w:color w:val="000000" w:themeColor="text1"/>
        </w:rPr>
        <w:t>原</w:t>
      </w:r>
      <w:r>
        <w:rPr>
          <w:color w:val="000000" w:themeColor="text1"/>
        </w:rPr>
        <w:t>《一般工业固体废物贮存、处置场污染控制标准》（GB18599-2001）</w:t>
      </w:r>
      <w:r>
        <w:rPr>
          <w:rFonts w:eastAsiaTheme="minorEastAsia"/>
          <w:bCs/>
          <w:color w:val="000000" w:themeColor="text1"/>
        </w:rPr>
        <w:t>Ⅰ类一般工业固废堆存</w:t>
      </w:r>
      <w:r>
        <w:rPr>
          <w:rFonts w:eastAsiaTheme="minorEastAsia"/>
          <w:color w:val="000000" w:themeColor="text1"/>
        </w:rPr>
        <w:t>要求，</w:t>
      </w:r>
      <w:r>
        <w:rPr>
          <w:rFonts w:hint="eastAsia" w:eastAsiaTheme="minorEastAsia"/>
          <w:color w:val="000000" w:themeColor="text1"/>
        </w:rPr>
        <w:t>尾矿含水率按50%计算，</w:t>
      </w:r>
      <w:r>
        <w:rPr>
          <w:rFonts w:eastAsiaTheme="minorEastAsia"/>
          <w:color w:val="000000" w:themeColor="text1"/>
        </w:rPr>
        <w:t>技改生产线的尾矿（</w:t>
      </w:r>
      <w:r>
        <w:rPr>
          <w:rFonts w:hint="eastAsia" w:eastAsiaTheme="minorEastAsia"/>
          <w:color w:val="000000" w:themeColor="text1"/>
        </w:rPr>
        <w:t>湿</w:t>
      </w:r>
      <w:r>
        <w:rPr>
          <w:rFonts w:eastAsiaTheme="minorEastAsia"/>
          <w:color w:val="000000" w:themeColor="text1"/>
        </w:rPr>
        <w:t>）量为</w:t>
      </w:r>
      <w:r>
        <w:rPr>
          <w:rFonts w:hint="eastAsia" w:eastAsiaTheme="minorEastAsia"/>
          <w:color w:val="000000" w:themeColor="text1"/>
        </w:rPr>
        <w:t>31874.126</w:t>
      </w:r>
      <w:r>
        <w:rPr>
          <w:rFonts w:eastAsiaTheme="minorEastAsia"/>
          <w:color w:val="000000" w:themeColor="text1"/>
        </w:rPr>
        <w:t>t/a。</w:t>
      </w:r>
    </w:p>
    <w:p>
      <w:pPr>
        <w:adjustRightInd w:val="0"/>
        <w:snapToGrid w:val="0"/>
        <w:ind w:firstLine="361" w:firstLineChars="150"/>
        <w:rPr>
          <w:b/>
          <w:bCs/>
          <w:color w:val="000000" w:themeColor="text1"/>
          <w:szCs w:val="24"/>
        </w:rPr>
      </w:pPr>
      <w:r>
        <w:rPr>
          <w:b/>
          <w:bCs/>
          <w:color w:val="000000" w:themeColor="text1"/>
          <w:szCs w:val="24"/>
        </w:rPr>
        <w:t>②技改后原有选矿车间尾矿</w:t>
      </w:r>
    </w:p>
    <w:p>
      <w:pPr>
        <w:ind w:firstLine="480"/>
        <w:jc w:val="both"/>
        <w:rPr>
          <w:rFonts w:eastAsiaTheme="minorEastAsia"/>
          <w:color w:val="000000" w:themeColor="text1"/>
        </w:rPr>
      </w:pPr>
      <w:r>
        <w:rPr>
          <w:rFonts w:eastAsiaTheme="minorEastAsia"/>
          <w:color w:val="000000" w:themeColor="text1"/>
        </w:rPr>
        <w:t>技改后，原选矿生产线产生的尾矿（</w:t>
      </w:r>
      <w:r>
        <w:rPr>
          <w:rFonts w:hint="eastAsia" w:eastAsiaTheme="minorEastAsia"/>
          <w:color w:val="000000" w:themeColor="text1"/>
        </w:rPr>
        <w:t>湿</w:t>
      </w:r>
      <w:r>
        <w:rPr>
          <w:rFonts w:eastAsiaTheme="minorEastAsia"/>
          <w:color w:val="000000" w:themeColor="text1"/>
        </w:rPr>
        <w:t>）为</w:t>
      </w:r>
      <w:r>
        <w:rPr>
          <w:rFonts w:hint="eastAsia" w:eastAsiaTheme="minorEastAsia"/>
          <w:color w:val="000000" w:themeColor="text1"/>
        </w:rPr>
        <w:t>39446.31</w:t>
      </w:r>
      <w:r>
        <w:rPr>
          <w:rFonts w:eastAsiaTheme="minorEastAsia"/>
          <w:color w:val="000000" w:themeColor="text1"/>
        </w:rPr>
        <w:t>t/a（</w:t>
      </w:r>
      <w:r>
        <w:rPr>
          <w:rFonts w:hint="eastAsia" w:eastAsiaTheme="minorEastAsia"/>
          <w:color w:val="000000" w:themeColor="text1"/>
        </w:rPr>
        <w:t>22062</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/a），但原有选矿车间尾矿中带有浮选尾矿，根据玉溪矿业有限公司要求，浮选尾矿不能进入龙都尾矿库，所以原有选矿车间</w:t>
      </w:r>
      <w:r>
        <w:rPr>
          <w:rFonts w:hint="eastAsia" w:eastAsiaTheme="minorEastAsia"/>
          <w:color w:val="000000" w:themeColor="text1"/>
        </w:rPr>
        <w:t>产生的</w:t>
      </w:r>
      <w:r>
        <w:rPr>
          <w:rFonts w:eastAsiaTheme="minorEastAsia"/>
          <w:color w:val="000000" w:themeColor="text1"/>
        </w:rPr>
        <w:t>尾矿继续进入辣子箐尾矿库。技改前原项目尾矿（</w:t>
      </w:r>
      <w:r>
        <w:rPr>
          <w:rFonts w:hint="eastAsia" w:eastAsiaTheme="minorEastAsia"/>
          <w:color w:val="000000" w:themeColor="text1"/>
        </w:rPr>
        <w:t>湿</w:t>
      </w:r>
      <w:r>
        <w:rPr>
          <w:rFonts w:eastAsiaTheme="minorEastAsia"/>
          <w:color w:val="000000" w:themeColor="text1"/>
        </w:rPr>
        <w:t>）产生量为</w:t>
      </w:r>
      <w:r>
        <w:rPr>
          <w:rFonts w:hint="eastAsia" w:eastAsiaTheme="minorEastAsia"/>
          <w:color w:val="000000" w:themeColor="text1"/>
          <w:szCs w:val="24"/>
        </w:rPr>
        <w:t>218700</w:t>
      </w:r>
      <w:r>
        <w:rPr>
          <w:rFonts w:eastAsiaTheme="minorEastAsia"/>
          <w:color w:val="000000" w:themeColor="text1"/>
          <w:szCs w:val="24"/>
        </w:rPr>
        <w:t>t/a。</w:t>
      </w:r>
      <w:r>
        <w:rPr>
          <w:rFonts w:eastAsiaTheme="minorEastAsia"/>
          <w:color w:val="000000" w:themeColor="text1"/>
        </w:rPr>
        <w:t>与原有项目相比，减少了</w:t>
      </w:r>
      <w:r>
        <w:rPr>
          <w:rFonts w:hint="eastAsia" w:eastAsiaTheme="minorEastAsia"/>
          <w:color w:val="000000" w:themeColor="text1"/>
        </w:rPr>
        <w:t>179253.7</w:t>
      </w:r>
      <w:r>
        <w:rPr>
          <w:rFonts w:eastAsiaTheme="minorEastAsia"/>
          <w:color w:val="000000" w:themeColor="text1"/>
        </w:rPr>
        <w:t>t/a，目前辣子箐尾矿库剩余库容</w:t>
      </w:r>
      <w:r>
        <w:rPr>
          <w:rFonts w:hint="eastAsia" w:eastAsiaTheme="minorEastAsia"/>
          <w:color w:val="000000" w:themeColor="text1"/>
        </w:rPr>
        <w:t>约4</w:t>
      </w:r>
      <w:r>
        <w:rPr>
          <w:rFonts w:eastAsiaTheme="minorEastAsia"/>
          <w:color w:val="000000" w:themeColor="text1"/>
        </w:rPr>
        <w:t>万m</w:t>
      </w:r>
      <w:r>
        <w:rPr>
          <w:rFonts w:eastAsiaTheme="minorEastAsia"/>
          <w:color w:val="000000" w:themeColor="text1"/>
          <w:vertAlign w:val="superscript"/>
        </w:rPr>
        <w:t>3</w:t>
      </w:r>
      <w:r>
        <w:rPr>
          <w:rFonts w:eastAsiaTheme="minorEastAsia"/>
          <w:color w:val="000000" w:themeColor="text1"/>
        </w:rPr>
        <w:t>，可以继续为原有项目服务约</w:t>
      </w:r>
      <w:r>
        <w:rPr>
          <w:rFonts w:hint="eastAsia" w:eastAsiaTheme="minorEastAsia"/>
          <w:color w:val="000000" w:themeColor="text1"/>
        </w:rPr>
        <w:t>1.81</w:t>
      </w:r>
      <w:r>
        <w:rPr>
          <w:rFonts w:eastAsiaTheme="minorEastAsia"/>
          <w:color w:val="000000" w:themeColor="text1"/>
        </w:rPr>
        <w:t>年</w:t>
      </w:r>
      <w:r>
        <w:rPr>
          <w:rFonts w:hint="eastAsia" w:eastAsiaTheme="minorEastAsia"/>
          <w:color w:val="000000" w:themeColor="text1"/>
        </w:rPr>
        <w:t>，该尾矿库满后，建设单位应立即停产，待按相关要求解决尾矿去向，再恢复生产</w:t>
      </w:r>
      <w:r>
        <w:rPr>
          <w:rFonts w:eastAsiaTheme="minorEastAsia"/>
          <w:color w:val="000000" w:themeColor="text1"/>
        </w:rPr>
        <w:t>。</w:t>
      </w:r>
    </w:p>
    <w:p>
      <w:pPr>
        <w:adjustRightInd w:val="0"/>
        <w:snapToGrid w:val="0"/>
        <w:ind w:firstLine="361" w:firstLineChars="150"/>
        <w:rPr>
          <w:b/>
          <w:bCs/>
          <w:color w:val="000000" w:themeColor="text1"/>
          <w:szCs w:val="24"/>
        </w:rPr>
      </w:pPr>
      <w:r>
        <w:rPr>
          <w:b/>
          <w:bCs/>
          <w:color w:val="000000" w:themeColor="text1"/>
          <w:szCs w:val="24"/>
        </w:rPr>
        <w:t>③生活垃圾</w:t>
      </w:r>
    </w:p>
    <w:p>
      <w:pPr>
        <w:adjustRightInd w:val="0"/>
        <w:snapToGrid w:val="0"/>
        <w:ind w:firstLine="480"/>
        <w:rPr>
          <w:rFonts w:eastAsiaTheme="minorEastAsia"/>
          <w:color w:val="000000" w:themeColor="text1"/>
        </w:rPr>
      </w:pPr>
      <w:r>
        <w:rPr>
          <w:rFonts w:eastAsiaTheme="minorEastAsia"/>
          <w:color w:val="000000" w:themeColor="text1"/>
        </w:rPr>
        <w:t>技改新增劳动定员5人。生活垃圾产生量按0.5kg/人·d，生活垃圾产生量为2.5kg/d，约0.75t/a，生活办公区设置垃圾收集桶，统一收集送生活区垃圾收集房堆存，后由建设单位定期清运至戛洒镇生活垃圾指定地点处理。</w:t>
      </w:r>
    </w:p>
    <w:p>
      <w:pPr>
        <w:adjustRightInd w:val="0"/>
        <w:snapToGrid w:val="0"/>
        <w:ind w:firstLine="480"/>
        <w:rPr>
          <w:rFonts w:eastAsiaTheme="minorEastAsia"/>
          <w:color w:val="000000" w:themeColor="text1"/>
        </w:rPr>
      </w:pPr>
      <w:r>
        <w:rPr>
          <w:rFonts w:eastAsiaTheme="minorEastAsia"/>
          <w:color w:val="000000" w:themeColor="text1"/>
        </w:rPr>
        <w:t>原有项目生活垃圾产生量为12.75t/a，技改后全厂生产垃圾为13.5t/a，由建设单位定期清运至戛洒镇生活垃圾指定地点处理。</w:t>
      </w:r>
    </w:p>
    <w:p>
      <w:pPr>
        <w:adjustRightInd w:val="0"/>
        <w:snapToGrid w:val="0"/>
        <w:ind w:firstLine="361" w:firstLineChars="150"/>
        <w:rPr>
          <w:b/>
          <w:bCs/>
          <w:color w:val="000000" w:themeColor="text1"/>
          <w:szCs w:val="24"/>
        </w:rPr>
      </w:pPr>
      <w:r>
        <w:rPr>
          <w:b/>
          <w:bCs/>
          <w:color w:val="000000" w:themeColor="text1"/>
          <w:szCs w:val="24"/>
        </w:rPr>
        <w:t>④除尘器收尘灰</w:t>
      </w:r>
    </w:p>
    <w:p>
      <w:pPr>
        <w:pStyle w:val="77"/>
        <w:adjustRightInd w:val="0"/>
        <w:ind w:firstLine="496"/>
        <w:rPr>
          <w:color w:val="000000" w:themeColor="text1"/>
          <w:lang w:val="en-US"/>
        </w:rPr>
      </w:pPr>
      <w:r>
        <w:rPr>
          <w:color w:val="000000" w:themeColor="text1"/>
          <w:lang w:val="en-US"/>
        </w:rPr>
        <w:t>项目原矿加工除尘器收尘灰为</w:t>
      </w:r>
      <w:r>
        <w:rPr>
          <w:rFonts w:hint="eastAsia"/>
          <w:color w:val="000000" w:themeColor="text1"/>
          <w:lang w:val="en-US"/>
        </w:rPr>
        <w:t>225.51</w:t>
      </w:r>
      <w:r>
        <w:rPr>
          <w:color w:val="000000" w:themeColor="text1"/>
          <w:lang w:val="en-US"/>
        </w:rPr>
        <w:t>t/a，通过收集后作为砂料产品外卖，不外排。</w:t>
      </w:r>
    </w:p>
    <w:p>
      <w:pPr>
        <w:adjustRightInd w:val="0"/>
        <w:snapToGrid w:val="0"/>
        <w:ind w:firstLine="361" w:firstLineChars="150"/>
        <w:rPr>
          <w:b/>
          <w:bCs/>
          <w:color w:val="000000" w:themeColor="text1"/>
          <w:szCs w:val="24"/>
        </w:rPr>
      </w:pPr>
      <w:r>
        <w:rPr>
          <w:b/>
          <w:bCs/>
          <w:color w:val="000000" w:themeColor="text1"/>
          <w:szCs w:val="24"/>
        </w:rPr>
        <w:t>⑤设备维修废机油</w:t>
      </w:r>
    </w:p>
    <w:p>
      <w:pPr>
        <w:adjustRightInd w:val="0"/>
        <w:snapToGrid w:val="0"/>
        <w:ind w:firstLine="480"/>
        <w:rPr>
          <w:rFonts w:eastAsiaTheme="minorEastAsia"/>
          <w:color w:val="000000" w:themeColor="text1"/>
          <w:szCs w:val="24"/>
        </w:rPr>
      </w:pPr>
      <w:r>
        <w:rPr>
          <w:rFonts w:eastAsiaTheme="minorEastAsia"/>
          <w:color w:val="000000" w:themeColor="text1"/>
          <w:szCs w:val="24"/>
        </w:rPr>
        <w:t>技改设备运行需要定期更换机油，检修过程会产生少量废机油（0.</w:t>
      </w:r>
      <w:r>
        <w:rPr>
          <w:rFonts w:hint="eastAsia" w:eastAsiaTheme="minorEastAsia"/>
          <w:color w:val="000000" w:themeColor="text1"/>
          <w:szCs w:val="24"/>
        </w:rPr>
        <w:t>1</w:t>
      </w:r>
      <w:r>
        <w:rPr>
          <w:rFonts w:eastAsiaTheme="minorEastAsia"/>
          <w:color w:val="000000" w:themeColor="text1"/>
          <w:szCs w:val="24"/>
        </w:rPr>
        <w:t>t/a），原有项目产生量为0.4t/a，技改后全厂废机油产生量为0.</w:t>
      </w:r>
      <w:r>
        <w:rPr>
          <w:rFonts w:hint="eastAsia" w:eastAsiaTheme="minorEastAsia"/>
          <w:color w:val="000000" w:themeColor="text1"/>
          <w:szCs w:val="24"/>
        </w:rPr>
        <w:t>5</w:t>
      </w:r>
      <w:r>
        <w:rPr>
          <w:rFonts w:eastAsiaTheme="minorEastAsia"/>
          <w:color w:val="000000" w:themeColor="text1"/>
          <w:szCs w:val="24"/>
        </w:rPr>
        <w:t>t/a，</w:t>
      </w:r>
      <w:r>
        <w:rPr>
          <w:rFonts w:eastAsiaTheme="minorEastAsia"/>
          <w:bCs/>
          <w:color w:val="000000" w:themeColor="text1"/>
          <w:szCs w:val="24"/>
        </w:rPr>
        <w:t>经查阅《国家危险废物名录》（2021版），废机油废物代码900-214-08（车辆、机械维修和拆解过程中产生的废发动机油、制动器油、自动变速器油、齿轮油等</w:t>
      </w:r>
      <w:r>
        <w:rPr>
          <w:rFonts w:hint="eastAsia" w:eastAsiaTheme="minorEastAsia"/>
          <w:bCs/>
          <w:color w:val="000000" w:themeColor="text1"/>
          <w:szCs w:val="24"/>
        </w:rPr>
        <w:t>废机油</w:t>
      </w:r>
      <w:r>
        <w:rPr>
          <w:rFonts w:eastAsiaTheme="minorEastAsia"/>
          <w:bCs/>
          <w:color w:val="000000" w:themeColor="text1"/>
          <w:szCs w:val="24"/>
        </w:rPr>
        <w:t>）。</w:t>
      </w:r>
      <w:r>
        <w:rPr>
          <w:rFonts w:eastAsiaTheme="minorEastAsia"/>
          <w:color w:val="000000" w:themeColor="text1"/>
          <w:szCs w:val="24"/>
        </w:rPr>
        <w:t>废机油按规范暂存危险废物暂存间，定期委托具有危废处置资质的单位进行处置。厂区内的危险废物暂存间现状不能满足环保要求，本次技改对危险废物暂存间进行整改</w:t>
      </w:r>
      <w:r>
        <w:rPr>
          <w:color w:val="000000" w:themeColor="text1"/>
          <w:szCs w:val="24"/>
        </w:rPr>
        <w:t>。规范建设危废暂存间，</w:t>
      </w:r>
      <w:r>
        <w:rPr>
          <w:bCs/>
          <w:color w:val="000000" w:themeColor="text1"/>
        </w:rPr>
        <w:t>要求：“6.2.1</w:t>
      </w:r>
      <w:r>
        <w:rPr>
          <w:color w:val="000000" w:themeColor="text1"/>
          <w:kern w:val="0"/>
          <w:szCs w:val="24"/>
          <w:shd w:val="clear" w:color="auto" w:fill="FFFFFF"/>
        </w:rPr>
        <w:t>地面与裙脚要用坚固、防渗的材料建造；</w:t>
      </w:r>
      <w:r>
        <w:rPr>
          <w:bCs/>
          <w:color w:val="000000" w:themeColor="text1"/>
        </w:rPr>
        <w:t>6.2.2必须有泄漏液体收集装置；6.2.5应设计堵截泄漏的裙脚，6.3.1</w:t>
      </w:r>
      <w:r>
        <w:rPr>
          <w:color w:val="000000" w:themeColor="text1"/>
          <w:kern w:val="0"/>
          <w:szCs w:val="24"/>
          <w:shd w:val="clear" w:color="auto" w:fill="FFFFFF"/>
        </w:rPr>
        <w:t>基础必须防渗，防渗层为至少1米厚粘土层（渗透系数≤10</w:t>
      </w:r>
      <w:r>
        <w:rPr>
          <w:color w:val="000000" w:themeColor="text1"/>
          <w:kern w:val="0"/>
          <w:szCs w:val="24"/>
          <w:shd w:val="clear" w:color="auto" w:fill="FFFFFF"/>
          <w:vertAlign w:val="superscript"/>
        </w:rPr>
        <w:t>-7</w:t>
      </w:r>
      <w:r>
        <w:rPr>
          <w:color w:val="000000" w:themeColor="text1"/>
          <w:kern w:val="0"/>
          <w:szCs w:val="24"/>
          <w:shd w:val="clear" w:color="auto" w:fill="FFFFFF"/>
        </w:rPr>
        <w:t>厘米/秒），或2毫米厚高密度聚乙烯，或至少2毫米厚的其它人工材料，渗透系数≤10</w:t>
      </w:r>
      <w:r>
        <w:rPr>
          <w:color w:val="000000" w:themeColor="text1"/>
          <w:kern w:val="0"/>
          <w:szCs w:val="24"/>
          <w:shd w:val="clear" w:color="auto" w:fill="FFFFFF"/>
          <w:vertAlign w:val="superscript"/>
        </w:rPr>
        <w:t>-10</w:t>
      </w:r>
      <w:r>
        <w:rPr>
          <w:color w:val="000000" w:themeColor="text1"/>
          <w:kern w:val="0"/>
          <w:szCs w:val="24"/>
          <w:shd w:val="clear" w:color="auto" w:fill="FFFFFF"/>
        </w:rPr>
        <w:t>厘米/秒”</w:t>
      </w:r>
      <w:r>
        <w:rPr>
          <w:bCs/>
          <w:color w:val="000000" w:themeColor="text1"/>
        </w:rPr>
        <w:t>。本次评价要求盛装容器上张贴标识，</w:t>
      </w:r>
      <w:r>
        <w:rPr>
          <w:rFonts w:eastAsiaTheme="minorEastAsia"/>
          <w:color w:val="000000" w:themeColor="text1"/>
        </w:rPr>
        <w:t>并设置围堰、泄漏液体导流沟和收集池。</w:t>
      </w:r>
      <w:r>
        <w:rPr>
          <w:bCs/>
          <w:color w:val="000000" w:themeColor="text1"/>
        </w:rPr>
        <w:t>贮存危险废物不得超过一年。并制定危险废物管理计划，严格执行危废转移联单制度，建立危险废物管理台账，相关台账应保存3年以上，以备相关管理部门检查。</w:t>
      </w:r>
    </w:p>
    <w:p>
      <w:pPr>
        <w:ind w:firstLine="480"/>
        <w:rPr>
          <w:rFonts w:eastAsiaTheme="minorEastAsia"/>
          <w:color w:val="000000" w:themeColor="text1"/>
          <w:lang w:val="en-GB"/>
        </w:rPr>
      </w:pPr>
      <w:r>
        <w:rPr>
          <w:rFonts w:eastAsiaTheme="minorEastAsia"/>
          <w:color w:val="000000" w:themeColor="text1"/>
        </w:rPr>
        <w:t>营运期固废产生和处置情况见表4.4-</w:t>
      </w:r>
      <w:r>
        <w:rPr>
          <w:rFonts w:hint="eastAsia" w:eastAsiaTheme="minorEastAsia"/>
          <w:color w:val="000000" w:themeColor="text1"/>
        </w:rPr>
        <w:t>8</w:t>
      </w:r>
      <w:r>
        <w:rPr>
          <w:rFonts w:eastAsiaTheme="minorEastAsia"/>
          <w:color w:val="000000" w:themeColor="text1"/>
        </w:rPr>
        <w:t>。</w:t>
      </w:r>
    </w:p>
    <w:p>
      <w:pPr>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表4.4-</w:t>
      </w:r>
      <w:r>
        <w:rPr>
          <w:rFonts w:hint="eastAsia" w:eastAsiaTheme="minorEastAsia"/>
          <w:b/>
          <w:bCs/>
          <w:color w:val="000000" w:themeColor="text1"/>
          <w:sz w:val="21"/>
          <w:szCs w:val="21"/>
        </w:rPr>
        <w:t>8</w:t>
      </w:r>
      <w:r>
        <w:rPr>
          <w:rFonts w:eastAsiaTheme="minorEastAsia"/>
          <w:b/>
          <w:bCs/>
          <w:color w:val="000000" w:themeColor="text1"/>
          <w:sz w:val="21"/>
          <w:szCs w:val="21"/>
        </w:rPr>
        <w:t>营运期技改项目固废产生和处置情况一览表</w:t>
      </w:r>
    </w:p>
    <w:tbl>
      <w:tblPr>
        <w:tblStyle w:val="61"/>
        <w:tblW w:w="92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1358"/>
        <w:gridCol w:w="1510"/>
        <w:gridCol w:w="4679"/>
        <w:gridCol w:w="1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blHeader/>
        </w:trPr>
        <w:tc>
          <w:tcPr>
            <w:tcW w:w="71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编号</w:t>
            </w:r>
          </w:p>
        </w:tc>
        <w:tc>
          <w:tcPr>
            <w:tcW w:w="135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污染物</w:t>
            </w:r>
          </w:p>
        </w:tc>
        <w:tc>
          <w:tcPr>
            <w:tcW w:w="15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产生量</w:t>
            </w:r>
          </w:p>
        </w:tc>
        <w:tc>
          <w:tcPr>
            <w:tcW w:w="467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处置方式</w:t>
            </w:r>
          </w:p>
        </w:tc>
        <w:tc>
          <w:tcPr>
            <w:tcW w:w="101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处置率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71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w:t>
            </w:r>
          </w:p>
        </w:tc>
        <w:tc>
          <w:tcPr>
            <w:tcW w:w="135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技改生产线尾矿（</w:t>
            </w:r>
            <w:r>
              <w:rPr>
                <w:rFonts w:hint="eastAsia" w:eastAsiaTheme="minorEastAsia"/>
                <w:color w:val="000000" w:themeColor="text1"/>
                <w:kern w:val="0"/>
                <w:sz w:val="21"/>
                <w:szCs w:val="21"/>
              </w:rPr>
              <w:t>湿</w:t>
            </w:r>
            <w:r>
              <w:rPr>
                <w:rFonts w:eastAsiaTheme="minorEastAsia"/>
                <w:color w:val="000000" w:themeColor="text1"/>
                <w:kern w:val="0"/>
                <w:sz w:val="21"/>
                <w:szCs w:val="21"/>
              </w:rPr>
              <w:t>）</w:t>
            </w:r>
          </w:p>
        </w:tc>
        <w:tc>
          <w:tcPr>
            <w:tcW w:w="15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31874.126</w:t>
            </w:r>
            <w:r>
              <w:rPr>
                <w:rFonts w:eastAsiaTheme="minorEastAsia"/>
                <w:color w:val="000000" w:themeColor="text1"/>
                <w:kern w:val="0"/>
                <w:sz w:val="21"/>
                <w:szCs w:val="21"/>
              </w:rPr>
              <w:t>t/a</w:t>
            </w:r>
          </w:p>
        </w:tc>
        <w:tc>
          <w:tcPr>
            <w:tcW w:w="467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通过尾矿输送系统输送至龙都尾矿库</w:t>
            </w:r>
          </w:p>
        </w:tc>
        <w:tc>
          <w:tcPr>
            <w:tcW w:w="101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71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2</w:t>
            </w:r>
          </w:p>
        </w:tc>
        <w:tc>
          <w:tcPr>
            <w:tcW w:w="135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生活垃圾</w:t>
            </w:r>
          </w:p>
        </w:tc>
        <w:tc>
          <w:tcPr>
            <w:tcW w:w="15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0.75t/a</w:t>
            </w:r>
          </w:p>
        </w:tc>
        <w:tc>
          <w:tcPr>
            <w:tcW w:w="467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定点收集，运往戛洒镇指定地点处理</w:t>
            </w:r>
          </w:p>
        </w:tc>
        <w:tc>
          <w:tcPr>
            <w:tcW w:w="101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71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w:t>
            </w:r>
          </w:p>
        </w:tc>
        <w:tc>
          <w:tcPr>
            <w:tcW w:w="135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除尘器收尘灰</w:t>
            </w:r>
          </w:p>
        </w:tc>
        <w:tc>
          <w:tcPr>
            <w:tcW w:w="15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225.51</w:t>
            </w:r>
            <w:r>
              <w:rPr>
                <w:rFonts w:eastAsiaTheme="minorEastAsia"/>
                <w:color w:val="000000" w:themeColor="text1"/>
                <w:kern w:val="0"/>
                <w:sz w:val="21"/>
                <w:szCs w:val="21"/>
              </w:rPr>
              <w:t>t/a</w:t>
            </w:r>
          </w:p>
        </w:tc>
        <w:tc>
          <w:tcPr>
            <w:tcW w:w="467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作为砂料产品外排，不外排</w:t>
            </w:r>
          </w:p>
        </w:tc>
        <w:tc>
          <w:tcPr>
            <w:tcW w:w="101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71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w:t>
            </w:r>
          </w:p>
        </w:tc>
        <w:tc>
          <w:tcPr>
            <w:tcW w:w="135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sz w:val="21"/>
                <w:szCs w:val="21"/>
              </w:rPr>
              <w:t>设备维修废机油</w:t>
            </w:r>
          </w:p>
        </w:tc>
        <w:tc>
          <w:tcPr>
            <w:tcW w:w="15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w:t>
            </w:r>
            <w:r>
              <w:rPr>
                <w:rFonts w:hint="eastAsia" w:eastAsiaTheme="minorEastAsia"/>
                <w:color w:val="000000" w:themeColor="text1"/>
                <w:kern w:val="0"/>
                <w:sz w:val="21"/>
                <w:szCs w:val="21"/>
              </w:rPr>
              <w:t>1</w:t>
            </w:r>
            <w:r>
              <w:rPr>
                <w:rFonts w:eastAsiaTheme="minorEastAsia"/>
                <w:color w:val="000000" w:themeColor="text1"/>
                <w:kern w:val="0"/>
                <w:sz w:val="21"/>
                <w:szCs w:val="21"/>
              </w:rPr>
              <w:t>t/a</w:t>
            </w:r>
          </w:p>
        </w:tc>
        <w:tc>
          <w:tcPr>
            <w:tcW w:w="467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sz w:val="21"/>
                <w:szCs w:val="21"/>
              </w:rPr>
              <w:t>按规范暂存危险废物暂存间，定期委托具有危废处置资质的单位进行处置</w:t>
            </w:r>
          </w:p>
        </w:tc>
        <w:tc>
          <w:tcPr>
            <w:tcW w:w="101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100%</w:t>
            </w:r>
          </w:p>
        </w:tc>
      </w:tr>
    </w:tbl>
    <w:p>
      <w:pPr>
        <w:ind w:firstLine="0" w:firstLineChars="0"/>
        <w:jc w:val="center"/>
        <w:rPr>
          <w:rFonts w:eastAsiaTheme="minorEastAsia"/>
          <w:b/>
          <w:bCs/>
          <w:color w:val="000000" w:themeColor="text1"/>
          <w:sz w:val="21"/>
          <w:szCs w:val="21"/>
        </w:rPr>
      </w:pPr>
    </w:p>
    <w:p>
      <w:pPr>
        <w:ind w:firstLine="0" w:firstLineChars="0"/>
        <w:jc w:val="center"/>
        <w:rPr>
          <w:rFonts w:eastAsiaTheme="minorEastAsia"/>
          <w:b/>
          <w:bCs/>
          <w:color w:val="000000" w:themeColor="text1"/>
          <w:sz w:val="21"/>
          <w:szCs w:val="21"/>
        </w:rPr>
      </w:pPr>
    </w:p>
    <w:p>
      <w:pPr>
        <w:ind w:firstLine="0" w:firstLineChars="0"/>
        <w:jc w:val="center"/>
        <w:rPr>
          <w:rFonts w:eastAsiaTheme="minorEastAsia"/>
          <w:b/>
          <w:bCs/>
          <w:color w:val="000000" w:themeColor="text1"/>
          <w:sz w:val="21"/>
          <w:szCs w:val="21"/>
        </w:rPr>
      </w:pPr>
    </w:p>
    <w:p>
      <w:pPr>
        <w:ind w:firstLine="0" w:firstLineChars="0"/>
        <w:jc w:val="center"/>
        <w:rPr>
          <w:rFonts w:eastAsiaTheme="minorEastAsia"/>
          <w:b/>
          <w:bCs/>
          <w:color w:val="000000" w:themeColor="text1"/>
          <w:sz w:val="21"/>
          <w:szCs w:val="21"/>
        </w:rPr>
      </w:pPr>
    </w:p>
    <w:p>
      <w:pPr>
        <w:ind w:firstLine="0" w:firstLineChars="0"/>
        <w:jc w:val="center"/>
        <w:rPr>
          <w:rFonts w:eastAsiaTheme="minorEastAsia"/>
          <w:b/>
          <w:bCs/>
          <w:color w:val="000000" w:themeColor="text1"/>
          <w:sz w:val="21"/>
          <w:szCs w:val="21"/>
        </w:rPr>
      </w:pPr>
    </w:p>
    <w:p>
      <w:pPr>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表4.4-</w:t>
      </w:r>
      <w:r>
        <w:rPr>
          <w:rFonts w:hint="eastAsia" w:eastAsiaTheme="minorEastAsia"/>
          <w:b/>
          <w:bCs/>
          <w:color w:val="000000" w:themeColor="text1"/>
          <w:sz w:val="21"/>
          <w:szCs w:val="21"/>
        </w:rPr>
        <w:t>9</w:t>
      </w:r>
      <w:r>
        <w:rPr>
          <w:rFonts w:eastAsiaTheme="minorEastAsia"/>
          <w:b/>
          <w:bCs/>
          <w:color w:val="000000" w:themeColor="text1"/>
          <w:sz w:val="21"/>
          <w:szCs w:val="21"/>
        </w:rPr>
        <w:t>营运期全厂项目固废产生和处置情况一览表</w:t>
      </w:r>
    </w:p>
    <w:tbl>
      <w:tblPr>
        <w:tblStyle w:val="61"/>
        <w:tblW w:w="92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1358"/>
        <w:gridCol w:w="1510"/>
        <w:gridCol w:w="4679"/>
        <w:gridCol w:w="10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blHeader/>
        </w:trPr>
        <w:tc>
          <w:tcPr>
            <w:tcW w:w="71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编号</w:t>
            </w:r>
          </w:p>
        </w:tc>
        <w:tc>
          <w:tcPr>
            <w:tcW w:w="135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污染物</w:t>
            </w:r>
          </w:p>
        </w:tc>
        <w:tc>
          <w:tcPr>
            <w:tcW w:w="15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产生量</w:t>
            </w:r>
          </w:p>
        </w:tc>
        <w:tc>
          <w:tcPr>
            <w:tcW w:w="467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处置方式</w:t>
            </w:r>
          </w:p>
        </w:tc>
        <w:tc>
          <w:tcPr>
            <w:tcW w:w="101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处置率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71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w:t>
            </w:r>
          </w:p>
        </w:tc>
        <w:tc>
          <w:tcPr>
            <w:tcW w:w="135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技改生产线尾矿（</w:t>
            </w:r>
            <w:r>
              <w:rPr>
                <w:rFonts w:hint="eastAsia" w:eastAsiaTheme="minorEastAsia"/>
                <w:color w:val="000000" w:themeColor="text1"/>
                <w:kern w:val="0"/>
                <w:sz w:val="21"/>
                <w:szCs w:val="21"/>
              </w:rPr>
              <w:t>湿</w:t>
            </w:r>
            <w:r>
              <w:rPr>
                <w:rFonts w:eastAsiaTheme="minorEastAsia"/>
                <w:color w:val="000000" w:themeColor="text1"/>
                <w:kern w:val="0"/>
                <w:sz w:val="21"/>
                <w:szCs w:val="21"/>
              </w:rPr>
              <w:t>）</w:t>
            </w:r>
          </w:p>
        </w:tc>
        <w:tc>
          <w:tcPr>
            <w:tcW w:w="15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31874.126</w:t>
            </w:r>
            <w:r>
              <w:rPr>
                <w:rFonts w:eastAsiaTheme="minorEastAsia"/>
                <w:color w:val="000000" w:themeColor="text1"/>
                <w:kern w:val="0"/>
                <w:sz w:val="21"/>
                <w:szCs w:val="21"/>
              </w:rPr>
              <w:t>t/a</w:t>
            </w:r>
          </w:p>
        </w:tc>
        <w:tc>
          <w:tcPr>
            <w:tcW w:w="467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通过尾矿输送系统输送至龙都尾矿库</w:t>
            </w:r>
          </w:p>
        </w:tc>
        <w:tc>
          <w:tcPr>
            <w:tcW w:w="101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71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2</w:t>
            </w:r>
          </w:p>
        </w:tc>
        <w:tc>
          <w:tcPr>
            <w:tcW w:w="135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原有选矿工段尾矿（</w:t>
            </w:r>
            <w:r>
              <w:rPr>
                <w:rFonts w:hint="eastAsia" w:eastAsiaTheme="minorEastAsia"/>
                <w:color w:val="000000" w:themeColor="text1"/>
                <w:kern w:val="0"/>
                <w:sz w:val="21"/>
                <w:szCs w:val="21"/>
              </w:rPr>
              <w:t>湿</w:t>
            </w:r>
            <w:r>
              <w:rPr>
                <w:rFonts w:eastAsiaTheme="minorEastAsia"/>
                <w:color w:val="000000" w:themeColor="text1"/>
                <w:kern w:val="0"/>
                <w:sz w:val="21"/>
                <w:szCs w:val="21"/>
              </w:rPr>
              <w:t>）</w:t>
            </w:r>
          </w:p>
        </w:tc>
        <w:tc>
          <w:tcPr>
            <w:tcW w:w="15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sz w:val="21"/>
                <w:szCs w:val="21"/>
              </w:rPr>
              <w:t>39446.31</w:t>
            </w:r>
            <w:r>
              <w:rPr>
                <w:rFonts w:eastAsiaTheme="minorEastAsia"/>
                <w:color w:val="000000" w:themeColor="text1"/>
                <w:sz w:val="21"/>
                <w:szCs w:val="21"/>
              </w:rPr>
              <w:t>t/a</w:t>
            </w:r>
          </w:p>
        </w:tc>
        <w:tc>
          <w:tcPr>
            <w:tcW w:w="467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通过尾矿输送系统输送至辣子箐尾矿库</w:t>
            </w:r>
          </w:p>
        </w:tc>
        <w:tc>
          <w:tcPr>
            <w:tcW w:w="101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71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w:t>
            </w:r>
          </w:p>
        </w:tc>
        <w:tc>
          <w:tcPr>
            <w:tcW w:w="135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生活垃圾</w:t>
            </w:r>
          </w:p>
        </w:tc>
        <w:tc>
          <w:tcPr>
            <w:tcW w:w="15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13.5t/a</w:t>
            </w:r>
          </w:p>
        </w:tc>
        <w:tc>
          <w:tcPr>
            <w:tcW w:w="467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定点收集，运往戛洒镇指定地点处理</w:t>
            </w:r>
          </w:p>
        </w:tc>
        <w:tc>
          <w:tcPr>
            <w:tcW w:w="101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71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w:t>
            </w:r>
          </w:p>
        </w:tc>
        <w:tc>
          <w:tcPr>
            <w:tcW w:w="135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除尘器收尘灰</w:t>
            </w:r>
          </w:p>
        </w:tc>
        <w:tc>
          <w:tcPr>
            <w:tcW w:w="15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225.51</w:t>
            </w:r>
            <w:r>
              <w:rPr>
                <w:rFonts w:eastAsiaTheme="minorEastAsia"/>
                <w:color w:val="000000" w:themeColor="text1"/>
                <w:kern w:val="0"/>
                <w:sz w:val="21"/>
                <w:szCs w:val="21"/>
              </w:rPr>
              <w:t>t/a</w:t>
            </w:r>
          </w:p>
        </w:tc>
        <w:tc>
          <w:tcPr>
            <w:tcW w:w="467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作为砂料产品外排，不外排</w:t>
            </w:r>
          </w:p>
        </w:tc>
        <w:tc>
          <w:tcPr>
            <w:tcW w:w="101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rPr>
        <w:tc>
          <w:tcPr>
            <w:tcW w:w="71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5</w:t>
            </w:r>
          </w:p>
        </w:tc>
        <w:tc>
          <w:tcPr>
            <w:tcW w:w="1358" w:type="dxa"/>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sz w:val="21"/>
                <w:szCs w:val="21"/>
              </w:rPr>
              <w:t>设备维修废机油</w:t>
            </w:r>
          </w:p>
        </w:tc>
        <w:tc>
          <w:tcPr>
            <w:tcW w:w="15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w:t>
            </w:r>
            <w:r>
              <w:rPr>
                <w:rFonts w:hint="eastAsia" w:eastAsiaTheme="minorEastAsia"/>
                <w:color w:val="000000" w:themeColor="text1"/>
                <w:kern w:val="0"/>
                <w:sz w:val="21"/>
                <w:szCs w:val="21"/>
              </w:rPr>
              <w:t>5</w:t>
            </w:r>
            <w:r>
              <w:rPr>
                <w:rFonts w:eastAsiaTheme="minorEastAsia"/>
                <w:color w:val="000000" w:themeColor="text1"/>
                <w:kern w:val="0"/>
                <w:sz w:val="21"/>
                <w:szCs w:val="21"/>
              </w:rPr>
              <w:t>t/a</w:t>
            </w:r>
          </w:p>
        </w:tc>
        <w:tc>
          <w:tcPr>
            <w:tcW w:w="467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sz w:val="21"/>
                <w:szCs w:val="21"/>
              </w:rPr>
              <w:t>按规范暂存危险废物暂存间，定期委托具有危废处置资质的单位进行处置</w:t>
            </w:r>
          </w:p>
        </w:tc>
        <w:tc>
          <w:tcPr>
            <w:tcW w:w="101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100%</w:t>
            </w:r>
          </w:p>
        </w:tc>
      </w:tr>
    </w:tbl>
    <w:p>
      <w:pPr>
        <w:pStyle w:val="26"/>
        <w:widowControl w:val="0"/>
        <w:kinsoku w:val="0"/>
        <w:overflowPunct w:val="0"/>
        <w:autoSpaceDE w:val="0"/>
        <w:adjustRightInd w:val="0"/>
        <w:snapToGrid w:val="0"/>
        <w:spacing w:after="0"/>
        <w:ind w:firstLine="498"/>
        <w:jc w:val="both"/>
        <w:rPr>
          <w:rFonts w:eastAsia="宋体"/>
          <w:color w:val="000000" w:themeColor="text1"/>
          <w:spacing w:val="4"/>
          <w:kern w:val="24"/>
          <w:lang w:eastAsia="zh-CN" w:bidi="ar-SA"/>
        </w:rPr>
      </w:pPr>
      <w:r>
        <w:rPr>
          <w:rFonts w:hint="eastAsia" w:eastAsia="宋体"/>
          <w:b/>
          <w:bCs/>
          <w:color w:val="000000" w:themeColor="text1"/>
          <w:spacing w:val="4"/>
          <w:kern w:val="24"/>
          <w:lang w:eastAsia="zh-CN" w:bidi="ar-SA"/>
        </w:rPr>
        <w:t>项目存在的环境问题：</w:t>
      </w:r>
      <w:r>
        <w:rPr>
          <w:rFonts w:hint="eastAsia" w:eastAsia="宋体"/>
          <w:color w:val="000000" w:themeColor="text1"/>
          <w:spacing w:val="4"/>
          <w:kern w:val="24"/>
          <w:lang w:eastAsia="zh-CN" w:bidi="ar-SA"/>
        </w:rPr>
        <w:t>项目危废暂存间设置不规范，未作防渗处理，未</w:t>
      </w:r>
      <w:r>
        <w:rPr>
          <w:rFonts w:eastAsia="宋体"/>
          <w:color w:val="000000" w:themeColor="text1"/>
          <w:spacing w:val="4"/>
          <w:kern w:val="24"/>
          <w:lang w:eastAsia="zh-CN" w:bidi="ar-SA"/>
        </w:rPr>
        <w:t>设置围堰、泄漏液体导流沟和收集池</w:t>
      </w:r>
      <w:r>
        <w:rPr>
          <w:rFonts w:hint="eastAsia" w:eastAsia="宋体"/>
          <w:color w:val="000000" w:themeColor="text1"/>
          <w:spacing w:val="4"/>
          <w:kern w:val="24"/>
          <w:lang w:eastAsia="zh-CN" w:bidi="ar-SA"/>
        </w:rPr>
        <w:t>。废机油处置不规范，未严格执行危废转移联单制度，建立危险废物管理台账。</w:t>
      </w:r>
    </w:p>
    <w:p>
      <w:pPr>
        <w:pStyle w:val="26"/>
        <w:widowControl w:val="0"/>
        <w:kinsoku w:val="0"/>
        <w:overflowPunct w:val="0"/>
        <w:autoSpaceDE w:val="0"/>
        <w:adjustRightInd w:val="0"/>
        <w:snapToGrid w:val="0"/>
        <w:spacing w:after="0"/>
        <w:ind w:firstLine="498"/>
        <w:jc w:val="both"/>
        <w:rPr>
          <w:rFonts w:eastAsia="宋体"/>
          <w:color w:val="000000" w:themeColor="text1"/>
          <w:spacing w:val="4"/>
          <w:kern w:val="24"/>
          <w:lang w:eastAsia="zh-CN" w:bidi="ar-SA"/>
        </w:rPr>
      </w:pPr>
      <w:r>
        <w:rPr>
          <w:rFonts w:hint="eastAsia" w:eastAsia="宋体"/>
          <w:b/>
          <w:bCs/>
          <w:color w:val="000000" w:themeColor="text1"/>
          <w:spacing w:val="4"/>
          <w:kern w:val="24"/>
          <w:lang w:eastAsia="zh-CN" w:bidi="ar-SA"/>
        </w:rPr>
        <w:t>整改措施：</w:t>
      </w:r>
      <w:r>
        <w:rPr>
          <w:rFonts w:hint="eastAsia" w:eastAsia="宋体"/>
          <w:color w:val="000000" w:themeColor="text1"/>
          <w:spacing w:val="4"/>
          <w:kern w:val="24"/>
          <w:lang w:eastAsia="zh-CN" w:bidi="ar-SA"/>
        </w:rPr>
        <w:t>规范设置危废暂存间，按要求作防渗处理，</w:t>
      </w:r>
      <w:r>
        <w:rPr>
          <w:rFonts w:eastAsia="宋体"/>
          <w:color w:val="000000" w:themeColor="text1"/>
          <w:spacing w:val="4"/>
          <w:kern w:val="24"/>
          <w:lang w:eastAsia="zh-CN" w:bidi="ar-SA"/>
        </w:rPr>
        <w:t>设置围堰、泄漏液体导流沟和收集池</w:t>
      </w:r>
      <w:r>
        <w:rPr>
          <w:rFonts w:hint="eastAsia" w:eastAsia="宋体"/>
          <w:color w:val="000000" w:themeColor="text1"/>
          <w:spacing w:val="4"/>
          <w:kern w:val="24"/>
          <w:lang w:eastAsia="zh-CN" w:bidi="ar-SA"/>
        </w:rPr>
        <w:t>。规范处置废机油，委托有资质单位处置，并严格执行危废转移联单制度，建立危险废物管理台账。</w:t>
      </w:r>
    </w:p>
    <w:p>
      <w:pPr>
        <w:pStyle w:val="26"/>
        <w:widowControl w:val="0"/>
        <w:kinsoku w:val="0"/>
        <w:overflowPunct w:val="0"/>
        <w:autoSpaceDE w:val="0"/>
        <w:adjustRightInd w:val="0"/>
        <w:snapToGrid w:val="0"/>
        <w:spacing w:after="0"/>
        <w:ind w:firstLine="498"/>
        <w:jc w:val="both"/>
        <w:outlineLvl w:val="0"/>
        <w:rPr>
          <w:rFonts w:eastAsia="宋体"/>
          <w:b/>
          <w:bCs/>
          <w:color w:val="000000" w:themeColor="text1"/>
          <w:spacing w:val="4"/>
          <w:kern w:val="24"/>
          <w:lang w:eastAsia="zh-CN" w:bidi="ar-SA"/>
        </w:rPr>
      </w:pPr>
      <w:bookmarkStart w:id="530" w:name="_Toc19508"/>
      <w:r>
        <w:rPr>
          <w:rFonts w:hint="eastAsia" w:eastAsia="宋体"/>
          <w:b/>
          <w:bCs/>
          <w:color w:val="000000" w:themeColor="text1"/>
          <w:spacing w:val="4"/>
          <w:kern w:val="24"/>
          <w:lang w:eastAsia="zh-CN" w:bidi="ar-SA"/>
        </w:rPr>
        <w:t>4、噪声</w:t>
      </w:r>
      <w:bookmarkEnd w:id="530"/>
    </w:p>
    <w:p>
      <w:pPr>
        <w:ind w:firstLine="480"/>
        <w:rPr>
          <w:rFonts w:eastAsiaTheme="minorEastAsia"/>
          <w:color w:val="000000" w:themeColor="text1"/>
        </w:rPr>
      </w:pPr>
      <w:r>
        <w:rPr>
          <w:rFonts w:eastAsiaTheme="minorEastAsia"/>
          <w:color w:val="000000" w:themeColor="text1"/>
        </w:rPr>
        <w:t>技改主要机械设备噪声源强见表4.4-</w:t>
      </w:r>
      <w:r>
        <w:rPr>
          <w:rFonts w:hint="eastAsia" w:eastAsiaTheme="minorEastAsia"/>
          <w:color w:val="000000" w:themeColor="text1"/>
        </w:rPr>
        <w:t>10</w:t>
      </w:r>
      <w:r>
        <w:rPr>
          <w:rFonts w:eastAsiaTheme="minorEastAsia"/>
          <w:color w:val="000000" w:themeColor="text1"/>
        </w:rPr>
        <w:t>。</w:t>
      </w:r>
    </w:p>
    <w:p>
      <w:pPr>
        <w:ind w:firstLine="0" w:firstLineChars="0"/>
        <w:jc w:val="center"/>
        <w:rPr>
          <w:rFonts w:eastAsiaTheme="minorEastAsia"/>
          <w:b/>
          <w:bCs/>
          <w:color w:val="000000" w:themeColor="text1"/>
          <w:sz w:val="21"/>
          <w:szCs w:val="21"/>
        </w:rPr>
      </w:pPr>
      <w:r>
        <w:rPr>
          <w:rFonts w:eastAsiaTheme="minorEastAsia"/>
          <w:b/>
          <w:bCs/>
          <w:color w:val="000000" w:themeColor="text1"/>
          <w:sz w:val="21"/>
          <w:szCs w:val="21"/>
        </w:rPr>
        <w:t>表4.4-</w:t>
      </w:r>
      <w:r>
        <w:rPr>
          <w:rFonts w:hint="eastAsia" w:eastAsiaTheme="minorEastAsia"/>
          <w:b/>
          <w:bCs/>
          <w:color w:val="000000" w:themeColor="text1"/>
          <w:sz w:val="21"/>
          <w:szCs w:val="21"/>
        </w:rPr>
        <w:t>10</w:t>
      </w:r>
      <w:r>
        <w:rPr>
          <w:rFonts w:eastAsiaTheme="minorEastAsia"/>
          <w:b/>
          <w:bCs/>
          <w:color w:val="000000" w:themeColor="text1"/>
          <w:sz w:val="21"/>
          <w:szCs w:val="21"/>
        </w:rPr>
        <w:t>主要噪声设备及噪声值</w:t>
      </w:r>
    </w:p>
    <w:tbl>
      <w:tblPr>
        <w:tblStyle w:val="61"/>
        <w:tblW w:w="97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2"/>
        <w:gridCol w:w="2109"/>
        <w:gridCol w:w="1192"/>
        <w:gridCol w:w="1192"/>
        <w:gridCol w:w="2268"/>
        <w:gridCol w:w="797"/>
        <w:gridCol w:w="1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2" w:hRule="exact"/>
          <w:tblHeader/>
          <w:jc w:val="center"/>
        </w:trPr>
        <w:tc>
          <w:tcPr>
            <w:tcW w:w="5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序号</w:t>
            </w:r>
          </w:p>
        </w:tc>
        <w:tc>
          <w:tcPr>
            <w:tcW w:w="210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产噪设备或项目</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数量</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噪声级</w:t>
            </w:r>
          </w:p>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dB（A）</w:t>
            </w:r>
          </w:p>
        </w:tc>
        <w:tc>
          <w:tcPr>
            <w:tcW w:w="226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降噪措施</w:t>
            </w:r>
          </w:p>
        </w:tc>
        <w:tc>
          <w:tcPr>
            <w:tcW w:w="797"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降噪效果dB（A）</w:t>
            </w:r>
          </w:p>
        </w:tc>
        <w:tc>
          <w:tcPr>
            <w:tcW w:w="16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排放方式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exact"/>
          <w:jc w:val="center"/>
        </w:trPr>
        <w:tc>
          <w:tcPr>
            <w:tcW w:w="5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2109"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立磨机</w:t>
            </w:r>
          </w:p>
        </w:tc>
        <w:tc>
          <w:tcPr>
            <w:tcW w:w="1192"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95</w:t>
            </w:r>
          </w:p>
        </w:tc>
        <w:tc>
          <w:tcPr>
            <w:tcW w:w="226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基础减震、厂房隔声、距离衰减</w:t>
            </w:r>
          </w:p>
        </w:tc>
        <w:tc>
          <w:tcPr>
            <w:tcW w:w="797"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w:t>
            </w:r>
          </w:p>
        </w:tc>
        <w:tc>
          <w:tcPr>
            <w:tcW w:w="16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exact"/>
          <w:jc w:val="center"/>
        </w:trPr>
        <w:tc>
          <w:tcPr>
            <w:tcW w:w="5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2109"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强</w:t>
            </w:r>
            <w:r>
              <w:rPr>
                <w:rFonts w:eastAsiaTheme="minorEastAsia"/>
                <w:bCs/>
                <w:iCs/>
                <w:color w:val="000000" w:themeColor="text1"/>
                <w:sz w:val="21"/>
                <w:szCs w:val="21"/>
              </w:rPr>
              <w:t>磁选机</w:t>
            </w:r>
          </w:p>
        </w:tc>
        <w:tc>
          <w:tcPr>
            <w:tcW w:w="1192"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5</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80</w:t>
            </w:r>
          </w:p>
        </w:tc>
        <w:tc>
          <w:tcPr>
            <w:tcW w:w="226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基础减震、厂房隔声、距离衰减</w:t>
            </w:r>
          </w:p>
        </w:tc>
        <w:tc>
          <w:tcPr>
            <w:tcW w:w="797"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w:t>
            </w:r>
          </w:p>
        </w:tc>
        <w:tc>
          <w:tcPr>
            <w:tcW w:w="16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exact"/>
          <w:jc w:val="center"/>
        </w:trPr>
        <w:tc>
          <w:tcPr>
            <w:tcW w:w="5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2109"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陶瓷过滤机</w:t>
            </w:r>
          </w:p>
        </w:tc>
        <w:tc>
          <w:tcPr>
            <w:tcW w:w="1192"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2</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80</w:t>
            </w:r>
          </w:p>
        </w:tc>
        <w:tc>
          <w:tcPr>
            <w:tcW w:w="226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基础减震、厂房隔声、距离衰减</w:t>
            </w:r>
          </w:p>
        </w:tc>
        <w:tc>
          <w:tcPr>
            <w:tcW w:w="797"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w:t>
            </w:r>
          </w:p>
        </w:tc>
        <w:tc>
          <w:tcPr>
            <w:tcW w:w="16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exact"/>
          <w:jc w:val="center"/>
        </w:trPr>
        <w:tc>
          <w:tcPr>
            <w:tcW w:w="5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w:t>
            </w:r>
          </w:p>
        </w:tc>
        <w:tc>
          <w:tcPr>
            <w:tcW w:w="2109"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弱磁选机</w:t>
            </w:r>
          </w:p>
        </w:tc>
        <w:tc>
          <w:tcPr>
            <w:tcW w:w="1192"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85</w:t>
            </w:r>
          </w:p>
        </w:tc>
        <w:tc>
          <w:tcPr>
            <w:tcW w:w="226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基础减震、厂房隔声、距离衰减</w:t>
            </w:r>
          </w:p>
        </w:tc>
        <w:tc>
          <w:tcPr>
            <w:tcW w:w="797"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w:t>
            </w:r>
          </w:p>
        </w:tc>
        <w:tc>
          <w:tcPr>
            <w:tcW w:w="16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exact"/>
          <w:jc w:val="center"/>
        </w:trPr>
        <w:tc>
          <w:tcPr>
            <w:tcW w:w="5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5</w:t>
            </w:r>
          </w:p>
        </w:tc>
        <w:tc>
          <w:tcPr>
            <w:tcW w:w="2109"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渣浆泵</w:t>
            </w:r>
          </w:p>
        </w:tc>
        <w:tc>
          <w:tcPr>
            <w:tcW w:w="1192"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2</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85</w:t>
            </w:r>
          </w:p>
        </w:tc>
        <w:tc>
          <w:tcPr>
            <w:tcW w:w="226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基础减震、厂房隔声、距离衰减</w:t>
            </w:r>
          </w:p>
        </w:tc>
        <w:tc>
          <w:tcPr>
            <w:tcW w:w="797"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w:t>
            </w:r>
          </w:p>
        </w:tc>
        <w:tc>
          <w:tcPr>
            <w:tcW w:w="16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exact"/>
          <w:jc w:val="center"/>
        </w:trPr>
        <w:tc>
          <w:tcPr>
            <w:tcW w:w="5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6</w:t>
            </w:r>
          </w:p>
        </w:tc>
        <w:tc>
          <w:tcPr>
            <w:tcW w:w="2109"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破碎机</w:t>
            </w:r>
          </w:p>
        </w:tc>
        <w:tc>
          <w:tcPr>
            <w:tcW w:w="1192"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4</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95</w:t>
            </w:r>
          </w:p>
        </w:tc>
        <w:tc>
          <w:tcPr>
            <w:tcW w:w="226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基础减震、距离衰减</w:t>
            </w:r>
          </w:p>
        </w:tc>
        <w:tc>
          <w:tcPr>
            <w:tcW w:w="797"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w:t>
            </w:r>
          </w:p>
        </w:tc>
        <w:tc>
          <w:tcPr>
            <w:tcW w:w="16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exact"/>
          <w:jc w:val="center"/>
        </w:trPr>
        <w:tc>
          <w:tcPr>
            <w:tcW w:w="5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7</w:t>
            </w:r>
          </w:p>
        </w:tc>
        <w:tc>
          <w:tcPr>
            <w:tcW w:w="2109"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振动机</w:t>
            </w:r>
          </w:p>
        </w:tc>
        <w:tc>
          <w:tcPr>
            <w:tcW w:w="1192"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90</w:t>
            </w:r>
          </w:p>
        </w:tc>
        <w:tc>
          <w:tcPr>
            <w:tcW w:w="226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基础减震、距离衰减</w:t>
            </w:r>
          </w:p>
        </w:tc>
        <w:tc>
          <w:tcPr>
            <w:tcW w:w="797"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w:t>
            </w:r>
          </w:p>
        </w:tc>
        <w:tc>
          <w:tcPr>
            <w:tcW w:w="16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exact"/>
          <w:jc w:val="center"/>
        </w:trPr>
        <w:tc>
          <w:tcPr>
            <w:tcW w:w="5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8</w:t>
            </w:r>
          </w:p>
        </w:tc>
        <w:tc>
          <w:tcPr>
            <w:tcW w:w="2109"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水平筛</w:t>
            </w:r>
          </w:p>
        </w:tc>
        <w:tc>
          <w:tcPr>
            <w:tcW w:w="1192"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90</w:t>
            </w:r>
          </w:p>
        </w:tc>
        <w:tc>
          <w:tcPr>
            <w:tcW w:w="226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基础减震、距离衰减</w:t>
            </w:r>
          </w:p>
        </w:tc>
        <w:tc>
          <w:tcPr>
            <w:tcW w:w="797"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-15</w:t>
            </w:r>
          </w:p>
        </w:tc>
        <w:tc>
          <w:tcPr>
            <w:tcW w:w="16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exact"/>
          <w:jc w:val="center"/>
        </w:trPr>
        <w:tc>
          <w:tcPr>
            <w:tcW w:w="5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9</w:t>
            </w:r>
          </w:p>
        </w:tc>
        <w:tc>
          <w:tcPr>
            <w:tcW w:w="2109"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制砂机</w:t>
            </w:r>
            <w:r>
              <w:rPr>
                <w:rFonts w:hint="eastAsia" w:eastAsiaTheme="minorEastAsia"/>
                <w:bCs/>
                <w:iCs/>
                <w:color w:val="000000" w:themeColor="text1"/>
                <w:sz w:val="21"/>
                <w:szCs w:val="21"/>
              </w:rPr>
              <w:t>（整形机）</w:t>
            </w:r>
          </w:p>
        </w:tc>
        <w:tc>
          <w:tcPr>
            <w:tcW w:w="1192"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95</w:t>
            </w:r>
          </w:p>
        </w:tc>
        <w:tc>
          <w:tcPr>
            <w:tcW w:w="226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基础减震、距离衰减</w:t>
            </w:r>
          </w:p>
        </w:tc>
        <w:tc>
          <w:tcPr>
            <w:tcW w:w="797"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w:t>
            </w:r>
          </w:p>
        </w:tc>
        <w:tc>
          <w:tcPr>
            <w:tcW w:w="16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exact"/>
          <w:jc w:val="center"/>
        </w:trPr>
        <w:tc>
          <w:tcPr>
            <w:tcW w:w="5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10</w:t>
            </w:r>
          </w:p>
        </w:tc>
        <w:tc>
          <w:tcPr>
            <w:tcW w:w="2109"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斗轮洗砂机</w:t>
            </w:r>
          </w:p>
        </w:tc>
        <w:tc>
          <w:tcPr>
            <w:tcW w:w="1192"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80</w:t>
            </w:r>
          </w:p>
        </w:tc>
        <w:tc>
          <w:tcPr>
            <w:tcW w:w="226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基础减震、距离衰减</w:t>
            </w:r>
          </w:p>
        </w:tc>
        <w:tc>
          <w:tcPr>
            <w:tcW w:w="797"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w:t>
            </w:r>
          </w:p>
        </w:tc>
        <w:tc>
          <w:tcPr>
            <w:tcW w:w="16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exact"/>
          <w:jc w:val="center"/>
        </w:trPr>
        <w:tc>
          <w:tcPr>
            <w:tcW w:w="5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r>
              <w:rPr>
                <w:rFonts w:hint="eastAsia" w:eastAsiaTheme="minorEastAsia"/>
                <w:color w:val="000000" w:themeColor="text1"/>
                <w:sz w:val="21"/>
                <w:szCs w:val="21"/>
              </w:rPr>
              <w:t>1</w:t>
            </w:r>
          </w:p>
        </w:tc>
        <w:tc>
          <w:tcPr>
            <w:tcW w:w="2109"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球磨机</w:t>
            </w:r>
          </w:p>
        </w:tc>
        <w:tc>
          <w:tcPr>
            <w:tcW w:w="1192"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6</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90</w:t>
            </w:r>
          </w:p>
        </w:tc>
        <w:tc>
          <w:tcPr>
            <w:tcW w:w="226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基础减震、距离衰减</w:t>
            </w:r>
          </w:p>
        </w:tc>
        <w:tc>
          <w:tcPr>
            <w:tcW w:w="797"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w:t>
            </w:r>
          </w:p>
        </w:tc>
        <w:tc>
          <w:tcPr>
            <w:tcW w:w="16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7" w:hRule="exact"/>
          <w:jc w:val="center"/>
        </w:trPr>
        <w:tc>
          <w:tcPr>
            <w:tcW w:w="5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12</w:t>
            </w:r>
          </w:p>
        </w:tc>
        <w:tc>
          <w:tcPr>
            <w:tcW w:w="2109"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风机</w:t>
            </w:r>
          </w:p>
        </w:tc>
        <w:tc>
          <w:tcPr>
            <w:tcW w:w="1192"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4</w:t>
            </w:r>
          </w:p>
        </w:tc>
        <w:tc>
          <w:tcPr>
            <w:tcW w:w="119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95</w:t>
            </w:r>
          </w:p>
        </w:tc>
        <w:tc>
          <w:tcPr>
            <w:tcW w:w="2268"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基础减震、距离衰减</w:t>
            </w:r>
            <w:r>
              <w:rPr>
                <w:rFonts w:hint="eastAsia" w:eastAsiaTheme="minorEastAsia"/>
                <w:color w:val="000000" w:themeColor="text1"/>
                <w:sz w:val="21"/>
                <w:szCs w:val="21"/>
              </w:rPr>
              <w:t>、安装消声器</w:t>
            </w:r>
          </w:p>
        </w:tc>
        <w:tc>
          <w:tcPr>
            <w:tcW w:w="797"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-20</w:t>
            </w:r>
          </w:p>
        </w:tc>
        <w:tc>
          <w:tcPr>
            <w:tcW w:w="161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连续</w:t>
            </w:r>
          </w:p>
        </w:tc>
      </w:tr>
    </w:tbl>
    <w:p>
      <w:pPr>
        <w:adjustRightInd w:val="0"/>
        <w:snapToGrid w:val="0"/>
        <w:ind w:firstLine="480"/>
        <w:rPr>
          <w:rFonts w:eastAsiaTheme="minorEastAsia"/>
          <w:color w:val="000000" w:themeColor="text1"/>
        </w:rPr>
      </w:pPr>
      <w:r>
        <w:rPr>
          <w:rFonts w:eastAsiaTheme="minorEastAsia"/>
          <w:color w:val="000000" w:themeColor="text1"/>
        </w:rPr>
        <w:t>主要降噪措施包括为设备减震、厂房隔声、距离衰减等防护措施。</w:t>
      </w:r>
    </w:p>
    <w:p>
      <w:pPr>
        <w:pStyle w:val="26"/>
        <w:widowControl w:val="0"/>
        <w:kinsoku w:val="0"/>
        <w:overflowPunct w:val="0"/>
        <w:autoSpaceDE w:val="0"/>
        <w:adjustRightInd w:val="0"/>
        <w:snapToGrid w:val="0"/>
        <w:spacing w:after="0"/>
        <w:ind w:firstLine="498"/>
        <w:jc w:val="both"/>
        <w:rPr>
          <w:rFonts w:eastAsia="宋体"/>
          <w:color w:val="000000" w:themeColor="text1"/>
          <w:spacing w:val="4"/>
          <w:kern w:val="24"/>
          <w:lang w:eastAsia="zh-CN" w:bidi="ar-SA"/>
        </w:rPr>
      </w:pPr>
      <w:r>
        <w:rPr>
          <w:rFonts w:hint="eastAsia" w:eastAsia="宋体"/>
          <w:b/>
          <w:bCs/>
          <w:color w:val="000000" w:themeColor="text1"/>
          <w:spacing w:val="4"/>
          <w:kern w:val="24"/>
          <w:lang w:eastAsia="zh-CN" w:bidi="ar-SA"/>
        </w:rPr>
        <w:t>项目存在的环境问题：</w:t>
      </w:r>
      <w:r>
        <w:rPr>
          <w:rFonts w:hint="eastAsia" w:eastAsia="宋体"/>
          <w:color w:val="000000" w:themeColor="text1"/>
          <w:spacing w:val="4"/>
          <w:kern w:val="24"/>
          <w:lang w:eastAsia="zh-CN" w:bidi="ar-SA"/>
        </w:rPr>
        <w:t>项目生产设备虽已安装完毕，但部分设备基础减震垫未安装，噪声影响较明显。</w:t>
      </w:r>
    </w:p>
    <w:p>
      <w:pPr>
        <w:pStyle w:val="26"/>
        <w:widowControl w:val="0"/>
        <w:kinsoku w:val="0"/>
        <w:overflowPunct w:val="0"/>
        <w:autoSpaceDE w:val="0"/>
        <w:adjustRightInd w:val="0"/>
        <w:snapToGrid w:val="0"/>
        <w:spacing w:after="0"/>
        <w:ind w:firstLine="498"/>
        <w:jc w:val="both"/>
        <w:rPr>
          <w:color w:val="000000" w:themeColor="text1"/>
          <w:lang w:eastAsia="zh-CN"/>
        </w:rPr>
      </w:pPr>
      <w:r>
        <w:rPr>
          <w:rFonts w:hint="eastAsia" w:eastAsia="宋体"/>
          <w:b/>
          <w:bCs/>
          <w:color w:val="000000" w:themeColor="text1"/>
          <w:spacing w:val="4"/>
          <w:kern w:val="24"/>
          <w:lang w:eastAsia="zh-CN" w:bidi="ar-SA"/>
        </w:rPr>
        <w:t>整改措施：</w:t>
      </w:r>
      <w:r>
        <w:rPr>
          <w:rFonts w:hint="eastAsia" w:eastAsia="宋体"/>
          <w:color w:val="000000" w:themeColor="text1"/>
          <w:spacing w:val="4"/>
          <w:kern w:val="24"/>
          <w:lang w:eastAsia="zh-CN" w:bidi="ar-SA"/>
        </w:rPr>
        <w:t>以上产生噪声设备均安装减震垫降低噪声的排放。</w:t>
      </w:r>
    </w:p>
    <w:p>
      <w:pPr>
        <w:pStyle w:val="6"/>
        <w:spacing w:beforeLines="0" w:afterLines="0"/>
        <w:rPr>
          <w:rFonts w:eastAsiaTheme="minorEastAsia"/>
          <w:color w:val="000000" w:themeColor="text1"/>
        </w:rPr>
        <w:sectPr>
          <w:pgSz w:w="11906" w:h="16838"/>
          <w:pgMar w:top="1440" w:right="1417" w:bottom="1440" w:left="1417" w:header="850" w:footer="992" w:gutter="0"/>
          <w:pgNumType w:fmt="numberInDash"/>
          <w:cols w:space="425" w:num="1"/>
          <w:docGrid w:type="lines" w:linePitch="326" w:charSpace="0"/>
        </w:sectPr>
      </w:pPr>
    </w:p>
    <w:p>
      <w:pPr>
        <w:pStyle w:val="574"/>
        <w:spacing w:beforeLines="0" w:afterLines="0"/>
        <w:rPr>
          <w:rFonts w:eastAsiaTheme="minorEastAsia"/>
          <w:color w:val="000000" w:themeColor="text1"/>
          <w:sz w:val="30"/>
          <w:szCs w:val="30"/>
        </w:rPr>
      </w:pPr>
      <w:bookmarkStart w:id="531" w:name="_Toc1907"/>
      <w:r>
        <w:rPr>
          <w:rFonts w:eastAsiaTheme="minorEastAsia"/>
          <w:color w:val="000000" w:themeColor="text1"/>
          <w:sz w:val="30"/>
          <w:szCs w:val="30"/>
        </w:rPr>
        <w:t>4.5运营期污染物产排放情况</w:t>
      </w:r>
      <w:bookmarkEnd w:id="531"/>
    </w:p>
    <w:p>
      <w:pPr>
        <w:ind w:firstLine="480"/>
        <w:rPr>
          <w:rFonts w:eastAsiaTheme="minorEastAsia"/>
          <w:color w:val="000000" w:themeColor="text1"/>
        </w:rPr>
      </w:pPr>
      <w:r>
        <w:rPr>
          <w:rFonts w:eastAsiaTheme="minorEastAsia"/>
          <w:color w:val="000000" w:themeColor="text1"/>
        </w:rPr>
        <w:t>技改后运营期污染物产排放情况见表4.5-1。</w:t>
      </w:r>
    </w:p>
    <w:p>
      <w:pPr>
        <w:ind w:firstLine="0" w:firstLineChars="0"/>
        <w:jc w:val="center"/>
        <w:rPr>
          <w:rFonts w:eastAsiaTheme="minorEastAsia"/>
          <w:color w:val="000000" w:themeColor="text1"/>
        </w:rPr>
      </w:pPr>
      <w:r>
        <w:rPr>
          <w:rFonts w:eastAsiaTheme="minorEastAsia"/>
          <w:b/>
          <w:bCs/>
          <w:color w:val="000000" w:themeColor="text1"/>
          <w:sz w:val="21"/>
          <w:szCs w:val="21"/>
        </w:rPr>
        <w:t>表4.5-1技改项目污染物产生和排放情况一览表</w:t>
      </w:r>
    </w:p>
    <w:tbl>
      <w:tblPr>
        <w:tblStyle w:val="61"/>
        <w:tblW w:w="134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0"/>
        <w:gridCol w:w="2010"/>
        <w:gridCol w:w="1093"/>
        <w:gridCol w:w="1322"/>
        <w:gridCol w:w="2189"/>
        <w:gridCol w:w="977"/>
        <w:gridCol w:w="1364"/>
        <w:gridCol w:w="1950"/>
        <w:gridCol w:w="1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blHeader/>
          <w:jc w:val="center"/>
        </w:trPr>
        <w:tc>
          <w:tcPr>
            <w:tcW w:w="760" w:type="dxa"/>
            <w:vAlign w:val="center"/>
          </w:tcPr>
          <w:p>
            <w:pPr>
              <w:pStyle w:val="126"/>
              <w:rPr>
                <w:rFonts w:eastAsiaTheme="minorEastAsia"/>
                <w:color w:val="000000" w:themeColor="text1"/>
              </w:rPr>
            </w:pPr>
            <w:r>
              <w:rPr>
                <w:rFonts w:eastAsiaTheme="minorEastAsia"/>
                <w:color w:val="000000" w:themeColor="text1"/>
              </w:rPr>
              <w:t>污染物类别</w:t>
            </w:r>
          </w:p>
        </w:tc>
        <w:tc>
          <w:tcPr>
            <w:tcW w:w="2010" w:type="dxa"/>
            <w:vAlign w:val="center"/>
          </w:tcPr>
          <w:p>
            <w:pPr>
              <w:pStyle w:val="126"/>
              <w:rPr>
                <w:rFonts w:eastAsiaTheme="minorEastAsia"/>
                <w:color w:val="000000" w:themeColor="text1"/>
              </w:rPr>
            </w:pPr>
            <w:r>
              <w:rPr>
                <w:rFonts w:eastAsiaTheme="minorEastAsia"/>
                <w:color w:val="000000" w:themeColor="text1"/>
              </w:rPr>
              <w:t>名称</w:t>
            </w:r>
          </w:p>
        </w:tc>
        <w:tc>
          <w:tcPr>
            <w:tcW w:w="1093" w:type="dxa"/>
            <w:vAlign w:val="center"/>
          </w:tcPr>
          <w:p>
            <w:pPr>
              <w:pStyle w:val="126"/>
              <w:rPr>
                <w:rFonts w:eastAsiaTheme="minorEastAsia"/>
                <w:color w:val="000000" w:themeColor="text1"/>
              </w:rPr>
            </w:pPr>
            <w:r>
              <w:rPr>
                <w:rFonts w:eastAsiaTheme="minorEastAsia"/>
                <w:color w:val="000000" w:themeColor="text1"/>
              </w:rPr>
              <w:t>类别</w:t>
            </w:r>
          </w:p>
        </w:tc>
        <w:tc>
          <w:tcPr>
            <w:tcW w:w="1322" w:type="dxa"/>
            <w:vAlign w:val="center"/>
          </w:tcPr>
          <w:p>
            <w:pPr>
              <w:pStyle w:val="126"/>
              <w:rPr>
                <w:rFonts w:eastAsiaTheme="minorEastAsia"/>
                <w:color w:val="000000" w:themeColor="text1"/>
              </w:rPr>
            </w:pPr>
            <w:r>
              <w:rPr>
                <w:rFonts w:eastAsiaTheme="minorEastAsia"/>
                <w:color w:val="000000" w:themeColor="text1"/>
              </w:rPr>
              <w:t>产生量（t/a）</w:t>
            </w:r>
          </w:p>
        </w:tc>
        <w:tc>
          <w:tcPr>
            <w:tcW w:w="2189" w:type="dxa"/>
            <w:vAlign w:val="center"/>
          </w:tcPr>
          <w:p>
            <w:pPr>
              <w:pStyle w:val="126"/>
              <w:rPr>
                <w:rFonts w:eastAsiaTheme="minorEastAsia"/>
                <w:color w:val="000000" w:themeColor="text1"/>
              </w:rPr>
            </w:pPr>
            <w:r>
              <w:rPr>
                <w:rFonts w:eastAsiaTheme="minorEastAsia"/>
                <w:color w:val="000000" w:themeColor="text1"/>
              </w:rPr>
              <w:t>治理措施</w:t>
            </w:r>
          </w:p>
        </w:tc>
        <w:tc>
          <w:tcPr>
            <w:tcW w:w="977" w:type="dxa"/>
            <w:vAlign w:val="center"/>
          </w:tcPr>
          <w:p>
            <w:pPr>
              <w:pStyle w:val="126"/>
              <w:rPr>
                <w:rFonts w:eastAsiaTheme="minorEastAsia"/>
                <w:color w:val="000000" w:themeColor="text1"/>
              </w:rPr>
            </w:pPr>
            <w:r>
              <w:rPr>
                <w:rFonts w:eastAsiaTheme="minorEastAsia"/>
                <w:color w:val="000000" w:themeColor="text1"/>
              </w:rPr>
              <w:t>削减量（t/a）</w:t>
            </w:r>
          </w:p>
        </w:tc>
        <w:tc>
          <w:tcPr>
            <w:tcW w:w="1364" w:type="dxa"/>
            <w:vAlign w:val="center"/>
          </w:tcPr>
          <w:p>
            <w:pPr>
              <w:pStyle w:val="126"/>
              <w:rPr>
                <w:rFonts w:eastAsiaTheme="minorEastAsia"/>
                <w:color w:val="000000" w:themeColor="text1"/>
              </w:rPr>
            </w:pPr>
            <w:r>
              <w:rPr>
                <w:rFonts w:eastAsiaTheme="minorEastAsia"/>
                <w:color w:val="000000" w:themeColor="text1"/>
              </w:rPr>
              <w:t>排放量（t/a）</w:t>
            </w:r>
          </w:p>
        </w:tc>
        <w:tc>
          <w:tcPr>
            <w:tcW w:w="1950" w:type="dxa"/>
            <w:vAlign w:val="center"/>
          </w:tcPr>
          <w:p>
            <w:pPr>
              <w:pStyle w:val="126"/>
              <w:rPr>
                <w:rFonts w:eastAsiaTheme="minorEastAsia"/>
                <w:color w:val="000000" w:themeColor="text1"/>
              </w:rPr>
            </w:pPr>
            <w:r>
              <w:rPr>
                <w:rFonts w:eastAsiaTheme="minorEastAsia"/>
                <w:color w:val="000000" w:themeColor="text1"/>
              </w:rPr>
              <w:t>处理效果</w:t>
            </w:r>
          </w:p>
        </w:tc>
        <w:tc>
          <w:tcPr>
            <w:tcW w:w="1795" w:type="dxa"/>
            <w:vAlign w:val="center"/>
          </w:tcPr>
          <w:p>
            <w:pPr>
              <w:pStyle w:val="126"/>
              <w:rPr>
                <w:rFonts w:eastAsiaTheme="minorEastAsia"/>
                <w:color w:val="000000" w:themeColor="text1"/>
              </w:rPr>
            </w:pPr>
            <w:r>
              <w:rPr>
                <w:rFonts w:eastAsiaTheme="minorEastAsia"/>
                <w:color w:val="000000" w:themeColor="text1"/>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restart"/>
            <w:vAlign w:val="center"/>
          </w:tcPr>
          <w:p>
            <w:pPr>
              <w:pStyle w:val="126"/>
              <w:rPr>
                <w:rFonts w:eastAsiaTheme="minorEastAsia"/>
                <w:color w:val="000000" w:themeColor="text1"/>
              </w:rPr>
            </w:pPr>
            <w:r>
              <w:rPr>
                <w:rFonts w:eastAsiaTheme="minorEastAsia"/>
                <w:color w:val="000000" w:themeColor="text1"/>
              </w:rPr>
              <w:t>废水</w:t>
            </w:r>
          </w:p>
        </w:tc>
        <w:tc>
          <w:tcPr>
            <w:tcW w:w="2010"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生活污水（技改项目）</w:t>
            </w:r>
          </w:p>
        </w:tc>
        <w:tc>
          <w:tcPr>
            <w:tcW w:w="1093" w:type="dxa"/>
            <w:vAlign w:val="center"/>
          </w:tcPr>
          <w:p>
            <w:pPr>
              <w:pStyle w:val="126"/>
              <w:rPr>
                <w:rFonts w:eastAsiaTheme="minorEastAsia"/>
                <w:color w:val="000000" w:themeColor="text1"/>
              </w:rPr>
            </w:pPr>
            <w:r>
              <w:rPr>
                <w:rFonts w:eastAsiaTheme="minorEastAsia"/>
                <w:color w:val="000000" w:themeColor="text1"/>
              </w:rPr>
              <w:t>废水量</w:t>
            </w:r>
          </w:p>
        </w:tc>
        <w:tc>
          <w:tcPr>
            <w:tcW w:w="1322"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kern w:val="0"/>
                <w:sz w:val="21"/>
                <w:szCs w:val="21"/>
              </w:rPr>
              <w:t>96</w:t>
            </w:r>
          </w:p>
        </w:tc>
        <w:tc>
          <w:tcPr>
            <w:tcW w:w="2189"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化粪池，一体化生活污水处理设施</w:t>
            </w:r>
          </w:p>
        </w:tc>
        <w:tc>
          <w:tcPr>
            <w:tcW w:w="977" w:type="dxa"/>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kern w:val="0"/>
                <w:sz w:val="21"/>
                <w:szCs w:val="21"/>
              </w:rPr>
              <w:t>96</w:t>
            </w:r>
          </w:p>
        </w:tc>
        <w:tc>
          <w:tcPr>
            <w:tcW w:w="1364"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1950"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达到</w:t>
            </w:r>
            <w:r>
              <w:rPr>
                <w:rFonts w:eastAsiaTheme="minorEastAsia"/>
                <w:color w:val="000000" w:themeColor="text1"/>
                <w:lang w:val="en-GB" w:eastAsia="zh-CN"/>
              </w:rPr>
              <w:t>《城市污水再生利用城市杂用水水质》（GB/T18920-20</w:t>
            </w:r>
            <w:r>
              <w:rPr>
                <w:rFonts w:hint="eastAsia" w:eastAsiaTheme="minorEastAsia"/>
                <w:color w:val="000000" w:themeColor="text1"/>
                <w:lang w:eastAsia="zh-CN"/>
              </w:rPr>
              <w:t>20</w:t>
            </w:r>
            <w:r>
              <w:rPr>
                <w:rFonts w:eastAsiaTheme="minorEastAsia"/>
                <w:color w:val="000000" w:themeColor="text1"/>
                <w:lang w:val="en-GB" w:eastAsia="zh-CN"/>
              </w:rPr>
              <w:t>）</w:t>
            </w:r>
            <w:r>
              <w:rPr>
                <w:rFonts w:eastAsiaTheme="minorEastAsia"/>
                <w:color w:val="000000" w:themeColor="text1"/>
                <w:lang w:eastAsia="zh-CN"/>
              </w:rPr>
              <w:t>回用</w:t>
            </w:r>
            <w:r>
              <w:rPr>
                <w:rFonts w:hint="eastAsia" w:eastAsiaTheme="minorEastAsia"/>
                <w:color w:val="000000" w:themeColor="text1"/>
                <w:lang w:eastAsia="zh-CN"/>
              </w:rPr>
              <w:t>厂区</w:t>
            </w:r>
            <w:r>
              <w:rPr>
                <w:rFonts w:eastAsiaTheme="minorEastAsia"/>
                <w:color w:val="000000" w:themeColor="text1"/>
                <w:lang w:eastAsia="zh-CN"/>
              </w:rPr>
              <w:t>绿化</w:t>
            </w:r>
          </w:p>
        </w:tc>
        <w:tc>
          <w:tcPr>
            <w:tcW w:w="1795"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处理之后存于</w:t>
            </w:r>
            <w:r>
              <w:rPr>
                <w:rFonts w:hint="eastAsia" w:eastAsiaTheme="minorEastAsia"/>
                <w:color w:val="000000" w:themeColor="text1"/>
                <w:lang w:eastAsia="zh-CN"/>
              </w:rPr>
              <w:t>收集池</w:t>
            </w:r>
            <w:r>
              <w:rPr>
                <w:rFonts w:eastAsiaTheme="minorEastAsia"/>
                <w:color w:val="000000" w:themeColor="text1"/>
                <w:lang w:eastAsia="zh-CN"/>
              </w:rPr>
              <w:t>中，晴天回用于</w:t>
            </w:r>
            <w:r>
              <w:rPr>
                <w:rFonts w:hint="eastAsia" w:eastAsiaTheme="minorEastAsia"/>
                <w:color w:val="000000" w:themeColor="text1"/>
                <w:lang w:eastAsia="zh-CN"/>
              </w:rPr>
              <w:t>厂区</w:t>
            </w:r>
            <w:r>
              <w:rPr>
                <w:rFonts w:eastAsiaTheme="minorEastAsia"/>
                <w:color w:val="000000" w:themeColor="text1"/>
                <w:lang w:eastAsia="zh-CN"/>
              </w:rPr>
              <w:t>绿化，不外排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continue"/>
            <w:vAlign w:val="center"/>
          </w:tcPr>
          <w:p>
            <w:pPr>
              <w:pStyle w:val="126"/>
              <w:rPr>
                <w:rFonts w:eastAsiaTheme="minorEastAsia"/>
                <w:color w:val="000000" w:themeColor="text1"/>
                <w:lang w:eastAsia="zh-CN"/>
              </w:rPr>
            </w:pPr>
          </w:p>
        </w:tc>
        <w:tc>
          <w:tcPr>
            <w:tcW w:w="1093" w:type="dxa"/>
            <w:vAlign w:val="center"/>
          </w:tcPr>
          <w:p>
            <w:pPr>
              <w:pStyle w:val="126"/>
              <w:rPr>
                <w:rFonts w:eastAsiaTheme="minorEastAsia"/>
                <w:color w:val="000000" w:themeColor="text1"/>
              </w:rPr>
            </w:pPr>
            <w:r>
              <w:rPr>
                <w:rFonts w:eastAsiaTheme="minorEastAsia"/>
                <w:color w:val="000000" w:themeColor="text1"/>
              </w:rPr>
              <w:t>pH</w:t>
            </w:r>
          </w:p>
        </w:tc>
        <w:tc>
          <w:tcPr>
            <w:tcW w:w="1322"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w:t>
            </w:r>
          </w:p>
        </w:tc>
        <w:tc>
          <w:tcPr>
            <w:tcW w:w="2189" w:type="dxa"/>
            <w:vMerge w:val="continue"/>
            <w:vAlign w:val="center"/>
          </w:tcPr>
          <w:p>
            <w:pPr>
              <w:pStyle w:val="126"/>
              <w:rPr>
                <w:rFonts w:eastAsiaTheme="minorEastAsia"/>
                <w:color w:val="000000" w:themeColor="text1"/>
                <w:lang w:eastAsia="zh-CN"/>
              </w:rPr>
            </w:pPr>
          </w:p>
        </w:tc>
        <w:tc>
          <w:tcPr>
            <w:tcW w:w="977" w:type="dxa"/>
            <w:vAlign w:val="center"/>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w:t>
            </w:r>
          </w:p>
        </w:tc>
        <w:tc>
          <w:tcPr>
            <w:tcW w:w="1364"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950"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Merge w:val="continue"/>
            <w:vAlign w:val="center"/>
          </w:tcPr>
          <w:p>
            <w:pPr>
              <w:pStyle w:val="126"/>
              <w:rPr>
                <w:rFonts w:eastAsiaTheme="minorEastAsia"/>
                <w:color w:val="000000" w:themeColor="text1"/>
              </w:rPr>
            </w:pPr>
          </w:p>
        </w:tc>
        <w:tc>
          <w:tcPr>
            <w:tcW w:w="1093" w:type="dxa"/>
            <w:vAlign w:val="center"/>
          </w:tcPr>
          <w:p>
            <w:pPr>
              <w:pStyle w:val="126"/>
              <w:rPr>
                <w:rFonts w:eastAsiaTheme="minorEastAsia"/>
                <w:color w:val="000000" w:themeColor="text1"/>
              </w:rPr>
            </w:pPr>
            <w:r>
              <w:rPr>
                <w:rFonts w:eastAsiaTheme="minorEastAsia"/>
                <w:color w:val="000000" w:themeColor="text1"/>
              </w:rPr>
              <w:t>SS</w:t>
            </w:r>
          </w:p>
        </w:tc>
        <w:tc>
          <w:tcPr>
            <w:tcW w:w="1322"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0.031</w:t>
            </w:r>
          </w:p>
        </w:tc>
        <w:tc>
          <w:tcPr>
            <w:tcW w:w="2189" w:type="dxa"/>
            <w:vMerge w:val="continue"/>
            <w:vAlign w:val="center"/>
          </w:tcPr>
          <w:p>
            <w:pPr>
              <w:pStyle w:val="126"/>
              <w:rPr>
                <w:rFonts w:eastAsiaTheme="minorEastAsia"/>
                <w:color w:val="000000" w:themeColor="text1"/>
                <w:lang w:eastAsia="zh-CN"/>
              </w:rPr>
            </w:pPr>
          </w:p>
        </w:tc>
        <w:tc>
          <w:tcPr>
            <w:tcW w:w="977"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0.031</w:t>
            </w:r>
          </w:p>
        </w:tc>
        <w:tc>
          <w:tcPr>
            <w:tcW w:w="1364"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1950"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Merge w:val="continue"/>
            <w:vAlign w:val="center"/>
          </w:tcPr>
          <w:p>
            <w:pPr>
              <w:pStyle w:val="126"/>
              <w:rPr>
                <w:rFonts w:eastAsiaTheme="minorEastAsia"/>
                <w:color w:val="000000" w:themeColor="text1"/>
              </w:rPr>
            </w:pPr>
          </w:p>
        </w:tc>
        <w:tc>
          <w:tcPr>
            <w:tcW w:w="1093" w:type="dxa"/>
            <w:vAlign w:val="center"/>
          </w:tcPr>
          <w:p>
            <w:pPr>
              <w:pStyle w:val="126"/>
              <w:rPr>
                <w:rFonts w:eastAsiaTheme="minorEastAsia"/>
                <w:color w:val="000000" w:themeColor="text1"/>
              </w:rPr>
            </w:pPr>
            <w:r>
              <w:rPr>
                <w:rFonts w:eastAsiaTheme="minorEastAsia"/>
                <w:color w:val="000000" w:themeColor="text1"/>
              </w:rPr>
              <w:t>COD</w:t>
            </w:r>
            <w:r>
              <w:rPr>
                <w:rFonts w:eastAsiaTheme="minorEastAsia"/>
                <w:color w:val="000000" w:themeColor="text1"/>
                <w:vertAlign w:val="subscript"/>
              </w:rPr>
              <w:t>Cr</w:t>
            </w:r>
          </w:p>
        </w:tc>
        <w:tc>
          <w:tcPr>
            <w:tcW w:w="1322"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0.027</w:t>
            </w:r>
          </w:p>
        </w:tc>
        <w:tc>
          <w:tcPr>
            <w:tcW w:w="2189" w:type="dxa"/>
            <w:vMerge w:val="continue"/>
            <w:vAlign w:val="center"/>
          </w:tcPr>
          <w:p>
            <w:pPr>
              <w:pStyle w:val="126"/>
              <w:rPr>
                <w:rFonts w:eastAsiaTheme="minorEastAsia"/>
                <w:color w:val="000000" w:themeColor="text1"/>
                <w:lang w:eastAsia="zh-CN"/>
              </w:rPr>
            </w:pPr>
          </w:p>
        </w:tc>
        <w:tc>
          <w:tcPr>
            <w:tcW w:w="977"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0.027</w:t>
            </w:r>
          </w:p>
        </w:tc>
        <w:tc>
          <w:tcPr>
            <w:tcW w:w="1364"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1950"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Merge w:val="continue"/>
            <w:vAlign w:val="center"/>
          </w:tcPr>
          <w:p>
            <w:pPr>
              <w:pStyle w:val="126"/>
              <w:rPr>
                <w:rFonts w:eastAsiaTheme="minorEastAsia"/>
                <w:color w:val="000000" w:themeColor="text1"/>
              </w:rPr>
            </w:pPr>
          </w:p>
        </w:tc>
        <w:tc>
          <w:tcPr>
            <w:tcW w:w="1093" w:type="dxa"/>
            <w:vAlign w:val="center"/>
          </w:tcPr>
          <w:p>
            <w:pPr>
              <w:pStyle w:val="126"/>
              <w:rPr>
                <w:rFonts w:eastAsiaTheme="minorEastAsia"/>
                <w:color w:val="000000" w:themeColor="text1"/>
              </w:rPr>
            </w:pPr>
            <w:r>
              <w:rPr>
                <w:rFonts w:eastAsiaTheme="minorEastAsia"/>
                <w:color w:val="000000" w:themeColor="text1"/>
              </w:rPr>
              <w:t>BOD</w:t>
            </w:r>
            <w:r>
              <w:rPr>
                <w:rFonts w:eastAsiaTheme="minorEastAsia"/>
                <w:color w:val="000000" w:themeColor="text1"/>
                <w:vertAlign w:val="subscript"/>
              </w:rPr>
              <w:t>5</w:t>
            </w:r>
          </w:p>
        </w:tc>
        <w:tc>
          <w:tcPr>
            <w:tcW w:w="1322"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0.012</w:t>
            </w:r>
          </w:p>
        </w:tc>
        <w:tc>
          <w:tcPr>
            <w:tcW w:w="2189" w:type="dxa"/>
            <w:vMerge w:val="continue"/>
            <w:vAlign w:val="center"/>
          </w:tcPr>
          <w:p>
            <w:pPr>
              <w:pStyle w:val="126"/>
              <w:rPr>
                <w:rFonts w:eastAsiaTheme="minorEastAsia"/>
                <w:color w:val="000000" w:themeColor="text1"/>
                <w:lang w:eastAsia="zh-CN"/>
              </w:rPr>
            </w:pPr>
          </w:p>
        </w:tc>
        <w:tc>
          <w:tcPr>
            <w:tcW w:w="977"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0.012</w:t>
            </w:r>
          </w:p>
        </w:tc>
        <w:tc>
          <w:tcPr>
            <w:tcW w:w="1364"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1950"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Merge w:val="continue"/>
            <w:vAlign w:val="center"/>
          </w:tcPr>
          <w:p>
            <w:pPr>
              <w:pStyle w:val="126"/>
              <w:rPr>
                <w:rFonts w:eastAsiaTheme="minorEastAsia"/>
                <w:color w:val="000000" w:themeColor="text1"/>
              </w:rPr>
            </w:pPr>
          </w:p>
        </w:tc>
        <w:tc>
          <w:tcPr>
            <w:tcW w:w="1093" w:type="dxa"/>
            <w:vAlign w:val="center"/>
          </w:tcPr>
          <w:p>
            <w:pPr>
              <w:pStyle w:val="126"/>
              <w:rPr>
                <w:rFonts w:eastAsiaTheme="minorEastAsia"/>
                <w:color w:val="000000" w:themeColor="text1"/>
              </w:rPr>
            </w:pPr>
            <w:r>
              <w:rPr>
                <w:rFonts w:eastAsiaTheme="minorEastAsia"/>
                <w:color w:val="000000" w:themeColor="text1"/>
              </w:rPr>
              <w:t>氨氮</w:t>
            </w:r>
          </w:p>
        </w:tc>
        <w:tc>
          <w:tcPr>
            <w:tcW w:w="1322"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0.003</w:t>
            </w:r>
          </w:p>
        </w:tc>
        <w:tc>
          <w:tcPr>
            <w:tcW w:w="2189" w:type="dxa"/>
            <w:vMerge w:val="continue"/>
            <w:vAlign w:val="center"/>
          </w:tcPr>
          <w:p>
            <w:pPr>
              <w:pStyle w:val="126"/>
              <w:rPr>
                <w:rFonts w:eastAsiaTheme="minorEastAsia"/>
                <w:color w:val="000000" w:themeColor="text1"/>
                <w:lang w:eastAsia="zh-CN"/>
              </w:rPr>
            </w:pPr>
          </w:p>
        </w:tc>
        <w:tc>
          <w:tcPr>
            <w:tcW w:w="977"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0.003</w:t>
            </w:r>
          </w:p>
        </w:tc>
        <w:tc>
          <w:tcPr>
            <w:tcW w:w="1364"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1950"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技改项目废水</w:t>
            </w:r>
          </w:p>
        </w:tc>
        <w:tc>
          <w:tcPr>
            <w:tcW w:w="1093" w:type="dxa"/>
            <w:vAlign w:val="center"/>
          </w:tcPr>
          <w:p>
            <w:pPr>
              <w:spacing w:line="240" w:lineRule="auto"/>
              <w:ind w:firstLine="0" w:firstLineChars="0"/>
              <w:jc w:val="center"/>
              <w:rPr>
                <w:color w:val="000000" w:themeColor="text1"/>
                <w:sz w:val="21"/>
                <w:szCs w:val="21"/>
              </w:rPr>
            </w:pPr>
            <w:r>
              <w:rPr>
                <w:color w:val="000000" w:themeColor="text1"/>
                <w:sz w:val="21"/>
                <w:szCs w:val="21"/>
              </w:rPr>
              <w:t>洗</w:t>
            </w:r>
            <w:r>
              <w:rPr>
                <w:rFonts w:hint="eastAsia"/>
                <w:color w:val="000000" w:themeColor="text1"/>
                <w:sz w:val="21"/>
                <w:szCs w:val="21"/>
              </w:rPr>
              <w:t>砂</w:t>
            </w:r>
          </w:p>
        </w:tc>
        <w:tc>
          <w:tcPr>
            <w:tcW w:w="1322"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2772</w:t>
            </w:r>
          </w:p>
        </w:tc>
        <w:tc>
          <w:tcPr>
            <w:tcW w:w="2189"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循环使用</w:t>
            </w:r>
          </w:p>
        </w:tc>
        <w:tc>
          <w:tcPr>
            <w:tcW w:w="97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2772</w:t>
            </w:r>
          </w:p>
        </w:tc>
        <w:tc>
          <w:tcPr>
            <w:tcW w:w="1364"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50"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不外排</w:t>
            </w:r>
          </w:p>
        </w:tc>
        <w:tc>
          <w:tcPr>
            <w:tcW w:w="1795"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返回至原有项目球磨机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continue"/>
            <w:vAlign w:val="center"/>
          </w:tcPr>
          <w:p>
            <w:pPr>
              <w:pStyle w:val="126"/>
              <w:rPr>
                <w:rFonts w:eastAsiaTheme="minorEastAsia"/>
                <w:color w:val="000000" w:themeColor="text1"/>
                <w:lang w:eastAsia="zh-CN"/>
              </w:rPr>
            </w:pPr>
          </w:p>
        </w:tc>
        <w:tc>
          <w:tcPr>
            <w:tcW w:w="1093" w:type="dxa"/>
          </w:tcPr>
          <w:p>
            <w:pPr>
              <w:spacing w:line="240" w:lineRule="auto"/>
              <w:ind w:firstLine="0" w:firstLineChars="0"/>
              <w:jc w:val="center"/>
              <w:rPr>
                <w:color w:val="000000" w:themeColor="text1"/>
                <w:sz w:val="21"/>
                <w:szCs w:val="21"/>
              </w:rPr>
            </w:pPr>
            <w:r>
              <w:rPr>
                <w:color w:val="000000" w:themeColor="text1"/>
                <w:sz w:val="21"/>
                <w:szCs w:val="21"/>
              </w:rPr>
              <w:t>陶瓷过滤机清洗</w:t>
            </w:r>
            <w:r>
              <w:rPr>
                <w:rFonts w:hint="eastAsia"/>
                <w:color w:val="000000" w:themeColor="text1"/>
                <w:sz w:val="21"/>
                <w:szCs w:val="21"/>
              </w:rPr>
              <w:t>废水</w:t>
            </w:r>
          </w:p>
        </w:tc>
        <w:tc>
          <w:tcPr>
            <w:tcW w:w="1322"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24</w:t>
            </w:r>
          </w:p>
        </w:tc>
        <w:tc>
          <w:tcPr>
            <w:tcW w:w="2189" w:type="dxa"/>
            <w:vAlign w:val="center"/>
          </w:tcPr>
          <w:p>
            <w:pPr>
              <w:pStyle w:val="126"/>
              <w:rPr>
                <w:rFonts w:eastAsiaTheme="minorEastAsia"/>
                <w:color w:val="000000" w:themeColor="text1"/>
                <w:lang w:eastAsia="zh-CN"/>
              </w:rPr>
            </w:pPr>
            <w:r>
              <w:rPr>
                <w:rFonts w:eastAsiaTheme="minorEastAsia"/>
                <w:color w:val="000000" w:themeColor="text1"/>
                <w:lang w:eastAsia="zh-CN"/>
              </w:rPr>
              <w:t>进入尾矿浆沉淀池</w:t>
            </w:r>
          </w:p>
        </w:tc>
        <w:tc>
          <w:tcPr>
            <w:tcW w:w="97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24</w:t>
            </w:r>
          </w:p>
        </w:tc>
        <w:tc>
          <w:tcPr>
            <w:tcW w:w="1364"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50" w:type="dxa"/>
            <w:vMerge w:val="continue"/>
            <w:vAlign w:val="center"/>
          </w:tcPr>
          <w:p>
            <w:pPr>
              <w:pStyle w:val="126"/>
              <w:rPr>
                <w:rFonts w:eastAsiaTheme="minorEastAsia"/>
                <w:color w:val="000000" w:themeColor="text1"/>
                <w:lang w:eastAsia="zh-CN"/>
              </w:rPr>
            </w:pPr>
          </w:p>
        </w:tc>
        <w:tc>
          <w:tcPr>
            <w:tcW w:w="1795" w:type="dxa"/>
            <w:vMerge w:val="restart"/>
            <w:vAlign w:val="center"/>
          </w:tcPr>
          <w:p>
            <w:pPr>
              <w:pStyle w:val="126"/>
              <w:rPr>
                <w:rFonts w:eastAsiaTheme="minorEastAsia"/>
                <w:color w:val="000000" w:themeColor="text1"/>
                <w:lang w:eastAsia="zh-CN"/>
              </w:rPr>
            </w:pPr>
            <w:r>
              <w:rPr>
                <w:rFonts w:hint="eastAsia" w:eastAsiaTheme="minorEastAsia"/>
                <w:color w:val="000000" w:themeColor="text1"/>
                <w:lang w:eastAsia="zh-CN"/>
              </w:rPr>
              <w:t>至原有项目尾矿沉淀池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continue"/>
            <w:vAlign w:val="center"/>
          </w:tcPr>
          <w:p>
            <w:pPr>
              <w:pStyle w:val="126"/>
              <w:rPr>
                <w:rFonts w:eastAsiaTheme="minorEastAsia"/>
                <w:color w:val="000000" w:themeColor="text1"/>
                <w:lang w:eastAsia="zh-CN"/>
              </w:rPr>
            </w:pPr>
          </w:p>
        </w:tc>
        <w:tc>
          <w:tcPr>
            <w:tcW w:w="1093" w:type="dxa"/>
          </w:tcPr>
          <w:p>
            <w:pPr>
              <w:spacing w:line="240" w:lineRule="auto"/>
              <w:ind w:firstLine="0" w:firstLineChars="0"/>
              <w:jc w:val="center"/>
              <w:rPr>
                <w:color w:val="000000" w:themeColor="text1"/>
                <w:sz w:val="21"/>
                <w:szCs w:val="21"/>
              </w:rPr>
            </w:pPr>
            <w:r>
              <w:rPr>
                <w:color w:val="000000" w:themeColor="text1"/>
                <w:sz w:val="21"/>
                <w:szCs w:val="21"/>
              </w:rPr>
              <w:t>陶瓷过滤机脱水</w:t>
            </w:r>
          </w:p>
        </w:tc>
        <w:tc>
          <w:tcPr>
            <w:tcW w:w="1322"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91740</w:t>
            </w:r>
          </w:p>
        </w:tc>
        <w:tc>
          <w:tcPr>
            <w:tcW w:w="2189" w:type="dxa"/>
            <w:vAlign w:val="center"/>
          </w:tcPr>
          <w:p>
            <w:pPr>
              <w:pStyle w:val="126"/>
              <w:rPr>
                <w:rFonts w:eastAsiaTheme="minorEastAsia"/>
                <w:color w:val="000000" w:themeColor="text1"/>
                <w:lang w:eastAsia="zh-CN"/>
              </w:rPr>
            </w:pPr>
            <w:r>
              <w:rPr>
                <w:rFonts w:eastAsiaTheme="minorEastAsia"/>
                <w:color w:val="000000" w:themeColor="text1"/>
                <w:lang w:eastAsia="zh-CN"/>
              </w:rPr>
              <w:t>进入原有选矿生产线</w:t>
            </w:r>
          </w:p>
        </w:tc>
        <w:tc>
          <w:tcPr>
            <w:tcW w:w="97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91740</w:t>
            </w:r>
          </w:p>
        </w:tc>
        <w:tc>
          <w:tcPr>
            <w:tcW w:w="1364"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50"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continue"/>
            <w:vAlign w:val="center"/>
          </w:tcPr>
          <w:p>
            <w:pPr>
              <w:pStyle w:val="126"/>
              <w:rPr>
                <w:rFonts w:eastAsiaTheme="minorEastAsia"/>
                <w:color w:val="000000" w:themeColor="text1"/>
                <w:lang w:eastAsia="zh-CN"/>
              </w:rPr>
            </w:pPr>
          </w:p>
        </w:tc>
        <w:tc>
          <w:tcPr>
            <w:tcW w:w="109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lang w:val="en-US" w:eastAsia="zh-CN"/>
              </w:rPr>
              <w:t>尾矿</w:t>
            </w:r>
            <w:r>
              <w:rPr>
                <w:rFonts w:hint="eastAsia"/>
                <w:color w:val="000000" w:themeColor="text1"/>
                <w:sz w:val="21"/>
                <w:szCs w:val="21"/>
              </w:rPr>
              <w:t>废水</w:t>
            </w:r>
          </w:p>
        </w:tc>
        <w:tc>
          <w:tcPr>
            <w:tcW w:w="1322"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15937.5</w:t>
            </w:r>
          </w:p>
        </w:tc>
        <w:tc>
          <w:tcPr>
            <w:tcW w:w="2189" w:type="dxa"/>
            <w:vAlign w:val="center"/>
          </w:tcPr>
          <w:p>
            <w:pPr>
              <w:pStyle w:val="126"/>
              <w:rPr>
                <w:rFonts w:eastAsiaTheme="minorEastAsia"/>
                <w:color w:val="000000" w:themeColor="text1"/>
                <w:lang w:eastAsia="zh-CN"/>
              </w:rPr>
            </w:pPr>
            <w:r>
              <w:rPr>
                <w:rFonts w:eastAsiaTheme="minorEastAsia"/>
                <w:color w:val="000000" w:themeColor="text1"/>
                <w:lang w:eastAsia="zh-CN"/>
              </w:rPr>
              <w:t>进入</w:t>
            </w:r>
            <w:r>
              <w:rPr>
                <w:rFonts w:hint="eastAsia" w:eastAsiaTheme="minorEastAsia"/>
                <w:color w:val="000000" w:themeColor="text1"/>
                <w:lang w:eastAsia="zh-CN"/>
              </w:rPr>
              <w:t>依托的浓密池</w:t>
            </w:r>
          </w:p>
        </w:tc>
        <w:tc>
          <w:tcPr>
            <w:tcW w:w="97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15937.5</w:t>
            </w:r>
          </w:p>
        </w:tc>
        <w:tc>
          <w:tcPr>
            <w:tcW w:w="1364"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50" w:type="dxa"/>
            <w:vMerge w:val="continue"/>
            <w:vAlign w:val="center"/>
          </w:tcPr>
          <w:p>
            <w:pPr>
              <w:pStyle w:val="126"/>
              <w:rPr>
                <w:rFonts w:eastAsiaTheme="minorEastAsia"/>
                <w:color w:val="000000" w:themeColor="text1"/>
                <w:lang w:eastAsia="zh-CN"/>
              </w:rPr>
            </w:pPr>
          </w:p>
        </w:tc>
        <w:tc>
          <w:tcPr>
            <w:tcW w:w="1795" w:type="dxa"/>
            <w:vAlign w:val="center"/>
          </w:tcPr>
          <w:p>
            <w:pPr>
              <w:pStyle w:val="126"/>
              <w:rPr>
                <w:rFonts w:eastAsiaTheme="minorEastAsia"/>
                <w:color w:val="000000" w:themeColor="text1"/>
                <w:lang w:eastAsia="zh-CN"/>
              </w:rPr>
            </w:pPr>
            <w:r>
              <w:rPr>
                <w:rFonts w:eastAsiaTheme="minorEastAsia"/>
                <w:color w:val="000000" w:themeColor="text1"/>
                <w:lang w:eastAsia="zh-CN"/>
              </w:rPr>
              <w:t>进入</w:t>
            </w:r>
            <w:r>
              <w:rPr>
                <w:rFonts w:hint="eastAsia" w:eastAsiaTheme="minorEastAsia"/>
                <w:color w:val="000000" w:themeColor="text1"/>
                <w:lang w:eastAsia="zh-CN"/>
              </w:rPr>
              <w:t>依托的浓密池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continue"/>
            <w:vAlign w:val="center"/>
          </w:tcPr>
          <w:p>
            <w:pPr>
              <w:pStyle w:val="126"/>
              <w:rPr>
                <w:rFonts w:eastAsiaTheme="minorEastAsia"/>
                <w:color w:val="000000" w:themeColor="text1"/>
                <w:lang w:eastAsia="zh-CN"/>
              </w:rPr>
            </w:pPr>
          </w:p>
        </w:tc>
        <w:tc>
          <w:tcPr>
            <w:tcW w:w="1093" w:type="dxa"/>
          </w:tcPr>
          <w:p>
            <w:pPr>
              <w:spacing w:line="240" w:lineRule="auto"/>
              <w:ind w:firstLine="0" w:firstLineChars="0"/>
              <w:jc w:val="center"/>
              <w:rPr>
                <w:color w:val="000000" w:themeColor="text1"/>
                <w:sz w:val="21"/>
                <w:szCs w:val="21"/>
              </w:rPr>
            </w:pPr>
            <w:r>
              <w:rPr>
                <w:bCs/>
                <w:color w:val="000000" w:themeColor="text1"/>
                <w:sz w:val="21"/>
                <w:szCs w:val="21"/>
              </w:rPr>
              <w:t>实验及机修</w:t>
            </w:r>
            <w:r>
              <w:rPr>
                <w:rFonts w:hint="eastAsia"/>
                <w:bCs/>
                <w:color w:val="000000" w:themeColor="text1"/>
                <w:sz w:val="21"/>
                <w:szCs w:val="21"/>
              </w:rPr>
              <w:t>废水</w:t>
            </w:r>
          </w:p>
        </w:tc>
        <w:tc>
          <w:tcPr>
            <w:tcW w:w="1322"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150</w:t>
            </w:r>
          </w:p>
        </w:tc>
        <w:tc>
          <w:tcPr>
            <w:tcW w:w="2189" w:type="dxa"/>
            <w:vAlign w:val="center"/>
          </w:tcPr>
          <w:p>
            <w:pPr>
              <w:pStyle w:val="126"/>
              <w:rPr>
                <w:rFonts w:eastAsiaTheme="minorEastAsia"/>
                <w:color w:val="000000" w:themeColor="text1"/>
                <w:lang w:eastAsia="zh-CN"/>
              </w:rPr>
            </w:pPr>
            <w:r>
              <w:rPr>
                <w:rFonts w:eastAsiaTheme="minorEastAsia"/>
                <w:color w:val="000000" w:themeColor="text1"/>
                <w:lang w:eastAsia="zh-CN"/>
              </w:rPr>
              <w:t>进入尾矿沉淀池</w:t>
            </w:r>
          </w:p>
        </w:tc>
        <w:tc>
          <w:tcPr>
            <w:tcW w:w="97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150</w:t>
            </w:r>
          </w:p>
        </w:tc>
        <w:tc>
          <w:tcPr>
            <w:tcW w:w="1364"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0</w:t>
            </w:r>
          </w:p>
        </w:tc>
        <w:tc>
          <w:tcPr>
            <w:tcW w:w="1950" w:type="dxa"/>
            <w:vMerge w:val="continue"/>
            <w:vAlign w:val="center"/>
          </w:tcPr>
          <w:p>
            <w:pPr>
              <w:pStyle w:val="126"/>
              <w:rPr>
                <w:rFonts w:eastAsiaTheme="minorEastAsia"/>
                <w:color w:val="000000" w:themeColor="text1"/>
                <w:lang w:eastAsia="zh-CN"/>
              </w:rPr>
            </w:pPr>
          </w:p>
        </w:tc>
        <w:tc>
          <w:tcPr>
            <w:tcW w:w="1795"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continue"/>
            <w:vAlign w:val="center"/>
          </w:tcPr>
          <w:p>
            <w:pPr>
              <w:pStyle w:val="126"/>
              <w:rPr>
                <w:rFonts w:eastAsiaTheme="minorEastAsia"/>
                <w:color w:val="000000" w:themeColor="text1"/>
                <w:lang w:eastAsia="zh-CN"/>
              </w:rPr>
            </w:pPr>
          </w:p>
        </w:tc>
        <w:tc>
          <w:tcPr>
            <w:tcW w:w="1093" w:type="dxa"/>
          </w:tcPr>
          <w:p>
            <w:pPr>
              <w:spacing w:line="240" w:lineRule="auto"/>
              <w:ind w:firstLine="0" w:firstLineChars="0"/>
              <w:jc w:val="center"/>
              <w:rPr>
                <w:color w:val="000000" w:themeColor="text1"/>
                <w:sz w:val="21"/>
                <w:szCs w:val="21"/>
              </w:rPr>
            </w:pPr>
            <w:r>
              <w:rPr>
                <w:color w:val="000000" w:themeColor="text1"/>
                <w:sz w:val="21"/>
                <w:szCs w:val="21"/>
              </w:rPr>
              <w:t>初期雨水</w:t>
            </w:r>
          </w:p>
        </w:tc>
        <w:tc>
          <w:tcPr>
            <w:tcW w:w="1322" w:type="dxa"/>
            <w:vAlign w:val="center"/>
          </w:tcPr>
          <w:p>
            <w:pPr>
              <w:pStyle w:val="126"/>
              <w:rPr>
                <w:rFonts w:eastAsiaTheme="minorEastAsia"/>
                <w:color w:val="000000" w:themeColor="text1"/>
                <w:lang w:eastAsia="zh-CN"/>
              </w:rPr>
            </w:pPr>
            <w:r>
              <w:rPr>
                <w:color w:val="000000" w:themeColor="text1"/>
                <w:lang w:eastAsia="zh-CN"/>
              </w:rPr>
              <w:t>178.85</w:t>
            </w:r>
            <w:r>
              <w:rPr>
                <w:rFonts w:hint="eastAsia"/>
                <w:color w:val="000000" w:themeColor="text1"/>
                <w:lang w:eastAsia="zh-CN"/>
              </w:rPr>
              <w:t>m</w:t>
            </w:r>
            <w:r>
              <w:rPr>
                <w:rFonts w:hint="eastAsia"/>
                <w:color w:val="000000" w:themeColor="text1"/>
                <w:vertAlign w:val="superscript"/>
                <w:lang w:eastAsia="zh-CN"/>
              </w:rPr>
              <w:t>3</w:t>
            </w:r>
            <w:r>
              <w:rPr>
                <w:rFonts w:hint="eastAsia"/>
                <w:color w:val="000000" w:themeColor="text1"/>
                <w:lang w:eastAsia="zh-CN"/>
              </w:rPr>
              <w:t>/次</w:t>
            </w:r>
          </w:p>
        </w:tc>
        <w:tc>
          <w:tcPr>
            <w:tcW w:w="2189"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回用于生产</w:t>
            </w:r>
          </w:p>
        </w:tc>
        <w:tc>
          <w:tcPr>
            <w:tcW w:w="977" w:type="dxa"/>
            <w:vAlign w:val="center"/>
          </w:tcPr>
          <w:p>
            <w:pPr>
              <w:pStyle w:val="126"/>
              <w:rPr>
                <w:rFonts w:eastAsiaTheme="minorEastAsia"/>
                <w:color w:val="000000" w:themeColor="text1"/>
                <w:lang w:eastAsia="zh-CN"/>
              </w:rPr>
            </w:pPr>
            <w:r>
              <w:rPr>
                <w:color w:val="000000" w:themeColor="text1"/>
                <w:lang w:eastAsia="zh-CN"/>
              </w:rPr>
              <w:t>178.85</w:t>
            </w:r>
            <w:r>
              <w:rPr>
                <w:rFonts w:hint="eastAsia"/>
                <w:color w:val="000000" w:themeColor="text1"/>
                <w:lang w:eastAsia="zh-CN"/>
              </w:rPr>
              <w:t>m</w:t>
            </w:r>
            <w:r>
              <w:rPr>
                <w:rFonts w:hint="eastAsia"/>
                <w:color w:val="000000" w:themeColor="text1"/>
                <w:vertAlign w:val="superscript"/>
                <w:lang w:eastAsia="zh-CN"/>
              </w:rPr>
              <w:t>3</w:t>
            </w:r>
            <w:r>
              <w:rPr>
                <w:rFonts w:hint="eastAsia"/>
                <w:color w:val="000000" w:themeColor="text1"/>
                <w:lang w:eastAsia="zh-CN"/>
              </w:rPr>
              <w:t>/次</w:t>
            </w:r>
          </w:p>
        </w:tc>
        <w:tc>
          <w:tcPr>
            <w:tcW w:w="1364"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0</w:t>
            </w:r>
          </w:p>
        </w:tc>
        <w:tc>
          <w:tcPr>
            <w:tcW w:w="1950" w:type="dxa"/>
            <w:vMerge w:val="continue"/>
            <w:vAlign w:val="center"/>
          </w:tcPr>
          <w:p>
            <w:pPr>
              <w:pStyle w:val="126"/>
              <w:rPr>
                <w:rFonts w:eastAsiaTheme="minorEastAsia"/>
                <w:color w:val="000000" w:themeColor="text1"/>
                <w:lang w:eastAsia="zh-CN"/>
              </w:rPr>
            </w:pPr>
          </w:p>
        </w:tc>
        <w:tc>
          <w:tcPr>
            <w:tcW w:w="1795"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restart"/>
            <w:vAlign w:val="center"/>
          </w:tcPr>
          <w:p>
            <w:pPr>
              <w:pStyle w:val="126"/>
              <w:rPr>
                <w:rFonts w:eastAsiaTheme="minorEastAsia"/>
                <w:color w:val="000000" w:themeColor="text1"/>
              </w:rPr>
            </w:pPr>
            <w:r>
              <w:rPr>
                <w:rFonts w:eastAsiaTheme="minorEastAsia"/>
                <w:color w:val="000000" w:themeColor="text1"/>
              </w:rPr>
              <w:t>废气</w:t>
            </w:r>
          </w:p>
        </w:tc>
        <w:tc>
          <w:tcPr>
            <w:tcW w:w="2010" w:type="dxa"/>
            <w:vAlign w:val="center"/>
          </w:tcPr>
          <w:p>
            <w:pPr>
              <w:pStyle w:val="78"/>
              <w:spacing w:line="240" w:lineRule="auto"/>
              <w:ind w:firstLine="0" w:firstLineChars="0"/>
              <w:jc w:val="center"/>
              <w:rPr>
                <w:bCs/>
                <w:color w:val="000000" w:themeColor="text1"/>
                <w:sz w:val="21"/>
                <w:szCs w:val="21"/>
              </w:rPr>
            </w:pPr>
            <w:r>
              <w:rPr>
                <w:rFonts w:hint="eastAsia"/>
                <w:bCs/>
                <w:color w:val="000000" w:themeColor="text1"/>
                <w:sz w:val="21"/>
                <w:szCs w:val="21"/>
              </w:rPr>
              <w:t>装载机装料（原矿石）粉尘</w:t>
            </w:r>
          </w:p>
        </w:tc>
        <w:tc>
          <w:tcPr>
            <w:tcW w:w="1093" w:type="dxa"/>
            <w:vAlign w:val="center"/>
          </w:tcPr>
          <w:p>
            <w:pPr>
              <w:spacing w:line="240" w:lineRule="auto"/>
              <w:ind w:firstLine="0" w:firstLineChars="0"/>
              <w:jc w:val="center"/>
              <w:rPr>
                <w:color w:val="000000" w:themeColor="text1"/>
                <w:sz w:val="21"/>
                <w:szCs w:val="21"/>
              </w:rPr>
            </w:pPr>
            <w:r>
              <w:rPr>
                <w:color w:val="000000" w:themeColor="text1"/>
                <w:sz w:val="21"/>
                <w:szCs w:val="21"/>
              </w:rPr>
              <w:t>颗粒物</w:t>
            </w:r>
          </w:p>
        </w:tc>
        <w:tc>
          <w:tcPr>
            <w:tcW w:w="1322" w:type="dxa"/>
            <w:vAlign w:val="center"/>
          </w:tcPr>
          <w:p>
            <w:pPr>
              <w:pStyle w:val="126"/>
              <w:rPr>
                <w:rFonts w:eastAsiaTheme="minorEastAsia"/>
                <w:bCs/>
                <w:color w:val="000000" w:themeColor="text1"/>
                <w:lang w:eastAsia="zh-CN"/>
              </w:rPr>
            </w:pPr>
            <w:r>
              <w:rPr>
                <w:rFonts w:hint="eastAsia" w:eastAsiaTheme="minorEastAsia"/>
                <w:bCs/>
                <w:color w:val="000000" w:themeColor="text1"/>
                <w:lang w:eastAsia="zh-CN"/>
              </w:rPr>
              <w:t>4.155</w:t>
            </w:r>
          </w:p>
        </w:tc>
        <w:tc>
          <w:tcPr>
            <w:tcW w:w="2189" w:type="dxa"/>
            <w:vAlign w:val="center"/>
          </w:tcPr>
          <w:p>
            <w:pPr>
              <w:pStyle w:val="126"/>
              <w:rPr>
                <w:rFonts w:eastAsiaTheme="minorEastAsia"/>
                <w:color w:val="000000" w:themeColor="text1"/>
                <w:kern w:val="24"/>
                <w:lang w:eastAsia="zh-CN"/>
              </w:rPr>
            </w:pPr>
            <w:r>
              <w:rPr>
                <w:rFonts w:hint="eastAsia" w:eastAsia="宋体"/>
                <w:bCs/>
                <w:color w:val="000000" w:themeColor="text1"/>
                <w:lang w:eastAsia="zh-CN"/>
              </w:rPr>
              <w:t>在装料处设置喷淋设施</w:t>
            </w:r>
          </w:p>
        </w:tc>
        <w:tc>
          <w:tcPr>
            <w:tcW w:w="977"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364" w:type="dxa"/>
            <w:vAlign w:val="center"/>
          </w:tcPr>
          <w:p>
            <w:pPr>
              <w:widowControl/>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0.21</w:t>
            </w:r>
          </w:p>
        </w:tc>
        <w:tc>
          <w:tcPr>
            <w:tcW w:w="1950"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达到《铁矿采选工业污染物排放标准》（GB28661-2012）表7要求</w:t>
            </w:r>
          </w:p>
        </w:tc>
        <w:tc>
          <w:tcPr>
            <w:tcW w:w="1795"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给料粉尘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322" w:type="dxa"/>
            <w:vAlign w:val="center"/>
          </w:tcPr>
          <w:p>
            <w:pPr>
              <w:pStyle w:val="126"/>
              <w:rPr>
                <w:rFonts w:eastAsiaTheme="minorEastAsia"/>
                <w:color w:val="000000" w:themeColor="text1"/>
                <w:lang w:eastAsia="zh-CN"/>
              </w:rPr>
            </w:pPr>
            <w:r>
              <w:rPr>
                <w:rFonts w:eastAsiaTheme="minorEastAsia"/>
                <w:bCs/>
                <w:color w:val="000000" w:themeColor="text1"/>
                <w:lang w:eastAsia="zh-CN"/>
              </w:rPr>
              <w:t>0.75</w:t>
            </w:r>
          </w:p>
        </w:tc>
        <w:tc>
          <w:tcPr>
            <w:tcW w:w="2189" w:type="dxa"/>
            <w:vAlign w:val="center"/>
          </w:tcPr>
          <w:p>
            <w:pPr>
              <w:pStyle w:val="126"/>
              <w:rPr>
                <w:rFonts w:eastAsiaTheme="minorEastAsia"/>
                <w:color w:val="000000" w:themeColor="text1"/>
                <w:lang w:eastAsia="zh-CN"/>
              </w:rPr>
            </w:pPr>
            <w:r>
              <w:rPr>
                <w:rFonts w:eastAsiaTheme="minorEastAsia"/>
                <w:color w:val="000000" w:themeColor="text1"/>
                <w:kern w:val="24"/>
                <w:lang w:eastAsia="zh-CN"/>
              </w:rPr>
              <w:t>给料口</w:t>
            </w:r>
            <w:r>
              <w:rPr>
                <w:rFonts w:eastAsiaTheme="minorEastAsia"/>
                <w:bCs/>
                <w:color w:val="000000" w:themeColor="text1"/>
                <w:lang w:eastAsia="zh-CN"/>
              </w:rPr>
              <w:t>喷淋降尘，给料口除上部给料处，四周围挡</w:t>
            </w:r>
          </w:p>
        </w:tc>
        <w:tc>
          <w:tcPr>
            <w:tcW w:w="977"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0.525</w:t>
            </w:r>
          </w:p>
        </w:tc>
        <w:tc>
          <w:tcPr>
            <w:tcW w:w="1364"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bCs/>
                <w:color w:val="000000" w:themeColor="text1"/>
                <w:sz w:val="21"/>
                <w:szCs w:val="21"/>
              </w:rPr>
              <w:t>0.225</w:t>
            </w:r>
          </w:p>
        </w:tc>
        <w:tc>
          <w:tcPr>
            <w:tcW w:w="1950"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物料堆场扬尘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322" w:type="dxa"/>
            <w:vAlign w:val="center"/>
          </w:tcPr>
          <w:p>
            <w:pPr>
              <w:pStyle w:val="126"/>
              <w:rPr>
                <w:rFonts w:eastAsiaTheme="minorEastAsia"/>
                <w:color w:val="000000" w:themeColor="text1"/>
                <w:lang w:eastAsia="zh-CN"/>
              </w:rPr>
            </w:pPr>
            <w:r>
              <w:rPr>
                <w:color w:val="000000" w:themeColor="text1"/>
                <w:szCs w:val="24"/>
              </w:rPr>
              <w:t>2.66</w:t>
            </w:r>
          </w:p>
        </w:tc>
        <w:tc>
          <w:tcPr>
            <w:tcW w:w="2189" w:type="dxa"/>
            <w:vAlign w:val="center"/>
          </w:tcPr>
          <w:p>
            <w:pPr>
              <w:pStyle w:val="126"/>
              <w:rPr>
                <w:rFonts w:eastAsiaTheme="minorEastAsia"/>
                <w:color w:val="000000" w:themeColor="text1"/>
                <w:lang w:eastAsia="zh-CN"/>
              </w:rPr>
            </w:pPr>
            <w:r>
              <w:rPr>
                <w:rFonts w:eastAsiaTheme="minorEastAsia"/>
                <w:color w:val="000000" w:themeColor="text1"/>
                <w:kern w:val="24"/>
                <w:lang w:eastAsia="zh-CN"/>
              </w:rPr>
              <w:t>原矿石、公分石和瓜子石堆场设置堆棚形式，三面围挡+遮雨棚；低品位原矿堆场、机制砂堆场设置堆棚形式，三面围挡+遮雨棚，堆棚设置喷淋装置</w:t>
            </w:r>
          </w:p>
        </w:tc>
        <w:tc>
          <w:tcPr>
            <w:tcW w:w="977"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2.128</w:t>
            </w:r>
          </w:p>
        </w:tc>
        <w:tc>
          <w:tcPr>
            <w:tcW w:w="1364"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color w:val="000000" w:themeColor="text1"/>
                <w:sz w:val="21"/>
                <w:szCs w:val="21"/>
              </w:rPr>
              <w:t>0.532</w:t>
            </w:r>
          </w:p>
        </w:tc>
        <w:tc>
          <w:tcPr>
            <w:tcW w:w="1950"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rPr>
              <w:t>运输</w:t>
            </w:r>
            <w:r>
              <w:rPr>
                <w:rFonts w:eastAsiaTheme="minorEastAsia"/>
                <w:color w:val="000000" w:themeColor="text1"/>
                <w:lang w:eastAsia="zh-CN"/>
              </w:rPr>
              <w:t>扬尘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322" w:type="dxa"/>
            <w:vAlign w:val="center"/>
          </w:tcPr>
          <w:p>
            <w:pPr>
              <w:pStyle w:val="126"/>
              <w:rPr>
                <w:rFonts w:eastAsiaTheme="minorEastAsia"/>
                <w:color w:val="000000" w:themeColor="text1"/>
                <w:lang w:eastAsia="zh-CN"/>
              </w:rPr>
            </w:pPr>
            <w:r>
              <w:rPr>
                <w:rFonts w:eastAsiaTheme="minorEastAsia"/>
                <w:color w:val="000000" w:themeColor="text1"/>
                <w:lang w:eastAsia="zh-CN"/>
              </w:rPr>
              <w:t>1.28</w:t>
            </w:r>
          </w:p>
        </w:tc>
        <w:tc>
          <w:tcPr>
            <w:tcW w:w="2189" w:type="dxa"/>
            <w:vAlign w:val="center"/>
          </w:tcPr>
          <w:p>
            <w:pPr>
              <w:pStyle w:val="126"/>
              <w:rPr>
                <w:rFonts w:eastAsiaTheme="minorEastAsia"/>
                <w:color w:val="000000" w:themeColor="text1"/>
                <w:lang w:eastAsia="zh-CN"/>
              </w:rPr>
            </w:pPr>
            <w:r>
              <w:rPr>
                <w:rFonts w:hint="eastAsia" w:eastAsiaTheme="minorEastAsia"/>
                <w:color w:val="000000" w:themeColor="text1"/>
                <w:kern w:val="24"/>
                <w:lang w:eastAsia="zh-CN"/>
              </w:rPr>
              <w:t>硬化场地、</w:t>
            </w:r>
            <w:r>
              <w:rPr>
                <w:rFonts w:eastAsiaTheme="minorEastAsia"/>
                <w:color w:val="000000" w:themeColor="text1"/>
                <w:kern w:val="24"/>
                <w:lang w:eastAsia="zh-CN"/>
              </w:rPr>
              <w:t>输送皮带均为密闭式，落料处降低落料高度，运输道路定期洒水降尘</w:t>
            </w:r>
          </w:p>
        </w:tc>
        <w:tc>
          <w:tcPr>
            <w:tcW w:w="977"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1.024</w:t>
            </w:r>
          </w:p>
        </w:tc>
        <w:tc>
          <w:tcPr>
            <w:tcW w:w="1364"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0.256</w:t>
            </w:r>
          </w:p>
        </w:tc>
        <w:tc>
          <w:tcPr>
            <w:tcW w:w="1950"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原料卸载粉尘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322" w:type="dxa"/>
            <w:vAlign w:val="center"/>
          </w:tcPr>
          <w:p>
            <w:pPr>
              <w:pStyle w:val="126"/>
              <w:rPr>
                <w:rFonts w:eastAsiaTheme="minorEastAsia"/>
                <w:color w:val="000000" w:themeColor="text1"/>
                <w:lang w:eastAsia="zh-CN"/>
              </w:rPr>
            </w:pPr>
            <w:r>
              <w:rPr>
                <w:color w:val="000000" w:themeColor="text1"/>
              </w:rPr>
              <w:t>0.76</w:t>
            </w:r>
            <w:r>
              <w:rPr>
                <w:rFonts w:hint="eastAsia"/>
                <w:color w:val="000000" w:themeColor="text1"/>
                <w:lang w:eastAsia="zh-CN"/>
              </w:rPr>
              <w:t>7</w:t>
            </w:r>
          </w:p>
        </w:tc>
        <w:tc>
          <w:tcPr>
            <w:tcW w:w="2189" w:type="dxa"/>
            <w:vAlign w:val="center"/>
          </w:tcPr>
          <w:p>
            <w:pPr>
              <w:pStyle w:val="126"/>
              <w:rPr>
                <w:rFonts w:eastAsiaTheme="minorEastAsia"/>
                <w:color w:val="000000" w:themeColor="text1"/>
                <w:lang w:eastAsia="zh-CN"/>
              </w:rPr>
            </w:pPr>
            <w:r>
              <w:rPr>
                <w:rFonts w:eastAsiaTheme="minorEastAsia"/>
                <w:color w:val="000000" w:themeColor="text1"/>
                <w:kern w:val="24"/>
                <w:lang w:eastAsia="zh-CN"/>
              </w:rPr>
              <w:t>原料装卸采用雾炮喷雾降尘</w:t>
            </w:r>
          </w:p>
        </w:tc>
        <w:tc>
          <w:tcPr>
            <w:tcW w:w="977"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0.614</w:t>
            </w:r>
          </w:p>
        </w:tc>
        <w:tc>
          <w:tcPr>
            <w:tcW w:w="1364"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sz w:val="21"/>
                <w:szCs w:val="21"/>
              </w:rPr>
              <w:t>0.153</w:t>
            </w:r>
          </w:p>
        </w:tc>
        <w:tc>
          <w:tcPr>
            <w:tcW w:w="1950"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kinsoku w:val="0"/>
              <w:overflowPunct w:val="0"/>
              <w:autoSpaceDE w:val="0"/>
              <w:ind w:firstLine="210" w:firstLineChars="100"/>
              <w:rPr>
                <w:rFonts w:eastAsiaTheme="minorEastAsia"/>
                <w:color w:val="000000" w:themeColor="text1"/>
                <w:sz w:val="21"/>
                <w:szCs w:val="21"/>
              </w:rPr>
            </w:pPr>
            <w:r>
              <w:rPr>
                <w:color w:val="000000" w:themeColor="text1"/>
                <w:sz w:val="21"/>
                <w:szCs w:val="21"/>
              </w:rPr>
              <w:t>成品</w:t>
            </w:r>
            <w:r>
              <w:rPr>
                <w:rFonts w:hint="eastAsia"/>
                <w:color w:val="000000" w:themeColor="text1"/>
                <w:sz w:val="21"/>
                <w:szCs w:val="21"/>
              </w:rPr>
              <w:t>及副产品</w:t>
            </w:r>
            <w:r>
              <w:rPr>
                <w:color w:val="000000" w:themeColor="text1"/>
                <w:sz w:val="21"/>
                <w:szCs w:val="21"/>
              </w:rPr>
              <w:t>装载粉尘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322"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5.052</w:t>
            </w:r>
          </w:p>
        </w:tc>
        <w:tc>
          <w:tcPr>
            <w:tcW w:w="2189" w:type="dxa"/>
            <w:vAlign w:val="center"/>
          </w:tcPr>
          <w:p>
            <w:pPr>
              <w:pStyle w:val="126"/>
              <w:rPr>
                <w:rFonts w:eastAsiaTheme="minorEastAsia"/>
                <w:color w:val="000000" w:themeColor="text1"/>
                <w:lang w:eastAsia="zh-CN"/>
              </w:rPr>
            </w:pPr>
            <w:r>
              <w:rPr>
                <w:rFonts w:eastAsiaTheme="minorEastAsia"/>
                <w:color w:val="000000" w:themeColor="text1"/>
                <w:kern w:val="24"/>
                <w:lang w:eastAsia="zh-CN"/>
              </w:rPr>
              <w:t>原料装卸采用雾炮喷雾降尘</w:t>
            </w:r>
          </w:p>
        </w:tc>
        <w:tc>
          <w:tcPr>
            <w:tcW w:w="977"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4.797</w:t>
            </w:r>
          </w:p>
        </w:tc>
        <w:tc>
          <w:tcPr>
            <w:tcW w:w="1364"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0.255</w:t>
            </w:r>
          </w:p>
        </w:tc>
        <w:tc>
          <w:tcPr>
            <w:tcW w:w="1950"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kinsoku w:val="0"/>
              <w:overflowPunct w:val="0"/>
              <w:autoSpaceDE w:val="0"/>
              <w:ind w:firstLine="210" w:firstLineChars="100"/>
              <w:rPr>
                <w:color w:val="000000" w:themeColor="text1"/>
                <w:sz w:val="21"/>
                <w:szCs w:val="21"/>
              </w:rPr>
            </w:pPr>
            <w:r>
              <w:rPr>
                <w:rFonts w:hint="eastAsia"/>
                <w:color w:val="000000" w:themeColor="text1"/>
                <w:sz w:val="21"/>
                <w:szCs w:val="21"/>
              </w:rPr>
              <w:t>未收集粉尘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322" w:type="dxa"/>
            <w:vAlign w:val="center"/>
          </w:tcPr>
          <w:p>
            <w:pPr>
              <w:pStyle w:val="126"/>
              <w:rPr>
                <w:color w:val="000000" w:themeColor="text1"/>
                <w:lang w:eastAsia="zh-CN"/>
              </w:rPr>
            </w:pPr>
            <w:r>
              <w:rPr>
                <w:rFonts w:hint="eastAsia"/>
                <w:color w:val="000000" w:themeColor="text1"/>
                <w:lang w:eastAsia="zh-CN"/>
              </w:rPr>
              <w:t>11.89</w:t>
            </w:r>
          </w:p>
        </w:tc>
        <w:tc>
          <w:tcPr>
            <w:tcW w:w="2189" w:type="dxa"/>
            <w:vAlign w:val="center"/>
          </w:tcPr>
          <w:p>
            <w:pPr>
              <w:pStyle w:val="126"/>
              <w:rPr>
                <w:rFonts w:eastAsiaTheme="minorEastAsia"/>
                <w:color w:val="000000" w:themeColor="text1"/>
                <w:kern w:val="24"/>
                <w:lang w:eastAsia="zh-CN"/>
              </w:rPr>
            </w:pPr>
            <w:r>
              <w:rPr>
                <w:rFonts w:hint="eastAsia" w:eastAsiaTheme="minorEastAsia"/>
                <w:color w:val="000000" w:themeColor="text1"/>
                <w:kern w:val="24"/>
                <w:lang w:eastAsia="zh-CN"/>
              </w:rPr>
              <w:t>/</w:t>
            </w:r>
          </w:p>
        </w:tc>
        <w:tc>
          <w:tcPr>
            <w:tcW w:w="977"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w:t>
            </w:r>
          </w:p>
        </w:tc>
        <w:tc>
          <w:tcPr>
            <w:tcW w:w="1364"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11.89</w:t>
            </w:r>
          </w:p>
        </w:tc>
        <w:tc>
          <w:tcPr>
            <w:tcW w:w="1950"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废气量</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气量</w:t>
            </w:r>
          </w:p>
        </w:tc>
        <w:tc>
          <w:tcPr>
            <w:tcW w:w="1322"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25200万m</w:t>
            </w:r>
            <w:r>
              <w:rPr>
                <w:rFonts w:hint="eastAsia" w:eastAsiaTheme="minorEastAsia"/>
                <w:color w:val="000000" w:themeColor="text1"/>
                <w:vertAlign w:val="superscript"/>
                <w:lang w:eastAsia="zh-CN"/>
              </w:rPr>
              <w:t>3</w:t>
            </w:r>
            <w:r>
              <w:rPr>
                <w:rFonts w:hint="eastAsia" w:eastAsiaTheme="minorEastAsia"/>
                <w:color w:val="000000" w:themeColor="text1"/>
                <w:lang w:eastAsia="zh-CN"/>
              </w:rPr>
              <w:t xml:space="preserve">/a </w:t>
            </w:r>
          </w:p>
        </w:tc>
        <w:tc>
          <w:tcPr>
            <w:tcW w:w="2189" w:type="dxa"/>
            <w:vAlign w:val="center"/>
          </w:tcPr>
          <w:p>
            <w:pPr>
              <w:pStyle w:val="126"/>
              <w:rPr>
                <w:rFonts w:eastAsiaTheme="minorEastAsia"/>
                <w:color w:val="000000" w:themeColor="text1"/>
                <w:lang w:eastAsia="zh-CN"/>
              </w:rPr>
            </w:pPr>
            <w:r>
              <w:rPr>
                <w:rFonts w:eastAsiaTheme="minorEastAsia"/>
                <w:color w:val="000000" w:themeColor="text1"/>
                <w:lang w:eastAsia="zh-CN"/>
              </w:rPr>
              <w:t>/</w:t>
            </w:r>
          </w:p>
        </w:tc>
        <w:tc>
          <w:tcPr>
            <w:tcW w:w="977"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 xml:space="preserve">0 </w:t>
            </w:r>
          </w:p>
        </w:tc>
        <w:tc>
          <w:tcPr>
            <w:tcW w:w="1364" w:type="dxa"/>
            <w:vAlign w:val="center"/>
          </w:tcPr>
          <w:p>
            <w:pPr>
              <w:widowControl/>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25200万m</w:t>
            </w:r>
            <w:r>
              <w:rPr>
                <w:rFonts w:hint="eastAsia" w:eastAsiaTheme="minorEastAsia"/>
                <w:bCs/>
                <w:color w:val="000000" w:themeColor="text1"/>
                <w:sz w:val="21"/>
                <w:szCs w:val="21"/>
                <w:vertAlign w:val="superscript"/>
              </w:rPr>
              <w:t>3</w:t>
            </w:r>
            <w:r>
              <w:rPr>
                <w:rFonts w:hint="eastAsia" w:eastAsiaTheme="minorEastAsia"/>
                <w:bCs/>
                <w:color w:val="000000" w:themeColor="text1"/>
                <w:sz w:val="21"/>
                <w:szCs w:val="21"/>
              </w:rPr>
              <w:t>/a</w:t>
            </w:r>
          </w:p>
        </w:tc>
        <w:tc>
          <w:tcPr>
            <w:tcW w:w="1950" w:type="dxa"/>
            <w:vAlign w:val="center"/>
          </w:tcPr>
          <w:p>
            <w:pPr>
              <w:pStyle w:val="126"/>
              <w:rPr>
                <w:rFonts w:eastAsiaTheme="minorEastAsia"/>
                <w:color w:val="000000" w:themeColor="text1"/>
                <w:lang w:eastAsia="zh-CN"/>
              </w:rPr>
            </w:pPr>
            <w:r>
              <w:rPr>
                <w:rFonts w:eastAsiaTheme="minorEastAsia"/>
                <w:color w:val="000000" w:themeColor="text1"/>
                <w:lang w:eastAsia="zh-CN"/>
              </w:rPr>
              <w:t>/</w:t>
            </w:r>
          </w:p>
        </w:tc>
        <w:tc>
          <w:tcPr>
            <w:tcW w:w="1795"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有组织排放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6"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DA001粉尘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322" w:type="dxa"/>
            <w:vAlign w:val="center"/>
          </w:tcPr>
          <w:p>
            <w:pPr>
              <w:pStyle w:val="126"/>
              <w:rPr>
                <w:rFonts w:eastAsiaTheme="minorEastAsia"/>
                <w:color w:val="000000" w:themeColor="text1"/>
                <w:lang w:eastAsia="zh-CN"/>
              </w:rPr>
            </w:pPr>
            <w:r>
              <w:rPr>
                <w:rFonts w:hint="eastAsia" w:eastAsia="宋体"/>
                <w:color w:val="000000" w:themeColor="text1"/>
                <w:lang w:eastAsia="zh-CN"/>
              </w:rPr>
              <w:t>157.5</w:t>
            </w:r>
          </w:p>
        </w:tc>
        <w:tc>
          <w:tcPr>
            <w:tcW w:w="2189" w:type="dxa"/>
            <w:vMerge w:val="restart"/>
            <w:vAlign w:val="center"/>
          </w:tcPr>
          <w:p>
            <w:pPr>
              <w:pStyle w:val="126"/>
              <w:rPr>
                <w:rFonts w:eastAsiaTheme="minorEastAsia"/>
                <w:color w:val="000000" w:themeColor="text1"/>
                <w:lang w:eastAsia="zh-CN"/>
              </w:rPr>
            </w:pPr>
            <w:r>
              <w:rPr>
                <w:rFonts w:hint="eastAsia" w:eastAsiaTheme="minorEastAsia"/>
                <w:color w:val="000000" w:themeColor="text1"/>
                <w:lang w:eastAsia="zh-CN"/>
              </w:rPr>
              <w:t>集气罩+</w:t>
            </w:r>
            <w:r>
              <w:rPr>
                <w:rFonts w:eastAsiaTheme="minorEastAsia"/>
                <w:color w:val="000000" w:themeColor="text1"/>
                <w:lang w:eastAsia="zh-CN"/>
              </w:rPr>
              <w:t>布袋除尘</w:t>
            </w:r>
          </w:p>
        </w:tc>
        <w:tc>
          <w:tcPr>
            <w:tcW w:w="977"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157.201</w:t>
            </w:r>
          </w:p>
        </w:tc>
        <w:tc>
          <w:tcPr>
            <w:tcW w:w="1364"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sz w:val="21"/>
                <w:szCs w:val="21"/>
              </w:rPr>
              <w:t>0.299</w:t>
            </w:r>
          </w:p>
        </w:tc>
        <w:tc>
          <w:tcPr>
            <w:tcW w:w="1950"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达到《铁矿采选工业污染物排放标准》（GB28661-2012）表5要求</w:t>
            </w: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4"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DA002粉尘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322" w:type="dxa"/>
            <w:vAlign w:val="center"/>
          </w:tcPr>
          <w:p>
            <w:pPr>
              <w:pStyle w:val="126"/>
              <w:rPr>
                <w:rFonts w:eastAsiaTheme="minorEastAsia"/>
                <w:color w:val="000000" w:themeColor="text1"/>
                <w:lang w:eastAsia="zh-CN"/>
              </w:rPr>
            </w:pPr>
            <w:r>
              <w:rPr>
                <w:rFonts w:hint="eastAsia" w:eastAsia="宋体"/>
                <w:color w:val="000000" w:themeColor="text1"/>
                <w:lang w:eastAsia="zh-CN"/>
              </w:rPr>
              <w:t>80.355</w:t>
            </w:r>
          </w:p>
        </w:tc>
        <w:tc>
          <w:tcPr>
            <w:tcW w:w="2189" w:type="dxa"/>
            <w:vMerge w:val="continue"/>
            <w:vAlign w:val="center"/>
          </w:tcPr>
          <w:p>
            <w:pPr>
              <w:pStyle w:val="126"/>
              <w:rPr>
                <w:rFonts w:eastAsiaTheme="minorEastAsia"/>
                <w:color w:val="000000" w:themeColor="text1"/>
                <w:lang w:eastAsia="zh-CN"/>
              </w:rPr>
            </w:pPr>
          </w:p>
        </w:tc>
        <w:tc>
          <w:tcPr>
            <w:tcW w:w="977"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80.203</w:t>
            </w:r>
          </w:p>
        </w:tc>
        <w:tc>
          <w:tcPr>
            <w:tcW w:w="1364"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sz w:val="21"/>
                <w:szCs w:val="21"/>
              </w:rPr>
              <w:t>0.152</w:t>
            </w:r>
          </w:p>
        </w:tc>
        <w:tc>
          <w:tcPr>
            <w:tcW w:w="1950"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2" w:hRule="atLeast"/>
          <w:jc w:val="center"/>
        </w:trPr>
        <w:tc>
          <w:tcPr>
            <w:tcW w:w="760" w:type="dxa"/>
            <w:vMerge w:val="restart"/>
            <w:vAlign w:val="center"/>
          </w:tcPr>
          <w:p>
            <w:pPr>
              <w:pStyle w:val="126"/>
              <w:rPr>
                <w:rFonts w:eastAsiaTheme="minorEastAsia"/>
                <w:color w:val="000000" w:themeColor="text1"/>
                <w:lang w:eastAsia="zh-CN"/>
              </w:rPr>
            </w:pPr>
            <w:r>
              <w:rPr>
                <w:rFonts w:eastAsiaTheme="minorEastAsia"/>
                <w:color w:val="000000" w:themeColor="text1"/>
              </w:rPr>
              <w:t>固废</w:t>
            </w: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技改铁矿再选尾矿</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尾矿</w:t>
            </w:r>
          </w:p>
        </w:tc>
        <w:tc>
          <w:tcPr>
            <w:tcW w:w="1322"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31874.126</w:t>
            </w:r>
            <w:r>
              <w:rPr>
                <w:rFonts w:eastAsiaTheme="minorEastAsia"/>
                <w:color w:val="000000" w:themeColor="text1"/>
                <w:lang w:eastAsia="zh-CN"/>
              </w:rPr>
              <w:t>t</w:t>
            </w:r>
            <w:r>
              <w:rPr>
                <w:rFonts w:eastAsiaTheme="minorEastAsia"/>
                <w:color w:val="000000" w:themeColor="text1"/>
              </w:rPr>
              <w:t>/a</w:t>
            </w:r>
          </w:p>
        </w:tc>
        <w:tc>
          <w:tcPr>
            <w:tcW w:w="2189" w:type="dxa"/>
            <w:vAlign w:val="center"/>
          </w:tcPr>
          <w:p>
            <w:pPr>
              <w:pStyle w:val="126"/>
              <w:rPr>
                <w:rFonts w:eastAsiaTheme="minorEastAsia"/>
                <w:color w:val="000000" w:themeColor="text1"/>
                <w:lang w:eastAsia="zh-CN"/>
              </w:rPr>
            </w:pPr>
            <w:r>
              <w:rPr>
                <w:rFonts w:eastAsiaTheme="minorEastAsia"/>
                <w:color w:val="000000" w:themeColor="text1"/>
                <w:lang w:eastAsia="zh-CN"/>
              </w:rPr>
              <w:t>排入龙都尾矿库</w:t>
            </w:r>
          </w:p>
        </w:tc>
        <w:tc>
          <w:tcPr>
            <w:tcW w:w="977"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364"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31874.126</w:t>
            </w:r>
            <w:r>
              <w:rPr>
                <w:rFonts w:eastAsiaTheme="minorEastAsia"/>
                <w:color w:val="000000" w:themeColor="text1"/>
                <w:lang w:eastAsia="zh-CN"/>
              </w:rPr>
              <w:t>t</w:t>
            </w:r>
            <w:r>
              <w:rPr>
                <w:rFonts w:eastAsiaTheme="minorEastAsia"/>
                <w:color w:val="000000" w:themeColor="text1"/>
              </w:rPr>
              <w:t>/a</w:t>
            </w:r>
          </w:p>
        </w:tc>
        <w:tc>
          <w:tcPr>
            <w:tcW w:w="1950" w:type="dxa"/>
            <w:vAlign w:val="center"/>
          </w:tcPr>
          <w:p>
            <w:pPr>
              <w:pStyle w:val="126"/>
              <w:rPr>
                <w:rFonts w:eastAsiaTheme="minorEastAsia"/>
                <w:color w:val="000000" w:themeColor="text1"/>
              </w:rPr>
            </w:pPr>
            <w:r>
              <w:rPr>
                <w:rFonts w:eastAsiaTheme="minorEastAsia"/>
                <w:color w:val="000000" w:themeColor="text1"/>
              </w:rPr>
              <w:t>100%</w:t>
            </w:r>
            <w:r>
              <w:rPr>
                <w:rFonts w:eastAsiaTheme="minorEastAsia"/>
                <w:color w:val="000000" w:themeColor="text1"/>
                <w:lang w:eastAsia="zh-CN"/>
              </w:rPr>
              <w:t>妥善处置</w:t>
            </w:r>
          </w:p>
        </w:tc>
        <w:tc>
          <w:tcPr>
            <w:tcW w:w="1795" w:type="dxa"/>
            <w:vAlign w:val="center"/>
          </w:tcPr>
          <w:p>
            <w:pPr>
              <w:pStyle w:val="126"/>
              <w:rPr>
                <w:rFonts w:eastAsiaTheme="minorEastAsia"/>
                <w:color w:val="000000" w:themeColor="text1"/>
                <w:lang w:eastAsia="zh-CN"/>
              </w:rPr>
            </w:pPr>
            <w:r>
              <w:rPr>
                <w:rFonts w:eastAsiaTheme="minorEastAsia"/>
                <w:color w:val="000000" w:themeColor="text1"/>
                <w:lang w:eastAsia="zh-CN"/>
              </w:rPr>
              <w:t>排入龙都尾矿库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rPr>
            </w:pPr>
            <w:r>
              <w:rPr>
                <w:rFonts w:eastAsiaTheme="minorEastAsia"/>
                <w:color w:val="000000" w:themeColor="text1"/>
              </w:rPr>
              <w:t>生活区</w:t>
            </w:r>
          </w:p>
        </w:tc>
        <w:tc>
          <w:tcPr>
            <w:tcW w:w="1093" w:type="dxa"/>
            <w:vAlign w:val="center"/>
          </w:tcPr>
          <w:p>
            <w:pPr>
              <w:pStyle w:val="126"/>
              <w:rPr>
                <w:rFonts w:eastAsiaTheme="minorEastAsia"/>
                <w:color w:val="000000" w:themeColor="text1"/>
              </w:rPr>
            </w:pPr>
            <w:r>
              <w:rPr>
                <w:rFonts w:eastAsiaTheme="minorEastAsia"/>
                <w:color w:val="000000" w:themeColor="text1"/>
              </w:rPr>
              <w:t>生活垃圾</w:t>
            </w:r>
          </w:p>
        </w:tc>
        <w:tc>
          <w:tcPr>
            <w:tcW w:w="1322" w:type="dxa"/>
            <w:vAlign w:val="center"/>
          </w:tcPr>
          <w:p>
            <w:pPr>
              <w:pStyle w:val="126"/>
              <w:rPr>
                <w:rFonts w:eastAsiaTheme="minorEastAsia"/>
                <w:color w:val="000000" w:themeColor="text1"/>
                <w:lang w:eastAsia="zh-CN"/>
              </w:rPr>
            </w:pPr>
            <w:r>
              <w:rPr>
                <w:rFonts w:eastAsiaTheme="minorEastAsia"/>
                <w:color w:val="000000" w:themeColor="text1"/>
                <w:lang w:eastAsia="zh-CN"/>
              </w:rPr>
              <w:t>0.75</w:t>
            </w:r>
          </w:p>
        </w:tc>
        <w:tc>
          <w:tcPr>
            <w:tcW w:w="2189" w:type="dxa"/>
            <w:vAlign w:val="center"/>
          </w:tcPr>
          <w:p>
            <w:pPr>
              <w:pStyle w:val="126"/>
              <w:rPr>
                <w:rFonts w:eastAsiaTheme="minorEastAsia"/>
                <w:color w:val="000000" w:themeColor="text1"/>
                <w:lang w:eastAsia="zh-CN"/>
              </w:rPr>
            </w:pPr>
            <w:r>
              <w:rPr>
                <w:rFonts w:eastAsiaTheme="minorEastAsia"/>
                <w:color w:val="000000" w:themeColor="text1"/>
                <w:lang w:eastAsia="zh-CN"/>
              </w:rPr>
              <w:t>定期清运至戛洒镇生活垃圾指定地点处理</w:t>
            </w:r>
          </w:p>
        </w:tc>
        <w:tc>
          <w:tcPr>
            <w:tcW w:w="977" w:type="dxa"/>
            <w:vAlign w:val="center"/>
          </w:tcPr>
          <w:p>
            <w:pPr>
              <w:pStyle w:val="126"/>
              <w:rPr>
                <w:rFonts w:eastAsiaTheme="minorEastAsia"/>
                <w:color w:val="000000" w:themeColor="text1"/>
              </w:rPr>
            </w:pPr>
            <w:r>
              <w:rPr>
                <w:rFonts w:eastAsiaTheme="minorEastAsia"/>
                <w:color w:val="000000" w:themeColor="text1"/>
                <w:lang w:eastAsia="zh-CN"/>
              </w:rPr>
              <w:t>0.75</w:t>
            </w:r>
          </w:p>
        </w:tc>
        <w:tc>
          <w:tcPr>
            <w:tcW w:w="1364"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50" w:type="dxa"/>
            <w:vAlign w:val="center"/>
          </w:tcPr>
          <w:p>
            <w:pPr>
              <w:pStyle w:val="126"/>
              <w:rPr>
                <w:rFonts w:eastAsiaTheme="minorEastAsia"/>
                <w:color w:val="000000" w:themeColor="text1"/>
              </w:rPr>
            </w:pPr>
            <w:r>
              <w:rPr>
                <w:rFonts w:eastAsiaTheme="minorEastAsia"/>
                <w:color w:val="000000" w:themeColor="text1"/>
              </w:rPr>
              <w:t>100%</w:t>
            </w:r>
            <w:r>
              <w:rPr>
                <w:rFonts w:eastAsiaTheme="minorEastAsia"/>
                <w:color w:val="000000" w:themeColor="text1"/>
                <w:lang w:eastAsia="zh-CN"/>
              </w:rPr>
              <w:t>妥善处置</w:t>
            </w:r>
          </w:p>
        </w:tc>
        <w:tc>
          <w:tcPr>
            <w:tcW w:w="1795" w:type="dxa"/>
            <w:vAlign w:val="center"/>
          </w:tcPr>
          <w:p>
            <w:pPr>
              <w:pStyle w:val="126"/>
              <w:rPr>
                <w:rFonts w:eastAsiaTheme="minorEastAsia"/>
                <w:color w:val="000000" w:themeColor="text1"/>
              </w:rPr>
            </w:pPr>
            <w:r>
              <w:rPr>
                <w:rFonts w:eastAsiaTheme="minorEastAsia"/>
                <w:color w:val="000000" w:themeColor="text1"/>
              </w:rPr>
              <w:t>集中收集，统一清运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除尘器收尘灰</w:t>
            </w:r>
          </w:p>
        </w:tc>
        <w:tc>
          <w:tcPr>
            <w:tcW w:w="1093" w:type="dxa"/>
            <w:vAlign w:val="center"/>
          </w:tcPr>
          <w:p>
            <w:pPr>
              <w:pStyle w:val="126"/>
              <w:rPr>
                <w:rFonts w:eastAsiaTheme="minorEastAsia"/>
                <w:color w:val="000000" w:themeColor="text1"/>
              </w:rPr>
            </w:pPr>
            <w:r>
              <w:rPr>
                <w:rFonts w:eastAsiaTheme="minorEastAsia"/>
                <w:color w:val="000000" w:themeColor="text1"/>
                <w:lang w:eastAsia="zh-CN"/>
              </w:rPr>
              <w:t>收尘灰</w:t>
            </w:r>
          </w:p>
        </w:tc>
        <w:tc>
          <w:tcPr>
            <w:tcW w:w="1322"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225.51</w:t>
            </w:r>
          </w:p>
        </w:tc>
        <w:tc>
          <w:tcPr>
            <w:tcW w:w="2189" w:type="dxa"/>
            <w:vAlign w:val="center"/>
          </w:tcPr>
          <w:p>
            <w:pPr>
              <w:pStyle w:val="126"/>
              <w:rPr>
                <w:rFonts w:eastAsiaTheme="minorEastAsia"/>
                <w:color w:val="000000" w:themeColor="text1"/>
                <w:lang w:eastAsia="zh-CN"/>
              </w:rPr>
            </w:pPr>
            <w:r>
              <w:rPr>
                <w:rFonts w:eastAsiaTheme="minorEastAsia"/>
                <w:color w:val="000000" w:themeColor="text1"/>
                <w:lang w:eastAsia="zh-CN"/>
              </w:rPr>
              <w:t>作为砂料产品外卖</w:t>
            </w:r>
          </w:p>
        </w:tc>
        <w:tc>
          <w:tcPr>
            <w:tcW w:w="97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225.51</w:t>
            </w:r>
          </w:p>
        </w:tc>
        <w:tc>
          <w:tcPr>
            <w:tcW w:w="1364"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50" w:type="dxa"/>
            <w:vAlign w:val="center"/>
          </w:tcPr>
          <w:p>
            <w:pPr>
              <w:pStyle w:val="126"/>
              <w:rPr>
                <w:rFonts w:eastAsiaTheme="minorEastAsia"/>
                <w:color w:val="000000" w:themeColor="text1"/>
              </w:rPr>
            </w:pPr>
            <w:r>
              <w:rPr>
                <w:rFonts w:eastAsiaTheme="minorEastAsia"/>
                <w:color w:val="000000" w:themeColor="text1"/>
              </w:rPr>
              <w:t>100%</w:t>
            </w:r>
            <w:r>
              <w:rPr>
                <w:rFonts w:eastAsiaTheme="minorEastAsia"/>
                <w:color w:val="000000" w:themeColor="text1"/>
                <w:lang w:eastAsia="zh-CN"/>
              </w:rPr>
              <w:t>妥善处置</w:t>
            </w:r>
          </w:p>
        </w:tc>
        <w:tc>
          <w:tcPr>
            <w:tcW w:w="1795" w:type="dxa"/>
            <w:vAlign w:val="center"/>
          </w:tcPr>
          <w:p>
            <w:pPr>
              <w:pStyle w:val="126"/>
              <w:rPr>
                <w:rFonts w:eastAsiaTheme="minorEastAsia"/>
                <w:color w:val="000000" w:themeColor="text1"/>
              </w:rPr>
            </w:pPr>
            <w:r>
              <w:rPr>
                <w:rFonts w:eastAsiaTheme="minorEastAsia"/>
                <w:color w:val="000000" w:themeColor="text1"/>
                <w:lang w:eastAsia="zh-CN"/>
              </w:rPr>
              <w:t>作为砂料产品外卖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机械维修及保养</w:t>
            </w:r>
          </w:p>
        </w:tc>
        <w:tc>
          <w:tcPr>
            <w:tcW w:w="1093" w:type="dxa"/>
            <w:vAlign w:val="center"/>
          </w:tcPr>
          <w:p>
            <w:pPr>
              <w:pStyle w:val="126"/>
              <w:rPr>
                <w:rFonts w:eastAsiaTheme="minorEastAsia"/>
                <w:color w:val="000000" w:themeColor="text1"/>
              </w:rPr>
            </w:pPr>
            <w:r>
              <w:rPr>
                <w:rFonts w:eastAsiaTheme="minorEastAsia"/>
                <w:color w:val="000000" w:themeColor="text1"/>
                <w:lang w:eastAsia="zh-CN"/>
              </w:rPr>
              <w:t>废机油</w:t>
            </w:r>
          </w:p>
        </w:tc>
        <w:tc>
          <w:tcPr>
            <w:tcW w:w="1322" w:type="dxa"/>
            <w:vAlign w:val="center"/>
          </w:tcPr>
          <w:p>
            <w:pPr>
              <w:pStyle w:val="126"/>
              <w:rPr>
                <w:rFonts w:eastAsiaTheme="minorEastAsia"/>
                <w:color w:val="000000" w:themeColor="text1"/>
                <w:lang w:eastAsia="zh-CN"/>
              </w:rPr>
            </w:pPr>
            <w:r>
              <w:rPr>
                <w:rFonts w:eastAsiaTheme="minorEastAsia"/>
                <w:color w:val="000000" w:themeColor="text1"/>
                <w:lang w:eastAsia="zh-CN"/>
              </w:rPr>
              <w:t>0.</w:t>
            </w:r>
            <w:r>
              <w:rPr>
                <w:rFonts w:hint="eastAsia" w:eastAsiaTheme="minorEastAsia"/>
                <w:color w:val="000000" w:themeColor="text1"/>
                <w:lang w:eastAsia="zh-CN"/>
              </w:rPr>
              <w:t>1</w:t>
            </w:r>
          </w:p>
        </w:tc>
        <w:tc>
          <w:tcPr>
            <w:tcW w:w="2189" w:type="dxa"/>
            <w:vAlign w:val="center"/>
          </w:tcPr>
          <w:p>
            <w:pPr>
              <w:pStyle w:val="126"/>
              <w:rPr>
                <w:rFonts w:eastAsiaTheme="minorEastAsia"/>
                <w:color w:val="000000" w:themeColor="text1"/>
                <w:lang w:eastAsia="zh-CN"/>
              </w:rPr>
            </w:pPr>
            <w:r>
              <w:rPr>
                <w:rFonts w:eastAsiaTheme="minorEastAsia"/>
                <w:color w:val="000000" w:themeColor="text1"/>
                <w:lang w:eastAsia="zh-CN"/>
              </w:rPr>
              <w:t>按规定暂存于危废暂存间，委托有资质单位处理</w:t>
            </w:r>
          </w:p>
        </w:tc>
        <w:tc>
          <w:tcPr>
            <w:tcW w:w="977" w:type="dxa"/>
            <w:vAlign w:val="center"/>
          </w:tcPr>
          <w:p>
            <w:pPr>
              <w:pStyle w:val="126"/>
              <w:rPr>
                <w:rFonts w:eastAsiaTheme="minorEastAsia"/>
                <w:color w:val="000000" w:themeColor="text1"/>
                <w:lang w:eastAsia="zh-CN"/>
              </w:rPr>
            </w:pPr>
            <w:r>
              <w:rPr>
                <w:rFonts w:eastAsiaTheme="minorEastAsia"/>
                <w:color w:val="000000" w:themeColor="text1"/>
                <w:lang w:eastAsia="zh-CN"/>
              </w:rPr>
              <w:t>0.</w:t>
            </w:r>
            <w:r>
              <w:rPr>
                <w:rFonts w:hint="eastAsia" w:eastAsiaTheme="minorEastAsia"/>
                <w:color w:val="000000" w:themeColor="text1"/>
                <w:lang w:eastAsia="zh-CN"/>
              </w:rPr>
              <w:t>1</w:t>
            </w:r>
          </w:p>
        </w:tc>
        <w:tc>
          <w:tcPr>
            <w:tcW w:w="1364"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50" w:type="dxa"/>
            <w:vAlign w:val="center"/>
          </w:tcPr>
          <w:p>
            <w:pPr>
              <w:pStyle w:val="126"/>
              <w:rPr>
                <w:rFonts w:eastAsiaTheme="minorEastAsia"/>
                <w:color w:val="000000" w:themeColor="text1"/>
                <w:lang w:eastAsia="zh-CN"/>
              </w:rPr>
            </w:pPr>
            <w:r>
              <w:rPr>
                <w:rFonts w:eastAsiaTheme="minorEastAsia"/>
                <w:color w:val="000000" w:themeColor="text1"/>
              </w:rPr>
              <w:t>100%</w:t>
            </w:r>
            <w:r>
              <w:rPr>
                <w:rFonts w:eastAsiaTheme="minorEastAsia"/>
                <w:color w:val="000000" w:themeColor="text1"/>
                <w:lang w:eastAsia="zh-CN"/>
              </w:rPr>
              <w:t>妥善处置</w:t>
            </w:r>
          </w:p>
        </w:tc>
        <w:tc>
          <w:tcPr>
            <w:tcW w:w="1795" w:type="dxa"/>
            <w:vAlign w:val="center"/>
          </w:tcPr>
          <w:p>
            <w:pPr>
              <w:pStyle w:val="126"/>
              <w:rPr>
                <w:rFonts w:eastAsiaTheme="minorEastAsia"/>
                <w:color w:val="000000" w:themeColor="text1"/>
              </w:rPr>
            </w:pPr>
            <w:r>
              <w:rPr>
                <w:rFonts w:eastAsiaTheme="minorEastAsia"/>
                <w:color w:val="000000" w:themeColor="text1"/>
                <w:lang w:eastAsia="zh-CN"/>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760" w:type="dxa"/>
            <w:vAlign w:val="center"/>
          </w:tcPr>
          <w:p>
            <w:pPr>
              <w:pStyle w:val="126"/>
              <w:rPr>
                <w:rFonts w:eastAsiaTheme="minorEastAsia"/>
                <w:color w:val="000000" w:themeColor="text1"/>
              </w:rPr>
            </w:pPr>
            <w:r>
              <w:rPr>
                <w:rFonts w:eastAsiaTheme="minorEastAsia"/>
                <w:color w:val="000000" w:themeColor="text1"/>
              </w:rPr>
              <w:t>噪声</w:t>
            </w: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原料处理、选矿作业</w:t>
            </w:r>
          </w:p>
        </w:tc>
        <w:tc>
          <w:tcPr>
            <w:tcW w:w="1093" w:type="dxa"/>
            <w:vAlign w:val="center"/>
          </w:tcPr>
          <w:p>
            <w:pPr>
              <w:pStyle w:val="126"/>
              <w:rPr>
                <w:rFonts w:eastAsiaTheme="minorEastAsia"/>
                <w:color w:val="000000" w:themeColor="text1"/>
              </w:rPr>
            </w:pPr>
            <w:r>
              <w:rPr>
                <w:rFonts w:eastAsiaTheme="minorEastAsia"/>
                <w:color w:val="000000" w:themeColor="text1"/>
              </w:rPr>
              <w:t>噪声</w:t>
            </w:r>
          </w:p>
        </w:tc>
        <w:tc>
          <w:tcPr>
            <w:tcW w:w="1322" w:type="dxa"/>
            <w:vAlign w:val="center"/>
          </w:tcPr>
          <w:p>
            <w:pPr>
              <w:pStyle w:val="126"/>
              <w:rPr>
                <w:rFonts w:eastAsiaTheme="minorEastAsia"/>
                <w:color w:val="000000" w:themeColor="text1"/>
              </w:rPr>
            </w:pPr>
            <w:r>
              <w:rPr>
                <w:rFonts w:eastAsiaTheme="minorEastAsia"/>
                <w:color w:val="000000" w:themeColor="text1"/>
                <w:lang w:eastAsia="zh-CN"/>
              </w:rPr>
              <w:t>80~95</w:t>
            </w:r>
          </w:p>
        </w:tc>
        <w:tc>
          <w:tcPr>
            <w:tcW w:w="2189" w:type="dxa"/>
            <w:vAlign w:val="center"/>
          </w:tcPr>
          <w:p>
            <w:pPr>
              <w:pStyle w:val="126"/>
              <w:rPr>
                <w:rFonts w:eastAsiaTheme="minorEastAsia"/>
                <w:color w:val="000000" w:themeColor="text1"/>
                <w:lang w:eastAsia="zh-CN"/>
              </w:rPr>
            </w:pPr>
            <w:r>
              <w:rPr>
                <w:rFonts w:eastAsiaTheme="minorEastAsia"/>
                <w:color w:val="000000" w:themeColor="text1"/>
                <w:lang w:eastAsia="zh-CN"/>
              </w:rPr>
              <w:t>基础减震、厂房隔声、距离衰减</w:t>
            </w:r>
          </w:p>
        </w:tc>
        <w:tc>
          <w:tcPr>
            <w:tcW w:w="977" w:type="dxa"/>
            <w:vAlign w:val="center"/>
          </w:tcPr>
          <w:p>
            <w:pPr>
              <w:pStyle w:val="126"/>
              <w:rPr>
                <w:rFonts w:eastAsiaTheme="minorEastAsia"/>
                <w:color w:val="000000" w:themeColor="text1"/>
              </w:rPr>
            </w:pPr>
            <w:r>
              <w:rPr>
                <w:rFonts w:eastAsiaTheme="minorEastAsia"/>
                <w:color w:val="000000" w:themeColor="text1"/>
              </w:rPr>
              <w:t>--</w:t>
            </w:r>
          </w:p>
        </w:tc>
        <w:tc>
          <w:tcPr>
            <w:tcW w:w="1364" w:type="dxa"/>
            <w:vAlign w:val="center"/>
          </w:tcPr>
          <w:p>
            <w:pPr>
              <w:pStyle w:val="126"/>
              <w:rPr>
                <w:rFonts w:eastAsiaTheme="minorEastAsia"/>
                <w:color w:val="000000" w:themeColor="text1"/>
              </w:rPr>
            </w:pPr>
            <w:r>
              <w:rPr>
                <w:rFonts w:eastAsiaTheme="minorEastAsia"/>
                <w:color w:val="000000" w:themeColor="text1"/>
              </w:rPr>
              <w:t>--</w:t>
            </w:r>
          </w:p>
        </w:tc>
        <w:tc>
          <w:tcPr>
            <w:tcW w:w="1950" w:type="dxa"/>
            <w:vAlign w:val="center"/>
          </w:tcPr>
          <w:p>
            <w:pPr>
              <w:pStyle w:val="126"/>
              <w:rPr>
                <w:rFonts w:eastAsiaTheme="minorEastAsia"/>
                <w:color w:val="000000" w:themeColor="text1"/>
                <w:lang w:eastAsia="zh-CN"/>
              </w:rPr>
            </w:pPr>
            <w:r>
              <w:rPr>
                <w:rFonts w:eastAsiaTheme="minorEastAsia"/>
                <w:color w:val="000000" w:themeColor="text1"/>
                <w:lang w:eastAsia="zh-CN"/>
              </w:rPr>
              <w:t>项目厂界噪声达到《工业企业厂界环境噪声排放标准》3类标准</w:t>
            </w:r>
          </w:p>
        </w:tc>
        <w:tc>
          <w:tcPr>
            <w:tcW w:w="1795" w:type="dxa"/>
            <w:vAlign w:val="center"/>
          </w:tcPr>
          <w:p>
            <w:pPr>
              <w:pStyle w:val="126"/>
              <w:rPr>
                <w:rFonts w:eastAsiaTheme="minorEastAsia"/>
                <w:color w:val="000000" w:themeColor="text1"/>
              </w:rPr>
            </w:pPr>
            <w:r>
              <w:rPr>
                <w:rFonts w:eastAsiaTheme="minorEastAsia"/>
                <w:color w:val="000000" w:themeColor="text1"/>
              </w:rPr>
              <w:t>外排周边环境</w:t>
            </w:r>
          </w:p>
        </w:tc>
      </w:tr>
    </w:tbl>
    <w:p>
      <w:pPr>
        <w:ind w:firstLine="0" w:firstLineChars="0"/>
        <w:jc w:val="center"/>
        <w:rPr>
          <w:rFonts w:eastAsiaTheme="minorEastAsia"/>
          <w:b/>
          <w:bCs/>
          <w:color w:val="000000" w:themeColor="text1"/>
          <w:sz w:val="21"/>
          <w:szCs w:val="21"/>
        </w:rPr>
      </w:pPr>
    </w:p>
    <w:p>
      <w:pPr>
        <w:ind w:firstLine="0" w:firstLineChars="0"/>
        <w:jc w:val="center"/>
        <w:rPr>
          <w:rFonts w:eastAsiaTheme="minorEastAsia"/>
          <w:b/>
          <w:bCs/>
          <w:color w:val="000000" w:themeColor="text1"/>
          <w:sz w:val="21"/>
          <w:szCs w:val="21"/>
        </w:rPr>
      </w:pPr>
    </w:p>
    <w:p>
      <w:pPr>
        <w:ind w:firstLine="0" w:firstLineChars="0"/>
        <w:jc w:val="center"/>
        <w:rPr>
          <w:rFonts w:eastAsiaTheme="minorEastAsia"/>
          <w:color w:val="000000" w:themeColor="text1"/>
        </w:rPr>
      </w:pPr>
      <w:r>
        <w:rPr>
          <w:rFonts w:eastAsiaTheme="minorEastAsia"/>
          <w:b/>
          <w:bCs/>
          <w:color w:val="000000" w:themeColor="text1"/>
          <w:sz w:val="21"/>
          <w:szCs w:val="21"/>
        </w:rPr>
        <w:t>表4.5-2全厂项目污染物产生和排放情况一览表</w:t>
      </w:r>
    </w:p>
    <w:tbl>
      <w:tblPr>
        <w:tblStyle w:val="61"/>
        <w:tblW w:w="134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0"/>
        <w:gridCol w:w="2010"/>
        <w:gridCol w:w="1093"/>
        <w:gridCol w:w="1427"/>
        <w:gridCol w:w="2084"/>
        <w:gridCol w:w="1276"/>
        <w:gridCol w:w="1020"/>
        <w:gridCol w:w="1995"/>
        <w:gridCol w:w="1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blHeader/>
          <w:jc w:val="center"/>
        </w:trPr>
        <w:tc>
          <w:tcPr>
            <w:tcW w:w="760" w:type="dxa"/>
            <w:vAlign w:val="center"/>
          </w:tcPr>
          <w:p>
            <w:pPr>
              <w:pStyle w:val="126"/>
              <w:rPr>
                <w:rFonts w:eastAsiaTheme="minorEastAsia"/>
                <w:color w:val="000000" w:themeColor="text1"/>
              </w:rPr>
            </w:pPr>
            <w:r>
              <w:rPr>
                <w:rFonts w:eastAsiaTheme="minorEastAsia"/>
                <w:color w:val="000000" w:themeColor="text1"/>
              </w:rPr>
              <w:t>污染物类别</w:t>
            </w:r>
          </w:p>
        </w:tc>
        <w:tc>
          <w:tcPr>
            <w:tcW w:w="2010" w:type="dxa"/>
            <w:vAlign w:val="center"/>
          </w:tcPr>
          <w:p>
            <w:pPr>
              <w:pStyle w:val="126"/>
              <w:rPr>
                <w:rFonts w:eastAsiaTheme="minorEastAsia"/>
                <w:color w:val="000000" w:themeColor="text1"/>
              </w:rPr>
            </w:pPr>
            <w:r>
              <w:rPr>
                <w:rFonts w:eastAsiaTheme="minorEastAsia"/>
                <w:color w:val="000000" w:themeColor="text1"/>
              </w:rPr>
              <w:t>名称</w:t>
            </w:r>
          </w:p>
        </w:tc>
        <w:tc>
          <w:tcPr>
            <w:tcW w:w="1093" w:type="dxa"/>
            <w:vAlign w:val="center"/>
          </w:tcPr>
          <w:p>
            <w:pPr>
              <w:pStyle w:val="126"/>
              <w:rPr>
                <w:rFonts w:eastAsiaTheme="minorEastAsia"/>
                <w:color w:val="000000" w:themeColor="text1"/>
              </w:rPr>
            </w:pPr>
            <w:r>
              <w:rPr>
                <w:rFonts w:eastAsiaTheme="minorEastAsia"/>
                <w:color w:val="000000" w:themeColor="text1"/>
              </w:rPr>
              <w:t>类别</w:t>
            </w:r>
          </w:p>
        </w:tc>
        <w:tc>
          <w:tcPr>
            <w:tcW w:w="1427" w:type="dxa"/>
            <w:vAlign w:val="center"/>
          </w:tcPr>
          <w:p>
            <w:pPr>
              <w:pStyle w:val="126"/>
              <w:rPr>
                <w:rFonts w:eastAsiaTheme="minorEastAsia"/>
                <w:color w:val="000000" w:themeColor="text1"/>
              </w:rPr>
            </w:pPr>
            <w:r>
              <w:rPr>
                <w:rFonts w:eastAsiaTheme="minorEastAsia"/>
                <w:color w:val="000000" w:themeColor="text1"/>
              </w:rPr>
              <w:t>产生量（t/a）</w:t>
            </w:r>
          </w:p>
        </w:tc>
        <w:tc>
          <w:tcPr>
            <w:tcW w:w="2084" w:type="dxa"/>
            <w:vAlign w:val="center"/>
          </w:tcPr>
          <w:p>
            <w:pPr>
              <w:pStyle w:val="126"/>
              <w:rPr>
                <w:rFonts w:eastAsiaTheme="minorEastAsia"/>
                <w:color w:val="000000" w:themeColor="text1"/>
              </w:rPr>
            </w:pPr>
            <w:r>
              <w:rPr>
                <w:rFonts w:eastAsiaTheme="minorEastAsia"/>
                <w:color w:val="000000" w:themeColor="text1"/>
              </w:rPr>
              <w:t>治理措施</w:t>
            </w:r>
          </w:p>
        </w:tc>
        <w:tc>
          <w:tcPr>
            <w:tcW w:w="1276" w:type="dxa"/>
            <w:vAlign w:val="center"/>
          </w:tcPr>
          <w:p>
            <w:pPr>
              <w:pStyle w:val="126"/>
              <w:rPr>
                <w:rFonts w:eastAsiaTheme="minorEastAsia"/>
                <w:color w:val="000000" w:themeColor="text1"/>
              </w:rPr>
            </w:pPr>
            <w:r>
              <w:rPr>
                <w:rFonts w:eastAsiaTheme="minorEastAsia"/>
                <w:color w:val="000000" w:themeColor="text1"/>
              </w:rPr>
              <w:t>削减量（t/a）</w:t>
            </w:r>
          </w:p>
        </w:tc>
        <w:tc>
          <w:tcPr>
            <w:tcW w:w="1020" w:type="dxa"/>
            <w:vAlign w:val="center"/>
          </w:tcPr>
          <w:p>
            <w:pPr>
              <w:pStyle w:val="126"/>
              <w:rPr>
                <w:rFonts w:eastAsiaTheme="minorEastAsia"/>
                <w:color w:val="000000" w:themeColor="text1"/>
              </w:rPr>
            </w:pPr>
            <w:r>
              <w:rPr>
                <w:rFonts w:eastAsiaTheme="minorEastAsia"/>
                <w:color w:val="000000" w:themeColor="text1"/>
              </w:rPr>
              <w:t>排放量（t/a）</w:t>
            </w:r>
          </w:p>
        </w:tc>
        <w:tc>
          <w:tcPr>
            <w:tcW w:w="1995" w:type="dxa"/>
            <w:vAlign w:val="center"/>
          </w:tcPr>
          <w:p>
            <w:pPr>
              <w:pStyle w:val="126"/>
              <w:rPr>
                <w:rFonts w:eastAsiaTheme="minorEastAsia"/>
                <w:color w:val="000000" w:themeColor="text1"/>
              </w:rPr>
            </w:pPr>
            <w:r>
              <w:rPr>
                <w:rFonts w:eastAsiaTheme="minorEastAsia"/>
                <w:color w:val="000000" w:themeColor="text1"/>
              </w:rPr>
              <w:t>处理效果</w:t>
            </w:r>
          </w:p>
        </w:tc>
        <w:tc>
          <w:tcPr>
            <w:tcW w:w="1795" w:type="dxa"/>
            <w:vAlign w:val="center"/>
          </w:tcPr>
          <w:p>
            <w:pPr>
              <w:pStyle w:val="126"/>
              <w:rPr>
                <w:rFonts w:eastAsiaTheme="minorEastAsia"/>
                <w:color w:val="000000" w:themeColor="text1"/>
              </w:rPr>
            </w:pPr>
            <w:r>
              <w:rPr>
                <w:rFonts w:eastAsiaTheme="minorEastAsia"/>
                <w:color w:val="000000" w:themeColor="text1"/>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废水</w:t>
            </w:r>
          </w:p>
        </w:tc>
        <w:tc>
          <w:tcPr>
            <w:tcW w:w="2010" w:type="dxa"/>
            <w:vMerge w:val="restart"/>
            <w:vAlign w:val="center"/>
          </w:tcPr>
          <w:p>
            <w:pPr>
              <w:pStyle w:val="126"/>
              <w:rPr>
                <w:rFonts w:eastAsiaTheme="minorEastAsia"/>
                <w:color w:val="000000" w:themeColor="text1"/>
                <w:lang w:eastAsia="zh-CN"/>
              </w:rPr>
            </w:pPr>
            <w:r>
              <w:rPr>
                <w:rFonts w:eastAsiaTheme="minorEastAsia"/>
                <w:color w:val="000000" w:themeColor="text1"/>
              </w:rPr>
              <w:t>生活污水</w:t>
            </w:r>
            <w:r>
              <w:rPr>
                <w:rFonts w:eastAsiaTheme="minorEastAsia"/>
                <w:color w:val="000000" w:themeColor="text1"/>
                <w:lang w:eastAsia="zh-CN"/>
              </w:rPr>
              <w:t>（全厂）</w:t>
            </w:r>
          </w:p>
        </w:tc>
        <w:tc>
          <w:tcPr>
            <w:tcW w:w="1093" w:type="dxa"/>
            <w:vAlign w:val="center"/>
          </w:tcPr>
          <w:p>
            <w:pPr>
              <w:pStyle w:val="126"/>
              <w:rPr>
                <w:rFonts w:eastAsiaTheme="minorEastAsia"/>
                <w:color w:val="000000" w:themeColor="text1"/>
              </w:rPr>
            </w:pPr>
            <w:r>
              <w:rPr>
                <w:rFonts w:eastAsiaTheme="minorEastAsia"/>
                <w:color w:val="000000" w:themeColor="text1"/>
              </w:rPr>
              <w:t>废水量</w:t>
            </w:r>
          </w:p>
        </w:tc>
        <w:tc>
          <w:tcPr>
            <w:tcW w:w="1427" w:type="dxa"/>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kern w:val="0"/>
                <w:sz w:val="21"/>
                <w:szCs w:val="21"/>
              </w:rPr>
              <w:t>1728</w:t>
            </w:r>
          </w:p>
        </w:tc>
        <w:tc>
          <w:tcPr>
            <w:tcW w:w="2084"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化粪池，一体化生活污水处理设施</w:t>
            </w:r>
          </w:p>
        </w:tc>
        <w:tc>
          <w:tcPr>
            <w:tcW w:w="1276" w:type="dxa"/>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kern w:val="0"/>
                <w:sz w:val="21"/>
                <w:szCs w:val="21"/>
              </w:rPr>
              <w:t>1728</w:t>
            </w:r>
          </w:p>
        </w:tc>
        <w:tc>
          <w:tcPr>
            <w:tcW w:w="10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1995"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达到</w:t>
            </w:r>
            <w:r>
              <w:rPr>
                <w:rFonts w:eastAsiaTheme="minorEastAsia"/>
                <w:color w:val="000000" w:themeColor="text1"/>
                <w:lang w:val="en-GB" w:eastAsia="zh-CN"/>
              </w:rPr>
              <w:t>《城市污水再生利用城市杂用水水质》（GB/T18920-20</w:t>
            </w:r>
            <w:r>
              <w:rPr>
                <w:rFonts w:hint="eastAsia" w:eastAsiaTheme="minorEastAsia"/>
                <w:color w:val="000000" w:themeColor="text1"/>
                <w:lang w:eastAsia="zh-CN"/>
              </w:rPr>
              <w:t>20</w:t>
            </w:r>
            <w:r>
              <w:rPr>
                <w:rFonts w:eastAsiaTheme="minorEastAsia"/>
                <w:color w:val="000000" w:themeColor="text1"/>
                <w:lang w:val="en-GB" w:eastAsia="zh-CN"/>
              </w:rPr>
              <w:t>）</w:t>
            </w:r>
            <w:r>
              <w:rPr>
                <w:rFonts w:eastAsiaTheme="minorEastAsia"/>
                <w:color w:val="000000" w:themeColor="text1"/>
                <w:lang w:eastAsia="zh-CN"/>
              </w:rPr>
              <w:t>回用</w:t>
            </w:r>
            <w:r>
              <w:rPr>
                <w:rFonts w:hint="eastAsia" w:eastAsiaTheme="minorEastAsia"/>
                <w:color w:val="000000" w:themeColor="text1"/>
                <w:lang w:eastAsia="zh-CN"/>
              </w:rPr>
              <w:t>厂区</w:t>
            </w:r>
            <w:r>
              <w:rPr>
                <w:rFonts w:eastAsiaTheme="minorEastAsia"/>
                <w:color w:val="000000" w:themeColor="text1"/>
                <w:lang w:eastAsia="zh-CN"/>
              </w:rPr>
              <w:t>绿化</w:t>
            </w:r>
          </w:p>
        </w:tc>
        <w:tc>
          <w:tcPr>
            <w:tcW w:w="1795"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处理之后存于</w:t>
            </w:r>
            <w:r>
              <w:rPr>
                <w:rFonts w:hint="eastAsia" w:eastAsiaTheme="minorEastAsia"/>
                <w:color w:val="000000" w:themeColor="text1"/>
                <w:lang w:eastAsia="zh-CN"/>
              </w:rPr>
              <w:t>收集池</w:t>
            </w:r>
            <w:r>
              <w:rPr>
                <w:rFonts w:eastAsiaTheme="minorEastAsia"/>
                <w:color w:val="000000" w:themeColor="text1"/>
                <w:lang w:eastAsia="zh-CN"/>
              </w:rPr>
              <w:t>当中，晴天回用于生活区</w:t>
            </w:r>
            <w:r>
              <w:rPr>
                <w:rFonts w:hint="eastAsia" w:eastAsiaTheme="minorEastAsia"/>
                <w:color w:val="000000" w:themeColor="text1"/>
                <w:lang w:eastAsia="zh-CN"/>
              </w:rPr>
              <w:t>厂区绿化</w:t>
            </w:r>
            <w:r>
              <w:rPr>
                <w:rFonts w:eastAsiaTheme="minorEastAsia"/>
                <w:color w:val="000000" w:themeColor="text1"/>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continue"/>
            <w:vAlign w:val="center"/>
          </w:tcPr>
          <w:p>
            <w:pPr>
              <w:pStyle w:val="126"/>
              <w:rPr>
                <w:rFonts w:eastAsiaTheme="minorEastAsia"/>
                <w:color w:val="000000" w:themeColor="text1"/>
                <w:lang w:eastAsia="zh-CN"/>
              </w:rPr>
            </w:pPr>
          </w:p>
        </w:tc>
        <w:tc>
          <w:tcPr>
            <w:tcW w:w="1093" w:type="dxa"/>
            <w:vAlign w:val="center"/>
          </w:tcPr>
          <w:p>
            <w:pPr>
              <w:pStyle w:val="126"/>
              <w:rPr>
                <w:rFonts w:eastAsiaTheme="minorEastAsia"/>
                <w:color w:val="000000" w:themeColor="text1"/>
              </w:rPr>
            </w:pPr>
            <w:r>
              <w:rPr>
                <w:rFonts w:eastAsiaTheme="minorEastAsia"/>
                <w:color w:val="000000" w:themeColor="text1"/>
              </w:rPr>
              <w:t>pH</w:t>
            </w:r>
          </w:p>
        </w:tc>
        <w:tc>
          <w:tcPr>
            <w:tcW w:w="1427" w:type="dxa"/>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w:t>
            </w:r>
          </w:p>
        </w:tc>
        <w:tc>
          <w:tcPr>
            <w:tcW w:w="2084" w:type="dxa"/>
            <w:vMerge w:val="continue"/>
            <w:vAlign w:val="center"/>
          </w:tcPr>
          <w:p>
            <w:pPr>
              <w:pStyle w:val="126"/>
              <w:rPr>
                <w:rFonts w:eastAsiaTheme="minorEastAsia"/>
                <w:color w:val="000000" w:themeColor="text1"/>
              </w:rPr>
            </w:pPr>
          </w:p>
        </w:tc>
        <w:tc>
          <w:tcPr>
            <w:tcW w:w="1276" w:type="dxa"/>
            <w:vAlign w:val="bottom"/>
          </w:tcPr>
          <w:p>
            <w:pPr>
              <w:widowControl/>
              <w:ind w:firstLine="0" w:firstLineChars="0"/>
              <w:jc w:val="center"/>
              <w:textAlignment w:val="bottom"/>
              <w:rPr>
                <w:rFonts w:eastAsiaTheme="minorEastAsia"/>
                <w:color w:val="000000" w:themeColor="text1"/>
                <w:sz w:val="21"/>
                <w:szCs w:val="21"/>
              </w:rPr>
            </w:pPr>
            <w:r>
              <w:rPr>
                <w:rFonts w:eastAsiaTheme="minorEastAsia"/>
                <w:color w:val="000000" w:themeColor="text1"/>
                <w:kern w:val="0"/>
                <w:sz w:val="21"/>
                <w:szCs w:val="21"/>
              </w:rPr>
              <w:t>/</w:t>
            </w:r>
          </w:p>
        </w:tc>
        <w:tc>
          <w:tcPr>
            <w:tcW w:w="10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995" w:type="dxa"/>
            <w:vMerge w:val="continue"/>
            <w:vAlign w:val="center"/>
          </w:tcPr>
          <w:p>
            <w:pPr>
              <w:pStyle w:val="126"/>
              <w:rPr>
                <w:rFonts w:eastAsiaTheme="minorEastAsia"/>
                <w:color w:val="000000" w:themeColor="text1"/>
              </w:rPr>
            </w:pPr>
          </w:p>
        </w:tc>
        <w:tc>
          <w:tcPr>
            <w:tcW w:w="1795" w:type="dxa"/>
            <w:vMerge w:val="continue"/>
            <w:vAlign w:val="center"/>
          </w:tcPr>
          <w:p>
            <w:pPr>
              <w:pStyle w:val="126"/>
              <w:rPr>
                <w:rFonts w:eastAsiaTheme="minorEastAsia"/>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Merge w:val="continue"/>
            <w:vAlign w:val="center"/>
          </w:tcPr>
          <w:p>
            <w:pPr>
              <w:pStyle w:val="126"/>
              <w:rPr>
                <w:rFonts w:eastAsiaTheme="minorEastAsia"/>
                <w:color w:val="000000" w:themeColor="text1"/>
              </w:rPr>
            </w:pPr>
          </w:p>
        </w:tc>
        <w:tc>
          <w:tcPr>
            <w:tcW w:w="1093" w:type="dxa"/>
            <w:vAlign w:val="center"/>
          </w:tcPr>
          <w:p>
            <w:pPr>
              <w:pStyle w:val="126"/>
              <w:rPr>
                <w:rFonts w:eastAsiaTheme="minorEastAsia"/>
                <w:color w:val="000000" w:themeColor="text1"/>
              </w:rPr>
            </w:pPr>
            <w:r>
              <w:rPr>
                <w:rFonts w:eastAsiaTheme="minorEastAsia"/>
                <w:color w:val="000000" w:themeColor="text1"/>
              </w:rPr>
              <w:t>SS</w:t>
            </w:r>
          </w:p>
        </w:tc>
        <w:tc>
          <w:tcPr>
            <w:tcW w:w="1427" w:type="dxa"/>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0.562</w:t>
            </w:r>
          </w:p>
        </w:tc>
        <w:tc>
          <w:tcPr>
            <w:tcW w:w="2084" w:type="dxa"/>
            <w:vMerge w:val="continue"/>
            <w:vAlign w:val="center"/>
          </w:tcPr>
          <w:p>
            <w:pPr>
              <w:pStyle w:val="126"/>
              <w:rPr>
                <w:rFonts w:eastAsiaTheme="minorEastAsia"/>
                <w:color w:val="000000" w:themeColor="text1"/>
              </w:rPr>
            </w:pPr>
          </w:p>
        </w:tc>
        <w:tc>
          <w:tcPr>
            <w:tcW w:w="1276" w:type="dxa"/>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0.562</w:t>
            </w:r>
          </w:p>
        </w:tc>
        <w:tc>
          <w:tcPr>
            <w:tcW w:w="10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1995" w:type="dxa"/>
            <w:vMerge w:val="continue"/>
            <w:vAlign w:val="center"/>
          </w:tcPr>
          <w:p>
            <w:pPr>
              <w:pStyle w:val="126"/>
              <w:rPr>
                <w:rFonts w:eastAsiaTheme="minorEastAsia"/>
                <w:color w:val="000000" w:themeColor="text1"/>
              </w:rPr>
            </w:pPr>
          </w:p>
        </w:tc>
        <w:tc>
          <w:tcPr>
            <w:tcW w:w="1795" w:type="dxa"/>
            <w:vMerge w:val="continue"/>
            <w:vAlign w:val="center"/>
          </w:tcPr>
          <w:p>
            <w:pPr>
              <w:pStyle w:val="126"/>
              <w:rPr>
                <w:rFonts w:eastAsiaTheme="minorEastAsia"/>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Merge w:val="continue"/>
            <w:vAlign w:val="center"/>
          </w:tcPr>
          <w:p>
            <w:pPr>
              <w:pStyle w:val="126"/>
              <w:rPr>
                <w:rFonts w:eastAsiaTheme="minorEastAsia"/>
                <w:color w:val="000000" w:themeColor="text1"/>
              </w:rPr>
            </w:pPr>
          </w:p>
        </w:tc>
        <w:tc>
          <w:tcPr>
            <w:tcW w:w="1093" w:type="dxa"/>
            <w:vAlign w:val="center"/>
          </w:tcPr>
          <w:p>
            <w:pPr>
              <w:pStyle w:val="126"/>
              <w:rPr>
                <w:rFonts w:eastAsiaTheme="minorEastAsia"/>
                <w:color w:val="000000" w:themeColor="text1"/>
              </w:rPr>
            </w:pPr>
            <w:r>
              <w:rPr>
                <w:rFonts w:eastAsiaTheme="minorEastAsia"/>
                <w:color w:val="000000" w:themeColor="text1"/>
              </w:rPr>
              <w:t>COD</w:t>
            </w:r>
            <w:r>
              <w:rPr>
                <w:rFonts w:eastAsiaTheme="minorEastAsia"/>
                <w:color w:val="000000" w:themeColor="text1"/>
                <w:vertAlign w:val="subscript"/>
              </w:rPr>
              <w:t>Cr</w:t>
            </w:r>
          </w:p>
        </w:tc>
        <w:tc>
          <w:tcPr>
            <w:tcW w:w="1427" w:type="dxa"/>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0.484</w:t>
            </w:r>
          </w:p>
        </w:tc>
        <w:tc>
          <w:tcPr>
            <w:tcW w:w="2084" w:type="dxa"/>
            <w:vMerge w:val="continue"/>
            <w:vAlign w:val="center"/>
          </w:tcPr>
          <w:p>
            <w:pPr>
              <w:pStyle w:val="126"/>
              <w:rPr>
                <w:rFonts w:eastAsiaTheme="minorEastAsia"/>
                <w:color w:val="000000" w:themeColor="text1"/>
              </w:rPr>
            </w:pPr>
          </w:p>
        </w:tc>
        <w:tc>
          <w:tcPr>
            <w:tcW w:w="1276" w:type="dxa"/>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0.484</w:t>
            </w:r>
          </w:p>
        </w:tc>
        <w:tc>
          <w:tcPr>
            <w:tcW w:w="10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1995" w:type="dxa"/>
            <w:vMerge w:val="continue"/>
            <w:vAlign w:val="center"/>
          </w:tcPr>
          <w:p>
            <w:pPr>
              <w:pStyle w:val="126"/>
              <w:rPr>
                <w:rFonts w:eastAsiaTheme="minorEastAsia"/>
                <w:color w:val="000000" w:themeColor="text1"/>
              </w:rPr>
            </w:pPr>
          </w:p>
        </w:tc>
        <w:tc>
          <w:tcPr>
            <w:tcW w:w="1795" w:type="dxa"/>
            <w:vMerge w:val="continue"/>
            <w:vAlign w:val="center"/>
          </w:tcPr>
          <w:p>
            <w:pPr>
              <w:pStyle w:val="126"/>
              <w:rPr>
                <w:rFonts w:eastAsiaTheme="minorEastAsia"/>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Merge w:val="continue"/>
            <w:vAlign w:val="center"/>
          </w:tcPr>
          <w:p>
            <w:pPr>
              <w:pStyle w:val="126"/>
              <w:rPr>
                <w:rFonts w:eastAsiaTheme="minorEastAsia"/>
                <w:color w:val="000000" w:themeColor="text1"/>
              </w:rPr>
            </w:pPr>
          </w:p>
        </w:tc>
        <w:tc>
          <w:tcPr>
            <w:tcW w:w="1093" w:type="dxa"/>
            <w:vAlign w:val="center"/>
          </w:tcPr>
          <w:p>
            <w:pPr>
              <w:pStyle w:val="126"/>
              <w:rPr>
                <w:rFonts w:eastAsiaTheme="minorEastAsia"/>
                <w:color w:val="000000" w:themeColor="text1"/>
              </w:rPr>
            </w:pPr>
            <w:r>
              <w:rPr>
                <w:rFonts w:eastAsiaTheme="minorEastAsia"/>
                <w:color w:val="000000" w:themeColor="text1"/>
              </w:rPr>
              <w:t>BOD</w:t>
            </w:r>
            <w:r>
              <w:rPr>
                <w:rFonts w:eastAsiaTheme="minorEastAsia"/>
                <w:color w:val="000000" w:themeColor="text1"/>
                <w:vertAlign w:val="subscript"/>
              </w:rPr>
              <w:t>5</w:t>
            </w:r>
          </w:p>
        </w:tc>
        <w:tc>
          <w:tcPr>
            <w:tcW w:w="1427" w:type="dxa"/>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0.225</w:t>
            </w:r>
          </w:p>
        </w:tc>
        <w:tc>
          <w:tcPr>
            <w:tcW w:w="2084" w:type="dxa"/>
            <w:vMerge w:val="continue"/>
            <w:vAlign w:val="center"/>
          </w:tcPr>
          <w:p>
            <w:pPr>
              <w:pStyle w:val="126"/>
              <w:rPr>
                <w:rFonts w:eastAsiaTheme="minorEastAsia"/>
                <w:color w:val="000000" w:themeColor="text1"/>
              </w:rPr>
            </w:pPr>
          </w:p>
        </w:tc>
        <w:tc>
          <w:tcPr>
            <w:tcW w:w="1276" w:type="dxa"/>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0.225</w:t>
            </w:r>
          </w:p>
        </w:tc>
        <w:tc>
          <w:tcPr>
            <w:tcW w:w="10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1995" w:type="dxa"/>
            <w:vMerge w:val="continue"/>
            <w:vAlign w:val="center"/>
          </w:tcPr>
          <w:p>
            <w:pPr>
              <w:pStyle w:val="126"/>
              <w:rPr>
                <w:rFonts w:eastAsiaTheme="minorEastAsia"/>
                <w:color w:val="000000" w:themeColor="text1"/>
              </w:rPr>
            </w:pPr>
          </w:p>
        </w:tc>
        <w:tc>
          <w:tcPr>
            <w:tcW w:w="1795" w:type="dxa"/>
            <w:vMerge w:val="continue"/>
            <w:vAlign w:val="center"/>
          </w:tcPr>
          <w:p>
            <w:pPr>
              <w:pStyle w:val="126"/>
              <w:rPr>
                <w:rFonts w:eastAsiaTheme="minorEastAsia"/>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Merge w:val="continue"/>
            <w:vAlign w:val="center"/>
          </w:tcPr>
          <w:p>
            <w:pPr>
              <w:pStyle w:val="126"/>
              <w:rPr>
                <w:rFonts w:eastAsiaTheme="minorEastAsia"/>
                <w:color w:val="000000" w:themeColor="text1"/>
              </w:rPr>
            </w:pPr>
          </w:p>
        </w:tc>
        <w:tc>
          <w:tcPr>
            <w:tcW w:w="1093" w:type="dxa"/>
            <w:vAlign w:val="center"/>
          </w:tcPr>
          <w:p>
            <w:pPr>
              <w:pStyle w:val="126"/>
              <w:rPr>
                <w:rFonts w:eastAsiaTheme="minorEastAsia"/>
                <w:color w:val="000000" w:themeColor="text1"/>
              </w:rPr>
            </w:pPr>
            <w:r>
              <w:rPr>
                <w:rFonts w:eastAsiaTheme="minorEastAsia"/>
                <w:color w:val="000000" w:themeColor="text1"/>
              </w:rPr>
              <w:t>氨氮</w:t>
            </w:r>
          </w:p>
        </w:tc>
        <w:tc>
          <w:tcPr>
            <w:tcW w:w="1427" w:type="dxa"/>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0.052</w:t>
            </w:r>
          </w:p>
        </w:tc>
        <w:tc>
          <w:tcPr>
            <w:tcW w:w="2084" w:type="dxa"/>
            <w:vMerge w:val="continue"/>
            <w:vAlign w:val="center"/>
          </w:tcPr>
          <w:p>
            <w:pPr>
              <w:pStyle w:val="126"/>
              <w:rPr>
                <w:rFonts w:eastAsiaTheme="minorEastAsia"/>
                <w:color w:val="000000" w:themeColor="text1"/>
              </w:rPr>
            </w:pPr>
          </w:p>
        </w:tc>
        <w:tc>
          <w:tcPr>
            <w:tcW w:w="1276" w:type="dxa"/>
            <w:shd w:val="clear" w:color="auto" w:fill="auto"/>
            <w:vAlign w:val="bottom"/>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0.052</w:t>
            </w:r>
          </w:p>
        </w:tc>
        <w:tc>
          <w:tcPr>
            <w:tcW w:w="10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1995" w:type="dxa"/>
            <w:vMerge w:val="continue"/>
            <w:vAlign w:val="center"/>
          </w:tcPr>
          <w:p>
            <w:pPr>
              <w:pStyle w:val="126"/>
              <w:rPr>
                <w:rFonts w:eastAsiaTheme="minorEastAsia"/>
                <w:color w:val="000000" w:themeColor="text1"/>
              </w:rPr>
            </w:pPr>
          </w:p>
        </w:tc>
        <w:tc>
          <w:tcPr>
            <w:tcW w:w="1795" w:type="dxa"/>
            <w:vMerge w:val="continue"/>
            <w:vAlign w:val="center"/>
          </w:tcPr>
          <w:p>
            <w:pPr>
              <w:pStyle w:val="126"/>
              <w:rPr>
                <w:rFonts w:eastAsiaTheme="minorEastAsia"/>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选矿废水</w:t>
            </w:r>
            <w:r>
              <w:rPr>
                <w:rFonts w:hint="eastAsia" w:eastAsiaTheme="minorEastAsia"/>
                <w:color w:val="000000" w:themeColor="text1"/>
                <w:lang w:eastAsia="zh-CN"/>
              </w:rPr>
              <w:t>（全厂）</w:t>
            </w:r>
          </w:p>
        </w:tc>
        <w:tc>
          <w:tcPr>
            <w:tcW w:w="1093" w:type="dxa"/>
            <w:vAlign w:val="center"/>
          </w:tcPr>
          <w:p>
            <w:pPr>
              <w:spacing w:line="240" w:lineRule="auto"/>
              <w:ind w:firstLine="0" w:firstLineChars="0"/>
              <w:jc w:val="center"/>
              <w:rPr>
                <w:color w:val="000000" w:themeColor="text1"/>
                <w:sz w:val="21"/>
                <w:szCs w:val="21"/>
              </w:rPr>
            </w:pPr>
            <w:r>
              <w:rPr>
                <w:color w:val="000000" w:themeColor="text1"/>
                <w:sz w:val="21"/>
                <w:szCs w:val="21"/>
              </w:rPr>
              <w:t>洗</w:t>
            </w:r>
            <w:r>
              <w:rPr>
                <w:rFonts w:hint="eastAsia"/>
                <w:color w:val="000000" w:themeColor="text1"/>
                <w:sz w:val="21"/>
                <w:szCs w:val="21"/>
              </w:rPr>
              <w:t>砂</w:t>
            </w:r>
          </w:p>
        </w:tc>
        <w:tc>
          <w:tcPr>
            <w:tcW w:w="142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2772</w:t>
            </w:r>
          </w:p>
        </w:tc>
        <w:tc>
          <w:tcPr>
            <w:tcW w:w="2084"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循环使用</w:t>
            </w:r>
          </w:p>
        </w:tc>
        <w:tc>
          <w:tcPr>
            <w:tcW w:w="1276"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2772</w:t>
            </w:r>
          </w:p>
        </w:tc>
        <w:tc>
          <w:tcPr>
            <w:tcW w:w="1020"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95"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不外排</w:t>
            </w:r>
          </w:p>
        </w:tc>
        <w:tc>
          <w:tcPr>
            <w:tcW w:w="1795"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返回至原有项目球磨机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continue"/>
            <w:vAlign w:val="center"/>
          </w:tcPr>
          <w:p>
            <w:pPr>
              <w:pStyle w:val="126"/>
              <w:rPr>
                <w:rFonts w:eastAsiaTheme="minorEastAsia"/>
                <w:color w:val="000000" w:themeColor="text1"/>
                <w:lang w:eastAsia="zh-CN"/>
              </w:rPr>
            </w:pPr>
          </w:p>
        </w:tc>
        <w:tc>
          <w:tcPr>
            <w:tcW w:w="1093" w:type="dxa"/>
            <w:vAlign w:val="center"/>
          </w:tcPr>
          <w:p>
            <w:pPr>
              <w:spacing w:line="240" w:lineRule="auto"/>
              <w:ind w:firstLine="0" w:firstLineChars="0"/>
              <w:jc w:val="center"/>
              <w:rPr>
                <w:color w:val="000000" w:themeColor="text1"/>
                <w:sz w:val="21"/>
                <w:szCs w:val="21"/>
              </w:rPr>
            </w:pPr>
            <w:r>
              <w:rPr>
                <w:color w:val="000000" w:themeColor="text1"/>
                <w:sz w:val="21"/>
                <w:szCs w:val="21"/>
              </w:rPr>
              <w:t>陶瓷过滤机清洗</w:t>
            </w:r>
            <w:r>
              <w:rPr>
                <w:rFonts w:hint="eastAsia"/>
                <w:color w:val="000000" w:themeColor="text1"/>
                <w:sz w:val="21"/>
                <w:szCs w:val="21"/>
              </w:rPr>
              <w:t>废水</w:t>
            </w:r>
          </w:p>
        </w:tc>
        <w:tc>
          <w:tcPr>
            <w:tcW w:w="142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24</w:t>
            </w:r>
          </w:p>
        </w:tc>
        <w:tc>
          <w:tcPr>
            <w:tcW w:w="2084" w:type="dxa"/>
            <w:vAlign w:val="center"/>
          </w:tcPr>
          <w:p>
            <w:pPr>
              <w:pStyle w:val="126"/>
              <w:rPr>
                <w:rFonts w:eastAsiaTheme="minorEastAsia"/>
                <w:color w:val="000000" w:themeColor="text1"/>
                <w:lang w:eastAsia="zh-CN"/>
              </w:rPr>
            </w:pPr>
            <w:r>
              <w:rPr>
                <w:rFonts w:eastAsiaTheme="minorEastAsia"/>
                <w:color w:val="000000" w:themeColor="text1"/>
                <w:lang w:eastAsia="zh-CN"/>
              </w:rPr>
              <w:t>进入尾矿浆沉淀池</w:t>
            </w:r>
          </w:p>
        </w:tc>
        <w:tc>
          <w:tcPr>
            <w:tcW w:w="1276"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24</w:t>
            </w:r>
          </w:p>
        </w:tc>
        <w:tc>
          <w:tcPr>
            <w:tcW w:w="1020"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95" w:type="dxa"/>
            <w:vMerge w:val="continue"/>
            <w:vAlign w:val="center"/>
          </w:tcPr>
          <w:p>
            <w:pPr>
              <w:pStyle w:val="126"/>
              <w:rPr>
                <w:rFonts w:eastAsiaTheme="minorEastAsia"/>
                <w:color w:val="000000" w:themeColor="text1"/>
                <w:lang w:eastAsia="zh-CN"/>
              </w:rPr>
            </w:pPr>
          </w:p>
        </w:tc>
        <w:tc>
          <w:tcPr>
            <w:tcW w:w="1795" w:type="dxa"/>
            <w:vMerge w:val="restart"/>
            <w:vAlign w:val="center"/>
          </w:tcPr>
          <w:p>
            <w:pPr>
              <w:pStyle w:val="126"/>
              <w:rPr>
                <w:rFonts w:eastAsiaTheme="minorEastAsia"/>
                <w:color w:val="000000" w:themeColor="text1"/>
                <w:lang w:eastAsia="zh-CN"/>
              </w:rPr>
            </w:pPr>
            <w:r>
              <w:rPr>
                <w:rFonts w:hint="eastAsia" w:eastAsiaTheme="minorEastAsia"/>
                <w:color w:val="000000" w:themeColor="text1"/>
                <w:lang w:eastAsia="zh-CN"/>
              </w:rPr>
              <w:t>至原有项目尾矿沉淀池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continue"/>
            <w:vAlign w:val="center"/>
          </w:tcPr>
          <w:p>
            <w:pPr>
              <w:pStyle w:val="126"/>
              <w:rPr>
                <w:rFonts w:eastAsiaTheme="minorEastAsia"/>
                <w:color w:val="000000" w:themeColor="text1"/>
                <w:lang w:eastAsia="zh-CN"/>
              </w:rPr>
            </w:pPr>
          </w:p>
        </w:tc>
        <w:tc>
          <w:tcPr>
            <w:tcW w:w="1093" w:type="dxa"/>
            <w:vAlign w:val="center"/>
          </w:tcPr>
          <w:p>
            <w:pPr>
              <w:spacing w:line="240" w:lineRule="auto"/>
              <w:ind w:firstLine="0" w:firstLineChars="0"/>
              <w:jc w:val="center"/>
              <w:rPr>
                <w:color w:val="000000" w:themeColor="text1"/>
                <w:sz w:val="21"/>
                <w:szCs w:val="21"/>
              </w:rPr>
            </w:pPr>
            <w:r>
              <w:rPr>
                <w:color w:val="000000" w:themeColor="text1"/>
                <w:sz w:val="21"/>
                <w:szCs w:val="21"/>
              </w:rPr>
              <w:t>陶瓷过滤机脱水</w:t>
            </w:r>
          </w:p>
        </w:tc>
        <w:tc>
          <w:tcPr>
            <w:tcW w:w="142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91740</w:t>
            </w:r>
          </w:p>
        </w:tc>
        <w:tc>
          <w:tcPr>
            <w:tcW w:w="2084" w:type="dxa"/>
            <w:vAlign w:val="center"/>
          </w:tcPr>
          <w:p>
            <w:pPr>
              <w:pStyle w:val="126"/>
              <w:rPr>
                <w:rFonts w:eastAsiaTheme="minorEastAsia"/>
                <w:color w:val="000000" w:themeColor="text1"/>
                <w:lang w:eastAsia="zh-CN"/>
              </w:rPr>
            </w:pPr>
            <w:r>
              <w:rPr>
                <w:rFonts w:eastAsiaTheme="minorEastAsia"/>
                <w:color w:val="000000" w:themeColor="text1"/>
                <w:lang w:eastAsia="zh-CN"/>
              </w:rPr>
              <w:t>进入原有选矿生产线</w:t>
            </w:r>
          </w:p>
        </w:tc>
        <w:tc>
          <w:tcPr>
            <w:tcW w:w="1276"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91740</w:t>
            </w:r>
          </w:p>
        </w:tc>
        <w:tc>
          <w:tcPr>
            <w:tcW w:w="1020"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95"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continue"/>
            <w:vAlign w:val="center"/>
          </w:tcPr>
          <w:p>
            <w:pPr>
              <w:pStyle w:val="126"/>
              <w:rPr>
                <w:rFonts w:eastAsiaTheme="minorEastAsia"/>
                <w:color w:val="000000" w:themeColor="text1"/>
                <w:lang w:eastAsia="zh-CN"/>
              </w:rPr>
            </w:pPr>
          </w:p>
        </w:tc>
        <w:tc>
          <w:tcPr>
            <w:tcW w:w="1093" w:type="dxa"/>
            <w:vAlign w:val="center"/>
          </w:tcPr>
          <w:p>
            <w:pPr>
              <w:spacing w:line="240" w:lineRule="auto"/>
              <w:ind w:firstLine="0" w:firstLineChars="0"/>
              <w:jc w:val="center"/>
              <w:rPr>
                <w:color w:val="000000" w:themeColor="text1"/>
                <w:sz w:val="21"/>
                <w:szCs w:val="21"/>
              </w:rPr>
            </w:pPr>
            <w:r>
              <w:rPr>
                <w:color w:val="000000" w:themeColor="text1"/>
                <w:sz w:val="21"/>
                <w:szCs w:val="21"/>
              </w:rPr>
              <w:t>选矿</w:t>
            </w:r>
            <w:r>
              <w:rPr>
                <w:rFonts w:hint="eastAsia"/>
                <w:color w:val="000000" w:themeColor="text1"/>
                <w:sz w:val="21"/>
                <w:szCs w:val="21"/>
              </w:rPr>
              <w:t>废水</w:t>
            </w:r>
          </w:p>
        </w:tc>
        <w:tc>
          <w:tcPr>
            <w:tcW w:w="1427" w:type="dxa"/>
            <w:vAlign w:val="center"/>
          </w:tcPr>
          <w:p>
            <w:pPr>
              <w:pStyle w:val="126"/>
              <w:rPr>
                <w:rFonts w:hint="default" w:eastAsiaTheme="minorEastAsia"/>
                <w:color w:val="000000" w:themeColor="text1"/>
                <w:lang w:val="en-US" w:eastAsia="zh-CN"/>
              </w:rPr>
            </w:pPr>
            <w:r>
              <w:rPr>
                <w:rFonts w:hint="eastAsia" w:eastAsiaTheme="minorEastAsia"/>
                <w:color w:val="000000" w:themeColor="text1"/>
                <w:lang w:val="en-US" w:eastAsia="zh-CN"/>
              </w:rPr>
              <w:t>282349.5</w:t>
            </w:r>
          </w:p>
        </w:tc>
        <w:tc>
          <w:tcPr>
            <w:tcW w:w="2084" w:type="dxa"/>
            <w:vAlign w:val="center"/>
          </w:tcPr>
          <w:p>
            <w:pPr>
              <w:pStyle w:val="126"/>
              <w:rPr>
                <w:rFonts w:eastAsiaTheme="minorEastAsia"/>
                <w:color w:val="000000" w:themeColor="text1"/>
                <w:lang w:eastAsia="zh-CN"/>
              </w:rPr>
            </w:pPr>
            <w:r>
              <w:rPr>
                <w:rFonts w:eastAsiaTheme="minorEastAsia"/>
                <w:color w:val="000000" w:themeColor="text1"/>
                <w:lang w:eastAsia="zh-CN"/>
              </w:rPr>
              <w:t>进入尾矿沉淀池</w:t>
            </w:r>
          </w:p>
        </w:tc>
        <w:tc>
          <w:tcPr>
            <w:tcW w:w="1276" w:type="dxa"/>
            <w:vAlign w:val="center"/>
          </w:tcPr>
          <w:p>
            <w:pPr>
              <w:pStyle w:val="126"/>
              <w:rPr>
                <w:rFonts w:hint="default" w:eastAsiaTheme="minorEastAsia"/>
                <w:color w:val="000000" w:themeColor="text1"/>
                <w:lang w:val="en-US" w:eastAsia="zh-CN"/>
              </w:rPr>
            </w:pPr>
            <w:r>
              <w:rPr>
                <w:rFonts w:hint="eastAsia" w:eastAsiaTheme="minorEastAsia"/>
                <w:color w:val="000000" w:themeColor="text1"/>
                <w:lang w:val="en-US" w:eastAsia="zh-CN"/>
              </w:rPr>
              <w:t>282349.5</w:t>
            </w:r>
          </w:p>
        </w:tc>
        <w:tc>
          <w:tcPr>
            <w:tcW w:w="1020"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95" w:type="dxa"/>
            <w:vMerge w:val="continue"/>
            <w:vAlign w:val="center"/>
          </w:tcPr>
          <w:p>
            <w:pPr>
              <w:pStyle w:val="126"/>
              <w:rPr>
                <w:rFonts w:eastAsiaTheme="minorEastAsia"/>
                <w:color w:val="000000" w:themeColor="text1"/>
                <w:lang w:eastAsia="zh-CN"/>
              </w:rPr>
            </w:pPr>
          </w:p>
        </w:tc>
        <w:tc>
          <w:tcPr>
            <w:tcW w:w="1795" w:type="dxa"/>
            <w:vAlign w:val="center"/>
          </w:tcPr>
          <w:p>
            <w:pPr>
              <w:pStyle w:val="126"/>
              <w:rPr>
                <w:rFonts w:eastAsiaTheme="minorEastAsia"/>
                <w:color w:val="000000" w:themeColor="text1"/>
                <w:lang w:eastAsia="zh-CN"/>
              </w:rPr>
            </w:pPr>
            <w:r>
              <w:rPr>
                <w:rFonts w:eastAsiaTheme="minorEastAsia"/>
                <w:color w:val="000000" w:themeColor="text1"/>
                <w:lang w:eastAsia="zh-CN"/>
              </w:rPr>
              <w:t>进入尾矿沉淀池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continue"/>
            <w:vAlign w:val="center"/>
          </w:tcPr>
          <w:p>
            <w:pPr>
              <w:pStyle w:val="126"/>
              <w:rPr>
                <w:rFonts w:eastAsiaTheme="minorEastAsia"/>
                <w:color w:val="000000" w:themeColor="text1"/>
                <w:lang w:eastAsia="zh-CN"/>
              </w:rPr>
            </w:pPr>
          </w:p>
        </w:tc>
        <w:tc>
          <w:tcPr>
            <w:tcW w:w="1093" w:type="dxa"/>
            <w:vAlign w:val="center"/>
          </w:tcPr>
          <w:p>
            <w:pPr>
              <w:spacing w:line="240" w:lineRule="auto"/>
              <w:ind w:firstLine="0" w:firstLineChars="0"/>
              <w:jc w:val="center"/>
              <w:rPr>
                <w:color w:val="000000" w:themeColor="text1"/>
                <w:sz w:val="21"/>
                <w:szCs w:val="21"/>
              </w:rPr>
            </w:pPr>
            <w:r>
              <w:rPr>
                <w:bCs/>
                <w:color w:val="000000" w:themeColor="text1"/>
                <w:sz w:val="21"/>
                <w:szCs w:val="21"/>
              </w:rPr>
              <w:t>实验及机修</w:t>
            </w:r>
            <w:r>
              <w:rPr>
                <w:rFonts w:hint="eastAsia"/>
                <w:bCs/>
                <w:color w:val="000000" w:themeColor="text1"/>
                <w:sz w:val="21"/>
                <w:szCs w:val="21"/>
              </w:rPr>
              <w:t>废水</w:t>
            </w:r>
          </w:p>
        </w:tc>
        <w:tc>
          <w:tcPr>
            <w:tcW w:w="142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300</w:t>
            </w:r>
          </w:p>
        </w:tc>
        <w:tc>
          <w:tcPr>
            <w:tcW w:w="2084" w:type="dxa"/>
            <w:vAlign w:val="center"/>
          </w:tcPr>
          <w:p>
            <w:pPr>
              <w:pStyle w:val="126"/>
              <w:rPr>
                <w:rFonts w:eastAsiaTheme="minorEastAsia"/>
                <w:color w:val="000000" w:themeColor="text1"/>
                <w:lang w:eastAsia="zh-CN"/>
              </w:rPr>
            </w:pPr>
            <w:r>
              <w:rPr>
                <w:rFonts w:eastAsiaTheme="minorEastAsia"/>
                <w:color w:val="000000" w:themeColor="text1"/>
                <w:lang w:eastAsia="zh-CN"/>
              </w:rPr>
              <w:t>进入尾矿沉淀池</w:t>
            </w:r>
          </w:p>
        </w:tc>
        <w:tc>
          <w:tcPr>
            <w:tcW w:w="1276"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300</w:t>
            </w:r>
          </w:p>
        </w:tc>
        <w:tc>
          <w:tcPr>
            <w:tcW w:w="102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0</w:t>
            </w:r>
          </w:p>
        </w:tc>
        <w:tc>
          <w:tcPr>
            <w:tcW w:w="1995" w:type="dxa"/>
            <w:vMerge w:val="continue"/>
            <w:vAlign w:val="center"/>
          </w:tcPr>
          <w:p>
            <w:pPr>
              <w:pStyle w:val="126"/>
              <w:rPr>
                <w:rFonts w:eastAsiaTheme="minorEastAsia"/>
                <w:color w:val="000000" w:themeColor="text1"/>
                <w:lang w:eastAsia="zh-CN"/>
              </w:rPr>
            </w:pPr>
          </w:p>
        </w:tc>
        <w:tc>
          <w:tcPr>
            <w:tcW w:w="1795"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Merge w:val="continue"/>
            <w:vAlign w:val="center"/>
          </w:tcPr>
          <w:p>
            <w:pPr>
              <w:pStyle w:val="126"/>
              <w:rPr>
                <w:rFonts w:eastAsiaTheme="minorEastAsia"/>
                <w:color w:val="000000" w:themeColor="text1"/>
                <w:lang w:eastAsia="zh-CN"/>
              </w:rPr>
            </w:pPr>
          </w:p>
        </w:tc>
        <w:tc>
          <w:tcPr>
            <w:tcW w:w="1093" w:type="dxa"/>
            <w:vAlign w:val="center"/>
          </w:tcPr>
          <w:p>
            <w:pPr>
              <w:spacing w:line="240" w:lineRule="auto"/>
              <w:ind w:firstLine="0" w:firstLineChars="0"/>
              <w:jc w:val="center"/>
              <w:rPr>
                <w:color w:val="000000" w:themeColor="text1"/>
                <w:sz w:val="21"/>
                <w:szCs w:val="21"/>
              </w:rPr>
            </w:pPr>
            <w:r>
              <w:rPr>
                <w:color w:val="000000" w:themeColor="text1"/>
                <w:sz w:val="21"/>
                <w:szCs w:val="21"/>
              </w:rPr>
              <w:t>初期雨水</w:t>
            </w:r>
          </w:p>
        </w:tc>
        <w:tc>
          <w:tcPr>
            <w:tcW w:w="1427" w:type="dxa"/>
            <w:vAlign w:val="center"/>
          </w:tcPr>
          <w:p>
            <w:pPr>
              <w:pStyle w:val="126"/>
              <w:rPr>
                <w:rFonts w:eastAsiaTheme="minorEastAsia"/>
                <w:color w:val="000000" w:themeColor="text1"/>
                <w:lang w:eastAsia="zh-CN"/>
              </w:rPr>
            </w:pPr>
            <w:r>
              <w:rPr>
                <w:color w:val="000000" w:themeColor="text1"/>
                <w:lang w:eastAsia="zh-CN"/>
              </w:rPr>
              <w:t>178.85</w:t>
            </w:r>
            <w:r>
              <w:rPr>
                <w:rFonts w:hint="eastAsia"/>
                <w:color w:val="000000" w:themeColor="text1"/>
                <w:lang w:eastAsia="zh-CN"/>
              </w:rPr>
              <w:t>m</w:t>
            </w:r>
            <w:r>
              <w:rPr>
                <w:rFonts w:hint="eastAsia"/>
                <w:color w:val="000000" w:themeColor="text1"/>
                <w:vertAlign w:val="superscript"/>
                <w:lang w:eastAsia="zh-CN"/>
              </w:rPr>
              <w:t>3</w:t>
            </w:r>
            <w:r>
              <w:rPr>
                <w:rFonts w:hint="eastAsia"/>
                <w:color w:val="000000" w:themeColor="text1"/>
                <w:lang w:eastAsia="zh-CN"/>
              </w:rPr>
              <w:t>/次</w:t>
            </w:r>
          </w:p>
        </w:tc>
        <w:tc>
          <w:tcPr>
            <w:tcW w:w="2084"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回用于生产</w:t>
            </w:r>
          </w:p>
        </w:tc>
        <w:tc>
          <w:tcPr>
            <w:tcW w:w="1276" w:type="dxa"/>
            <w:vAlign w:val="center"/>
          </w:tcPr>
          <w:p>
            <w:pPr>
              <w:pStyle w:val="126"/>
              <w:rPr>
                <w:rFonts w:eastAsiaTheme="minorEastAsia"/>
                <w:color w:val="000000" w:themeColor="text1"/>
                <w:lang w:eastAsia="zh-CN"/>
              </w:rPr>
            </w:pPr>
            <w:r>
              <w:rPr>
                <w:color w:val="000000" w:themeColor="text1"/>
                <w:lang w:eastAsia="zh-CN"/>
              </w:rPr>
              <w:t>178.85</w:t>
            </w:r>
            <w:r>
              <w:rPr>
                <w:rFonts w:hint="eastAsia"/>
                <w:color w:val="000000" w:themeColor="text1"/>
                <w:lang w:eastAsia="zh-CN"/>
              </w:rPr>
              <w:t>m</w:t>
            </w:r>
            <w:r>
              <w:rPr>
                <w:rFonts w:hint="eastAsia"/>
                <w:color w:val="000000" w:themeColor="text1"/>
                <w:vertAlign w:val="superscript"/>
                <w:lang w:eastAsia="zh-CN"/>
              </w:rPr>
              <w:t>3</w:t>
            </w:r>
            <w:r>
              <w:rPr>
                <w:rFonts w:hint="eastAsia"/>
                <w:color w:val="000000" w:themeColor="text1"/>
                <w:lang w:eastAsia="zh-CN"/>
              </w:rPr>
              <w:t>/次</w:t>
            </w:r>
          </w:p>
        </w:tc>
        <w:tc>
          <w:tcPr>
            <w:tcW w:w="102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0</w:t>
            </w:r>
          </w:p>
        </w:tc>
        <w:tc>
          <w:tcPr>
            <w:tcW w:w="1995" w:type="dxa"/>
            <w:vMerge w:val="continue"/>
            <w:vAlign w:val="center"/>
          </w:tcPr>
          <w:p>
            <w:pPr>
              <w:pStyle w:val="126"/>
              <w:rPr>
                <w:rFonts w:eastAsiaTheme="minorEastAsia"/>
                <w:color w:val="000000" w:themeColor="text1"/>
                <w:lang w:eastAsia="zh-CN"/>
              </w:rPr>
            </w:pPr>
          </w:p>
        </w:tc>
        <w:tc>
          <w:tcPr>
            <w:tcW w:w="1795"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restart"/>
            <w:vAlign w:val="center"/>
          </w:tcPr>
          <w:p>
            <w:pPr>
              <w:pStyle w:val="126"/>
              <w:rPr>
                <w:rFonts w:eastAsiaTheme="minorEastAsia"/>
                <w:color w:val="000000" w:themeColor="text1"/>
              </w:rPr>
            </w:pPr>
            <w:r>
              <w:rPr>
                <w:rFonts w:eastAsiaTheme="minorEastAsia"/>
                <w:color w:val="000000" w:themeColor="text1"/>
              </w:rPr>
              <w:t>废气</w:t>
            </w:r>
          </w:p>
        </w:tc>
        <w:tc>
          <w:tcPr>
            <w:tcW w:w="2010" w:type="dxa"/>
            <w:vAlign w:val="center"/>
          </w:tcPr>
          <w:p>
            <w:pPr>
              <w:pStyle w:val="78"/>
              <w:spacing w:line="240" w:lineRule="auto"/>
              <w:ind w:firstLine="0" w:firstLineChars="0"/>
              <w:jc w:val="center"/>
              <w:rPr>
                <w:bCs/>
                <w:color w:val="000000" w:themeColor="text1"/>
                <w:sz w:val="21"/>
                <w:szCs w:val="21"/>
              </w:rPr>
            </w:pPr>
            <w:r>
              <w:rPr>
                <w:rFonts w:hint="eastAsia"/>
                <w:bCs/>
                <w:color w:val="000000" w:themeColor="text1"/>
                <w:sz w:val="21"/>
                <w:szCs w:val="21"/>
              </w:rPr>
              <w:t>装载机装料（原矿石）粉尘</w:t>
            </w:r>
          </w:p>
        </w:tc>
        <w:tc>
          <w:tcPr>
            <w:tcW w:w="1093" w:type="dxa"/>
            <w:vAlign w:val="center"/>
          </w:tcPr>
          <w:p>
            <w:pPr>
              <w:spacing w:line="240" w:lineRule="auto"/>
              <w:ind w:firstLine="0" w:firstLineChars="0"/>
              <w:jc w:val="center"/>
              <w:rPr>
                <w:color w:val="000000" w:themeColor="text1"/>
                <w:sz w:val="21"/>
                <w:szCs w:val="21"/>
              </w:rPr>
            </w:pPr>
            <w:r>
              <w:rPr>
                <w:color w:val="000000" w:themeColor="text1"/>
                <w:sz w:val="21"/>
                <w:szCs w:val="21"/>
              </w:rPr>
              <w:t>颗粒物</w:t>
            </w:r>
          </w:p>
        </w:tc>
        <w:tc>
          <w:tcPr>
            <w:tcW w:w="1427" w:type="dxa"/>
            <w:vAlign w:val="center"/>
          </w:tcPr>
          <w:p>
            <w:pPr>
              <w:pStyle w:val="126"/>
              <w:rPr>
                <w:rFonts w:eastAsiaTheme="minorEastAsia"/>
                <w:bCs/>
                <w:color w:val="000000" w:themeColor="text1"/>
                <w:lang w:eastAsia="zh-CN"/>
              </w:rPr>
            </w:pPr>
            <w:r>
              <w:rPr>
                <w:rFonts w:hint="eastAsia" w:eastAsiaTheme="minorEastAsia"/>
                <w:bCs/>
                <w:color w:val="000000" w:themeColor="text1"/>
                <w:lang w:eastAsia="zh-CN"/>
              </w:rPr>
              <w:t>4.155</w:t>
            </w:r>
          </w:p>
        </w:tc>
        <w:tc>
          <w:tcPr>
            <w:tcW w:w="2084" w:type="dxa"/>
            <w:vAlign w:val="center"/>
          </w:tcPr>
          <w:p>
            <w:pPr>
              <w:pStyle w:val="126"/>
              <w:rPr>
                <w:rFonts w:eastAsiaTheme="minorEastAsia"/>
                <w:color w:val="000000" w:themeColor="text1"/>
                <w:kern w:val="24"/>
                <w:lang w:eastAsia="zh-CN"/>
              </w:rPr>
            </w:pPr>
            <w:r>
              <w:rPr>
                <w:rFonts w:hint="eastAsia" w:eastAsia="宋体"/>
                <w:bCs/>
                <w:color w:val="000000" w:themeColor="text1"/>
                <w:lang w:eastAsia="zh-CN"/>
              </w:rPr>
              <w:t>在装料处设置喷淋设施</w:t>
            </w:r>
          </w:p>
        </w:tc>
        <w:tc>
          <w:tcPr>
            <w:tcW w:w="1276"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020" w:type="dxa"/>
            <w:vAlign w:val="center"/>
          </w:tcPr>
          <w:p>
            <w:pPr>
              <w:widowControl/>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0.21</w:t>
            </w:r>
          </w:p>
        </w:tc>
        <w:tc>
          <w:tcPr>
            <w:tcW w:w="1995"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达到《铁矿采选工业污染物排放标准》（GB28661-2012）表7要求</w:t>
            </w:r>
          </w:p>
        </w:tc>
        <w:tc>
          <w:tcPr>
            <w:tcW w:w="1795" w:type="dxa"/>
            <w:vMerge w:val="restart"/>
            <w:vAlign w:val="center"/>
          </w:tcPr>
          <w:p>
            <w:pPr>
              <w:pStyle w:val="126"/>
              <w:rPr>
                <w:rFonts w:eastAsiaTheme="minorEastAsia"/>
                <w:color w:val="000000" w:themeColor="text1"/>
                <w:lang w:eastAsia="zh-CN"/>
              </w:rPr>
            </w:pPr>
            <w:r>
              <w:rPr>
                <w:rFonts w:hint="eastAsia" w:eastAsiaTheme="minorEastAsia"/>
                <w:color w:val="000000" w:themeColor="text1"/>
                <w:lang w:eastAsia="zh-CN"/>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给料粉尘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427" w:type="dxa"/>
            <w:vAlign w:val="center"/>
          </w:tcPr>
          <w:p>
            <w:pPr>
              <w:pStyle w:val="126"/>
              <w:rPr>
                <w:rFonts w:eastAsiaTheme="minorEastAsia"/>
                <w:color w:val="000000" w:themeColor="text1"/>
                <w:lang w:eastAsia="zh-CN"/>
              </w:rPr>
            </w:pPr>
            <w:r>
              <w:rPr>
                <w:rFonts w:eastAsiaTheme="minorEastAsia"/>
                <w:bCs/>
                <w:color w:val="000000" w:themeColor="text1"/>
                <w:lang w:eastAsia="zh-CN"/>
              </w:rPr>
              <w:t>0.75</w:t>
            </w:r>
          </w:p>
        </w:tc>
        <w:tc>
          <w:tcPr>
            <w:tcW w:w="2084" w:type="dxa"/>
            <w:vAlign w:val="center"/>
          </w:tcPr>
          <w:p>
            <w:pPr>
              <w:pStyle w:val="126"/>
              <w:rPr>
                <w:rFonts w:eastAsiaTheme="minorEastAsia"/>
                <w:color w:val="000000" w:themeColor="text1"/>
                <w:lang w:eastAsia="zh-CN"/>
              </w:rPr>
            </w:pPr>
            <w:r>
              <w:rPr>
                <w:rFonts w:eastAsiaTheme="minorEastAsia"/>
                <w:color w:val="000000" w:themeColor="text1"/>
                <w:kern w:val="24"/>
                <w:lang w:eastAsia="zh-CN"/>
              </w:rPr>
              <w:t>给料口</w:t>
            </w:r>
            <w:r>
              <w:rPr>
                <w:rFonts w:eastAsiaTheme="minorEastAsia"/>
                <w:bCs/>
                <w:color w:val="000000" w:themeColor="text1"/>
                <w:lang w:eastAsia="zh-CN"/>
              </w:rPr>
              <w:t>喷淋降尘，给料口除上部给料处，四周围挡</w:t>
            </w:r>
          </w:p>
        </w:tc>
        <w:tc>
          <w:tcPr>
            <w:tcW w:w="1276"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0.525</w:t>
            </w:r>
          </w:p>
        </w:tc>
        <w:tc>
          <w:tcPr>
            <w:tcW w:w="1020"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bCs/>
                <w:color w:val="000000" w:themeColor="text1"/>
                <w:sz w:val="21"/>
                <w:szCs w:val="21"/>
              </w:rPr>
              <w:t>0.225</w:t>
            </w:r>
          </w:p>
        </w:tc>
        <w:tc>
          <w:tcPr>
            <w:tcW w:w="1995"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物料堆场扬尘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427" w:type="dxa"/>
            <w:vAlign w:val="center"/>
          </w:tcPr>
          <w:p>
            <w:pPr>
              <w:pStyle w:val="126"/>
              <w:rPr>
                <w:rFonts w:eastAsiaTheme="minorEastAsia"/>
                <w:color w:val="000000" w:themeColor="text1"/>
                <w:lang w:eastAsia="zh-CN"/>
              </w:rPr>
            </w:pPr>
            <w:r>
              <w:rPr>
                <w:color w:val="000000" w:themeColor="text1"/>
                <w:szCs w:val="24"/>
              </w:rPr>
              <w:t>2.66</w:t>
            </w:r>
          </w:p>
        </w:tc>
        <w:tc>
          <w:tcPr>
            <w:tcW w:w="2084" w:type="dxa"/>
            <w:vAlign w:val="center"/>
          </w:tcPr>
          <w:p>
            <w:pPr>
              <w:pStyle w:val="126"/>
              <w:rPr>
                <w:rFonts w:eastAsiaTheme="minorEastAsia"/>
                <w:color w:val="000000" w:themeColor="text1"/>
                <w:lang w:eastAsia="zh-CN"/>
              </w:rPr>
            </w:pPr>
            <w:r>
              <w:rPr>
                <w:rFonts w:eastAsiaTheme="minorEastAsia"/>
                <w:color w:val="000000" w:themeColor="text1"/>
                <w:kern w:val="24"/>
                <w:lang w:eastAsia="zh-CN"/>
              </w:rPr>
              <w:t>原矿石、公分石和瓜子石堆场设置堆棚形式，三面围挡+遮雨棚；低品位原矿堆场、机制砂堆场设置堆棚形式，三面围挡+遮雨棚，堆棚设置喷淋装置</w:t>
            </w:r>
          </w:p>
        </w:tc>
        <w:tc>
          <w:tcPr>
            <w:tcW w:w="1276"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2.128</w:t>
            </w:r>
          </w:p>
        </w:tc>
        <w:tc>
          <w:tcPr>
            <w:tcW w:w="1020"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color w:val="000000" w:themeColor="text1"/>
                <w:sz w:val="21"/>
                <w:szCs w:val="21"/>
              </w:rPr>
              <w:t>0.532</w:t>
            </w:r>
          </w:p>
        </w:tc>
        <w:tc>
          <w:tcPr>
            <w:tcW w:w="1995"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rPr>
              <w:t>运输</w:t>
            </w:r>
            <w:r>
              <w:rPr>
                <w:rFonts w:eastAsiaTheme="minorEastAsia"/>
                <w:color w:val="000000" w:themeColor="text1"/>
                <w:lang w:eastAsia="zh-CN"/>
              </w:rPr>
              <w:t>扬尘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427" w:type="dxa"/>
            <w:vAlign w:val="center"/>
          </w:tcPr>
          <w:p>
            <w:pPr>
              <w:pStyle w:val="126"/>
              <w:rPr>
                <w:rFonts w:eastAsiaTheme="minorEastAsia"/>
                <w:color w:val="000000" w:themeColor="text1"/>
                <w:lang w:eastAsia="zh-CN"/>
              </w:rPr>
            </w:pPr>
            <w:r>
              <w:rPr>
                <w:rFonts w:eastAsiaTheme="minorEastAsia"/>
                <w:color w:val="000000" w:themeColor="text1"/>
                <w:lang w:eastAsia="zh-CN"/>
              </w:rPr>
              <w:t>1.28</w:t>
            </w:r>
          </w:p>
        </w:tc>
        <w:tc>
          <w:tcPr>
            <w:tcW w:w="2084" w:type="dxa"/>
            <w:vAlign w:val="center"/>
          </w:tcPr>
          <w:p>
            <w:pPr>
              <w:pStyle w:val="126"/>
              <w:rPr>
                <w:rFonts w:eastAsiaTheme="minorEastAsia"/>
                <w:color w:val="000000" w:themeColor="text1"/>
                <w:lang w:eastAsia="zh-CN"/>
              </w:rPr>
            </w:pPr>
            <w:r>
              <w:rPr>
                <w:rFonts w:eastAsiaTheme="minorEastAsia"/>
                <w:color w:val="000000" w:themeColor="text1"/>
                <w:kern w:val="24"/>
                <w:lang w:eastAsia="zh-CN"/>
              </w:rPr>
              <w:t>输送皮带均为密闭式，落料处降低落料高度，运输道路定期洒水降尘</w:t>
            </w:r>
          </w:p>
        </w:tc>
        <w:tc>
          <w:tcPr>
            <w:tcW w:w="1276"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1.024</w:t>
            </w:r>
          </w:p>
        </w:tc>
        <w:tc>
          <w:tcPr>
            <w:tcW w:w="1020"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0.256</w:t>
            </w:r>
          </w:p>
        </w:tc>
        <w:tc>
          <w:tcPr>
            <w:tcW w:w="1995"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原料卸载粉尘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427" w:type="dxa"/>
            <w:vAlign w:val="center"/>
          </w:tcPr>
          <w:p>
            <w:pPr>
              <w:pStyle w:val="126"/>
              <w:rPr>
                <w:rFonts w:eastAsiaTheme="minorEastAsia"/>
                <w:color w:val="000000" w:themeColor="text1"/>
                <w:lang w:eastAsia="zh-CN"/>
              </w:rPr>
            </w:pPr>
            <w:r>
              <w:rPr>
                <w:color w:val="000000" w:themeColor="text1"/>
              </w:rPr>
              <w:t>0.76</w:t>
            </w:r>
            <w:r>
              <w:rPr>
                <w:rFonts w:hint="eastAsia"/>
                <w:color w:val="000000" w:themeColor="text1"/>
                <w:lang w:eastAsia="zh-CN"/>
              </w:rPr>
              <w:t>7</w:t>
            </w:r>
          </w:p>
        </w:tc>
        <w:tc>
          <w:tcPr>
            <w:tcW w:w="2084" w:type="dxa"/>
            <w:vAlign w:val="center"/>
          </w:tcPr>
          <w:p>
            <w:pPr>
              <w:pStyle w:val="126"/>
              <w:rPr>
                <w:rFonts w:eastAsiaTheme="minorEastAsia"/>
                <w:color w:val="000000" w:themeColor="text1"/>
                <w:lang w:eastAsia="zh-CN"/>
              </w:rPr>
            </w:pPr>
            <w:r>
              <w:rPr>
                <w:rFonts w:eastAsiaTheme="minorEastAsia"/>
                <w:color w:val="000000" w:themeColor="text1"/>
                <w:kern w:val="24"/>
                <w:lang w:eastAsia="zh-CN"/>
              </w:rPr>
              <w:t>原料装卸采用雾炮喷雾降尘</w:t>
            </w:r>
          </w:p>
        </w:tc>
        <w:tc>
          <w:tcPr>
            <w:tcW w:w="1276"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0.614</w:t>
            </w:r>
          </w:p>
        </w:tc>
        <w:tc>
          <w:tcPr>
            <w:tcW w:w="1020"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sz w:val="21"/>
                <w:szCs w:val="21"/>
              </w:rPr>
              <w:t>0.153</w:t>
            </w:r>
          </w:p>
        </w:tc>
        <w:tc>
          <w:tcPr>
            <w:tcW w:w="1995"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kinsoku w:val="0"/>
              <w:overflowPunct w:val="0"/>
              <w:autoSpaceDE w:val="0"/>
              <w:ind w:firstLine="210" w:firstLineChars="100"/>
              <w:rPr>
                <w:rFonts w:eastAsiaTheme="minorEastAsia"/>
                <w:color w:val="000000" w:themeColor="text1"/>
                <w:sz w:val="21"/>
                <w:szCs w:val="21"/>
              </w:rPr>
            </w:pPr>
            <w:r>
              <w:rPr>
                <w:color w:val="000000" w:themeColor="text1"/>
                <w:sz w:val="21"/>
                <w:szCs w:val="21"/>
              </w:rPr>
              <w:t>成品</w:t>
            </w:r>
            <w:r>
              <w:rPr>
                <w:rFonts w:hint="eastAsia"/>
                <w:color w:val="000000" w:themeColor="text1"/>
                <w:sz w:val="21"/>
                <w:szCs w:val="21"/>
              </w:rPr>
              <w:t>及副产品</w:t>
            </w:r>
            <w:r>
              <w:rPr>
                <w:color w:val="000000" w:themeColor="text1"/>
                <w:sz w:val="21"/>
                <w:szCs w:val="21"/>
              </w:rPr>
              <w:t>装载粉尘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42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5.052</w:t>
            </w:r>
          </w:p>
        </w:tc>
        <w:tc>
          <w:tcPr>
            <w:tcW w:w="2084" w:type="dxa"/>
            <w:vAlign w:val="center"/>
          </w:tcPr>
          <w:p>
            <w:pPr>
              <w:pStyle w:val="126"/>
              <w:rPr>
                <w:rFonts w:eastAsiaTheme="minorEastAsia"/>
                <w:color w:val="000000" w:themeColor="text1"/>
                <w:lang w:eastAsia="zh-CN"/>
              </w:rPr>
            </w:pPr>
            <w:r>
              <w:rPr>
                <w:rFonts w:eastAsiaTheme="minorEastAsia"/>
                <w:color w:val="000000" w:themeColor="text1"/>
                <w:kern w:val="24"/>
                <w:lang w:eastAsia="zh-CN"/>
              </w:rPr>
              <w:t>原料装卸采用雾炮喷雾降尘</w:t>
            </w:r>
          </w:p>
        </w:tc>
        <w:tc>
          <w:tcPr>
            <w:tcW w:w="1276"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4.797</w:t>
            </w:r>
          </w:p>
        </w:tc>
        <w:tc>
          <w:tcPr>
            <w:tcW w:w="1020"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0.255</w:t>
            </w:r>
          </w:p>
        </w:tc>
        <w:tc>
          <w:tcPr>
            <w:tcW w:w="1995"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kinsoku w:val="0"/>
              <w:overflowPunct w:val="0"/>
              <w:autoSpaceDE w:val="0"/>
              <w:ind w:firstLine="210" w:firstLineChars="100"/>
              <w:rPr>
                <w:color w:val="000000" w:themeColor="text1"/>
                <w:sz w:val="21"/>
                <w:szCs w:val="21"/>
              </w:rPr>
            </w:pPr>
            <w:r>
              <w:rPr>
                <w:rFonts w:hint="eastAsia"/>
                <w:color w:val="000000" w:themeColor="text1"/>
                <w:sz w:val="21"/>
                <w:szCs w:val="21"/>
              </w:rPr>
              <w:t>未收集粉尘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427" w:type="dxa"/>
            <w:vAlign w:val="center"/>
          </w:tcPr>
          <w:p>
            <w:pPr>
              <w:pStyle w:val="126"/>
              <w:rPr>
                <w:color w:val="000000" w:themeColor="text1"/>
                <w:lang w:eastAsia="zh-CN"/>
              </w:rPr>
            </w:pPr>
            <w:r>
              <w:rPr>
                <w:rFonts w:hint="eastAsia"/>
                <w:color w:val="000000" w:themeColor="text1"/>
                <w:lang w:eastAsia="zh-CN"/>
              </w:rPr>
              <w:t>11.89</w:t>
            </w:r>
          </w:p>
        </w:tc>
        <w:tc>
          <w:tcPr>
            <w:tcW w:w="2084" w:type="dxa"/>
            <w:vAlign w:val="center"/>
          </w:tcPr>
          <w:p>
            <w:pPr>
              <w:pStyle w:val="126"/>
              <w:rPr>
                <w:rFonts w:eastAsiaTheme="minorEastAsia"/>
                <w:color w:val="000000" w:themeColor="text1"/>
                <w:kern w:val="24"/>
                <w:lang w:eastAsia="zh-CN"/>
              </w:rPr>
            </w:pPr>
            <w:r>
              <w:rPr>
                <w:rFonts w:hint="eastAsia" w:eastAsiaTheme="minorEastAsia"/>
                <w:color w:val="000000" w:themeColor="text1"/>
                <w:kern w:val="24"/>
                <w:lang w:eastAsia="zh-CN"/>
              </w:rPr>
              <w:t>/</w:t>
            </w:r>
          </w:p>
        </w:tc>
        <w:tc>
          <w:tcPr>
            <w:tcW w:w="1276"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w:t>
            </w:r>
          </w:p>
        </w:tc>
        <w:tc>
          <w:tcPr>
            <w:tcW w:w="1020"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11.89</w:t>
            </w:r>
          </w:p>
        </w:tc>
        <w:tc>
          <w:tcPr>
            <w:tcW w:w="1995"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废气量</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气量</w:t>
            </w:r>
          </w:p>
        </w:tc>
        <w:tc>
          <w:tcPr>
            <w:tcW w:w="142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25200万m</w:t>
            </w:r>
            <w:r>
              <w:rPr>
                <w:rFonts w:hint="eastAsia" w:eastAsiaTheme="minorEastAsia"/>
                <w:color w:val="000000" w:themeColor="text1"/>
                <w:vertAlign w:val="superscript"/>
                <w:lang w:eastAsia="zh-CN"/>
              </w:rPr>
              <w:t>3</w:t>
            </w:r>
            <w:r>
              <w:rPr>
                <w:rFonts w:hint="eastAsia" w:eastAsiaTheme="minorEastAsia"/>
                <w:color w:val="000000" w:themeColor="text1"/>
                <w:lang w:eastAsia="zh-CN"/>
              </w:rPr>
              <w:t xml:space="preserve">/a </w:t>
            </w:r>
          </w:p>
        </w:tc>
        <w:tc>
          <w:tcPr>
            <w:tcW w:w="2084" w:type="dxa"/>
            <w:vAlign w:val="center"/>
          </w:tcPr>
          <w:p>
            <w:pPr>
              <w:pStyle w:val="126"/>
              <w:rPr>
                <w:rFonts w:eastAsiaTheme="minorEastAsia"/>
                <w:color w:val="000000" w:themeColor="text1"/>
                <w:lang w:eastAsia="zh-CN"/>
              </w:rPr>
            </w:pPr>
            <w:r>
              <w:rPr>
                <w:rFonts w:eastAsiaTheme="minorEastAsia"/>
                <w:color w:val="000000" w:themeColor="text1"/>
                <w:lang w:eastAsia="zh-CN"/>
              </w:rPr>
              <w:t>/</w:t>
            </w:r>
          </w:p>
        </w:tc>
        <w:tc>
          <w:tcPr>
            <w:tcW w:w="1276"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 xml:space="preserve">0 </w:t>
            </w:r>
          </w:p>
        </w:tc>
        <w:tc>
          <w:tcPr>
            <w:tcW w:w="1020" w:type="dxa"/>
            <w:vAlign w:val="center"/>
          </w:tcPr>
          <w:p>
            <w:pPr>
              <w:widowControl/>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25200万m</w:t>
            </w:r>
            <w:r>
              <w:rPr>
                <w:rFonts w:hint="eastAsia" w:eastAsiaTheme="minorEastAsia"/>
                <w:bCs/>
                <w:color w:val="000000" w:themeColor="text1"/>
                <w:sz w:val="21"/>
                <w:szCs w:val="21"/>
                <w:vertAlign w:val="superscript"/>
              </w:rPr>
              <w:t>3</w:t>
            </w:r>
            <w:r>
              <w:rPr>
                <w:rFonts w:hint="eastAsia" w:eastAsiaTheme="minorEastAsia"/>
                <w:bCs/>
                <w:color w:val="000000" w:themeColor="text1"/>
                <w:sz w:val="21"/>
                <w:szCs w:val="21"/>
              </w:rPr>
              <w:t>/a</w:t>
            </w:r>
          </w:p>
        </w:tc>
        <w:tc>
          <w:tcPr>
            <w:tcW w:w="1995" w:type="dxa"/>
            <w:vAlign w:val="center"/>
          </w:tcPr>
          <w:p>
            <w:pPr>
              <w:pStyle w:val="126"/>
              <w:rPr>
                <w:rFonts w:eastAsiaTheme="minorEastAsia"/>
                <w:color w:val="000000" w:themeColor="text1"/>
                <w:lang w:eastAsia="zh-CN"/>
              </w:rPr>
            </w:pPr>
            <w:r>
              <w:rPr>
                <w:rFonts w:eastAsiaTheme="minorEastAsia"/>
                <w:color w:val="000000" w:themeColor="text1"/>
                <w:lang w:eastAsia="zh-CN"/>
              </w:rPr>
              <w:t>/</w:t>
            </w:r>
          </w:p>
        </w:tc>
        <w:tc>
          <w:tcPr>
            <w:tcW w:w="1795"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有组织排放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DA001粉尘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427" w:type="dxa"/>
            <w:vAlign w:val="center"/>
          </w:tcPr>
          <w:p>
            <w:pPr>
              <w:pStyle w:val="126"/>
              <w:rPr>
                <w:rFonts w:eastAsiaTheme="minorEastAsia"/>
                <w:color w:val="000000" w:themeColor="text1"/>
                <w:lang w:eastAsia="zh-CN"/>
              </w:rPr>
            </w:pPr>
            <w:r>
              <w:rPr>
                <w:rFonts w:hint="eastAsia" w:eastAsia="宋体"/>
                <w:color w:val="000000" w:themeColor="text1"/>
                <w:lang w:eastAsia="zh-CN"/>
              </w:rPr>
              <w:t>157.5</w:t>
            </w:r>
          </w:p>
        </w:tc>
        <w:tc>
          <w:tcPr>
            <w:tcW w:w="2084" w:type="dxa"/>
            <w:vMerge w:val="restart"/>
            <w:vAlign w:val="center"/>
          </w:tcPr>
          <w:p>
            <w:pPr>
              <w:pStyle w:val="126"/>
              <w:rPr>
                <w:rFonts w:eastAsiaTheme="minorEastAsia"/>
                <w:color w:val="000000" w:themeColor="text1"/>
                <w:lang w:eastAsia="zh-CN"/>
              </w:rPr>
            </w:pPr>
            <w:r>
              <w:rPr>
                <w:rFonts w:hint="eastAsia" w:eastAsiaTheme="minorEastAsia"/>
                <w:color w:val="000000" w:themeColor="text1"/>
                <w:lang w:eastAsia="zh-CN"/>
              </w:rPr>
              <w:t>集气罩+</w:t>
            </w:r>
            <w:r>
              <w:rPr>
                <w:rFonts w:eastAsiaTheme="minorEastAsia"/>
                <w:color w:val="000000" w:themeColor="text1"/>
                <w:lang w:eastAsia="zh-CN"/>
              </w:rPr>
              <w:t>布袋除尘</w:t>
            </w:r>
          </w:p>
        </w:tc>
        <w:tc>
          <w:tcPr>
            <w:tcW w:w="1276"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157.201</w:t>
            </w:r>
          </w:p>
        </w:tc>
        <w:tc>
          <w:tcPr>
            <w:tcW w:w="1020"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sz w:val="21"/>
                <w:szCs w:val="21"/>
              </w:rPr>
              <w:t>0.299</w:t>
            </w:r>
          </w:p>
        </w:tc>
        <w:tc>
          <w:tcPr>
            <w:tcW w:w="1995"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达到《铁矿采选工业污染物排放标准》（GB28661-2012）表5要求</w:t>
            </w: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lang w:eastAsia="zh-CN"/>
              </w:rPr>
            </w:pPr>
          </w:p>
        </w:tc>
        <w:tc>
          <w:tcPr>
            <w:tcW w:w="201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DA002粉尘</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427" w:type="dxa"/>
            <w:vAlign w:val="center"/>
          </w:tcPr>
          <w:p>
            <w:pPr>
              <w:pStyle w:val="126"/>
              <w:rPr>
                <w:rFonts w:eastAsiaTheme="minorEastAsia"/>
                <w:color w:val="000000" w:themeColor="text1"/>
                <w:lang w:eastAsia="zh-CN"/>
              </w:rPr>
            </w:pPr>
            <w:r>
              <w:rPr>
                <w:rFonts w:hint="eastAsia" w:eastAsia="宋体"/>
                <w:color w:val="000000" w:themeColor="text1"/>
                <w:lang w:eastAsia="zh-CN"/>
              </w:rPr>
              <w:t>80.355</w:t>
            </w:r>
          </w:p>
        </w:tc>
        <w:tc>
          <w:tcPr>
            <w:tcW w:w="2084" w:type="dxa"/>
            <w:vMerge w:val="continue"/>
            <w:vAlign w:val="center"/>
          </w:tcPr>
          <w:p>
            <w:pPr>
              <w:pStyle w:val="126"/>
              <w:rPr>
                <w:rFonts w:eastAsiaTheme="minorEastAsia"/>
                <w:color w:val="000000" w:themeColor="text1"/>
                <w:lang w:eastAsia="zh-CN"/>
              </w:rPr>
            </w:pPr>
          </w:p>
        </w:tc>
        <w:tc>
          <w:tcPr>
            <w:tcW w:w="1276"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80.203</w:t>
            </w:r>
          </w:p>
        </w:tc>
        <w:tc>
          <w:tcPr>
            <w:tcW w:w="1020"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sz w:val="21"/>
                <w:szCs w:val="21"/>
              </w:rPr>
              <w:t>0.152</w:t>
            </w:r>
          </w:p>
        </w:tc>
        <w:tc>
          <w:tcPr>
            <w:tcW w:w="1995" w:type="dxa"/>
            <w:vMerge w:val="continue"/>
            <w:vAlign w:val="center"/>
          </w:tcPr>
          <w:p>
            <w:pPr>
              <w:pStyle w:val="126"/>
              <w:rPr>
                <w:rFonts w:eastAsiaTheme="minorEastAsia"/>
                <w:color w:val="000000" w:themeColor="text1"/>
                <w:lang w:eastAsia="zh-CN"/>
              </w:rPr>
            </w:pPr>
          </w:p>
        </w:tc>
        <w:tc>
          <w:tcPr>
            <w:tcW w:w="1795"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restart"/>
            <w:vAlign w:val="center"/>
          </w:tcPr>
          <w:p>
            <w:pPr>
              <w:pStyle w:val="126"/>
              <w:rPr>
                <w:rFonts w:eastAsiaTheme="minorEastAsia"/>
                <w:color w:val="000000" w:themeColor="text1"/>
                <w:lang w:eastAsia="zh-CN"/>
              </w:rPr>
            </w:pPr>
            <w:r>
              <w:rPr>
                <w:rFonts w:eastAsiaTheme="minorEastAsia"/>
                <w:color w:val="000000" w:themeColor="text1"/>
              </w:rPr>
              <w:t>固废</w:t>
            </w: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原有项目选矿</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尾矿</w:t>
            </w:r>
          </w:p>
        </w:tc>
        <w:tc>
          <w:tcPr>
            <w:tcW w:w="142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39446.31</w:t>
            </w:r>
            <w:r>
              <w:rPr>
                <w:rFonts w:eastAsiaTheme="minorEastAsia"/>
                <w:color w:val="000000" w:themeColor="text1"/>
                <w:lang w:eastAsia="zh-CN"/>
              </w:rPr>
              <w:t>t</w:t>
            </w:r>
            <w:r>
              <w:rPr>
                <w:rFonts w:eastAsiaTheme="minorEastAsia"/>
                <w:color w:val="000000" w:themeColor="text1"/>
              </w:rPr>
              <w:t>/a</w:t>
            </w:r>
          </w:p>
        </w:tc>
        <w:tc>
          <w:tcPr>
            <w:tcW w:w="2084" w:type="dxa"/>
            <w:vAlign w:val="center"/>
          </w:tcPr>
          <w:p>
            <w:pPr>
              <w:pStyle w:val="126"/>
              <w:rPr>
                <w:rFonts w:eastAsiaTheme="minorEastAsia"/>
                <w:color w:val="000000" w:themeColor="text1"/>
                <w:lang w:eastAsia="zh-CN"/>
              </w:rPr>
            </w:pPr>
            <w:r>
              <w:rPr>
                <w:rFonts w:eastAsiaTheme="minorEastAsia"/>
                <w:color w:val="000000" w:themeColor="text1"/>
                <w:lang w:eastAsia="zh-CN"/>
              </w:rPr>
              <w:t>/</w:t>
            </w:r>
          </w:p>
        </w:tc>
        <w:tc>
          <w:tcPr>
            <w:tcW w:w="1276" w:type="dxa"/>
            <w:vAlign w:val="center"/>
          </w:tcPr>
          <w:p>
            <w:pPr>
              <w:pStyle w:val="126"/>
              <w:rPr>
                <w:rFonts w:eastAsiaTheme="minorEastAsia"/>
                <w:color w:val="000000" w:themeColor="text1"/>
              </w:rPr>
            </w:pPr>
            <w:r>
              <w:rPr>
                <w:rFonts w:eastAsiaTheme="minorEastAsia"/>
                <w:color w:val="000000" w:themeColor="text1"/>
              </w:rPr>
              <w:t>0</w:t>
            </w:r>
          </w:p>
        </w:tc>
        <w:tc>
          <w:tcPr>
            <w:tcW w:w="1020" w:type="dxa"/>
            <w:vAlign w:val="center"/>
          </w:tcPr>
          <w:p>
            <w:pPr>
              <w:pStyle w:val="126"/>
              <w:rPr>
                <w:rFonts w:eastAsiaTheme="minorEastAsia"/>
                <w:color w:val="000000" w:themeColor="text1"/>
              </w:rPr>
            </w:pPr>
            <w:r>
              <w:rPr>
                <w:rFonts w:hint="eastAsia" w:eastAsiaTheme="minorEastAsia"/>
                <w:color w:val="000000" w:themeColor="text1"/>
                <w:lang w:eastAsia="zh-CN"/>
              </w:rPr>
              <w:t>39446.31</w:t>
            </w:r>
            <w:r>
              <w:rPr>
                <w:rFonts w:eastAsiaTheme="minorEastAsia"/>
                <w:color w:val="000000" w:themeColor="text1"/>
                <w:lang w:eastAsia="zh-CN"/>
              </w:rPr>
              <w:t>t</w:t>
            </w:r>
            <w:r>
              <w:rPr>
                <w:rFonts w:eastAsiaTheme="minorEastAsia"/>
                <w:color w:val="000000" w:themeColor="text1"/>
              </w:rPr>
              <w:t>/a</w:t>
            </w:r>
          </w:p>
        </w:tc>
        <w:tc>
          <w:tcPr>
            <w:tcW w:w="1995" w:type="dxa"/>
            <w:vAlign w:val="center"/>
          </w:tcPr>
          <w:p>
            <w:pPr>
              <w:pStyle w:val="126"/>
              <w:rPr>
                <w:rFonts w:eastAsiaTheme="minorEastAsia"/>
                <w:color w:val="000000" w:themeColor="text1"/>
                <w:lang w:eastAsia="zh-CN"/>
              </w:rPr>
            </w:pPr>
            <w:r>
              <w:rPr>
                <w:rFonts w:eastAsiaTheme="minorEastAsia"/>
                <w:color w:val="000000" w:themeColor="text1"/>
              </w:rPr>
              <w:t>100%</w:t>
            </w:r>
            <w:r>
              <w:rPr>
                <w:rFonts w:eastAsiaTheme="minorEastAsia"/>
                <w:color w:val="000000" w:themeColor="text1"/>
                <w:lang w:eastAsia="zh-CN"/>
              </w:rPr>
              <w:t>妥善处置</w:t>
            </w:r>
          </w:p>
        </w:tc>
        <w:tc>
          <w:tcPr>
            <w:tcW w:w="1795" w:type="dxa"/>
            <w:vAlign w:val="center"/>
          </w:tcPr>
          <w:p>
            <w:pPr>
              <w:pStyle w:val="126"/>
              <w:rPr>
                <w:rFonts w:eastAsiaTheme="minorEastAsia"/>
                <w:color w:val="000000" w:themeColor="text1"/>
                <w:lang w:eastAsia="zh-CN"/>
              </w:rPr>
            </w:pPr>
            <w:r>
              <w:rPr>
                <w:rFonts w:eastAsiaTheme="minorEastAsia"/>
                <w:color w:val="000000" w:themeColor="text1"/>
                <w:lang w:eastAsia="zh-CN"/>
              </w:rPr>
              <w:t>排入辣子箐尾矿库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技改铁矿再选尾矿</w:t>
            </w:r>
          </w:p>
        </w:tc>
        <w:tc>
          <w:tcPr>
            <w:tcW w:w="1093" w:type="dxa"/>
            <w:vAlign w:val="center"/>
          </w:tcPr>
          <w:p>
            <w:pPr>
              <w:pStyle w:val="126"/>
              <w:rPr>
                <w:rFonts w:eastAsiaTheme="minorEastAsia"/>
                <w:color w:val="000000" w:themeColor="text1"/>
                <w:lang w:eastAsia="zh-CN"/>
              </w:rPr>
            </w:pPr>
            <w:r>
              <w:rPr>
                <w:rFonts w:eastAsiaTheme="minorEastAsia"/>
                <w:color w:val="000000" w:themeColor="text1"/>
                <w:lang w:eastAsia="zh-CN"/>
              </w:rPr>
              <w:t>尾矿</w:t>
            </w:r>
          </w:p>
        </w:tc>
        <w:tc>
          <w:tcPr>
            <w:tcW w:w="142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31874.126</w:t>
            </w:r>
            <w:r>
              <w:rPr>
                <w:rFonts w:eastAsiaTheme="minorEastAsia"/>
                <w:color w:val="000000" w:themeColor="text1"/>
                <w:lang w:eastAsia="zh-CN"/>
              </w:rPr>
              <w:t>t</w:t>
            </w:r>
            <w:r>
              <w:rPr>
                <w:rFonts w:eastAsiaTheme="minorEastAsia"/>
                <w:color w:val="000000" w:themeColor="text1"/>
              </w:rPr>
              <w:t>/a</w:t>
            </w:r>
          </w:p>
        </w:tc>
        <w:tc>
          <w:tcPr>
            <w:tcW w:w="2084" w:type="dxa"/>
            <w:vAlign w:val="center"/>
          </w:tcPr>
          <w:p>
            <w:pPr>
              <w:pStyle w:val="126"/>
              <w:rPr>
                <w:rFonts w:eastAsiaTheme="minorEastAsia"/>
                <w:color w:val="000000" w:themeColor="text1"/>
                <w:lang w:eastAsia="zh-CN"/>
              </w:rPr>
            </w:pPr>
            <w:r>
              <w:rPr>
                <w:rFonts w:eastAsiaTheme="minorEastAsia"/>
                <w:color w:val="000000" w:themeColor="text1"/>
                <w:lang w:eastAsia="zh-CN"/>
              </w:rPr>
              <w:t>/</w:t>
            </w:r>
          </w:p>
        </w:tc>
        <w:tc>
          <w:tcPr>
            <w:tcW w:w="1276"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02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31874.126</w:t>
            </w:r>
            <w:r>
              <w:rPr>
                <w:rFonts w:eastAsiaTheme="minorEastAsia"/>
                <w:color w:val="000000" w:themeColor="text1"/>
                <w:lang w:eastAsia="zh-CN"/>
              </w:rPr>
              <w:t>t</w:t>
            </w:r>
            <w:r>
              <w:rPr>
                <w:rFonts w:eastAsiaTheme="minorEastAsia"/>
                <w:color w:val="000000" w:themeColor="text1"/>
              </w:rPr>
              <w:t>/a</w:t>
            </w:r>
          </w:p>
        </w:tc>
        <w:tc>
          <w:tcPr>
            <w:tcW w:w="1995" w:type="dxa"/>
            <w:vAlign w:val="center"/>
          </w:tcPr>
          <w:p>
            <w:pPr>
              <w:pStyle w:val="126"/>
              <w:rPr>
                <w:rFonts w:eastAsiaTheme="minorEastAsia"/>
                <w:color w:val="000000" w:themeColor="text1"/>
              </w:rPr>
            </w:pPr>
            <w:r>
              <w:rPr>
                <w:rFonts w:eastAsiaTheme="minorEastAsia"/>
                <w:color w:val="000000" w:themeColor="text1"/>
              </w:rPr>
              <w:t>100%</w:t>
            </w:r>
            <w:r>
              <w:rPr>
                <w:rFonts w:eastAsiaTheme="minorEastAsia"/>
                <w:color w:val="000000" w:themeColor="text1"/>
                <w:lang w:eastAsia="zh-CN"/>
              </w:rPr>
              <w:t>妥善处置</w:t>
            </w:r>
          </w:p>
        </w:tc>
        <w:tc>
          <w:tcPr>
            <w:tcW w:w="1795" w:type="dxa"/>
            <w:vAlign w:val="center"/>
          </w:tcPr>
          <w:p>
            <w:pPr>
              <w:pStyle w:val="126"/>
              <w:rPr>
                <w:rFonts w:eastAsiaTheme="minorEastAsia"/>
                <w:color w:val="000000" w:themeColor="text1"/>
                <w:lang w:eastAsia="zh-CN"/>
              </w:rPr>
            </w:pPr>
            <w:r>
              <w:rPr>
                <w:rFonts w:eastAsiaTheme="minorEastAsia"/>
                <w:color w:val="000000" w:themeColor="text1"/>
                <w:lang w:eastAsia="zh-CN"/>
              </w:rPr>
              <w:t>排入龙都尾矿库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rPr>
            </w:pPr>
            <w:r>
              <w:rPr>
                <w:rFonts w:eastAsiaTheme="minorEastAsia"/>
                <w:color w:val="000000" w:themeColor="text1"/>
              </w:rPr>
              <w:t>生活区</w:t>
            </w:r>
          </w:p>
        </w:tc>
        <w:tc>
          <w:tcPr>
            <w:tcW w:w="1093" w:type="dxa"/>
            <w:vAlign w:val="center"/>
          </w:tcPr>
          <w:p>
            <w:pPr>
              <w:pStyle w:val="126"/>
              <w:rPr>
                <w:rFonts w:eastAsiaTheme="minorEastAsia"/>
                <w:color w:val="000000" w:themeColor="text1"/>
              </w:rPr>
            </w:pPr>
            <w:r>
              <w:rPr>
                <w:rFonts w:eastAsiaTheme="minorEastAsia"/>
                <w:color w:val="000000" w:themeColor="text1"/>
              </w:rPr>
              <w:t>生活垃圾</w:t>
            </w:r>
          </w:p>
        </w:tc>
        <w:tc>
          <w:tcPr>
            <w:tcW w:w="1427" w:type="dxa"/>
            <w:vAlign w:val="center"/>
          </w:tcPr>
          <w:p>
            <w:pPr>
              <w:pStyle w:val="126"/>
              <w:rPr>
                <w:rFonts w:eastAsiaTheme="minorEastAsia"/>
                <w:color w:val="000000" w:themeColor="text1"/>
                <w:lang w:eastAsia="zh-CN"/>
              </w:rPr>
            </w:pPr>
            <w:r>
              <w:rPr>
                <w:rFonts w:eastAsiaTheme="minorEastAsia"/>
                <w:color w:val="000000" w:themeColor="text1"/>
                <w:lang w:eastAsia="zh-CN"/>
              </w:rPr>
              <w:t>13.5</w:t>
            </w:r>
          </w:p>
        </w:tc>
        <w:tc>
          <w:tcPr>
            <w:tcW w:w="2084" w:type="dxa"/>
            <w:vAlign w:val="center"/>
          </w:tcPr>
          <w:p>
            <w:pPr>
              <w:pStyle w:val="126"/>
              <w:rPr>
                <w:rFonts w:eastAsiaTheme="minorEastAsia"/>
                <w:color w:val="000000" w:themeColor="text1"/>
                <w:lang w:eastAsia="zh-CN"/>
              </w:rPr>
            </w:pPr>
            <w:r>
              <w:rPr>
                <w:rFonts w:eastAsiaTheme="minorEastAsia"/>
                <w:color w:val="000000" w:themeColor="text1"/>
                <w:lang w:eastAsia="zh-CN"/>
              </w:rPr>
              <w:t>定期清运至戛洒镇生活垃圾指定地点处理</w:t>
            </w:r>
          </w:p>
        </w:tc>
        <w:tc>
          <w:tcPr>
            <w:tcW w:w="1276" w:type="dxa"/>
            <w:vAlign w:val="center"/>
          </w:tcPr>
          <w:p>
            <w:pPr>
              <w:pStyle w:val="126"/>
              <w:rPr>
                <w:rFonts w:eastAsiaTheme="minorEastAsia"/>
                <w:color w:val="000000" w:themeColor="text1"/>
              </w:rPr>
            </w:pPr>
            <w:r>
              <w:rPr>
                <w:rFonts w:eastAsiaTheme="minorEastAsia"/>
                <w:color w:val="000000" w:themeColor="text1"/>
                <w:lang w:eastAsia="zh-CN"/>
              </w:rPr>
              <w:t>13.5</w:t>
            </w:r>
          </w:p>
        </w:tc>
        <w:tc>
          <w:tcPr>
            <w:tcW w:w="1020"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95" w:type="dxa"/>
            <w:vAlign w:val="center"/>
          </w:tcPr>
          <w:p>
            <w:pPr>
              <w:pStyle w:val="126"/>
              <w:rPr>
                <w:rFonts w:eastAsiaTheme="minorEastAsia"/>
                <w:color w:val="000000" w:themeColor="text1"/>
              </w:rPr>
            </w:pPr>
            <w:r>
              <w:rPr>
                <w:rFonts w:eastAsiaTheme="minorEastAsia"/>
                <w:color w:val="000000" w:themeColor="text1"/>
              </w:rPr>
              <w:t>100%</w:t>
            </w:r>
            <w:r>
              <w:rPr>
                <w:rFonts w:eastAsiaTheme="minorEastAsia"/>
                <w:color w:val="000000" w:themeColor="text1"/>
                <w:lang w:eastAsia="zh-CN"/>
              </w:rPr>
              <w:t>妥善处置</w:t>
            </w:r>
          </w:p>
        </w:tc>
        <w:tc>
          <w:tcPr>
            <w:tcW w:w="1795" w:type="dxa"/>
            <w:vAlign w:val="center"/>
          </w:tcPr>
          <w:p>
            <w:pPr>
              <w:pStyle w:val="126"/>
              <w:rPr>
                <w:rFonts w:eastAsiaTheme="minorEastAsia"/>
                <w:color w:val="000000" w:themeColor="text1"/>
              </w:rPr>
            </w:pPr>
            <w:r>
              <w:rPr>
                <w:rFonts w:eastAsiaTheme="minorEastAsia"/>
                <w:color w:val="000000" w:themeColor="text1"/>
              </w:rPr>
              <w:t>集中收集，统一清运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除尘器收尘灰</w:t>
            </w:r>
          </w:p>
        </w:tc>
        <w:tc>
          <w:tcPr>
            <w:tcW w:w="1093" w:type="dxa"/>
            <w:vAlign w:val="center"/>
          </w:tcPr>
          <w:p>
            <w:pPr>
              <w:pStyle w:val="126"/>
              <w:rPr>
                <w:rFonts w:eastAsiaTheme="minorEastAsia"/>
                <w:color w:val="000000" w:themeColor="text1"/>
              </w:rPr>
            </w:pPr>
            <w:r>
              <w:rPr>
                <w:rFonts w:eastAsiaTheme="minorEastAsia"/>
                <w:color w:val="000000" w:themeColor="text1"/>
                <w:lang w:eastAsia="zh-CN"/>
              </w:rPr>
              <w:t>收尘灰</w:t>
            </w:r>
          </w:p>
        </w:tc>
        <w:tc>
          <w:tcPr>
            <w:tcW w:w="1427"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225.51</w:t>
            </w:r>
          </w:p>
        </w:tc>
        <w:tc>
          <w:tcPr>
            <w:tcW w:w="2084" w:type="dxa"/>
            <w:vAlign w:val="center"/>
          </w:tcPr>
          <w:p>
            <w:pPr>
              <w:pStyle w:val="126"/>
              <w:rPr>
                <w:rFonts w:eastAsiaTheme="minorEastAsia"/>
                <w:color w:val="000000" w:themeColor="text1"/>
                <w:lang w:eastAsia="zh-CN"/>
              </w:rPr>
            </w:pPr>
            <w:r>
              <w:rPr>
                <w:rFonts w:eastAsiaTheme="minorEastAsia"/>
                <w:color w:val="000000" w:themeColor="text1"/>
                <w:lang w:eastAsia="zh-CN"/>
              </w:rPr>
              <w:t>作为砂料产品外卖</w:t>
            </w:r>
          </w:p>
        </w:tc>
        <w:tc>
          <w:tcPr>
            <w:tcW w:w="1276"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225.51</w:t>
            </w:r>
          </w:p>
        </w:tc>
        <w:tc>
          <w:tcPr>
            <w:tcW w:w="1020"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95" w:type="dxa"/>
            <w:vAlign w:val="center"/>
          </w:tcPr>
          <w:p>
            <w:pPr>
              <w:pStyle w:val="126"/>
              <w:rPr>
                <w:rFonts w:eastAsiaTheme="minorEastAsia"/>
                <w:color w:val="000000" w:themeColor="text1"/>
              </w:rPr>
            </w:pPr>
            <w:r>
              <w:rPr>
                <w:rFonts w:eastAsiaTheme="minorEastAsia"/>
                <w:color w:val="000000" w:themeColor="text1"/>
              </w:rPr>
              <w:t>100%</w:t>
            </w:r>
            <w:r>
              <w:rPr>
                <w:rFonts w:eastAsiaTheme="minorEastAsia"/>
                <w:color w:val="000000" w:themeColor="text1"/>
                <w:lang w:eastAsia="zh-CN"/>
              </w:rPr>
              <w:t>妥善处置</w:t>
            </w:r>
          </w:p>
        </w:tc>
        <w:tc>
          <w:tcPr>
            <w:tcW w:w="1795" w:type="dxa"/>
            <w:vAlign w:val="center"/>
          </w:tcPr>
          <w:p>
            <w:pPr>
              <w:pStyle w:val="126"/>
              <w:rPr>
                <w:rFonts w:eastAsiaTheme="minorEastAsia"/>
                <w:color w:val="000000" w:themeColor="text1"/>
              </w:rPr>
            </w:pPr>
            <w:r>
              <w:rPr>
                <w:rFonts w:eastAsiaTheme="minorEastAsia"/>
                <w:color w:val="000000" w:themeColor="text1"/>
                <w:lang w:eastAsia="zh-CN"/>
              </w:rPr>
              <w:t>作为砂料产品外卖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jc w:val="center"/>
        </w:trPr>
        <w:tc>
          <w:tcPr>
            <w:tcW w:w="760" w:type="dxa"/>
            <w:vMerge w:val="continue"/>
            <w:vAlign w:val="center"/>
          </w:tcPr>
          <w:p>
            <w:pPr>
              <w:pStyle w:val="126"/>
              <w:rPr>
                <w:rFonts w:eastAsiaTheme="minorEastAsia"/>
                <w:color w:val="000000" w:themeColor="text1"/>
              </w:rPr>
            </w:pP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机械维修及保养</w:t>
            </w:r>
          </w:p>
        </w:tc>
        <w:tc>
          <w:tcPr>
            <w:tcW w:w="1093" w:type="dxa"/>
            <w:vAlign w:val="center"/>
          </w:tcPr>
          <w:p>
            <w:pPr>
              <w:pStyle w:val="126"/>
              <w:rPr>
                <w:rFonts w:eastAsiaTheme="minorEastAsia"/>
                <w:color w:val="000000" w:themeColor="text1"/>
              </w:rPr>
            </w:pPr>
            <w:r>
              <w:rPr>
                <w:rFonts w:eastAsiaTheme="minorEastAsia"/>
                <w:color w:val="000000" w:themeColor="text1"/>
                <w:lang w:eastAsia="zh-CN"/>
              </w:rPr>
              <w:t>废机油</w:t>
            </w:r>
          </w:p>
        </w:tc>
        <w:tc>
          <w:tcPr>
            <w:tcW w:w="1427" w:type="dxa"/>
            <w:vAlign w:val="center"/>
          </w:tcPr>
          <w:p>
            <w:pPr>
              <w:pStyle w:val="126"/>
              <w:rPr>
                <w:rFonts w:eastAsiaTheme="minorEastAsia"/>
                <w:color w:val="000000" w:themeColor="text1"/>
                <w:lang w:eastAsia="zh-CN"/>
              </w:rPr>
            </w:pPr>
            <w:r>
              <w:rPr>
                <w:rFonts w:eastAsiaTheme="minorEastAsia"/>
                <w:color w:val="000000" w:themeColor="text1"/>
                <w:lang w:eastAsia="zh-CN"/>
              </w:rPr>
              <w:t>0.</w:t>
            </w:r>
            <w:r>
              <w:rPr>
                <w:rFonts w:hint="eastAsia" w:eastAsiaTheme="minorEastAsia"/>
                <w:color w:val="000000" w:themeColor="text1"/>
                <w:lang w:eastAsia="zh-CN"/>
              </w:rPr>
              <w:t>5</w:t>
            </w:r>
          </w:p>
        </w:tc>
        <w:tc>
          <w:tcPr>
            <w:tcW w:w="2084" w:type="dxa"/>
            <w:vAlign w:val="center"/>
          </w:tcPr>
          <w:p>
            <w:pPr>
              <w:pStyle w:val="126"/>
              <w:rPr>
                <w:rFonts w:eastAsiaTheme="minorEastAsia"/>
                <w:color w:val="000000" w:themeColor="text1"/>
                <w:lang w:eastAsia="zh-CN"/>
              </w:rPr>
            </w:pPr>
            <w:r>
              <w:rPr>
                <w:rFonts w:eastAsiaTheme="minorEastAsia"/>
                <w:color w:val="000000" w:themeColor="text1"/>
                <w:lang w:eastAsia="zh-CN"/>
              </w:rPr>
              <w:t>按规定暂存于危废暂存间，委托有资质单位处理</w:t>
            </w:r>
          </w:p>
        </w:tc>
        <w:tc>
          <w:tcPr>
            <w:tcW w:w="1276" w:type="dxa"/>
            <w:vAlign w:val="center"/>
          </w:tcPr>
          <w:p>
            <w:pPr>
              <w:pStyle w:val="126"/>
              <w:rPr>
                <w:rFonts w:eastAsiaTheme="minorEastAsia"/>
                <w:color w:val="000000" w:themeColor="text1"/>
                <w:lang w:eastAsia="zh-CN"/>
              </w:rPr>
            </w:pPr>
            <w:r>
              <w:rPr>
                <w:rFonts w:eastAsiaTheme="minorEastAsia"/>
                <w:color w:val="000000" w:themeColor="text1"/>
                <w:lang w:eastAsia="zh-CN"/>
              </w:rPr>
              <w:t>0.</w:t>
            </w:r>
            <w:r>
              <w:rPr>
                <w:rFonts w:hint="eastAsia" w:eastAsiaTheme="minorEastAsia"/>
                <w:color w:val="000000" w:themeColor="text1"/>
                <w:lang w:eastAsia="zh-CN"/>
              </w:rPr>
              <w:t>5</w:t>
            </w:r>
          </w:p>
        </w:tc>
        <w:tc>
          <w:tcPr>
            <w:tcW w:w="1020"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1995" w:type="dxa"/>
            <w:vAlign w:val="center"/>
          </w:tcPr>
          <w:p>
            <w:pPr>
              <w:pStyle w:val="126"/>
              <w:rPr>
                <w:rFonts w:eastAsiaTheme="minorEastAsia"/>
                <w:color w:val="000000" w:themeColor="text1"/>
                <w:lang w:eastAsia="zh-CN"/>
              </w:rPr>
            </w:pPr>
            <w:r>
              <w:rPr>
                <w:rFonts w:eastAsiaTheme="minorEastAsia"/>
                <w:color w:val="000000" w:themeColor="text1"/>
              </w:rPr>
              <w:t>100%</w:t>
            </w:r>
            <w:r>
              <w:rPr>
                <w:rFonts w:eastAsiaTheme="minorEastAsia"/>
                <w:color w:val="000000" w:themeColor="text1"/>
                <w:lang w:eastAsia="zh-CN"/>
              </w:rPr>
              <w:t>妥善处置</w:t>
            </w:r>
          </w:p>
        </w:tc>
        <w:tc>
          <w:tcPr>
            <w:tcW w:w="1795" w:type="dxa"/>
            <w:vAlign w:val="center"/>
          </w:tcPr>
          <w:p>
            <w:pPr>
              <w:pStyle w:val="126"/>
              <w:rPr>
                <w:rFonts w:eastAsiaTheme="minorEastAsia"/>
                <w:color w:val="000000" w:themeColor="text1"/>
              </w:rPr>
            </w:pPr>
            <w:r>
              <w:rPr>
                <w:rFonts w:eastAsiaTheme="minorEastAsia"/>
                <w:color w:val="000000" w:themeColor="text1"/>
                <w:lang w:eastAsia="zh-CN"/>
              </w:rPr>
              <w:t>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760" w:type="dxa"/>
            <w:vAlign w:val="center"/>
          </w:tcPr>
          <w:p>
            <w:pPr>
              <w:pStyle w:val="126"/>
              <w:rPr>
                <w:rFonts w:eastAsiaTheme="minorEastAsia"/>
                <w:color w:val="000000" w:themeColor="text1"/>
              </w:rPr>
            </w:pPr>
            <w:r>
              <w:rPr>
                <w:rFonts w:eastAsiaTheme="minorEastAsia"/>
                <w:color w:val="000000" w:themeColor="text1"/>
              </w:rPr>
              <w:t>噪声</w:t>
            </w:r>
          </w:p>
        </w:tc>
        <w:tc>
          <w:tcPr>
            <w:tcW w:w="2010" w:type="dxa"/>
            <w:vAlign w:val="center"/>
          </w:tcPr>
          <w:p>
            <w:pPr>
              <w:pStyle w:val="126"/>
              <w:rPr>
                <w:rFonts w:eastAsiaTheme="minorEastAsia"/>
                <w:color w:val="000000" w:themeColor="text1"/>
                <w:lang w:eastAsia="zh-CN"/>
              </w:rPr>
            </w:pPr>
            <w:r>
              <w:rPr>
                <w:rFonts w:eastAsiaTheme="minorEastAsia"/>
                <w:color w:val="000000" w:themeColor="text1"/>
                <w:lang w:eastAsia="zh-CN"/>
              </w:rPr>
              <w:t>原料处理、选矿作业</w:t>
            </w:r>
          </w:p>
        </w:tc>
        <w:tc>
          <w:tcPr>
            <w:tcW w:w="1093" w:type="dxa"/>
            <w:vAlign w:val="center"/>
          </w:tcPr>
          <w:p>
            <w:pPr>
              <w:pStyle w:val="126"/>
              <w:rPr>
                <w:rFonts w:eastAsiaTheme="minorEastAsia"/>
                <w:color w:val="000000" w:themeColor="text1"/>
              </w:rPr>
            </w:pPr>
            <w:r>
              <w:rPr>
                <w:rFonts w:eastAsiaTheme="minorEastAsia"/>
                <w:color w:val="000000" w:themeColor="text1"/>
              </w:rPr>
              <w:t>噪声</w:t>
            </w:r>
          </w:p>
        </w:tc>
        <w:tc>
          <w:tcPr>
            <w:tcW w:w="1427" w:type="dxa"/>
            <w:vAlign w:val="center"/>
          </w:tcPr>
          <w:p>
            <w:pPr>
              <w:pStyle w:val="126"/>
              <w:rPr>
                <w:rFonts w:eastAsiaTheme="minorEastAsia"/>
                <w:color w:val="000000" w:themeColor="text1"/>
              </w:rPr>
            </w:pPr>
            <w:r>
              <w:rPr>
                <w:rFonts w:eastAsiaTheme="minorEastAsia"/>
                <w:color w:val="000000" w:themeColor="text1"/>
                <w:lang w:eastAsia="zh-CN"/>
              </w:rPr>
              <w:t>80~95</w:t>
            </w:r>
          </w:p>
        </w:tc>
        <w:tc>
          <w:tcPr>
            <w:tcW w:w="2084" w:type="dxa"/>
            <w:vAlign w:val="center"/>
          </w:tcPr>
          <w:p>
            <w:pPr>
              <w:pStyle w:val="126"/>
              <w:rPr>
                <w:rFonts w:eastAsiaTheme="minorEastAsia"/>
                <w:color w:val="000000" w:themeColor="text1"/>
                <w:lang w:eastAsia="zh-CN"/>
              </w:rPr>
            </w:pPr>
            <w:r>
              <w:rPr>
                <w:rFonts w:eastAsiaTheme="minorEastAsia"/>
                <w:color w:val="000000" w:themeColor="text1"/>
                <w:lang w:eastAsia="zh-CN"/>
              </w:rPr>
              <w:t>基础减震、厂房隔声、距离衰减</w:t>
            </w:r>
          </w:p>
        </w:tc>
        <w:tc>
          <w:tcPr>
            <w:tcW w:w="1276" w:type="dxa"/>
            <w:vAlign w:val="center"/>
          </w:tcPr>
          <w:p>
            <w:pPr>
              <w:pStyle w:val="126"/>
              <w:rPr>
                <w:rFonts w:eastAsiaTheme="minorEastAsia"/>
                <w:color w:val="000000" w:themeColor="text1"/>
              </w:rPr>
            </w:pPr>
            <w:r>
              <w:rPr>
                <w:rFonts w:eastAsiaTheme="minorEastAsia"/>
                <w:color w:val="000000" w:themeColor="text1"/>
              </w:rPr>
              <w:t>--</w:t>
            </w:r>
          </w:p>
        </w:tc>
        <w:tc>
          <w:tcPr>
            <w:tcW w:w="1020" w:type="dxa"/>
            <w:vAlign w:val="center"/>
          </w:tcPr>
          <w:p>
            <w:pPr>
              <w:pStyle w:val="126"/>
              <w:rPr>
                <w:rFonts w:eastAsiaTheme="minorEastAsia"/>
                <w:color w:val="000000" w:themeColor="text1"/>
              </w:rPr>
            </w:pPr>
            <w:r>
              <w:rPr>
                <w:rFonts w:eastAsiaTheme="minorEastAsia"/>
                <w:color w:val="000000" w:themeColor="text1"/>
              </w:rPr>
              <w:t>--</w:t>
            </w:r>
          </w:p>
        </w:tc>
        <w:tc>
          <w:tcPr>
            <w:tcW w:w="1995" w:type="dxa"/>
            <w:vAlign w:val="center"/>
          </w:tcPr>
          <w:p>
            <w:pPr>
              <w:pStyle w:val="126"/>
              <w:rPr>
                <w:rFonts w:eastAsiaTheme="minorEastAsia"/>
                <w:color w:val="000000" w:themeColor="text1"/>
                <w:lang w:eastAsia="zh-CN"/>
              </w:rPr>
            </w:pPr>
            <w:r>
              <w:rPr>
                <w:rFonts w:eastAsiaTheme="minorEastAsia"/>
                <w:color w:val="000000" w:themeColor="text1"/>
                <w:lang w:eastAsia="zh-CN"/>
              </w:rPr>
              <w:t>项目厂界噪声达到《工业企业厂界环境噪声排放标准》3类标准</w:t>
            </w:r>
          </w:p>
        </w:tc>
        <w:tc>
          <w:tcPr>
            <w:tcW w:w="1795" w:type="dxa"/>
            <w:vAlign w:val="center"/>
          </w:tcPr>
          <w:p>
            <w:pPr>
              <w:pStyle w:val="126"/>
              <w:rPr>
                <w:rFonts w:eastAsiaTheme="minorEastAsia"/>
                <w:color w:val="000000" w:themeColor="text1"/>
              </w:rPr>
            </w:pPr>
            <w:r>
              <w:rPr>
                <w:rFonts w:eastAsiaTheme="minorEastAsia"/>
                <w:color w:val="000000" w:themeColor="text1"/>
              </w:rPr>
              <w:t>外排周边环境</w:t>
            </w:r>
          </w:p>
        </w:tc>
      </w:tr>
    </w:tbl>
    <w:p>
      <w:pPr>
        <w:pStyle w:val="51"/>
        <w:ind w:left="0"/>
        <w:rPr>
          <w:color w:val="000000" w:themeColor="text1"/>
          <w:lang w:eastAsia="zh-CN"/>
        </w:rPr>
        <w:sectPr>
          <w:pgSz w:w="16838" w:h="11906" w:orient="landscape"/>
          <w:pgMar w:top="1417" w:right="1440" w:bottom="1417" w:left="1440" w:header="850" w:footer="992" w:gutter="0"/>
          <w:pgNumType w:fmt="numberInDash"/>
          <w:cols w:space="425" w:num="1"/>
          <w:docGrid w:type="lines" w:linePitch="326" w:charSpace="0"/>
        </w:sectPr>
      </w:pPr>
    </w:p>
    <w:p>
      <w:pPr>
        <w:pStyle w:val="574"/>
        <w:spacing w:beforeLines="0" w:afterLines="0"/>
        <w:rPr>
          <w:rFonts w:eastAsiaTheme="minorEastAsia"/>
          <w:color w:val="000000" w:themeColor="text1"/>
          <w:sz w:val="30"/>
          <w:szCs w:val="30"/>
        </w:rPr>
      </w:pPr>
      <w:bookmarkStart w:id="532" w:name="_Toc25778"/>
      <w:r>
        <w:rPr>
          <w:rFonts w:hint="eastAsia" w:eastAsiaTheme="minorEastAsia"/>
          <w:color w:val="000000" w:themeColor="text1"/>
          <w:sz w:val="30"/>
          <w:szCs w:val="30"/>
        </w:rPr>
        <w:t>4.6</w:t>
      </w:r>
      <w:r>
        <w:rPr>
          <w:rFonts w:eastAsiaTheme="minorEastAsia"/>
          <w:color w:val="000000" w:themeColor="text1"/>
          <w:sz w:val="30"/>
          <w:szCs w:val="30"/>
        </w:rPr>
        <w:t>“以新带老”措施</w:t>
      </w:r>
      <w:bookmarkEnd w:id="532"/>
    </w:p>
    <w:p>
      <w:pPr>
        <w:pStyle w:val="50"/>
        <w:numPr>
          <w:ilvl w:val="0"/>
          <w:numId w:val="33"/>
        </w:numPr>
        <w:spacing w:after="0" w:line="360" w:lineRule="auto"/>
        <w:ind w:left="0" w:leftChars="0" w:firstLine="480"/>
        <w:rPr>
          <w:rFonts w:eastAsiaTheme="minorEastAsia"/>
          <w:color w:val="000000" w:themeColor="text1"/>
          <w:kern w:val="2"/>
          <w:sz w:val="24"/>
          <w:szCs w:val="22"/>
        </w:rPr>
      </w:pPr>
      <w:r>
        <w:rPr>
          <w:rFonts w:eastAsiaTheme="minorEastAsia"/>
          <w:color w:val="000000" w:themeColor="text1"/>
          <w:kern w:val="2"/>
          <w:sz w:val="24"/>
          <w:szCs w:val="22"/>
        </w:rPr>
        <w:t>原矿石堆场和产品堆场、中间产品堆场均需设置钢架棚，地面硬化，规范物料堆存，钢架棚需设置成三面围挡+遮雨棚形式，并且破碎后的原矿和机制砂堆棚需设置喷淋设施，降低扬尘的排放，减少扬尘对环境的影响；</w:t>
      </w:r>
    </w:p>
    <w:p>
      <w:pPr>
        <w:pStyle w:val="50"/>
        <w:numPr>
          <w:ilvl w:val="0"/>
          <w:numId w:val="33"/>
        </w:numPr>
        <w:spacing w:after="0" w:line="360" w:lineRule="auto"/>
        <w:ind w:left="0" w:leftChars="0" w:firstLine="480"/>
        <w:rPr>
          <w:rFonts w:eastAsiaTheme="minorEastAsia"/>
          <w:color w:val="000000" w:themeColor="text1"/>
          <w:kern w:val="2"/>
          <w:sz w:val="24"/>
          <w:szCs w:val="22"/>
        </w:rPr>
      </w:pPr>
      <w:r>
        <w:rPr>
          <w:rFonts w:eastAsiaTheme="minorEastAsia"/>
          <w:color w:val="000000" w:themeColor="text1"/>
          <w:kern w:val="2"/>
          <w:sz w:val="24"/>
          <w:szCs w:val="22"/>
        </w:rPr>
        <w:t>技改项目将原矿破碎后进行分选，带磁性的原矿用于选矿工艺，不带磁性的原矿加工生产为砂石料，提高原材料的利用率，降低选矿用水量，减少尾矿的形成；</w:t>
      </w:r>
      <w:r>
        <w:rPr>
          <w:rFonts w:hint="eastAsia" w:eastAsiaTheme="minorEastAsia"/>
          <w:color w:val="000000" w:themeColor="text1"/>
          <w:kern w:val="2"/>
          <w:sz w:val="24"/>
          <w:szCs w:val="22"/>
        </w:rPr>
        <w:t>项目</w:t>
      </w:r>
      <w:r>
        <w:rPr>
          <w:rFonts w:eastAsiaTheme="minorEastAsia"/>
          <w:color w:val="000000" w:themeColor="text1"/>
          <w:kern w:val="2"/>
          <w:sz w:val="24"/>
          <w:szCs w:val="22"/>
        </w:rPr>
        <w:t>破碎</w:t>
      </w:r>
      <w:r>
        <w:rPr>
          <w:rFonts w:hint="eastAsia" w:eastAsiaTheme="minorEastAsia"/>
          <w:color w:val="000000" w:themeColor="text1"/>
          <w:kern w:val="2"/>
          <w:sz w:val="24"/>
          <w:szCs w:val="22"/>
        </w:rPr>
        <w:t>、</w:t>
      </w:r>
      <w:r>
        <w:rPr>
          <w:rFonts w:eastAsiaTheme="minorEastAsia"/>
          <w:color w:val="000000" w:themeColor="text1"/>
          <w:kern w:val="2"/>
          <w:sz w:val="24"/>
          <w:szCs w:val="22"/>
        </w:rPr>
        <w:t>筛分级制砂工段分别设置</w:t>
      </w:r>
      <w:r>
        <w:rPr>
          <w:rFonts w:hint="eastAsia" w:eastAsiaTheme="minorEastAsia"/>
          <w:color w:val="000000" w:themeColor="text1"/>
          <w:kern w:val="2"/>
          <w:sz w:val="24"/>
          <w:szCs w:val="22"/>
        </w:rPr>
        <w:t>集气罩及布袋</w:t>
      </w:r>
      <w:r>
        <w:rPr>
          <w:rFonts w:eastAsiaTheme="minorEastAsia"/>
          <w:color w:val="000000" w:themeColor="text1"/>
          <w:kern w:val="2"/>
          <w:sz w:val="24"/>
          <w:szCs w:val="22"/>
        </w:rPr>
        <w:t>除尘设施，提高粉尘的去除率，降低粉尘对环境的影响。</w:t>
      </w:r>
    </w:p>
    <w:p>
      <w:pPr>
        <w:pStyle w:val="50"/>
        <w:numPr>
          <w:ilvl w:val="0"/>
          <w:numId w:val="33"/>
        </w:numPr>
        <w:spacing w:after="0" w:line="360" w:lineRule="auto"/>
        <w:ind w:left="0" w:leftChars="0" w:firstLine="480"/>
        <w:rPr>
          <w:rFonts w:eastAsiaTheme="minorEastAsia"/>
          <w:color w:val="000000" w:themeColor="text1"/>
          <w:kern w:val="2"/>
          <w:sz w:val="24"/>
          <w:szCs w:val="22"/>
        </w:rPr>
      </w:pPr>
      <w:r>
        <w:rPr>
          <w:rFonts w:eastAsiaTheme="minorEastAsia"/>
          <w:color w:val="000000" w:themeColor="text1"/>
          <w:kern w:val="2"/>
          <w:sz w:val="24"/>
          <w:szCs w:val="22"/>
        </w:rPr>
        <w:t>对原破碎生产线进行技改，形成新的破碎站，破碎站地面硬化，</w:t>
      </w:r>
      <w:r>
        <w:rPr>
          <w:rFonts w:hint="eastAsia" w:eastAsiaTheme="minorEastAsia"/>
          <w:color w:val="000000" w:themeColor="text1"/>
          <w:kern w:val="2"/>
          <w:sz w:val="24"/>
          <w:szCs w:val="22"/>
        </w:rPr>
        <w:t>对厂内</w:t>
      </w:r>
      <w:r>
        <w:rPr>
          <w:rFonts w:eastAsiaTheme="minorEastAsia"/>
          <w:color w:val="000000" w:themeColor="text1"/>
          <w:kern w:val="2"/>
          <w:sz w:val="24"/>
          <w:szCs w:val="22"/>
        </w:rPr>
        <w:t>运输道路</w:t>
      </w:r>
      <w:r>
        <w:rPr>
          <w:rFonts w:hint="eastAsia" w:eastAsiaTheme="minorEastAsia"/>
          <w:color w:val="000000" w:themeColor="text1"/>
          <w:kern w:val="2"/>
          <w:sz w:val="24"/>
          <w:szCs w:val="22"/>
        </w:rPr>
        <w:t>进行硬化，</w:t>
      </w:r>
      <w:r>
        <w:rPr>
          <w:rFonts w:eastAsiaTheme="minorEastAsia"/>
          <w:color w:val="000000" w:themeColor="text1"/>
          <w:kern w:val="2"/>
          <w:sz w:val="24"/>
          <w:szCs w:val="22"/>
        </w:rPr>
        <w:t>定时洒水降尘，降低扬尘的排放；</w:t>
      </w:r>
    </w:p>
    <w:p>
      <w:pPr>
        <w:pStyle w:val="50"/>
        <w:numPr>
          <w:ilvl w:val="0"/>
          <w:numId w:val="33"/>
        </w:numPr>
        <w:spacing w:after="0" w:line="360" w:lineRule="auto"/>
        <w:ind w:left="0" w:leftChars="0" w:firstLine="480"/>
        <w:rPr>
          <w:rFonts w:eastAsiaTheme="minorEastAsia"/>
          <w:color w:val="000000" w:themeColor="text1"/>
          <w:kern w:val="2"/>
          <w:sz w:val="24"/>
          <w:szCs w:val="22"/>
        </w:rPr>
      </w:pPr>
      <w:r>
        <w:rPr>
          <w:rFonts w:eastAsiaTheme="minorEastAsia"/>
          <w:color w:val="000000" w:themeColor="text1"/>
          <w:kern w:val="2"/>
          <w:sz w:val="24"/>
          <w:szCs w:val="22"/>
        </w:rPr>
        <w:t>对</w:t>
      </w:r>
      <w:r>
        <w:rPr>
          <w:rFonts w:hint="eastAsia" w:eastAsiaTheme="minorEastAsia"/>
          <w:color w:val="000000" w:themeColor="text1"/>
          <w:kern w:val="2"/>
          <w:sz w:val="24"/>
          <w:szCs w:val="22"/>
        </w:rPr>
        <w:t>三级</w:t>
      </w:r>
      <w:r>
        <w:rPr>
          <w:rFonts w:eastAsiaTheme="minorEastAsia"/>
          <w:color w:val="000000" w:themeColor="text1"/>
          <w:kern w:val="2"/>
          <w:sz w:val="24"/>
          <w:szCs w:val="22"/>
        </w:rPr>
        <w:t>精矿池附近场地进行硬化处理，加强厂内环境管理，精矿产品严禁直接放在未硬化场地上，避免地下水污染；</w:t>
      </w:r>
    </w:p>
    <w:p>
      <w:pPr>
        <w:pStyle w:val="50"/>
        <w:numPr>
          <w:ilvl w:val="0"/>
          <w:numId w:val="33"/>
        </w:numPr>
        <w:spacing w:after="0" w:line="360" w:lineRule="auto"/>
        <w:ind w:left="0" w:leftChars="0" w:firstLine="480"/>
        <w:rPr>
          <w:rFonts w:eastAsiaTheme="minorEastAsia"/>
          <w:color w:val="000000" w:themeColor="text1"/>
          <w:kern w:val="2"/>
          <w:sz w:val="24"/>
          <w:szCs w:val="22"/>
        </w:rPr>
      </w:pPr>
      <w:r>
        <w:rPr>
          <w:rFonts w:hint="eastAsia" w:eastAsiaTheme="minorEastAsia"/>
          <w:color w:val="000000" w:themeColor="text1"/>
          <w:kern w:val="2"/>
          <w:sz w:val="24"/>
          <w:szCs w:val="22"/>
        </w:rPr>
        <w:t>用水冲厕替代原有旱厕，</w:t>
      </w:r>
      <w:r>
        <w:rPr>
          <w:rFonts w:eastAsiaTheme="minorEastAsia"/>
          <w:color w:val="000000" w:themeColor="text1"/>
          <w:kern w:val="2"/>
          <w:sz w:val="24"/>
          <w:szCs w:val="22"/>
        </w:rPr>
        <w:t>新建一套15m</w:t>
      </w:r>
      <w:r>
        <w:rPr>
          <w:rFonts w:eastAsiaTheme="minorEastAsia"/>
          <w:color w:val="000000" w:themeColor="text1"/>
          <w:kern w:val="2"/>
          <w:sz w:val="24"/>
          <w:szCs w:val="22"/>
          <w:vertAlign w:val="superscript"/>
        </w:rPr>
        <w:t>3</w:t>
      </w:r>
      <w:r>
        <w:rPr>
          <w:rFonts w:eastAsiaTheme="minorEastAsia"/>
          <w:color w:val="000000" w:themeColor="text1"/>
          <w:kern w:val="2"/>
          <w:sz w:val="24"/>
          <w:szCs w:val="22"/>
        </w:rPr>
        <w:t>/d的一体化污水处理设施，并配套1个50m</w:t>
      </w:r>
      <w:r>
        <w:rPr>
          <w:rFonts w:eastAsiaTheme="minorEastAsia"/>
          <w:color w:val="000000" w:themeColor="text1"/>
          <w:kern w:val="2"/>
          <w:sz w:val="24"/>
          <w:szCs w:val="22"/>
          <w:vertAlign w:val="superscript"/>
        </w:rPr>
        <w:t>3</w:t>
      </w:r>
      <w:r>
        <w:rPr>
          <w:rFonts w:eastAsiaTheme="minorEastAsia"/>
          <w:color w:val="000000" w:themeColor="text1"/>
          <w:kern w:val="2"/>
          <w:sz w:val="24"/>
          <w:szCs w:val="22"/>
        </w:rPr>
        <w:t>的</w:t>
      </w:r>
      <w:r>
        <w:rPr>
          <w:rFonts w:hint="eastAsia" w:eastAsiaTheme="minorEastAsia"/>
          <w:color w:val="000000" w:themeColor="text1"/>
          <w:kern w:val="2"/>
          <w:sz w:val="24"/>
          <w:szCs w:val="22"/>
        </w:rPr>
        <w:t>中水</w:t>
      </w:r>
      <w:r>
        <w:rPr>
          <w:rFonts w:eastAsiaTheme="minorEastAsia"/>
          <w:color w:val="000000" w:themeColor="text1"/>
          <w:kern w:val="2"/>
          <w:sz w:val="24"/>
          <w:szCs w:val="22"/>
        </w:rPr>
        <w:t>收集池，雨天处理过的中水储存在收集池内，非雨天用于厂区绿化；</w:t>
      </w:r>
    </w:p>
    <w:p>
      <w:pPr>
        <w:pStyle w:val="50"/>
        <w:numPr>
          <w:ilvl w:val="0"/>
          <w:numId w:val="33"/>
        </w:numPr>
        <w:spacing w:after="0" w:line="360" w:lineRule="auto"/>
        <w:ind w:left="0" w:leftChars="0" w:firstLine="480"/>
        <w:rPr>
          <w:rFonts w:eastAsiaTheme="minorEastAsia"/>
          <w:color w:val="000000" w:themeColor="text1"/>
          <w:kern w:val="2"/>
          <w:sz w:val="24"/>
          <w:szCs w:val="22"/>
        </w:rPr>
      </w:pPr>
      <w:r>
        <w:rPr>
          <w:rFonts w:eastAsiaTheme="minorEastAsia"/>
          <w:color w:val="000000" w:themeColor="text1"/>
          <w:kern w:val="2"/>
          <w:sz w:val="24"/>
          <w:szCs w:val="22"/>
        </w:rPr>
        <w:t>提高厂内环境管理水平，在非事故条件下，保持应急事故池处于空池状态；</w:t>
      </w:r>
    </w:p>
    <w:p>
      <w:pPr>
        <w:pStyle w:val="50"/>
        <w:numPr>
          <w:ilvl w:val="0"/>
          <w:numId w:val="33"/>
        </w:numPr>
        <w:spacing w:after="0" w:line="360" w:lineRule="auto"/>
        <w:ind w:left="0" w:leftChars="0" w:firstLine="480"/>
        <w:rPr>
          <w:rFonts w:eastAsiaTheme="minorEastAsia"/>
          <w:color w:val="000000" w:themeColor="text1"/>
          <w:kern w:val="2"/>
          <w:sz w:val="24"/>
          <w:szCs w:val="22"/>
        </w:rPr>
      </w:pPr>
      <w:r>
        <w:rPr>
          <w:rFonts w:eastAsiaTheme="minorEastAsia"/>
          <w:color w:val="000000" w:themeColor="text1"/>
          <w:kern w:val="2"/>
          <w:sz w:val="24"/>
          <w:szCs w:val="22"/>
        </w:rPr>
        <w:t>设置辣子箐尾矿库地下水监控井，及时掌握尾矿库附近地下水水质变化情况，若尾矿库发生泄漏，能及时发现并处理；</w:t>
      </w:r>
    </w:p>
    <w:p>
      <w:pPr>
        <w:pStyle w:val="50"/>
        <w:numPr>
          <w:ilvl w:val="0"/>
          <w:numId w:val="33"/>
        </w:numPr>
        <w:spacing w:after="0" w:line="360" w:lineRule="auto"/>
        <w:ind w:left="0" w:leftChars="0" w:firstLine="480"/>
        <w:rPr>
          <w:rFonts w:eastAsiaTheme="minorEastAsia"/>
          <w:color w:val="000000" w:themeColor="text1"/>
          <w:kern w:val="2"/>
          <w:sz w:val="24"/>
          <w:szCs w:val="22"/>
        </w:rPr>
      </w:pPr>
      <w:r>
        <w:rPr>
          <w:rFonts w:eastAsiaTheme="minorEastAsia"/>
          <w:color w:val="000000" w:themeColor="text1"/>
          <w:kern w:val="2"/>
          <w:sz w:val="24"/>
          <w:szCs w:val="22"/>
        </w:rPr>
        <w:t>原料处理区设置雨污分流设施，设置雨水收集池，初期雨水经收集沉淀后，上清液抽至厂区的高位水池，用于选矿；</w:t>
      </w:r>
    </w:p>
    <w:p>
      <w:pPr>
        <w:pStyle w:val="50"/>
        <w:numPr>
          <w:ilvl w:val="0"/>
          <w:numId w:val="33"/>
        </w:numPr>
        <w:spacing w:after="0" w:line="360" w:lineRule="auto"/>
        <w:ind w:left="0" w:leftChars="0" w:firstLine="480"/>
        <w:rPr>
          <w:rFonts w:eastAsiaTheme="minorEastAsia"/>
          <w:color w:val="000000" w:themeColor="text1"/>
          <w:kern w:val="2"/>
          <w:sz w:val="24"/>
          <w:szCs w:val="22"/>
        </w:rPr>
      </w:pPr>
      <w:r>
        <w:rPr>
          <w:rFonts w:hint="eastAsia"/>
          <w:color w:val="000000" w:themeColor="text1"/>
          <w:sz w:val="24"/>
          <w:szCs w:val="24"/>
        </w:rPr>
        <w:t>原有项目尾矿浆沉淀池、精矿池、事故池进行防渗处理，防渗要求：等效黏土防渗层Mb≥6m，渗透系数K≤10</w:t>
      </w:r>
      <w:r>
        <w:rPr>
          <w:rFonts w:hint="eastAsia"/>
          <w:color w:val="000000" w:themeColor="text1"/>
          <w:sz w:val="24"/>
          <w:szCs w:val="24"/>
          <w:vertAlign w:val="superscript"/>
        </w:rPr>
        <w:t>-7</w:t>
      </w:r>
      <w:r>
        <w:rPr>
          <w:rFonts w:hint="eastAsia"/>
          <w:color w:val="000000" w:themeColor="text1"/>
          <w:sz w:val="24"/>
          <w:szCs w:val="24"/>
        </w:rPr>
        <w:t>cm/s。</w:t>
      </w:r>
    </w:p>
    <w:p>
      <w:pPr>
        <w:ind w:firstLine="480"/>
        <w:jc w:val="both"/>
        <w:rPr>
          <w:bCs/>
          <w:color w:val="000000" w:themeColor="text1"/>
        </w:rPr>
      </w:pPr>
      <w:r>
        <w:rPr>
          <w:rFonts w:hint="eastAsia"/>
          <w:color w:val="000000" w:themeColor="text1"/>
          <w:szCs w:val="24"/>
        </w:rPr>
        <w:t>10</w:t>
      </w:r>
      <w:r>
        <w:rPr>
          <w:color w:val="000000" w:themeColor="text1"/>
          <w:szCs w:val="24"/>
        </w:rPr>
        <w:t>、严格危险废物的处置，规范建设危废暂存间，</w:t>
      </w:r>
      <w:r>
        <w:rPr>
          <w:bCs/>
          <w:color w:val="000000" w:themeColor="text1"/>
        </w:rPr>
        <w:t>要求：“6.2.1</w:t>
      </w:r>
      <w:r>
        <w:rPr>
          <w:color w:val="000000" w:themeColor="text1"/>
          <w:kern w:val="0"/>
          <w:szCs w:val="24"/>
          <w:shd w:val="clear" w:color="auto" w:fill="FFFFFF"/>
        </w:rPr>
        <w:t>地面与裙脚要用坚固、防渗的材料建造；</w:t>
      </w:r>
      <w:r>
        <w:rPr>
          <w:bCs/>
          <w:color w:val="000000" w:themeColor="text1"/>
        </w:rPr>
        <w:t>6.2.2必须有泄漏液体收集装置；6.2.5应设计堵截泄漏的裙脚，6.3.1</w:t>
      </w:r>
      <w:r>
        <w:rPr>
          <w:color w:val="000000" w:themeColor="text1"/>
          <w:kern w:val="0"/>
          <w:szCs w:val="24"/>
          <w:shd w:val="clear" w:color="auto" w:fill="FFFFFF"/>
        </w:rPr>
        <w:t>基础必须防渗，防渗层为至少1米厚粘土层（渗透系数≤10</w:t>
      </w:r>
      <w:r>
        <w:rPr>
          <w:color w:val="000000" w:themeColor="text1"/>
          <w:kern w:val="0"/>
          <w:szCs w:val="24"/>
          <w:shd w:val="clear" w:color="auto" w:fill="FFFFFF"/>
          <w:vertAlign w:val="superscript"/>
        </w:rPr>
        <w:t>-7</w:t>
      </w:r>
      <w:r>
        <w:rPr>
          <w:color w:val="000000" w:themeColor="text1"/>
          <w:kern w:val="0"/>
          <w:szCs w:val="24"/>
          <w:shd w:val="clear" w:color="auto" w:fill="FFFFFF"/>
        </w:rPr>
        <w:t>厘米/秒），或2毫米厚高密度聚乙烯，或至少2毫米厚的其它人工材料，渗透系数≤10</w:t>
      </w:r>
      <w:r>
        <w:rPr>
          <w:color w:val="000000" w:themeColor="text1"/>
          <w:kern w:val="0"/>
          <w:szCs w:val="24"/>
          <w:shd w:val="clear" w:color="auto" w:fill="FFFFFF"/>
          <w:vertAlign w:val="superscript"/>
        </w:rPr>
        <w:t>-10</w:t>
      </w:r>
      <w:r>
        <w:rPr>
          <w:color w:val="000000" w:themeColor="text1"/>
          <w:kern w:val="0"/>
          <w:szCs w:val="24"/>
          <w:shd w:val="clear" w:color="auto" w:fill="FFFFFF"/>
        </w:rPr>
        <w:t>厘米/秒”</w:t>
      </w:r>
      <w:r>
        <w:rPr>
          <w:bCs/>
          <w:color w:val="000000" w:themeColor="text1"/>
        </w:rPr>
        <w:t>。本次评价要求盛装容器上张贴标识，</w:t>
      </w:r>
      <w:r>
        <w:rPr>
          <w:rFonts w:eastAsiaTheme="minorEastAsia"/>
          <w:color w:val="000000" w:themeColor="text1"/>
        </w:rPr>
        <w:t>并设置围堰、泄漏液体导流沟和收集池。</w:t>
      </w:r>
      <w:r>
        <w:rPr>
          <w:bCs/>
          <w:color w:val="000000" w:themeColor="text1"/>
        </w:rPr>
        <w:t>贮存危险废物不得超过一年。并制定危险废物管理计划，严格执行危废转移联单制度，建立危险废物管理台账，相关台账应保存3年以上，以备相关管理部门检查。</w:t>
      </w:r>
    </w:p>
    <w:p>
      <w:pPr>
        <w:pStyle w:val="2"/>
        <w:ind w:firstLine="480"/>
        <w:rPr>
          <w:color w:val="000000" w:themeColor="text1"/>
          <w:szCs w:val="24"/>
          <w:lang w:eastAsia="zh-CN" w:bidi="ar-SA"/>
        </w:rPr>
      </w:pPr>
      <w:r>
        <w:rPr>
          <w:rFonts w:hint="eastAsia"/>
          <w:color w:val="000000" w:themeColor="text1"/>
          <w:szCs w:val="24"/>
          <w:lang w:eastAsia="zh-CN" w:bidi="ar-SA"/>
        </w:rPr>
        <w:t xml:space="preserve"> </w:t>
      </w:r>
      <w:r>
        <w:rPr>
          <w:rStyle w:val="73"/>
          <w:rFonts w:hint="eastAsia" w:ascii="Times New Roman" w:hAnsi="Times New Roman"/>
          <w:color w:val="000000" w:themeColor="text1"/>
          <w:sz w:val="24"/>
          <w:szCs w:val="24"/>
          <w:lang w:eastAsia="zh-CN" w:bidi="ar-SA"/>
        </w:rPr>
        <w:t>11、目前辣子箐尾矿库剩余库容约4万m</w:t>
      </w:r>
      <w:r>
        <w:rPr>
          <w:rStyle w:val="73"/>
          <w:rFonts w:hint="eastAsia" w:ascii="Times New Roman" w:hAnsi="Times New Roman"/>
          <w:color w:val="000000" w:themeColor="text1"/>
          <w:sz w:val="24"/>
          <w:szCs w:val="24"/>
          <w:vertAlign w:val="superscript"/>
          <w:lang w:eastAsia="zh-CN" w:bidi="ar-SA"/>
        </w:rPr>
        <w:t>3</w:t>
      </w:r>
      <w:r>
        <w:rPr>
          <w:rStyle w:val="73"/>
          <w:rFonts w:hint="eastAsia" w:ascii="Times New Roman" w:hAnsi="Times New Roman"/>
          <w:color w:val="000000" w:themeColor="text1"/>
          <w:sz w:val="24"/>
          <w:szCs w:val="24"/>
          <w:lang w:eastAsia="zh-CN" w:bidi="ar-SA"/>
        </w:rPr>
        <w:t>，可以继续为原有项目服务约1.81年，待库满容后，建设方要规划尾矿的处置去向和相关工程。</w:t>
      </w:r>
    </w:p>
    <w:p>
      <w:pPr>
        <w:pStyle w:val="574"/>
        <w:spacing w:beforeLines="0" w:afterLines="0"/>
        <w:rPr>
          <w:rFonts w:eastAsiaTheme="minorEastAsia"/>
          <w:color w:val="000000" w:themeColor="text1"/>
          <w:sz w:val="30"/>
          <w:szCs w:val="30"/>
        </w:rPr>
      </w:pPr>
      <w:bookmarkStart w:id="533" w:name="_Toc18803"/>
      <w:r>
        <w:rPr>
          <w:rFonts w:eastAsiaTheme="minorEastAsia"/>
          <w:color w:val="000000" w:themeColor="text1"/>
          <w:sz w:val="30"/>
          <w:szCs w:val="30"/>
        </w:rPr>
        <w:t>4.</w:t>
      </w:r>
      <w:r>
        <w:rPr>
          <w:rFonts w:hint="eastAsia" w:eastAsiaTheme="minorEastAsia"/>
          <w:color w:val="000000" w:themeColor="text1"/>
          <w:sz w:val="30"/>
          <w:szCs w:val="30"/>
        </w:rPr>
        <w:t>7</w:t>
      </w:r>
      <w:r>
        <w:rPr>
          <w:rFonts w:eastAsiaTheme="minorEastAsia"/>
          <w:color w:val="000000" w:themeColor="text1"/>
          <w:sz w:val="30"/>
          <w:szCs w:val="30"/>
        </w:rPr>
        <w:t>“三本帐”核算</w:t>
      </w:r>
      <w:bookmarkEnd w:id="533"/>
    </w:p>
    <w:p>
      <w:pPr>
        <w:ind w:firstLine="480"/>
        <w:rPr>
          <w:rFonts w:eastAsiaTheme="minorEastAsia"/>
          <w:color w:val="000000" w:themeColor="text1"/>
        </w:rPr>
      </w:pPr>
      <w:r>
        <w:rPr>
          <w:rFonts w:eastAsiaTheme="minorEastAsia"/>
          <w:color w:val="000000" w:themeColor="text1"/>
        </w:rPr>
        <w:t>项目为技改项目，在现有选矿工序末端增加铁矿再选工艺，提高铁矿的品位，同时对原矿破碎站进行技改，不带磁性原矿用来生产砂石料，</w:t>
      </w:r>
      <w:r>
        <w:rPr>
          <w:color w:val="000000" w:themeColor="text1"/>
        </w:rPr>
        <w:t>提高选矿车间入选原矿的品位，减小选矿车间原矿处理量、减小尾矿量和选矿用水量、选矿水处理量，</w:t>
      </w:r>
      <w:r>
        <w:rPr>
          <w:rFonts w:eastAsiaTheme="minorEastAsia"/>
          <w:color w:val="000000" w:themeColor="text1"/>
        </w:rPr>
        <w:t>选矿废水处理之后全部回用不外排，</w:t>
      </w:r>
      <w:r>
        <w:rPr>
          <w:rFonts w:hint="eastAsia" w:eastAsiaTheme="minorEastAsia"/>
          <w:color w:val="000000" w:themeColor="text1"/>
          <w:lang w:val="en-US" w:eastAsia="zh-CN"/>
        </w:rPr>
        <w:t>尾矿废水随尾矿携带进入依托的浓密池，</w:t>
      </w:r>
      <w:r>
        <w:rPr>
          <w:rFonts w:eastAsiaTheme="minorEastAsia"/>
          <w:color w:val="000000" w:themeColor="text1"/>
        </w:rPr>
        <w:t>生活污水通过以老带新增加一体化生化处理设施处理后存于</w:t>
      </w:r>
      <w:r>
        <w:rPr>
          <w:rFonts w:hint="eastAsia" w:eastAsiaTheme="minorEastAsia"/>
          <w:color w:val="000000" w:themeColor="text1"/>
        </w:rPr>
        <w:t>收集池</w:t>
      </w:r>
      <w:r>
        <w:rPr>
          <w:rFonts w:eastAsiaTheme="minorEastAsia"/>
          <w:color w:val="000000" w:themeColor="text1"/>
        </w:rPr>
        <w:t>当中，晴天用于</w:t>
      </w:r>
      <w:r>
        <w:rPr>
          <w:rFonts w:hint="eastAsia" w:eastAsiaTheme="minorEastAsia"/>
          <w:color w:val="000000" w:themeColor="text1"/>
        </w:rPr>
        <w:t>厂区绿</w:t>
      </w:r>
      <w:r>
        <w:rPr>
          <w:rFonts w:eastAsiaTheme="minorEastAsia"/>
          <w:color w:val="000000" w:themeColor="text1"/>
        </w:rPr>
        <w:t>化。技改前后污染变化情况见表4.</w:t>
      </w:r>
      <w:r>
        <w:rPr>
          <w:rFonts w:hint="eastAsia" w:eastAsiaTheme="minorEastAsia"/>
          <w:color w:val="000000" w:themeColor="text1"/>
        </w:rPr>
        <w:t>7</w:t>
      </w:r>
      <w:r>
        <w:rPr>
          <w:rFonts w:eastAsiaTheme="minorEastAsia"/>
          <w:color w:val="000000" w:themeColor="text1"/>
        </w:rPr>
        <w:t>-1。</w:t>
      </w:r>
    </w:p>
    <w:p>
      <w:pPr>
        <w:pStyle w:val="637"/>
        <w:rPr>
          <w:rFonts w:ascii="Times New Roman" w:hAnsi="Times New Roman" w:cs="Times New Roman" w:eastAsiaTheme="minorEastAsia"/>
          <w:color w:val="000000" w:themeColor="text1"/>
          <w:sz w:val="21"/>
          <w:szCs w:val="21"/>
        </w:rPr>
      </w:pPr>
      <w:bookmarkStart w:id="534" w:name="_Toc258499023"/>
      <w:bookmarkStart w:id="535" w:name="_Toc465156864"/>
      <w:r>
        <w:rPr>
          <w:rFonts w:ascii="Times New Roman" w:hAnsi="Times New Roman" w:cs="Times New Roman" w:eastAsiaTheme="minorEastAsia"/>
          <w:color w:val="000000" w:themeColor="text1"/>
          <w:sz w:val="21"/>
          <w:szCs w:val="21"/>
        </w:rPr>
        <w:t>表4.</w:t>
      </w:r>
      <w:r>
        <w:rPr>
          <w:rFonts w:hint="eastAsia" w:ascii="Times New Roman" w:hAnsi="Times New Roman" w:cs="Times New Roman" w:eastAsiaTheme="minorEastAsia"/>
          <w:color w:val="000000" w:themeColor="text1"/>
          <w:sz w:val="21"/>
          <w:szCs w:val="21"/>
        </w:rPr>
        <w:t>7</w:t>
      </w:r>
      <w:r>
        <w:rPr>
          <w:rFonts w:ascii="Times New Roman" w:hAnsi="Times New Roman" w:cs="Times New Roman" w:eastAsiaTheme="minorEastAsia"/>
          <w:color w:val="000000" w:themeColor="text1"/>
          <w:sz w:val="21"/>
          <w:szCs w:val="21"/>
        </w:rPr>
        <w:t>-1项目技改前后主要污染物排放量变化情况</w:t>
      </w:r>
      <w:bookmarkEnd w:id="534"/>
    </w:p>
    <w:tbl>
      <w:tblPr>
        <w:tblStyle w:val="61"/>
        <w:tblW w:w="977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5"/>
        <w:gridCol w:w="1860"/>
        <w:gridCol w:w="1365"/>
        <w:gridCol w:w="1410"/>
        <w:gridCol w:w="1425"/>
        <w:gridCol w:w="1353"/>
        <w:gridCol w:w="1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02" w:hRule="atLeast"/>
          <w:jc w:val="center"/>
        </w:trPr>
        <w:tc>
          <w:tcPr>
            <w:tcW w:w="2955" w:type="dxa"/>
            <w:gridSpan w:val="2"/>
            <w:vAlign w:val="center"/>
          </w:tcPr>
          <w:p>
            <w:pPr>
              <w:spacing w:line="240" w:lineRule="auto"/>
              <w:ind w:firstLine="0" w:firstLineChars="0"/>
              <w:jc w:val="center"/>
              <w:rPr>
                <w:color w:val="000000" w:themeColor="text1"/>
                <w:sz w:val="21"/>
                <w:szCs w:val="21"/>
              </w:rPr>
            </w:pPr>
            <w:r>
              <w:rPr>
                <w:color w:val="000000" w:themeColor="text1"/>
                <w:sz w:val="21"/>
                <w:szCs w:val="21"/>
              </w:rPr>
              <w:t>污染物</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原有项目</w:t>
            </w:r>
            <w:r>
              <w:rPr>
                <w:color w:val="000000" w:themeColor="text1"/>
                <w:sz w:val="21"/>
                <w:szCs w:val="21"/>
              </w:rPr>
              <w:t>排放量（t/a）</w:t>
            </w:r>
            <w:r>
              <w:rPr>
                <w:rFonts w:hint="eastAsia"/>
                <w:color w:val="000000" w:themeColor="text1"/>
                <w:sz w:val="21"/>
                <w:szCs w:val="21"/>
              </w:rPr>
              <w:t>（废水、固废产生量）</w:t>
            </w:r>
          </w:p>
        </w:tc>
        <w:tc>
          <w:tcPr>
            <w:tcW w:w="14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技改项目</w:t>
            </w:r>
            <w:r>
              <w:rPr>
                <w:color w:val="000000" w:themeColor="text1"/>
                <w:sz w:val="21"/>
                <w:szCs w:val="21"/>
              </w:rPr>
              <w:t>排放量(t/a)</w:t>
            </w:r>
            <w:r>
              <w:rPr>
                <w:rFonts w:hint="eastAsia"/>
                <w:color w:val="000000" w:themeColor="text1"/>
                <w:sz w:val="21"/>
                <w:szCs w:val="21"/>
              </w:rPr>
              <w:t>（废水、固废产生量）</w:t>
            </w:r>
          </w:p>
        </w:tc>
        <w:tc>
          <w:tcPr>
            <w:tcW w:w="1425" w:type="dxa"/>
            <w:vAlign w:val="center"/>
          </w:tcPr>
          <w:p>
            <w:pPr>
              <w:spacing w:line="240" w:lineRule="auto"/>
              <w:ind w:firstLine="0" w:firstLineChars="0"/>
              <w:jc w:val="center"/>
              <w:rPr>
                <w:color w:val="000000" w:themeColor="text1"/>
                <w:sz w:val="21"/>
                <w:szCs w:val="21"/>
              </w:rPr>
            </w:pPr>
            <w:r>
              <w:rPr>
                <w:color w:val="000000" w:themeColor="text1"/>
                <w:sz w:val="21"/>
                <w:szCs w:val="21"/>
              </w:rPr>
              <w:t>“以新带老”削减量(t/a)</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技改后全厂项目</w:t>
            </w:r>
            <w:r>
              <w:rPr>
                <w:color w:val="000000" w:themeColor="text1"/>
                <w:sz w:val="21"/>
                <w:szCs w:val="21"/>
              </w:rPr>
              <w:t>排放量(t/a)</w:t>
            </w:r>
            <w:r>
              <w:rPr>
                <w:rFonts w:hint="eastAsia"/>
                <w:color w:val="000000" w:themeColor="text1"/>
                <w:sz w:val="21"/>
                <w:szCs w:val="21"/>
              </w:rPr>
              <w:t>（废水、固废产生量）</w:t>
            </w:r>
          </w:p>
        </w:tc>
        <w:tc>
          <w:tcPr>
            <w:tcW w:w="1271" w:type="dxa"/>
            <w:vAlign w:val="center"/>
          </w:tcPr>
          <w:p>
            <w:pPr>
              <w:spacing w:line="240" w:lineRule="auto"/>
              <w:ind w:firstLine="0" w:firstLineChars="0"/>
              <w:jc w:val="center"/>
              <w:rPr>
                <w:color w:val="000000" w:themeColor="text1"/>
                <w:sz w:val="21"/>
                <w:szCs w:val="21"/>
              </w:rPr>
            </w:pPr>
            <w:r>
              <w:rPr>
                <w:color w:val="000000" w:themeColor="text1"/>
                <w:sz w:val="21"/>
                <w:szCs w:val="21"/>
              </w:rPr>
              <w:t>排放增减量(t/a)</w:t>
            </w:r>
            <w:r>
              <w:rPr>
                <w:rFonts w:hint="eastAsia"/>
                <w:color w:val="000000" w:themeColor="text1"/>
                <w:sz w:val="21"/>
                <w:szCs w:val="21"/>
              </w:rPr>
              <w:t>（废水、固废产生量）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9" w:hRule="exact"/>
          <w:jc w:val="center"/>
        </w:trPr>
        <w:tc>
          <w:tcPr>
            <w:tcW w:w="1095"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生活污水</w:t>
            </w:r>
          </w:p>
        </w:tc>
        <w:tc>
          <w:tcPr>
            <w:tcW w:w="1860" w:type="dxa"/>
            <w:vAlign w:val="center"/>
          </w:tcPr>
          <w:p>
            <w:pPr>
              <w:spacing w:line="240" w:lineRule="auto"/>
              <w:ind w:firstLine="0" w:firstLineChars="0"/>
              <w:jc w:val="center"/>
              <w:rPr>
                <w:color w:val="000000" w:themeColor="text1"/>
                <w:sz w:val="21"/>
                <w:szCs w:val="21"/>
              </w:rPr>
            </w:pPr>
            <w:r>
              <w:rPr>
                <w:color w:val="000000" w:themeColor="text1"/>
                <w:sz w:val="21"/>
                <w:szCs w:val="21"/>
              </w:rPr>
              <w:t>污水量</w:t>
            </w:r>
            <w:r>
              <w:rPr>
                <w:rFonts w:hint="eastAsia"/>
                <w:color w:val="000000" w:themeColor="text1"/>
                <w:sz w:val="21"/>
                <w:szCs w:val="21"/>
              </w:rPr>
              <w:t>（万m</w:t>
            </w:r>
            <w:r>
              <w:rPr>
                <w:rFonts w:hint="eastAsia"/>
                <w:color w:val="000000" w:themeColor="text1"/>
                <w:sz w:val="21"/>
                <w:szCs w:val="21"/>
                <w:vertAlign w:val="superscript"/>
              </w:rPr>
              <w:t>3</w:t>
            </w:r>
            <w:r>
              <w:rPr>
                <w:rFonts w:hint="eastAsia"/>
                <w:color w:val="000000" w:themeColor="text1"/>
                <w:sz w:val="21"/>
                <w:szCs w:val="21"/>
              </w:rPr>
              <w:t>/a）</w:t>
            </w:r>
          </w:p>
        </w:tc>
        <w:tc>
          <w:tcPr>
            <w:tcW w:w="1365"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kern w:val="0"/>
                <w:sz w:val="21"/>
                <w:szCs w:val="21"/>
              </w:rPr>
              <w:t>1632</w:t>
            </w:r>
          </w:p>
        </w:tc>
        <w:tc>
          <w:tcPr>
            <w:tcW w:w="1410"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kern w:val="0"/>
                <w:sz w:val="21"/>
                <w:szCs w:val="21"/>
              </w:rPr>
              <w:t>96</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353"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kern w:val="0"/>
                <w:sz w:val="21"/>
                <w:szCs w:val="21"/>
              </w:rPr>
              <w:t>1728</w:t>
            </w:r>
          </w:p>
        </w:tc>
        <w:tc>
          <w:tcPr>
            <w:tcW w:w="1271"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kern w:val="0"/>
                <w:sz w:val="21"/>
                <w:szCs w:val="21"/>
              </w:rPr>
              <w:t>+96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pStyle w:val="126"/>
              <w:rPr>
                <w:rFonts w:eastAsiaTheme="minorEastAsia"/>
                <w:color w:val="000000" w:themeColor="text1"/>
              </w:rPr>
            </w:pPr>
            <w:r>
              <w:rPr>
                <w:rFonts w:eastAsiaTheme="minorEastAsia"/>
                <w:color w:val="000000" w:themeColor="text1"/>
              </w:rPr>
              <w:t>SS</w:t>
            </w:r>
          </w:p>
        </w:tc>
        <w:tc>
          <w:tcPr>
            <w:tcW w:w="1365" w:type="dxa"/>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0.53</w:t>
            </w:r>
          </w:p>
        </w:tc>
        <w:tc>
          <w:tcPr>
            <w:tcW w:w="1410"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0.031</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353" w:type="dxa"/>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0.562</w:t>
            </w:r>
          </w:p>
        </w:tc>
        <w:tc>
          <w:tcPr>
            <w:tcW w:w="1271"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r>
              <w:rPr>
                <w:rFonts w:eastAsiaTheme="minorEastAsia"/>
                <w:color w:val="000000" w:themeColor="text1"/>
                <w:sz w:val="21"/>
                <w:szCs w:val="21"/>
              </w:rPr>
              <w:t>0.0</w:t>
            </w:r>
            <w:r>
              <w:rPr>
                <w:rFonts w:hint="eastAsia" w:eastAsiaTheme="minorEastAsia"/>
                <w:color w:val="000000" w:themeColor="text1"/>
                <w:sz w:val="21"/>
                <w:szCs w:val="21"/>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pStyle w:val="126"/>
              <w:rPr>
                <w:rFonts w:eastAsiaTheme="minorEastAsia"/>
                <w:color w:val="000000" w:themeColor="text1"/>
                <w:lang w:eastAsia="zh-CN"/>
              </w:rPr>
            </w:pPr>
            <w:r>
              <w:rPr>
                <w:rFonts w:eastAsiaTheme="minorEastAsia"/>
                <w:color w:val="000000" w:themeColor="text1"/>
              </w:rPr>
              <w:t>COD</w:t>
            </w:r>
            <w:r>
              <w:rPr>
                <w:rFonts w:eastAsiaTheme="minorEastAsia"/>
                <w:color w:val="000000" w:themeColor="text1"/>
                <w:vertAlign w:val="subscript"/>
              </w:rPr>
              <w:t>Cr</w:t>
            </w:r>
          </w:p>
        </w:tc>
        <w:tc>
          <w:tcPr>
            <w:tcW w:w="1365" w:type="dxa"/>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0.46</w:t>
            </w:r>
          </w:p>
        </w:tc>
        <w:tc>
          <w:tcPr>
            <w:tcW w:w="1410"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0.027</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353" w:type="dxa"/>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0.484</w:t>
            </w:r>
          </w:p>
        </w:tc>
        <w:tc>
          <w:tcPr>
            <w:tcW w:w="1271"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r>
              <w:rPr>
                <w:rFonts w:eastAsiaTheme="minorEastAsia"/>
                <w:color w:val="000000" w:themeColor="text1"/>
                <w:sz w:val="21"/>
                <w:szCs w:val="21"/>
              </w:rPr>
              <w:t>0.0</w:t>
            </w:r>
            <w:r>
              <w:rPr>
                <w:rFonts w:hint="eastAsia" w:eastAsiaTheme="minorEastAsia"/>
                <w:color w:val="000000" w:themeColor="text1"/>
                <w:sz w:val="21"/>
                <w:szCs w:val="21"/>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pStyle w:val="126"/>
              <w:rPr>
                <w:rFonts w:eastAsiaTheme="minorEastAsia"/>
                <w:color w:val="000000" w:themeColor="text1"/>
              </w:rPr>
            </w:pPr>
            <w:r>
              <w:rPr>
                <w:rFonts w:eastAsiaTheme="minorEastAsia"/>
                <w:color w:val="000000" w:themeColor="text1"/>
              </w:rPr>
              <w:t>BOD</w:t>
            </w:r>
            <w:r>
              <w:rPr>
                <w:rFonts w:eastAsiaTheme="minorEastAsia"/>
                <w:color w:val="000000" w:themeColor="text1"/>
                <w:vertAlign w:val="subscript"/>
              </w:rPr>
              <w:t>5</w:t>
            </w:r>
          </w:p>
        </w:tc>
        <w:tc>
          <w:tcPr>
            <w:tcW w:w="1365" w:type="dxa"/>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0.21</w:t>
            </w:r>
          </w:p>
        </w:tc>
        <w:tc>
          <w:tcPr>
            <w:tcW w:w="1410"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0.012</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353" w:type="dxa"/>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0.225</w:t>
            </w:r>
          </w:p>
        </w:tc>
        <w:tc>
          <w:tcPr>
            <w:tcW w:w="1271"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r>
              <w:rPr>
                <w:rFonts w:eastAsiaTheme="minorEastAsia"/>
                <w:color w:val="000000" w:themeColor="text1"/>
                <w:sz w:val="21"/>
                <w:szCs w:val="21"/>
              </w:rPr>
              <w:t>0.01</w:t>
            </w:r>
            <w:r>
              <w:rPr>
                <w:rFonts w:hint="eastAsia" w:eastAsiaTheme="minorEastAsia"/>
                <w:color w:val="000000" w:themeColor="text1"/>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pStyle w:val="126"/>
              <w:rPr>
                <w:rFonts w:eastAsiaTheme="minorEastAsia"/>
                <w:color w:val="000000" w:themeColor="text1"/>
              </w:rPr>
            </w:pPr>
            <w:r>
              <w:rPr>
                <w:rFonts w:eastAsiaTheme="minorEastAsia"/>
                <w:color w:val="000000" w:themeColor="text1"/>
              </w:rPr>
              <w:t>氨氮</w:t>
            </w:r>
          </w:p>
        </w:tc>
        <w:tc>
          <w:tcPr>
            <w:tcW w:w="1365" w:type="dxa"/>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0.049</w:t>
            </w:r>
          </w:p>
        </w:tc>
        <w:tc>
          <w:tcPr>
            <w:tcW w:w="1410" w:type="dxa"/>
            <w:vAlign w:val="center"/>
          </w:tcPr>
          <w:p>
            <w:pPr>
              <w:widowControl/>
              <w:spacing w:line="240" w:lineRule="auto"/>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0.003</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353" w:type="dxa"/>
            <w:vAlign w:val="center"/>
          </w:tcPr>
          <w:p>
            <w:pPr>
              <w:widowControl/>
              <w:ind w:firstLine="0" w:firstLineChars="0"/>
              <w:jc w:val="center"/>
              <w:textAlignment w:val="bottom"/>
              <w:rPr>
                <w:rFonts w:eastAsiaTheme="minorEastAsia"/>
                <w:color w:val="000000" w:themeColor="text1"/>
                <w:sz w:val="21"/>
                <w:szCs w:val="21"/>
              </w:rPr>
            </w:pPr>
            <w:r>
              <w:rPr>
                <w:rFonts w:hint="eastAsia" w:eastAsiaTheme="minorEastAsia"/>
                <w:color w:val="000000" w:themeColor="text1"/>
                <w:sz w:val="21"/>
                <w:szCs w:val="21"/>
              </w:rPr>
              <w:t>0.052</w:t>
            </w:r>
          </w:p>
        </w:tc>
        <w:tc>
          <w:tcPr>
            <w:tcW w:w="1271"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sz w:val="21"/>
                <w:szCs w:val="21"/>
              </w:rPr>
              <w:t>+</w:t>
            </w:r>
            <w:r>
              <w:rPr>
                <w:rFonts w:eastAsiaTheme="minorEastAsia"/>
                <w:color w:val="000000" w:themeColor="text1"/>
                <w:sz w:val="21"/>
                <w:szCs w:val="21"/>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9" w:hRule="exact"/>
          <w:jc w:val="center"/>
        </w:trPr>
        <w:tc>
          <w:tcPr>
            <w:tcW w:w="1095"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生产废水</w:t>
            </w:r>
          </w:p>
        </w:tc>
        <w:tc>
          <w:tcPr>
            <w:tcW w:w="1860" w:type="dxa"/>
            <w:vAlign w:val="center"/>
          </w:tcPr>
          <w:p>
            <w:pPr>
              <w:spacing w:line="240" w:lineRule="auto"/>
              <w:ind w:firstLine="0" w:firstLineChars="0"/>
              <w:jc w:val="center"/>
              <w:rPr>
                <w:color w:val="000000" w:themeColor="text1"/>
                <w:sz w:val="21"/>
                <w:szCs w:val="21"/>
              </w:rPr>
            </w:pPr>
            <w:r>
              <w:rPr>
                <w:color w:val="000000" w:themeColor="text1"/>
                <w:sz w:val="21"/>
                <w:szCs w:val="21"/>
              </w:rPr>
              <w:t>洗</w:t>
            </w:r>
            <w:r>
              <w:rPr>
                <w:rFonts w:hint="eastAsia"/>
                <w:color w:val="000000" w:themeColor="text1"/>
                <w:sz w:val="21"/>
                <w:szCs w:val="21"/>
              </w:rPr>
              <w:t>砂</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4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2772</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2772</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+2772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4"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spacing w:line="240" w:lineRule="auto"/>
              <w:ind w:firstLine="0" w:firstLineChars="0"/>
              <w:jc w:val="center"/>
              <w:rPr>
                <w:color w:val="000000" w:themeColor="text1"/>
                <w:sz w:val="21"/>
                <w:szCs w:val="21"/>
              </w:rPr>
            </w:pPr>
            <w:r>
              <w:rPr>
                <w:color w:val="000000" w:themeColor="text1"/>
                <w:sz w:val="21"/>
                <w:szCs w:val="21"/>
              </w:rPr>
              <w:t>陶瓷过滤机清洗</w:t>
            </w:r>
            <w:r>
              <w:rPr>
                <w:rFonts w:hint="eastAsia"/>
                <w:color w:val="000000" w:themeColor="text1"/>
                <w:sz w:val="21"/>
                <w:szCs w:val="21"/>
              </w:rPr>
              <w:t>废水</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4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24</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24</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spacing w:line="240" w:lineRule="auto"/>
              <w:ind w:firstLine="0" w:firstLineChars="0"/>
              <w:jc w:val="center"/>
              <w:rPr>
                <w:color w:val="000000" w:themeColor="text1"/>
                <w:sz w:val="21"/>
                <w:szCs w:val="21"/>
              </w:rPr>
            </w:pPr>
            <w:r>
              <w:rPr>
                <w:color w:val="000000" w:themeColor="text1"/>
                <w:sz w:val="21"/>
                <w:szCs w:val="21"/>
              </w:rPr>
              <w:t>陶瓷过滤机脱水</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4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91740</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91740</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+91740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spacing w:line="240" w:lineRule="auto"/>
              <w:ind w:firstLine="0" w:firstLineChars="0"/>
              <w:jc w:val="center"/>
              <w:rPr>
                <w:rFonts w:hint="eastAsia" w:eastAsia="宋体"/>
                <w:color w:val="000000" w:themeColor="text1"/>
                <w:sz w:val="21"/>
                <w:szCs w:val="21"/>
                <w:lang w:eastAsia="zh-CN"/>
              </w:rPr>
            </w:pPr>
            <w:r>
              <w:rPr>
                <w:color w:val="000000" w:themeColor="text1"/>
                <w:sz w:val="21"/>
                <w:szCs w:val="21"/>
              </w:rPr>
              <w:t>选矿</w:t>
            </w:r>
            <w:r>
              <w:rPr>
                <w:rFonts w:hint="eastAsia"/>
                <w:color w:val="000000" w:themeColor="text1"/>
                <w:sz w:val="21"/>
                <w:szCs w:val="21"/>
              </w:rPr>
              <w:t>废水</w:t>
            </w:r>
            <w:r>
              <w:rPr>
                <w:rFonts w:hint="eastAsia"/>
                <w:color w:val="000000" w:themeColor="text1"/>
                <w:sz w:val="21"/>
                <w:szCs w:val="21"/>
                <w:lang w:eastAsia="zh-CN"/>
              </w:rPr>
              <w:t>（</w:t>
            </w:r>
            <w:r>
              <w:rPr>
                <w:rFonts w:hint="eastAsia"/>
                <w:color w:val="000000" w:themeColor="text1"/>
                <w:sz w:val="21"/>
                <w:szCs w:val="21"/>
                <w:lang w:val="en-US" w:eastAsia="zh-CN"/>
              </w:rPr>
              <w:t>进入尾矿沉淀池的量</w:t>
            </w:r>
            <w:r>
              <w:rPr>
                <w:rFonts w:hint="eastAsia"/>
                <w:color w:val="000000" w:themeColor="text1"/>
                <w:sz w:val="21"/>
                <w:szCs w:val="21"/>
                <w:lang w:eastAsia="zh-CN"/>
              </w:rPr>
              <w:t>）</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415540</w:t>
            </w:r>
          </w:p>
        </w:tc>
        <w:tc>
          <w:tcPr>
            <w:tcW w:w="1410" w:type="dxa"/>
            <w:vAlign w:val="center"/>
          </w:tcPr>
          <w:p>
            <w:pPr>
              <w:spacing w:line="240" w:lineRule="auto"/>
              <w:ind w:firstLine="0" w:firstLineChars="0"/>
              <w:jc w:val="center"/>
              <w:rPr>
                <w:rFonts w:hint="default" w:eastAsia="宋体"/>
                <w:color w:val="000000" w:themeColor="text1"/>
                <w:sz w:val="21"/>
                <w:szCs w:val="21"/>
                <w:lang w:val="en-US" w:eastAsia="zh-CN"/>
              </w:rPr>
            </w:pPr>
            <w:r>
              <w:rPr>
                <w:rFonts w:hint="eastAsia"/>
                <w:color w:val="000000" w:themeColor="text1"/>
                <w:sz w:val="21"/>
                <w:szCs w:val="21"/>
                <w:lang w:val="en-US" w:eastAsia="zh-CN"/>
              </w:rPr>
              <w:t>91914</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353" w:type="dxa"/>
            <w:vAlign w:val="center"/>
          </w:tcPr>
          <w:p>
            <w:pPr>
              <w:spacing w:line="240" w:lineRule="auto"/>
              <w:ind w:firstLine="0" w:firstLineChars="0"/>
              <w:jc w:val="center"/>
              <w:rPr>
                <w:rFonts w:hint="default" w:eastAsia="宋体"/>
                <w:color w:val="000000" w:themeColor="text1"/>
                <w:sz w:val="21"/>
                <w:szCs w:val="21"/>
                <w:lang w:val="en-US" w:eastAsia="zh-CN"/>
              </w:rPr>
            </w:pPr>
            <w:r>
              <w:rPr>
                <w:rFonts w:hint="eastAsia"/>
                <w:color w:val="000000" w:themeColor="text1"/>
                <w:sz w:val="21"/>
                <w:szCs w:val="21"/>
                <w:lang w:val="en-US" w:eastAsia="zh-CN"/>
              </w:rPr>
              <w:t>282349.5</w:t>
            </w:r>
          </w:p>
        </w:tc>
        <w:tc>
          <w:tcPr>
            <w:tcW w:w="1271" w:type="dxa"/>
            <w:vAlign w:val="center"/>
          </w:tcPr>
          <w:p>
            <w:pPr>
              <w:spacing w:line="240" w:lineRule="auto"/>
              <w:ind w:firstLine="0" w:firstLineChars="0"/>
              <w:jc w:val="center"/>
              <w:rPr>
                <w:rFonts w:hint="default" w:eastAsia="宋体"/>
                <w:color w:val="000000" w:themeColor="text1"/>
                <w:sz w:val="21"/>
                <w:szCs w:val="21"/>
                <w:lang w:val="en-US" w:eastAsia="zh-CN"/>
              </w:rPr>
            </w:pPr>
            <w:r>
              <w:rPr>
                <w:rFonts w:hint="eastAsia"/>
                <w:color w:val="000000" w:themeColor="text1"/>
                <w:sz w:val="21"/>
                <w:szCs w:val="21"/>
              </w:rPr>
              <w:t>-</w:t>
            </w:r>
            <w:r>
              <w:rPr>
                <w:rFonts w:hint="eastAsia"/>
                <w:color w:val="000000" w:themeColor="text1"/>
                <w:sz w:val="21"/>
                <w:szCs w:val="21"/>
                <w:lang w:val="en-US" w:eastAsia="zh-CN"/>
              </w:rPr>
              <w:t>133190.5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spacing w:line="240" w:lineRule="auto"/>
              <w:ind w:firstLine="0" w:firstLineChars="0"/>
              <w:jc w:val="center"/>
              <w:rPr>
                <w:color w:val="000000" w:themeColor="text1"/>
                <w:sz w:val="21"/>
                <w:szCs w:val="21"/>
              </w:rPr>
            </w:pPr>
            <w:r>
              <w:rPr>
                <w:bCs/>
                <w:color w:val="000000" w:themeColor="text1"/>
                <w:sz w:val="21"/>
                <w:szCs w:val="21"/>
              </w:rPr>
              <w:t>实验及机修</w:t>
            </w:r>
            <w:r>
              <w:rPr>
                <w:rFonts w:hint="eastAsia"/>
                <w:bCs/>
                <w:color w:val="000000" w:themeColor="text1"/>
                <w:sz w:val="21"/>
                <w:szCs w:val="21"/>
              </w:rPr>
              <w:t>废水</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150</w:t>
            </w:r>
          </w:p>
        </w:tc>
        <w:tc>
          <w:tcPr>
            <w:tcW w:w="14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150</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300</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spacing w:line="240" w:lineRule="auto"/>
              <w:ind w:firstLine="0" w:firstLineChars="0"/>
              <w:jc w:val="center"/>
              <w:rPr>
                <w:color w:val="000000" w:themeColor="text1"/>
                <w:sz w:val="21"/>
                <w:szCs w:val="21"/>
              </w:rPr>
            </w:pPr>
            <w:r>
              <w:rPr>
                <w:color w:val="000000" w:themeColor="text1"/>
                <w:sz w:val="21"/>
                <w:szCs w:val="21"/>
              </w:rPr>
              <w:t>初期雨水</w:t>
            </w:r>
          </w:p>
        </w:tc>
        <w:tc>
          <w:tcPr>
            <w:tcW w:w="1365" w:type="dxa"/>
            <w:vAlign w:val="center"/>
          </w:tcPr>
          <w:p>
            <w:pPr>
              <w:spacing w:line="240" w:lineRule="auto"/>
              <w:ind w:firstLine="0" w:firstLineChars="0"/>
              <w:jc w:val="center"/>
              <w:rPr>
                <w:rFonts w:hint="default" w:eastAsia="宋体"/>
                <w:color w:val="000000" w:themeColor="text1"/>
                <w:sz w:val="21"/>
                <w:szCs w:val="21"/>
                <w:lang w:val="en-US" w:eastAsia="zh-CN"/>
              </w:rPr>
            </w:pPr>
            <w:r>
              <w:rPr>
                <w:rFonts w:hint="eastAsia"/>
                <w:color w:val="000000" w:themeColor="text1"/>
                <w:sz w:val="21"/>
                <w:szCs w:val="21"/>
                <w:lang w:val="en-US" w:eastAsia="zh-CN"/>
              </w:rPr>
              <w:t>137.29</w:t>
            </w:r>
            <w:r>
              <w:rPr>
                <w:rFonts w:hint="eastAsia"/>
                <w:color w:val="000000" w:themeColor="text1"/>
                <w:sz w:val="21"/>
                <w:szCs w:val="21"/>
              </w:rPr>
              <w:t>m</w:t>
            </w:r>
            <w:r>
              <w:rPr>
                <w:rFonts w:hint="eastAsia"/>
                <w:color w:val="000000" w:themeColor="text1"/>
                <w:sz w:val="21"/>
                <w:szCs w:val="21"/>
                <w:vertAlign w:val="superscript"/>
              </w:rPr>
              <w:t>3</w:t>
            </w:r>
            <w:r>
              <w:rPr>
                <w:rFonts w:hint="eastAsia"/>
                <w:color w:val="000000" w:themeColor="text1"/>
                <w:sz w:val="21"/>
                <w:szCs w:val="21"/>
              </w:rPr>
              <w:t>/次</w:t>
            </w:r>
          </w:p>
        </w:tc>
        <w:tc>
          <w:tcPr>
            <w:tcW w:w="1410" w:type="dxa"/>
            <w:vAlign w:val="center"/>
          </w:tcPr>
          <w:p>
            <w:pPr>
              <w:spacing w:line="240" w:lineRule="auto"/>
              <w:ind w:firstLine="0" w:firstLineChars="0"/>
              <w:jc w:val="center"/>
              <w:rPr>
                <w:color w:val="000000" w:themeColor="text1"/>
                <w:sz w:val="21"/>
                <w:szCs w:val="21"/>
              </w:rPr>
            </w:pPr>
            <w:r>
              <w:rPr>
                <w:color w:val="000000" w:themeColor="text1"/>
                <w:sz w:val="21"/>
                <w:szCs w:val="21"/>
              </w:rPr>
              <w:t>178.85</w:t>
            </w:r>
            <w:r>
              <w:rPr>
                <w:rFonts w:hint="eastAsia"/>
                <w:color w:val="000000" w:themeColor="text1"/>
                <w:sz w:val="21"/>
                <w:szCs w:val="21"/>
              </w:rPr>
              <w:t>m</w:t>
            </w:r>
            <w:r>
              <w:rPr>
                <w:rFonts w:hint="eastAsia"/>
                <w:color w:val="000000" w:themeColor="text1"/>
                <w:sz w:val="21"/>
                <w:szCs w:val="21"/>
                <w:vertAlign w:val="superscript"/>
              </w:rPr>
              <w:t>3</w:t>
            </w:r>
            <w:r>
              <w:rPr>
                <w:rFonts w:hint="eastAsia"/>
                <w:color w:val="000000" w:themeColor="text1"/>
                <w:sz w:val="21"/>
                <w:szCs w:val="21"/>
              </w:rPr>
              <w:t>/次</w:t>
            </w:r>
          </w:p>
        </w:tc>
        <w:tc>
          <w:tcPr>
            <w:tcW w:w="1425" w:type="dxa"/>
            <w:vAlign w:val="center"/>
          </w:tcPr>
          <w:p>
            <w:pPr>
              <w:spacing w:line="240" w:lineRule="auto"/>
              <w:ind w:firstLine="0" w:firstLineChars="0"/>
              <w:jc w:val="center"/>
              <w:rPr>
                <w:rFonts w:hint="default" w:eastAsia="宋体"/>
                <w:color w:val="000000" w:themeColor="text1"/>
                <w:sz w:val="21"/>
                <w:szCs w:val="21"/>
                <w:lang w:val="en-US" w:eastAsia="zh-CN"/>
              </w:rPr>
            </w:pPr>
            <w:r>
              <w:rPr>
                <w:rFonts w:hint="eastAsia"/>
                <w:color w:val="000000" w:themeColor="text1"/>
                <w:sz w:val="21"/>
                <w:szCs w:val="21"/>
                <w:lang w:val="en-US" w:eastAsia="zh-CN"/>
              </w:rPr>
              <w:t>137.29</w:t>
            </w:r>
            <w:r>
              <w:rPr>
                <w:rFonts w:hint="eastAsia"/>
                <w:color w:val="000000" w:themeColor="text1"/>
                <w:sz w:val="21"/>
                <w:szCs w:val="21"/>
              </w:rPr>
              <w:t>m</w:t>
            </w:r>
            <w:r>
              <w:rPr>
                <w:rFonts w:hint="eastAsia"/>
                <w:color w:val="000000" w:themeColor="text1"/>
                <w:sz w:val="21"/>
                <w:szCs w:val="21"/>
                <w:vertAlign w:val="superscript"/>
              </w:rPr>
              <w:t>3</w:t>
            </w:r>
            <w:r>
              <w:rPr>
                <w:rFonts w:hint="eastAsia"/>
                <w:color w:val="000000" w:themeColor="text1"/>
                <w:sz w:val="21"/>
                <w:szCs w:val="21"/>
              </w:rPr>
              <w:t>/次</w:t>
            </w:r>
          </w:p>
        </w:tc>
        <w:tc>
          <w:tcPr>
            <w:tcW w:w="1353" w:type="dxa"/>
            <w:vAlign w:val="center"/>
          </w:tcPr>
          <w:p>
            <w:pPr>
              <w:spacing w:line="240" w:lineRule="auto"/>
              <w:ind w:firstLine="0" w:firstLineChars="0"/>
              <w:jc w:val="center"/>
              <w:rPr>
                <w:color w:val="000000" w:themeColor="text1"/>
                <w:sz w:val="21"/>
                <w:szCs w:val="21"/>
              </w:rPr>
            </w:pPr>
            <w:r>
              <w:rPr>
                <w:color w:val="000000" w:themeColor="text1"/>
                <w:sz w:val="21"/>
                <w:szCs w:val="21"/>
              </w:rPr>
              <w:t>178.85</w:t>
            </w:r>
            <w:r>
              <w:rPr>
                <w:rFonts w:hint="eastAsia"/>
                <w:color w:val="000000" w:themeColor="text1"/>
                <w:sz w:val="21"/>
                <w:szCs w:val="21"/>
              </w:rPr>
              <w:t>m</w:t>
            </w:r>
            <w:r>
              <w:rPr>
                <w:rFonts w:hint="eastAsia"/>
                <w:color w:val="000000" w:themeColor="text1"/>
                <w:sz w:val="21"/>
                <w:szCs w:val="21"/>
                <w:vertAlign w:val="superscript"/>
              </w:rPr>
              <w:t>3</w:t>
            </w:r>
            <w:r>
              <w:rPr>
                <w:rFonts w:hint="eastAsia"/>
                <w:color w:val="000000" w:themeColor="text1"/>
                <w:sz w:val="21"/>
                <w:szCs w:val="21"/>
              </w:rPr>
              <w:t>/次</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r>
              <w:rPr>
                <w:rFonts w:hint="eastAsia"/>
                <w:color w:val="000000" w:themeColor="text1"/>
                <w:sz w:val="21"/>
                <w:szCs w:val="21"/>
                <w:lang w:val="en-US" w:eastAsia="zh-CN"/>
              </w:rPr>
              <w:t>41.56</w:t>
            </w:r>
            <w:r>
              <w:rPr>
                <w:rFonts w:hint="eastAsia"/>
                <w:color w:val="000000" w:themeColor="text1"/>
                <w:sz w:val="21"/>
                <w:szCs w:val="21"/>
              </w:rPr>
              <w:t>m</w:t>
            </w:r>
            <w:r>
              <w:rPr>
                <w:rFonts w:hint="eastAsia"/>
                <w:color w:val="000000" w:themeColor="text1"/>
                <w:sz w:val="21"/>
                <w:szCs w:val="21"/>
                <w:vertAlign w:val="superscript"/>
              </w:rPr>
              <w:t>3</w:t>
            </w:r>
            <w:r>
              <w:rPr>
                <w:rFonts w:hint="eastAsia"/>
                <w:color w:val="000000" w:themeColor="text1"/>
                <w:sz w:val="21"/>
                <w:szCs w:val="21"/>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2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spacing w:line="240" w:lineRule="auto"/>
              <w:ind w:firstLine="0" w:firstLineChars="0"/>
              <w:jc w:val="center"/>
              <w:rPr>
                <w:color w:val="000000" w:themeColor="text1"/>
                <w:sz w:val="21"/>
                <w:szCs w:val="21"/>
              </w:rPr>
            </w:pPr>
            <w:r>
              <w:rPr>
                <w:color w:val="000000" w:themeColor="text1"/>
                <w:sz w:val="21"/>
                <w:szCs w:val="21"/>
              </w:rPr>
              <w:t>原矿石堆场淋滤水</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69.36m</w:t>
            </w:r>
            <w:r>
              <w:rPr>
                <w:rFonts w:hint="eastAsia"/>
                <w:color w:val="000000" w:themeColor="text1"/>
                <w:sz w:val="21"/>
                <w:szCs w:val="21"/>
                <w:vertAlign w:val="superscript"/>
              </w:rPr>
              <w:t>3</w:t>
            </w:r>
            <w:r>
              <w:rPr>
                <w:rFonts w:hint="eastAsia"/>
                <w:color w:val="000000" w:themeColor="text1"/>
                <w:sz w:val="21"/>
                <w:szCs w:val="21"/>
              </w:rPr>
              <w:t>/次</w:t>
            </w:r>
          </w:p>
        </w:tc>
        <w:tc>
          <w:tcPr>
            <w:tcW w:w="14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69.36m</w:t>
            </w:r>
            <w:r>
              <w:rPr>
                <w:rFonts w:hint="eastAsia"/>
                <w:color w:val="000000" w:themeColor="text1"/>
                <w:sz w:val="21"/>
                <w:szCs w:val="21"/>
                <w:vertAlign w:val="superscript"/>
              </w:rPr>
              <w:t>3</w:t>
            </w:r>
            <w:r>
              <w:rPr>
                <w:rFonts w:hint="eastAsia"/>
                <w:color w:val="000000" w:themeColor="text1"/>
                <w:sz w:val="21"/>
                <w:szCs w:val="21"/>
              </w:rPr>
              <w:t>/次</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-69.36m</w:t>
            </w:r>
            <w:r>
              <w:rPr>
                <w:rFonts w:hint="eastAsia"/>
                <w:color w:val="000000" w:themeColor="text1"/>
                <w:sz w:val="21"/>
                <w:szCs w:val="21"/>
                <w:vertAlign w:val="superscript"/>
              </w:rPr>
              <w:t>3</w:t>
            </w:r>
            <w:r>
              <w:rPr>
                <w:rFonts w:hint="eastAsia"/>
                <w:color w:val="000000" w:themeColor="text1"/>
                <w:sz w:val="21"/>
                <w:szCs w:val="21"/>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4" w:hRule="exact"/>
          <w:jc w:val="center"/>
        </w:trPr>
        <w:tc>
          <w:tcPr>
            <w:tcW w:w="1095"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废气</w:t>
            </w:r>
          </w:p>
        </w:tc>
        <w:tc>
          <w:tcPr>
            <w:tcW w:w="186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装载机装料（原矿石）粉尘</w:t>
            </w:r>
          </w:p>
          <w:p>
            <w:pPr>
              <w:spacing w:line="240" w:lineRule="auto"/>
              <w:ind w:firstLine="0" w:firstLineChars="0"/>
              <w:jc w:val="center"/>
              <w:rPr>
                <w:color w:val="000000" w:themeColor="text1"/>
                <w:sz w:val="21"/>
                <w:szCs w:val="21"/>
              </w:rPr>
            </w:pPr>
          </w:p>
        </w:tc>
        <w:tc>
          <w:tcPr>
            <w:tcW w:w="1365" w:type="dxa"/>
            <w:vAlign w:val="center"/>
          </w:tcPr>
          <w:p>
            <w:pPr>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0.21</w:t>
            </w:r>
          </w:p>
        </w:tc>
        <w:tc>
          <w:tcPr>
            <w:tcW w:w="1410" w:type="dxa"/>
            <w:vAlign w:val="center"/>
          </w:tcPr>
          <w:p>
            <w:pPr>
              <w:widowControl/>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0.21</w:t>
            </w:r>
          </w:p>
        </w:tc>
        <w:tc>
          <w:tcPr>
            <w:tcW w:w="1425" w:type="dxa"/>
            <w:vAlign w:val="center"/>
          </w:tcPr>
          <w:p>
            <w:pPr>
              <w:widowControl/>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0.21</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0.21</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4"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pStyle w:val="126"/>
              <w:rPr>
                <w:rFonts w:eastAsiaTheme="minorEastAsia"/>
                <w:color w:val="000000" w:themeColor="text1"/>
                <w:lang w:eastAsia="zh-CN"/>
              </w:rPr>
            </w:pPr>
            <w:r>
              <w:rPr>
                <w:rFonts w:eastAsiaTheme="minorEastAsia"/>
                <w:color w:val="000000" w:themeColor="text1"/>
                <w:lang w:eastAsia="zh-CN"/>
              </w:rPr>
              <w:t>给料粉尘</w:t>
            </w:r>
          </w:p>
        </w:tc>
        <w:tc>
          <w:tcPr>
            <w:tcW w:w="1365" w:type="dxa"/>
            <w:vAlign w:val="center"/>
          </w:tcPr>
          <w:p>
            <w:pPr>
              <w:spacing w:line="240" w:lineRule="auto"/>
              <w:ind w:firstLine="0" w:firstLineChars="0"/>
              <w:jc w:val="center"/>
              <w:rPr>
                <w:color w:val="000000" w:themeColor="text1"/>
                <w:sz w:val="21"/>
                <w:szCs w:val="21"/>
              </w:rPr>
            </w:pPr>
            <w:r>
              <w:rPr>
                <w:rFonts w:eastAsiaTheme="minorEastAsia"/>
                <w:bCs/>
                <w:color w:val="000000" w:themeColor="text1"/>
                <w:sz w:val="21"/>
                <w:szCs w:val="21"/>
              </w:rPr>
              <w:t>0.225</w:t>
            </w:r>
          </w:p>
        </w:tc>
        <w:tc>
          <w:tcPr>
            <w:tcW w:w="1410"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bCs/>
                <w:color w:val="000000" w:themeColor="text1"/>
                <w:sz w:val="21"/>
                <w:szCs w:val="21"/>
              </w:rPr>
              <w:t>0.225</w:t>
            </w:r>
          </w:p>
        </w:tc>
        <w:tc>
          <w:tcPr>
            <w:tcW w:w="1425" w:type="dxa"/>
            <w:vAlign w:val="center"/>
          </w:tcPr>
          <w:p>
            <w:pPr>
              <w:widowControl/>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0.225</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4"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pStyle w:val="126"/>
              <w:rPr>
                <w:rFonts w:eastAsiaTheme="minorEastAsia"/>
                <w:color w:val="000000" w:themeColor="text1"/>
                <w:lang w:eastAsia="zh-CN"/>
              </w:rPr>
            </w:pPr>
            <w:r>
              <w:rPr>
                <w:rFonts w:eastAsiaTheme="minorEastAsia"/>
                <w:color w:val="000000" w:themeColor="text1"/>
                <w:lang w:eastAsia="zh-CN"/>
              </w:rPr>
              <w:t>物料堆场扬尘</w:t>
            </w:r>
          </w:p>
        </w:tc>
        <w:tc>
          <w:tcPr>
            <w:tcW w:w="1365" w:type="dxa"/>
            <w:vAlign w:val="center"/>
          </w:tcPr>
          <w:p>
            <w:pPr>
              <w:spacing w:line="240" w:lineRule="auto"/>
              <w:ind w:firstLine="0" w:firstLineChars="0"/>
              <w:jc w:val="center"/>
              <w:rPr>
                <w:color w:val="000000" w:themeColor="text1"/>
                <w:sz w:val="21"/>
                <w:szCs w:val="21"/>
              </w:rPr>
            </w:pPr>
            <w:r>
              <w:rPr>
                <w:rFonts w:eastAsiaTheme="minorEastAsia"/>
                <w:color w:val="000000" w:themeColor="text1"/>
                <w:sz w:val="21"/>
                <w:szCs w:val="21"/>
              </w:rPr>
              <w:t>0.26</w:t>
            </w:r>
          </w:p>
        </w:tc>
        <w:tc>
          <w:tcPr>
            <w:tcW w:w="1410"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color w:val="000000" w:themeColor="text1"/>
                <w:sz w:val="21"/>
                <w:szCs w:val="21"/>
              </w:rPr>
              <w:t>0.532</w:t>
            </w:r>
          </w:p>
        </w:tc>
        <w:tc>
          <w:tcPr>
            <w:tcW w:w="1425"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0.532</w:t>
            </w:r>
          </w:p>
        </w:tc>
        <w:tc>
          <w:tcPr>
            <w:tcW w:w="1271"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r>
              <w:rPr>
                <w:rFonts w:hint="eastAsia"/>
                <w:color w:val="000000" w:themeColor="text1"/>
                <w:sz w:val="21"/>
                <w:szCs w:val="21"/>
              </w:rPr>
              <w:t>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pStyle w:val="126"/>
              <w:rPr>
                <w:rFonts w:eastAsiaTheme="minorEastAsia"/>
                <w:color w:val="000000" w:themeColor="text1"/>
                <w:lang w:eastAsia="zh-CN"/>
              </w:rPr>
            </w:pPr>
            <w:r>
              <w:rPr>
                <w:rFonts w:eastAsiaTheme="minorEastAsia"/>
                <w:color w:val="000000" w:themeColor="text1"/>
              </w:rPr>
              <w:t>运输</w:t>
            </w:r>
            <w:r>
              <w:rPr>
                <w:rFonts w:eastAsiaTheme="minorEastAsia"/>
                <w:color w:val="000000" w:themeColor="text1"/>
                <w:lang w:eastAsia="zh-CN"/>
              </w:rPr>
              <w:t>扬尘</w:t>
            </w:r>
          </w:p>
        </w:tc>
        <w:tc>
          <w:tcPr>
            <w:tcW w:w="1365" w:type="dxa"/>
            <w:vAlign w:val="center"/>
          </w:tcPr>
          <w:p>
            <w:pPr>
              <w:spacing w:line="240" w:lineRule="auto"/>
              <w:ind w:firstLine="0" w:firstLineChars="0"/>
              <w:jc w:val="center"/>
              <w:rPr>
                <w:color w:val="000000" w:themeColor="text1"/>
                <w:sz w:val="21"/>
                <w:szCs w:val="21"/>
              </w:rPr>
            </w:pPr>
            <w:r>
              <w:rPr>
                <w:rFonts w:eastAsiaTheme="minorEastAsia"/>
                <w:color w:val="000000" w:themeColor="text1"/>
                <w:sz w:val="21"/>
                <w:szCs w:val="21"/>
              </w:rPr>
              <w:t>0.2</w:t>
            </w:r>
            <w:r>
              <w:rPr>
                <w:rFonts w:hint="eastAsia" w:eastAsiaTheme="minorEastAsia"/>
                <w:color w:val="000000" w:themeColor="text1"/>
                <w:sz w:val="21"/>
                <w:szCs w:val="21"/>
              </w:rPr>
              <w:t>6</w:t>
            </w:r>
          </w:p>
        </w:tc>
        <w:tc>
          <w:tcPr>
            <w:tcW w:w="1410"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0.256</w:t>
            </w:r>
          </w:p>
        </w:tc>
        <w:tc>
          <w:tcPr>
            <w:tcW w:w="1425"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0.256</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pStyle w:val="126"/>
              <w:rPr>
                <w:rFonts w:eastAsiaTheme="minorEastAsia"/>
                <w:color w:val="000000" w:themeColor="text1"/>
                <w:lang w:eastAsia="zh-CN"/>
              </w:rPr>
            </w:pPr>
            <w:r>
              <w:rPr>
                <w:rFonts w:eastAsiaTheme="minorEastAsia"/>
                <w:color w:val="000000" w:themeColor="text1"/>
                <w:lang w:eastAsia="zh-CN"/>
              </w:rPr>
              <w:t>原料卸载粉尘</w:t>
            </w:r>
          </w:p>
        </w:tc>
        <w:tc>
          <w:tcPr>
            <w:tcW w:w="136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0.51</w:t>
            </w:r>
            <w:r>
              <w:rPr>
                <w:rFonts w:hint="eastAsia" w:eastAsiaTheme="minorEastAsia"/>
                <w:color w:val="000000" w:themeColor="text1"/>
                <w:sz w:val="21"/>
                <w:szCs w:val="21"/>
              </w:rPr>
              <w:t>7</w:t>
            </w:r>
          </w:p>
        </w:tc>
        <w:tc>
          <w:tcPr>
            <w:tcW w:w="1410"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sz w:val="21"/>
                <w:szCs w:val="21"/>
              </w:rPr>
              <w:t>0.153</w:t>
            </w:r>
          </w:p>
        </w:tc>
        <w:tc>
          <w:tcPr>
            <w:tcW w:w="1425"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0.153</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-0.364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kinsoku w:val="0"/>
              <w:overflowPunct w:val="0"/>
              <w:autoSpaceDE w:val="0"/>
              <w:spacing w:line="240" w:lineRule="auto"/>
              <w:ind w:firstLine="210" w:firstLineChars="100"/>
              <w:jc w:val="center"/>
              <w:rPr>
                <w:rFonts w:eastAsiaTheme="minorEastAsia"/>
                <w:color w:val="000000" w:themeColor="text1"/>
                <w:sz w:val="21"/>
                <w:szCs w:val="21"/>
              </w:rPr>
            </w:pPr>
            <w:r>
              <w:rPr>
                <w:color w:val="000000" w:themeColor="text1"/>
                <w:sz w:val="21"/>
                <w:szCs w:val="21"/>
              </w:rPr>
              <w:t>成品</w:t>
            </w:r>
            <w:r>
              <w:rPr>
                <w:rFonts w:hint="eastAsia"/>
                <w:color w:val="000000" w:themeColor="text1"/>
                <w:sz w:val="21"/>
                <w:szCs w:val="21"/>
              </w:rPr>
              <w:t>及副产品</w:t>
            </w:r>
            <w:r>
              <w:rPr>
                <w:color w:val="000000" w:themeColor="text1"/>
                <w:sz w:val="21"/>
                <w:szCs w:val="21"/>
              </w:rPr>
              <w:t>装载粉尘</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0.059</w:t>
            </w:r>
          </w:p>
        </w:tc>
        <w:tc>
          <w:tcPr>
            <w:tcW w:w="1410"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0.255</w:t>
            </w:r>
          </w:p>
        </w:tc>
        <w:tc>
          <w:tcPr>
            <w:tcW w:w="1425"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0.059</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0.255</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kinsoku w:val="0"/>
              <w:overflowPunct w:val="0"/>
              <w:autoSpaceDE w:val="0"/>
              <w:spacing w:line="240" w:lineRule="auto"/>
              <w:ind w:firstLine="210" w:firstLineChars="100"/>
              <w:jc w:val="center"/>
              <w:rPr>
                <w:color w:val="000000" w:themeColor="text1"/>
                <w:sz w:val="21"/>
                <w:szCs w:val="21"/>
              </w:rPr>
            </w:pPr>
            <w:r>
              <w:rPr>
                <w:rFonts w:hint="eastAsia"/>
                <w:color w:val="000000" w:themeColor="text1"/>
                <w:sz w:val="21"/>
                <w:szCs w:val="21"/>
              </w:rPr>
              <w:t>原有项目破碎</w:t>
            </w:r>
          </w:p>
        </w:tc>
        <w:tc>
          <w:tcPr>
            <w:tcW w:w="1365"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sz w:val="21"/>
                <w:szCs w:val="21"/>
              </w:rPr>
              <w:t>30.375</w:t>
            </w:r>
          </w:p>
        </w:tc>
        <w:tc>
          <w:tcPr>
            <w:tcW w:w="1410"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w:t>
            </w:r>
          </w:p>
        </w:tc>
        <w:tc>
          <w:tcPr>
            <w:tcW w:w="1425" w:type="dxa"/>
            <w:vAlign w:val="center"/>
          </w:tcPr>
          <w:p>
            <w:pPr>
              <w:widowControl/>
              <w:spacing w:line="240" w:lineRule="auto"/>
              <w:ind w:firstLine="0" w:firstLineChars="0"/>
              <w:jc w:val="center"/>
              <w:rPr>
                <w:color w:val="000000" w:themeColor="text1"/>
                <w:sz w:val="21"/>
                <w:szCs w:val="21"/>
              </w:rPr>
            </w:pPr>
            <w:r>
              <w:rPr>
                <w:rFonts w:hint="eastAsia" w:eastAsiaTheme="minorEastAsia"/>
                <w:color w:val="000000" w:themeColor="text1"/>
                <w:sz w:val="21"/>
                <w:szCs w:val="21"/>
              </w:rPr>
              <w:t>30.375</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271"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sz w:val="21"/>
                <w:szCs w:val="21"/>
              </w:rPr>
              <w:t>+30.375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kinsoku w:val="0"/>
              <w:overflowPunct w:val="0"/>
              <w:autoSpaceDE w:val="0"/>
              <w:spacing w:line="240" w:lineRule="auto"/>
              <w:ind w:firstLine="210" w:firstLineChars="100"/>
              <w:jc w:val="center"/>
              <w:rPr>
                <w:color w:val="000000" w:themeColor="text1"/>
                <w:sz w:val="21"/>
                <w:szCs w:val="21"/>
              </w:rPr>
            </w:pPr>
            <w:r>
              <w:rPr>
                <w:rFonts w:hint="eastAsia"/>
                <w:color w:val="000000" w:themeColor="text1"/>
                <w:sz w:val="21"/>
                <w:szCs w:val="21"/>
              </w:rPr>
              <w:t>原有项目筛分</w:t>
            </w:r>
          </w:p>
        </w:tc>
        <w:tc>
          <w:tcPr>
            <w:tcW w:w="1365" w:type="dxa"/>
            <w:vAlign w:val="center"/>
          </w:tcPr>
          <w:p>
            <w:pPr>
              <w:spacing w:line="240" w:lineRule="auto"/>
              <w:ind w:firstLine="0" w:firstLineChars="0"/>
              <w:jc w:val="center"/>
              <w:rPr>
                <w:color w:val="000000" w:themeColor="text1"/>
                <w:sz w:val="21"/>
                <w:szCs w:val="21"/>
              </w:rPr>
            </w:pPr>
            <w:r>
              <w:rPr>
                <w:rFonts w:eastAsiaTheme="minorEastAsia"/>
                <w:color w:val="000000" w:themeColor="text1"/>
                <w:sz w:val="21"/>
                <w:szCs w:val="21"/>
              </w:rPr>
              <w:t>6.12</w:t>
            </w:r>
          </w:p>
        </w:tc>
        <w:tc>
          <w:tcPr>
            <w:tcW w:w="1410"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w:t>
            </w:r>
          </w:p>
        </w:tc>
        <w:tc>
          <w:tcPr>
            <w:tcW w:w="1425" w:type="dxa"/>
            <w:vAlign w:val="center"/>
          </w:tcPr>
          <w:p>
            <w:pPr>
              <w:widowControl/>
              <w:spacing w:line="240" w:lineRule="auto"/>
              <w:ind w:firstLine="0" w:firstLineChars="0"/>
              <w:jc w:val="center"/>
              <w:rPr>
                <w:color w:val="000000" w:themeColor="text1"/>
                <w:sz w:val="21"/>
                <w:szCs w:val="21"/>
              </w:rPr>
            </w:pPr>
            <w:r>
              <w:rPr>
                <w:rFonts w:eastAsiaTheme="minorEastAsia"/>
                <w:color w:val="000000" w:themeColor="text1"/>
                <w:sz w:val="21"/>
                <w:szCs w:val="21"/>
              </w:rPr>
              <w:t>6.12</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271"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sz w:val="21"/>
                <w:szCs w:val="21"/>
              </w:rPr>
              <w:t>+</w:t>
            </w:r>
            <w:r>
              <w:rPr>
                <w:rFonts w:eastAsiaTheme="minorEastAsia"/>
                <w:color w:val="000000" w:themeColor="text1"/>
                <w:sz w:val="21"/>
                <w:szCs w:val="21"/>
              </w:rPr>
              <w:t>6.12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kinsoku w:val="0"/>
              <w:overflowPunct w:val="0"/>
              <w:autoSpaceDE w:val="0"/>
              <w:spacing w:line="240" w:lineRule="auto"/>
              <w:ind w:firstLine="210" w:firstLineChars="100"/>
              <w:jc w:val="center"/>
              <w:rPr>
                <w:color w:val="000000" w:themeColor="text1"/>
                <w:sz w:val="21"/>
                <w:szCs w:val="21"/>
              </w:rPr>
            </w:pPr>
            <w:r>
              <w:rPr>
                <w:rFonts w:hint="eastAsia"/>
                <w:color w:val="000000" w:themeColor="text1"/>
                <w:sz w:val="21"/>
                <w:szCs w:val="21"/>
              </w:rPr>
              <w:t>未收集粉尘</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410"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sz w:val="21"/>
                <w:szCs w:val="21"/>
              </w:rPr>
              <w:t>11.89</w:t>
            </w:r>
          </w:p>
        </w:tc>
        <w:tc>
          <w:tcPr>
            <w:tcW w:w="1425"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11.89</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kinsoku w:val="0"/>
              <w:overflowPunct w:val="0"/>
              <w:autoSpaceDE w:val="0"/>
              <w:ind w:firstLine="210" w:firstLineChars="100"/>
              <w:jc w:val="center"/>
              <w:rPr>
                <w:color w:val="000000" w:themeColor="text1"/>
                <w:sz w:val="21"/>
                <w:szCs w:val="21"/>
              </w:rPr>
            </w:pPr>
            <w:r>
              <w:rPr>
                <w:rFonts w:hint="eastAsia"/>
                <w:color w:val="000000" w:themeColor="text1"/>
                <w:sz w:val="21"/>
                <w:szCs w:val="21"/>
              </w:rPr>
              <w:t>无组织小计</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38.026</w:t>
            </w:r>
          </w:p>
        </w:tc>
        <w:tc>
          <w:tcPr>
            <w:tcW w:w="1410"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13.521</w:t>
            </w:r>
          </w:p>
        </w:tc>
        <w:tc>
          <w:tcPr>
            <w:tcW w:w="1425"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36.764</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13.521</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-24.505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pStyle w:val="126"/>
              <w:rPr>
                <w:rFonts w:eastAsiaTheme="minorEastAsia"/>
                <w:color w:val="000000" w:themeColor="text1"/>
                <w:lang w:eastAsia="zh-CN"/>
              </w:rPr>
            </w:pPr>
            <w:r>
              <w:rPr>
                <w:rFonts w:eastAsiaTheme="minorEastAsia"/>
                <w:color w:val="000000" w:themeColor="text1"/>
                <w:lang w:eastAsia="zh-CN"/>
              </w:rPr>
              <w:t>废气量</w:t>
            </w:r>
          </w:p>
        </w:tc>
        <w:tc>
          <w:tcPr>
            <w:tcW w:w="1365" w:type="dxa"/>
            <w:vAlign w:val="center"/>
          </w:tcPr>
          <w:p>
            <w:pPr>
              <w:spacing w:line="240" w:lineRule="auto"/>
              <w:ind w:firstLine="0" w:firstLineChars="0"/>
              <w:jc w:val="center"/>
              <w:rPr>
                <w:color w:val="000000" w:themeColor="text1"/>
                <w:sz w:val="21"/>
                <w:szCs w:val="21"/>
              </w:rPr>
            </w:pPr>
            <w:r>
              <w:rPr>
                <w:color w:val="000000" w:themeColor="text1"/>
                <w:sz w:val="21"/>
                <w:szCs w:val="21"/>
              </w:rPr>
              <w:t>0</w:t>
            </w:r>
          </w:p>
        </w:tc>
        <w:tc>
          <w:tcPr>
            <w:tcW w:w="1410" w:type="dxa"/>
            <w:vAlign w:val="center"/>
          </w:tcPr>
          <w:p>
            <w:pPr>
              <w:widowControl/>
              <w:spacing w:line="240" w:lineRule="auto"/>
              <w:ind w:firstLine="0" w:firstLineChars="0"/>
              <w:jc w:val="center"/>
              <w:rPr>
                <w:rFonts w:eastAsiaTheme="minorEastAsia"/>
                <w:bCs/>
                <w:color w:val="000000" w:themeColor="text1"/>
                <w:sz w:val="21"/>
                <w:szCs w:val="21"/>
              </w:rPr>
            </w:pPr>
            <w:r>
              <w:rPr>
                <w:rFonts w:hint="eastAsia" w:eastAsiaTheme="minorEastAsia"/>
                <w:color w:val="000000" w:themeColor="text1"/>
                <w:sz w:val="21"/>
                <w:szCs w:val="21"/>
              </w:rPr>
              <w:t>25200</w:t>
            </w:r>
            <w:r>
              <w:rPr>
                <w:rFonts w:eastAsiaTheme="minorEastAsia"/>
                <w:color w:val="000000" w:themeColor="text1"/>
                <w:sz w:val="21"/>
                <w:szCs w:val="21"/>
              </w:rPr>
              <w:t>万Nm</w:t>
            </w:r>
            <w:r>
              <w:rPr>
                <w:rFonts w:eastAsiaTheme="minorEastAsia"/>
                <w:color w:val="000000" w:themeColor="text1"/>
                <w:sz w:val="21"/>
                <w:szCs w:val="21"/>
                <w:vertAlign w:val="superscript"/>
              </w:rPr>
              <w:t>3</w:t>
            </w:r>
            <w:r>
              <w:rPr>
                <w:rFonts w:eastAsiaTheme="minorEastAsia"/>
                <w:color w:val="000000" w:themeColor="text1"/>
                <w:sz w:val="21"/>
                <w:szCs w:val="21"/>
              </w:rPr>
              <w:t>/a</w:t>
            </w:r>
          </w:p>
        </w:tc>
        <w:tc>
          <w:tcPr>
            <w:tcW w:w="1425"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sz w:val="21"/>
                <w:szCs w:val="21"/>
              </w:rPr>
              <w:t>25200</w:t>
            </w:r>
            <w:r>
              <w:rPr>
                <w:rFonts w:eastAsiaTheme="minorEastAsia"/>
                <w:color w:val="000000" w:themeColor="text1"/>
                <w:sz w:val="21"/>
                <w:szCs w:val="21"/>
              </w:rPr>
              <w:t>万Nm</w:t>
            </w:r>
            <w:r>
              <w:rPr>
                <w:rFonts w:eastAsiaTheme="minorEastAsia"/>
                <w:color w:val="000000" w:themeColor="text1"/>
                <w:sz w:val="21"/>
                <w:szCs w:val="21"/>
                <w:vertAlign w:val="superscript"/>
              </w:rPr>
              <w:t>3</w:t>
            </w:r>
            <w:r>
              <w:rPr>
                <w:rFonts w:eastAsiaTheme="minorEastAsia"/>
                <w:color w:val="000000" w:themeColor="text1"/>
                <w:sz w:val="21"/>
                <w:szCs w:val="21"/>
              </w:rPr>
              <w:t>/a</w:t>
            </w:r>
          </w:p>
        </w:tc>
        <w:tc>
          <w:tcPr>
            <w:tcW w:w="1271" w:type="dxa"/>
            <w:vAlign w:val="center"/>
          </w:tcPr>
          <w:p>
            <w:pPr>
              <w:spacing w:line="240" w:lineRule="auto"/>
              <w:ind w:firstLine="0" w:firstLineChars="0"/>
              <w:jc w:val="center"/>
              <w:rPr>
                <w:color w:val="000000" w:themeColor="text1"/>
                <w:sz w:val="21"/>
                <w:szCs w:val="21"/>
              </w:rPr>
            </w:pPr>
            <w:r>
              <w:rPr>
                <w:color w:val="000000" w:themeColor="text1"/>
                <w:sz w:val="21"/>
                <w:szCs w:val="21"/>
              </w:rPr>
              <w:t>+</w:t>
            </w:r>
            <w:r>
              <w:rPr>
                <w:rFonts w:hint="eastAsia"/>
                <w:color w:val="000000" w:themeColor="text1"/>
                <w:sz w:val="21"/>
                <w:szCs w:val="21"/>
              </w:rPr>
              <w:t>25200</w:t>
            </w:r>
            <w:r>
              <w:rPr>
                <w:rFonts w:eastAsiaTheme="minorEastAsia"/>
                <w:color w:val="000000" w:themeColor="text1"/>
                <w:sz w:val="21"/>
                <w:szCs w:val="21"/>
              </w:rPr>
              <w:t>万Nm</w:t>
            </w:r>
            <w:r>
              <w:rPr>
                <w:rFonts w:eastAsiaTheme="minorEastAsia"/>
                <w:color w:val="000000" w:themeColor="text1"/>
                <w:sz w:val="21"/>
                <w:szCs w:val="21"/>
                <w:vertAlign w:val="superscript"/>
              </w:rPr>
              <w:t>3</w:t>
            </w:r>
            <w:r>
              <w:rPr>
                <w:rFonts w:eastAsiaTheme="minorEastAsia"/>
                <w:color w:val="000000" w:themeColor="text1"/>
                <w:sz w:val="21"/>
                <w:szCs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DA001粉尘</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410"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0.299</w:t>
            </w:r>
          </w:p>
        </w:tc>
        <w:tc>
          <w:tcPr>
            <w:tcW w:w="1425"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w:t>
            </w:r>
          </w:p>
        </w:tc>
        <w:tc>
          <w:tcPr>
            <w:tcW w:w="135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0.299</w:t>
            </w:r>
          </w:p>
        </w:tc>
        <w:tc>
          <w:tcPr>
            <w:tcW w:w="1271"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+0.299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DA002粉尘</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410"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0.152</w:t>
            </w:r>
          </w:p>
        </w:tc>
        <w:tc>
          <w:tcPr>
            <w:tcW w:w="1425"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w:t>
            </w:r>
          </w:p>
        </w:tc>
        <w:tc>
          <w:tcPr>
            <w:tcW w:w="135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0.152</w:t>
            </w:r>
          </w:p>
        </w:tc>
        <w:tc>
          <w:tcPr>
            <w:tcW w:w="1271"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有组织粉尘合计</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410"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bCs/>
                <w:color w:val="000000" w:themeColor="text1"/>
                <w:sz w:val="21"/>
                <w:szCs w:val="21"/>
              </w:rPr>
              <w:t>0.451</w:t>
            </w:r>
          </w:p>
        </w:tc>
        <w:tc>
          <w:tcPr>
            <w:tcW w:w="1425"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w:t>
            </w:r>
          </w:p>
        </w:tc>
        <w:tc>
          <w:tcPr>
            <w:tcW w:w="1353" w:type="dxa"/>
            <w:vAlign w:val="center"/>
          </w:tcPr>
          <w:p>
            <w:pPr>
              <w:widowControl/>
              <w:spacing w:line="240" w:lineRule="auto"/>
              <w:ind w:firstLine="0" w:firstLineChars="0"/>
              <w:jc w:val="center"/>
              <w:rPr>
                <w:color w:val="000000" w:themeColor="text1"/>
                <w:sz w:val="21"/>
                <w:szCs w:val="21"/>
              </w:rPr>
            </w:pPr>
            <w:r>
              <w:rPr>
                <w:rFonts w:hint="eastAsia"/>
                <w:bCs/>
                <w:color w:val="000000" w:themeColor="text1"/>
                <w:sz w:val="21"/>
                <w:szCs w:val="21"/>
              </w:rPr>
              <w:t>0.451</w:t>
            </w:r>
          </w:p>
        </w:tc>
        <w:tc>
          <w:tcPr>
            <w:tcW w:w="1271" w:type="dxa"/>
            <w:vAlign w:val="center"/>
          </w:tcPr>
          <w:p>
            <w:pPr>
              <w:widowControl/>
              <w:spacing w:line="240" w:lineRule="auto"/>
              <w:ind w:firstLine="0" w:firstLineChars="0"/>
              <w:jc w:val="center"/>
              <w:rPr>
                <w:color w:val="000000" w:themeColor="text1"/>
                <w:sz w:val="21"/>
                <w:szCs w:val="21"/>
              </w:rPr>
            </w:pPr>
            <w:r>
              <w:rPr>
                <w:rFonts w:hint="eastAsia"/>
                <w:bCs/>
                <w:color w:val="000000" w:themeColor="text1"/>
                <w:sz w:val="21"/>
                <w:szCs w:val="21"/>
              </w:rPr>
              <w:t>+0.451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粉尘合计</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38.026</w:t>
            </w:r>
          </w:p>
        </w:tc>
        <w:tc>
          <w:tcPr>
            <w:tcW w:w="1410"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13.972</w:t>
            </w:r>
          </w:p>
        </w:tc>
        <w:tc>
          <w:tcPr>
            <w:tcW w:w="1425"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36.764</w:t>
            </w:r>
          </w:p>
        </w:tc>
        <w:tc>
          <w:tcPr>
            <w:tcW w:w="1353"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13.972</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-24.054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9" w:hRule="exact"/>
          <w:jc w:val="center"/>
        </w:trPr>
        <w:tc>
          <w:tcPr>
            <w:tcW w:w="1095"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固废</w:t>
            </w:r>
          </w:p>
        </w:tc>
        <w:tc>
          <w:tcPr>
            <w:tcW w:w="1860"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sz w:val="21"/>
                <w:szCs w:val="21"/>
              </w:rPr>
              <w:t>进辣子箐尾矿库</w:t>
            </w:r>
            <w:r>
              <w:rPr>
                <w:rFonts w:eastAsiaTheme="minorEastAsia"/>
                <w:color w:val="000000" w:themeColor="text1"/>
                <w:sz w:val="21"/>
                <w:szCs w:val="21"/>
              </w:rPr>
              <w:t>尾矿</w:t>
            </w:r>
            <w:r>
              <w:rPr>
                <w:rFonts w:hint="eastAsia" w:eastAsiaTheme="minorEastAsia"/>
                <w:color w:val="000000" w:themeColor="text1"/>
                <w:sz w:val="21"/>
                <w:szCs w:val="21"/>
              </w:rPr>
              <w:t>1#</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218700</w:t>
            </w:r>
          </w:p>
        </w:tc>
        <w:tc>
          <w:tcPr>
            <w:tcW w:w="14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39446.31</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39446.31</w:t>
            </w:r>
          </w:p>
        </w:tc>
        <w:tc>
          <w:tcPr>
            <w:tcW w:w="1271"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-179253.69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进龙都尾矿库尾矿2#</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410"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sz w:val="21"/>
                <w:szCs w:val="21"/>
              </w:rPr>
              <w:t>31874.126</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sz w:val="21"/>
                <w:szCs w:val="21"/>
              </w:rPr>
              <w:t>31874.126</w:t>
            </w:r>
          </w:p>
        </w:tc>
        <w:tc>
          <w:tcPr>
            <w:tcW w:w="1271" w:type="dxa"/>
            <w:vAlign w:val="center"/>
          </w:tcPr>
          <w:p>
            <w:pPr>
              <w:spacing w:line="240" w:lineRule="auto"/>
              <w:ind w:firstLine="0" w:firstLineChars="0"/>
              <w:jc w:val="center"/>
              <w:rPr>
                <w:color w:val="000000" w:themeColor="text1"/>
                <w:sz w:val="21"/>
                <w:szCs w:val="21"/>
              </w:rPr>
            </w:pPr>
            <w:r>
              <w:rPr>
                <w:rFonts w:hint="eastAsia" w:eastAsiaTheme="minorEastAsia"/>
                <w:color w:val="000000" w:themeColor="text1"/>
                <w:sz w:val="21"/>
                <w:szCs w:val="21"/>
              </w:rPr>
              <w:t>+31874.126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9" w:hRule="exact"/>
          <w:jc w:val="center"/>
        </w:trPr>
        <w:tc>
          <w:tcPr>
            <w:tcW w:w="1095" w:type="dxa"/>
            <w:vMerge w:val="continue"/>
            <w:vAlign w:val="center"/>
          </w:tcPr>
          <w:p>
            <w:pPr>
              <w:spacing w:line="240" w:lineRule="auto"/>
              <w:ind w:firstLine="0" w:firstLineChars="0"/>
              <w:jc w:val="center"/>
              <w:rPr>
                <w:color w:val="000000" w:themeColor="text1"/>
                <w:sz w:val="21"/>
                <w:szCs w:val="21"/>
              </w:rPr>
            </w:pPr>
          </w:p>
        </w:tc>
        <w:tc>
          <w:tcPr>
            <w:tcW w:w="1860"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小计</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218700</w:t>
            </w:r>
          </w:p>
        </w:tc>
        <w:tc>
          <w:tcPr>
            <w:tcW w:w="1410"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71319.592</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353"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71319.592</w:t>
            </w:r>
          </w:p>
        </w:tc>
        <w:tc>
          <w:tcPr>
            <w:tcW w:w="1271"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95" w:type="dxa"/>
            <w:vMerge w:val="continue"/>
            <w:vAlign w:val="center"/>
          </w:tcPr>
          <w:p>
            <w:pPr>
              <w:spacing w:line="240" w:lineRule="auto"/>
              <w:ind w:firstLine="420"/>
              <w:jc w:val="center"/>
              <w:rPr>
                <w:color w:val="000000" w:themeColor="text1"/>
                <w:sz w:val="21"/>
                <w:szCs w:val="21"/>
              </w:rPr>
            </w:pPr>
          </w:p>
        </w:tc>
        <w:tc>
          <w:tcPr>
            <w:tcW w:w="1860" w:type="dxa"/>
            <w:vAlign w:val="center"/>
          </w:tcPr>
          <w:p>
            <w:pPr>
              <w:spacing w:line="240" w:lineRule="auto"/>
              <w:ind w:firstLine="0" w:firstLineChars="0"/>
              <w:jc w:val="center"/>
              <w:rPr>
                <w:color w:val="000000" w:themeColor="text1"/>
                <w:sz w:val="21"/>
                <w:szCs w:val="21"/>
              </w:rPr>
            </w:pPr>
            <w:r>
              <w:rPr>
                <w:rFonts w:eastAsiaTheme="minorEastAsia"/>
                <w:color w:val="000000" w:themeColor="text1"/>
                <w:sz w:val="21"/>
                <w:szCs w:val="21"/>
              </w:rPr>
              <w:t>生活垃圾</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12.75</w:t>
            </w:r>
          </w:p>
        </w:tc>
        <w:tc>
          <w:tcPr>
            <w:tcW w:w="14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0.75</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13.5</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19" w:hRule="exact"/>
          <w:jc w:val="center"/>
        </w:trPr>
        <w:tc>
          <w:tcPr>
            <w:tcW w:w="1095" w:type="dxa"/>
            <w:vMerge w:val="continue"/>
            <w:vAlign w:val="center"/>
          </w:tcPr>
          <w:p>
            <w:pPr>
              <w:spacing w:line="240" w:lineRule="auto"/>
              <w:ind w:firstLine="420"/>
              <w:jc w:val="center"/>
              <w:rPr>
                <w:color w:val="000000" w:themeColor="text1"/>
                <w:sz w:val="21"/>
                <w:szCs w:val="21"/>
              </w:rPr>
            </w:pPr>
          </w:p>
        </w:tc>
        <w:tc>
          <w:tcPr>
            <w:tcW w:w="186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除尘器收尘灰</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410"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225.51</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353"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225.51</w:t>
            </w:r>
          </w:p>
        </w:tc>
        <w:tc>
          <w:tcPr>
            <w:tcW w:w="1271"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+225.51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095" w:type="dxa"/>
            <w:vMerge w:val="continue"/>
            <w:vAlign w:val="center"/>
          </w:tcPr>
          <w:p>
            <w:pPr>
              <w:spacing w:line="240" w:lineRule="auto"/>
              <w:ind w:firstLine="420"/>
              <w:jc w:val="center"/>
              <w:rPr>
                <w:color w:val="000000" w:themeColor="text1"/>
                <w:sz w:val="21"/>
                <w:szCs w:val="21"/>
              </w:rPr>
            </w:pPr>
          </w:p>
        </w:tc>
        <w:tc>
          <w:tcPr>
            <w:tcW w:w="186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废机油</w:t>
            </w:r>
          </w:p>
        </w:tc>
        <w:tc>
          <w:tcPr>
            <w:tcW w:w="136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0.4</w:t>
            </w:r>
          </w:p>
        </w:tc>
        <w:tc>
          <w:tcPr>
            <w:tcW w:w="141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0.1</w:t>
            </w:r>
          </w:p>
        </w:tc>
        <w:tc>
          <w:tcPr>
            <w:tcW w:w="142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w:t>
            </w:r>
          </w:p>
        </w:tc>
        <w:tc>
          <w:tcPr>
            <w:tcW w:w="135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0.5</w:t>
            </w:r>
          </w:p>
        </w:tc>
        <w:tc>
          <w:tcPr>
            <w:tcW w:w="12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+0.1</w:t>
            </w:r>
          </w:p>
        </w:tc>
      </w:tr>
    </w:tbl>
    <w:p>
      <w:pPr>
        <w:pStyle w:val="574"/>
        <w:spacing w:beforeLines="0" w:afterLines="0"/>
        <w:rPr>
          <w:rFonts w:eastAsiaTheme="minorEastAsia"/>
          <w:color w:val="000000" w:themeColor="text1"/>
          <w:sz w:val="30"/>
          <w:szCs w:val="30"/>
        </w:rPr>
        <w:sectPr>
          <w:headerReference r:id="rId19" w:type="default"/>
          <w:footerReference r:id="rId20" w:type="default"/>
          <w:pgSz w:w="11906" w:h="16838"/>
          <w:pgMar w:top="1440" w:right="1587" w:bottom="1440" w:left="1587" w:header="850" w:footer="992" w:gutter="0"/>
          <w:pgNumType w:fmt="numberInDash"/>
          <w:cols w:space="425" w:num="1"/>
          <w:docGrid w:type="lines" w:linePitch="326" w:charSpace="0"/>
        </w:sectPr>
      </w:pPr>
    </w:p>
    <w:bookmarkEnd w:id="535"/>
    <w:p>
      <w:pPr>
        <w:keepNext/>
        <w:widowControl/>
        <w:ind w:firstLine="0" w:firstLineChars="0"/>
        <w:outlineLvl w:val="0"/>
        <w:rPr>
          <w:rFonts w:eastAsiaTheme="minorEastAsia"/>
          <w:b/>
          <w:bCs/>
          <w:color w:val="000000" w:themeColor="text1"/>
          <w:kern w:val="32"/>
          <w:sz w:val="32"/>
          <w:szCs w:val="32"/>
          <w:lang w:bidi="en-US"/>
        </w:rPr>
      </w:pPr>
      <w:bookmarkStart w:id="536" w:name="_Toc26984"/>
      <w:r>
        <w:rPr>
          <w:rFonts w:eastAsiaTheme="minorEastAsia"/>
          <w:b/>
          <w:bCs/>
          <w:color w:val="000000" w:themeColor="text1"/>
          <w:kern w:val="32"/>
          <w:sz w:val="32"/>
          <w:szCs w:val="32"/>
          <w:lang w:bidi="en-US"/>
        </w:rPr>
        <w:t>5区域环境现状调查与评价</w:t>
      </w:r>
      <w:bookmarkEnd w:id="536"/>
    </w:p>
    <w:p>
      <w:pPr>
        <w:pStyle w:val="574"/>
        <w:spacing w:beforeLines="0" w:afterLines="0"/>
        <w:rPr>
          <w:rFonts w:eastAsiaTheme="minorEastAsia"/>
          <w:color w:val="000000" w:themeColor="text1"/>
          <w:sz w:val="30"/>
          <w:szCs w:val="30"/>
        </w:rPr>
      </w:pPr>
      <w:bookmarkStart w:id="537" w:name="_Toc458512307"/>
      <w:bookmarkStart w:id="538" w:name="_Toc5069"/>
      <w:r>
        <w:rPr>
          <w:rFonts w:eastAsiaTheme="minorEastAsia"/>
          <w:color w:val="000000" w:themeColor="text1"/>
          <w:sz w:val="30"/>
          <w:szCs w:val="30"/>
        </w:rPr>
        <w:t>5.1</w:t>
      </w:r>
      <w:bookmarkEnd w:id="537"/>
      <w:r>
        <w:rPr>
          <w:rFonts w:eastAsiaTheme="minorEastAsia"/>
          <w:color w:val="000000" w:themeColor="text1"/>
          <w:sz w:val="30"/>
          <w:szCs w:val="30"/>
        </w:rPr>
        <w:t>区域环境概况</w:t>
      </w:r>
      <w:bookmarkEnd w:id="538"/>
    </w:p>
    <w:p>
      <w:pPr>
        <w:pStyle w:val="6"/>
        <w:spacing w:beforeLines="0" w:afterLines="0"/>
        <w:rPr>
          <w:rFonts w:eastAsiaTheme="minorEastAsia"/>
          <w:color w:val="000000" w:themeColor="text1"/>
          <w:sz w:val="28"/>
          <w:szCs w:val="28"/>
        </w:rPr>
      </w:pPr>
      <w:bookmarkStart w:id="539" w:name="_Toc22267"/>
      <w:r>
        <w:rPr>
          <w:rFonts w:eastAsiaTheme="minorEastAsia"/>
          <w:color w:val="000000" w:themeColor="text1"/>
          <w:sz w:val="28"/>
          <w:szCs w:val="28"/>
        </w:rPr>
        <w:t>5.1.1地理位置</w:t>
      </w:r>
      <w:bookmarkEnd w:id="539"/>
    </w:p>
    <w:p>
      <w:pPr>
        <w:ind w:firstLine="480"/>
        <w:jc w:val="both"/>
        <w:rPr>
          <w:rFonts w:eastAsiaTheme="minorEastAsia"/>
          <w:color w:val="000000" w:themeColor="text1"/>
          <w:kern w:val="0"/>
          <w:szCs w:val="24"/>
        </w:rPr>
      </w:pPr>
      <w:r>
        <w:rPr>
          <w:rFonts w:eastAsiaTheme="minorEastAsia"/>
          <w:color w:val="000000" w:themeColor="text1"/>
          <w:kern w:val="0"/>
          <w:szCs w:val="24"/>
        </w:rPr>
        <w:t>新平县位于云南省中部偏西南，北纬23°38′15′′~24°26′05′′，东经l01°16′30″~102°16′50″之间，与峨山县、石屏县、元江县、墨江县、镇沅县、双柏县接壤。新平县地势西北高，东南低，最高海拔哀牢山主峰大磨岩峰3165.9m，最低海拔漠沙镇南蒿村422m。</w:t>
      </w:r>
    </w:p>
    <w:p>
      <w:pPr>
        <w:shd w:val="clear" w:color="auto" w:fill="FFFFFF"/>
        <w:ind w:firstLine="480"/>
        <w:rPr>
          <w:color w:val="000000" w:themeColor="text1"/>
        </w:rPr>
      </w:pPr>
      <w:r>
        <w:rPr>
          <w:bCs/>
          <w:color w:val="000000" w:themeColor="text1"/>
        </w:rPr>
        <w:t>戛洒镇位于新平县的西部，地处哀牢山脉中段东麓，红河上游的戛洒江畔，是三州市（玉溪、楚雄、普洱）五县（新平、双柏、镇沅、墨江、元江）的交通交汇处和商贸集散地，东与新化乡、老厂乡接壤，南与漠沙镇连接，西与镇沅县和平乡相邻，北同水塘镇毗邻。全镇有土地面积415.6km</w:t>
      </w:r>
      <w:r>
        <w:rPr>
          <w:bCs/>
          <w:color w:val="000000" w:themeColor="text1"/>
          <w:vertAlign w:val="superscript"/>
        </w:rPr>
        <w:t>2</w:t>
      </w:r>
      <w:r>
        <w:rPr>
          <w:bCs/>
          <w:color w:val="000000" w:themeColor="text1"/>
        </w:rPr>
        <w:t>，镇政府驻地戛洒街，地处东经101°34′，北纬24°03′，境内居住着傣族、彝族、哈尼族等少数民族11个，是省道218线的必经之地，距县城72km。</w:t>
      </w:r>
    </w:p>
    <w:p>
      <w:pPr>
        <w:ind w:firstLine="480"/>
        <w:jc w:val="both"/>
        <w:rPr>
          <w:color w:val="000000" w:themeColor="text1"/>
          <w:szCs w:val="20"/>
        </w:rPr>
      </w:pPr>
      <w:r>
        <w:rPr>
          <w:color w:val="000000" w:themeColor="text1"/>
        </w:rPr>
        <w:t>项目位于新平县戛洒镇东磨小组，项目区中心坐标：东经102°93′19.16"，北纬24°23′49.88"，与新平县政府直线距离为39km，项目建设条件良好</w:t>
      </w:r>
      <w:r>
        <w:rPr>
          <w:color w:val="000000" w:themeColor="text1"/>
          <w:szCs w:val="20"/>
        </w:rPr>
        <w:t>。项目地理位置见附图3：项目地理位置图。</w:t>
      </w:r>
    </w:p>
    <w:p>
      <w:pPr>
        <w:pStyle w:val="6"/>
        <w:spacing w:beforeLines="0" w:afterLines="0"/>
        <w:rPr>
          <w:rFonts w:eastAsiaTheme="minorEastAsia"/>
          <w:color w:val="000000" w:themeColor="text1"/>
          <w:sz w:val="28"/>
          <w:szCs w:val="28"/>
        </w:rPr>
      </w:pPr>
      <w:bookmarkStart w:id="540" w:name="_Toc25292"/>
      <w:r>
        <w:rPr>
          <w:rFonts w:eastAsiaTheme="minorEastAsia"/>
          <w:color w:val="000000" w:themeColor="text1"/>
          <w:sz w:val="28"/>
          <w:szCs w:val="28"/>
        </w:rPr>
        <w:t>5.1.2地形地貌</w:t>
      </w:r>
      <w:bookmarkEnd w:id="540"/>
    </w:p>
    <w:p>
      <w:pPr>
        <w:ind w:firstLine="480"/>
        <w:jc w:val="both"/>
        <w:rPr>
          <w:rFonts w:eastAsiaTheme="minorEastAsia"/>
          <w:color w:val="000000" w:themeColor="text1"/>
          <w:kern w:val="0"/>
          <w:szCs w:val="24"/>
        </w:rPr>
      </w:pPr>
      <w:r>
        <w:rPr>
          <w:rFonts w:eastAsiaTheme="minorEastAsia"/>
          <w:color w:val="000000" w:themeColor="text1"/>
          <w:kern w:val="0"/>
          <w:szCs w:val="24"/>
        </w:rPr>
        <w:t>地处哀牢山脉以东地区，属云南高原中部哀牢山脉以东构造侵蚀—剥蚀低中山地貌。地形坡度一般为24~38°，地势为北东高、南西低，地形标高为817m~1254m；据地形切割程度划分，本区属构造侵蚀剥蚀中山地貌区；据地形坡度划分，该区的斜坡地貌类型多属于中陡坡地貌区，总体地形坡度多小于30°。</w:t>
      </w:r>
    </w:p>
    <w:p>
      <w:pPr>
        <w:pStyle w:val="6"/>
        <w:spacing w:beforeLines="0" w:afterLines="0"/>
        <w:rPr>
          <w:rFonts w:eastAsiaTheme="minorEastAsia"/>
          <w:color w:val="000000" w:themeColor="text1"/>
          <w:sz w:val="28"/>
          <w:szCs w:val="28"/>
        </w:rPr>
      </w:pPr>
      <w:bookmarkStart w:id="541" w:name="_Toc10744"/>
      <w:r>
        <w:rPr>
          <w:rFonts w:eastAsiaTheme="minorEastAsia"/>
          <w:color w:val="000000" w:themeColor="text1"/>
          <w:sz w:val="28"/>
          <w:szCs w:val="28"/>
        </w:rPr>
        <w:t>5.1.3气候气象</w:t>
      </w:r>
      <w:bookmarkEnd w:id="541"/>
    </w:p>
    <w:p>
      <w:pPr>
        <w:ind w:firstLine="480"/>
        <w:rPr>
          <w:rFonts w:eastAsiaTheme="minorEastAsia"/>
          <w:color w:val="000000" w:themeColor="text1"/>
          <w:szCs w:val="20"/>
        </w:rPr>
      </w:pPr>
      <w:r>
        <w:rPr>
          <w:rFonts w:eastAsiaTheme="minorEastAsia"/>
          <w:color w:val="000000" w:themeColor="text1"/>
          <w:szCs w:val="20"/>
        </w:rPr>
        <w:t>项目区属南亚热带气候，冬春温和干旱多风，夏秋炎热多雨。</w:t>
      </w:r>
    </w:p>
    <w:p>
      <w:pPr>
        <w:ind w:firstLine="480"/>
        <w:jc w:val="both"/>
        <w:rPr>
          <w:rFonts w:eastAsiaTheme="minorEastAsia"/>
          <w:color w:val="000000" w:themeColor="text1"/>
          <w:szCs w:val="20"/>
        </w:rPr>
      </w:pPr>
      <w:r>
        <w:rPr>
          <w:rFonts w:eastAsiaTheme="minorEastAsia"/>
          <w:color w:val="000000" w:themeColor="text1"/>
          <w:szCs w:val="20"/>
        </w:rPr>
        <w:t>据新平县气象站资料，项目多年平均气温23.5℃，</w:t>
      </w:r>
      <w:r>
        <w:rPr>
          <w:rFonts w:hint="eastAsia" w:eastAsiaTheme="minorEastAsia"/>
          <w:color w:val="000000" w:themeColor="text1"/>
          <w:szCs w:val="20"/>
        </w:rPr>
        <w:t>近二十年</w:t>
      </w:r>
      <w:r>
        <w:rPr>
          <w:rFonts w:eastAsiaTheme="minorEastAsia"/>
          <w:color w:val="000000" w:themeColor="text1"/>
          <w:szCs w:val="20"/>
        </w:rPr>
        <w:t>最高气温</w:t>
      </w:r>
      <w:r>
        <w:rPr>
          <w:rFonts w:hint="eastAsia" w:eastAsiaTheme="minorEastAsia"/>
          <w:color w:val="000000" w:themeColor="text1"/>
          <w:szCs w:val="20"/>
        </w:rPr>
        <w:t>35.3</w:t>
      </w:r>
      <w:r>
        <w:rPr>
          <w:rFonts w:eastAsiaTheme="minorEastAsia"/>
          <w:color w:val="000000" w:themeColor="text1"/>
          <w:szCs w:val="20"/>
        </w:rPr>
        <w:t>℃，</w:t>
      </w:r>
      <w:r>
        <w:rPr>
          <w:rFonts w:hint="eastAsia" w:eastAsiaTheme="minorEastAsia"/>
          <w:color w:val="000000" w:themeColor="text1"/>
          <w:szCs w:val="20"/>
        </w:rPr>
        <w:t>最低气温-2.1</w:t>
      </w:r>
      <w:r>
        <w:rPr>
          <w:rFonts w:eastAsiaTheme="minorEastAsia"/>
          <w:color w:val="000000" w:themeColor="text1"/>
          <w:szCs w:val="20"/>
        </w:rPr>
        <w:t>℃。年平均日照2230小时，干湿两季分明，雨量较为充沛，年降雨量的60%以上集中在6~9月份，且多以降雨形式降落，多年平均降雨量940.6mm，最大年降雨量为1168mm，最小为713mm，最大日降雨量为82.4mm。多年平均风速2.3m/s，最大风速17.0m/s，风向多以西风为主，常年主导风向为西南风。</w:t>
      </w:r>
    </w:p>
    <w:p>
      <w:pPr>
        <w:pStyle w:val="6"/>
        <w:adjustRightInd w:val="0"/>
        <w:snapToGrid w:val="0"/>
        <w:spacing w:beforeLines="0" w:afterLines="0"/>
        <w:rPr>
          <w:rFonts w:eastAsiaTheme="minorEastAsia"/>
          <w:color w:val="000000" w:themeColor="text1"/>
          <w:sz w:val="28"/>
          <w:szCs w:val="28"/>
        </w:rPr>
      </w:pPr>
      <w:bookmarkStart w:id="542" w:name="_Toc5256"/>
      <w:r>
        <w:rPr>
          <w:rFonts w:eastAsiaTheme="minorEastAsia"/>
          <w:color w:val="000000" w:themeColor="text1"/>
          <w:sz w:val="28"/>
          <w:szCs w:val="28"/>
        </w:rPr>
        <w:t>5.1.4水文水系</w:t>
      </w:r>
      <w:bookmarkEnd w:id="542"/>
    </w:p>
    <w:p>
      <w:pPr>
        <w:adjustRightInd w:val="0"/>
        <w:snapToGrid w:val="0"/>
        <w:ind w:firstLine="480"/>
        <w:rPr>
          <w:rFonts w:eastAsiaTheme="minorEastAsia"/>
          <w:color w:val="000000" w:themeColor="text1"/>
          <w:kern w:val="0"/>
          <w:szCs w:val="24"/>
        </w:rPr>
      </w:pPr>
      <w:r>
        <w:rPr>
          <w:rFonts w:eastAsiaTheme="minorEastAsia"/>
          <w:color w:val="000000" w:themeColor="text1"/>
          <w:kern w:val="0"/>
          <w:szCs w:val="24"/>
        </w:rPr>
        <w:t>新平县境内大小河流纵横交错，流域面积在30km</w:t>
      </w:r>
      <w:r>
        <w:rPr>
          <w:rFonts w:eastAsiaTheme="minorEastAsia"/>
          <w:color w:val="000000" w:themeColor="text1"/>
          <w:kern w:val="0"/>
          <w:szCs w:val="24"/>
          <w:vertAlign w:val="superscript"/>
        </w:rPr>
        <w:t>2</w:t>
      </w:r>
      <w:r>
        <w:rPr>
          <w:rFonts w:eastAsiaTheme="minorEastAsia"/>
          <w:color w:val="000000" w:themeColor="text1"/>
          <w:kern w:val="0"/>
          <w:szCs w:val="24"/>
        </w:rPr>
        <w:t>以上的有35条河流，主要河流有戛洒江、绿汁江、漠沙江、峨德河、西尼河、南渡河、大春河、比里河、班东河等。</w:t>
      </w:r>
    </w:p>
    <w:p>
      <w:pPr>
        <w:adjustRightInd w:val="0"/>
        <w:snapToGrid w:val="0"/>
        <w:ind w:firstLine="480"/>
        <w:rPr>
          <w:rFonts w:eastAsiaTheme="minorEastAsia"/>
          <w:color w:val="000000" w:themeColor="text1"/>
        </w:rPr>
      </w:pPr>
      <w:r>
        <w:rPr>
          <w:rFonts w:eastAsiaTheme="minorEastAsia"/>
          <w:color w:val="000000" w:themeColor="text1"/>
          <w:kern w:val="0"/>
          <w:szCs w:val="24"/>
        </w:rPr>
        <w:t>项目处于困龙河径流区，困龙河注入戛洒江，属红河水系。</w:t>
      </w:r>
      <w:r>
        <w:rPr>
          <w:rFonts w:eastAsiaTheme="minorEastAsia"/>
          <w:color w:val="000000" w:themeColor="text1"/>
        </w:rPr>
        <w:t>戛洒江是新平县的一条主要河流，</w:t>
      </w:r>
      <w:r>
        <w:rPr>
          <w:rFonts w:eastAsiaTheme="minorEastAsia"/>
          <w:color w:val="000000" w:themeColor="text1"/>
          <w:kern w:val="0"/>
          <w:szCs w:val="24"/>
        </w:rPr>
        <w:t>戛洒江的最枯流量为9.18m</w:t>
      </w:r>
      <w:r>
        <w:rPr>
          <w:rFonts w:eastAsiaTheme="minorEastAsia"/>
          <w:color w:val="000000" w:themeColor="text1"/>
          <w:kern w:val="0"/>
          <w:szCs w:val="24"/>
          <w:vertAlign w:val="superscript"/>
        </w:rPr>
        <w:t>3</w:t>
      </w:r>
      <w:r>
        <w:rPr>
          <w:rFonts w:eastAsiaTheme="minorEastAsia"/>
          <w:color w:val="000000" w:themeColor="text1"/>
          <w:kern w:val="0"/>
          <w:szCs w:val="24"/>
        </w:rPr>
        <w:t>/s，</w:t>
      </w:r>
      <w:r>
        <w:rPr>
          <w:rFonts w:eastAsiaTheme="minorEastAsia"/>
          <w:color w:val="000000" w:themeColor="text1"/>
        </w:rPr>
        <w:t>最大流量1740m</w:t>
      </w:r>
      <w:r>
        <w:rPr>
          <w:rFonts w:eastAsiaTheme="minorEastAsia"/>
          <w:color w:val="000000" w:themeColor="text1"/>
          <w:vertAlign w:val="superscript"/>
        </w:rPr>
        <w:t>3</w:t>
      </w:r>
      <w:r>
        <w:rPr>
          <w:rFonts w:eastAsiaTheme="minorEastAsia"/>
          <w:color w:val="000000" w:themeColor="text1"/>
        </w:rPr>
        <w:t>/s。</w:t>
      </w:r>
    </w:p>
    <w:p>
      <w:pPr>
        <w:adjustRightInd w:val="0"/>
        <w:snapToGrid w:val="0"/>
        <w:ind w:firstLine="480"/>
        <w:rPr>
          <w:rFonts w:eastAsiaTheme="minorEastAsia"/>
          <w:color w:val="000000" w:themeColor="text1"/>
        </w:rPr>
      </w:pPr>
      <w:r>
        <w:rPr>
          <w:rFonts w:eastAsiaTheme="minorEastAsia"/>
          <w:color w:val="000000" w:themeColor="text1"/>
        </w:rPr>
        <w:t>本项目位于困龙河北侧，项目精矿池工业场地距离困龙河185m，目前困龙河两侧已建防洪堤，防洪标准为50年一遇，现有工程厂区标高位于河道洪水位线以上。</w:t>
      </w:r>
    </w:p>
    <w:p>
      <w:pPr>
        <w:adjustRightInd w:val="0"/>
        <w:snapToGrid w:val="0"/>
        <w:ind w:firstLine="522" w:firstLineChars="0"/>
        <w:rPr>
          <w:rFonts w:eastAsiaTheme="minorEastAsia"/>
          <w:color w:val="000000" w:themeColor="text1"/>
          <w:kern w:val="0"/>
          <w:szCs w:val="24"/>
        </w:rPr>
      </w:pPr>
      <w:r>
        <w:rPr>
          <w:rFonts w:eastAsiaTheme="minorEastAsia"/>
          <w:color w:val="000000" w:themeColor="text1"/>
          <w:kern w:val="0"/>
          <w:szCs w:val="24"/>
        </w:rPr>
        <w:t>项目区域水系图见附图4。</w:t>
      </w:r>
    </w:p>
    <w:p>
      <w:pPr>
        <w:pStyle w:val="6"/>
        <w:adjustRightInd w:val="0"/>
        <w:snapToGrid w:val="0"/>
        <w:spacing w:beforeLines="0" w:afterLines="0"/>
        <w:rPr>
          <w:rFonts w:eastAsiaTheme="minorEastAsia"/>
          <w:color w:val="000000" w:themeColor="text1"/>
          <w:sz w:val="28"/>
          <w:szCs w:val="28"/>
        </w:rPr>
      </w:pPr>
      <w:bookmarkStart w:id="543" w:name="_Toc21713"/>
      <w:r>
        <w:rPr>
          <w:rFonts w:eastAsiaTheme="minorEastAsia"/>
          <w:color w:val="000000" w:themeColor="text1"/>
          <w:sz w:val="28"/>
          <w:szCs w:val="28"/>
        </w:rPr>
        <w:t>5.1.5地质构造</w:t>
      </w:r>
      <w:bookmarkEnd w:id="543"/>
    </w:p>
    <w:p>
      <w:pPr>
        <w:adjustRightInd w:val="0"/>
        <w:snapToGrid w:val="0"/>
        <w:ind w:firstLine="480"/>
        <w:rPr>
          <w:rFonts w:eastAsiaTheme="minorEastAsia"/>
          <w:color w:val="000000" w:themeColor="text1"/>
        </w:rPr>
      </w:pPr>
      <w:r>
        <w:rPr>
          <w:rFonts w:eastAsiaTheme="minorEastAsia"/>
          <w:color w:val="000000" w:themeColor="text1"/>
        </w:rPr>
        <w:t>评价区仅出露两套地层，盖层为晚三叠统干海子组和舍资组，基底为早元古界大红山群，为一套富含铁、铜的浅~中等变质的钠质火山岩系。前者广布于大红山矿区；后者，主要出露于老厂河，曼岗河、肥味河河谷及北岸山坡地带以及困龙河与戛洒江交界地带。</w:t>
      </w:r>
    </w:p>
    <w:p>
      <w:pPr>
        <w:ind w:firstLine="480"/>
        <w:rPr>
          <w:rFonts w:eastAsiaTheme="minorEastAsia"/>
          <w:color w:val="000000" w:themeColor="text1"/>
        </w:rPr>
      </w:pPr>
      <w:r>
        <w:rPr>
          <w:rFonts w:eastAsiaTheme="minorEastAsia"/>
          <w:color w:val="000000" w:themeColor="text1"/>
        </w:rPr>
        <w:t>出露地层主要为三叠系上统地层舍资组和新生界第四系地层，深部为早元古界大红山群曼岗河组（评估区未出露，但在老厂河河、困龙河和曼岗河交界处的均有出露）。大红山群总厚达2900余米，全组为一套较深海相海底火山喷发沉积建造，缺乏陆源碎屑、富含硅质条带，自下而上分三个岩段：下部一、二岩段以火山岩及火山碎屑岩为主，第三岩段为火山沉积变质的绿片岩段。</w:t>
      </w:r>
    </w:p>
    <w:p>
      <w:pPr>
        <w:ind w:firstLine="480"/>
        <w:rPr>
          <w:rFonts w:eastAsiaTheme="minorEastAsia"/>
          <w:color w:val="000000" w:themeColor="text1"/>
        </w:rPr>
      </w:pPr>
      <w:r>
        <w:rPr>
          <w:rFonts w:eastAsiaTheme="minorEastAsia"/>
          <w:color w:val="000000" w:themeColor="text1"/>
        </w:rPr>
        <w:t>项目区位于轴向近东西向的底巴都背斜南翼西端。地表出露上三叠统舍资组组成的沉积盖层，早元古代大红山群曼岗河组隐伏于其下，二者间为不整合接触。</w:t>
      </w:r>
    </w:p>
    <w:p>
      <w:pPr>
        <w:ind w:firstLine="480"/>
        <w:rPr>
          <w:color w:val="000000" w:themeColor="text1"/>
        </w:rPr>
      </w:pPr>
      <w:r>
        <w:rPr>
          <w:rFonts w:eastAsiaTheme="minorEastAsia"/>
          <w:color w:val="000000" w:themeColor="text1"/>
        </w:rPr>
        <w:t>沉积盖层总体倾向南西，倾角较缓（一般小于30°），属倾向南西的单斜构造。隐伏于沉积盖层之下的早元古代大红山群曼岗河组也呈倾向南西的单斜构造。</w:t>
      </w:r>
    </w:p>
    <w:p>
      <w:pPr>
        <w:pStyle w:val="6"/>
        <w:spacing w:beforeLines="0" w:afterLines="0"/>
        <w:rPr>
          <w:rFonts w:eastAsiaTheme="minorEastAsia"/>
          <w:color w:val="000000" w:themeColor="text1"/>
          <w:sz w:val="28"/>
          <w:szCs w:val="28"/>
        </w:rPr>
      </w:pPr>
      <w:bookmarkStart w:id="544" w:name="_Toc4987"/>
      <w:r>
        <w:rPr>
          <w:rFonts w:eastAsiaTheme="minorEastAsia"/>
          <w:color w:val="000000" w:themeColor="text1"/>
          <w:sz w:val="28"/>
          <w:szCs w:val="28"/>
        </w:rPr>
        <w:t>5.1.6风景名胜区、自然保护区、历史文化遗产</w:t>
      </w:r>
      <w:bookmarkEnd w:id="544"/>
    </w:p>
    <w:p>
      <w:pPr>
        <w:ind w:firstLine="480"/>
        <w:jc w:val="both"/>
        <w:rPr>
          <w:rFonts w:eastAsiaTheme="minorEastAsia"/>
          <w:bCs/>
          <w:color w:val="000000" w:themeColor="text1"/>
          <w:kern w:val="0"/>
          <w:szCs w:val="24"/>
        </w:rPr>
      </w:pPr>
      <w:r>
        <w:rPr>
          <w:rFonts w:eastAsiaTheme="minorEastAsia"/>
          <w:bCs/>
          <w:color w:val="000000" w:themeColor="text1"/>
          <w:kern w:val="0"/>
          <w:szCs w:val="24"/>
        </w:rPr>
        <w:t>评价范围内无风景名胜、自然保护区、历史文化遗产。在距离项目区14.9km处有哀牢山国家级自然保护区，25.5km处有磨盘山国家森林公园。</w:t>
      </w:r>
    </w:p>
    <w:p>
      <w:pPr>
        <w:pStyle w:val="574"/>
        <w:spacing w:beforeLines="0" w:afterLines="0"/>
        <w:rPr>
          <w:rFonts w:eastAsiaTheme="minorEastAsia"/>
          <w:color w:val="000000" w:themeColor="text1"/>
          <w:sz w:val="30"/>
          <w:szCs w:val="30"/>
        </w:rPr>
      </w:pPr>
      <w:bookmarkStart w:id="545" w:name="_Toc6815"/>
      <w:r>
        <w:rPr>
          <w:rFonts w:eastAsiaTheme="minorEastAsia"/>
          <w:color w:val="000000" w:themeColor="text1"/>
          <w:sz w:val="30"/>
          <w:szCs w:val="30"/>
        </w:rPr>
        <w:t>5.2环境质量现状调查与评价</w:t>
      </w:r>
      <w:bookmarkEnd w:id="545"/>
    </w:p>
    <w:p>
      <w:pPr>
        <w:pStyle w:val="6"/>
        <w:spacing w:beforeLines="0" w:afterLines="0"/>
        <w:rPr>
          <w:rFonts w:eastAsiaTheme="minorEastAsia"/>
          <w:color w:val="000000" w:themeColor="text1"/>
          <w:sz w:val="28"/>
          <w:szCs w:val="28"/>
        </w:rPr>
      </w:pPr>
      <w:bookmarkStart w:id="546" w:name="_Toc14013"/>
      <w:r>
        <w:rPr>
          <w:rFonts w:eastAsiaTheme="minorEastAsia"/>
          <w:color w:val="000000" w:themeColor="text1"/>
          <w:sz w:val="28"/>
          <w:szCs w:val="28"/>
        </w:rPr>
        <w:t>5.2.1环境空气质量现状与评价</w:t>
      </w:r>
      <w:bookmarkEnd w:id="546"/>
    </w:p>
    <w:p>
      <w:pPr>
        <w:pStyle w:val="570"/>
        <w:spacing w:line="360" w:lineRule="auto"/>
        <w:ind w:firstLine="480"/>
        <w:jc w:val="both"/>
        <w:rPr>
          <w:rFonts w:cs="Times New Roman"/>
          <w:color w:val="000000" w:themeColor="text1"/>
          <w:szCs w:val="24"/>
        </w:rPr>
      </w:pPr>
      <w:r>
        <w:rPr>
          <w:rFonts w:cs="Times New Roman"/>
          <w:color w:val="000000" w:themeColor="text1"/>
          <w:szCs w:val="24"/>
        </w:rPr>
        <w:t>1、</w:t>
      </w:r>
      <w:r>
        <w:rPr>
          <w:rFonts w:cs="Times New Roman"/>
          <w:color w:val="000000" w:themeColor="text1"/>
        </w:rPr>
        <w:t>区域内环境空气质量现状</w:t>
      </w:r>
    </w:p>
    <w:p>
      <w:pPr>
        <w:pStyle w:val="570"/>
        <w:spacing w:line="360" w:lineRule="auto"/>
        <w:ind w:firstLine="480"/>
        <w:rPr>
          <w:rFonts w:cs="Times New Roman"/>
          <w:color w:val="000000" w:themeColor="text1"/>
          <w:szCs w:val="24"/>
        </w:rPr>
      </w:pPr>
      <w:r>
        <w:rPr>
          <w:rFonts w:cs="Times New Roman"/>
          <w:color w:val="000000" w:themeColor="text1"/>
          <w:szCs w:val="24"/>
        </w:rPr>
        <w:t>项目所在区域环境空气质量，执行《环境空气质量标准》（GB3095-2012）二级标准。根据调查，新平县</w:t>
      </w:r>
      <w:r>
        <w:rPr>
          <w:rStyle w:val="73"/>
          <w:rFonts w:hint="eastAsia" w:cs="Times New Roman"/>
          <w:color w:val="000000" w:themeColor="text1"/>
          <w:sz w:val="24"/>
          <w:szCs w:val="24"/>
        </w:rPr>
        <w:t>城</w:t>
      </w:r>
      <w:r>
        <w:rPr>
          <w:rFonts w:cs="Times New Roman"/>
          <w:color w:val="000000" w:themeColor="text1"/>
          <w:szCs w:val="24"/>
        </w:rPr>
        <w:t>设置了环境空气质量自动监测站，对新平县环境空气质量实行实时监测，监测点位设置在新平县一小，距离本项目区约有39km。新平县</w:t>
      </w:r>
      <w:r>
        <w:rPr>
          <w:rFonts w:hint="eastAsia" w:cs="Times New Roman"/>
          <w:color w:val="000000" w:themeColor="text1"/>
          <w:szCs w:val="24"/>
        </w:rPr>
        <w:t>2020</w:t>
      </w:r>
      <w:r>
        <w:rPr>
          <w:rFonts w:cs="Times New Roman"/>
          <w:color w:val="000000" w:themeColor="text1"/>
          <w:szCs w:val="24"/>
        </w:rPr>
        <w:t>年环境空气质量统计情况如下表所示：</w:t>
      </w:r>
    </w:p>
    <w:p>
      <w:pPr>
        <w:ind w:firstLine="422"/>
        <w:jc w:val="center"/>
        <w:rPr>
          <w:b/>
          <w:bCs/>
          <w:color w:val="000000" w:themeColor="text1"/>
          <w:sz w:val="21"/>
          <w:szCs w:val="21"/>
        </w:rPr>
      </w:pPr>
      <w:r>
        <w:rPr>
          <w:b/>
          <w:bCs/>
          <w:color w:val="000000" w:themeColor="text1"/>
          <w:sz w:val="21"/>
          <w:szCs w:val="21"/>
        </w:rPr>
        <w:t>表5.2-1区域空气质量现状评价表</w:t>
      </w:r>
    </w:p>
    <w:tbl>
      <w:tblPr>
        <w:tblStyle w:val="641"/>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1"/>
        <w:gridCol w:w="2527"/>
        <w:gridCol w:w="1139"/>
        <w:gridCol w:w="1415"/>
        <w:gridCol w:w="1275"/>
        <w:gridCol w:w="1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1"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污染物</w:t>
            </w:r>
          </w:p>
        </w:tc>
        <w:tc>
          <w:tcPr>
            <w:tcW w:w="2527"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年评价指标</w:t>
            </w:r>
          </w:p>
        </w:tc>
        <w:tc>
          <w:tcPr>
            <w:tcW w:w="1139"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现状浓度（ug/m</w:t>
            </w:r>
            <w:r>
              <w:rPr>
                <w:color w:val="000000" w:themeColor="text1"/>
                <w:sz w:val="21"/>
                <w:szCs w:val="21"/>
                <w:vertAlign w:val="superscript"/>
              </w:rPr>
              <w:t>3</w:t>
            </w:r>
            <w:r>
              <w:rPr>
                <w:color w:val="000000" w:themeColor="text1"/>
                <w:sz w:val="21"/>
                <w:szCs w:val="21"/>
              </w:rPr>
              <w:t>）</w:t>
            </w:r>
          </w:p>
        </w:tc>
        <w:tc>
          <w:tcPr>
            <w:tcW w:w="141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标准值</w:t>
            </w:r>
          </w:p>
          <w:p>
            <w:pPr>
              <w:adjustRightInd w:val="0"/>
              <w:snapToGrid w:val="0"/>
              <w:spacing w:line="240" w:lineRule="auto"/>
              <w:ind w:firstLine="0" w:firstLineChars="0"/>
              <w:jc w:val="center"/>
              <w:rPr>
                <w:color w:val="000000" w:themeColor="text1"/>
                <w:sz w:val="21"/>
                <w:szCs w:val="21"/>
              </w:rPr>
            </w:pPr>
            <w:r>
              <w:rPr>
                <w:color w:val="000000" w:themeColor="text1"/>
                <w:sz w:val="21"/>
                <w:szCs w:val="21"/>
              </w:rPr>
              <w:t>（ug/m</w:t>
            </w:r>
            <w:r>
              <w:rPr>
                <w:color w:val="000000" w:themeColor="text1"/>
                <w:sz w:val="21"/>
                <w:szCs w:val="21"/>
                <w:vertAlign w:val="superscript"/>
              </w:rPr>
              <w:t>3</w:t>
            </w:r>
            <w:r>
              <w:rPr>
                <w:color w:val="000000" w:themeColor="text1"/>
                <w:sz w:val="21"/>
                <w:szCs w:val="21"/>
              </w:rPr>
              <w:t>）</w:t>
            </w:r>
          </w:p>
        </w:tc>
        <w:tc>
          <w:tcPr>
            <w:tcW w:w="127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占标率/%</w:t>
            </w:r>
          </w:p>
        </w:tc>
        <w:tc>
          <w:tcPr>
            <w:tcW w:w="132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评价结果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1" w:type="dxa"/>
            <w:vMerge w:val="restart"/>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SO</w:t>
            </w:r>
            <w:r>
              <w:rPr>
                <w:color w:val="000000" w:themeColor="text1"/>
                <w:sz w:val="21"/>
                <w:szCs w:val="21"/>
                <w:vertAlign w:val="subscript"/>
              </w:rPr>
              <w:t>2</w:t>
            </w:r>
          </w:p>
        </w:tc>
        <w:tc>
          <w:tcPr>
            <w:tcW w:w="2527"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年平均质量浓度</w:t>
            </w:r>
          </w:p>
        </w:tc>
        <w:tc>
          <w:tcPr>
            <w:tcW w:w="1139"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4.56</w:t>
            </w:r>
          </w:p>
        </w:tc>
        <w:tc>
          <w:tcPr>
            <w:tcW w:w="141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60</w:t>
            </w:r>
          </w:p>
        </w:tc>
        <w:tc>
          <w:tcPr>
            <w:tcW w:w="127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7.6</w:t>
            </w:r>
          </w:p>
        </w:tc>
        <w:tc>
          <w:tcPr>
            <w:tcW w:w="132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1" w:type="dxa"/>
            <w:vMerge w:val="continue"/>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p>
        </w:tc>
        <w:tc>
          <w:tcPr>
            <w:tcW w:w="2527"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24h平均第98百分位数</w:t>
            </w:r>
          </w:p>
        </w:tc>
        <w:tc>
          <w:tcPr>
            <w:tcW w:w="1139"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6</w:t>
            </w:r>
          </w:p>
        </w:tc>
        <w:tc>
          <w:tcPr>
            <w:tcW w:w="141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150</w:t>
            </w:r>
          </w:p>
        </w:tc>
        <w:tc>
          <w:tcPr>
            <w:tcW w:w="127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4</w:t>
            </w:r>
          </w:p>
        </w:tc>
        <w:tc>
          <w:tcPr>
            <w:tcW w:w="132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1" w:type="dxa"/>
            <w:vMerge w:val="restart"/>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NO</w:t>
            </w:r>
            <w:r>
              <w:rPr>
                <w:color w:val="000000" w:themeColor="text1"/>
                <w:sz w:val="21"/>
                <w:szCs w:val="21"/>
                <w:vertAlign w:val="subscript"/>
              </w:rPr>
              <w:t>2</w:t>
            </w:r>
          </w:p>
        </w:tc>
        <w:tc>
          <w:tcPr>
            <w:tcW w:w="2527"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年平均质量浓度</w:t>
            </w:r>
          </w:p>
        </w:tc>
        <w:tc>
          <w:tcPr>
            <w:tcW w:w="1139"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8.37</w:t>
            </w:r>
          </w:p>
        </w:tc>
        <w:tc>
          <w:tcPr>
            <w:tcW w:w="141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40</w:t>
            </w:r>
          </w:p>
        </w:tc>
        <w:tc>
          <w:tcPr>
            <w:tcW w:w="127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20.93</w:t>
            </w:r>
          </w:p>
        </w:tc>
        <w:tc>
          <w:tcPr>
            <w:tcW w:w="132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1" w:type="dxa"/>
            <w:vMerge w:val="continue"/>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p>
        </w:tc>
        <w:tc>
          <w:tcPr>
            <w:tcW w:w="2527"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24h平均第98百分位数</w:t>
            </w:r>
          </w:p>
        </w:tc>
        <w:tc>
          <w:tcPr>
            <w:tcW w:w="1139"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15</w:t>
            </w:r>
          </w:p>
        </w:tc>
        <w:tc>
          <w:tcPr>
            <w:tcW w:w="141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80</w:t>
            </w:r>
          </w:p>
        </w:tc>
        <w:tc>
          <w:tcPr>
            <w:tcW w:w="127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18.75</w:t>
            </w:r>
          </w:p>
        </w:tc>
        <w:tc>
          <w:tcPr>
            <w:tcW w:w="132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1" w:type="dxa"/>
            <w:vMerge w:val="restart"/>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PM</w:t>
            </w:r>
            <w:r>
              <w:rPr>
                <w:color w:val="000000" w:themeColor="text1"/>
                <w:sz w:val="21"/>
                <w:szCs w:val="21"/>
                <w:vertAlign w:val="subscript"/>
              </w:rPr>
              <w:t>10</w:t>
            </w:r>
          </w:p>
        </w:tc>
        <w:tc>
          <w:tcPr>
            <w:tcW w:w="2527"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年平均质量浓度</w:t>
            </w:r>
          </w:p>
        </w:tc>
        <w:tc>
          <w:tcPr>
            <w:tcW w:w="1139"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25.39</w:t>
            </w:r>
          </w:p>
        </w:tc>
        <w:tc>
          <w:tcPr>
            <w:tcW w:w="141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70</w:t>
            </w:r>
          </w:p>
        </w:tc>
        <w:tc>
          <w:tcPr>
            <w:tcW w:w="127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36.27</w:t>
            </w:r>
          </w:p>
        </w:tc>
        <w:tc>
          <w:tcPr>
            <w:tcW w:w="132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1" w:type="dxa"/>
            <w:vMerge w:val="continue"/>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p>
        </w:tc>
        <w:tc>
          <w:tcPr>
            <w:tcW w:w="2527"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24h平均第95百分位数</w:t>
            </w:r>
          </w:p>
        </w:tc>
        <w:tc>
          <w:tcPr>
            <w:tcW w:w="1139"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55.3</w:t>
            </w:r>
          </w:p>
        </w:tc>
        <w:tc>
          <w:tcPr>
            <w:tcW w:w="141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150</w:t>
            </w:r>
          </w:p>
        </w:tc>
        <w:tc>
          <w:tcPr>
            <w:tcW w:w="127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36.87</w:t>
            </w:r>
          </w:p>
        </w:tc>
        <w:tc>
          <w:tcPr>
            <w:tcW w:w="132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1" w:type="dxa"/>
            <w:vMerge w:val="restart"/>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PM</w:t>
            </w:r>
            <w:r>
              <w:rPr>
                <w:color w:val="000000" w:themeColor="text1"/>
                <w:sz w:val="21"/>
                <w:szCs w:val="21"/>
                <w:vertAlign w:val="subscript"/>
              </w:rPr>
              <w:t>2.5</w:t>
            </w:r>
          </w:p>
        </w:tc>
        <w:tc>
          <w:tcPr>
            <w:tcW w:w="2527"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年平均质量浓度</w:t>
            </w:r>
          </w:p>
        </w:tc>
        <w:tc>
          <w:tcPr>
            <w:tcW w:w="1139"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15.44</w:t>
            </w:r>
          </w:p>
        </w:tc>
        <w:tc>
          <w:tcPr>
            <w:tcW w:w="141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35</w:t>
            </w:r>
          </w:p>
        </w:tc>
        <w:tc>
          <w:tcPr>
            <w:tcW w:w="127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44.11</w:t>
            </w:r>
          </w:p>
        </w:tc>
        <w:tc>
          <w:tcPr>
            <w:tcW w:w="132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1" w:type="dxa"/>
            <w:vMerge w:val="continue"/>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p>
        </w:tc>
        <w:tc>
          <w:tcPr>
            <w:tcW w:w="2527"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24h平均第95百分位数</w:t>
            </w:r>
          </w:p>
        </w:tc>
        <w:tc>
          <w:tcPr>
            <w:tcW w:w="1139"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44</w:t>
            </w:r>
          </w:p>
        </w:tc>
        <w:tc>
          <w:tcPr>
            <w:tcW w:w="141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75</w:t>
            </w:r>
          </w:p>
        </w:tc>
        <w:tc>
          <w:tcPr>
            <w:tcW w:w="127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58.67</w:t>
            </w:r>
          </w:p>
        </w:tc>
        <w:tc>
          <w:tcPr>
            <w:tcW w:w="132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1" w:type="dxa"/>
            <w:vMerge w:val="restart"/>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CO</w:t>
            </w:r>
          </w:p>
        </w:tc>
        <w:tc>
          <w:tcPr>
            <w:tcW w:w="2527"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年平均质量浓度</w:t>
            </w:r>
          </w:p>
        </w:tc>
        <w:tc>
          <w:tcPr>
            <w:tcW w:w="1139"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573</w:t>
            </w:r>
          </w:p>
        </w:tc>
        <w:tc>
          <w:tcPr>
            <w:tcW w:w="141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4000</w:t>
            </w:r>
          </w:p>
        </w:tc>
        <w:tc>
          <w:tcPr>
            <w:tcW w:w="127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14.33</w:t>
            </w:r>
          </w:p>
        </w:tc>
        <w:tc>
          <w:tcPr>
            <w:tcW w:w="132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1" w:type="dxa"/>
            <w:vMerge w:val="continue"/>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p>
        </w:tc>
        <w:tc>
          <w:tcPr>
            <w:tcW w:w="2527"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24h平均第95百分位数</w:t>
            </w:r>
          </w:p>
        </w:tc>
        <w:tc>
          <w:tcPr>
            <w:tcW w:w="1139"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900</w:t>
            </w:r>
          </w:p>
        </w:tc>
        <w:tc>
          <w:tcPr>
            <w:tcW w:w="141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4000</w:t>
            </w:r>
          </w:p>
        </w:tc>
        <w:tc>
          <w:tcPr>
            <w:tcW w:w="127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22.5</w:t>
            </w:r>
          </w:p>
        </w:tc>
        <w:tc>
          <w:tcPr>
            <w:tcW w:w="132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1" w:type="dxa"/>
            <w:vMerge w:val="restart"/>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O</w:t>
            </w:r>
            <w:r>
              <w:rPr>
                <w:color w:val="000000" w:themeColor="text1"/>
                <w:sz w:val="21"/>
                <w:szCs w:val="21"/>
                <w:vertAlign w:val="subscript"/>
              </w:rPr>
              <w:t>3</w:t>
            </w:r>
          </w:p>
        </w:tc>
        <w:tc>
          <w:tcPr>
            <w:tcW w:w="2527"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8小时平均质量浓度</w:t>
            </w:r>
          </w:p>
        </w:tc>
        <w:tc>
          <w:tcPr>
            <w:tcW w:w="1139"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75.86</w:t>
            </w:r>
          </w:p>
        </w:tc>
        <w:tc>
          <w:tcPr>
            <w:tcW w:w="141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160</w:t>
            </w:r>
          </w:p>
        </w:tc>
        <w:tc>
          <w:tcPr>
            <w:tcW w:w="127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47.41</w:t>
            </w:r>
          </w:p>
        </w:tc>
        <w:tc>
          <w:tcPr>
            <w:tcW w:w="132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1" w:type="dxa"/>
            <w:vMerge w:val="continue"/>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p>
        </w:tc>
        <w:tc>
          <w:tcPr>
            <w:tcW w:w="2527"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8h平均第90百分位数</w:t>
            </w:r>
          </w:p>
        </w:tc>
        <w:tc>
          <w:tcPr>
            <w:tcW w:w="1139"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121</w:t>
            </w:r>
          </w:p>
        </w:tc>
        <w:tc>
          <w:tcPr>
            <w:tcW w:w="141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160</w:t>
            </w:r>
          </w:p>
        </w:tc>
        <w:tc>
          <w:tcPr>
            <w:tcW w:w="127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75.63</w:t>
            </w:r>
          </w:p>
        </w:tc>
        <w:tc>
          <w:tcPr>
            <w:tcW w:w="1325" w:type="dxa"/>
            <w:tcBorders>
              <w:tl2br w:val="nil"/>
              <w:tr2bl w:val="nil"/>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达标</w:t>
            </w:r>
          </w:p>
        </w:tc>
      </w:tr>
    </w:tbl>
    <w:p>
      <w:pPr>
        <w:widowControl/>
        <w:ind w:firstLine="480"/>
        <w:rPr>
          <w:rFonts w:eastAsiaTheme="minorEastAsia"/>
          <w:color w:val="000000" w:themeColor="text1"/>
        </w:rPr>
      </w:pPr>
      <w:r>
        <w:rPr>
          <w:color w:val="000000" w:themeColor="text1"/>
          <w:szCs w:val="24"/>
        </w:rPr>
        <w:t>根据以上统计结果显示，新平县环境空气PM</w:t>
      </w:r>
      <w:r>
        <w:rPr>
          <w:color w:val="000000" w:themeColor="text1"/>
          <w:szCs w:val="24"/>
          <w:vertAlign w:val="subscript"/>
        </w:rPr>
        <w:t>10</w:t>
      </w:r>
      <w:r>
        <w:rPr>
          <w:color w:val="000000" w:themeColor="text1"/>
          <w:szCs w:val="24"/>
        </w:rPr>
        <w:t>、PM</w:t>
      </w:r>
      <w:r>
        <w:rPr>
          <w:color w:val="000000" w:themeColor="text1"/>
          <w:szCs w:val="24"/>
          <w:vertAlign w:val="subscript"/>
        </w:rPr>
        <w:t>2.5</w:t>
      </w:r>
      <w:r>
        <w:rPr>
          <w:color w:val="000000" w:themeColor="text1"/>
          <w:szCs w:val="24"/>
        </w:rPr>
        <w:t>、SO</w:t>
      </w:r>
      <w:r>
        <w:rPr>
          <w:color w:val="000000" w:themeColor="text1"/>
          <w:szCs w:val="24"/>
          <w:vertAlign w:val="subscript"/>
        </w:rPr>
        <w:t>2</w:t>
      </w:r>
      <w:r>
        <w:rPr>
          <w:color w:val="000000" w:themeColor="text1"/>
          <w:szCs w:val="24"/>
        </w:rPr>
        <w:t>、NO</w:t>
      </w:r>
      <w:r>
        <w:rPr>
          <w:color w:val="000000" w:themeColor="text1"/>
          <w:szCs w:val="24"/>
          <w:vertAlign w:val="subscript"/>
        </w:rPr>
        <w:t>2</w:t>
      </w:r>
      <w:r>
        <w:rPr>
          <w:color w:val="000000" w:themeColor="text1"/>
          <w:szCs w:val="24"/>
        </w:rPr>
        <w:t>、CO、O</w:t>
      </w:r>
      <w:r>
        <w:rPr>
          <w:color w:val="000000" w:themeColor="text1"/>
          <w:szCs w:val="24"/>
          <w:vertAlign w:val="subscript"/>
        </w:rPr>
        <w:t>3</w:t>
      </w:r>
      <w:r>
        <w:rPr>
          <w:color w:val="000000" w:themeColor="text1"/>
          <w:szCs w:val="24"/>
        </w:rPr>
        <w:t>均能满足要求。因此</w:t>
      </w:r>
      <w:r>
        <w:rPr>
          <w:rStyle w:val="73"/>
          <w:color w:val="000000" w:themeColor="text1"/>
          <w:sz w:val="24"/>
          <w:szCs w:val="24"/>
        </w:rPr>
        <w:t>判定</w:t>
      </w:r>
      <w:r>
        <w:rPr>
          <w:color w:val="000000" w:themeColor="text1"/>
          <w:szCs w:val="24"/>
        </w:rPr>
        <w:t>项目所属行政辖区为大气环境质量达标区。</w:t>
      </w:r>
    </w:p>
    <w:p>
      <w:pPr>
        <w:ind w:firstLine="480"/>
        <w:rPr>
          <w:rFonts w:eastAsiaTheme="minorEastAsia"/>
          <w:color w:val="000000" w:themeColor="text1"/>
        </w:rPr>
      </w:pPr>
      <w:r>
        <w:rPr>
          <w:rFonts w:eastAsiaTheme="minorEastAsia"/>
          <w:color w:val="000000" w:themeColor="text1"/>
        </w:rPr>
        <w:t>2、</w:t>
      </w:r>
      <w:r>
        <w:rPr>
          <w:color w:val="000000" w:themeColor="text1"/>
        </w:rPr>
        <w:t>评价范围内环境空气质量现状</w:t>
      </w:r>
    </w:p>
    <w:p>
      <w:pPr>
        <w:ind w:firstLine="480"/>
        <w:rPr>
          <w:rFonts w:eastAsiaTheme="minorEastAsia"/>
          <w:color w:val="000000" w:themeColor="text1"/>
          <w:szCs w:val="20"/>
        </w:rPr>
      </w:pPr>
      <w:r>
        <w:rPr>
          <w:rFonts w:eastAsiaTheme="minorEastAsia"/>
          <w:color w:val="000000" w:themeColor="text1"/>
        </w:rPr>
        <w:t>项目开展环境质量现状补充监测时，原有项目处于正常生产状态。</w:t>
      </w:r>
    </w:p>
    <w:p>
      <w:pPr>
        <w:ind w:firstLine="480"/>
        <w:jc w:val="both"/>
        <w:rPr>
          <w:rFonts w:eastAsiaTheme="minorEastAsia"/>
          <w:color w:val="000000" w:themeColor="text1"/>
          <w:szCs w:val="20"/>
        </w:rPr>
      </w:pPr>
      <w:r>
        <w:rPr>
          <w:rFonts w:eastAsiaTheme="minorEastAsia"/>
          <w:color w:val="000000" w:themeColor="text1"/>
          <w:szCs w:val="20"/>
        </w:rPr>
        <w:t>（1）现状补充监测</w:t>
      </w:r>
    </w:p>
    <w:p>
      <w:pPr>
        <w:ind w:firstLine="480"/>
        <w:jc w:val="both"/>
        <w:rPr>
          <w:rFonts w:eastAsiaTheme="minorEastAsia"/>
          <w:color w:val="000000" w:themeColor="text1"/>
          <w:szCs w:val="20"/>
        </w:rPr>
      </w:pPr>
      <w:r>
        <w:rPr>
          <w:rFonts w:eastAsiaTheme="minorEastAsia"/>
          <w:color w:val="000000" w:themeColor="text1"/>
          <w:szCs w:val="20"/>
        </w:rPr>
        <w:t>监测点：在</w:t>
      </w:r>
      <w:r>
        <w:rPr>
          <w:rFonts w:eastAsiaTheme="minorEastAsia"/>
          <w:color w:val="000000" w:themeColor="text1"/>
          <w:szCs w:val="24"/>
        </w:rPr>
        <w:t>项目办公生活区、四坡斗村各</w:t>
      </w:r>
      <w:r>
        <w:rPr>
          <w:rFonts w:eastAsiaTheme="minorEastAsia"/>
          <w:color w:val="000000" w:themeColor="text1"/>
          <w:szCs w:val="20"/>
        </w:rPr>
        <w:t>布设1个大气监测点位。</w:t>
      </w:r>
    </w:p>
    <w:p>
      <w:pPr>
        <w:ind w:firstLine="480"/>
        <w:jc w:val="both"/>
        <w:rPr>
          <w:rFonts w:eastAsiaTheme="minorEastAsia"/>
          <w:color w:val="000000" w:themeColor="text1"/>
          <w:szCs w:val="20"/>
        </w:rPr>
      </w:pPr>
      <w:r>
        <w:rPr>
          <w:rFonts w:eastAsiaTheme="minorEastAsia"/>
          <w:color w:val="000000" w:themeColor="text1"/>
          <w:szCs w:val="20"/>
        </w:rPr>
        <w:t>监测项目：</w:t>
      </w:r>
      <w:r>
        <w:rPr>
          <w:rFonts w:eastAsiaTheme="minorEastAsia"/>
          <w:color w:val="000000" w:themeColor="text1"/>
          <w:szCs w:val="21"/>
        </w:rPr>
        <w:t>SO</w:t>
      </w:r>
      <w:r>
        <w:rPr>
          <w:rFonts w:eastAsiaTheme="minorEastAsia"/>
          <w:color w:val="000000" w:themeColor="text1"/>
          <w:szCs w:val="21"/>
          <w:vertAlign w:val="subscript"/>
        </w:rPr>
        <w:t>2</w:t>
      </w:r>
      <w:r>
        <w:rPr>
          <w:rFonts w:eastAsiaTheme="minorEastAsia"/>
          <w:color w:val="000000" w:themeColor="text1"/>
          <w:szCs w:val="21"/>
        </w:rPr>
        <w:t>、NO</w:t>
      </w:r>
      <w:r>
        <w:rPr>
          <w:rFonts w:eastAsiaTheme="minorEastAsia"/>
          <w:color w:val="000000" w:themeColor="text1"/>
          <w:szCs w:val="21"/>
          <w:vertAlign w:val="subscript"/>
        </w:rPr>
        <w:t>2</w:t>
      </w:r>
      <w:r>
        <w:rPr>
          <w:rFonts w:eastAsiaTheme="minorEastAsia"/>
          <w:color w:val="000000" w:themeColor="text1"/>
          <w:szCs w:val="21"/>
        </w:rPr>
        <w:t>、TSP、PM</w:t>
      </w:r>
      <w:r>
        <w:rPr>
          <w:rFonts w:eastAsiaTheme="minorEastAsia"/>
          <w:color w:val="000000" w:themeColor="text1"/>
          <w:szCs w:val="21"/>
          <w:vertAlign w:val="subscript"/>
        </w:rPr>
        <w:t>10</w:t>
      </w:r>
      <w:r>
        <w:rPr>
          <w:rFonts w:eastAsiaTheme="minorEastAsia"/>
          <w:color w:val="000000" w:themeColor="text1"/>
          <w:szCs w:val="21"/>
        </w:rPr>
        <w:t>；</w:t>
      </w:r>
    </w:p>
    <w:p>
      <w:pPr>
        <w:ind w:firstLine="480"/>
        <w:jc w:val="both"/>
        <w:rPr>
          <w:rFonts w:eastAsiaTheme="minorEastAsia"/>
          <w:color w:val="000000" w:themeColor="text1"/>
          <w:szCs w:val="21"/>
        </w:rPr>
      </w:pPr>
      <w:r>
        <w:rPr>
          <w:rFonts w:eastAsiaTheme="minorEastAsia"/>
          <w:color w:val="000000" w:themeColor="text1"/>
          <w:szCs w:val="20"/>
        </w:rPr>
        <w:t>监测周期与频率：2019年8月25日至8月31日</w:t>
      </w:r>
      <w:r>
        <w:rPr>
          <w:rFonts w:eastAsiaTheme="minorEastAsia"/>
          <w:color w:val="000000" w:themeColor="text1"/>
          <w:szCs w:val="21"/>
        </w:rPr>
        <w:t>连续监测7天。TSP监测日均值；PM</w:t>
      </w:r>
      <w:r>
        <w:rPr>
          <w:rFonts w:eastAsiaTheme="minorEastAsia"/>
          <w:color w:val="000000" w:themeColor="text1"/>
          <w:szCs w:val="21"/>
          <w:vertAlign w:val="subscript"/>
        </w:rPr>
        <w:t>10</w:t>
      </w:r>
      <w:r>
        <w:rPr>
          <w:rFonts w:eastAsiaTheme="minorEastAsia"/>
          <w:color w:val="000000" w:themeColor="text1"/>
          <w:szCs w:val="21"/>
        </w:rPr>
        <w:t>监测</w:t>
      </w:r>
      <w:r>
        <w:rPr>
          <w:rFonts w:hint="eastAsia" w:eastAsiaTheme="minorEastAsia"/>
          <w:color w:val="000000" w:themeColor="text1"/>
          <w:szCs w:val="21"/>
        </w:rPr>
        <w:t>日均值</w:t>
      </w:r>
      <w:r>
        <w:rPr>
          <w:rFonts w:eastAsiaTheme="minorEastAsia"/>
          <w:color w:val="000000" w:themeColor="text1"/>
          <w:szCs w:val="21"/>
        </w:rPr>
        <w:t>；SO</w:t>
      </w:r>
      <w:r>
        <w:rPr>
          <w:rFonts w:eastAsiaTheme="minorEastAsia"/>
          <w:color w:val="000000" w:themeColor="text1"/>
          <w:szCs w:val="21"/>
          <w:vertAlign w:val="subscript"/>
        </w:rPr>
        <w:t>2</w:t>
      </w:r>
      <w:r>
        <w:rPr>
          <w:rFonts w:eastAsiaTheme="minorEastAsia"/>
          <w:color w:val="000000" w:themeColor="text1"/>
          <w:szCs w:val="21"/>
        </w:rPr>
        <w:t>、NO</w:t>
      </w:r>
      <w:r>
        <w:rPr>
          <w:rFonts w:eastAsiaTheme="minorEastAsia"/>
          <w:color w:val="000000" w:themeColor="text1"/>
          <w:szCs w:val="21"/>
          <w:vertAlign w:val="subscript"/>
        </w:rPr>
        <w:t>2</w:t>
      </w:r>
      <w:r>
        <w:rPr>
          <w:rFonts w:eastAsiaTheme="minorEastAsia"/>
          <w:color w:val="000000" w:themeColor="text1"/>
          <w:szCs w:val="21"/>
        </w:rPr>
        <w:t>小时均值，小时均值每小时至少有45min的采样时间。</w:t>
      </w:r>
    </w:p>
    <w:p>
      <w:pPr>
        <w:ind w:firstLine="480"/>
        <w:jc w:val="both"/>
        <w:rPr>
          <w:rFonts w:eastAsiaTheme="minorEastAsia"/>
          <w:color w:val="000000" w:themeColor="text1"/>
          <w:szCs w:val="21"/>
        </w:rPr>
      </w:pPr>
      <w:r>
        <w:rPr>
          <w:rFonts w:eastAsiaTheme="minorEastAsia"/>
          <w:color w:val="000000" w:themeColor="text1"/>
          <w:szCs w:val="21"/>
        </w:rPr>
        <w:t>监测方法：按照国家颁布的标准方法进行监测，执行《环境空气质量标准》（GB3095-2012）。</w:t>
      </w:r>
    </w:p>
    <w:p>
      <w:pPr>
        <w:ind w:firstLine="480"/>
        <w:jc w:val="both"/>
        <w:rPr>
          <w:rFonts w:eastAsiaTheme="minorEastAsia"/>
          <w:color w:val="000000" w:themeColor="text1"/>
          <w:szCs w:val="20"/>
        </w:rPr>
      </w:pPr>
      <w:r>
        <w:rPr>
          <w:rFonts w:eastAsiaTheme="minorEastAsia"/>
          <w:color w:val="000000" w:themeColor="text1"/>
          <w:szCs w:val="20"/>
        </w:rPr>
        <w:t>（2）评价标准</w:t>
      </w:r>
    </w:p>
    <w:p>
      <w:pPr>
        <w:ind w:firstLine="480"/>
        <w:jc w:val="both"/>
        <w:rPr>
          <w:rFonts w:eastAsiaTheme="minorEastAsia"/>
          <w:color w:val="000000" w:themeColor="text1"/>
          <w:szCs w:val="20"/>
        </w:rPr>
      </w:pPr>
      <w:r>
        <w:rPr>
          <w:rFonts w:eastAsiaTheme="minorEastAsia"/>
          <w:color w:val="000000" w:themeColor="text1"/>
          <w:szCs w:val="20"/>
        </w:rPr>
        <w:t>项目环境空气质量执行《环境空气质量标准》（GB3095-2012）中的二级标准。</w:t>
      </w:r>
    </w:p>
    <w:p>
      <w:pPr>
        <w:ind w:firstLine="480"/>
        <w:rPr>
          <w:rFonts w:eastAsiaTheme="minorEastAsia"/>
          <w:color w:val="000000" w:themeColor="text1"/>
          <w:szCs w:val="20"/>
        </w:rPr>
      </w:pPr>
      <w:r>
        <w:rPr>
          <w:rFonts w:eastAsiaTheme="minorEastAsia"/>
          <w:color w:val="000000" w:themeColor="text1"/>
          <w:szCs w:val="20"/>
        </w:rPr>
        <w:t>（</w:t>
      </w:r>
      <w:r>
        <w:rPr>
          <w:rFonts w:hint="eastAsia" w:eastAsiaTheme="minorEastAsia"/>
          <w:color w:val="000000" w:themeColor="text1"/>
          <w:szCs w:val="20"/>
        </w:rPr>
        <w:t>3</w:t>
      </w:r>
      <w:r>
        <w:rPr>
          <w:rFonts w:eastAsiaTheme="minorEastAsia"/>
          <w:color w:val="000000" w:themeColor="text1"/>
          <w:szCs w:val="20"/>
        </w:rPr>
        <w:t>）监测分析方法</w:t>
      </w:r>
    </w:p>
    <w:p>
      <w:pPr>
        <w:ind w:firstLine="480"/>
        <w:rPr>
          <w:rFonts w:eastAsiaTheme="minorEastAsia"/>
          <w:color w:val="000000" w:themeColor="text1"/>
        </w:rPr>
      </w:pPr>
      <w:r>
        <w:rPr>
          <w:rFonts w:eastAsiaTheme="minorEastAsia"/>
          <w:color w:val="000000" w:themeColor="text1"/>
        </w:rPr>
        <w:t>采用的监测分析方法见表5.2-2。</w:t>
      </w:r>
    </w:p>
    <w:p>
      <w:pPr>
        <w:adjustRightInd w:val="0"/>
        <w:snapToGrid w:val="0"/>
        <w:ind w:firstLine="0" w:firstLineChars="0"/>
        <w:jc w:val="center"/>
        <w:textAlignment w:val="baseline"/>
        <w:rPr>
          <w:rFonts w:eastAsiaTheme="minorEastAsia"/>
          <w:b/>
          <w:bCs/>
          <w:color w:val="000000" w:themeColor="text1"/>
          <w:sz w:val="21"/>
          <w:szCs w:val="20"/>
        </w:rPr>
      </w:pPr>
      <w:r>
        <w:rPr>
          <w:rFonts w:eastAsiaTheme="minorEastAsia"/>
          <w:b/>
          <w:bCs/>
          <w:color w:val="000000" w:themeColor="text1"/>
          <w:sz w:val="21"/>
          <w:szCs w:val="20"/>
        </w:rPr>
        <w:t>表5.2-2监测分析方法</w:t>
      </w:r>
    </w:p>
    <w:tbl>
      <w:tblPr>
        <w:tblStyle w:val="61"/>
        <w:tblW w:w="853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6"/>
        <w:gridCol w:w="3411"/>
        <w:gridCol w:w="1713"/>
        <w:gridCol w:w="18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498" w:hRule="atLeast"/>
          <w:tblHeader/>
          <w:jc w:val="center"/>
        </w:trPr>
        <w:tc>
          <w:tcPr>
            <w:tcW w:w="1516"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检测项目</w:t>
            </w:r>
          </w:p>
        </w:tc>
        <w:tc>
          <w:tcPr>
            <w:tcW w:w="3411"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eastAsia="en-US" w:bidi="en-US"/>
              </w:rPr>
              <w:t>检测方法</w:t>
            </w:r>
          </w:p>
        </w:tc>
        <w:tc>
          <w:tcPr>
            <w:tcW w:w="1713"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标准编号</w:t>
            </w:r>
          </w:p>
        </w:tc>
        <w:tc>
          <w:tcPr>
            <w:tcW w:w="1897"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506" w:hRule="atLeast"/>
          <w:jc w:val="center"/>
        </w:trPr>
        <w:tc>
          <w:tcPr>
            <w:tcW w:w="1516"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TSP</w:t>
            </w:r>
          </w:p>
        </w:tc>
        <w:tc>
          <w:tcPr>
            <w:tcW w:w="3411"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总悬浮颗粒物的测定重量法</w:t>
            </w:r>
          </w:p>
        </w:tc>
        <w:tc>
          <w:tcPr>
            <w:tcW w:w="1713"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GB/T15432-1995</w:t>
            </w:r>
          </w:p>
        </w:tc>
        <w:tc>
          <w:tcPr>
            <w:tcW w:w="1897"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0.001mg/m</w:t>
            </w:r>
            <w:r>
              <w:rPr>
                <w:rFonts w:eastAsiaTheme="minorEastAsia"/>
                <w:color w:val="000000" w:themeColor="text1"/>
                <w:kern w:val="0"/>
                <w:sz w:val="21"/>
                <w:szCs w:val="21"/>
                <w:vertAlign w:val="superscript"/>
                <w:lang w:eastAsia="en-US" w:bidi="en-US"/>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59" w:hRule="atLeast"/>
          <w:jc w:val="center"/>
        </w:trPr>
        <w:tc>
          <w:tcPr>
            <w:tcW w:w="1516"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PM</w:t>
            </w:r>
            <w:r>
              <w:rPr>
                <w:rFonts w:eastAsiaTheme="minorEastAsia"/>
                <w:color w:val="000000" w:themeColor="text1"/>
                <w:kern w:val="0"/>
                <w:sz w:val="21"/>
                <w:szCs w:val="21"/>
                <w:vertAlign w:val="subscript"/>
                <w:lang w:eastAsia="en-US" w:bidi="en-US"/>
              </w:rPr>
              <w:t>10</w:t>
            </w:r>
          </w:p>
        </w:tc>
        <w:tc>
          <w:tcPr>
            <w:tcW w:w="3411"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环境空气PM</w:t>
            </w:r>
            <w:r>
              <w:rPr>
                <w:rFonts w:eastAsiaTheme="minorEastAsia"/>
                <w:color w:val="000000" w:themeColor="text1"/>
                <w:kern w:val="0"/>
                <w:sz w:val="21"/>
                <w:szCs w:val="21"/>
                <w:vertAlign w:val="subscript"/>
                <w:lang w:bidi="en-US"/>
              </w:rPr>
              <w:t>10</w:t>
            </w:r>
            <w:r>
              <w:rPr>
                <w:rFonts w:eastAsiaTheme="minorEastAsia"/>
                <w:color w:val="000000" w:themeColor="text1"/>
                <w:kern w:val="0"/>
                <w:sz w:val="21"/>
                <w:szCs w:val="21"/>
                <w:lang w:bidi="en-US"/>
              </w:rPr>
              <w:t>和PM</w:t>
            </w:r>
            <w:r>
              <w:rPr>
                <w:rFonts w:eastAsiaTheme="minorEastAsia"/>
                <w:color w:val="000000" w:themeColor="text1"/>
                <w:kern w:val="0"/>
                <w:sz w:val="21"/>
                <w:szCs w:val="21"/>
                <w:vertAlign w:val="subscript"/>
                <w:lang w:bidi="en-US"/>
              </w:rPr>
              <w:t>2.5</w:t>
            </w:r>
            <w:r>
              <w:rPr>
                <w:rFonts w:eastAsiaTheme="minorEastAsia"/>
                <w:color w:val="000000" w:themeColor="text1"/>
                <w:kern w:val="0"/>
                <w:sz w:val="21"/>
                <w:szCs w:val="21"/>
                <w:lang w:bidi="en-US"/>
              </w:rPr>
              <w:t>测定</w:t>
            </w:r>
          </w:p>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eastAsia="en-US" w:bidi="en-US"/>
              </w:rPr>
              <w:t>重量法</w:t>
            </w:r>
          </w:p>
        </w:tc>
        <w:tc>
          <w:tcPr>
            <w:tcW w:w="1713"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HJ618-2011</w:t>
            </w:r>
          </w:p>
        </w:tc>
        <w:tc>
          <w:tcPr>
            <w:tcW w:w="1897"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0.010mg/m</w:t>
            </w:r>
            <w:r>
              <w:rPr>
                <w:rFonts w:eastAsiaTheme="minorEastAsia"/>
                <w:color w:val="000000" w:themeColor="text1"/>
                <w:kern w:val="0"/>
                <w:sz w:val="21"/>
                <w:szCs w:val="21"/>
                <w:vertAlign w:val="superscript"/>
                <w:lang w:eastAsia="en-US" w:bidi="en-US"/>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70" w:hRule="atLeast"/>
          <w:jc w:val="center"/>
        </w:trPr>
        <w:tc>
          <w:tcPr>
            <w:tcW w:w="1516"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NO</w:t>
            </w:r>
            <w:r>
              <w:rPr>
                <w:rFonts w:eastAsiaTheme="minorEastAsia"/>
                <w:color w:val="000000" w:themeColor="text1"/>
                <w:kern w:val="0"/>
                <w:sz w:val="21"/>
                <w:szCs w:val="21"/>
                <w:vertAlign w:val="subscript"/>
                <w:lang w:bidi="en-US"/>
              </w:rPr>
              <w:t>2</w:t>
            </w:r>
          </w:p>
        </w:tc>
        <w:tc>
          <w:tcPr>
            <w:tcW w:w="3411"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环境空气氮氧化物的测定</w:t>
            </w:r>
          </w:p>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盐酸萘乙二胺分光光度法</w:t>
            </w:r>
          </w:p>
        </w:tc>
        <w:tc>
          <w:tcPr>
            <w:tcW w:w="1713"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HJ479-2009</w:t>
            </w:r>
          </w:p>
        </w:tc>
        <w:tc>
          <w:tcPr>
            <w:tcW w:w="1897"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小时0.005mg/m</w:t>
            </w:r>
            <w:r>
              <w:rPr>
                <w:rFonts w:eastAsiaTheme="minorEastAsia"/>
                <w:color w:val="000000" w:themeColor="text1"/>
                <w:kern w:val="0"/>
                <w:sz w:val="21"/>
                <w:szCs w:val="21"/>
                <w:vertAlign w:val="superscript"/>
                <w:lang w:eastAsia="en-US" w:bidi="en-US"/>
              </w:rPr>
              <w:t>3</w:t>
            </w:r>
          </w:p>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日均0.003mg/m</w:t>
            </w:r>
            <w:r>
              <w:rPr>
                <w:rFonts w:eastAsiaTheme="minorEastAsia"/>
                <w:color w:val="000000" w:themeColor="text1"/>
                <w:kern w:val="0"/>
                <w:sz w:val="21"/>
                <w:szCs w:val="21"/>
                <w:vertAlign w:val="superscript"/>
                <w:lang w:eastAsia="en-US" w:bidi="en-US"/>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768" w:hRule="atLeast"/>
          <w:jc w:val="center"/>
        </w:trPr>
        <w:tc>
          <w:tcPr>
            <w:tcW w:w="1516"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SO</w:t>
            </w:r>
            <w:r>
              <w:rPr>
                <w:rFonts w:eastAsiaTheme="minorEastAsia"/>
                <w:color w:val="000000" w:themeColor="text1"/>
                <w:kern w:val="0"/>
                <w:sz w:val="21"/>
                <w:szCs w:val="21"/>
                <w:vertAlign w:val="subscript"/>
                <w:lang w:bidi="en-US"/>
              </w:rPr>
              <w:t>2</w:t>
            </w:r>
          </w:p>
        </w:tc>
        <w:tc>
          <w:tcPr>
            <w:tcW w:w="3411"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环境空气二氧化硫的测定</w:t>
            </w:r>
          </w:p>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甲醛吸收-副玫瑰苯胺分光光度法</w:t>
            </w:r>
          </w:p>
        </w:tc>
        <w:tc>
          <w:tcPr>
            <w:tcW w:w="1713"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HJ482-2009</w:t>
            </w:r>
          </w:p>
        </w:tc>
        <w:tc>
          <w:tcPr>
            <w:tcW w:w="1897"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小时0.007mg/m</w:t>
            </w:r>
            <w:r>
              <w:rPr>
                <w:rFonts w:eastAsiaTheme="minorEastAsia"/>
                <w:color w:val="000000" w:themeColor="text1"/>
                <w:kern w:val="0"/>
                <w:sz w:val="21"/>
                <w:szCs w:val="21"/>
                <w:vertAlign w:val="superscript"/>
                <w:lang w:eastAsia="en-US" w:bidi="en-US"/>
              </w:rPr>
              <w:t>3</w:t>
            </w:r>
          </w:p>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日均0.004mg/m</w:t>
            </w:r>
            <w:r>
              <w:rPr>
                <w:rFonts w:eastAsiaTheme="minorEastAsia"/>
                <w:color w:val="000000" w:themeColor="text1"/>
                <w:kern w:val="0"/>
                <w:sz w:val="21"/>
                <w:szCs w:val="21"/>
                <w:vertAlign w:val="superscript"/>
                <w:lang w:eastAsia="en-US" w:bidi="en-US"/>
              </w:rPr>
              <w:t>3</w:t>
            </w:r>
          </w:p>
        </w:tc>
      </w:tr>
    </w:tbl>
    <w:p>
      <w:pPr>
        <w:ind w:firstLine="480"/>
        <w:jc w:val="both"/>
        <w:rPr>
          <w:rFonts w:eastAsiaTheme="minorEastAsia"/>
          <w:color w:val="000000" w:themeColor="text1"/>
          <w:szCs w:val="20"/>
        </w:rPr>
      </w:pPr>
      <w:r>
        <w:rPr>
          <w:rFonts w:eastAsiaTheme="minorEastAsia"/>
          <w:color w:val="000000" w:themeColor="text1"/>
          <w:szCs w:val="20"/>
        </w:rPr>
        <w:t>（</w:t>
      </w:r>
      <w:r>
        <w:rPr>
          <w:rFonts w:hint="eastAsia" w:eastAsiaTheme="minorEastAsia"/>
          <w:color w:val="000000" w:themeColor="text1"/>
          <w:szCs w:val="20"/>
        </w:rPr>
        <w:t>4</w:t>
      </w:r>
      <w:r>
        <w:rPr>
          <w:rFonts w:eastAsiaTheme="minorEastAsia"/>
          <w:color w:val="000000" w:themeColor="text1"/>
          <w:szCs w:val="20"/>
        </w:rPr>
        <w:t>）补充监测数据统计与分析</w:t>
      </w:r>
    </w:p>
    <w:p>
      <w:pPr>
        <w:ind w:firstLine="480"/>
        <w:jc w:val="both"/>
        <w:rPr>
          <w:rFonts w:eastAsiaTheme="minorEastAsia"/>
          <w:color w:val="000000" w:themeColor="text1"/>
          <w:szCs w:val="20"/>
        </w:rPr>
      </w:pPr>
      <w:r>
        <w:rPr>
          <w:rFonts w:eastAsiaTheme="minorEastAsia"/>
          <w:color w:val="000000" w:themeColor="text1"/>
          <w:szCs w:val="20"/>
        </w:rPr>
        <w:t>大气补充监测数据统计见表5.2-3和5.2-4。</w:t>
      </w:r>
    </w:p>
    <w:p>
      <w:pPr>
        <w:adjustRightInd w:val="0"/>
        <w:snapToGrid w:val="0"/>
        <w:ind w:firstLine="0" w:firstLineChars="0"/>
        <w:jc w:val="center"/>
        <w:textAlignment w:val="baseline"/>
        <w:rPr>
          <w:rFonts w:eastAsiaTheme="minorEastAsia"/>
          <w:b/>
          <w:bCs/>
          <w:color w:val="000000" w:themeColor="text1"/>
          <w:sz w:val="21"/>
          <w:szCs w:val="20"/>
        </w:rPr>
      </w:pPr>
      <w:r>
        <w:rPr>
          <w:rFonts w:eastAsiaTheme="minorEastAsia"/>
          <w:b/>
          <w:bCs/>
          <w:color w:val="000000" w:themeColor="text1"/>
          <w:sz w:val="21"/>
          <w:szCs w:val="20"/>
        </w:rPr>
        <w:t>表5.2-3</w:t>
      </w:r>
      <w:r>
        <w:rPr>
          <w:rFonts w:eastAsiaTheme="minorEastAsia"/>
          <w:b/>
          <w:bCs/>
          <w:color w:val="000000" w:themeColor="text1"/>
          <w:kern w:val="0"/>
          <w:sz w:val="21"/>
          <w:szCs w:val="21"/>
          <w:lang w:bidi="en-US"/>
        </w:rPr>
        <w:t>SO</w:t>
      </w:r>
      <w:r>
        <w:rPr>
          <w:rFonts w:eastAsiaTheme="minorEastAsia"/>
          <w:b/>
          <w:bCs/>
          <w:color w:val="000000" w:themeColor="text1"/>
          <w:kern w:val="0"/>
          <w:sz w:val="21"/>
          <w:szCs w:val="21"/>
          <w:vertAlign w:val="subscript"/>
          <w:lang w:bidi="en-US"/>
        </w:rPr>
        <w:t>2</w:t>
      </w:r>
      <w:r>
        <w:rPr>
          <w:rFonts w:eastAsiaTheme="minorEastAsia"/>
          <w:b/>
          <w:bCs/>
          <w:color w:val="000000" w:themeColor="text1"/>
          <w:kern w:val="0"/>
          <w:sz w:val="21"/>
          <w:szCs w:val="21"/>
          <w:lang w:bidi="en-US"/>
        </w:rPr>
        <w:t>和NO</w:t>
      </w:r>
      <w:r>
        <w:rPr>
          <w:rFonts w:eastAsiaTheme="minorEastAsia"/>
          <w:b/>
          <w:bCs/>
          <w:color w:val="000000" w:themeColor="text1"/>
          <w:kern w:val="0"/>
          <w:sz w:val="21"/>
          <w:szCs w:val="21"/>
          <w:vertAlign w:val="subscript"/>
          <w:lang w:bidi="en-US"/>
        </w:rPr>
        <w:t>2</w:t>
      </w:r>
      <w:r>
        <w:rPr>
          <w:rFonts w:eastAsiaTheme="minorEastAsia"/>
          <w:b/>
          <w:bCs/>
          <w:color w:val="000000" w:themeColor="text1"/>
          <w:sz w:val="21"/>
          <w:szCs w:val="20"/>
        </w:rPr>
        <w:t>环境空气质量现状补充监测结果统计</w:t>
      </w:r>
    </w:p>
    <w:tbl>
      <w:tblPr>
        <w:tblStyle w:val="62"/>
        <w:tblW w:w="893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2"/>
        <w:gridCol w:w="1937"/>
        <w:gridCol w:w="1914"/>
        <w:gridCol w:w="1914"/>
        <w:gridCol w:w="1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28" w:hRule="exact"/>
          <w:jc w:val="center"/>
        </w:trPr>
        <w:tc>
          <w:tcPr>
            <w:tcW w:w="1282" w:type="dxa"/>
            <w:vAlign w:val="center"/>
          </w:tcPr>
          <w:p>
            <w:pPr>
              <w:pStyle w:val="570"/>
              <w:spacing w:line="240" w:lineRule="auto"/>
              <w:ind w:firstLine="0" w:firstLineChars="0"/>
              <w:jc w:val="center"/>
              <w:rPr>
                <w:rFonts w:cs="Times New Roman"/>
                <w:b/>
                <w:bCs/>
                <w:color w:val="000000" w:themeColor="text1"/>
                <w:sz w:val="21"/>
              </w:rPr>
            </w:pPr>
            <w:r>
              <w:rPr>
                <w:rFonts w:cs="Times New Roman"/>
                <w:b/>
                <w:bCs/>
                <w:color w:val="000000" w:themeColor="text1"/>
                <w:sz w:val="21"/>
              </w:rPr>
              <w:t>监测点位名称</w:t>
            </w:r>
          </w:p>
        </w:tc>
        <w:tc>
          <w:tcPr>
            <w:tcW w:w="1937" w:type="dxa"/>
            <w:vAlign w:val="center"/>
          </w:tcPr>
          <w:p>
            <w:pPr>
              <w:pStyle w:val="570"/>
              <w:spacing w:line="240" w:lineRule="auto"/>
              <w:ind w:firstLine="0" w:firstLineChars="0"/>
              <w:jc w:val="center"/>
              <w:rPr>
                <w:rFonts w:cs="Times New Roman"/>
                <w:b/>
                <w:bCs/>
                <w:color w:val="000000" w:themeColor="text1"/>
                <w:sz w:val="21"/>
              </w:rPr>
            </w:pPr>
            <w:r>
              <w:rPr>
                <w:rFonts w:cs="Times New Roman"/>
                <w:b/>
                <w:bCs/>
                <w:color w:val="000000" w:themeColor="text1"/>
                <w:sz w:val="21"/>
              </w:rPr>
              <w:t>采样时间</w:t>
            </w:r>
          </w:p>
        </w:tc>
        <w:tc>
          <w:tcPr>
            <w:tcW w:w="1914" w:type="dxa"/>
            <w:vAlign w:val="center"/>
          </w:tcPr>
          <w:p>
            <w:pPr>
              <w:pStyle w:val="570"/>
              <w:spacing w:line="240" w:lineRule="auto"/>
              <w:ind w:firstLine="0" w:firstLineChars="0"/>
              <w:jc w:val="center"/>
              <w:rPr>
                <w:rFonts w:cs="Times New Roman"/>
                <w:b/>
                <w:bCs/>
                <w:color w:val="000000" w:themeColor="text1"/>
                <w:sz w:val="21"/>
              </w:rPr>
            </w:pPr>
            <w:r>
              <w:rPr>
                <w:rFonts w:cs="Times New Roman"/>
                <w:b/>
                <w:bCs/>
                <w:color w:val="000000" w:themeColor="text1"/>
                <w:sz w:val="21"/>
              </w:rPr>
              <w:t>采样时段</w:t>
            </w:r>
          </w:p>
        </w:tc>
        <w:tc>
          <w:tcPr>
            <w:tcW w:w="1914" w:type="dxa"/>
            <w:vAlign w:val="center"/>
          </w:tcPr>
          <w:p>
            <w:pPr>
              <w:pStyle w:val="570"/>
              <w:spacing w:line="240" w:lineRule="auto"/>
              <w:ind w:firstLine="0" w:firstLineChars="0"/>
              <w:jc w:val="center"/>
              <w:rPr>
                <w:rFonts w:cs="Times New Roman"/>
                <w:b/>
                <w:bCs/>
                <w:color w:val="000000" w:themeColor="text1"/>
                <w:sz w:val="21"/>
              </w:rPr>
            </w:pPr>
            <w:r>
              <w:rPr>
                <w:rFonts w:cs="Times New Roman" w:eastAsiaTheme="minorEastAsia"/>
                <w:b/>
                <w:bCs/>
                <w:color w:val="000000" w:themeColor="text1"/>
                <w:sz w:val="21"/>
                <w:lang w:bidi="en-US"/>
              </w:rPr>
              <w:t>SO</w:t>
            </w:r>
            <w:r>
              <w:rPr>
                <w:rFonts w:cs="Times New Roman" w:eastAsiaTheme="minorEastAsia"/>
                <w:b/>
                <w:bCs/>
                <w:color w:val="000000" w:themeColor="text1"/>
                <w:sz w:val="21"/>
                <w:vertAlign w:val="subscript"/>
                <w:lang w:bidi="en-US"/>
              </w:rPr>
              <w:t>2</w:t>
            </w:r>
            <w:r>
              <w:rPr>
                <w:rFonts w:cs="Times New Roman"/>
                <w:b/>
                <w:bCs/>
                <w:color w:val="000000" w:themeColor="text1"/>
                <w:sz w:val="21"/>
              </w:rPr>
              <w:t>（</w:t>
            </w:r>
            <w:r>
              <w:rPr>
                <w:rFonts w:eastAsia="Times New Roman" w:cs="Times New Roman"/>
                <w:b/>
                <w:bCs/>
                <w:color w:val="000000" w:themeColor="text1"/>
                <w:sz w:val="21"/>
              </w:rPr>
              <w:t>μ</w:t>
            </w:r>
            <w:r>
              <w:rPr>
                <w:rFonts w:cs="Times New Roman"/>
                <w:b/>
                <w:bCs/>
                <w:color w:val="000000" w:themeColor="text1"/>
                <w:sz w:val="21"/>
              </w:rPr>
              <w:t>g/m</w:t>
            </w:r>
            <w:r>
              <w:rPr>
                <w:rFonts w:cs="Times New Roman"/>
                <w:b/>
                <w:bCs/>
                <w:color w:val="000000" w:themeColor="text1"/>
                <w:sz w:val="21"/>
                <w:vertAlign w:val="superscript"/>
              </w:rPr>
              <w:t>3</w:t>
            </w:r>
            <w:r>
              <w:rPr>
                <w:rFonts w:cs="Times New Roman"/>
                <w:b/>
                <w:bCs/>
                <w:color w:val="000000" w:themeColor="text1"/>
                <w:sz w:val="21"/>
              </w:rPr>
              <w:t>）</w:t>
            </w:r>
          </w:p>
        </w:tc>
        <w:tc>
          <w:tcPr>
            <w:tcW w:w="1891" w:type="dxa"/>
            <w:vAlign w:val="center"/>
          </w:tcPr>
          <w:p>
            <w:pPr>
              <w:pStyle w:val="570"/>
              <w:spacing w:line="240" w:lineRule="auto"/>
              <w:ind w:firstLine="0" w:firstLineChars="0"/>
              <w:jc w:val="center"/>
              <w:rPr>
                <w:rFonts w:cs="Times New Roman"/>
                <w:b/>
                <w:bCs/>
                <w:color w:val="000000" w:themeColor="text1"/>
                <w:sz w:val="21"/>
              </w:rPr>
            </w:pPr>
            <w:r>
              <w:rPr>
                <w:rFonts w:cs="Times New Roman" w:eastAsiaTheme="minorEastAsia"/>
                <w:b/>
                <w:bCs/>
                <w:color w:val="000000" w:themeColor="text1"/>
                <w:sz w:val="21"/>
                <w:lang w:bidi="en-US"/>
              </w:rPr>
              <w:t>NO</w:t>
            </w:r>
            <w:r>
              <w:rPr>
                <w:rFonts w:cs="Times New Roman" w:eastAsiaTheme="minorEastAsia"/>
                <w:b/>
                <w:bCs/>
                <w:color w:val="000000" w:themeColor="text1"/>
                <w:sz w:val="21"/>
                <w:vertAlign w:val="subscript"/>
                <w:lang w:bidi="en-US"/>
              </w:rPr>
              <w:t>2</w:t>
            </w:r>
            <w:r>
              <w:rPr>
                <w:rFonts w:cs="Times New Roman"/>
                <w:b/>
                <w:bCs/>
                <w:color w:val="000000" w:themeColor="text1"/>
                <w:sz w:val="21"/>
              </w:rPr>
              <w:t>（</w:t>
            </w:r>
            <w:r>
              <w:rPr>
                <w:rFonts w:eastAsia="Times New Roman" w:cs="Times New Roman"/>
                <w:b/>
                <w:bCs/>
                <w:color w:val="000000" w:themeColor="text1"/>
                <w:sz w:val="21"/>
              </w:rPr>
              <w:t>μ</w:t>
            </w:r>
            <w:r>
              <w:rPr>
                <w:rFonts w:cs="Times New Roman"/>
                <w:b/>
                <w:bCs/>
                <w:color w:val="000000" w:themeColor="text1"/>
                <w:sz w:val="21"/>
              </w:rPr>
              <w:t>g/m</w:t>
            </w:r>
            <w:r>
              <w:rPr>
                <w:rFonts w:cs="Times New Roman"/>
                <w:b/>
                <w:bCs/>
                <w:color w:val="000000" w:themeColor="text1"/>
                <w:sz w:val="21"/>
                <w:vertAlign w:val="superscript"/>
              </w:rPr>
              <w:t>3</w:t>
            </w:r>
            <w:r>
              <w:rPr>
                <w:rFonts w:cs="Times New Roman"/>
                <w:b/>
                <w:bCs/>
                <w:color w:val="000000" w:themeColor="text1"/>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restart"/>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选厂办公区</w:t>
            </w:r>
          </w:p>
        </w:tc>
        <w:tc>
          <w:tcPr>
            <w:tcW w:w="1937" w:type="dxa"/>
            <w:vMerge w:val="restart"/>
            <w:vAlign w:val="center"/>
          </w:tcPr>
          <w:p>
            <w:pPr>
              <w:pStyle w:val="617"/>
              <w:spacing w:line="240" w:lineRule="auto"/>
              <w:ind w:firstLine="400"/>
              <w:jc w:val="center"/>
              <w:rPr>
                <w:rFonts w:eastAsia="Times New Roman"/>
                <w:color w:val="000000" w:themeColor="text1"/>
                <w:sz w:val="20"/>
                <w:szCs w:val="20"/>
              </w:rPr>
            </w:pPr>
          </w:p>
          <w:p>
            <w:pPr>
              <w:pStyle w:val="617"/>
              <w:spacing w:line="240" w:lineRule="auto"/>
              <w:ind w:firstLine="0" w:firstLineChars="0"/>
              <w:jc w:val="center"/>
              <w:rPr>
                <w:rFonts w:eastAsia="Times New Roman"/>
                <w:color w:val="000000" w:themeColor="text1"/>
                <w:sz w:val="20"/>
                <w:szCs w:val="20"/>
              </w:rPr>
            </w:pPr>
            <w:r>
              <w:rPr>
                <w:color w:val="000000" w:themeColor="text1"/>
                <w:sz w:val="21"/>
              </w:rPr>
              <w:t>2019.08.25</w:t>
            </w:r>
          </w:p>
          <w:p>
            <w:pPr>
              <w:pStyle w:val="617"/>
              <w:spacing w:line="240" w:lineRule="auto"/>
              <w:ind w:firstLine="400"/>
              <w:jc w:val="center"/>
              <w:rPr>
                <w:rFonts w:eastAsia="Times New Roman"/>
                <w:color w:val="000000" w:themeColor="text1"/>
                <w:sz w:val="20"/>
                <w:szCs w:val="20"/>
              </w:rPr>
            </w:pPr>
          </w:p>
          <w:p>
            <w:pPr>
              <w:pStyle w:val="617"/>
              <w:spacing w:line="240" w:lineRule="auto"/>
              <w:ind w:firstLine="400"/>
              <w:jc w:val="center"/>
              <w:rPr>
                <w:rFonts w:eastAsia="Times New Roman"/>
                <w:color w:val="000000" w:themeColor="text1"/>
                <w:sz w:val="20"/>
                <w:szCs w:val="20"/>
              </w:rPr>
            </w:pPr>
          </w:p>
          <w:p>
            <w:pPr>
              <w:pStyle w:val="617"/>
              <w:spacing w:line="240" w:lineRule="auto"/>
              <w:ind w:firstLine="480"/>
              <w:jc w:val="center"/>
              <w:rPr>
                <w:rFonts w:eastAsia="Times New Roman"/>
                <w:color w:val="000000" w:themeColor="text1"/>
                <w:szCs w:val="24"/>
              </w:rPr>
            </w:pPr>
          </w:p>
          <w:p>
            <w:pPr>
              <w:pStyle w:val="617"/>
              <w:spacing w:line="240" w:lineRule="auto"/>
              <w:ind w:firstLine="420"/>
              <w:jc w:val="center"/>
              <w:rPr>
                <w:rFonts w:eastAsia="Times New Roman"/>
                <w:color w:val="000000" w:themeColor="text1"/>
                <w:sz w:val="20"/>
                <w:szCs w:val="20"/>
              </w:rPr>
            </w:pPr>
            <w:r>
              <w:rPr>
                <w:color w:val="000000" w:themeColor="text1"/>
                <w:sz w:val="21"/>
              </w:rPr>
              <w:t>2019.08.26</w:t>
            </w:r>
          </w:p>
          <w:p>
            <w:pPr>
              <w:pStyle w:val="617"/>
              <w:spacing w:line="240" w:lineRule="auto"/>
              <w:ind w:firstLine="400"/>
              <w:jc w:val="center"/>
              <w:rPr>
                <w:rFonts w:eastAsia="Times New Roman"/>
                <w:color w:val="000000" w:themeColor="text1"/>
                <w:sz w:val="20"/>
                <w:szCs w:val="20"/>
              </w:rPr>
            </w:pPr>
          </w:p>
          <w:p>
            <w:pPr>
              <w:pStyle w:val="617"/>
              <w:spacing w:line="240" w:lineRule="auto"/>
              <w:ind w:firstLine="400"/>
              <w:jc w:val="center"/>
              <w:rPr>
                <w:rFonts w:eastAsia="Times New Roman"/>
                <w:color w:val="000000" w:themeColor="text1"/>
                <w:sz w:val="20"/>
                <w:szCs w:val="20"/>
              </w:rPr>
            </w:pPr>
          </w:p>
          <w:p>
            <w:pPr>
              <w:pStyle w:val="617"/>
              <w:spacing w:line="240" w:lineRule="auto"/>
              <w:ind w:firstLine="480"/>
              <w:jc w:val="center"/>
              <w:rPr>
                <w:rFonts w:eastAsia="Times New Roman"/>
                <w:color w:val="000000" w:themeColor="text1"/>
                <w:szCs w:val="24"/>
              </w:rPr>
            </w:pPr>
          </w:p>
          <w:p>
            <w:pPr>
              <w:pStyle w:val="570"/>
              <w:spacing w:line="240" w:lineRule="auto"/>
              <w:ind w:firstLine="420"/>
              <w:jc w:val="center"/>
              <w:rPr>
                <w:rFonts w:cs="Times New Roman"/>
                <w:color w:val="000000" w:themeColor="text1"/>
                <w:sz w:val="21"/>
              </w:rPr>
            </w:pPr>
            <w:r>
              <w:rPr>
                <w:rFonts w:cs="Times New Roman"/>
                <w:color w:val="000000" w:themeColor="text1"/>
                <w:sz w:val="21"/>
              </w:rPr>
              <w:t>2019.08.27</w:t>
            </w: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26</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34</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13</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23</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restart"/>
            <w:vAlign w:val="center"/>
          </w:tcPr>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2019.08.26</w:t>
            </w: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2019.08.27</w:t>
            </w: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23</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36</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15</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617"/>
              <w:spacing w:line="240" w:lineRule="auto"/>
              <w:ind w:firstLine="0" w:firstLineChars="0"/>
              <w:jc w:val="center"/>
              <w:rPr>
                <w:rFonts w:eastAsia="Times New Roman"/>
                <w:color w:val="000000" w:themeColor="text1"/>
                <w:sz w:val="21"/>
                <w:szCs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24</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restart"/>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2019.08.27</w:t>
            </w: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24</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35</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15</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28</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restart"/>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2019.08.28</w:t>
            </w: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23</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13</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21</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33</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restart"/>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2019.08.29</w:t>
            </w: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23</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36</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16</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26</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restart"/>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2019.08.30</w:t>
            </w: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22</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35</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12</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0" w:firstLineChars="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28</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restart"/>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2019.08.31</w:t>
            </w:r>
          </w:p>
        </w:tc>
        <w:tc>
          <w:tcPr>
            <w:tcW w:w="1914" w:type="dxa"/>
            <w:vAlign w:val="center"/>
          </w:tcPr>
          <w:p>
            <w:pPr>
              <w:pStyle w:val="570"/>
              <w:spacing w:line="240" w:lineRule="auto"/>
              <w:ind w:firstLine="0" w:firstLineChars="0"/>
              <w:jc w:val="center"/>
              <w:rPr>
                <w:rFonts w:cs="Times New Roman"/>
                <w:b/>
                <w:bCs/>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23</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b/>
                <w:bCs/>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34</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b/>
                <w:bCs/>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15</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b/>
                <w:bCs/>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27</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restart"/>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四坡斗村</w:t>
            </w:r>
          </w:p>
        </w:tc>
        <w:tc>
          <w:tcPr>
            <w:tcW w:w="1937" w:type="dxa"/>
            <w:vMerge w:val="restart"/>
            <w:vAlign w:val="center"/>
          </w:tcPr>
          <w:p>
            <w:pPr>
              <w:pStyle w:val="617"/>
              <w:spacing w:line="240" w:lineRule="auto"/>
              <w:ind w:firstLine="400"/>
              <w:jc w:val="center"/>
              <w:rPr>
                <w:rFonts w:eastAsia="Times New Roman"/>
                <w:color w:val="000000" w:themeColor="text1"/>
                <w:sz w:val="20"/>
                <w:szCs w:val="20"/>
              </w:rPr>
            </w:pPr>
          </w:p>
          <w:p>
            <w:pPr>
              <w:pStyle w:val="617"/>
              <w:spacing w:line="240" w:lineRule="auto"/>
              <w:ind w:firstLine="0" w:firstLineChars="0"/>
              <w:jc w:val="center"/>
              <w:rPr>
                <w:rFonts w:eastAsia="Times New Roman"/>
                <w:color w:val="000000" w:themeColor="text1"/>
                <w:sz w:val="20"/>
                <w:szCs w:val="20"/>
              </w:rPr>
            </w:pPr>
            <w:r>
              <w:rPr>
                <w:color w:val="000000" w:themeColor="text1"/>
                <w:sz w:val="21"/>
              </w:rPr>
              <w:t>2019.08.25</w:t>
            </w:r>
          </w:p>
          <w:p>
            <w:pPr>
              <w:pStyle w:val="617"/>
              <w:spacing w:line="240" w:lineRule="auto"/>
              <w:ind w:firstLine="400"/>
              <w:jc w:val="center"/>
              <w:rPr>
                <w:rFonts w:eastAsia="Times New Roman"/>
                <w:color w:val="000000" w:themeColor="text1"/>
                <w:sz w:val="20"/>
                <w:szCs w:val="20"/>
              </w:rPr>
            </w:pPr>
          </w:p>
          <w:p>
            <w:pPr>
              <w:pStyle w:val="617"/>
              <w:spacing w:line="240" w:lineRule="auto"/>
              <w:ind w:firstLine="400"/>
              <w:jc w:val="center"/>
              <w:rPr>
                <w:rFonts w:eastAsia="Times New Roman"/>
                <w:color w:val="000000" w:themeColor="text1"/>
                <w:sz w:val="20"/>
                <w:szCs w:val="20"/>
              </w:rPr>
            </w:pPr>
          </w:p>
          <w:p>
            <w:pPr>
              <w:pStyle w:val="617"/>
              <w:spacing w:line="240" w:lineRule="auto"/>
              <w:ind w:firstLine="480"/>
              <w:jc w:val="center"/>
              <w:rPr>
                <w:rFonts w:eastAsia="Times New Roman"/>
                <w:color w:val="000000" w:themeColor="text1"/>
                <w:szCs w:val="24"/>
              </w:rPr>
            </w:pPr>
          </w:p>
          <w:p>
            <w:pPr>
              <w:pStyle w:val="617"/>
              <w:spacing w:line="240" w:lineRule="auto"/>
              <w:ind w:firstLine="420"/>
              <w:jc w:val="center"/>
              <w:rPr>
                <w:rFonts w:eastAsia="Times New Roman"/>
                <w:color w:val="000000" w:themeColor="text1"/>
                <w:sz w:val="20"/>
                <w:szCs w:val="20"/>
              </w:rPr>
            </w:pPr>
            <w:r>
              <w:rPr>
                <w:color w:val="000000" w:themeColor="text1"/>
                <w:sz w:val="21"/>
              </w:rPr>
              <w:t>2019.08.26</w:t>
            </w:r>
          </w:p>
          <w:p>
            <w:pPr>
              <w:pStyle w:val="617"/>
              <w:spacing w:line="240" w:lineRule="auto"/>
              <w:ind w:firstLine="400"/>
              <w:jc w:val="center"/>
              <w:rPr>
                <w:rFonts w:eastAsia="Times New Roman"/>
                <w:color w:val="000000" w:themeColor="text1"/>
                <w:sz w:val="20"/>
                <w:szCs w:val="20"/>
              </w:rPr>
            </w:pPr>
          </w:p>
          <w:p>
            <w:pPr>
              <w:pStyle w:val="617"/>
              <w:spacing w:line="240" w:lineRule="auto"/>
              <w:ind w:firstLine="400"/>
              <w:jc w:val="center"/>
              <w:rPr>
                <w:rFonts w:eastAsia="Times New Roman"/>
                <w:color w:val="000000" w:themeColor="text1"/>
                <w:sz w:val="20"/>
                <w:szCs w:val="20"/>
              </w:rPr>
            </w:pPr>
          </w:p>
          <w:p>
            <w:pPr>
              <w:pStyle w:val="617"/>
              <w:spacing w:line="240" w:lineRule="auto"/>
              <w:ind w:firstLine="480"/>
              <w:jc w:val="center"/>
              <w:rPr>
                <w:rFonts w:eastAsia="Times New Roman"/>
                <w:color w:val="000000" w:themeColor="text1"/>
                <w:szCs w:val="24"/>
              </w:rPr>
            </w:pPr>
          </w:p>
          <w:p>
            <w:pPr>
              <w:pStyle w:val="570"/>
              <w:spacing w:line="240" w:lineRule="auto"/>
              <w:ind w:firstLine="420"/>
              <w:jc w:val="center"/>
              <w:rPr>
                <w:rFonts w:cs="Times New Roman"/>
                <w:color w:val="000000" w:themeColor="text1"/>
                <w:sz w:val="21"/>
              </w:rPr>
            </w:pPr>
            <w:r>
              <w:rPr>
                <w:rFonts w:cs="Times New Roman"/>
                <w:color w:val="000000" w:themeColor="text1"/>
                <w:sz w:val="21"/>
              </w:rPr>
              <w:t>2019.08.27</w:t>
            </w:r>
          </w:p>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22</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37</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18</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28</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restart"/>
            <w:vAlign w:val="center"/>
          </w:tcPr>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2019.08.26</w:t>
            </w: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p>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2019.08.27</w:t>
            </w:r>
          </w:p>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26</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38</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13</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27</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restart"/>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2019.08.27</w:t>
            </w:r>
          </w:p>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25</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38</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19</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27</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restart"/>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2019.08.28</w:t>
            </w:r>
          </w:p>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28</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15</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26</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36</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restart"/>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2019.08.29</w:t>
            </w:r>
          </w:p>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25</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38</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14</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29</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restart"/>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2019.08.30</w:t>
            </w:r>
          </w:p>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25</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37</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15</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23</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restart"/>
            <w:vAlign w:val="center"/>
          </w:tcPr>
          <w:p>
            <w:pPr>
              <w:pStyle w:val="570"/>
              <w:spacing w:line="240" w:lineRule="auto"/>
              <w:ind w:firstLine="0" w:firstLineChars="0"/>
              <w:jc w:val="center"/>
              <w:rPr>
                <w:rFonts w:cs="Times New Roman"/>
                <w:color w:val="000000" w:themeColor="text1"/>
                <w:sz w:val="21"/>
              </w:rPr>
            </w:pPr>
            <w:r>
              <w:rPr>
                <w:rFonts w:cs="Times New Roman"/>
                <w:color w:val="000000" w:themeColor="text1"/>
                <w:sz w:val="21"/>
              </w:rPr>
              <w:t>2019.08.31</w:t>
            </w:r>
          </w:p>
        </w:tc>
        <w:tc>
          <w:tcPr>
            <w:tcW w:w="1914" w:type="dxa"/>
            <w:vAlign w:val="center"/>
          </w:tcPr>
          <w:p>
            <w:pPr>
              <w:pStyle w:val="570"/>
              <w:spacing w:line="240" w:lineRule="auto"/>
              <w:ind w:firstLine="0" w:firstLineChars="0"/>
              <w:jc w:val="center"/>
              <w:rPr>
                <w:rFonts w:cs="Times New Roman"/>
                <w:b/>
                <w:bCs/>
                <w:color w:val="000000" w:themeColor="text1"/>
                <w:sz w:val="21"/>
              </w:rPr>
            </w:pPr>
            <w:r>
              <w:rPr>
                <w:rFonts w:cs="Times New Roman"/>
                <w:color w:val="000000" w:themeColor="text1"/>
                <w:sz w:val="21"/>
              </w:rPr>
              <w:t>02:00~03:00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27</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b/>
                <w:bCs/>
                <w:color w:val="000000" w:themeColor="text1"/>
                <w:sz w:val="21"/>
              </w:rPr>
            </w:pPr>
            <w:r>
              <w:rPr>
                <w:rFonts w:cs="Times New Roman"/>
                <w:color w:val="000000" w:themeColor="text1"/>
                <w:sz w:val="21"/>
              </w:rPr>
              <w:t>08:00~09:00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36</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b/>
                <w:bCs/>
                <w:color w:val="000000" w:themeColor="text1"/>
                <w:sz w:val="21"/>
              </w:rPr>
            </w:pPr>
            <w:r>
              <w:rPr>
                <w:rFonts w:cs="Times New Roman"/>
                <w:color w:val="000000" w:themeColor="text1"/>
                <w:sz w:val="21"/>
              </w:rPr>
              <w:t>14:00~15:00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18</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282" w:type="dxa"/>
            <w:vMerge w:val="continue"/>
            <w:vAlign w:val="center"/>
          </w:tcPr>
          <w:p>
            <w:pPr>
              <w:pStyle w:val="570"/>
              <w:spacing w:line="240" w:lineRule="auto"/>
              <w:ind w:firstLine="420"/>
              <w:jc w:val="center"/>
              <w:rPr>
                <w:rFonts w:cs="Times New Roman"/>
                <w:color w:val="000000" w:themeColor="text1"/>
                <w:sz w:val="21"/>
              </w:rPr>
            </w:pPr>
          </w:p>
        </w:tc>
        <w:tc>
          <w:tcPr>
            <w:tcW w:w="1937" w:type="dxa"/>
            <w:vMerge w:val="continue"/>
            <w:vAlign w:val="center"/>
          </w:tcPr>
          <w:p>
            <w:pPr>
              <w:pStyle w:val="570"/>
              <w:spacing w:line="240" w:lineRule="auto"/>
              <w:ind w:firstLine="420"/>
              <w:jc w:val="center"/>
              <w:rPr>
                <w:rFonts w:cs="Times New Roman"/>
                <w:color w:val="000000" w:themeColor="text1"/>
                <w:sz w:val="21"/>
              </w:rPr>
            </w:pPr>
          </w:p>
        </w:tc>
        <w:tc>
          <w:tcPr>
            <w:tcW w:w="1914" w:type="dxa"/>
            <w:vAlign w:val="center"/>
          </w:tcPr>
          <w:p>
            <w:pPr>
              <w:pStyle w:val="570"/>
              <w:spacing w:line="240" w:lineRule="auto"/>
              <w:ind w:firstLine="0" w:firstLineChars="0"/>
              <w:jc w:val="center"/>
              <w:rPr>
                <w:rFonts w:cs="Times New Roman"/>
                <w:b/>
                <w:bCs/>
                <w:color w:val="000000" w:themeColor="text1"/>
                <w:sz w:val="21"/>
              </w:rPr>
            </w:pPr>
            <w:r>
              <w:rPr>
                <w:rFonts w:cs="Times New Roman"/>
                <w:color w:val="000000" w:themeColor="text1"/>
                <w:sz w:val="21"/>
              </w:rPr>
              <w:t>20:00~21:00</w:t>
            </w:r>
          </w:p>
        </w:tc>
        <w:tc>
          <w:tcPr>
            <w:tcW w:w="1914"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24</w:t>
            </w:r>
          </w:p>
        </w:tc>
        <w:tc>
          <w:tcPr>
            <w:tcW w:w="1891"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5133" w:type="dxa"/>
            <w:gridSpan w:val="3"/>
            <w:vAlign w:val="center"/>
          </w:tcPr>
          <w:p>
            <w:pPr>
              <w:pStyle w:val="570"/>
              <w:spacing w:line="240" w:lineRule="auto"/>
              <w:ind w:firstLine="0" w:firstLineChars="0"/>
              <w:jc w:val="center"/>
              <w:rPr>
                <w:rFonts w:cs="Times New Roman"/>
                <w:color w:val="000000" w:themeColor="text1"/>
                <w:sz w:val="21"/>
              </w:rPr>
            </w:pPr>
            <w:r>
              <w:rPr>
                <w:rFonts w:cs="Times New Roman" w:eastAsiaTheme="minorEastAsia"/>
                <w:color w:val="000000" w:themeColor="text1"/>
                <w:sz w:val="21"/>
              </w:rPr>
              <w:t>《环境空气质量标准》（GB3095-2012）中二级标准</w:t>
            </w:r>
          </w:p>
        </w:tc>
        <w:tc>
          <w:tcPr>
            <w:tcW w:w="1914" w:type="dxa"/>
            <w:vAlign w:val="center"/>
          </w:tcPr>
          <w:p>
            <w:pPr>
              <w:pStyle w:val="617"/>
              <w:spacing w:line="240" w:lineRule="auto"/>
              <w:ind w:firstLine="0" w:firstLineChars="0"/>
              <w:jc w:val="center"/>
              <w:rPr>
                <w:color w:val="000000" w:themeColor="text1"/>
                <w:sz w:val="21"/>
              </w:rPr>
            </w:pPr>
            <w:r>
              <w:rPr>
                <w:color w:val="000000" w:themeColor="text1"/>
                <w:sz w:val="21"/>
              </w:rPr>
              <w:t>500</w:t>
            </w:r>
          </w:p>
        </w:tc>
        <w:tc>
          <w:tcPr>
            <w:tcW w:w="1891" w:type="dxa"/>
            <w:vAlign w:val="center"/>
          </w:tcPr>
          <w:p>
            <w:pPr>
              <w:pStyle w:val="617"/>
              <w:spacing w:line="240" w:lineRule="auto"/>
              <w:ind w:firstLine="0" w:firstLineChars="0"/>
              <w:jc w:val="center"/>
              <w:rPr>
                <w:color w:val="000000" w:themeColor="text1"/>
                <w:sz w:val="21"/>
              </w:rPr>
            </w:pPr>
            <w:r>
              <w:rPr>
                <w:color w:val="000000" w:themeColor="text1"/>
                <w:sz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5133" w:type="dxa"/>
            <w:gridSpan w:val="3"/>
            <w:vAlign w:val="center"/>
          </w:tcPr>
          <w:p>
            <w:pPr>
              <w:pStyle w:val="570"/>
              <w:spacing w:line="240" w:lineRule="auto"/>
              <w:ind w:firstLine="0" w:firstLineChars="0"/>
              <w:jc w:val="center"/>
              <w:rPr>
                <w:rFonts w:cs="Times New Roman" w:eastAsiaTheme="minorEastAsia"/>
                <w:color w:val="000000" w:themeColor="text1"/>
                <w:sz w:val="21"/>
              </w:rPr>
            </w:pPr>
            <w:r>
              <w:rPr>
                <w:rFonts w:cs="Times New Roman" w:eastAsiaTheme="minorEastAsia"/>
                <w:color w:val="000000" w:themeColor="text1"/>
                <w:sz w:val="21"/>
              </w:rPr>
              <w:t>达标情况</w:t>
            </w:r>
          </w:p>
        </w:tc>
        <w:tc>
          <w:tcPr>
            <w:tcW w:w="1914" w:type="dxa"/>
            <w:vAlign w:val="center"/>
          </w:tcPr>
          <w:p>
            <w:pPr>
              <w:pStyle w:val="617"/>
              <w:spacing w:line="240" w:lineRule="auto"/>
              <w:ind w:firstLine="0" w:firstLineChars="0"/>
              <w:jc w:val="center"/>
              <w:rPr>
                <w:color w:val="000000" w:themeColor="text1"/>
                <w:sz w:val="21"/>
              </w:rPr>
            </w:pPr>
            <w:r>
              <w:rPr>
                <w:color w:val="000000" w:themeColor="text1"/>
                <w:sz w:val="21"/>
              </w:rPr>
              <w:t>达标</w:t>
            </w:r>
          </w:p>
        </w:tc>
        <w:tc>
          <w:tcPr>
            <w:tcW w:w="1891" w:type="dxa"/>
            <w:vAlign w:val="center"/>
          </w:tcPr>
          <w:p>
            <w:pPr>
              <w:pStyle w:val="617"/>
              <w:spacing w:line="240" w:lineRule="auto"/>
              <w:ind w:firstLine="0" w:firstLineChars="0"/>
              <w:jc w:val="center"/>
              <w:rPr>
                <w:color w:val="000000" w:themeColor="text1"/>
                <w:sz w:val="21"/>
              </w:rPr>
            </w:pPr>
            <w:r>
              <w:rPr>
                <w:color w:val="000000" w:themeColor="text1"/>
                <w:sz w:val="21"/>
              </w:rPr>
              <w:t>达标</w:t>
            </w:r>
          </w:p>
        </w:tc>
      </w:tr>
    </w:tbl>
    <w:p>
      <w:pPr>
        <w:adjustRightInd w:val="0"/>
        <w:snapToGrid w:val="0"/>
        <w:ind w:firstLine="0" w:firstLineChars="0"/>
        <w:jc w:val="center"/>
        <w:textAlignment w:val="baseline"/>
        <w:rPr>
          <w:rFonts w:eastAsiaTheme="minorEastAsia"/>
          <w:b/>
          <w:bCs/>
          <w:color w:val="000000" w:themeColor="text1"/>
          <w:sz w:val="21"/>
          <w:szCs w:val="20"/>
        </w:rPr>
      </w:pPr>
    </w:p>
    <w:p>
      <w:pPr>
        <w:adjustRightInd w:val="0"/>
        <w:snapToGrid w:val="0"/>
        <w:ind w:firstLine="0" w:firstLineChars="0"/>
        <w:jc w:val="center"/>
        <w:textAlignment w:val="baseline"/>
        <w:rPr>
          <w:rFonts w:eastAsiaTheme="minorEastAsia"/>
          <w:b/>
          <w:bCs/>
          <w:color w:val="000000" w:themeColor="text1"/>
          <w:sz w:val="21"/>
          <w:szCs w:val="20"/>
        </w:rPr>
      </w:pPr>
    </w:p>
    <w:p>
      <w:pPr>
        <w:adjustRightInd w:val="0"/>
        <w:snapToGrid w:val="0"/>
        <w:ind w:firstLine="0" w:firstLineChars="0"/>
        <w:jc w:val="center"/>
        <w:textAlignment w:val="baseline"/>
        <w:rPr>
          <w:rFonts w:eastAsiaTheme="minorEastAsia"/>
          <w:b/>
          <w:bCs/>
          <w:color w:val="000000" w:themeColor="text1"/>
          <w:sz w:val="21"/>
          <w:szCs w:val="20"/>
        </w:rPr>
      </w:pPr>
    </w:p>
    <w:p>
      <w:pPr>
        <w:adjustRightInd w:val="0"/>
        <w:snapToGrid w:val="0"/>
        <w:ind w:firstLine="0" w:firstLineChars="0"/>
        <w:jc w:val="center"/>
        <w:textAlignment w:val="baseline"/>
        <w:rPr>
          <w:rFonts w:eastAsiaTheme="minorEastAsia"/>
          <w:b/>
          <w:bCs/>
          <w:color w:val="000000" w:themeColor="text1"/>
          <w:sz w:val="21"/>
          <w:szCs w:val="20"/>
        </w:rPr>
      </w:pPr>
    </w:p>
    <w:p>
      <w:pPr>
        <w:adjustRightInd w:val="0"/>
        <w:snapToGrid w:val="0"/>
        <w:ind w:firstLine="0" w:firstLineChars="0"/>
        <w:jc w:val="center"/>
        <w:textAlignment w:val="baseline"/>
        <w:rPr>
          <w:rFonts w:eastAsiaTheme="minorEastAsia"/>
          <w:b/>
          <w:bCs/>
          <w:color w:val="000000" w:themeColor="text1"/>
          <w:sz w:val="21"/>
          <w:szCs w:val="20"/>
        </w:rPr>
      </w:pPr>
    </w:p>
    <w:p>
      <w:pPr>
        <w:adjustRightInd w:val="0"/>
        <w:snapToGrid w:val="0"/>
        <w:ind w:firstLine="0" w:firstLineChars="0"/>
        <w:jc w:val="center"/>
        <w:textAlignment w:val="baseline"/>
        <w:rPr>
          <w:rFonts w:eastAsiaTheme="minorEastAsia"/>
          <w:b/>
          <w:bCs/>
          <w:color w:val="000000" w:themeColor="text1"/>
          <w:sz w:val="21"/>
          <w:szCs w:val="20"/>
        </w:rPr>
      </w:pPr>
      <w:r>
        <w:rPr>
          <w:rFonts w:eastAsiaTheme="minorEastAsia"/>
          <w:b/>
          <w:bCs/>
          <w:color w:val="000000" w:themeColor="text1"/>
          <w:sz w:val="21"/>
          <w:szCs w:val="20"/>
        </w:rPr>
        <w:t>表5.2-4TSP</w:t>
      </w:r>
      <w:r>
        <w:rPr>
          <w:rFonts w:eastAsiaTheme="minorEastAsia"/>
          <w:b/>
          <w:bCs/>
          <w:color w:val="000000" w:themeColor="text1"/>
          <w:kern w:val="0"/>
          <w:sz w:val="21"/>
          <w:szCs w:val="21"/>
          <w:lang w:bidi="en-US"/>
        </w:rPr>
        <w:t>和PM</w:t>
      </w:r>
      <w:r>
        <w:rPr>
          <w:rFonts w:eastAsiaTheme="minorEastAsia"/>
          <w:b/>
          <w:bCs/>
          <w:color w:val="000000" w:themeColor="text1"/>
          <w:kern w:val="0"/>
          <w:sz w:val="21"/>
          <w:szCs w:val="21"/>
          <w:vertAlign w:val="subscript"/>
          <w:lang w:bidi="en-US"/>
        </w:rPr>
        <w:t>10</w:t>
      </w:r>
      <w:r>
        <w:rPr>
          <w:rFonts w:eastAsiaTheme="minorEastAsia"/>
          <w:b/>
          <w:bCs/>
          <w:color w:val="000000" w:themeColor="text1"/>
          <w:sz w:val="21"/>
          <w:szCs w:val="20"/>
        </w:rPr>
        <w:t>环境空气质量现状补充监测结果统计</w:t>
      </w:r>
    </w:p>
    <w:tbl>
      <w:tblPr>
        <w:tblStyle w:val="61"/>
        <w:tblW w:w="8940" w:type="dxa"/>
        <w:tblInd w:w="-314" w:type="dxa"/>
        <w:tblLayout w:type="fixed"/>
        <w:tblCellMar>
          <w:top w:w="0" w:type="dxa"/>
          <w:left w:w="0" w:type="dxa"/>
          <w:bottom w:w="0" w:type="dxa"/>
          <w:right w:w="0" w:type="dxa"/>
        </w:tblCellMar>
      </w:tblPr>
      <w:tblGrid>
        <w:gridCol w:w="1320"/>
        <w:gridCol w:w="1905"/>
        <w:gridCol w:w="1905"/>
        <w:gridCol w:w="1920"/>
        <w:gridCol w:w="1890"/>
      </w:tblGrid>
      <w:tr>
        <w:tblPrEx>
          <w:tblLayout w:type="fixed"/>
          <w:tblCellMar>
            <w:top w:w="0" w:type="dxa"/>
            <w:left w:w="0" w:type="dxa"/>
            <w:bottom w:w="0" w:type="dxa"/>
            <w:right w:w="0" w:type="dxa"/>
          </w:tblCellMar>
        </w:tblPrEx>
        <w:trPr>
          <w:trHeight w:val="636" w:hRule="exact"/>
        </w:trPr>
        <w:tc>
          <w:tcPr>
            <w:tcW w:w="1320" w:type="dxa"/>
            <w:tcBorders>
              <w:top w:val="single" w:color="000000" w:sz="4" w:space="0"/>
              <w:left w:val="single" w:color="000000" w:sz="4" w:space="0"/>
              <w:bottom w:val="single" w:color="auto"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b/>
                <w:bCs/>
                <w:color w:val="000000" w:themeColor="text1"/>
                <w:sz w:val="21"/>
                <w:szCs w:val="21"/>
              </w:rPr>
              <w:t>监测点位名称</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b/>
                <w:bCs/>
                <w:color w:val="000000" w:themeColor="text1"/>
                <w:sz w:val="21"/>
                <w:szCs w:val="21"/>
              </w:rPr>
              <w:t>采样日期</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b/>
                <w:bCs/>
                <w:color w:val="000000" w:themeColor="text1"/>
                <w:sz w:val="21"/>
                <w:szCs w:val="21"/>
              </w:rPr>
              <w:t>采样时段</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heme="minorEastAsia"/>
                <w:b/>
                <w:bCs/>
                <w:color w:val="000000" w:themeColor="text1"/>
                <w:sz w:val="21"/>
                <w:szCs w:val="20"/>
              </w:rPr>
              <w:t>TSP</w:t>
            </w:r>
            <w:r>
              <w:rPr>
                <w:b/>
                <w:bCs/>
                <w:color w:val="000000" w:themeColor="text1"/>
                <w:sz w:val="21"/>
                <w:szCs w:val="21"/>
              </w:rPr>
              <w:t>（</w:t>
            </w:r>
            <w:r>
              <w:rPr>
                <w:rFonts w:eastAsia="Times New Roman"/>
                <w:b/>
                <w:bCs/>
                <w:color w:val="000000" w:themeColor="text1"/>
                <w:sz w:val="21"/>
                <w:szCs w:val="21"/>
              </w:rPr>
              <w:t>μg/m</w:t>
            </w:r>
            <w:r>
              <w:rPr>
                <w:rFonts w:eastAsia="Times New Roman"/>
                <w:b/>
                <w:bCs/>
                <w:color w:val="000000" w:themeColor="text1"/>
                <w:position w:val="7"/>
                <w:sz w:val="13"/>
                <w:szCs w:val="13"/>
              </w:rPr>
              <w:t>3</w:t>
            </w:r>
            <w:r>
              <w:rPr>
                <w:b/>
                <w:bCs/>
                <w:color w:val="000000" w:themeColor="text1"/>
                <w:sz w:val="21"/>
                <w:szCs w:val="21"/>
              </w:rPr>
              <w:t>）</w:t>
            </w:r>
          </w:p>
        </w:tc>
        <w:tc>
          <w:tcPr>
            <w:tcW w:w="189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heme="minorEastAsia"/>
                <w:b/>
                <w:bCs/>
                <w:color w:val="000000" w:themeColor="text1"/>
                <w:sz w:val="21"/>
                <w:szCs w:val="20"/>
              </w:rPr>
            </w:pPr>
            <w:r>
              <w:rPr>
                <w:rFonts w:eastAsiaTheme="minorEastAsia"/>
                <w:b/>
                <w:bCs/>
                <w:color w:val="000000" w:themeColor="text1"/>
                <w:kern w:val="0"/>
                <w:sz w:val="21"/>
                <w:szCs w:val="21"/>
                <w:lang w:bidi="en-US"/>
              </w:rPr>
              <w:t>PM</w:t>
            </w:r>
            <w:r>
              <w:rPr>
                <w:rFonts w:eastAsiaTheme="minorEastAsia"/>
                <w:b/>
                <w:bCs/>
                <w:color w:val="000000" w:themeColor="text1"/>
                <w:kern w:val="0"/>
                <w:sz w:val="21"/>
                <w:szCs w:val="21"/>
                <w:vertAlign w:val="subscript"/>
                <w:lang w:bidi="en-US"/>
              </w:rPr>
              <w:t>10</w:t>
            </w:r>
            <w:r>
              <w:rPr>
                <w:b/>
                <w:bCs/>
                <w:color w:val="000000" w:themeColor="text1"/>
                <w:sz w:val="21"/>
                <w:szCs w:val="21"/>
              </w:rPr>
              <w:t>（</w:t>
            </w:r>
            <w:r>
              <w:rPr>
                <w:rFonts w:eastAsia="Times New Roman"/>
                <w:b/>
                <w:bCs/>
                <w:color w:val="000000" w:themeColor="text1"/>
                <w:sz w:val="21"/>
                <w:szCs w:val="21"/>
              </w:rPr>
              <w:t>μg/m</w:t>
            </w:r>
            <w:r>
              <w:rPr>
                <w:rFonts w:eastAsia="Times New Roman"/>
                <w:b/>
                <w:bCs/>
                <w:color w:val="000000" w:themeColor="text1"/>
                <w:position w:val="7"/>
                <w:sz w:val="13"/>
                <w:szCs w:val="13"/>
              </w:rPr>
              <w:t>3</w:t>
            </w:r>
            <w:r>
              <w:rPr>
                <w:b/>
                <w:bCs/>
                <w:color w:val="000000" w:themeColor="text1"/>
                <w:sz w:val="21"/>
                <w:szCs w:val="21"/>
              </w:rPr>
              <w:t>）</w:t>
            </w:r>
          </w:p>
        </w:tc>
      </w:tr>
      <w:tr>
        <w:tblPrEx>
          <w:tblLayout w:type="fixed"/>
          <w:tblCellMar>
            <w:top w:w="0" w:type="dxa"/>
            <w:left w:w="0" w:type="dxa"/>
            <w:bottom w:w="0" w:type="dxa"/>
            <w:right w:w="0" w:type="dxa"/>
          </w:tblCellMar>
        </w:tblPrEx>
        <w:trPr>
          <w:trHeight w:val="493" w:hRule="exact"/>
        </w:trPr>
        <w:tc>
          <w:tcPr>
            <w:tcW w:w="1320" w:type="dxa"/>
            <w:vMerge w:val="restart"/>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选厂办公区</w:t>
            </w: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2019.08.25-08.26</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08:00-08:00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141</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66</w:t>
            </w:r>
          </w:p>
        </w:tc>
      </w:tr>
      <w:tr>
        <w:tblPrEx>
          <w:tblLayout w:type="fixed"/>
          <w:tblCellMar>
            <w:top w:w="0" w:type="dxa"/>
            <w:left w:w="0" w:type="dxa"/>
            <w:bottom w:w="0" w:type="dxa"/>
            <w:right w:w="0" w:type="dxa"/>
          </w:tblCellMar>
        </w:tblPrEx>
        <w:trPr>
          <w:trHeight w:val="493" w:hRule="exact"/>
        </w:trPr>
        <w:tc>
          <w:tcPr>
            <w:tcW w:w="132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rPr>
            </w:pP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2019.08.26-08.27</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08:10-08:10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157</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59</w:t>
            </w:r>
          </w:p>
        </w:tc>
      </w:tr>
      <w:tr>
        <w:tblPrEx>
          <w:tblLayout w:type="fixed"/>
          <w:tblCellMar>
            <w:top w:w="0" w:type="dxa"/>
            <w:left w:w="0" w:type="dxa"/>
            <w:bottom w:w="0" w:type="dxa"/>
            <w:right w:w="0" w:type="dxa"/>
          </w:tblCellMar>
        </w:tblPrEx>
        <w:trPr>
          <w:trHeight w:val="493" w:hRule="exact"/>
        </w:trPr>
        <w:tc>
          <w:tcPr>
            <w:tcW w:w="132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rPr>
            </w:pP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2019.08.27-08.28</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08:20-08:20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145</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63</w:t>
            </w:r>
          </w:p>
        </w:tc>
      </w:tr>
      <w:tr>
        <w:tblPrEx>
          <w:tblLayout w:type="fixed"/>
          <w:tblCellMar>
            <w:top w:w="0" w:type="dxa"/>
            <w:left w:w="0" w:type="dxa"/>
            <w:bottom w:w="0" w:type="dxa"/>
            <w:right w:w="0" w:type="dxa"/>
          </w:tblCellMar>
        </w:tblPrEx>
        <w:trPr>
          <w:trHeight w:val="493" w:hRule="exact"/>
        </w:trPr>
        <w:tc>
          <w:tcPr>
            <w:tcW w:w="132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rPr>
            </w:pP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2019.08.28-08.29</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08:30-08:30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153</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68</w:t>
            </w:r>
          </w:p>
        </w:tc>
      </w:tr>
      <w:tr>
        <w:tblPrEx>
          <w:tblLayout w:type="fixed"/>
          <w:tblCellMar>
            <w:top w:w="0" w:type="dxa"/>
            <w:left w:w="0" w:type="dxa"/>
            <w:bottom w:w="0" w:type="dxa"/>
            <w:right w:w="0" w:type="dxa"/>
          </w:tblCellMar>
        </w:tblPrEx>
        <w:trPr>
          <w:trHeight w:val="493" w:hRule="exact"/>
        </w:trPr>
        <w:tc>
          <w:tcPr>
            <w:tcW w:w="132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rPr>
            </w:pP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2019.08.29-08.30</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08:40-08:40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147</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71</w:t>
            </w:r>
          </w:p>
        </w:tc>
      </w:tr>
      <w:tr>
        <w:tblPrEx>
          <w:tblLayout w:type="fixed"/>
          <w:tblCellMar>
            <w:top w:w="0" w:type="dxa"/>
            <w:left w:w="0" w:type="dxa"/>
            <w:bottom w:w="0" w:type="dxa"/>
            <w:right w:w="0" w:type="dxa"/>
          </w:tblCellMar>
        </w:tblPrEx>
        <w:trPr>
          <w:trHeight w:val="493" w:hRule="exact"/>
        </w:trPr>
        <w:tc>
          <w:tcPr>
            <w:tcW w:w="132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rPr>
            </w:pP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2019.08.30-08.31</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08:50-08:50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152</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76</w:t>
            </w:r>
          </w:p>
        </w:tc>
      </w:tr>
      <w:tr>
        <w:tblPrEx>
          <w:tblLayout w:type="fixed"/>
          <w:tblCellMar>
            <w:top w:w="0" w:type="dxa"/>
            <w:left w:w="0" w:type="dxa"/>
            <w:bottom w:w="0" w:type="dxa"/>
            <w:right w:w="0" w:type="dxa"/>
          </w:tblCellMar>
        </w:tblPrEx>
        <w:trPr>
          <w:trHeight w:val="493" w:hRule="exact"/>
        </w:trPr>
        <w:tc>
          <w:tcPr>
            <w:tcW w:w="132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rPr>
            </w:pP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2019.08.31-09.01</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09:00-09:00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158</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79</w:t>
            </w:r>
          </w:p>
        </w:tc>
      </w:tr>
      <w:tr>
        <w:tblPrEx>
          <w:tblLayout w:type="fixed"/>
          <w:tblCellMar>
            <w:top w:w="0" w:type="dxa"/>
            <w:left w:w="0" w:type="dxa"/>
            <w:bottom w:w="0" w:type="dxa"/>
            <w:right w:w="0" w:type="dxa"/>
          </w:tblCellMar>
        </w:tblPrEx>
        <w:trPr>
          <w:trHeight w:val="493" w:hRule="exact"/>
        </w:trPr>
        <w:tc>
          <w:tcPr>
            <w:tcW w:w="1320" w:type="dxa"/>
            <w:vMerge w:val="restart"/>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color w:val="000000" w:themeColor="text1"/>
                <w:spacing w:val="-6"/>
                <w:sz w:val="21"/>
                <w:szCs w:val="21"/>
              </w:rPr>
              <w:t>四坡</w:t>
            </w:r>
            <w:r>
              <w:rPr>
                <w:color w:val="000000" w:themeColor="text1"/>
                <w:sz w:val="21"/>
                <w:szCs w:val="21"/>
              </w:rPr>
              <w:t>斗村</w:t>
            </w: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2019.08.25-08.26</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08:00-08:00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2"/>
                <w:sz w:val="21"/>
              </w:rPr>
              <w:t>112</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57</w:t>
            </w:r>
          </w:p>
        </w:tc>
      </w:tr>
      <w:tr>
        <w:tblPrEx>
          <w:tblLayout w:type="fixed"/>
          <w:tblCellMar>
            <w:top w:w="0" w:type="dxa"/>
            <w:left w:w="0" w:type="dxa"/>
            <w:bottom w:w="0" w:type="dxa"/>
            <w:right w:w="0" w:type="dxa"/>
          </w:tblCellMar>
        </w:tblPrEx>
        <w:trPr>
          <w:trHeight w:val="493" w:hRule="exact"/>
        </w:trPr>
        <w:tc>
          <w:tcPr>
            <w:tcW w:w="132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rPr>
            </w:pP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2019.08.26-08.27</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08:10-08:10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107</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62</w:t>
            </w:r>
          </w:p>
        </w:tc>
      </w:tr>
      <w:tr>
        <w:tblPrEx>
          <w:tblLayout w:type="fixed"/>
          <w:tblCellMar>
            <w:top w:w="0" w:type="dxa"/>
            <w:left w:w="0" w:type="dxa"/>
            <w:bottom w:w="0" w:type="dxa"/>
            <w:right w:w="0" w:type="dxa"/>
          </w:tblCellMar>
        </w:tblPrEx>
        <w:trPr>
          <w:trHeight w:val="493" w:hRule="exact"/>
        </w:trPr>
        <w:tc>
          <w:tcPr>
            <w:tcW w:w="132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rPr>
            </w:pP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2019.08.27-08.28</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08:20-08:20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2"/>
                <w:sz w:val="21"/>
              </w:rPr>
              <w:t>110</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54</w:t>
            </w:r>
          </w:p>
        </w:tc>
      </w:tr>
      <w:tr>
        <w:tblPrEx>
          <w:tblLayout w:type="fixed"/>
          <w:tblCellMar>
            <w:top w:w="0" w:type="dxa"/>
            <w:left w:w="0" w:type="dxa"/>
            <w:bottom w:w="0" w:type="dxa"/>
            <w:right w:w="0" w:type="dxa"/>
          </w:tblCellMar>
        </w:tblPrEx>
        <w:trPr>
          <w:trHeight w:val="493" w:hRule="exact"/>
        </w:trPr>
        <w:tc>
          <w:tcPr>
            <w:tcW w:w="132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rPr>
            </w:pP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2019.08.28-08.29</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08:30-08:30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2"/>
                <w:sz w:val="21"/>
              </w:rPr>
              <w:t>118</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64</w:t>
            </w:r>
          </w:p>
        </w:tc>
      </w:tr>
      <w:tr>
        <w:tblPrEx>
          <w:tblLayout w:type="fixed"/>
          <w:tblCellMar>
            <w:top w:w="0" w:type="dxa"/>
            <w:left w:w="0" w:type="dxa"/>
            <w:bottom w:w="0" w:type="dxa"/>
            <w:right w:w="0" w:type="dxa"/>
          </w:tblCellMar>
        </w:tblPrEx>
        <w:trPr>
          <w:trHeight w:val="493" w:hRule="exact"/>
        </w:trPr>
        <w:tc>
          <w:tcPr>
            <w:tcW w:w="132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rPr>
            </w:pP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2019.08.29-08.30</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08:40-08:40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122</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58</w:t>
            </w:r>
          </w:p>
        </w:tc>
      </w:tr>
      <w:tr>
        <w:tblPrEx>
          <w:tblLayout w:type="fixed"/>
          <w:tblCellMar>
            <w:top w:w="0" w:type="dxa"/>
            <w:left w:w="0" w:type="dxa"/>
            <w:bottom w:w="0" w:type="dxa"/>
            <w:right w:w="0" w:type="dxa"/>
          </w:tblCellMar>
        </w:tblPrEx>
        <w:trPr>
          <w:trHeight w:val="493" w:hRule="exact"/>
        </w:trPr>
        <w:tc>
          <w:tcPr>
            <w:tcW w:w="132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rPr>
            </w:pP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2019.08.30-08.31</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08:50-08:50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126</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60</w:t>
            </w:r>
          </w:p>
        </w:tc>
      </w:tr>
      <w:tr>
        <w:tblPrEx>
          <w:tblLayout w:type="fixed"/>
          <w:tblCellMar>
            <w:top w:w="0" w:type="dxa"/>
            <w:left w:w="0" w:type="dxa"/>
            <w:bottom w:w="0" w:type="dxa"/>
            <w:right w:w="0" w:type="dxa"/>
          </w:tblCellMar>
        </w:tblPrEx>
        <w:trPr>
          <w:trHeight w:val="493" w:hRule="exact"/>
        </w:trPr>
        <w:tc>
          <w:tcPr>
            <w:tcW w:w="1320"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color w:val="000000" w:themeColor="text1"/>
              </w:rPr>
            </w:pPr>
          </w:p>
        </w:tc>
        <w:tc>
          <w:tcPr>
            <w:tcW w:w="1905" w:type="dxa"/>
            <w:tcBorders>
              <w:top w:val="single" w:color="000000" w:sz="4" w:space="0"/>
              <w:left w:val="single" w:color="auto"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10"/>
                <w:sz w:val="21"/>
              </w:rPr>
              <w:t>2019.08.31-09.01</w:t>
            </w:r>
          </w:p>
        </w:tc>
        <w:tc>
          <w:tcPr>
            <w:tcW w:w="1905"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09:00-09:00</w:t>
            </w:r>
            <w:r>
              <w:rPr>
                <w:color w:val="000000" w:themeColor="text1"/>
                <w:sz w:val="21"/>
                <w:szCs w:val="21"/>
              </w:rPr>
              <w:t>次日</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128</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57</w:t>
            </w:r>
          </w:p>
        </w:tc>
      </w:tr>
      <w:tr>
        <w:tblPrEx>
          <w:tblLayout w:type="fixed"/>
          <w:tblCellMar>
            <w:top w:w="0" w:type="dxa"/>
            <w:left w:w="0" w:type="dxa"/>
            <w:bottom w:w="0" w:type="dxa"/>
            <w:right w:w="0" w:type="dxa"/>
          </w:tblCellMar>
        </w:tblPrEx>
        <w:trPr>
          <w:trHeight w:val="493" w:hRule="exact"/>
        </w:trPr>
        <w:tc>
          <w:tcPr>
            <w:tcW w:w="5130" w:type="dxa"/>
            <w:gridSpan w:val="3"/>
            <w:tcBorders>
              <w:top w:val="single" w:color="auto" w:sz="4" w:space="0"/>
              <w:left w:val="single" w:color="000000" w:sz="4" w:space="0"/>
              <w:bottom w:val="single" w:color="auto"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rFonts w:eastAsiaTheme="minorEastAsia"/>
                <w:color w:val="000000" w:themeColor="text1"/>
                <w:sz w:val="21"/>
                <w:szCs w:val="21"/>
              </w:rPr>
              <w:t>《环境空气质量标准》（GB3095-2012）中二级标准</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rPr>
              <w:t>300</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color w:val="000000" w:themeColor="text1"/>
                <w:sz w:val="21"/>
              </w:rPr>
            </w:pPr>
            <w:r>
              <w:rPr>
                <w:color w:val="000000" w:themeColor="text1"/>
                <w:sz w:val="21"/>
              </w:rPr>
              <w:t>150</w:t>
            </w:r>
          </w:p>
        </w:tc>
      </w:tr>
      <w:tr>
        <w:tblPrEx>
          <w:tblLayout w:type="fixed"/>
          <w:tblCellMar>
            <w:top w:w="0" w:type="dxa"/>
            <w:left w:w="0" w:type="dxa"/>
            <w:bottom w:w="0" w:type="dxa"/>
            <w:right w:w="0" w:type="dxa"/>
          </w:tblCellMar>
        </w:tblPrEx>
        <w:trPr>
          <w:trHeight w:val="493" w:hRule="exact"/>
        </w:trPr>
        <w:tc>
          <w:tcPr>
            <w:tcW w:w="5130" w:type="dxa"/>
            <w:gridSpan w:val="3"/>
            <w:tcBorders>
              <w:top w:val="single" w:color="auto"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rFonts w:eastAsiaTheme="minorEastAsia"/>
                <w:color w:val="000000" w:themeColor="text1"/>
                <w:sz w:val="21"/>
                <w:szCs w:val="21"/>
              </w:rPr>
              <w:t>达标情况</w:t>
            </w:r>
          </w:p>
        </w:tc>
        <w:tc>
          <w:tcPr>
            <w:tcW w:w="192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rPr>
              <w:t>达标</w:t>
            </w:r>
          </w:p>
        </w:tc>
        <w:tc>
          <w:tcPr>
            <w:tcW w:w="1890" w:type="dxa"/>
            <w:tcBorders>
              <w:top w:val="single" w:color="000000" w:sz="4" w:space="0"/>
              <w:left w:val="single" w:color="000000" w:sz="4" w:space="0"/>
              <w:bottom w:val="single" w:color="000000" w:sz="4" w:space="0"/>
              <w:right w:val="single" w:color="000000" w:sz="4" w:space="0"/>
            </w:tcBorders>
          </w:tcPr>
          <w:p>
            <w:pPr>
              <w:pStyle w:val="617"/>
              <w:spacing w:line="240" w:lineRule="auto"/>
              <w:ind w:firstLine="0" w:firstLineChars="0"/>
              <w:jc w:val="center"/>
              <w:rPr>
                <w:color w:val="000000" w:themeColor="text1"/>
                <w:sz w:val="21"/>
              </w:rPr>
            </w:pPr>
            <w:r>
              <w:rPr>
                <w:color w:val="000000" w:themeColor="text1"/>
                <w:sz w:val="21"/>
              </w:rPr>
              <w:t>达标</w:t>
            </w:r>
          </w:p>
        </w:tc>
      </w:tr>
    </w:tbl>
    <w:p>
      <w:pPr>
        <w:ind w:firstLine="480"/>
        <w:jc w:val="both"/>
        <w:rPr>
          <w:rFonts w:eastAsiaTheme="minorEastAsia"/>
          <w:color w:val="000000" w:themeColor="text1"/>
        </w:rPr>
      </w:pPr>
      <w:r>
        <w:rPr>
          <w:rFonts w:eastAsiaTheme="minorEastAsia"/>
          <w:color w:val="000000" w:themeColor="text1"/>
          <w:szCs w:val="20"/>
        </w:rPr>
        <w:t>根据上表可知，</w:t>
      </w:r>
      <w:r>
        <w:rPr>
          <w:rFonts w:eastAsiaTheme="minorEastAsia"/>
          <w:color w:val="000000" w:themeColor="text1"/>
        </w:rPr>
        <w:t>SO</w:t>
      </w:r>
      <w:r>
        <w:rPr>
          <w:rFonts w:eastAsiaTheme="minorEastAsia"/>
          <w:color w:val="000000" w:themeColor="text1"/>
          <w:vertAlign w:val="subscript"/>
        </w:rPr>
        <w:t>2</w:t>
      </w:r>
      <w:r>
        <w:rPr>
          <w:rFonts w:eastAsiaTheme="minorEastAsia"/>
          <w:color w:val="000000" w:themeColor="text1"/>
        </w:rPr>
        <w:t>、NO</w:t>
      </w:r>
      <w:r>
        <w:rPr>
          <w:rFonts w:eastAsiaTheme="minorEastAsia"/>
          <w:color w:val="000000" w:themeColor="text1"/>
          <w:vertAlign w:val="subscript"/>
        </w:rPr>
        <w:t>2</w:t>
      </w:r>
      <w:r>
        <w:rPr>
          <w:rFonts w:eastAsiaTheme="minorEastAsia"/>
          <w:color w:val="000000" w:themeColor="text1"/>
        </w:rPr>
        <w:t>小时浓度和TSP、PM</w:t>
      </w:r>
      <w:r>
        <w:rPr>
          <w:rFonts w:eastAsiaTheme="minorEastAsia"/>
          <w:color w:val="000000" w:themeColor="text1"/>
          <w:vertAlign w:val="subscript"/>
        </w:rPr>
        <w:t>10</w:t>
      </w:r>
      <w:r>
        <w:rPr>
          <w:rFonts w:eastAsiaTheme="minorEastAsia"/>
          <w:color w:val="000000" w:themeColor="text1"/>
        </w:rPr>
        <w:t>日均浓度</w:t>
      </w:r>
      <w:r>
        <w:rPr>
          <w:rFonts w:eastAsiaTheme="minorEastAsia"/>
          <w:color w:val="000000" w:themeColor="text1"/>
          <w:szCs w:val="20"/>
        </w:rPr>
        <w:t>均满足《环境空气质量标准》（GB3095-2012）中的二级标准要求。</w:t>
      </w:r>
    </w:p>
    <w:p>
      <w:pPr>
        <w:pStyle w:val="6"/>
        <w:spacing w:beforeLines="0" w:afterLines="0"/>
        <w:rPr>
          <w:rFonts w:eastAsiaTheme="minorEastAsia"/>
          <w:color w:val="000000" w:themeColor="text1"/>
          <w:sz w:val="28"/>
          <w:szCs w:val="28"/>
        </w:rPr>
      </w:pPr>
      <w:bookmarkStart w:id="547" w:name="_Toc482202069"/>
      <w:bookmarkStart w:id="548" w:name="_Toc7412"/>
      <w:r>
        <w:rPr>
          <w:rFonts w:eastAsiaTheme="minorEastAsia"/>
          <w:color w:val="000000" w:themeColor="text1"/>
          <w:sz w:val="28"/>
          <w:szCs w:val="28"/>
        </w:rPr>
        <w:t>5.2.2地表水环境</w:t>
      </w:r>
      <w:r>
        <w:rPr>
          <w:rFonts w:hint="eastAsia" w:eastAsiaTheme="minorEastAsia"/>
          <w:color w:val="000000" w:themeColor="text1"/>
          <w:sz w:val="28"/>
          <w:szCs w:val="28"/>
        </w:rPr>
        <w:t>质量现状</w:t>
      </w:r>
      <w:bookmarkEnd w:id="547"/>
      <w:bookmarkEnd w:id="548"/>
    </w:p>
    <w:p>
      <w:pPr>
        <w:ind w:firstLine="600" w:firstLineChars="250"/>
        <w:rPr>
          <w:rFonts w:eastAsiaTheme="minorEastAsia"/>
          <w:color w:val="000000" w:themeColor="text1"/>
        </w:rPr>
      </w:pPr>
      <w:r>
        <w:rPr>
          <w:rFonts w:eastAsiaTheme="minorEastAsia"/>
          <w:color w:val="000000" w:themeColor="text1"/>
        </w:rPr>
        <w:t>项目区地表水为困龙河和戛洒江，戛洒江属于红河水系（</w:t>
      </w:r>
      <w:r>
        <w:rPr>
          <w:rFonts w:hint="eastAsia" w:eastAsiaTheme="minorEastAsia"/>
          <w:color w:val="000000" w:themeColor="text1"/>
        </w:rPr>
        <w:t>红河巍山</w:t>
      </w:r>
      <w:r>
        <w:rPr>
          <w:rFonts w:eastAsiaTheme="minorEastAsia"/>
          <w:color w:val="000000" w:themeColor="text1"/>
        </w:rPr>
        <w:t>—</w:t>
      </w:r>
      <w:r>
        <w:rPr>
          <w:rFonts w:hint="eastAsia" w:eastAsiaTheme="minorEastAsia"/>
          <w:color w:val="000000" w:themeColor="text1"/>
        </w:rPr>
        <w:t>河口保留区</w:t>
      </w:r>
      <w:r>
        <w:rPr>
          <w:rFonts w:eastAsiaTheme="minorEastAsia"/>
          <w:color w:val="000000" w:themeColor="text1"/>
        </w:rPr>
        <w:t>）。根据《云南省水功能区划（</w:t>
      </w:r>
      <w:r>
        <w:rPr>
          <w:rFonts w:hint="eastAsia" w:eastAsiaTheme="minorEastAsia"/>
          <w:color w:val="000000" w:themeColor="text1"/>
        </w:rPr>
        <w:t>第二版</w:t>
      </w:r>
      <w:r>
        <w:rPr>
          <w:rFonts w:eastAsiaTheme="minorEastAsia"/>
          <w:color w:val="000000" w:themeColor="text1"/>
        </w:rPr>
        <w:t>）》，红河（</w:t>
      </w:r>
      <w:r>
        <w:rPr>
          <w:rFonts w:hint="eastAsia" w:eastAsiaTheme="minorEastAsia"/>
          <w:color w:val="000000" w:themeColor="text1"/>
        </w:rPr>
        <w:t>红河巍山</w:t>
      </w:r>
      <w:r>
        <w:rPr>
          <w:rFonts w:eastAsiaTheme="minorEastAsia"/>
          <w:color w:val="000000" w:themeColor="text1"/>
        </w:rPr>
        <w:t>—</w:t>
      </w:r>
      <w:r>
        <w:rPr>
          <w:rFonts w:hint="eastAsia" w:eastAsiaTheme="minorEastAsia"/>
          <w:color w:val="000000" w:themeColor="text1"/>
        </w:rPr>
        <w:t>河口保留区</w:t>
      </w:r>
      <w:r>
        <w:rPr>
          <w:rFonts w:eastAsiaTheme="minorEastAsia"/>
          <w:color w:val="000000" w:themeColor="text1"/>
        </w:rPr>
        <w:t>）执行《地表水环境质量标准》（GB3838-2002）</w:t>
      </w:r>
      <w:r>
        <w:rPr>
          <w:rFonts w:eastAsia="方正仿宋_GBK"/>
          <w:color w:val="000000" w:themeColor="text1"/>
        </w:rPr>
        <w:t>Ⅲ</w:t>
      </w:r>
      <w:r>
        <w:rPr>
          <w:rFonts w:eastAsiaTheme="minorEastAsia"/>
          <w:color w:val="000000" w:themeColor="text1"/>
        </w:rPr>
        <w:t>类水质标准。因此，困龙河和戛洒江均执行《地表水环境质量标准》（GB3838-2002）</w:t>
      </w:r>
      <w:r>
        <w:rPr>
          <w:rFonts w:eastAsia="方正仿宋_GBK"/>
          <w:color w:val="000000" w:themeColor="text1"/>
        </w:rPr>
        <w:t>Ⅲ</w:t>
      </w:r>
      <w:r>
        <w:rPr>
          <w:rFonts w:eastAsiaTheme="minorEastAsia"/>
          <w:color w:val="000000" w:themeColor="text1"/>
        </w:rPr>
        <w:t>类水质标准。</w:t>
      </w:r>
    </w:p>
    <w:p>
      <w:pPr>
        <w:pStyle w:val="78"/>
        <w:ind w:firstLine="480"/>
        <w:rPr>
          <w:color w:val="000000" w:themeColor="text1"/>
          <w:szCs w:val="24"/>
        </w:rPr>
      </w:pPr>
      <w:r>
        <w:rPr>
          <w:rStyle w:val="73"/>
          <w:color w:val="000000" w:themeColor="text1"/>
          <w:sz w:val="24"/>
          <w:szCs w:val="24"/>
        </w:rPr>
        <w:t>根据《环境影响评价技术导则地表水环境》（HJ2.3-2018）中要求，地表水环境质量现状调查应优先采用生态环境主管部门统一发布的水环境状况信息。</w:t>
      </w:r>
      <w:r>
        <w:rPr>
          <w:color w:val="000000" w:themeColor="text1"/>
          <w:szCs w:val="24"/>
        </w:rPr>
        <w:t>距离本项目最近的戛洒江例行监测断面为三江口断面，本次现状评价引用新平县环境监测站2020年2月份对戛洒江水质监测结果，三江口断面监测结果如下表所示：</w:t>
      </w:r>
    </w:p>
    <w:p>
      <w:pPr>
        <w:pStyle w:val="570"/>
        <w:spacing w:line="360" w:lineRule="auto"/>
        <w:ind w:firstLine="422"/>
        <w:jc w:val="center"/>
        <w:rPr>
          <w:rFonts w:cs="Times New Roman"/>
          <w:color w:val="000000" w:themeColor="text1"/>
          <w:szCs w:val="24"/>
        </w:rPr>
      </w:pPr>
      <w:r>
        <w:rPr>
          <w:rFonts w:cs="Times New Roman"/>
          <w:b/>
          <w:bCs/>
          <w:color w:val="000000" w:themeColor="text1"/>
          <w:sz w:val="21"/>
        </w:rPr>
        <w:t>表5.2-5三江口断面例行监测结果</w:t>
      </w:r>
    </w:p>
    <w:tbl>
      <w:tblPr>
        <w:tblStyle w:val="61"/>
        <w:tblW w:w="8778" w:type="dxa"/>
        <w:jc w:val="center"/>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677"/>
        <w:gridCol w:w="1019"/>
        <w:gridCol w:w="2138"/>
        <w:gridCol w:w="1973"/>
        <w:gridCol w:w="19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893" w:hRule="atLeast"/>
          <w:jc w:val="center"/>
        </w:trPr>
        <w:tc>
          <w:tcPr>
            <w:tcW w:w="2696" w:type="dxa"/>
            <w:gridSpan w:val="2"/>
            <w:tcBorders>
              <w:top w:val="single" w:color="auto" w:sz="8" w:space="0"/>
              <w:bottom w:val="single" w:color="auto" w:sz="4" w:space="0"/>
              <w:tl2br w:val="single" w:color="auto" w:sz="8" w:space="0"/>
            </w:tcBorders>
            <w:vAlign w:val="center"/>
          </w:tcPr>
          <w:p>
            <w:pPr>
              <w:widowControl/>
              <w:adjustRightInd w:val="0"/>
              <w:snapToGrid w:val="0"/>
              <w:spacing w:line="240" w:lineRule="auto"/>
              <w:ind w:firstLine="0" w:firstLineChars="0"/>
              <w:jc w:val="right"/>
              <w:rPr>
                <w:color w:val="000000" w:themeColor="text1"/>
                <w:kern w:val="0"/>
                <w:sz w:val="21"/>
                <w:szCs w:val="21"/>
              </w:rPr>
            </w:pPr>
            <w:r>
              <w:rPr>
                <w:color w:val="000000" w:themeColor="text1"/>
                <w:kern w:val="0"/>
                <w:sz w:val="21"/>
                <w:szCs w:val="21"/>
              </w:rPr>
              <w:t>断面名称</w:t>
            </w:r>
          </w:p>
          <w:p>
            <w:pPr>
              <w:adjustRightInd w:val="0"/>
              <w:snapToGrid w:val="0"/>
              <w:spacing w:line="240" w:lineRule="auto"/>
              <w:ind w:firstLine="0" w:firstLineChars="0"/>
              <w:jc w:val="right"/>
              <w:rPr>
                <w:color w:val="000000" w:themeColor="text1"/>
                <w:kern w:val="0"/>
                <w:sz w:val="21"/>
                <w:szCs w:val="21"/>
              </w:rPr>
            </w:pPr>
            <w:r>
              <w:rPr>
                <w:color w:val="000000" w:themeColor="text1"/>
                <w:kern w:val="0"/>
                <w:sz w:val="21"/>
                <w:szCs w:val="21"/>
              </w:rPr>
              <w:t>采样编号</w:t>
            </w:r>
          </w:p>
          <w:p>
            <w:pPr>
              <w:adjustRightInd w:val="0"/>
              <w:snapToGrid w:val="0"/>
              <w:spacing w:line="240" w:lineRule="auto"/>
              <w:ind w:firstLine="0" w:firstLineChars="0"/>
              <w:rPr>
                <w:color w:val="000000" w:themeColor="text1"/>
                <w:kern w:val="0"/>
                <w:sz w:val="21"/>
                <w:szCs w:val="21"/>
              </w:rPr>
            </w:pPr>
            <w:r>
              <w:rPr>
                <w:color w:val="000000" w:themeColor="text1"/>
                <w:kern w:val="0"/>
                <w:sz w:val="21"/>
                <w:szCs w:val="21"/>
              </w:rPr>
              <w:t>监测项目</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三江口</w:t>
            </w:r>
          </w:p>
        </w:tc>
        <w:tc>
          <w:tcPr>
            <w:tcW w:w="1973" w:type="dxa"/>
            <w:vAlign w:val="center"/>
          </w:tcPr>
          <w:p>
            <w:pPr>
              <w:adjustRightInd w:val="0"/>
              <w:snapToGrid w:val="0"/>
              <w:spacing w:line="240" w:lineRule="auto"/>
              <w:ind w:firstLine="0" w:firstLineChars="0"/>
              <w:jc w:val="center"/>
              <w:rPr>
                <w:color w:val="000000" w:themeColor="text1"/>
                <w:sz w:val="21"/>
                <w:szCs w:val="21"/>
              </w:rPr>
            </w:pPr>
            <w:r>
              <w:rPr>
                <w:rFonts w:eastAsia="方正仿宋_GBK"/>
                <w:color w:val="000000" w:themeColor="text1"/>
                <w:sz w:val="21"/>
                <w:szCs w:val="21"/>
              </w:rPr>
              <w:t>Ⅲ</w:t>
            </w:r>
            <w:r>
              <w:rPr>
                <w:color w:val="000000" w:themeColor="text1"/>
                <w:sz w:val="21"/>
                <w:szCs w:val="21"/>
              </w:rPr>
              <w:t>类水</w:t>
            </w:r>
          </w:p>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标准</w:t>
            </w:r>
          </w:p>
        </w:tc>
        <w:tc>
          <w:tcPr>
            <w:tcW w:w="1971" w:type="dxa"/>
            <w:vAlign w:val="center"/>
          </w:tcPr>
          <w:p>
            <w:pPr>
              <w:widowControl/>
              <w:adjustRightInd w:val="0"/>
              <w:snapToGrid w:val="0"/>
              <w:spacing w:line="240" w:lineRule="auto"/>
              <w:ind w:firstLine="0" w:firstLineChars="0"/>
              <w:jc w:val="center"/>
              <w:rPr>
                <w:color w:val="000000" w:themeColor="text1"/>
                <w:sz w:val="21"/>
                <w:szCs w:val="21"/>
              </w:rPr>
            </w:pPr>
            <w:r>
              <w:rPr>
                <w:color w:val="000000" w:themeColor="text1"/>
                <w:sz w:val="21"/>
                <w:szCs w:val="21"/>
              </w:rPr>
              <w:t>评价</w:t>
            </w:r>
          </w:p>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结果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tcBorders>
              <w:top w:val="single" w:color="auto" w:sz="4" w:space="0"/>
            </w:tcBorders>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水温</w:t>
            </w:r>
          </w:p>
        </w:tc>
        <w:tc>
          <w:tcPr>
            <w:tcW w:w="1019" w:type="dxa"/>
            <w:tcBorders>
              <w:top w:val="single" w:color="auto" w:sz="4" w:space="0"/>
            </w:tcBorders>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20.0</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流量</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w:t>
            </w:r>
            <w:r>
              <w:rPr>
                <w:color w:val="000000" w:themeColor="text1"/>
                <w:kern w:val="0"/>
                <w:sz w:val="21"/>
                <w:szCs w:val="21"/>
                <w:vertAlign w:val="superscript"/>
              </w:rPr>
              <w:t>3</w:t>
            </w:r>
            <w:r>
              <w:rPr>
                <w:color w:val="000000" w:themeColor="text1"/>
                <w:kern w:val="0"/>
                <w:sz w:val="21"/>
                <w:szCs w:val="21"/>
              </w:rPr>
              <w:t>/S</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-1</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pH</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无量纲</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7.29</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6-9</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电导率</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mS/m</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33.6</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58"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溶解氧</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7.09</w:t>
            </w:r>
          </w:p>
        </w:tc>
        <w:tc>
          <w:tcPr>
            <w:tcW w:w="1973" w:type="dxa"/>
            <w:vAlign w:val="center"/>
          </w:tcPr>
          <w:p>
            <w:pPr>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w:t>
            </w:r>
            <w:r>
              <w:rPr>
                <w:rFonts w:hint="eastAsia"/>
                <w:color w:val="000000" w:themeColor="text1"/>
                <w:sz w:val="21"/>
                <w:szCs w:val="21"/>
              </w:rPr>
              <w:t>5</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598"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高锰酸盐指数</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2.8</w:t>
            </w:r>
          </w:p>
        </w:tc>
        <w:tc>
          <w:tcPr>
            <w:tcW w:w="1973" w:type="dxa"/>
            <w:vAlign w:val="center"/>
          </w:tcPr>
          <w:p>
            <w:pPr>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w:t>
            </w:r>
            <w:r>
              <w:rPr>
                <w:rFonts w:hint="eastAsia"/>
                <w:color w:val="000000" w:themeColor="text1"/>
                <w:sz w:val="21"/>
                <w:szCs w:val="21"/>
              </w:rPr>
              <w:t>6</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598"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五日生化需氧量</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3</w:t>
            </w:r>
          </w:p>
        </w:tc>
        <w:tc>
          <w:tcPr>
            <w:tcW w:w="1973" w:type="dxa"/>
            <w:vAlign w:val="center"/>
          </w:tcPr>
          <w:p>
            <w:pPr>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w:t>
            </w:r>
            <w:r>
              <w:rPr>
                <w:rFonts w:hint="eastAsia"/>
                <w:color w:val="000000" w:themeColor="text1"/>
                <w:sz w:val="21"/>
                <w:szCs w:val="21"/>
              </w:rPr>
              <w:t>4</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氨氮</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0.07</w:t>
            </w:r>
          </w:p>
        </w:tc>
        <w:tc>
          <w:tcPr>
            <w:tcW w:w="1973" w:type="dxa"/>
            <w:vAlign w:val="center"/>
          </w:tcPr>
          <w:p>
            <w:pPr>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≤1.</w:t>
            </w:r>
            <w:r>
              <w:rPr>
                <w:rFonts w:hint="eastAsia"/>
                <w:color w:val="000000" w:themeColor="text1"/>
                <w:sz w:val="21"/>
                <w:szCs w:val="21"/>
              </w:rPr>
              <w:t>0</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石油类</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0.01L</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≤0.</w:t>
            </w:r>
            <w:r>
              <w:rPr>
                <w:rFonts w:hint="eastAsia"/>
                <w:color w:val="000000" w:themeColor="text1"/>
                <w:sz w:val="21"/>
                <w:szCs w:val="21"/>
              </w:rPr>
              <w:t>0</w:t>
            </w:r>
            <w:r>
              <w:rPr>
                <w:color w:val="000000" w:themeColor="text1"/>
                <w:sz w:val="21"/>
                <w:szCs w:val="21"/>
              </w:rPr>
              <w:t>5</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挥发酚</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0.0003L</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≤0.0</w:t>
            </w:r>
            <w:r>
              <w:rPr>
                <w:rFonts w:hint="eastAsia"/>
                <w:color w:val="000000" w:themeColor="text1"/>
                <w:sz w:val="21"/>
                <w:szCs w:val="21"/>
              </w:rPr>
              <w:t>05</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汞</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0.00004L</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≤0.00</w:t>
            </w:r>
            <w:r>
              <w:rPr>
                <w:rFonts w:hint="eastAsia"/>
                <w:color w:val="000000" w:themeColor="text1"/>
                <w:sz w:val="21"/>
                <w:szCs w:val="21"/>
              </w:rPr>
              <w:t>0</w:t>
            </w:r>
            <w:r>
              <w:rPr>
                <w:color w:val="000000" w:themeColor="text1"/>
                <w:sz w:val="21"/>
                <w:szCs w:val="21"/>
              </w:rPr>
              <w:t>1</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铅</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0.001L</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≤0.05</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化学需氧量</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2</w:t>
            </w:r>
            <w:r>
              <w:rPr>
                <w:rFonts w:hint="eastAsia"/>
                <w:color w:val="000000" w:themeColor="text1"/>
                <w:kern w:val="0"/>
                <w:sz w:val="21"/>
                <w:szCs w:val="21"/>
              </w:rPr>
              <w:t>0</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w:t>
            </w:r>
            <w:r>
              <w:rPr>
                <w:rFonts w:hint="eastAsia"/>
                <w:color w:val="000000" w:themeColor="text1"/>
                <w:sz w:val="21"/>
                <w:szCs w:val="21"/>
              </w:rPr>
              <w:t>20</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总氮</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0.93</w:t>
            </w:r>
          </w:p>
        </w:tc>
        <w:tc>
          <w:tcPr>
            <w:tcW w:w="1973" w:type="dxa"/>
            <w:vAlign w:val="center"/>
          </w:tcPr>
          <w:p>
            <w:pPr>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≤1.</w:t>
            </w:r>
            <w:r>
              <w:rPr>
                <w:rFonts w:hint="eastAsia"/>
                <w:color w:val="000000" w:themeColor="text1"/>
                <w:sz w:val="21"/>
                <w:szCs w:val="21"/>
              </w:rPr>
              <w:t>0</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总磷</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0.01</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≤0.</w:t>
            </w:r>
            <w:r>
              <w:rPr>
                <w:rFonts w:hint="eastAsia"/>
                <w:color w:val="000000" w:themeColor="text1"/>
                <w:sz w:val="21"/>
                <w:szCs w:val="21"/>
              </w:rPr>
              <w:t>2</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铜</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0.001L</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≤1.0</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锌</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0.05L</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w:t>
            </w:r>
            <w:r>
              <w:rPr>
                <w:rFonts w:hint="eastAsia"/>
                <w:color w:val="000000" w:themeColor="text1"/>
                <w:sz w:val="21"/>
                <w:szCs w:val="21"/>
              </w:rPr>
              <w:t>1</w:t>
            </w:r>
            <w:r>
              <w:rPr>
                <w:color w:val="000000" w:themeColor="text1"/>
                <w:sz w:val="21"/>
                <w:szCs w:val="21"/>
              </w:rPr>
              <w:t>.0</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氟化物</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0.145</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≤1.</w:t>
            </w:r>
            <w:r>
              <w:rPr>
                <w:rFonts w:hint="eastAsia"/>
                <w:color w:val="000000" w:themeColor="text1"/>
                <w:sz w:val="21"/>
                <w:szCs w:val="21"/>
              </w:rPr>
              <w:t>0</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硒</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0.0004L</w:t>
            </w:r>
          </w:p>
        </w:tc>
        <w:tc>
          <w:tcPr>
            <w:tcW w:w="1973" w:type="dxa"/>
            <w:vAlign w:val="center"/>
          </w:tcPr>
          <w:p>
            <w:pPr>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≤0.0</w:t>
            </w:r>
            <w:r>
              <w:rPr>
                <w:rFonts w:hint="eastAsia"/>
                <w:color w:val="000000" w:themeColor="text1"/>
                <w:sz w:val="21"/>
                <w:szCs w:val="21"/>
              </w:rPr>
              <w:t>1</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砷</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0.0003L</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≤0.</w:t>
            </w:r>
            <w:r>
              <w:rPr>
                <w:rFonts w:hint="eastAsia"/>
                <w:color w:val="000000" w:themeColor="text1"/>
                <w:sz w:val="21"/>
                <w:szCs w:val="21"/>
              </w:rPr>
              <w:t>05</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3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镉</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0.0001L</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≤0.005</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14"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六价铬</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0.004L</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≤0.05</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3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氰化物</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0.004L</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≤0.2</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608"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阴离子表面活性剂</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0.05L</w:t>
            </w:r>
          </w:p>
        </w:tc>
        <w:tc>
          <w:tcPr>
            <w:tcW w:w="1973" w:type="dxa"/>
            <w:vAlign w:val="center"/>
          </w:tcPr>
          <w:p>
            <w:pPr>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≤0.</w:t>
            </w:r>
            <w:r>
              <w:rPr>
                <w:rFonts w:hint="eastAsia"/>
                <w:color w:val="000000" w:themeColor="text1"/>
                <w:sz w:val="21"/>
                <w:szCs w:val="21"/>
              </w:rPr>
              <w:t>2</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硫化物</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0.005L</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sz w:val="21"/>
                <w:szCs w:val="21"/>
              </w:rPr>
              <w:t>≤0.</w:t>
            </w:r>
            <w:r>
              <w:rPr>
                <w:rFonts w:hint="eastAsia"/>
                <w:color w:val="000000" w:themeColor="text1"/>
                <w:sz w:val="21"/>
                <w:szCs w:val="21"/>
              </w:rPr>
              <w:t>2</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粪大肠菌群</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个/L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50</w:t>
            </w:r>
          </w:p>
        </w:tc>
        <w:tc>
          <w:tcPr>
            <w:tcW w:w="1973" w:type="dxa"/>
            <w:vAlign w:val="center"/>
          </w:tcPr>
          <w:p>
            <w:pPr>
              <w:widowControl/>
              <w:adjustRightInd w:val="0"/>
              <w:snapToGrid w:val="0"/>
              <w:spacing w:line="240" w:lineRule="auto"/>
              <w:ind w:firstLine="0" w:firstLineChars="0"/>
              <w:jc w:val="center"/>
              <w:rPr>
                <w:color w:val="000000" w:themeColor="text1"/>
                <w:sz w:val="21"/>
                <w:szCs w:val="21"/>
              </w:rPr>
            </w:pPr>
            <w:r>
              <w:rPr>
                <w:color w:val="000000" w:themeColor="text1"/>
                <w:sz w:val="21"/>
                <w:szCs w:val="21"/>
              </w:rPr>
              <w:t>≤</w:t>
            </w:r>
            <w:r>
              <w:rPr>
                <w:rFonts w:hint="eastAsia"/>
                <w:color w:val="000000" w:themeColor="text1"/>
                <w:sz w:val="21"/>
                <w:szCs w:val="21"/>
              </w:rPr>
              <w:t>1</w:t>
            </w:r>
            <w:r>
              <w:rPr>
                <w:color w:val="000000" w:themeColor="text1"/>
                <w:sz w:val="21"/>
                <w:szCs w:val="21"/>
              </w:rPr>
              <w:t>0000</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9"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硫酸盐</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-1</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14"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氯化物</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-1</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硝酸盐</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-1</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铁</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-1</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rFonts w:hint="eastAsia"/>
                <w:color w:val="000000" w:themeColor="text1"/>
                <w:kern w:val="0"/>
                <w:sz w:val="21"/>
                <w:szCs w:val="21"/>
              </w:rPr>
              <w:t xml:space="preserve"> 0.3</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锰</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-1</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rFonts w:hint="eastAsia"/>
                <w:color w:val="000000" w:themeColor="text1"/>
                <w:kern w:val="0"/>
                <w:sz w:val="21"/>
                <w:szCs w:val="21"/>
              </w:rPr>
              <w:t xml:space="preserve">0.1 </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598"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溶解氧饱和度</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-1</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全盐量</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mg/L</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-1</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14"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气压</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kPa</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95.0</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27" w:hRule="atLeast"/>
          <w:jc w:val="center"/>
        </w:trPr>
        <w:tc>
          <w:tcPr>
            <w:tcW w:w="1677"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气温</w:t>
            </w:r>
          </w:p>
        </w:tc>
        <w:tc>
          <w:tcPr>
            <w:tcW w:w="101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22.4</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70" w:hRule="atLeast"/>
          <w:jc w:val="center"/>
        </w:trPr>
        <w:tc>
          <w:tcPr>
            <w:tcW w:w="2696" w:type="dxa"/>
            <w:gridSpan w:val="2"/>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水样状态</w:t>
            </w:r>
          </w:p>
        </w:tc>
        <w:tc>
          <w:tcPr>
            <w:tcW w:w="2138" w:type="dxa"/>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浑</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微浑</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Ex>
        <w:trPr>
          <w:trHeight w:val="389" w:hRule="atLeast"/>
          <w:jc w:val="center"/>
        </w:trPr>
        <w:tc>
          <w:tcPr>
            <w:tcW w:w="2696" w:type="dxa"/>
            <w:gridSpan w:val="2"/>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备注（是否断流）</w:t>
            </w:r>
          </w:p>
        </w:tc>
        <w:tc>
          <w:tcPr>
            <w:tcW w:w="2138"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否</w:t>
            </w:r>
          </w:p>
        </w:tc>
        <w:tc>
          <w:tcPr>
            <w:tcW w:w="197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否</w:t>
            </w:r>
          </w:p>
        </w:tc>
        <w:tc>
          <w:tcPr>
            <w:tcW w:w="1971"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w:t>
            </w:r>
          </w:p>
        </w:tc>
      </w:tr>
    </w:tbl>
    <w:p>
      <w:pPr>
        <w:pStyle w:val="570"/>
        <w:spacing w:line="360" w:lineRule="auto"/>
        <w:ind w:firstLine="480"/>
        <w:jc w:val="both"/>
        <w:rPr>
          <w:rStyle w:val="73"/>
          <w:rFonts w:cs="Times New Roman"/>
          <w:color w:val="000000" w:themeColor="text1"/>
          <w:sz w:val="24"/>
          <w:szCs w:val="24"/>
        </w:rPr>
      </w:pPr>
      <w:r>
        <w:rPr>
          <w:rFonts w:cs="Times New Roman"/>
          <w:color w:val="000000" w:themeColor="text1"/>
          <w:szCs w:val="24"/>
        </w:rPr>
        <w:t>从表5.2-5看出，戛洒江三江口断面能够达到《地表水环境质量标准》（GB3838-2002</w:t>
      </w:r>
      <w:r>
        <w:rPr>
          <w:rFonts w:hint="eastAsia" w:cs="Times New Roman"/>
          <w:color w:val="000000" w:themeColor="text1"/>
          <w:szCs w:val="24"/>
        </w:rPr>
        <w:t>）</w:t>
      </w:r>
      <w:r>
        <w:rPr>
          <w:rFonts w:eastAsia="方正仿宋_GBK" w:cs="Times New Roman"/>
          <w:color w:val="000000" w:themeColor="text1"/>
          <w:szCs w:val="24"/>
        </w:rPr>
        <w:t>Ⅲ</w:t>
      </w:r>
      <w:r>
        <w:rPr>
          <w:rFonts w:cs="Times New Roman"/>
          <w:color w:val="000000" w:themeColor="text1"/>
          <w:szCs w:val="24"/>
        </w:rPr>
        <w:t>类水质标准。</w:t>
      </w:r>
    </w:p>
    <w:p>
      <w:pPr>
        <w:pStyle w:val="78"/>
        <w:ind w:firstLine="480"/>
        <w:jc w:val="both"/>
        <w:rPr>
          <w:color w:val="000000" w:themeColor="text1"/>
        </w:rPr>
      </w:pPr>
      <w:r>
        <w:rPr>
          <w:rStyle w:val="73"/>
          <w:color w:val="000000" w:themeColor="text1"/>
          <w:sz w:val="24"/>
          <w:szCs w:val="24"/>
        </w:rPr>
        <w:t>为了解困龙河河水质现状，本次评价引用</w:t>
      </w:r>
      <w:r>
        <w:rPr>
          <w:color w:val="000000" w:themeColor="text1"/>
        </w:rPr>
        <w:t>新平县平安矿业开发有限公司2020年8月13日-15日委托</w:t>
      </w:r>
      <w:r>
        <w:rPr>
          <w:color w:val="000000" w:themeColor="text1"/>
          <w:spacing w:val="-5"/>
          <w:szCs w:val="24"/>
        </w:rPr>
        <w:t>云南鑫田环境分析测试有限</w:t>
      </w:r>
      <w:r>
        <w:rPr>
          <w:color w:val="000000" w:themeColor="text1"/>
        </w:rPr>
        <w:t>公司对困龙河水质监测的结果，监测断面1#位于本项目困龙河上游</w:t>
      </w:r>
      <w:r>
        <w:rPr>
          <w:rFonts w:hint="eastAsia"/>
          <w:color w:val="000000" w:themeColor="text1"/>
        </w:rPr>
        <w:t>5</w:t>
      </w:r>
      <w:r>
        <w:rPr>
          <w:color w:val="000000" w:themeColor="text1"/>
        </w:rPr>
        <w:t>00m，监测断面2#位于</w:t>
      </w:r>
      <w:r>
        <w:rPr>
          <w:rFonts w:eastAsiaTheme="minorEastAsia"/>
          <w:color w:val="000000" w:themeColor="text1"/>
          <w:szCs w:val="24"/>
        </w:rPr>
        <w:t>困龙</w:t>
      </w:r>
      <w:r>
        <w:rPr>
          <w:rFonts w:hint="eastAsia" w:eastAsiaTheme="minorEastAsia"/>
          <w:color w:val="000000" w:themeColor="text1"/>
          <w:szCs w:val="20"/>
        </w:rPr>
        <w:t>河项目区下游2600m</w:t>
      </w:r>
      <w:r>
        <w:rPr>
          <w:color w:val="000000" w:themeColor="text1"/>
        </w:rPr>
        <w:t>。该项目选厂和辣子箐尾矿库处在困龙河监测断面范围。</w:t>
      </w:r>
    </w:p>
    <w:p>
      <w:pPr>
        <w:ind w:firstLine="600" w:firstLineChars="250"/>
        <w:rPr>
          <w:rFonts w:eastAsiaTheme="minorEastAsia"/>
          <w:color w:val="000000" w:themeColor="text1"/>
          <w:szCs w:val="20"/>
        </w:rPr>
      </w:pPr>
      <w:r>
        <w:rPr>
          <w:rFonts w:eastAsiaTheme="minorEastAsia"/>
          <w:color w:val="000000" w:themeColor="text1"/>
          <w:szCs w:val="20"/>
        </w:rPr>
        <w:t>1、现状监测</w:t>
      </w:r>
    </w:p>
    <w:p>
      <w:pPr>
        <w:ind w:firstLine="480"/>
        <w:jc w:val="both"/>
        <w:rPr>
          <w:rFonts w:eastAsiaTheme="minorEastAsia"/>
          <w:color w:val="000000" w:themeColor="text1"/>
          <w:szCs w:val="20"/>
        </w:rPr>
      </w:pPr>
      <w:r>
        <w:rPr>
          <w:rFonts w:eastAsiaTheme="minorEastAsia"/>
          <w:color w:val="000000" w:themeColor="text1"/>
          <w:szCs w:val="20"/>
        </w:rPr>
        <w:t>监测点位：共设2个监测断面，困龙河</w:t>
      </w:r>
      <w:r>
        <w:rPr>
          <w:rFonts w:hint="eastAsia" w:eastAsiaTheme="minorEastAsia"/>
          <w:color w:val="000000" w:themeColor="text1"/>
          <w:szCs w:val="20"/>
        </w:rPr>
        <w:t>本项目</w:t>
      </w:r>
      <w:r>
        <w:rPr>
          <w:rFonts w:eastAsiaTheme="minorEastAsia"/>
          <w:color w:val="000000" w:themeColor="text1"/>
          <w:szCs w:val="20"/>
        </w:rPr>
        <w:t>上游</w:t>
      </w:r>
      <w:r>
        <w:rPr>
          <w:rFonts w:hint="eastAsia" w:eastAsiaTheme="minorEastAsia"/>
          <w:color w:val="000000" w:themeColor="text1"/>
          <w:szCs w:val="20"/>
        </w:rPr>
        <w:t>5</w:t>
      </w:r>
      <w:r>
        <w:rPr>
          <w:rFonts w:eastAsiaTheme="minorEastAsia"/>
          <w:color w:val="000000" w:themeColor="text1"/>
          <w:szCs w:val="20"/>
        </w:rPr>
        <w:t>00m1#</w:t>
      </w:r>
      <w:r>
        <w:rPr>
          <w:rFonts w:hint="eastAsia" w:eastAsiaTheme="minorEastAsia"/>
          <w:color w:val="000000" w:themeColor="text1"/>
          <w:szCs w:val="20"/>
        </w:rPr>
        <w:t>（</w:t>
      </w:r>
      <w:r>
        <w:rPr>
          <w:rFonts w:hint="eastAsia"/>
          <w:color w:val="000000" w:themeColor="text1"/>
          <w:szCs w:val="24"/>
        </w:rPr>
        <w:t>E101</w:t>
      </w:r>
      <w:r>
        <w:rPr>
          <w:color w:val="000000" w:themeColor="text1"/>
          <w:szCs w:val="24"/>
        </w:rPr>
        <w:t>°</w:t>
      </w:r>
      <w:r>
        <w:rPr>
          <w:rFonts w:hint="eastAsia"/>
          <w:color w:val="000000" w:themeColor="text1"/>
          <w:szCs w:val="24"/>
        </w:rPr>
        <w:t>60</w:t>
      </w:r>
      <w:r>
        <w:rPr>
          <w:color w:val="000000" w:themeColor="text1"/>
          <w:szCs w:val="24"/>
        </w:rPr>
        <w:t>ʹ</w:t>
      </w:r>
      <w:r>
        <w:rPr>
          <w:rFonts w:hint="eastAsia"/>
          <w:color w:val="000000" w:themeColor="text1"/>
          <w:szCs w:val="24"/>
        </w:rPr>
        <w:t>56.043</w:t>
      </w:r>
      <w:r>
        <w:rPr>
          <w:color w:val="000000" w:themeColor="text1"/>
          <w:szCs w:val="24"/>
        </w:rPr>
        <w:t>ʺ</w:t>
      </w:r>
      <w:r>
        <w:rPr>
          <w:rFonts w:hint="eastAsia"/>
          <w:color w:val="000000" w:themeColor="text1"/>
          <w:szCs w:val="24"/>
        </w:rPr>
        <w:t>；N24</w:t>
      </w:r>
      <w:r>
        <w:rPr>
          <w:color w:val="000000" w:themeColor="text1"/>
          <w:szCs w:val="24"/>
        </w:rPr>
        <w:t>°</w:t>
      </w:r>
      <w:r>
        <w:rPr>
          <w:rFonts w:hint="eastAsia"/>
          <w:color w:val="000000" w:themeColor="text1"/>
          <w:szCs w:val="24"/>
        </w:rPr>
        <w:t>07</w:t>
      </w:r>
      <w:r>
        <w:rPr>
          <w:color w:val="000000" w:themeColor="text1"/>
          <w:szCs w:val="24"/>
        </w:rPr>
        <w:t>ʹ</w:t>
      </w:r>
      <w:r>
        <w:rPr>
          <w:rFonts w:hint="eastAsia"/>
          <w:color w:val="000000" w:themeColor="text1"/>
          <w:szCs w:val="24"/>
        </w:rPr>
        <w:t>30.674</w:t>
      </w:r>
      <w:r>
        <w:rPr>
          <w:color w:val="000000" w:themeColor="text1"/>
          <w:szCs w:val="24"/>
        </w:rPr>
        <w:t>ʺ</w:t>
      </w:r>
      <w:r>
        <w:rPr>
          <w:rFonts w:hint="eastAsia" w:eastAsiaTheme="minorEastAsia"/>
          <w:color w:val="000000" w:themeColor="text1"/>
          <w:szCs w:val="24"/>
        </w:rPr>
        <w:t>）</w:t>
      </w:r>
      <w:r>
        <w:rPr>
          <w:rFonts w:eastAsiaTheme="minorEastAsia"/>
          <w:color w:val="000000" w:themeColor="text1"/>
          <w:szCs w:val="24"/>
        </w:rPr>
        <w:t>、困龙</w:t>
      </w:r>
      <w:r>
        <w:rPr>
          <w:rFonts w:hint="eastAsia" w:eastAsiaTheme="minorEastAsia"/>
          <w:color w:val="000000" w:themeColor="text1"/>
          <w:szCs w:val="20"/>
        </w:rPr>
        <w:t>河项目区下游2600m2#（</w:t>
      </w:r>
      <w:r>
        <w:rPr>
          <w:rFonts w:hint="eastAsia"/>
          <w:color w:val="000000" w:themeColor="text1"/>
          <w:szCs w:val="24"/>
        </w:rPr>
        <w:t>E101</w:t>
      </w:r>
      <w:r>
        <w:rPr>
          <w:color w:val="000000" w:themeColor="text1"/>
          <w:szCs w:val="24"/>
        </w:rPr>
        <w:t>°</w:t>
      </w:r>
      <w:r>
        <w:rPr>
          <w:rFonts w:hint="eastAsia"/>
          <w:color w:val="000000" w:themeColor="text1"/>
          <w:szCs w:val="24"/>
        </w:rPr>
        <w:t>58</w:t>
      </w:r>
      <w:r>
        <w:rPr>
          <w:color w:val="000000" w:themeColor="text1"/>
          <w:szCs w:val="24"/>
        </w:rPr>
        <w:t>ʹ</w:t>
      </w:r>
      <w:r>
        <w:rPr>
          <w:rFonts w:hint="eastAsia"/>
          <w:color w:val="000000" w:themeColor="text1"/>
          <w:szCs w:val="24"/>
        </w:rPr>
        <w:t>44.900</w:t>
      </w:r>
      <w:r>
        <w:rPr>
          <w:color w:val="000000" w:themeColor="text1"/>
          <w:szCs w:val="24"/>
        </w:rPr>
        <w:t>ʺ</w:t>
      </w:r>
      <w:r>
        <w:rPr>
          <w:rFonts w:hint="eastAsia"/>
          <w:color w:val="000000" w:themeColor="text1"/>
          <w:szCs w:val="24"/>
        </w:rPr>
        <w:t>；N24</w:t>
      </w:r>
      <w:r>
        <w:rPr>
          <w:color w:val="000000" w:themeColor="text1"/>
          <w:szCs w:val="24"/>
        </w:rPr>
        <w:t>°</w:t>
      </w:r>
      <w:r>
        <w:rPr>
          <w:rFonts w:hint="eastAsia"/>
          <w:color w:val="000000" w:themeColor="text1"/>
          <w:szCs w:val="24"/>
        </w:rPr>
        <w:t>06</w:t>
      </w:r>
      <w:r>
        <w:rPr>
          <w:color w:val="000000" w:themeColor="text1"/>
          <w:szCs w:val="24"/>
        </w:rPr>
        <w:t>ʹ</w:t>
      </w:r>
      <w:r>
        <w:rPr>
          <w:rFonts w:hint="eastAsia"/>
          <w:color w:val="000000" w:themeColor="text1"/>
          <w:szCs w:val="24"/>
        </w:rPr>
        <w:t>13.944</w:t>
      </w:r>
      <w:r>
        <w:rPr>
          <w:color w:val="000000" w:themeColor="text1"/>
          <w:szCs w:val="24"/>
        </w:rPr>
        <w:t>ʺ</w:t>
      </w:r>
      <w:r>
        <w:rPr>
          <w:rFonts w:hint="eastAsia" w:eastAsiaTheme="minorEastAsia"/>
          <w:color w:val="000000" w:themeColor="text1"/>
          <w:szCs w:val="20"/>
        </w:rPr>
        <w:t>）处</w:t>
      </w:r>
      <w:r>
        <w:rPr>
          <w:rFonts w:eastAsiaTheme="minorEastAsia"/>
          <w:color w:val="000000" w:themeColor="text1"/>
          <w:szCs w:val="20"/>
        </w:rPr>
        <w:t>各布设1个监测</w:t>
      </w:r>
      <w:r>
        <w:rPr>
          <w:rFonts w:hint="eastAsia" w:eastAsiaTheme="minorEastAsia"/>
          <w:color w:val="000000" w:themeColor="text1"/>
          <w:szCs w:val="20"/>
        </w:rPr>
        <w:t>断面</w:t>
      </w:r>
      <w:r>
        <w:rPr>
          <w:rFonts w:eastAsiaTheme="minorEastAsia"/>
          <w:color w:val="000000" w:themeColor="text1"/>
          <w:szCs w:val="20"/>
        </w:rPr>
        <w:t>。</w:t>
      </w:r>
    </w:p>
    <w:p>
      <w:pPr>
        <w:spacing w:line="440" w:lineRule="exact"/>
        <w:ind w:firstLine="480"/>
        <w:rPr>
          <w:rFonts w:eastAsiaTheme="minorEastAsia"/>
          <w:color w:val="000000" w:themeColor="text1"/>
          <w:szCs w:val="21"/>
        </w:rPr>
      </w:pPr>
      <w:r>
        <w:rPr>
          <w:rFonts w:eastAsiaTheme="minorEastAsia"/>
          <w:color w:val="000000" w:themeColor="text1"/>
          <w:szCs w:val="20"/>
        </w:rPr>
        <w:t>监测项目：</w:t>
      </w:r>
      <w:r>
        <w:rPr>
          <w:bCs/>
          <w:color w:val="000000" w:themeColor="text1"/>
          <w:szCs w:val="28"/>
        </w:rPr>
        <w:t>pH、CODcr、BOD</w:t>
      </w:r>
      <w:r>
        <w:rPr>
          <w:bCs/>
          <w:color w:val="000000" w:themeColor="text1"/>
          <w:szCs w:val="28"/>
          <w:vertAlign w:val="subscript"/>
        </w:rPr>
        <w:t>5</w:t>
      </w:r>
      <w:r>
        <w:rPr>
          <w:bCs/>
          <w:color w:val="000000" w:themeColor="text1"/>
          <w:szCs w:val="28"/>
        </w:rPr>
        <w:t>、SS、NH</w:t>
      </w:r>
      <w:r>
        <w:rPr>
          <w:bCs/>
          <w:color w:val="000000" w:themeColor="text1"/>
          <w:szCs w:val="28"/>
          <w:vertAlign w:val="subscript"/>
        </w:rPr>
        <w:t>3</w:t>
      </w:r>
      <w:r>
        <w:rPr>
          <w:bCs/>
          <w:color w:val="000000" w:themeColor="text1"/>
          <w:szCs w:val="28"/>
        </w:rPr>
        <w:t>-N、总磷、硫化物、氟化物、六价铬、铜、铅、砷、镉、铁、锰、锌、汞、粪大肠菌群、石油类、氰化物，共计20项；</w:t>
      </w:r>
    </w:p>
    <w:p>
      <w:pPr>
        <w:ind w:firstLine="480"/>
        <w:rPr>
          <w:rFonts w:eastAsiaTheme="minorEastAsia"/>
          <w:color w:val="000000" w:themeColor="text1"/>
          <w:szCs w:val="21"/>
        </w:rPr>
      </w:pPr>
      <w:r>
        <w:rPr>
          <w:rFonts w:eastAsiaTheme="minorEastAsia"/>
          <w:color w:val="000000" w:themeColor="text1"/>
          <w:szCs w:val="20"/>
        </w:rPr>
        <w:t>监测频率：</w:t>
      </w:r>
      <w:r>
        <w:rPr>
          <w:rFonts w:eastAsiaTheme="minorEastAsia"/>
          <w:color w:val="000000" w:themeColor="text1"/>
          <w:szCs w:val="21"/>
        </w:rPr>
        <w:t>连续3天，每天监测1次。</w:t>
      </w:r>
    </w:p>
    <w:p>
      <w:pPr>
        <w:ind w:firstLine="480"/>
        <w:rPr>
          <w:rFonts w:eastAsiaTheme="minorEastAsia"/>
          <w:color w:val="000000" w:themeColor="text1"/>
          <w:szCs w:val="20"/>
        </w:rPr>
      </w:pPr>
      <w:r>
        <w:rPr>
          <w:rFonts w:eastAsiaTheme="minorEastAsia"/>
          <w:color w:val="000000" w:themeColor="text1"/>
          <w:szCs w:val="21"/>
        </w:rPr>
        <w:t>监测方法：按照国家颁布的标准方法进行监测，执行《地表水环境质量标准》。</w:t>
      </w:r>
    </w:p>
    <w:p>
      <w:pPr>
        <w:ind w:firstLine="480"/>
        <w:rPr>
          <w:rFonts w:eastAsiaTheme="minorEastAsia"/>
          <w:color w:val="000000" w:themeColor="text1"/>
          <w:szCs w:val="20"/>
        </w:rPr>
      </w:pPr>
      <w:r>
        <w:rPr>
          <w:rFonts w:eastAsiaTheme="minorEastAsia"/>
          <w:color w:val="000000" w:themeColor="text1"/>
          <w:szCs w:val="20"/>
        </w:rPr>
        <w:t>2、评价标准</w:t>
      </w:r>
    </w:p>
    <w:p>
      <w:pPr>
        <w:ind w:firstLine="480"/>
        <w:rPr>
          <w:rFonts w:eastAsiaTheme="minorEastAsia"/>
          <w:color w:val="000000" w:themeColor="text1"/>
          <w:szCs w:val="20"/>
        </w:rPr>
      </w:pPr>
      <w:r>
        <w:rPr>
          <w:rFonts w:eastAsiaTheme="minorEastAsia"/>
          <w:color w:val="000000" w:themeColor="text1"/>
          <w:szCs w:val="20"/>
        </w:rPr>
        <w:t>《地表水环境质量标准》（GB3838-2002）</w:t>
      </w:r>
      <w:r>
        <w:rPr>
          <w:rFonts w:eastAsia="方正仿宋_GBK"/>
          <w:color w:val="000000" w:themeColor="text1"/>
          <w:szCs w:val="20"/>
        </w:rPr>
        <w:t>Ⅲ</w:t>
      </w:r>
      <w:r>
        <w:rPr>
          <w:rFonts w:eastAsiaTheme="minorEastAsia"/>
          <w:color w:val="000000" w:themeColor="text1"/>
          <w:szCs w:val="20"/>
        </w:rPr>
        <w:t>类标准。</w:t>
      </w:r>
    </w:p>
    <w:p>
      <w:pPr>
        <w:ind w:firstLine="480"/>
        <w:rPr>
          <w:rFonts w:eastAsiaTheme="minorEastAsia"/>
          <w:color w:val="000000" w:themeColor="text1"/>
          <w:szCs w:val="20"/>
        </w:rPr>
      </w:pPr>
      <w:r>
        <w:rPr>
          <w:rFonts w:eastAsiaTheme="minorEastAsia"/>
          <w:color w:val="000000" w:themeColor="text1"/>
          <w:szCs w:val="20"/>
        </w:rPr>
        <w:t>3、评价方法</w:t>
      </w:r>
    </w:p>
    <w:p>
      <w:pPr>
        <w:ind w:firstLine="480"/>
        <w:rPr>
          <w:rFonts w:eastAsiaTheme="minorEastAsia"/>
          <w:color w:val="000000" w:themeColor="text1"/>
          <w:szCs w:val="20"/>
        </w:rPr>
      </w:pPr>
      <w:r>
        <w:rPr>
          <w:rFonts w:eastAsiaTheme="minorEastAsia"/>
          <w:color w:val="000000" w:themeColor="text1"/>
          <w:szCs w:val="20"/>
        </w:rPr>
        <w:t>评价方法采用标准指数法进行评价，计算公式如下：</w:t>
      </w:r>
    </w:p>
    <w:p>
      <w:pPr>
        <w:ind w:firstLine="480"/>
        <w:jc w:val="center"/>
        <w:rPr>
          <w:rFonts w:eastAsiaTheme="minorEastAsia"/>
          <w:color w:val="000000" w:themeColor="text1"/>
          <w:szCs w:val="20"/>
        </w:rPr>
      </w:pPr>
      <w:r>
        <w:rPr>
          <w:rFonts w:eastAsiaTheme="minorEastAsia"/>
          <w:color w:val="000000" w:themeColor="text1"/>
          <w:szCs w:val="20"/>
        </w:rPr>
        <w:drawing>
          <wp:inline distT="0" distB="0" distL="114300" distR="114300">
            <wp:extent cx="514350" cy="4000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9" cstate="print"/>
                    <a:stretch>
                      <a:fillRect/>
                    </a:stretch>
                  </pic:blipFill>
                  <pic:spPr>
                    <a:xfrm>
                      <a:off x="0" y="0"/>
                      <a:ext cx="514350" cy="400050"/>
                    </a:xfrm>
                    <a:prstGeom prst="rect">
                      <a:avLst/>
                    </a:prstGeom>
                    <a:noFill/>
                    <a:ln w="9525">
                      <a:noFill/>
                      <a:miter/>
                    </a:ln>
                  </pic:spPr>
                </pic:pic>
              </a:graphicData>
            </a:graphic>
          </wp:inline>
        </w:drawing>
      </w:r>
    </w:p>
    <w:p>
      <w:pPr>
        <w:ind w:firstLine="480"/>
        <w:rPr>
          <w:rFonts w:eastAsiaTheme="minorEastAsia"/>
          <w:color w:val="000000" w:themeColor="text1"/>
          <w:szCs w:val="20"/>
        </w:rPr>
      </w:pPr>
      <w:r>
        <w:rPr>
          <w:rFonts w:eastAsiaTheme="minorEastAsia"/>
          <w:color w:val="000000" w:themeColor="text1"/>
          <w:szCs w:val="20"/>
        </w:rPr>
        <w:t>式中：P</w:t>
      </w:r>
      <w:r>
        <w:rPr>
          <w:rFonts w:eastAsiaTheme="minorEastAsia"/>
          <w:color w:val="000000" w:themeColor="text1"/>
          <w:szCs w:val="20"/>
          <w:vertAlign w:val="subscript"/>
        </w:rPr>
        <w:t>i</w:t>
      </w:r>
      <w:r>
        <w:rPr>
          <w:rFonts w:eastAsiaTheme="minorEastAsia"/>
          <w:color w:val="000000" w:themeColor="text1"/>
          <w:szCs w:val="20"/>
        </w:rPr>
        <w:t>——i类污染物标准指数；</w:t>
      </w:r>
    </w:p>
    <w:p>
      <w:pPr>
        <w:ind w:firstLine="1200" w:firstLineChars="500"/>
        <w:rPr>
          <w:rFonts w:eastAsiaTheme="minorEastAsia"/>
          <w:color w:val="000000" w:themeColor="text1"/>
          <w:szCs w:val="20"/>
        </w:rPr>
      </w:pPr>
      <w:r>
        <w:rPr>
          <w:rFonts w:eastAsiaTheme="minorEastAsia"/>
          <w:color w:val="000000" w:themeColor="text1"/>
          <w:szCs w:val="20"/>
        </w:rPr>
        <w:t>C</w:t>
      </w:r>
      <w:r>
        <w:rPr>
          <w:rFonts w:eastAsiaTheme="minorEastAsia"/>
          <w:color w:val="000000" w:themeColor="text1"/>
          <w:szCs w:val="20"/>
          <w:vertAlign w:val="subscript"/>
        </w:rPr>
        <w:t>i</w:t>
      </w:r>
      <w:r>
        <w:rPr>
          <w:rFonts w:eastAsiaTheme="minorEastAsia"/>
          <w:color w:val="000000" w:themeColor="text1"/>
          <w:szCs w:val="20"/>
        </w:rPr>
        <w:t>——i类污染物实测浓度平均值，mg/L；</w:t>
      </w:r>
    </w:p>
    <w:p>
      <w:pPr>
        <w:ind w:firstLine="1200" w:firstLineChars="500"/>
        <w:rPr>
          <w:rFonts w:eastAsiaTheme="minorEastAsia"/>
          <w:color w:val="000000" w:themeColor="text1"/>
          <w:szCs w:val="20"/>
        </w:rPr>
      </w:pPr>
      <w:r>
        <w:rPr>
          <w:rFonts w:eastAsiaTheme="minorEastAsia"/>
          <w:color w:val="000000" w:themeColor="text1"/>
          <w:szCs w:val="20"/>
        </w:rPr>
        <w:t>C</w:t>
      </w:r>
      <w:r>
        <w:rPr>
          <w:rFonts w:eastAsiaTheme="minorEastAsia"/>
          <w:color w:val="000000" w:themeColor="text1"/>
          <w:szCs w:val="20"/>
          <w:vertAlign w:val="subscript"/>
        </w:rPr>
        <w:t>oi</w:t>
      </w:r>
      <w:r>
        <w:rPr>
          <w:rFonts w:eastAsiaTheme="minorEastAsia"/>
          <w:color w:val="000000" w:themeColor="text1"/>
          <w:szCs w:val="20"/>
        </w:rPr>
        <w:t>——i类污染物的评价标准值，mg/L。</w:t>
      </w:r>
    </w:p>
    <w:p>
      <w:pPr>
        <w:ind w:firstLine="480"/>
        <w:rPr>
          <w:rFonts w:eastAsiaTheme="minorEastAsia"/>
          <w:color w:val="000000" w:themeColor="text1"/>
          <w:szCs w:val="20"/>
        </w:rPr>
      </w:pPr>
      <w:r>
        <w:rPr>
          <w:rFonts w:eastAsiaTheme="minorEastAsia"/>
          <w:color w:val="000000" w:themeColor="text1"/>
          <w:szCs w:val="20"/>
        </w:rPr>
        <w:t>pH的标准指数为：</w:t>
      </w:r>
    </w:p>
    <w:p>
      <w:pPr>
        <w:ind w:firstLine="480"/>
        <w:jc w:val="center"/>
        <w:rPr>
          <w:rFonts w:eastAsiaTheme="minorEastAsia"/>
          <w:color w:val="000000" w:themeColor="text1"/>
          <w:szCs w:val="20"/>
        </w:rPr>
      </w:pPr>
      <w:r>
        <w:rPr>
          <w:rFonts w:eastAsiaTheme="minorEastAsia"/>
          <w:color w:val="000000" w:themeColor="text1"/>
          <w:szCs w:val="20"/>
        </w:rPr>
        <w:drawing>
          <wp:inline distT="0" distB="0" distL="114300" distR="114300">
            <wp:extent cx="2000250" cy="4000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0" cstate="print"/>
                    <a:stretch>
                      <a:fillRect/>
                    </a:stretch>
                  </pic:blipFill>
                  <pic:spPr>
                    <a:xfrm>
                      <a:off x="0" y="0"/>
                      <a:ext cx="2000250" cy="400050"/>
                    </a:xfrm>
                    <a:prstGeom prst="rect">
                      <a:avLst/>
                    </a:prstGeom>
                    <a:noFill/>
                    <a:ln w="9525">
                      <a:noFill/>
                      <a:miter/>
                    </a:ln>
                  </pic:spPr>
                </pic:pic>
              </a:graphicData>
            </a:graphic>
          </wp:inline>
        </w:drawing>
      </w:r>
    </w:p>
    <w:p>
      <w:pPr>
        <w:ind w:firstLine="480"/>
        <w:jc w:val="center"/>
        <w:rPr>
          <w:rFonts w:eastAsiaTheme="minorEastAsia"/>
          <w:color w:val="000000" w:themeColor="text1"/>
          <w:szCs w:val="20"/>
        </w:rPr>
      </w:pPr>
      <w:r>
        <w:rPr>
          <w:rFonts w:eastAsiaTheme="minorEastAsia"/>
          <w:color w:val="000000" w:themeColor="text1"/>
          <w:szCs w:val="20"/>
        </w:rPr>
        <w:drawing>
          <wp:inline distT="0" distB="0" distL="114300" distR="114300">
            <wp:extent cx="2009775" cy="40005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1" cstate="print"/>
                    <a:stretch>
                      <a:fillRect/>
                    </a:stretch>
                  </pic:blipFill>
                  <pic:spPr>
                    <a:xfrm>
                      <a:off x="0" y="0"/>
                      <a:ext cx="2009775" cy="400050"/>
                    </a:xfrm>
                    <a:prstGeom prst="rect">
                      <a:avLst/>
                    </a:prstGeom>
                    <a:noFill/>
                    <a:ln w="9525">
                      <a:noFill/>
                      <a:miter/>
                    </a:ln>
                  </pic:spPr>
                </pic:pic>
              </a:graphicData>
            </a:graphic>
          </wp:inline>
        </w:drawing>
      </w:r>
    </w:p>
    <w:p>
      <w:pPr>
        <w:adjustRightInd w:val="0"/>
        <w:ind w:firstLine="480"/>
        <w:rPr>
          <w:color w:val="000000" w:themeColor="text1"/>
          <w:kern w:val="18"/>
        </w:rPr>
      </w:pPr>
      <w:r>
        <w:rPr>
          <w:color w:val="000000" w:themeColor="text1"/>
          <w:kern w:val="18"/>
        </w:rPr>
        <w:t>式中：S</w:t>
      </w:r>
      <w:r>
        <w:rPr>
          <w:color w:val="000000" w:themeColor="text1"/>
          <w:kern w:val="18"/>
          <w:vertAlign w:val="subscript"/>
        </w:rPr>
        <w:t>pH,j</w:t>
      </w:r>
      <w:r>
        <w:rPr>
          <w:color w:val="000000" w:themeColor="text1"/>
          <w:kern w:val="18"/>
        </w:rPr>
        <w:t>—pH的标准指数；</w:t>
      </w:r>
    </w:p>
    <w:p>
      <w:pPr>
        <w:adjustRightInd w:val="0"/>
        <w:ind w:firstLine="480"/>
        <w:rPr>
          <w:color w:val="000000" w:themeColor="text1"/>
          <w:kern w:val="18"/>
        </w:rPr>
      </w:pPr>
      <w:r>
        <w:rPr>
          <w:color w:val="000000" w:themeColor="text1"/>
          <w:kern w:val="18"/>
        </w:rPr>
        <w:t>pH</w:t>
      </w:r>
      <w:r>
        <w:rPr>
          <w:color w:val="000000" w:themeColor="text1"/>
          <w:kern w:val="18"/>
          <w:vertAlign w:val="subscript"/>
        </w:rPr>
        <w:t>j</w:t>
      </w:r>
      <w:r>
        <w:rPr>
          <w:color w:val="000000" w:themeColor="text1"/>
          <w:kern w:val="18"/>
        </w:rPr>
        <w:t>—监测点j的pH值；</w:t>
      </w:r>
    </w:p>
    <w:p>
      <w:pPr>
        <w:adjustRightInd w:val="0"/>
        <w:ind w:firstLine="480"/>
        <w:rPr>
          <w:color w:val="000000" w:themeColor="text1"/>
          <w:kern w:val="18"/>
        </w:rPr>
      </w:pPr>
      <w:r>
        <w:rPr>
          <w:color w:val="000000" w:themeColor="text1"/>
          <w:kern w:val="18"/>
        </w:rPr>
        <w:t>pH</w:t>
      </w:r>
      <w:r>
        <w:rPr>
          <w:color w:val="000000" w:themeColor="text1"/>
          <w:kern w:val="18"/>
          <w:vertAlign w:val="subscript"/>
        </w:rPr>
        <w:t>sd</w:t>
      </w:r>
      <w:r>
        <w:rPr>
          <w:color w:val="000000" w:themeColor="text1"/>
          <w:kern w:val="18"/>
        </w:rPr>
        <w:t>—pH的评价标准值下限；</w:t>
      </w:r>
    </w:p>
    <w:p>
      <w:pPr>
        <w:adjustRightInd w:val="0"/>
        <w:ind w:firstLine="480"/>
        <w:rPr>
          <w:rFonts w:eastAsiaTheme="minorEastAsia"/>
          <w:color w:val="000000" w:themeColor="text1"/>
          <w:szCs w:val="20"/>
        </w:rPr>
      </w:pPr>
      <w:r>
        <w:rPr>
          <w:color w:val="000000" w:themeColor="text1"/>
          <w:kern w:val="18"/>
        </w:rPr>
        <w:t>pH</w:t>
      </w:r>
      <w:r>
        <w:rPr>
          <w:color w:val="000000" w:themeColor="text1"/>
          <w:kern w:val="18"/>
          <w:vertAlign w:val="subscript"/>
        </w:rPr>
        <w:t>su</w:t>
      </w:r>
      <w:r>
        <w:rPr>
          <w:color w:val="000000" w:themeColor="text1"/>
          <w:kern w:val="18"/>
        </w:rPr>
        <w:t>—pH的评价标准值上限。</w:t>
      </w:r>
    </w:p>
    <w:p>
      <w:pPr>
        <w:ind w:firstLine="480"/>
        <w:rPr>
          <w:rFonts w:eastAsiaTheme="minorEastAsia"/>
          <w:color w:val="000000" w:themeColor="text1"/>
          <w:szCs w:val="20"/>
        </w:rPr>
      </w:pPr>
      <w:r>
        <w:rPr>
          <w:rFonts w:eastAsiaTheme="minorEastAsia"/>
          <w:color w:val="000000" w:themeColor="text1"/>
          <w:szCs w:val="20"/>
        </w:rPr>
        <w:t>4、监测分析方法</w:t>
      </w:r>
    </w:p>
    <w:p>
      <w:pPr>
        <w:ind w:firstLine="480"/>
        <w:rPr>
          <w:rFonts w:eastAsiaTheme="minorEastAsia"/>
          <w:color w:val="000000" w:themeColor="text1"/>
        </w:rPr>
      </w:pPr>
      <w:r>
        <w:rPr>
          <w:rFonts w:eastAsiaTheme="minorEastAsia"/>
          <w:color w:val="000000" w:themeColor="text1"/>
        </w:rPr>
        <w:t>采用的监测分析方法见表5.2-6。</w:t>
      </w:r>
    </w:p>
    <w:p>
      <w:pPr>
        <w:adjustRightInd w:val="0"/>
        <w:snapToGrid w:val="0"/>
        <w:ind w:firstLine="0" w:firstLineChars="0"/>
        <w:jc w:val="center"/>
        <w:textAlignment w:val="baseline"/>
        <w:rPr>
          <w:rFonts w:eastAsiaTheme="minorEastAsia"/>
          <w:b/>
          <w:bCs/>
          <w:color w:val="000000" w:themeColor="text1"/>
          <w:sz w:val="21"/>
          <w:szCs w:val="20"/>
        </w:rPr>
      </w:pPr>
      <w:r>
        <w:rPr>
          <w:rFonts w:eastAsiaTheme="minorEastAsia"/>
          <w:b/>
          <w:bCs/>
          <w:color w:val="000000" w:themeColor="text1"/>
          <w:sz w:val="21"/>
          <w:szCs w:val="20"/>
        </w:rPr>
        <w:t>表5.2-6监测分析方法</w:t>
      </w:r>
    </w:p>
    <w:tbl>
      <w:tblPr>
        <w:tblStyle w:val="61"/>
        <w:tblW w:w="845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3"/>
        <w:gridCol w:w="4250"/>
        <w:gridCol w:w="1580"/>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4" w:hRule="atLeast"/>
          <w:tblHeader/>
          <w:jc w:val="center"/>
        </w:trPr>
        <w:tc>
          <w:tcPr>
            <w:tcW w:w="1353"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监测项目</w:t>
            </w:r>
          </w:p>
        </w:tc>
        <w:tc>
          <w:tcPr>
            <w:tcW w:w="42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分析方法</w:t>
            </w:r>
          </w:p>
        </w:tc>
        <w:tc>
          <w:tcPr>
            <w:tcW w:w="158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color w:val="000000" w:themeColor="text1"/>
                <w:sz w:val="21"/>
                <w:szCs w:val="21"/>
              </w:rPr>
              <w:t>主要仪器设备</w:t>
            </w:r>
          </w:p>
        </w:tc>
        <w:tc>
          <w:tcPr>
            <w:tcW w:w="127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pH</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便携式pH计法《水和废水监测分析方法》(第四版增补版)国家环保总局(2002年)</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pH3110手持式溶pH测试仪</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（0～14）</w:t>
            </w:r>
          </w:p>
          <w:p>
            <w:pPr>
              <w:snapToGrid w:val="0"/>
              <w:spacing w:line="0" w:lineRule="atLeast"/>
              <w:ind w:firstLine="0" w:firstLineChars="0"/>
              <w:jc w:val="center"/>
              <w:rPr>
                <w:color w:val="000000" w:themeColor="text1"/>
                <w:sz w:val="21"/>
                <w:szCs w:val="21"/>
              </w:rPr>
            </w:pPr>
            <w:r>
              <w:rPr>
                <w:color w:val="000000" w:themeColor="text1"/>
                <w:sz w:val="21"/>
                <w:szCs w:val="21"/>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五日生化需氧量</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水质五日生化需氧量(BOD</w:t>
            </w:r>
            <w:r>
              <w:rPr>
                <w:color w:val="000000" w:themeColor="text1"/>
                <w:sz w:val="21"/>
                <w:szCs w:val="21"/>
                <w:vertAlign w:val="subscript"/>
              </w:rPr>
              <w:t>5</w:t>
            </w:r>
            <w:r>
              <w:rPr>
                <w:color w:val="000000" w:themeColor="text1"/>
                <w:sz w:val="21"/>
                <w:szCs w:val="21"/>
              </w:rPr>
              <w:t>)的测定稀释与接种法J505-2009</w:t>
            </w:r>
          </w:p>
        </w:tc>
        <w:tc>
          <w:tcPr>
            <w:tcW w:w="1580" w:type="dxa"/>
            <w:vAlign w:val="center"/>
          </w:tcPr>
          <w:p>
            <w:pPr>
              <w:spacing w:line="260" w:lineRule="exact"/>
              <w:ind w:firstLine="0" w:firstLineChars="0"/>
              <w:jc w:val="center"/>
              <w:rPr>
                <w:color w:val="000000" w:themeColor="text1"/>
                <w:sz w:val="21"/>
                <w:szCs w:val="21"/>
              </w:rPr>
            </w:pPr>
            <w:r>
              <w:rPr>
                <w:color w:val="000000" w:themeColor="text1"/>
                <w:sz w:val="21"/>
                <w:szCs w:val="21"/>
              </w:rPr>
              <w:t>SPX-250B-II生化培养箱JPSJ-605F溶解氧测定仪</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氨氮</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水质氨氮的测定纳氏试剂分光光度法HJ535-2009</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UV-6000紫外可见分光光度计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悬浮物</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水质悬浮物的测定重量法GB11901-89</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AL104万分之一分析天平</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化学需氧量</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水质化学需氧量的测定重铬酸盐法HJ828-2017</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50ml滴定管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总磷</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水质总磷的测定钼酸铵分光光度法GB11893-89</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UV-6000紫外可见分光光度计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石油类</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水质石油类和动植物油类的测定红外分光光度法HJ637-2018</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OIL460红外分光测油仪</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0.06mg/L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石油类</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水质石油类的测定紫外分光光度法HJ970-2018</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UV-6000紫外可见分光光度计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氟化物</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水质氟化物的测定离子选择电极法GB7484-87</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PXSJ-226离子计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硫化物</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水质硫化物的测定亚甲基蓝分光光度法GB/T16489-1996</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UV-6000紫外可见分光光度计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锌</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水质铜、铅、锌、镉的测定原子吸收分光光度法GB7475-87</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TAS-990MFG原子吸收分光光度计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0.05~1mg/L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铜</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水质铜、铅、锌、镉的测定原子吸收分光光度法（第一部分直接法）GB7475-87</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TAS-990-MFG原子吸收分光光度计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0.05~5mg/L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锰</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水质铁、锰的测定火焰原子吸收分光光度法GB11911-89</w:t>
            </w:r>
          </w:p>
        </w:tc>
        <w:tc>
          <w:tcPr>
            <w:tcW w:w="1580" w:type="dxa"/>
            <w:vAlign w:val="center"/>
          </w:tcPr>
          <w:p>
            <w:pPr>
              <w:tabs>
                <w:tab w:val="left" w:pos="780"/>
              </w:tabs>
              <w:snapToGrid w:val="0"/>
              <w:spacing w:line="0" w:lineRule="atLeast"/>
              <w:ind w:firstLine="0" w:firstLineChars="0"/>
              <w:jc w:val="center"/>
              <w:rPr>
                <w:color w:val="000000" w:themeColor="text1"/>
                <w:sz w:val="21"/>
                <w:szCs w:val="21"/>
              </w:rPr>
            </w:pPr>
            <w:r>
              <w:rPr>
                <w:color w:val="000000" w:themeColor="text1"/>
                <w:sz w:val="21"/>
                <w:szCs w:val="21"/>
              </w:rPr>
              <w:t>TAS-990MFG原子吸收分光光度计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铁</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水质铁、锰的测定火焰原子吸收分光光度法GB11911-89</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TAS-990MFG原子吸收分光光度计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汞</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水质汞、砷、硒、铋、锑的测定原子荧光法HJ694-2014</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PF72原子荧光光度计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0.04μg/L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镉</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石墨炉原子吸收分光光度法《水和废水监测分析方法》（第四版增补版）国家环境保护总局（2002年）</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AA-6880AFG原子吸收分光光度计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0.1~2μg/L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砷</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水质汞、砷、硒、铋、锑的测定原子荧光法HJ694-2014</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PF72原子荧光光度计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0.3μg/L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六价铬</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水质六价铬的测定二苯碳酰二肼分光光度法GB7467-87</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UV-6000紫外可见分光光度计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铅</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石墨炉原子吸收分光光度法《水和废水监测分析方法》（第四版增补版）国家环境保护总局（2002年）</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AA-6880AFG原子吸收分光光度计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1~5μg/L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粪大肠菌群</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水质粪大肠菌群的测定多管发酵法HJ/T347.2-2018</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HWS-080恒温恒湿培养箱</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12管法:3个/L</w:t>
            </w:r>
          </w:p>
          <w:p>
            <w:pPr>
              <w:snapToGrid w:val="0"/>
              <w:spacing w:line="0" w:lineRule="atLeast"/>
              <w:ind w:firstLine="0" w:firstLineChars="0"/>
              <w:jc w:val="center"/>
              <w:rPr>
                <w:color w:val="000000" w:themeColor="text1"/>
                <w:sz w:val="21"/>
                <w:szCs w:val="21"/>
              </w:rPr>
            </w:pPr>
            <w:r>
              <w:rPr>
                <w:color w:val="000000" w:themeColor="text1"/>
                <w:sz w:val="21"/>
                <w:szCs w:val="21"/>
              </w:rPr>
              <w:t>15管法:20个/L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353"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氰化物</w:t>
            </w:r>
          </w:p>
        </w:tc>
        <w:tc>
          <w:tcPr>
            <w:tcW w:w="425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水质氰化物的测定容量法和分光光度法（异烟酸-吡唑啉酮分光光度法）HJ484-2009</w:t>
            </w:r>
          </w:p>
        </w:tc>
        <w:tc>
          <w:tcPr>
            <w:tcW w:w="1580"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UV-6000紫外可见分光光度计</w:t>
            </w:r>
          </w:p>
        </w:tc>
        <w:tc>
          <w:tcPr>
            <w:tcW w:w="1276" w:type="dxa"/>
            <w:vAlign w:val="center"/>
          </w:tcPr>
          <w:p>
            <w:pPr>
              <w:snapToGrid w:val="0"/>
              <w:spacing w:line="0" w:lineRule="atLeast"/>
              <w:ind w:firstLine="0" w:firstLineChars="0"/>
              <w:jc w:val="center"/>
              <w:rPr>
                <w:color w:val="000000" w:themeColor="text1"/>
                <w:sz w:val="21"/>
                <w:szCs w:val="21"/>
              </w:rPr>
            </w:pPr>
            <w:r>
              <w:rPr>
                <w:color w:val="000000" w:themeColor="text1"/>
                <w:sz w:val="21"/>
                <w:szCs w:val="21"/>
              </w:rPr>
              <w:t>0.004mg/L</w:t>
            </w:r>
          </w:p>
        </w:tc>
      </w:tr>
    </w:tbl>
    <w:p>
      <w:pPr>
        <w:ind w:firstLine="480"/>
        <w:rPr>
          <w:rFonts w:eastAsiaTheme="minorEastAsia"/>
          <w:color w:val="000000" w:themeColor="text1"/>
          <w:szCs w:val="20"/>
        </w:rPr>
      </w:pPr>
      <w:r>
        <w:rPr>
          <w:rFonts w:eastAsiaTheme="minorEastAsia"/>
          <w:color w:val="000000" w:themeColor="text1"/>
          <w:szCs w:val="20"/>
        </w:rPr>
        <w:t>5、监测结果与评价分析</w:t>
      </w:r>
    </w:p>
    <w:p>
      <w:pPr>
        <w:ind w:firstLine="480"/>
        <w:rPr>
          <w:rFonts w:eastAsiaTheme="minorEastAsia"/>
          <w:b/>
          <w:bCs/>
          <w:color w:val="000000" w:themeColor="text1"/>
          <w:sz w:val="21"/>
          <w:szCs w:val="20"/>
        </w:rPr>
      </w:pPr>
      <w:r>
        <w:rPr>
          <w:rFonts w:eastAsiaTheme="minorEastAsia"/>
          <w:color w:val="000000" w:themeColor="text1"/>
          <w:szCs w:val="20"/>
        </w:rPr>
        <w:t>地表水监测结果见表5.2-7。</w:t>
      </w:r>
    </w:p>
    <w:p>
      <w:pPr>
        <w:adjustRightInd w:val="0"/>
        <w:snapToGrid w:val="0"/>
        <w:ind w:firstLine="0" w:firstLineChars="0"/>
        <w:jc w:val="center"/>
        <w:textAlignment w:val="baseline"/>
        <w:rPr>
          <w:rFonts w:eastAsiaTheme="minorEastAsia"/>
          <w:b/>
          <w:bCs/>
          <w:color w:val="000000" w:themeColor="text1"/>
          <w:sz w:val="21"/>
          <w:szCs w:val="20"/>
        </w:rPr>
      </w:pPr>
      <w:r>
        <w:rPr>
          <w:rFonts w:eastAsiaTheme="minorEastAsia"/>
          <w:b/>
          <w:bCs/>
          <w:color w:val="000000" w:themeColor="text1"/>
          <w:sz w:val="21"/>
          <w:szCs w:val="20"/>
        </w:rPr>
        <w:t>表5.2-7地表水监测结果统计</w:t>
      </w:r>
    </w:p>
    <w:tbl>
      <w:tblPr>
        <w:tblStyle w:val="61"/>
        <w:tblW w:w="965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990"/>
        <w:gridCol w:w="1065"/>
        <w:gridCol w:w="1009"/>
        <w:gridCol w:w="1005"/>
        <w:gridCol w:w="1020"/>
        <w:gridCol w:w="1035"/>
        <w:gridCol w:w="810"/>
        <w:gridCol w:w="810"/>
        <w:gridCol w:w="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110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监测点</w:t>
            </w:r>
          </w:p>
        </w:tc>
        <w:tc>
          <w:tcPr>
            <w:tcW w:w="3064" w:type="dxa"/>
            <w:gridSpan w:val="3"/>
            <w:vAlign w:val="center"/>
          </w:tcPr>
          <w:p>
            <w:pPr>
              <w:widowControl/>
              <w:adjustRightInd w:val="0"/>
              <w:snapToGrid w:val="0"/>
              <w:spacing w:line="240" w:lineRule="auto"/>
              <w:ind w:firstLine="0" w:firstLineChars="0"/>
              <w:jc w:val="center"/>
              <w:rPr>
                <w:color w:val="000000" w:themeColor="text1"/>
                <w:kern w:val="0"/>
                <w:sz w:val="21"/>
                <w:szCs w:val="21"/>
              </w:rPr>
            </w:pPr>
            <w:r>
              <w:rPr>
                <w:rFonts w:hint="eastAsia"/>
                <w:color w:val="000000" w:themeColor="text1"/>
                <w:kern w:val="0"/>
                <w:sz w:val="21"/>
                <w:szCs w:val="21"/>
              </w:rPr>
              <w:t>困龙河平安矿业</w:t>
            </w:r>
            <w:r>
              <w:rPr>
                <w:color w:val="000000" w:themeColor="text1"/>
                <w:kern w:val="0"/>
                <w:sz w:val="21"/>
                <w:szCs w:val="21"/>
              </w:rPr>
              <w:t>上游</w:t>
            </w:r>
            <w:r>
              <w:rPr>
                <w:rFonts w:hint="eastAsia"/>
                <w:color w:val="000000" w:themeColor="text1"/>
                <w:kern w:val="0"/>
                <w:sz w:val="21"/>
                <w:szCs w:val="21"/>
              </w:rPr>
              <w:t>5</w:t>
            </w:r>
            <w:r>
              <w:rPr>
                <w:color w:val="000000" w:themeColor="text1"/>
                <w:kern w:val="0"/>
                <w:sz w:val="21"/>
                <w:szCs w:val="21"/>
              </w:rPr>
              <w:t>00</w:t>
            </w:r>
            <w:r>
              <w:rPr>
                <w:rFonts w:hint="eastAsia"/>
                <w:color w:val="000000" w:themeColor="text1"/>
                <w:kern w:val="0"/>
                <w:sz w:val="21"/>
                <w:szCs w:val="21"/>
              </w:rPr>
              <w:t>m</w:t>
            </w:r>
          </w:p>
        </w:tc>
        <w:tc>
          <w:tcPr>
            <w:tcW w:w="3060" w:type="dxa"/>
            <w:gridSpan w:val="3"/>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困龙河</w:t>
            </w:r>
            <w:r>
              <w:rPr>
                <w:rFonts w:hint="eastAsia"/>
                <w:color w:val="000000" w:themeColor="text1"/>
                <w:kern w:val="0"/>
                <w:sz w:val="21"/>
                <w:szCs w:val="21"/>
              </w:rPr>
              <w:t>项目区下游2000m</w:t>
            </w:r>
          </w:p>
        </w:tc>
        <w:tc>
          <w:tcPr>
            <w:tcW w:w="810" w:type="dxa"/>
            <w:vMerge w:val="restart"/>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执行标准限制要求</w:t>
            </w:r>
          </w:p>
        </w:tc>
        <w:tc>
          <w:tcPr>
            <w:tcW w:w="810" w:type="dxa"/>
            <w:vMerge w:val="restart"/>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标准指数最大值</w:t>
            </w:r>
          </w:p>
        </w:tc>
        <w:tc>
          <w:tcPr>
            <w:tcW w:w="810" w:type="dxa"/>
            <w:vMerge w:val="restart"/>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1103" w:type="dxa"/>
            <w:vMerge w:val="restart"/>
            <w:tcBorders>
              <w:tl2br w:val="single" w:color="auto" w:sz="4" w:space="0"/>
            </w:tcBorders>
            <w:vAlign w:val="center"/>
          </w:tcPr>
          <w:p>
            <w:pPr>
              <w:widowControl/>
              <w:adjustRightInd w:val="0"/>
              <w:snapToGrid w:val="0"/>
              <w:spacing w:line="240" w:lineRule="auto"/>
              <w:ind w:firstLine="0" w:firstLineChars="0"/>
              <w:jc w:val="right"/>
              <w:rPr>
                <w:color w:val="000000" w:themeColor="text1"/>
                <w:kern w:val="0"/>
                <w:sz w:val="21"/>
                <w:szCs w:val="21"/>
              </w:rPr>
            </w:pPr>
            <w:r>
              <w:rPr>
                <w:color w:val="000000" w:themeColor="text1"/>
                <w:kern w:val="0"/>
                <w:sz w:val="21"/>
                <w:szCs w:val="21"/>
              </w:rPr>
              <w:t>采样时间</w:t>
            </w:r>
          </w:p>
          <w:p>
            <w:pPr>
              <w:widowControl/>
              <w:adjustRightInd w:val="0"/>
              <w:snapToGrid w:val="0"/>
              <w:spacing w:line="240" w:lineRule="auto"/>
              <w:ind w:firstLine="0" w:firstLineChars="0"/>
              <w:rPr>
                <w:color w:val="000000" w:themeColor="text1"/>
                <w:kern w:val="0"/>
                <w:sz w:val="21"/>
                <w:szCs w:val="21"/>
              </w:rPr>
            </w:pPr>
            <w:r>
              <w:rPr>
                <w:color w:val="000000" w:themeColor="text1"/>
                <w:kern w:val="0"/>
                <w:sz w:val="21"/>
                <w:szCs w:val="21"/>
              </w:rPr>
              <w:t>指标</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2020/08/13</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2020/08/14</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2020/08/15</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2020/08/13</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2020/08/14</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2020/08/15</w:t>
            </w:r>
          </w:p>
        </w:tc>
        <w:tc>
          <w:tcPr>
            <w:tcW w:w="810" w:type="dxa"/>
            <w:vMerge w:val="continue"/>
            <w:vAlign w:val="center"/>
          </w:tcPr>
          <w:p>
            <w:pPr>
              <w:adjustRightInd w:val="0"/>
              <w:snapToGrid w:val="0"/>
              <w:spacing w:line="240" w:lineRule="auto"/>
              <w:ind w:firstLine="0" w:firstLineChars="0"/>
              <w:jc w:val="center"/>
              <w:rPr>
                <w:color w:val="000000" w:themeColor="text1"/>
                <w:sz w:val="21"/>
                <w:szCs w:val="21"/>
              </w:rPr>
            </w:pPr>
          </w:p>
        </w:tc>
        <w:tc>
          <w:tcPr>
            <w:tcW w:w="810" w:type="dxa"/>
            <w:vMerge w:val="continue"/>
            <w:vAlign w:val="center"/>
          </w:tcPr>
          <w:p>
            <w:pPr>
              <w:adjustRightInd w:val="0"/>
              <w:snapToGrid w:val="0"/>
              <w:spacing w:line="240" w:lineRule="auto"/>
              <w:ind w:firstLine="0" w:firstLineChars="0"/>
              <w:jc w:val="center"/>
              <w:rPr>
                <w:color w:val="000000" w:themeColor="text1"/>
                <w:sz w:val="21"/>
                <w:szCs w:val="21"/>
              </w:rPr>
            </w:pPr>
          </w:p>
        </w:tc>
        <w:tc>
          <w:tcPr>
            <w:tcW w:w="810" w:type="dxa"/>
            <w:vMerge w:val="continue"/>
            <w:vAlign w:val="center"/>
          </w:tcPr>
          <w:p>
            <w:pPr>
              <w:adjustRightInd w:val="0"/>
              <w:snapToGrid w:val="0"/>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7" w:hRule="atLeast"/>
          <w:tblHeader/>
          <w:jc w:val="center"/>
        </w:trPr>
        <w:tc>
          <w:tcPr>
            <w:tcW w:w="1103" w:type="dxa"/>
            <w:vMerge w:val="continue"/>
            <w:tcBorders>
              <w:tl2br w:val="single" w:color="auto" w:sz="4" w:space="0"/>
            </w:tcBorders>
            <w:vAlign w:val="center"/>
          </w:tcPr>
          <w:p>
            <w:pPr>
              <w:adjustRightInd w:val="0"/>
              <w:snapToGrid w:val="0"/>
              <w:spacing w:line="240" w:lineRule="auto"/>
              <w:ind w:firstLine="0" w:firstLineChars="0"/>
              <w:jc w:val="center"/>
              <w:rPr>
                <w:color w:val="000000" w:themeColor="text1"/>
                <w:sz w:val="21"/>
                <w:szCs w:val="21"/>
              </w:rPr>
            </w:pP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13:08</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11:04</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15:30</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13:22</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11:25</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15:43</w:t>
            </w:r>
          </w:p>
        </w:tc>
        <w:tc>
          <w:tcPr>
            <w:tcW w:w="810" w:type="dxa"/>
            <w:vMerge w:val="continue"/>
            <w:vAlign w:val="center"/>
          </w:tcPr>
          <w:p>
            <w:pPr>
              <w:adjustRightInd w:val="0"/>
              <w:snapToGrid w:val="0"/>
              <w:spacing w:line="240" w:lineRule="auto"/>
              <w:ind w:firstLine="0" w:firstLineChars="0"/>
              <w:jc w:val="center"/>
              <w:rPr>
                <w:color w:val="000000" w:themeColor="text1"/>
                <w:sz w:val="21"/>
                <w:szCs w:val="21"/>
              </w:rPr>
            </w:pPr>
          </w:p>
        </w:tc>
        <w:tc>
          <w:tcPr>
            <w:tcW w:w="810" w:type="dxa"/>
            <w:vMerge w:val="continue"/>
            <w:vAlign w:val="center"/>
          </w:tcPr>
          <w:p>
            <w:pPr>
              <w:adjustRightInd w:val="0"/>
              <w:snapToGrid w:val="0"/>
              <w:spacing w:line="240" w:lineRule="auto"/>
              <w:ind w:firstLine="0" w:firstLineChars="0"/>
              <w:jc w:val="center"/>
              <w:rPr>
                <w:color w:val="000000" w:themeColor="text1"/>
                <w:sz w:val="21"/>
                <w:szCs w:val="21"/>
              </w:rPr>
            </w:pPr>
          </w:p>
        </w:tc>
        <w:tc>
          <w:tcPr>
            <w:tcW w:w="810" w:type="dxa"/>
            <w:vMerge w:val="continue"/>
            <w:vAlign w:val="center"/>
          </w:tcPr>
          <w:p>
            <w:pPr>
              <w:adjustRightInd w:val="0"/>
              <w:snapToGrid w:val="0"/>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pH（无量纲）</w:t>
            </w:r>
          </w:p>
        </w:tc>
        <w:tc>
          <w:tcPr>
            <w:tcW w:w="990"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7.14</w:t>
            </w:r>
          </w:p>
        </w:tc>
        <w:tc>
          <w:tcPr>
            <w:tcW w:w="1065"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7.22</w:t>
            </w:r>
          </w:p>
        </w:tc>
        <w:tc>
          <w:tcPr>
            <w:tcW w:w="1009"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7.18</w:t>
            </w:r>
          </w:p>
        </w:tc>
        <w:tc>
          <w:tcPr>
            <w:tcW w:w="1005"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7.44</w:t>
            </w:r>
          </w:p>
        </w:tc>
        <w:tc>
          <w:tcPr>
            <w:tcW w:w="1020"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7.45</w:t>
            </w:r>
          </w:p>
        </w:tc>
        <w:tc>
          <w:tcPr>
            <w:tcW w:w="1035"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7.47</w:t>
            </w:r>
          </w:p>
        </w:tc>
        <w:tc>
          <w:tcPr>
            <w:tcW w:w="810"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6~9</w:t>
            </w:r>
          </w:p>
        </w:tc>
        <w:tc>
          <w:tcPr>
            <w:tcW w:w="810"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0.235</w:t>
            </w:r>
          </w:p>
        </w:tc>
        <w:tc>
          <w:tcPr>
            <w:tcW w:w="810" w:type="dxa"/>
            <w:vAlign w:val="center"/>
          </w:tcPr>
          <w:p>
            <w:pPr>
              <w:widowControl/>
              <w:adjustRightInd w:val="0"/>
              <w:snapToGrid w:val="0"/>
              <w:spacing w:line="240" w:lineRule="auto"/>
              <w:ind w:firstLine="0" w:firstLineChars="0"/>
              <w:jc w:val="center"/>
              <w:rPr>
                <w:color w:val="000000" w:themeColor="text1"/>
                <w:kern w:val="0"/>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化学需氧量</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12</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13</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13</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7</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7</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8</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w:t>
            </w:r>
            <w:r>
              <w:rPr>
                <w:rFonts w:hint="eastAsia"/>
                <w:color w:val="000000" w:themeColor="text1"/>
                <w:sz w:val="21"/>
                <w:szCs w:val="21"/>
              </w:rPr>
              <w:t>2</w:t>
            </w:r>
            <w:r>
              <w:rPr>
                <w:color w:val="000000" w:themeColor="text1"/>
                <w:sz w:val="21"/>
                <w:szCs w:val="21"/>
              </w:rPr>
              <w:t>0</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0.65</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五日生化需氧量</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0.9</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1.2</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0.9</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0.7</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0.7</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0.8</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w:t>
            </w:r>
            <w:r>
              <w:rPr>
                <w:rFonts w:hint="eastAsia"/>
                <w:color w:val="000000" w:themeColor="text1"/>
                <w:sz w:val="21"/>
                <w:szCs w:val="21"/>
              </w:rPr>
              <w:t>4</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0.3</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悬浮物</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18</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21</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15</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23</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15</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20</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氨氮</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0.240</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0.219</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0.234</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0.252</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0.244</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0.247</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w:t>
            </w:r>
            <w:r>
              <w:rPr>
                <w:rFonts w:hint="eastAsia"/>
                <w:color w:val="000000" w:themeColor="text1"/>
                <w:sz w:val="21"/>
                <w:szCs w:val="21"/>
              </w:rPr>
              <w:t>0</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0.252</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硫化物</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5×10</w:t>
            </w:r>
            <w:r>
              <w:rPr>
                <w:color w:val="000000" w:themeColor="text1"/>
                <w:sz w:val="21"/>
                <w:szCs w:val="21"/>
                <w:vertAlign w:val="superscript"/>
              </w:rPr>
              <w:t>-3</w:t>
            </w:r>
            <w:r>
              <w:rPr>
                <w:color w:val="000000" w:themeColor="text1"/>
                <w:sz w:val="21"/>
                <w:szCs w:val="21"/>
              </w:rPr>
              <w:t>L</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5×10</w:t>
            </w:r>
            <w:r>
              <w:rPr>
                <w:color w:val="000000" w:themeColor="text1"/>
                <w:sz w:val="21"/>
                <w:szCs w:val="21"/>
                <w:vertAlign w:val="superscript"/>
              </w:rPr>
              <w:t>-3</w:t>
            </w:r>
            <w:r>
              <w:rPr>
                <w:color w:val="000000" w:themeColor="text1"/>
                <w:sz w:val="21"/>
                <w:szCs w:val="21"/>
              </w:rPr>
              <w:t>L</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5×10</w:t>
            </w:r>
            <w:r>
              <w:rPr>
                <w:color w:val="000000" w:themeColor="text1"/>
                <w:sz w:val="21"/>
                <w:szCs w:val="21"/>
                <w:vertAlign w:val="superscript"/>
              </w:rPr>
              <w:t>-3</w:t>
            </w:r>
            <w:r>
              <w:rPr>
                <w:color w:val="000000" w:themeColor="text1"/>
                <w:sz w:val="21"/>
                <w:szCs w:val="21"/>
              </w:rPr>
              <w:t>L</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5×10</w:t>
            </w:r>
            <w:r>
              <w:rPr>
                <w:color w:val="000000" w:themeColor="text1"/>
                <w:sz w:val="21"/>
                <w:szCs w:val="21"/>
                <w:vertAlign w:val="superscript"/>
              </w:rPr>
              <w:t>-3</w:t>
            </w:r>
            <w:r>
              <w:rPr>
                <w:color w:val="000000" w:themeColor="text1"/>
                <w:sz w:val="21"/>
                <w:szCs w:val="21"/>
              </w:rPr>
              <w:t>L</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5×10</w:t>
            </w:r>
            <w:r>
              <w:rPr>
                <w:color w:val="000000" w:themeColor="text1"/>
                <w:sz w:val="21"/>
                <w:szCs w:val="21"/>
                <w:vertAlign w:val="superscript"/>
              </w:rPr>
              <w:t>-3</w:t>
            </w:r>
            <w:r>
              <w:rPr>
                <w:color w:val="000000" w:themeColor="text1"/>
                <w:sz w:val="21"/>
                <w:szCs w:val="21"/>
              </w:rPr>
              <w:t>L</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5×10</w:t>
            </w:r>
            <w:r>
              <w:rPr>
                <w:color w:val="000000" w:themeColor="text1"/>
                <w:sz w:val="21"/>
                <w:szCs w:val="21"/>
                <w:vertAlign w:val="superscript"/>
              </w:rPr>
              <w:t>-3</w:t>
            </w:r>
            <w:r>
              <w:rPr>
                <w:color w:val="000000" w:themeColor="text1"/>
                <w:sz w:val="21"/>
                <w:szCs w:val="21"/>
              </w:rPr>
              <w:t>L</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r>
              <w:rPr>
                <w:rFonts w:hint="eastAsia"/>
                <w:color w:val="000000" w:themeColor="text1"/>
                <w:sz w:val="21"/>
                <w:szCs w:val="21"/>
              </w:rPr>
              <w:t>2</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0.0125</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氟化物</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0.31</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0.32</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0.32</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0.60</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0.59</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0.61</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w:t>
            </w:r>
            <w:r>
              <w:rPr>
                <w:rFonts w:hint="eastAsia"/>
                <w:color w:val="000000" w:themeColor="text1"/>
                <w:sz w:val="21"/>
                <w:szCs w:val="21"/>
              </w:rPr>
              <w:t>0</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0.61</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六价铬</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-3</w:t>
            </w:r>
            <w:r>
              <w:rPr>
                <w:color w:val="000000" w:themeColor="text1"/>
                <w:sz w:val="21"/>
                <w:szCs w:val="21"/>
              </w:rPr>
              <w:t>L</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-3</w:t>
            </w:r>
            <w:r>
              <w:rPr>
                <w:color w:val="000000" w:themeColor="text1"/>
                <w:sz w:val="21"/>
                <w:szCs w:val="21"/>
              </w:rPr>
              <w:t>L</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-3</w:t>
            </w:r>
            <w:r>
              <w:rPr>
                <w:color w:val="000000" w:themeColor="text1"/>
                <w:sz w:val="21"/>
                <w:szCs w:val="21"/>
              </w:rPr>
              <w:t>L</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-3</w:t>
            </w:r>
            <w:r>
              <w:rPr>
                <w:color w:val="000000" w:themeColor="text1"/>
                <w:sz w:val="21"/>
                <w:szCs w:val="21"/>
              </w:rPr>
              <w:t>L</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-3</w:t>
            </w:r>
            <w:r>
              <w:rPr>
                <w:color w:val="000000" w:themeColor="text1"/>
                <w:sz w:val="21"/>
                <w:szCs w:val="21"/>
              </w:rPr>
              <w:t>L</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-3</w:t>
            </w:r>
            <w:r>
              <w:rPr>
                <w:color w:val="000000" w:themeColor="text1"/>
                <w:sz w:val="21"/>
                <w:szCs w:val="21"/>
              </w:rPr>
              <w:t>L</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≤0.05</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0.04</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铜</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≤1.0</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0.005</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铅</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2.5×10</w:t>
            </w:r>
            <w:r>
              <w:rPr>
                <w:color w:val="000000" w:themeColor="text1"/>
                <w:sz w:val="21"/>
                <w:szCs w:val="21"/>
                <w:vertAlign w:val="superscript"/>
              </w:rPr>
              <w:t>-4</w:t>
            </w:r>
            <w:r>
              <w:rPr>
                <w:color w:val="000000" w:themeColor="text1"/>
                <w:sz w:val="21"/>
                <w:szCs w:val="21"/>
              </w:rPr>
              <w:t>L</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2.5×10</w:t>
            </w:r>
            <w:r>
              <w:rPr>
                <w:color w:val="000000" w:themeColor="text1"/>
                <w:sz w:val="21"/>
                <w:szCs w:val="21"/>
                <w:vertAlign w:val="superscript"/>
              </w:rPr>
              <w:t>-4</w:t>
            </w:r>
            <w:r>
              <w:rPr>
                <w:color w:val="000000" w:themeColor="text1"/>
                <w:sz w:val="21"/>
                <w:szCs w:val="21"/>
              </w:rPr>
              <w:t>L</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2.5×10</w:t>
            </w:r>
            <w:r>
              <w:rPr>
                <w:color w:val="000000" w:themeColor="text1"/>
                <w:sz w:val="21"/>
                <w:szCs w:val="21"/>
                <w:vertAlign w:val="superscript"/>
              </w:rPr>
              <w:t>-4</w:t>
            </w:r>
            <w:r>
              <w:rPr>
                <w:color w:val="000000" w:themeColor="text1"/>
                <w:sz w:val="21"/>
                <w:szCs w:val="21"/>
              </w:rPr>
              <w:t>L</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2.5×10</w:t>
            </w:r>
            <w:r>
              <w:rPr>
                <w:color w:val="000000" w:themeColor="text1"/>
                <w:sz w:val="21"/>
                <w:szCs w:val="21"/>
                <w:vertAlign w:val="superscript"/>
              </w:rPr>
              <w:t>-4</w:t>
            </w:r>
            <w:r>
              <w:rPr>
                <w:color w:val="000000" w:themeColor="text1"/>
                <w:sz w:val="21"/>
                <w:szCs w:val="21"/>
              </w:rPr>
              <w:t>L</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2.5×10</w:t>
            </w:r>
            <w:r>
              <w:rPr>
                <w:color w:val="000000" w:themeColor="text1"/>
                <w:sz w:val="21"/>
                <w:szCs w:val="21"/>
                <w:vertAlign w:val="superscript"/>
              </w:rPr>
              <w:t>-4</w:t>
            </w:r>
            <w:r>
              <w:rPr>
                <w:color w:val="000000" w:themeColor="text1"/>
                <w:sz w:val="21"/>
                <w:szCs w:val="21"/>
              </w:rPr>
              <w:t>L</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2.5×10</w:t>
            </w:r>
            <w:r>
              <w:rPr>
                <w:color w:val="000000" w:themeColor="text1"/>
                <w:sz w:val="21"/>
                <w:szCs w:val="21"/>
                <w:vertAlign w:val="superscript"/>
              </w:rPr>
              <w:t>-4</w:t>
            </w:r>
            <w:r>
              <w:rPr>
                <w:color w:val="000000" w:themeColor="text1"/>
                <w:sz w:val="21"/>
                <w:szCs w:val="21"/>
              </w:rPr>
              <w:t>L</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≤0.05</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0.025</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砷</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3×10</w:t>
            </w:r>
            <w:r>
              <w:rPr>
                <w:color w:val="000000" w:themeColor="text1"/>
                <w:sz w:val="21"/>
                <w:szCs w:val="21"/>
                <w:vertAlign w:val="superscript"/>
              </w:rPr>
              <w:t>-4</w:t>
            </w:r>
            <w:r>
              <w:rPr>
                <w:color w:val="000000" w:themeColor="text1"/>
                <w:sz w:val="21"/>
                <w:szCs w:val="21"/>
              </w:rPr>
              <w:t>L</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3×10</w:t>
            </w:r>
            <w:r>
              <w:rPr>
                <w:color w:val="000000" w:themeColor="text1"/>
                <w:sz w:val="21"/>
                <w:szCs w:val="21"/>
                <w:vertAlign w:val="superscript"/>
              </w:rPr>
              <w:t>-4</w:t>
            </w:r>
            <w:r>
              <w:rPr>
                <w:color w:val="000000" w:themeColor="text1"/>
                <w:sz w:val="21"/>
                <w:szCs w:val="21"/>
              </w:rPr>
              <w:t>L</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3×10</w:t>
            </w:r>
            <w:r>
              <w:rPr>
                <w:color w:val="000000" w:themeColor="text1"/>
                <w:sz w:val="21"/>
                <w:szCs w:val="21"/>
                <w:vertAlign w:val="superscript"/>
              </w:rPr>
              <w:t>-4</w:t>
            </w:r>
            <w:r>
              <w:rPr>
                <w:color w:val="000000" w:themeColor="text1"/>
                <w:sz w:val="21"/>
                <w:szCs w:val="21"/>
              </w:rPr>
              <w:t>L</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3×10</w:t>
            </w:r>
            <w:r>
              <w:rPr>
                <w:color w:val="000000" w:themeColor="text1"/>
                <w:sz w:val="21"/>
                <w:szCs w:val="21"/>
                <w:vertAlign w:val="superscript"/>
              </w:rPr>
              <w:t>-4</w:t>
            </w:r>
            <w:r>
              <w:rPr>
                <w:color w:val="000000" w:themeColor="text1"/>
                <w:sz w:val="21"/>
                <w:szCs w:val="21"/>
              </w:rPr>
              <w:t>L</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3×10</w:t>
            </w:r>
            <w:r>
              <w:rPr>
                <w:color w:val="000000" w:themeColor="text1"/>
                <w:sz w:val="21"/>
                <w:szCs w:val="21"/>
                <w:vertAlign w:val="superscript"/>
              </w:rPr>
              <w:t>-4</w:t>
            </w:r>
            <w:r>
              <w:rPr>
                <w:color w:val="000000" w:themeColor="text1"/>
                <w:sz w:val="21"/>
                <w:szCs w:val="21"/>
              </w:rPr>
              <w:t>L</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3×10</w:t>
            </w:r>
            <w:r>
              <w:rPr>
                <w:color w:val="000000" w:themeColor="text1"/>
                <w:sz w:val="21"/>
                <w:szCs w:val="21"/>
                <w:vertAlign w:val="superscript"/>
              </w:rPr>
              <w:t>-4</w:t>
            </w:r>
            <w:r>
              <w:rPr>
                <w:color w:val="000000" w:themeColor="text1"/>
                <w:sz w:val="21"/>
                <w:szCs w:val="21"/>
              </w:rPr>
              <w:t>L</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r>
              <w:rPr>
                <w:rFonts w:hint="eastAsia"/>
                <w:color w:val="000000" w:themeColor="text1"/>
                <w:sz w:val="21"/>
                <w:szCs w:val="21"/>
              </w:rPr>
              <w:t>05</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0.006</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镉</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2.5×10</w:t>
            </w:r>
            <w:r>
              <w:rPr>
                <w:color w:val="000000" w:themeColor="text1"/>
                <w:sz w:val="21"/>
                <w:szCs w:val="21"/>
                <w:vertAlign w:val="superscript"/>
              </w:rPr>
              <w:t>-5</w:t>
            </w:r>
            <w:r>
              <w:rPr>
                <w:color w:val="000000" w:themeColor="text1"/>
                <w:sz w:val="21"/>
                <w:szCs w:val="21"/>
              </w:rPr>
              <w:t>L</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2.5×10</w:t>
            </w:r>
            <w:r>
              <w:rPr>
                <w:color w:val="000000" w:themeColor="text1"/>
                <w:sz w:val="21"/>
                <w:szCs w:val="21"/>
                <w:vertAlign w:val="superscript"/>
              </w:rPr>
              <w:t>-5</w:t>
            </w:r>
            <w:r>
              <w:rPr>
                <w:color w:val="000000" w:themeColor="text1"/>
                <w:sz w:val="21"/>
                <w:szCs w:val="21"/>
              </w:rPr>
              <w:t>L</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2.5×10</w:t>
            </w:r>
            <w:r>
              <w:rPr>
                <w:color w:val="000000" w:themeColor="text1"/>
                <w:sz w:val="21"/>
                <w:szCs w:val="21"/>
                <w:vertAlign w:val="superscript"/>
              </w:rPr>
              <w:t>-5</w:t>
            </w:r>
            <w:r>
              <w:rPr>
                <w:color w:val="000000" w:themeColor="text1"/>
                <w:sz w:val="21"/>
                <w:szCs w:val="21"/>
              </w:rPr>
              <w:t>L</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2.5×10</w:t>
            </w:r>
            <w:r>
              <w:rPr>
                <w:color w:val="000000" w:themeColor="text1"/>
                <w:sz w:val="21"/>
                <w:szCs w:val="21"/>
                <w:vertAlign w:val="superscript"/>
              </w:rPr>
              <w:t>-5</w:t>
            </w:r>
            <w:r>
              <w:rPr>
                <w:color w:val="000000" w:themeColor="text1"/>
                <w:sz w:val="21"/>
                <w:szCs w:val="21"/>
              </w:rPr>
              <w:t>L</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2.5×10</w:t>
            </w:r>
            <w:r>
              <w:rPr>
                <w:color w:val="000000" w:themeColor="text1"/>
                <w:sz w:val="21"/>
                <w:szCs w:val="21"/>
                <w:vertAlign w:val="superscript"/>
              </w:rPr>
              <w:t>-5</w:t>
            </w:r>
            <w:r>
              <w:rPr>
                <w:color w:val="000000" w:themeColor="text1"/>
                <w:sz w:val="21"/>
                <w:szCs w:val="21"/>
              </w:rPr>
              <w:t>L</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2.5×10</w:t>
            </w:r>
            <w:r>
              <w:rPr>
                <w:color w:val="000000" w:themeColor="text1"/>
                <w:sz w:val="21"/>
                <w:szCs w:val="21"/>
                <w:vertAlign w:val="superscript"/>
              </w:rPr>
              <w:t>-5</w:t>
            </w:r>
            <w:r>
              <w:rPr>
                <w:color w:val="000000" w:themeColor="text1"/>
                <w:sz w:val="21"/>
                <w:szCs w:val="21"/>
              </w:rPr>
              <w:t>L</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≤0.005</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0.0025</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铁</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0.19</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0.19</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0.18</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0.25</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0.25</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0.25</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≤0.3</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0.83</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锰</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≤0.1</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0.05</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锌</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w:t>
            </w:r>
            <w:r>
              <w:rPr>
                <w:rFonts w:hint="eastAsia"/>
                <w:color w:val="000000" w:themeColor="text1"/>
                <w:sz w:val="21"/>
                <w:szCs w:val="21"/>
              </w:rPr>
              <w:t>1</w:t>
            </w:r>
            <w:r>
              <w:rPr>
                <w:color w:val="000000" w:themeColor="text1"/>
                <w:sz w:val="21"/>
                <w:szCs w:val="21"/>
              </w:rPr>
              <w:t>.0</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0.005</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汞</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-5</w:t>
            </w:r>
            <w:r>
              <w:rPr>
                <w:color w:val="000000" w:themeColor="text1"/>
                <w:sz w:val="21"/>
                <w:szCs w:val="21"/>
              </w:rPr>
              <w:t>L</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-5</w:t>
            </w:r>
            <w:r>
              <w:rPr>
                <w:color w:val="000000" w:themeColor="text1"/>
                <w:sz w:val="21"/>
                <w:szCs w:val="21"/>
              </w:rPr>
              <w:t>L</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-5</w:t>
            </w:r>
            <w:r>
              <w:rPr>
                <w:color w:val="000000" w:themeColor="text1"/>
                <w:sz w:val="21"/>
                <w:szCs w:val="21"/>
              </w:rPr>
              <w:t>L</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-5</w:t>
            </w:r>
            <w:r>
              <w:rPr>
                <w:color w:val="000000" w:themeColor="text1"/>
                <w:sz w:val="21"/>
                <w:szCs w:val="21"/>
              </w:rPr>
              <w:t>L</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-5</w:t>
            </w:r>
            <w:r>
              <w:rPr>
                <w:color w:val="000000" w:themeColor="text1"/>
                <w:sz w:val="21"/>
                <w:szCs w:val="21"/>
              </w:rPr>
              <w:t>L</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-5</w:t>
            </w:r>
            <w:r>
              <w:rPr>
                <w:color w:val="000000" w:themeColor="text1"/>
                <w:sz w:val="21"/>
                <w:szCs w:val="21"/>
              </w:rPr>
              <w:t>L</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≤0.00</w:t>
            </w:r>
            <w:r>
              <w:rPr>
                <w:rFonts w:hint="eastAsia"/>
                <w:color w:val="000000" w:themeColor="text1"/>
                <w:sz w:val="21"/>
                <w:szCs w:val="21"/>
              </w:rPr>
              <w:t>0</w:t>
            </w:r>
            <w:r>
              <w:rPr>
                <w:color w:val="000000" w:themeColor="text1"/>
                <w:sz w:val="21"/>
                <w:szCs w:val="21"/>
              </w:rPr>
              <w:t>1</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0.2</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粪大肠菌群（个/L）</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320</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230</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240</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290</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260</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280</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w:t>
            </w:r>
            <w:r>
              <w:rPr>
                <w:rFonts w:hint="eastAsia"/>
                <w:color w:val="000000" w:themeColor="text1"/>
                <w:sz w:val="21"/>
                <w:szCs w:val="21"/>
              </w:rPr>
              <w:t>1</w:t>
            </w:r>
            <w:r>
              <w:rPr>
                <w:color w:val="000000" w:themeColor="text1"/>
                <w:sz w:val="21"/>
                <w:szCs w:val="21"/>
              </w:rPr>
              <w:t>0000</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0.032</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石油类</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0.02</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0.01L</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0.02</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r>
              <w:rPr>
                <w:rFonts w:hint="eastAsia"/>
                <w:color w:val="000000" w:themeColor="text1"/>
                <w:sz w:val="21"/>
                <w:szCs w:val="21"/>
              </w:rPr>
              <w:t>0</w:t>
            </w:r>
            <w:r>
              <w:rPr>
                <w:color w:val="000000" w:themeColor="text1"/>
                <w:sz w:val="21"/>
                <w:szCs w:val="21"/>
              </w:rPr>
              <w:t>5</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0.4</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103"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氰化物</w:t>
            </w:r>
          </w:p>
        </w:tc>
        <w:tc>
          <w:tcPr>
            <w:tcW w:w="99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-3</w:t>
            </w:r>
            <w:r>
              <w:rPr>
                <w:color w:val="000000" w:themeColor="text1"/>
                <w:sz w:val="21"/>
                <w:szCs w:val="21"/>
              </w:rPr>
              <w:t>L</w:t>
            </w:r>
          </w:p>
        </w:tc>
        <w:tc>
          <w:tcPr>
            <w:tcW w:w="106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-3</w:t>
            </w:r>
            <w:r>
              <w:rPr>
                <w:color w:val="000000" w:themeColor="text1"/>
                <w:sz w:val="21"/>
                <w:szCs w:val="21"/>
              </w:rPr>
              <w:t>L</w:t>
            </w:r>
          </w:p>
        </w:tc>
        <w:tc>
          <w:tcPr>
            <w:tcW w:w="10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-3</w:t>
            </w:r>
            <w:r>
              <w:rPr>
                <w:color w:val="000000" w:themeColor="text1"/>
                <w:sz w:val="21"/>
                <w:szCs w:val="21"/>
              </w:rPr>
              <w:t>L</w:t>
            </w:r>
          </w:p>
        </w:tc>
        <w:tc>
          <w:tcPr>
            <w:tcW w:w="100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-3</w:t>
            </w:r>
            <w:r>
              <w:rPr>
                <w:color w:val="000000" w:themeColor="text1"/>
                <w:sz w:val="21"/>
                <w:szCs w:val="21"/>
              </w:rPr>
              <w:t>L</w:t>
            </w:r>
          </w:p>
        </w:tc>
        <w:tc>
          <w:tcPr>
            <w:tcW w:w="102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-3</w:t>
            </w:r>
            <w:r>
              <w:rPr>
                <w:color w:val="000000" w:themeColor="text1"/>
                <w:sz w:val="21"/>
                <w:szCs w:val="21"/>
              </w:rPr>
              <w:t>L</w:t>
            </w:r>
          </w:p>
        </w:tc>
        <w:tc>
          <w:tcPr>
            <w:tcW w:w="1035"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4×10</w:t>
            </w:r>
            <w:r>
              <w:rPr>
                <w:color w:val="000000" w:themeColor="text1"/>
                <w:sz w:val="21"/>
                <w:szCs w:val="21"/>
                <w:vertAlign w:val="superscript"/>
              </w:rPr>
              <w:t>-3</w:t>
            </w:r>
            <w:r>
              <w:rPr>
                <w:color w:val="000000" w:themeColor="text1"/>
                <w:sz w:val="21"/>
                <w:szCs w:val="21"/>
              </w:rPr>
              <w:t>L</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≤0.2</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0.01</w:t>
            </w:r>
          </w:p>
        </w:tc>
        <w:tc>
          <w:tcPr>
            <w:tcW w:w="810"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kern w:val="0"/>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9657" w:type="dxa"/>
            <w:gridSpan w:val="10"/>
            <w:vAlign w:val="center"/>
          </w:tcPr>
          <w:p>
            <w:pPr>
              <w:adjustRightInd w:val="0"/>
              <w:snapToGrid w:val="0"/>
              <w:spacing w:line="240" w:lineRule="auto"/>
              <w:ind w:firstLine="0" w:firstLineChars="0"/>
              <w:rPr>
                <w:color w:val="000000" w:themeColor="text1"/>
                <w:sz w:val="21"/>
                <w:szCs w:val="21"/>
              </w:rPr>
            </w:pPr>
            <w:r>
              <w:rPr>
                <w:color w:val="000000" w:themeColor="text1"/>
                <w:sz w:val="21"/>
                <w:szCs w:val="21"/>
              </w:rPr>
              <w:t>备注：“检出限+L”表示检测结果低于分析方法最低检出限。</w:t>
            </w:r>
          </w:p>
        </w:tc>
      </w:tr>
    </w:tbl>
    <w:p>
      <w:pPr>
        <w:ind w:firstLine="480"/>
        <w:jc w:val="both"/>
        <w:rPr>
          <w:rFonts w:eastAsiaTheme="minorEastAsia"/>
          <w:color w:val="000000" w:themeColor="text1"/>
        </w:rPr>
      </w:pPr>
      <w:r>
        <w:rPr>
          <w:rFonts w:eastAsiaTheme="minorEastAsia"/>
          <w:color w:val="000000" w:themeColor="text1"/>
        </w:rPr>
        <w:t>根据表5.2-7可知，困龙河监测断面所测指标均达到《地表水环境质量标准》（GB3838-2002）</w:t>
      </w:r>
      <w:r>
        <w:rPr>
          <w:rFonts w:eastAsia="方正仿宋_GBK"/>
          <w:color w:val="000000" w:themeColor="text1"/>
        </w:rPr>
        <w:t>Ⅲ</w:t>
      </w:r>
      <w:r>
        <w:rPr>
          <w:rFonts w:eastAsiaTheme="minorEastAsia"/>
          <w:color w:val="000000" w:themeColor="text1"/>
        </w:rPr>
        <w:t>类标准要求。</w:t>
      </w:r>
    </w:p>
    <w:p>
      <w:pPr>
        <w:pStyle w:val="6"/>
        <w:spacing w:beforeLines="0" w:afterLines="0"/>
        <w:rPr>
          <w:rFonts w:eastAsiaTheme="minorEastAsia"/>
          <w:color w:val="000000" w:themeColor="text1"/>
          <w:sz w:val="28"/>
          <w:szCs w:val="28"/>
        </w:rPr>
      </w:pPr>
      <w:bookmarkStart w:id="549" w:name="_Toc3338"/>
      <w:r>
        <w:rPr>
          <w:rFonts w:eastAsiaTheme="minorEastAsia"/>
          <w:color w:val="000000" w:themeColor="text1"/>
          <w:sz w:val="28"/>
          <w:szCs w:val="28"/>
        </w:rPr>
        <w:t>5.2.3地下水环境现状调查</w:t>
      </w:r>
      <w:bookmarkEnd w:id="549"/>
    </w:p>
    <w:p>
      <w:pPr>
        <w:ind w:firstLine="480"/>
        <w:rPr>
          <w:rFonts w:eastAsiaTheme="minorEastAsia"/>
          <w:color w:val="000000" w:themeColor="text1"/>
        </w:rPr>
      </w:pPr>
      <w:r>
        <w:rPr>
          <w:rStyle w:val="73"/>
          <w:color w:val="000000" w:themeColor="text1"/>
          <w:sz w:val="24"/>
          <w:szCs w:val="24"/>
        </w:rPr>
        <w:t>根据现场调查，项目区附近无地下水出露点，距离项目区1098m处的四坡斗村与本项目处于同一个水文地质单元</w:t>
      </w:r>
      <w:r>
        <w:rPr>
          <w:rStyle w:val="73"/>
          <w:rFonts w:hint="eastAsia"/>
          <w:color w:val="000000" w:themeColor="text1"/>
          <w:sz w:val="24"/>
          <w:szCs w:val="24"/>
        </w:rPr>
        <w:t>，</w:t>
      </w:r>
      <w:r>
        <w:rPr>
          <w:rFonts w:hint="eastAsia" w:eastAsiaTheme="minorEastAsia"/>
          <w:color w:val="000000" w:themeColor="text1"/>
        </w:rPr>
        <w:t>位于项目区上游。</w:t>
      </w:r>
    </w:p>
    <w:p>
      <w:pPr>
        <w:ind w:firstLine="480"/>
        <w:rPr>
          <w:rFonts w:eastAsiaTheme="minorEastAsia"/>
          <w:color w:val="000000" w:themeColor="text1"/>
        </w:rPr>
      </w:pPr>
      <w:r>
        <w:rPr>
          <w:rStyle w:val="73"/>
          <w:color w:val="000000" w:themeColor="text1"/>
          <w:sz w:val="24"/>
          <w:szCs w:val="24"/>
        </w:rPr>
        <w:t>。为了解评价范围周围地下水环境质量现状，建设单位委托云南中科检测技术有限公司</w:t>
      </w:r>
      <w:r>
        <w:rPr>
          <w:color w:val="000000" w:themeColor="text1"/>
          <w:spacing w:val="-5"/>
          <w:szCs w:val="24"/>
        </w:rPr>
        <w:t>于</w:t>
      </w:r>
      <w:r>
        <w:rPr>
          <w:color w:val="000000" w:themeColor="text1"/>
          <w:szCs w:val="24"/>
        </w:rPr>
        <w:t>2019年8月25日至2019年8月27日对</w:t>
      </w:r>
      <w:r>
        <w:rPr>
          <w:rFonts w:hint="eastAsia"/>
          <w:color w:val="000000" w:themeColor="text1"/>
          <w:szCs w:val="24"/>
        </w:rPr>
        <w:t>3个监测点</w:t>
      </w:r>
      <w:r>
        <w:rPr>
          <w:color w:val="000000" w:themeColor="text1"/>
          <w:szCs w:val="24"/>
        </w:rPr>
        <w:t>进行了监测，该</w:t>
      </w:r>
      <w:r>
        <w:rPr>
          <w:rFonts w:hint="eastAsia"/>
          <w:color w:val="000000" w:themeColor="text1"/>
          <w:szCs w:val="24"/>
        </w:rPr>
        <w:t>监测点</w:t>
      </w:r>
      <w:r>
        <w:rPr>
          <w:color w:val="000000" w:themeColor="text1"/>
          <w:szCs w:val="24"/>
        </w:rPr>
        <w:t>非当地居民饮用水源。监测点位与本项目位置关系见水文地质</w:t>
      </w:r>
      <w:r>
        <w:rPr>
          <w:rFonts w:hint="eastAsia"/>
          <w:color w:val="000000" w:themeColor="text1"/>
          <w:szCs w:val="24"/>
        </w:rPr>
        <w:t>图</w:t>
      </w:r>
      <w:r>
        <w:rPr>
          <w:color w:val="000000" w:themeColor="text1"/>
          <w:szCs w:val="24"/>
        </w:rPr>
        <w:t>。</w:t>
      </w:r>
    </w:p>
    <w:p>
      <w:pPr>
        <w:ind w:firstLine="480"/>
        <w:jc w:val="both"/>
        <w:rPr>
          <w:rFonts w:eastAsiaTheme="minorEastAsia"/>
          <w:color w:val="000000" w:themeColor="text1"/>
        </w:rPr>
      </w:pPr>
      <w:r>
        <w:rPr>
          <w:rFonts w:eastAsiaTheme="minorEastAsia"/>
          <w:color w:val="000000" w:themeColor="text1"/>
        </w:rPr>
        <w:t>监测点：设置3个监测点，在项目选矿生产区东北侧的四坡斗村水井</w:t>
      </w:r>
      <w:r>
        <w:rPr>
          <w:rFonts w:hint="eastAsia" w:eastAsiaTheme="minorEastAsia"/>
          <w:color w:val="000000" w:themeColor="text1"/>
        </w:rPr>
        <w:t>W1</w:t>
      </w:r>
      <w:r>
        <w:rPr>
          <w:rFonts w:hint="eastAsia" w:eastAsiaTheme="minorEastAsia"/>
          <w:color w:val="000000" w:themeColor="text1"/>
          <w:szCs w:val="20"/>
        </w:rPr>
        <w:t>（</w:t>
      </w:r>
      <w:r>
        <w:rPr>
          <w:rFonts w:hint="eastAsia"/>
          <w:color w:val="000000" w:themeColor="text1"/>
          <w:szCs w:val="24"/>
        </w:rPr>
        <w:t>E101</w:t>
      </w:r>
      <w:r>
        <w:rPr>
          <w:color w:val="000000" w:themeColor="text1"/>
          <w:szCs w:val="24"/>
        </w:rPr>
        <w:t>°</w:t>
      </w:r>
      <w:r>
        <w:rPr>
          <w:rFonts w:hint="eastAsia"/>
          <w:color w:val="000000" w:themeColor="text1"/>
          <w:szCs w:val="24"/>
        </w:rPr>
        <w:t>60</w:t>
      </w:r>
      <w:r>
        <w:rPr>
          <w:color w:val="000000" w:themeColor="text1"/>
          <w:szCs w:val="24"/>
        </w:rPr>
        <w:t>ʹ</w:t>
      </w:r>
      <w:r>
        <w:rPr>
          <w:rFonts w:hint="eastAsia"/>
          <w:color w:val="000000" w:themeColor="text1"/>
          <w:szCs w:val="24"/>
        </w:rPr>
        <w:t>93.907</w:t>
      </w:r>
      <w:r>
        <w:rPr>
          <w:color w:val="000000" w:themeColor="text1"/>
          <w:szCs w:val="24"/>
        </w:rPr>
        <w:t>ʺ</w:t>
      </w:r>
      <w:r>
        <w:rPr>
          <w:rFonts w:hint="eastAsia"/>
          <w:color w:val="000000" w:themeColor="text1"/>
          <w:szCs w:val="24"/>
        </w:rPr>
        <w:t>；N24</w:t>
      </w:r>
      <w:r>
        <w:rPr>
          <w:color w:val="000000" w:themeColor="text1"/>
          <w:szCs w:val="24"/>
        </w:rPr>
        <w:t>°</w:t>
      </w:r>
      <w:r>
        <w:rPr>
          <w:rFonts w:hint="eastAsia"/>
          <w:color w:val="000000" w:themeColor="text1"/>
          <w:szCs w:val="24"/>
        </w:rPr>
        <w:t>07</w:t>
      </w:r>
      <w:r>
        <w:rPr>
          <w:color w:val="000000" w:themeColor="text1"/>
          <w:szCs w:val="24"/>
        </w:rPr>
        <w:t>ʹ</w:t>
      </w:r>
      <w:r>
        <w:rPr>
          <w:rFonts w:hint="eastAsia"/>
          <w:color w:val="000000" w:themeColor="text1"/>
          <w:szCs w:val="24"/>
        </w:rPr>
        <w:t>94.671</w:t>
      </w:r>
      <w:r>
        <w:rPr>
          <w:color w:val="000000" w:themeColor="text1"/>
          <w:szCs w:val="24"/>
        </w:rPr>
        <w:t>ʺ</w:t>
      </w:r>
      <w:r>
        <w:rPr>
          <w:rFonts w:hint="eastAsia" w:eastAsiaTheme="minorEastAsia"/>
          <w:color w:val="000000" w:themeColor="text1"/>
          <w:szCs w:val="24"/>
        </w:rPr>
        <w:t>）（</w:t>
      </w:r>
      <w:r>
        <w:rPr>
          <w:rFonts w:hint="eastAsia" w:eastAsiaTheme="minorEastAsia"/>
          <w:color w:val="000000" w:themeColor="text1"/>
        </w:rPr>
        <w:t>位于项目区上游</w:t>
      </w:r>
      <w:r>
        <w:rPr>
          <w:rFonts w:hint="eastAsia" w:eastAsiaTheme="minorEastAsia"/>
          <w:color w:val="000000" w:themeColor="text1"/>
          <w:szCs w:val="24"/>
        </w:rPr>
        <w:t>）</w:t>
      </w:r>
      <w:r>
        <w:rPr>
          <w:rFonts w:hint="eastAsia" w:eastAsiaTheme="minorEastAsia"/>
          <w:color w:val="000000" w:themeColor="text1"/>
        </w:rPr>
        <w:t>、东磨选厂</w:t>
      </w:r>
      <w:r>
        <w:rPr>
          <w:rFonts w:eastAsiaTheme="minorEastAsia"/>
          <w:color w:val="000000" w:themeColor="text1"/>
        </w:rPr>
        <w:t>东南面的泉点J1</w:t>
      </w:r>
      <w:r>
        <w:rPr>
          <w:rFonts w:hint="eastAsia" w:eastAsiaTheme="minorEastAsia"/>
          <w:color w:val="000000" w:themeColor="text1"/>
          <w:szCs w:val="20"/>
        </w:rPr>
        <w:t>（</w:t>
      </w:r>
      <w:r>
        <w:rPr>
          <w:rFonts w:hint="eastAsia"/>
          <w:color w:val="000000" w:themeColor="text1"/>
          <w:szCs w:val="24"/>
        </w:rPr>
        <w:t>E101</w:t>
      </w:r>
      <w:r>
        <w:rPr>
          <w:color w:val="000000" w:themeColor="text1"/>
          <w:szCs w:val="24"/>
        </w:rPr>
        <w:t>°</w:t>
      </w:r>
      <w:r>
        <w:rPr>
          <w:rFonts w:hint="eastAsia"/>
          <w:color w:val="000000" w:themeColor="text1"/>
          <w:szCs w:val="24"/>
        </w:rPr>
        <w:t>60</w:t>
      </w:r>
      <w:r>
        <w:rPr>
          <w:color w:val="000000" w:themeColor="text1"/>
          <w:szCs w:val="24"/>
        </w:rPr>
        <w:t>ʹ</w:t>
      </w:r>
      <w:r>
        <w:rPr>
          <w:rFonts w:hint="eastAsia"/>
          <w:color w:val="000000" w:themeColor="text1"/>
          <w:szCs w:val="24"/>
        </w:rPr>
        <w:t>84.895</w:t>
      </w:r>
      <w:r>
        <w:rPr>
          <w:color w:val="000000" w:themeColor="text1"/>
          <w:szCs w:val="24"/>
        </w:rPr>
        <w:t>ʺ</w:t>
      </w:r>
      <w:r>
        <w:rPr>
          <w:rFonts w:hint="eastAsia"/>
          <w:color w:val="000000" w:themeColor="text1"/>
          <w:szCs w:val="24"/>
        </w:rPr>
        <w:t>；N24</w:t>
      </w:r>
      <w:r>
        <w:rPr>
          <w:color w:val="000000" w:themeColor="text1"/>
          <w:szCs w:val="24"/>
        </w:rPr>
        <w:t>°</w:t>
      </w:r>
      <w:r>
        <w:rPr>
          <w:rFonts w:hint="eastAsia"/>
          <w:color w:val="000000" w:themeColor="text1"/>
          <w:szCs w:val="24"/>
        </w:rPr>
        <w:t>06</w:t>
      </w:r>
      <w:r>
        <w:rPr>
          <w:color w:val="000000" w:themeColor="text1"/>
          <w:szCs w:val="24"/>
        </w:rPr>
        <w:t>ʹ</w:t>
      </w:r>
      <w:r>
        <w:rPr>
          <w:rFonts w:hint="eastAsia"/>
          <w:color w:val="000000" w:themeColor="text1"/>
          <w:szCs w:val="24"/>
        </w:rPr>
        <w:t>75.795</w:t>
      </w:r>
      <w:r>
        <w:rPr>
          <w:color w:val="000000" w:themeColor="text1"/>
          <w:szCs w:val="24"/>
        </w:rPr>
        <w:t>ʺ</w:t>
      </w:r>
      <w:r>
        <w:rPr>
          <w:rFonts w:hint="eastAsia" w:eastAsiaTheme="minorEastAsia"/>
          <w:color w:val="000000" w:themeColor="text1"/>
          <w:szCs w:val="24"/>
        </w:rPr>
        <w:t>）（为辣子箐尾矿库下游）</w:t>
      </w:r>
      <w:r>
        <w:rPr>
          <w:rFonts w:eastAsiaTheme="minorEastAsia"/>
          <w:color w:val="000000" w:themeColor="text1"/>
        </w:rPr>
        <w:t>、</w:t>
      </w:r>
      <w:r>
        <w:rPr>
          <w:bCs/>
          <w:color w:val="000000" w:themeColor="text1"/>
          <w:szCs w:val="24"/>
        </w:rPr>
        <w:t>项目区附近200m处的井水</w:t>
      </w:r>
      <w:r>
        <w:rPr>
          <w:color w:val="000000" w:themeColor="text1"/>
          <w:szCs w:val="24"/>
        </w:rPr>
        <w:t>J2</w:t>
      </w:r>
      <w:r>
        <w:rPr>
          <w:rFonts w:hint="eastAsia" w:eastAsiaTheme="minorEastAsia"/>
          <w:color w:val="000000" w:themeColor="text1"/>
          <w:szCs w:val="20"/>
        </w:rPr>
        <w:t>（</w:t>
      </w:r>
      <w:r>
        <w:rPr>
          <w:rFonts w:hint="eastAsia"/>
          <w:color w:val="000000" w:themeColor="text1"/>
          <w:szCs w:val="24"/>
        </w:rPr>
        <w:t>E101</w:t>
      </w:r>
      <w:r>
        <w:rPr>
          <w:color w:val="000000" w:themeColor="text1"/>
          <w:szCs w:val="24"/>
        </w:rPr>
        <w:t>°</w:t>
      </w:r>
      <w:r>
        <w:rPr>
          <w:rFonts w:hint="eastAsia"/>
          <w:color w:val="000000" w:themeColor="text1"/>
          <w:szCs w:val="24"/>
        </w:rPr>
        <w:t>60</w:t>
      </w:r>
      <w:r>
        <w:rPr>
          <w:color w:val="000000" w:themeColor="text1"/>
          <w:szCs w:val="24"/>
        </w:rPr>
        <w:t>ʹ</w:t>
      </w:r>
      <w:r>
        <w:rPr>
          <w:rFonts w:hint="eastAsia"/>
          <w:color w:val="000000" w:themeColor="text1"/>
          <w:szCs w:val="24"/>
        </w:rPr>
        <w:t>43.696</w:t>
      </w:r>
      <w:r>
        <w:rPr>
          <w:color w:val="000000" w:themeColor="text1"/>
          <w:szCs w:val="24"/>
        </w:rPr>
        <w:t>ʺ</w:t>
      </w:r>
      <w:r>
        <w:rPr>
          <w:rFonts w:hint="eastAsia"/>
          <w:color w:val="000000" w:themeColor="text1"/>
          <w:szCs w:val="24"/>
        </w:rPr>
        <w:t>；N24</w:t>
      </w:r>
      <w:r>
        <w:rPr>
          <w:color w:val="000000" w:themeColor="text1"/>
          <w:szCs w:val="24"/>
        </w:rPr>
        <w:t>°</w:t>
      </w:r>
      <w:r>
        <w:rPr>
          <w:rFonts w:hint="eastAsia"/>
          <w:color w:val="000000" w:themeColor="text1"/>
          <w:szCs w:val="24"/>
        </w:rPr>
        <w:t>07</w:t>
      </w:r>
      <w:r>
        <w:rPr>
          <w:color w:val="000000" w:themeColor="text1"/>
          <w:szCs w:val="24"/>
        </w:rPr>
        <w:t>ʹ</w:t>
      </w:r>
      <w:r>
        <w:rPr>
          <w:rFonts w:hint="eastAsia"/>
          <w:color w:val="000000" w:themeColor="text1"/>
          <w:szCs w:val="24"/>
        </w:rPr>
        <w:t>28.581</w:t>
      </w:r>
      <w:r>
        <w:rPr>
          <w:color w:val="000000" w:themeColor="text1"/>
          <w:szCs w:val="24"/>
        </w:rPr>
        <w:t>ʺ</w:t>
      </w:r>
      <w:r>
        <w:rPr>
          <w:rFonts w:hint="eastAsia" w:eastAsiaTheme="minorEastAsia"/>
          <w:color w:val="000000" w:themeColor="text1"/>
          <w:szCs w:val="24"/>
        </w:rPr>
        <w:t>）（</w:t>
      </w:r>
      <w:r>
        <w:rPr>
          <w:rFonts w:hint="eastAsia" w:eastAsiaTheme="minorEastAsia"/>
          <w:color w:val="000000" w:themeColor="text1"/>
        </w:rPr>
        <w:t>位于项目区上游</w:t>
      </w:r>
      <w:r>
        <w:rPr>
          <w:rFonts w:hint="eastAsia" w:eastAsiaTheme="minorEastAsia"/>
          <w:color w:val="000000" w:themeColor="text1"/>
          <w:szCs w:val="24"/>
        </w:rPr>
        <w:t>）</w:t>
      </w:r>
      <w:r>
        <w:rPr>
          <w:rFonts w:hint="eastAsia" w:eastAsiaTheme="minorEastAsia"/>
          <w:color w:val="000000" w:themeColor="text1"/>
          <w:szCs w:val="24"/>
          <w:lang w:eastAsia="zh-CN"/>
        </w:rPr>
        <w:t>，三个监测点</w:t>
      </w:r>
      <w:r>
        <w:rPr>
          <w:rStyle w:val="73"/>
          <w:color w:val="000000" w:themeColor="text1"/>
          <w:sz w:val="24"/>
          <w:szCs w:val="24"/>
        </w:rPr>
        <w:t>与本项目处于同一个水文地质单元</w:t>
      </w:r>
      <w:r>
        <w:rPr>
          <w:rFonts w:eastAsiaTheme="minorEastAsia"/>
          <w:color w:val="000000" w:themeColor="text1"/>
        </w:rPr>
        <w:t>。</w:t>
      </w:r>
    </w:p>
    <w:p>
      <w:pPr>
        <w:ind w:left="0" w:leftChars="0" w:firstLine="0" w:firstLineChars="0"/>
        <w:jc w:val="both"/>
        <w:rPr>
          <w:rFonts w:eastAsiaTheme="minorEastAsia"/>
          <w:b/>
          <w:bCs/>
          <w:color w:val="000000" w:themeColor="text1"/>
          <w:sz w:val="21"/>
          <w:szCs w:val="21"/>
        </w:rPr>
      </w:pPr>
    </w:p>
    <w:p>
      <w:pPr>
        <w:ind w:firstLine="422"/>
        <w:jc w:val="center"/>
        <w:rPr>
          <w:rFonts w:eastAsiaTheme="minorEastAsia"/>
          <w:b/>
          <w:bCs/>
          <w:color w:val="000000" w:themeColor="text1"/>
          <w:sz w:val="21"/>
          <w:szCs w:val="21"/>
        </w:rPr>
      </w:pPr>
      <w:r>
        <w:rPr>
          <w:rFonts w:hint="eastAsia" w:eastAsiaTheme="minorEastAsia"/>
          <w:b/>
          <w:bCs/>
          <w:color w:val="000000" w:themeColor="text1"/>
          <w:sz w:val="21"/>
          <w:szCs w:val="21"/>
        </w:rPr>
        <w:t>表5.2-8 点位基本信息表</w:t>
      </w:r>
    </w:p>
    <w:tbl>
      <w:tblPr>
        <w:tblStyle w:val="6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6"/>
        <w:gridCol w:w="1634"/>
        <w:gridCol w:w="1526"/>
        <w:gridCol w:w="1421"/>
        <w:gridCol w:w="1149"/>
        <w:gridCol w:w="1148"/>
        <w:gridCol w:w="10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7" w:hRule="atLeast"/>
        </w:trPr>
        <w:tc>
          <w:tcPr>
            <w:tcW w:w="556" w:type="dxa"/>
            <w:vMerge w:val="restart"/>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序号</w:t>
            </w:r>
          </w:p>
        </w:tc>
        <w:tc>
          <w:tcPr>
            <w:tcW w:w="1634" w:type="dxa"/>
            <w:vMerge w:val="restart"/>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点位名称</w:t>
            </w:r>
          </w:p>
        </w:tc>
        <w:tc>
          <w:tcPr>
            <w:tcW w:w="2947" w:type="dxa"/>
            <w:gridSpan w:val="2"/>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坐标</w:t>
            </w:r>
          </w:p>
        </w:tc>
        <w:tc>
          <w:tcPr>
            <w:tcW w:w="1149" w:type="dxa"/>
            <w:vMerge w:val="restart"/>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出露点标高（m）</w:t>
            </w:r>
          </w:p>
        </w:tc>
        <w:tc>
          <w:tcPr>
            <w:tcW w:w="1148" w:type="dxa"/>
            <w:vMerge w:val="restart"/>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与厂址方位及距离</w:t>
            </w:r>
          </w:p>
        </w:tc>
        <w:tc>
          <w:tcPr>
            <w:tcW w:w="1088" w:type="dxa"/>
            <w:vMerge w:val="restart"/>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7" w:hRule="atLeast"/>
        </w:trPr>
        <w:tc>
          <w:tcPr>
            <w:tcW w:w="556" w:type="dxa"/>
            <w:vMerge w:val="continue"/>
            <w:vAlign w:val="center"/>
          </w:tcPr>
          <w:p>
            <w:pPr>
              <w:spacing w:line="240" w:lineRule="auto"/>
              <w:ind w:firstLine="0" w:firstLineChars="0"/>
              <w:jc w:val="center"/>
              <w:rPr>
                <w:color w:val="000000" w:themeColor="text1"/>
                <w:sz w:val="21"/>
                <w:szCs w:val="21"/>
              </w:rPr>
            </w:pPr>
          </w:p>
        </w:tc>
        <w:tc>
          <w:tcPr>
            <w:tcW w:w="1634" w:type="dxa"/>
            <w:vMerge w:val="continue"/>
            <w:vAlign w:val="center"/>
          </w:tcPr>
          <w:p>
            <w:pPr>
              <w:spacing w:line="240" w:lineRule="auto"/>
              <w:ind w:firstLine="0" w:firstLineChars="0"/>
              <w:jc w:val="center"/>
              <w:rPr>
                <w:color w:val="000000" w:themeColor="text1"/>
                <w:sz w:val="21"/>
                <w:szCs w:val="21"/>
              </w:rPr>
            </w:pPr>
          </w:p>
        </w:tc>
        <w:tc>
          <w:tcPr>
            <w:tcW w:w="152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经度</w:t>
            </w:r>
          </w:p>
        </w:tc>
        <w:tc>
          <w:tcPr>
            <w:tcW w:w="1421"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纬度</w:t>
            </w:r>
          </w:p>
        </w:tc>
        <w:tc>
          <w:tcPr>
            <w:tcW w:w="1149"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48"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088" w:type="dxa"/>
            <w:vMerge w:val="continue"/>
            <w:vAlign w:val="center"/>
          </w:tcPr>
          <w:p>
            <w:pPr>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5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w:t>
            </w:r>
          </w:p>
        </w:tc>
        <w:tc>
          <w:tcPr>
            <w:tcW w:w="1634"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四坡斗村水井</w:t>
            </w:r>
            <w:r>
              <w:rPr>
                <w:rFonts w:hint="eastAsia" w:eastAsiaTheme="minorEastAsia"/>
                <w:color w:val="000000" w:themeColor="text1"/>
                <w:sz w:val="21"/>
                <w:szCs w:val="21"/>
              </w:rPr>
              <w:t>W1</w:t>
            </w:r>
          </w:p>
        </w:tc>
        <w:tc>
          <w:tcPr>
            <w:tcW w:w="1526" w:type="dxa"/>
            <w:vAlign w:val="center"/>
          </w:tcPr>
          <w:p>
            <w:pPr>
              <w:spacing w:line="240" w:lineRule="auto"/>
              <w:ind w:firstLine="0" w:firstLineChars="0"/>
              <w:jc w:val="center"/>
              <w:rPr>
                <w:rFonts w:eastAsiaTheme="minorEastAsia"/>
                <w:color w:val="000000" w:themeColor="text1"/>
                <w:sz w:val="21"/>
                <w:szCs w:val="21"/>
              </w:rPr>
            </w:pPr>
            <w:r>
              <w:rPr>
                <w:rFonts w:hint="eastAsia"/>
                <w:color w:val="000000" w:themeColor="text1"/>
                <w:sz w:val="21"/>
                <w:szCs w:val="21"/>
              </w:rPr>
              <w:t>101</w:t>
            </w:r>
            <w:r>
              <w:rPr>
                <w:color w:val="000000" w:themeColor="text1"/>
                <w:sz w:val="21"/>
                <w:szCs w:val="21"/>
              </w:rPr>
              <w:t>°</w:t>
            </w:r>
            <w:r>
              <w:rPr>
                <w:rFonts w:hint="eastAsia"/>
                <w:color w:val="000000" w:themeColor="text1"/>
                <w:sz w:val="21"/>
                <w:szCs w:val="21"/>
              </w:rPr>
              <w:t>60</w:t>
            </w:r>
            <w:r>
              <w:rPr>
                <w:color w:val="000000" w:themeColor="text1"/>
                <w:sz w:val="21"/>
                <w:szCs w:val="21"/>
              </w:rPr>
              <w:t>ʹ</w:t>
            </w:r>
            <w:r>
              <w:rPr>
                <w:rFonts w:hint="eastAsia"/>
                <w:color w:val="000000" w:themeColor="text1"/>
                <w:sz w:val="21"/>
                <w:szCs w:val="21"/>
              </w:rPr>
              <w:t>93.907</w:t>
            </w:r>
            <w:r>
              <w:rPr>
                <w:color w:val="000000" w:themeColor="text1"/>
                <w:sz w:val="21"/>
                <w:szCs w:val="21"/>
              </w:rPr>
              <w:t>ʺ</w:t>
            </w:r>
          </w:p>
        </w:tc>
        <w:tc>
          <w:tcPr>
            <w:tcW w:w="1421" w:type="dxa"/>
            <w:vAlign w:val="center"/>
          </w:tcPr>
          <w:p>
            <w:pPr>
              <w:spacing w:line="240" w:lineRule="auto"/>
              <w:ind w:firstLine="0" w:firstLineChars="0"/>
              <w:jc w:val="center"/>
              <w:rPr>
                <w:rFonts w:eastAsiaTheme="minorEastAsia"/>
                <w:color w:val="000000" w:themeColor="text1"/>
                <w:sz w:val="21"/>
                <w:szCs w:val="21"/>
              </w:rPr>
            </w:pPr>
            <w:r>
              <w:rPr>
                <w:rFonts w:hint="eastAsia"/>
                <w:color w:val="000000" w:themeColor="text1"/>
                <w:sz w:val="21"/>
                <w:szCs w:val="21"/>
              </w:rPr>
              <w:t>24</w:t>
            </w:r>
            <w:r>
              <w:rPr>
                <w:color w:val="000000" w:themeColor="text1"/>
                <w:sz w:val="21"/>
                <w:szCs w:val="21"/>
              </w:rPr>
              <w:t>°</w:t>
            </w:r>
            <w:r>
              <w:rPr>
                <w:rFonts w:hint="eastAsia"/>
                <w:color w:val="000000" w:themeColor="text1"/>
                <w:sz w:val="21"/>
                <w:szCs w:val="21"/>
              </w:rPr>
              <w:t>07</w:t>
            </w:r>
            <w:r>
              <w:rPr>
                <w:color w:val="000000" w:themeColor="text1"/>
                <w:sz w:val="21"/>
                <w:szCs w:val="21"/>
              </w:rPr>
              <w:t>ʹ</w:t>
            </w:r>
            <w:r>
              <w:rPr>
                <w:rFonts w:hint="eastAsia"/>
                <w:color w:val="000000" w:themeColor="text1"/>
                <w:sz w:val="21"/>
                <w:szCs w:val="21"/>
              </w:rPr>
              <w:t>94.671</w:t>
            </w:r>
            <w:r>
              <w:rPr>
                <w:color w:val="000000" w:themeColor="text1"/>
                <w:sz w:val="21"/>
                <w:szCs w:val="21"/>
              </w:rPr>
              <w:t>ʺ</w:t>
            </w:r>
          </w:p>
        </w:tc>
        <w:tc>
          <w:tcPr>
            <w:tcW w:w="1149"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602</w:t>
            </w:r>
          </w:p>
        </w:tc>
        <w:tc>
          <w:tcPr>
            <w:tcW w:w="1148"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东北侧1100m</w:t>
            </w:r>
          </w:p>
        </w:tc>
        <w:tc>
          <w:tcPr>
            <w:tcW w:w="1088"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无饮用功能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5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w:t>
            </w:r>
          </w:p>
        </w:tc>
        <w:tc>
          <w:tcPr>
            <w:tcW w:w="1634"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泉点J1</w:t>
            </w:r>
          </w:p>
        </w:tc>
        <w:tc>
          <w:tcPr>
            <w:tcW w:w="1526" w:type="dxa"/>
            <w:vAlign w:val="center"/>
          </w:tcPr>
          <w:p>
            <w:pPr>
              <w:spacing w:line="240" w:lineRule="auto"/>
              <w:ind w:firstLine="0" w:firstLineChars="0"/>
              <w:jc w:val="center"/>
              <w:rPr>
                <w:rFonts w:eastAsiaTheme="minorEastAsia"/>
                <w:color w:val="000000" w:themeColor="text1"/>
                <w:sz w:val="21"/>
                <w:szCs w:val="21"/>
              </w:rPr>
            </w:pPr>
            <w:r>
              <w:rPr>
                <w:rFonts w:hint="eastAsia"/>
                <w:color w:val="000000" w:themeColor="text1"/>
                <w:sz w:val="21"/>
                <w:szCs w:val="21"/>
              </w:rPr>
              <w:t>101</w:t>
            </w:r>
            <w:r>
              <w:rPr>
                <w:color w:val="000000" w:themeColor="text1"/>
                <w:sz w:val="21"/>
                <w:szCs w:val="21"/>
              </w:rPr>
              <w:t>°</w:t>
            </w:r>
            <w:r>
              <w:rPr>
                <w:rFonts w:hint="eastAsia"/>
                <w:color w:val="000000" w:themeColor="text1"/>
                <w:sz w:val="21"/>
                <w:szCs w:val="21"/>
              </w:rPr>
              <w:t>60</w:t>
            </w:r>
            <w:r>
              <w:rPr>
                <w:color w:val="000000" w:themeColor="text1"/>
                <w:sz w:val="21"/>
                <w:szCs w:val="21"/>
              </w:rPr>
              <w:t>ʹ</w:t>
            </w:r>
            <w:r>
              <w:rPr>
                <w:rFonts w:hint="eastAsia"/>
                <w:color w:val="000000" w:themeColor="text1"/>
                <w:sz w:val="21"/>
                <w:szCs w:val="21"/>
              </w:rPr>
              <w:t>84.895</w:t>
            </w:r>
            <w:r>
              <w:rPr>
                <w:color w:val="000000" w:themeColor="text1"/>
                <w:sz w:val="21"/>
                <w:szCs w:val="21"/>
              </w:rPr>
              <w:t>ʺ</w:t>
            </w:r>
          </w:p>
        </w:tc>
        <w:tc>
          <w:tcPr>
            <w:tcW w:w="1421" w:type="dxa"/>
            <w:vAlign w:val="center"/>
          </w:tcPr>
          <w:p>
            <w:pPr>
              <w:spacing w:line="240" w:lineRule="auto"/>
              <w:ind w:firstLine="0" w:firstLineChars="0"/>
              <w:jc w:val="center"/>
              <w:rPr>
                <w:rFonts w:eastAsiaTheme="minorEastAsia"/>
                <w:color w:val="000000" w:themeColor="text1"/>
                <w:sz w:val="21"/>
                <w:szCs w:val="21"/>
              </w:rPr>
            </w:pPr>
            <w:r>
              <w:rPr>
                <w:rFonts w:hint="eastAsia"/>
                <w:color w:val="000000" w:themeColor="text1"/>
                <w:sz w:val="21"/>
                <w:szCs w:val="21"/>
              </w:rPr>
              <w:t>24</w:t>
            </w:r>
            <w:r>
              <w:rPr>
                <w:color w:val="000000" w:themeColor="text1"/>
                <w:sz w:val="21"/>
                <w:szCs w:val="21"/>
              </w:rPr>
              <w:t>°</w:t>
            </w:r>
            <w:r>
              <w:rPr>
                <w:rFonts w:hint="eastAsia"/>
                <w:color w:val="000000" w:themeColor="text1"/>
                <w:sz w:val="21"/>
                <w:szCs w:val="21"/>
              </w:rPr>
              <w:t>06</w:t>
            </w:r>
            <w:r>
              <w:rPr>
                <w:color w:val="000000" w:themeColor="text1"/>
                <w:sz w:val="21"/>
                <w:szCs w:val="21"/>
              </w:rPr>
              <w:t>ʹ</w:t>
            </w:r>
            <w:r>
              <w:rPr>
                <w:rFonts w:hint="eastAsia"/>
                <w:color w:val="000000" w:themeColor="text1"/>
                <w:sz w:val="21"/>
                <w:szCs w:val="21"/>
              </w:rPr>
              <w:t>75.795</w:t>
            </w:r>
            <w:r>
              <w:rPr>
                <w:color w:val="000000" w:themeColor="text1"/>
                <w:sz w:val="21"/>
                <w:szCs w:val="21"/>
              </w:rPr>
              <w:t>ʺ</w:t>
            </w:r>
          </w:p>
        </w:tc>
        <w:tc>
          <w:tcPr>
            <w:tcW w:w="1149"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687</w:t>
            </w:r>
          </w:p>
        </w:tc>
        <w:tc>
          <w:tcPr>
            <w:tcW w:w="1148"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东南面760m</w:t>
            </w:r>
          </w:p>
        </w:tc>
        <w:tc>
          <w:tcPr>
            <w:tcW w:w="1088"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无饮用功能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56"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w:t>
            </w:r>
          </w:p>
        </w:tc>
        <w:tc>
          <w:tcPr>
            <w:tcW w:w="1634" w:type="dxa"/>
            <w:vAlign w:val="center"/>
          </w:tcPr>
          <w:p>
            <w:pPr>
              <w:spacing w:line="240" w:lineRule="auto"/>
              <w:ind w:firstLine="0" w:firstLineChars="0"/>
              <w:jc w:val="center"/>
              <w:rPr>
                <w:rFonts w:eastAsiaTheme="minorEastAsia"/>
                <w:color w:val="000000" w:themeColor="text1"/>
                <w:sz w:val="21"/>
                <w:szCs w:val="21"/>
              </w:rPr>
            </w:pPr>
            <w:r>
              <w:rPr>
                <w:bCs/>
                <w:color w:val="000000" w:themeColor="text1"/>
                <w:sz w:val="21"/>
                <w:szCs w:val="21"/>
              </w:rPr>
              <w:t>水井</w:t>
            </w:r>
            <w:r>
              <w:rPr>
                <w:color w:val="000000" w:themeColor="text1"/>
                <w:sz w:val="21"/>
                <w:szCs w:val="21"/>
              </w:rPr>
              <w:t>J2</w:t>
            </w:r>
          </w:p>
        </w:tc>
        <w:tc>
          <w:tcPr>
            <w:tcW w:w="1526" w:type="dxa"/>
            <w:vAlign w:val="center"/>
          </w:tcPr>
          <w:p>
            <w:pPr>
              <w:spacing w:line="240" w:lineRule="auto"/>
              <w:ind w:firstLine="0" w:firstLineChars="0"/>
              <w:jc w:val="center"/>
              <w:rPr>
                <w:rFonts w:eastAsiaTheme="minorEastAsia"/>
                <w:color w:val="000000" w:themeColor="text1"/>
                <w:sz w:val="21"/>
                <w:szCs w:val="21"/>
              </w:rPr>
            </w:pPr>
            <w:r>
              <w:rPr>
                <w:rFonts w:hint="eastAsia"/>
                <w:color w:val="000000" w:themeColor="text1"/>
                <w:sz w:val="21"/>
                <w:szCs w:val="21"/>
              </w:rPr>
              <w:t>101</w:t>
            </w:r>
            <w:r>
              <w:rPr>
                <w:color w:val="000000" w:themeColor="text1"/>
                <w:sz w:val="21"/>
                <w:szCs w:val="21"/>
              </w:rPr>
              <w:t>°</w:t>
            </w:r>
            <w:r>
              <w:rPr>
                <w:rFonts w:hint="eastAsia"/>
                <w:color w:val="000000" w:themeColor="text1"/>
                <w:sz w:val="21"/>
                <w:szCs w:val="21"/>
              </w:rPr>
              <w:t>60</w:t>
            </w:r>
            <w:r>
              <w:rPr>
                <w:color w:val="000000" w:themeColor="text1"/>
                <w:sz w:val="21"/>
                <w:szCs w:val="21"/>
              </w:rPr>
              <w:t>ʹ</w:t>
            </w:r>
            <w:r>
              <w:rPr>
                <w:rFonts w:hint="eastAsia"/>
                <w:color w:val="000000" w:themeColor="text1"/>
                <w:sz w:val="21"/>
                <w:szCs w:val="21"/>
              </w:rPr>
              <w:t>43.696</w:t>
            </w:r>
            <w:r>
              <w:rPr>
                <w:color w:val="000000" w:themeColor="text1"/>
                <w:sz w:val="21"/>
                <w:szCs w:val="21"/>
              </w:rPr>
              <w:t>ʺ</w:t>
            </w:r>
          </w:p>
        </w:tc>
        <w:tc>
          <w:tcPr>
            <w:tcW w:w="1421" w:type="dxa"/>
            <w:vAlign w:val="center"/>
          </w:tcPr>
          <w:p>
            <w:pPr>
              <w:spacing w:line="240" w:lineRule="auto"/>
              <w:ind w:firstLine="0" w:firstLineChars="0"/>
              <w:jc w:val="center"/>
              <w:rPr>
                <w:rFonts w:eastAsiaTheme="minorEastAsia"/>
                <w:color w:val="000000" w:themeColor="text1"/>
                <w:sz w:val="21"/>
                <w:szCs w:val="21"/>
              </w:rPr>
            </w:pPr>
            <w:r>
              <w:rPr>
                <w:rFonts w:hint="eastAsia"/>
                <w:color w:val="000000" w:themeColor="text1"/>
                <w:sz w:val="21"/>
                <w:szCs w:val="21"/>
              </w:rPr>
              <w:t>24</w:t>
            </w:r>
            <w:r>
              <w:rPr>
                <w:color w:val="000000" w:themeColor="text1"/>
                <w:sz w:val="21"/>
                <w:szCs w:val="21"/>
              </w:rPr>
              <w:t>°</w:t>
            </w:r>
            <w:r>
              <w:rPr>
                <w:rFonts w:hint="eastAsia"/>
                <w:color w:val="000000" w:themeColor="text1"/>
                <w:sz w:val="21"/>
                <w:szCs w:val="21"/>
              </w:rPr>
              <w:t>07</w:t>
            </w:r>
            <w:r>
              <w:rPr>
                <w:color w:val="000000" w:themeColor="text1"/>
                <w:sz w:val="21"/>
                <w:szCs w:val="21"/>
              </w:rPr>
              <w:t>ʹ</w:t>
            </w:r>
            <w:r>
              <w:rPr>
                <w:rFonts w:hint="eastAsia"/>
                <w:color w:val="000000" w:themeColor="text1"/>
                <w:sz w:val="21"/>
                <w:szCs w:val="21"/>
              </w:rPr>
              <w:t>28.581</w:t>
            </w:r>
            <w:r>
              <w:rPr>
                <w:color w:val="000000" w:themeColor="text1"/>
                <w:sz w:val="21"/>
                <w:szCs w:val="21"/>
              </w:rPr>
              <w:t>ʺ</w:t>
            </w:r>
          </w:p>
        </w:tc>
        <w:tc>
          <w:tcPr>
            <w:tcW w:w="1149"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561</w:t>
            </w:r>
          </w:p>
        </w:tc>
        <w:tc>
          <w:tcPr>
            <w:tcW w:w="1148"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东侧200m</w:t>
            </w:r>
          </w:p>
        </w:tc>
        <w:tc>
          <w:tcPr>
            <w:tcW w:w="1088"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无饮用功能</w:t>
            </w:r>
          </w:p>
        </w:tc>
      </w:tr>
    </w:tbl>
    <w:p>
      <w:pPr>
        <w:ind w:firstLine="480"/>
        <w:rPr>
          <w:color w:val="000000" w:themeColor="text1"/>
          <w:szCs w:val="24"/>
        </w:rPr>
      </w:pPr>
      <w:r>
        <w:rPr>
          <w:rFonts w:eastAsiaTheme="minorEastAsia"/>
          <w:color w:val="000000" w:themeColor="text1"/>
        </w:rPr>
        <w:t>监测项目：</w:t>
      </w:r>
      <w:r>
        <w:rPr>
          <w:rFonts w:hint="eastAsia" w:eastAsiaTheme="minorEastAsia"/>
          <w:color w:val="000000" w:themeColor="text1"/>
        </w:rPr>
        <w:t>W1</w:t>
      </w:r>
      <w:r>
        <w:rPr>
          <w:rFonts w:eastAsiaTheme="minorEastAsia"/>
          <w:color w:val="000000" w:themeColor="text1"/>
        </w:rPr>
        <w:t>监测点：</w:t>
      </w:r>
      <w:r>
        <w:rPr>
          <w:color w:val="000000" w:themeColor="text1"/>
          <w:szCs w:val="24"/>
        </w:rPr>
        <w:t>pH、溶解性总固体、挥发酚、氟化物、氨氮、硝酸盐、硫酸盐、氰化物、耗氧量、亚硝酸盐、镉、铅、铁、锰、砷、汞、总硬度、氯化物、总大肠菌群、细菌总数、</w:t>
      </w:r>
      <w:r>
        <w:rPr>
          <w:color w:val="000000" w:themeColor="text1"/>
          <w:sz w:val="21"/>
          <w:szCs w:val="21"/>
        </w:rPr>
        <w:t>铬（六价）</w:t>
      </w:r>
      <w:r>
        <w:rPr>
          <w:color w:val="000000" w:themeColor="text1"/>
          <w:szCs w:val="24"/>
        </w:rPr>
        <w:t>，共21项。</w:t>
      </w:r>
    </w:p>
    <w:p>
      <w:pPr>
        <w:widowControl/>
        <w:spacing w:line="332" w:lineRule="auto"/>
        <w:ind w:firstLine="480"/>
        <w:rPr>
          <w:rFonts w:eastAsiaTheme="minorEastAsia"/>
          <w:color w:val="000000" w:themeColor="text1"/>
        </w:rPr>
      </w:pPr>
      <w:r>
        <w:rPr>
          <w:rFonts w:eastAsiaTheme="minorEastAsia"/>
          <w:color w:val="000000" w:themeColor="text1"/>
        </w:rPr>
        <w:t>J1和J2监测点：pH、氨氮、硝酸盐氮、亚硝酸盐氮、挥发性酚类、氰化物、砷、汞、六价铬、总硬度、铅、氟化物、镉、铁、锰、溶解性总固体、耗氧量、总大肠菌群数、菌落总数、铜、锌、铝、阴离子表面活性剂、硫化物、K</w:t>
      </w:r>
      <w:r>
        <w:rPr>
          <w:rFonts w:eastAsiaTheme="minorEastAsia"/>
          <w:color w:val="000000" w:themeColor="text1"/>
          <w:vertAlign w:val="superscript"/>
        </w:rPr>
        <w:t>+</w:t>
      </w:r>
      <w:r>
        <w:rPr>
          <w:rFonts w:eastAsiaTheme="minorEastAsia"/>
          <w:color w:val="000000" w:themeColor="text1"/>
        </w:rPr>
        <w:t>、Na</w:t>
      </w:r>
      <w:r>
        <w:rPr>
          <w:rFonts w:eastAsiaTheme="minorEastAsia"/>
          <w:color w:val="000000" w:themeColor="text1"/>
          <w:vertAlign w:val="superscript"/>
        </w:rPr>
        <w:t>+</w:t>
      </w:r>
      <w:r>
        <w:rPr>
          <w:rFonts w:eastAsiaTheme="minorEastAsia"/>
          <w:color w:val="000000" w:themeColor="text1"/>
        </w:rPr>
        <w:t>、</w:t>
      </w:r>
    </w:p>
    <w:p>
      <w:pPr>
        <w:widowControl/>
        <w:spacing w:line="332" w:lineRule="auto"/>
        <w:ind w:left="720" w:hanging="720" w:hangingChars="300"/>
        <w:rPr>
          <w:color w:val="000000" w:themeColor="text1"/>
        </w:rPr>
      </w:pPr>
      <w:r>
        <w:rPr>
          <w:rFonts w:eastAsiaTheme="minorEastAsia"/>
          <w:color w:val="000000" w:themeColor="text1"/>
        </w:rPr>
        <w:t>Ca</w:t>
      </w:r>
      <w:r>
        <w:rPr>
          <w:rFonts w:eastAsiaTheme="minorEastAsia"/>
          <w:color w:val="000000" w:themeColor="text1"/>
          <w:vertAlign w:val="superscript"/>
        </w:rPr>
        <w:t>2+</w:t>
      </w:r>
      <w:r>
        <w:rPr>
          <w:rFonts w:eastAsiaTheme="minorEastAsia"/>
          <w:color w:val="000000" w:themeColor="text1"/>
        </w:rPr>
        <w:t>、M</w:t>
      </w:r>
      <w:r>
        <w:rPr>
          <w:rFonts w:hint="eastAsia" w:eastAsiaTheme="minorEastAsia"/>
          <w:color w:val="000000" w:themeColor="text1"/>
        </w:rPr>
        <w:t>DA002</w:t>
      </w:r>
      <w:r>
        <w:rPr>
          <w:rFonts w:eastAsiaTheme="minorEastAsia"/>
          <w:color w:val="000000" w:themeColor="text1"/>
          <w:vertAlign w:val="superscript"/>
        </w:rPr>
        <w:t>+</w:t>
      </w:r>
      <w:r>
        <w:rPr>
          <w:rFonts w:eastAsiaTheme="minorEastAsia"/>
          <w:color w:val="000000" w:themeColor="text1"/>
        </w:rPr>
        <w:t>、CO</w:t>
      </w:r>
      <w:r>
        <w:rPr>
          <w:rFonts w:eastAsiaTheme="minorEastAsia"/>
          <w:color w:val="000000" w:themeColor="text1"/>
          <w:vertAlign w:val="subscript"/>
        </w:rPr>
        <w:t>3</w:t>
      </w:r>
      <w:r>
        <w:rPr>
          <w:rFonts w:eastAsiaTheme="minorEastAsia"/>
          <w:color w:val="000000" w:themeColor="text1"/>
          <w:vertAlign w:val="superscript"/>
        </w:rPr>
        <w:t>2-</w:t>
      </w:r>
      <w:r>
        <w:rPr>
          <w:rFonts w:eastAsiaTheme="minorEastAsia"/>
          <w:color w:val="000000" w:themeColor="text1"/>
        </w:rPr>
        <w:t>、HCO</w:t>
      </w:r>
      <w:r>
        <w:rPr>
          <w:rFonts w:eastAsiaTheme="minorEastAsia"/>
          <w:color w:val="000000" w:themeColor="text1"/>
          <w:vertAlign w:val="superscript"/>
        </w:rPr>
        <w:t>3-</w:t>
      </w:r>
      <w:r>
        <w:rPr>
          <w:rFonts w:eastAsiaTheme="minorEastAsia"/>
          <w:color w:val="000000" w:themeColor="text1"/>
        </w:rPr>
        <w:t>、Cl</w:t>
      </w:r>
      <w:r>
        <w:rPr>
          <w:rFonts w:eastAsiaTheme="minorEastAsia"/>
          <w:color w:val="000000" w:themeColor="text1"/>
          <w:vertAlign w:val="superscript"/>
        </w:rPr>
        <w:t>-</w:t>
      </w:r>
      <w:r>
        <w:rPr>
          <w:rFonts w:eastAsiaTheme="minorEastAsia"/>
          <w:color w:val="000000" w:themeColor="text1"/>
        </w:rPr>
        <w:t>、SO4</w:t>
      </w:r>
      <w:r>
        <w:rPr>
          <w:rFonts w:eastAsiaTheme="minorEastAsia"/>
          <w:color w:val="000000" w:themeColor="text1"/>
          <w:vertAlign w:val="superscript"/>
        </w:rPr>
        <w:t>2-</w:t>
      </w:r>
      <w:r>
        <w:rPr>
          <w:rFonts w:eastAsiaTheme="minorEastAsia"/>
          <w:color w:val="000000" w:themeColor="text1"/>
        </w:rPr>
        <w:t>，共32项。</w:t>
      </w:r>
    </w:p>
    <w:p>
      <w:pPr>
        <w:ind w:firstLine="480"/>
        <w:rPr>
          <w:rFonts w:eastAsiaTheme="minorEastAsia"/>
          <w:color w:val="000000" w:themeColor="text1"/>
          <w:szCs w:val="24"/>
        </w:rPr>
      </w:pPr>
      <w:r>
        <w:rPr>
          <w:rFonts w:eastAsiaTheme="minorEastAsia"/>
          <w:color w:val="000000" w:themeColor="text1"/>
        </w:rPr>
        <w:t>监测时间及频率：</w:t>
      </w:r>
      <w:r>
        <w:rPr>
          <w:rFonts w:hint="eastAsia" w:eastAsiaTheme="minorEastAsia"/>
          <w:color w:val="000000" w:themeColor="text1"/>
        </w:rPr>
        <w:t>W1</w:t>
      </w:r>
      <w:r>
        <w:rPr>
          <w:rFonts w:eastAsiaTheme="minorEastAsia"/>
          <w:color w:val="000000" w:themeColor="text1"/>
        </w:rPr>
        <w:t>监测时间：2019年8月25日~27日连续监测3天，每天取样1次。J1和J2监测时间：2021年1月17日至18日，连续监测2天，每天取样1次。</w:t>
      </w:r>
    </w:p>
    <w:p>
      <w:pPr>
        <w:ind w:firstLine="480"/>
        <w:rPr>
          <w:rFonts w:eastAsiaTheme="minorEastAsia"/>
          <w:color w:val="000000" w:themeColor="text1"/>
          <w:szCs w:val="24"/>
        </w:rPr>
      </w:pPr>
      <w:r>
        <w:rPr>
          <w:rFonts w:eastAsiaTheme="minorEastAsia"/>
          <w:color w:val="000000" w:themeColor="text1"/>
        </w:rPr>
        <w:t>监测及分析方法：按照《地下水环境质量标准》（GB/T14848-2017）有关取样分析方法进行。</w:t>
      </w:r>
    </w:p>
    <w:p>
      <w:pPr>
        <w:ind w:firstLine="480"/>
        <w:rPr>
          <w:rFonts w:eastAsiaTheme="minorEastAsia"/>
          <w:color w:val="000000" w:themeColor="text1"/>
        </w:rPr>
      </w:pPr>
      <w:r>
        <w:rPr>
          <w:rFonts w:eastAsiaTheme="minorEastAsia"/>
          <w:color w:val="000000" w:themeColor="text1"/>
        </w:rPr>
        <w:t>2、评价标准</w:t>
      </w:r>
    </w:p>
    <w:p>
      <w:pPr>
        <w:ind w:firstLine="480"/>
        <w:rPr>
          <w:rFonts w:eastAsiaTheme="minorEastAsia"/>
          <w:color w:val="000000" w:themeColor="text1"/>
        </w:rPr>
      </w:pPr>
      <w:r>
        <w:rPr>
          <w:rFonts w:eastAsiaTheme="minorEastAsia"/>
          <w:color w:val="000000" w:themeColor="text1"/>
        </w:rPr>
        <w:t>根据标准确认函，地下水执行《地下水质量标准》（GB/T14848-2017）Ⅲ类标准。</w:t>
      </w:r>
    </w:p>
    <w:p>
      <w:pPr>
        <w:ind w:firstLine="480"/>
        <w:rPr>
          <w:rFonts w:eastAsiaTheme="minorEastAsia"/>
          <w:color w:val="000000" w:themeColor="text1"/>
        </w:rPr>
      </w:pPr>
      <w:r>
        <w:rPr>
          <w:rFonts w:eastAsiaTheme="minorEastAsia"/>
          <w:color w:val="000000" w:themeColor="text1"/>
        </w:rPr>
        <w:t>3、评价方法</w:t>
      </w:r>
    </w:p>
    <w:p>
      <w:pPr>
        <w:ind w:firstLine="480"/>
        <w:rPr>
          <w:rFonts w:eastAsiaTheme="minorEastAsia"/>
          <w:color w:val="000000" w:themeColor="text1"/>
        </w:rPr>
      </w:pPr>
      <w:r>
        <w:rPr>
          <w:rFonts w:eastAsiaTheme="minorEastAsia"/>
          <w:color w:val="000000" w:themeColor="text1"/>
        </w:rPr>
        <w:t>评价方法采用标准指数法进行评价，计算公式见地表水环境评价。</w:t>
      </w:r>
    </w:p>
    <w:p>
      <w:pPr>
        <w:ind w:firstLine="480"/>
        <w:rPr>
          <w:rFonts w:eastAsiaTheme="minorEastAsia"/>
          <w:color w:val="000000" w:themeColor="text1"/>
        </w:rPr>
      </w:pPr>
      <w:r>
        <w:rPr>
          <w:rFonts w:eastAsiaTheme="minorEastAsia"/>
          <w:color w:val="000000" w:themeColor="text1"/>
        </w:rPr>
        <w:t>4、监测分析方法</w:t>
      </w:r>
    </w:p>
    <w:p>
      <w:pPr>
        <w:ind w:firstLine="480"/>
        <w:rPr>
          <w:rFonts w:eastAsiaTheme="minorEastAsia"/>
          <w:b/>
          <w:bCs/>
          <w:color w:val="000000" w:themeColor="text1"/>
          <w:sz w:val="21"/>
          <w:szCs w:val="20"/>
        </w:rPr>
      </w:pPr>
      <w:r>
        <w:rPr>
          <w:rFonts w:eastAsiaTheme="minorEastAsia"/>
          <w:color w:val="000000" w:themeColor="text1"/>
        </w:rPr>
        <w:t>采用的监测分析方法见表5.2-</w:t>
      </w:r>
      <w:r>
        <w:rPr>
          <w:rFonts w:hint="eastAsia" w:eastAsiaTheme="minorEastAsia"/>
          <w:color w:val="000000" w:themeColor="text1"/>
        </w:rPr>
        <w:t>9</w:t>
      </w:r>
      <w:r>
        <w:rPr>
          <w:rFonts w:eastAsiaTheme="minorEastAsia"/>
          <w:color w:val="000000" w:themeColor="text1"/>
        </w:rPr>
        <w:t>。</w:t>
      </w:r>
    </w:p>
    <w:p>
      <w:pPr>
        <w:adjustRightInd w:val="0"/>
        <w:snapToGrid w:val="0"/>
        <w:ind w:firstLine="0" w:firstLineChars="0"/>
        <w:jc w:val="center"/>
        <w:textAlignment w:val="baseline"/>
        <w:rPr>
          <w:rFonts w:eastAsiaTheme="minorEastAsia"/>
          <w:b/>
          <w:bCs/>
          <w:color w:val="000000" w:themeColor="text1"/>
          <w:sz w:val="21"/>
          <w:szCs w:val="20"/>
        </w:rPr>
      </w:pPr>
      <w:r>
        <w:rPr>
          <w:rFonts w:eastAsiaTheme="minorEastAsia"/>
          <w:b/>
          <w:bCs/>
          <w:color w:val="000000" w:themeColor="text1"/>
          <w:sz w:val="21"/>
          <w:szCs w:val="20"/>
        </w:rPr>
        <w:t>表5.2-</w:t>
      </w:r>
      <w:r>
        <w:rPr>
          <w:rFonts w:hint="eastAsia" w:eastAsiaTheme="minorEastAsia"/>
          <w:b/>
          <w:bCs/>
          <w:color w:val="000000" w:themeColor="text1"/>
          <w:sz w:val="21"/>
          <w:szCs w:val="20"/>
        </w:rPr>
        <w:t>9</w:t>
      </w:r>
      <w:r>
        <w:rPr>
          <w:rFonts w:eastAsiaTheme="minorEastAsia"/>
          <w:b/>
          <w:bCs/>
          <w:color w:val="000000" w:themeColor="text1"/>
          <w:sz w:val="21"/>
          <w:szCs w:val="20"/>
        </w:rPr>
        <w:t>监测分析方法</w:t>
      </w:r>
    </w:p>
    <w:tbl>
      <w:tblPr>
        <w:tblStyle w:val="61"/>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6"/>
        <w:gridCol w:w="3820"/>
        <w:gridCol w:w="1950"/>
        <w:gridCol w:w="12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4" w:hRule="atLeast"/>
          <w:tblHeader/>
          <w:jc w:val="center"/>
        </w:trPr>
        <w:tc>
          <w:tcPr>
            <w:tcW w:w="148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监测项目</w:t>
            </w:r>
          </w:p>
        </w:tc>
        <w:tc>
          <w:tcPr>
            <w:tcW w:w="382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分析方法</w:t>
            </w:r>
          </w:p>
        </w:tc>
        <w:tc>
          <w:tcPr>
            <w:tcW w:w="19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标准编号</w:t>
            </w:r>
          </w:p>
        </w:tc>
        <w:tc>
          <w:tcPr>
            <w:tcW w:w="126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6" w:hRule="atLeast"/>
          <w:jc w:val="center"/>
        </w:trPr>
        <w:tc>
          <w:tcPr>
            <w:tcW w:w="148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pH</w:t>
            </w:r>
          </w:p>
        </w:tc>
        <w:tc>
          <w:tcPr>
            <w:tcW w:w="382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sz w:val="21"/>
                <w:szCs w:val="21"/>
              </w:rPr>
              <w:t>pH值的测定</w:t>
            </w:r>
            <w:r>
              <w:rPr>
                <w:rFonts w:eastAsiaTheme="minorEastAsia"/>
                <w:color w:val="000000" w:themeColor="text1"/>
                <w:kern w:val="24"/>
                <w:sz w:val="21"/>
                <w:szCs w:val="21"/>
              </w:rPr>
              <w:t>玻璃电极法</w:t>
            </w:r>
          </w:p>
        </w:tc>
        <w:tc>
          <w:tcPr>
            <w:tcW w:w="19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GB6920-1986</w:t>
            </w:r>
          </w:p>
        </w:tc>
        <w:tc>
          <w:tcPr>
            <w:tcW w:w="126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总硬度</w:t>
            </w:r>
          </w:p>
        </w:tc>
        <w:tc>
          <w:tcPr>
            <w:tcW w:w="3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bCs/>
                <w:color w:val="000000" w:themeColor="text1"/>
                <w:sz w:val="21"/>
                <w:szCs w:val="21"/>
              </w:rPr>
              <w:t>水质钙和镁的总量测定EDTA滴定法</w:t>
            </w:r>
          </w:p>
        </w:tc>
        <w:tc>
          <w:tcPr>
            <w:tcW w:w="195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GB7477-1987</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溶解性总固体</w:t>
            </w:r>
          </w:p>
        </w:tc>
        <w:tc>
          <w:tcPr>
            <w:tcW w:w="3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《水和废水监测分析方法》（第四版增补版）重量法</w:t>
            </w:r>
          </w:p>
        </w:tc>
        <w:tc>
          <w:tcPr>
            <w:tcW w:w="1950"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rPr>
              <w:t>GB/T5750.4-2006</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高锰酸盐指数</w:t>
            </w:r>
          </w:p>
        </w:tc>
        <w:tc>
          <w:tcPr>
            <w:tcW w:w="382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sz w:val="21"/>
                <w:szCs w:val="21"/>
              </w:rPr>
              <w:t>水质高锰酸盐指数的测定酸滴定法</w:t>
            </w:r>
          </w:p>
        </w:tc>
        <w:tc>
          <w:tcPr>
            <w:tcW w:w="19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GB11892-1989</w:t>
            </w:r>
          </w:p>
        </w:tc>
        <w:tc>
          <w:tcPr>
            <w:tcW w:w="126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硝酸盐氮</w:t>
            </w:r>
          </w:p>
        </w:tc>
        <w:tc>
          <w:tcPr>
            <w:tcW w:w="3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水质硝酸盐氮的测定紫外分光光度法（试行）</w:t>
            </w:r>
          </w:p>
        </w:tc>
        <w:tc>
          <w:tcPr>
            <w:tcW w:w="19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HJ/T346-2007</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0.08mg/L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亚硝酸盐</w:t>
            </w:r>
          </w:p>
        </w:tc>
        <w:tc>
          <w:tcPr>
            <w:tcW w:w="3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水质标准检验方法</w:t>
            </w:r>
            <w:r>
              <w:rPr>
                <w:rFonts w:eastAsiaTheme="minorEastAsia"/>
                <w:color w:val="000000" w:themeColor="text1"/>
                <w:sz w:val="21"/>
                <w:szCs w:val="21"/>
              </w:rPr>
              <w:tab/>
            </w:r>
            <w:r>
              <w:rPr>
                <w:rFonts w:eastAsiaTheme="minorEastAsia"/>
                <w:color w:val="000000" w:themeColor="text1"/>
                <w:sz w:val="21"/>
                <w:szCs w:val="21"/>
              </w:rPr>
              <w:t>无机非金属指标重氮偶合分光光度法</w:t>
            </w:r>
          </w:p>
        </w:tc>
        <w:tc>
          <w:tcPr>
            <w:tcW w:w="19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color w:val="000000" w:themeColor="text1"/>
                <w:sz w:val="21"/>
              </w:rPr>
              <w:t>GB/T5750.5-2006</w:t>
            </w:r>
          </w:p>
        </w:tc>
        <w:tc>
          <w:tcPr>
            <w:tcW w:w="1266" w:type="dxa"/>
            <w:vAlign w:val="center"/>
          </w:tcPr>
          <w:p>
            <w:pPr>
              <w:spacing w:line="240" w:lineRule="auto"/>
              <w:ind w:firstLine="0" w:firstLineChars="0"/>
              <w:jc w:val="center"/>
              <w:rPr>
                <w:rFonts w:eastAsiaTheme="minorEastAsia"/>
                <w:color w:val="000000" w:themeColor="text1"/>
                <w:sz w:val="21"/>
                <w:szCs w:val="21"/>
              </w:rPr>
            </w:pPr>
            <w:r>
              <w:rPr>
                <w:color w:val="000000" w:themeColor="text1"/>
                <w:spacing w:val="-1"/>
                <w:sz w:val="21"/>
              </w:rPr>
              <w:t>0.001mg/L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硫酸盐</w:t>
            </w:r>
          </w:p>
        </w:tc>
        <w:tc>
          <w:tcPr>
            <w:tcW w:w="3820"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szCs w:val="21"/>
              </w:rPr>
              <w:t>水质标准检验方法无机非金属指标紫外分光光度法</w:t>
            </w:r>
          </w:p>
        </w:tc>
        <w:tc>
          <w:tcPr>
            <w:tcW w:w="19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color w:val="000000" w:themeColor="text1"/>
                <w:sz w:val="21"/>
              </w:rPr>
              <w:t>GB/T5750.5-2006</w:t>
            </w:r>
          </w:p>
        </w:tc>
        <w:tc>
          <w:tcPr>
            <w:tcW w:w="1266"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rPr>
              <w:t>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挥发酚</w:t>
            </w:r>
          </w:p>
        </w:tc>
        <w:tc>
          <w:tcPr>
            <w:tcW w:w="3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水质挥发酚的测定4-氨基安替比林分光光度法</w:t>
            </w:r>
          </w:p>
        </w:tc>
        <w:tc>
          <w:tcPr>
            <w:tcW w:w="19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HJ503-2009</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氟化物</w:t>
            </w:r>
          </w:p>
        </w:tc>
        <w:tc>
          <w:tcPr>
            <w:tcW w:w="3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水质氟化物的测定离子选择电极法</w:t>
            </w:r>
          </w:p>
        </w:tc>
        <w:tc>
          <w:tcPr>
            <w:tcW w:w="19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GB7484-1987</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氰化物</w:t>
            </w:r>
          </w:p>
        </w:tc>
        <w:tc>
          <w:tcPr>
            <w:tcW w:w="3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水质氰化物的测定容量法和分光光度法</w:t>
            </w:r>
          </w:p>
        </w:tc>
        <w:tc>
          <w:tcPr>
            <w:tcW w:w="19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HJ484-2009</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氯化物</w:t>
            </w:r>
          </w:p>
        </w:tc>
        <w:tc>
          <w:tcPr>
            <w:tcW w:w="3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水质氯化物的测定硝酸银滴定法</w:t>
            </w:r>
          </w:p>
        </w:tc>
        <w:tc>
          <w:tcPr>
            <w:tcW w:w="19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GB11896-1989</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氨氮</w:t>
            </w:r>
          </w:p>
        </w:tc>
        <w:tc>
          <w:tcPr>
            <w:tcW w:w="3820" w:type="dxa"/>
            <w:vAlign w:val="center"/>
          </w:tcPr>
          <w:p>
            <w:pPr>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sz w:val="21"/>
                <w:szCs w:val="21"/>
              </w:rPr>
              <w:t>水质氨的测定</w:t>
            </w:r>
            <w:r>
              <w:rPr>
                <w:rFonts w:eastAsiaTheme="minorEastAsia"/>
                <w:color w:val="000000" w:themeColor="text1"/>
                <w:kern w:val="24"/>
                <w:sz w:val="21"/>
                <w:szCs w:val="21"/>
              </w:rPr>
              <w:t>纳氏试剂分光光度法</w:t>
            </w:r>
          </w:p>
        </w:tc>
        <w:tc>
          <w:tcPr>
            <w:tcW w:w="19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HJ535-2009</w:t>
            </w:r>
          </w:p>
        </w:tc>
        <w:tc>
          <w:tcPr>
            <w:tcW w:w="126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挥发酚</w:t>
            </w:r>
          </w:p>
        </w:tc>
        <w:tc>
          <w:tcPr>
            <w:tcW w:w="3820" w:type="dxa"/>
            <w:vAlign w:val="center"/>
          </w:tcPr>
          <w:p>
            <w:pPr>
              <w:spacing w:line="240" w:lineRule="auto"/>
              <w:ind w:firstLine="0" w:firstLineChars="0"/>
              <w:jc w:val="center"/>
              <w:rPr>
                <w:rFonts w:eastAsiaTheme="minorEastAsia"/>
                <w:color w:val="000000" w:themeColor="text1"/>
                <w:szCs w:val="21"/>
              </w:rPr>
            </w:pPr>
            <w:r>
              <w:rPr>
                <w:rFonts w:eastAsiaTheme="minorEastAsia"/>
                <w:color w:val="000000" w:themeColor="text1"/>
                <w:sz w:val="21"/>
                <w:szCs w:val="21"/>
              </w:rPr>
              <w:t>水质挥发酚的测定4-氨基安替比林分光光度法</w:t>
            </w:r>
          </w:p>
        </w:tc>
        <w:tc>
          <w:tcPr>
            <w:tcW w:w="19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HJ503-2009</w:t>
            </w:r>
          </w:p>
        </w:tc>
        <w:tc>
          <w:tcPr>
            <w:tcW w:w="126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0.0003mg/L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总大肠菌群</w:t>
            </w:r>
          </w:p>
        </w:tc>
        <w:tc>
          <w:tcPr>
            <w:tcW w:w="3820" w:type="dxa"/>
            <w:vAlign w:val="center"/>
          </w:tcPr>
          <w:p>
            <w:pPr>
              <w:adjustRightInd w:val="0"/>
              <w:snapToGrid w:val="0"/>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sz w:val="21"/>
                <w:szCs w:val="21"/>
              </w:rPr>
              <w:t>生活饮用水标准检验方法微生物指标（多管发酵法）</w:t>
            </w:r>
          </w:p>
        </w:tc>
        <w:tc>
          <w:tcPr>
            <w:tcW w:w="1950" w:type="dxa"/>
            <w:vAlign w:val="center"/>
          </w:tcPr>
          <w:p>
            <w:pPr>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sz w:val="21"/>
                <w:szCs w:val="21"/>
              </w:rPr>
              <w:t>GB/T5750.12-2006</w:t>
            </w:r>
          </w:p>
        </w:tc>
        <w:tc>
          <w:tcPr>
            <w:tcW w:w="126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kern w:val="24"/>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铅</w:t>
            </w:r>
          </w:p>
        </w:tc>
        <w:tc>
          <w:tcPr>
            <w:tcW w:w="3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《水和废水监测分析方法》（第四版增补版）石墨炉原子吸收法</w:t>
            </w:r>
          </w:p>
        </w:tc>
        <w:tc>
          <w:tcPr>
            <w:tcW w:w="1950"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rPr>
              <w:t>GB/T5750.6-2006</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镉</w:t>
            </w:r>
          </w:p>
        </w:tc>
        <w:tc>
          <w:tcPr>
            <w:tcW w:w="3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《水和废水监测分析方法》（第四版增补版）石墨炉原子吸收法</w:t>
            </w:r>
          </w:p>
        </w:tc>
        <w:tc>
          <w:tcPr>
            <w:tcW w:w="1950"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rPr>
              <w:t>GB/T5750.6-2006</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铁</w:t>
            </w:r>
          </w:p>
        </w:tc>
        <w:tc>
          <w:tcPr>
            <w:tcW w:w="3820" w:type="dxa"/>
            <w:vAlign w:val="center"/>
          </w:tcPr>
          <w:p>
            <w:pPr>
              <w:spacing w:line="240" w:lineRule="auto"/>
              <w:ind w:firstLine="0" w:firstLineChars="0"/>
              <w:jc w:val="center"/>
              <w:rPr>
                <w:color w:val="000000" w:themeColor="text1"/>
                <w:sz w:val="21"/>
                <w:szCs w:val="21"/>
              </w:rPr>
            </w:pPr>
            <w:r>
              <w:rPr>
                <w:color w:val="000000" w:themeColor="text1"/>
                <w:sz w:val="21"/>
                <w:szCs w:val="21"/>
              </w:rPr>
              <w:t>电感耦合等离子发射光谱法</w:t>
            </w:r>
          </w:p>
          <w:p>
            <w:pPr>
              <w:spacing w:line="240" w:lineRule="auto"/>
              <w:ind w:firstLine="0" w:firstLineChars="0"/>
              <w:jc w:val="center"/>
              <w:rPr>
                <w:color w:val="000000" w:themeColor="text1"/>
                <w:sz w:val="21"/>
                <w:szCs w:val="21"/>
              </w:rPr>
            </w:pPr>
            <w:r>
              <w:rPr>
                <w:color w:val="000000" w:themeColor="text1"/>
                <w:sz w:val="21"/>
                <w:szCs w:val="21"/>
              </w:rPr>
              <w:t>《水和废水监测分析方法》（第四版）</w:t>
            </w:r>
          </w:p>
          <w:p>
            <w:pPr>
              <w:spacing w:line="240" w:lineRule="auto"/>
              <w:ind w:firstLine="0" w:firstLineChars="0"/>
              <w:jc w:val="center"/>
              <w:rPr>
                <w:rFonts w:eastAsiaTheme="minorEastAsia"/>
                <w:color w:val="000000" w:themeColor="text1"/>
                <w:sz w:val="21"/>
                <w:szCs w:val="21"/>
              </w:rPr>
            </w:pPr>
            <w:r>
              <w:rPr>
                <w:color w:val="000000" w:themeColor="text1"/>
                <w:sz w:val="21"/>
                <w:szCs w:val="21"/>
              </w:rPr>
              <w:t>国家环境保护局(2002)</w:t>
            </w:r>
          </w:p>
        </w:tc>
        <w:tc>
          <w:tcPr>
            <w:tcW w:w="195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锰</w:t>
            </w:r>
          </w:p>
        </w:tc>
        <w:tc>
          <w:tcPr>
            <w:tcW w:w="3820" w:type="dxa"/>
            <w:vAlign w:val="center"/>
          </w:tcPr>
          <w:p>
            <w:pPr>
              <w:spacing w:line="240" w:lineRule="auto"/>
              <w:ind w:firstLine="0" w:firstLineChars="0"/>
              <w:jc w:val="center"/>
              <w:rPr>
                <w:color w:val="000000" w:themeColor="text1"/>
                <w:sz w:val="21"/>
                <w:szCs w:val="21"/>
              </w:rPr>
            </w:pPr>
            <w:r>
              <w:rPr>
                <w:color w:val="000000" w:themeColor="text1"/>
                <w:sz w:val="21"/>
                <w:szCs w:val="21"/>
              </w:rPr>
              <w:t>电感耦合等离子发射光谱法</w:t>
            </w:r>
          </w:p>
          <w:p>
            <w:pPr>
              <w:spacing w:line="240" w:lineRule="auto"/>
              <w:ind w:firstLine="0" w:firstLineChars="0"/>
              <w:jc w:val="center"/>
              <w:rPr>
                <w:color w:val="000000" w:themeColor="text1"/>
                <w:sz w:val="21"/>
                <w:szCs w:val="21"/>
              </w:rPr>
            </w:pPr>
            <w:r>
              <w:rPr>
                <w:color w:val="000000" w:themeColor="text1"/>
                <w:sz w:val="21"/>
                <w:szCs w:val="21"/>
              </w:rPr>
              <w:t>《水和废水监测分析方法》（第四版）</w:t>
            </w:r>
          </w:p>
          <w:p>
            <w:pPr>
              <w:spacing w:line="240" w:lineRule="auto"/>
              <w:ind w:firstLine="0" w:firstLineChars="0"/>
              <w:jc w:val="center"/>
              <w:rPr>
                <w:rFonts w:eastAsiaTheme="minorEastAsia"/>
                <w:color w:val="000000" w:themeColor="text1"/>
                <w:sz w:val="21"/>
                <w:szCs w:val="21"/>
              </w:rPr>
            </w:pPr>
            <w:r>
              <w:rPr>
                <w:color w:val="000000" w:themeColor="text1"/>
                <w:sz w:val="21"/>
                <w:szCs w:val="21"/>
              </w:rPr>
              <w:t>国家环境保护局(2002)</w:t>
            </w:r>
          </w:p>
        </w:tc>
        <w:tc>
          <w:tcPr>
            <w:tcW w:w="195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铜</w:t>
            </w:r>
          </w:p>
        </w:tc>
        <w:tc>
          <w:tcPr>
            <w:tcW w:w="3820" w:type="dxa"/>
            <w:vAlign w:val="center"/>
          </w:tcPr>
          <w:p>
            <w:pPr>
              <w:spacing w:line="240" w:lineRule="auto"/>
              <w:ind w:firstLine="0" w:firstLineChars="0"/>
              <w:jc w:val="center"/>
              <w:rPr>
                <w:color w:val="000000" w:themeColor="text1"/>
                <w:sz w:val="21"/>
                <w:szCs w:val="21"/>
              </w:rPr>
            </w:pPr>
            <w:r>
              <w:rPr>
                <w:color w:val="000000" w:themeColor="text1"/>
                <w:sz w:val="21"/>
                <w:szCs w:val="21"/>
              </w:rPr>
              <w:t>电感耦合等离子发射光谱法</w:t>
            </w:r>
          </w:p>
          <w:p>
            <w:pPr>
              <w:spacing w:line="240" w:lineRule="auto"/>
              <w:ind w:firstLine="0" w:firstLineChars="0"/>
              <w:jc w:val="center"/>
              <w:rPr>
                <w:color w:val="000000" w:themeColor="text1"/>
                <w:sz w:val="21"/>
                <w:szCs w:val="21"/>
              </w:rPr>
            </w:pPr>
            <w:r>
              <w:rPr>
                <w:color w:val="000000" w:themeColor="text1"/>
                <w:sz w:val="21"/>
                <w:szCs w:val="21"/>
              </w:rPr>
              <w:t>《水和废水监测分析方法》（第四版）</w:t>
            </w:r>
          </w:p>
          <w:p>
            <w:pPr>
              <w:spacing w:line="240" w:lineRule="auto"/>
              <w:ind w:firstLine="0" w:firstLineChars="0"/>
              <w:jc w:val="center"/>
              <w:rPr>
                <w:rFonts w:eastAsiaTheme="minorEastAsia"/>
                <w:color w:val="000000" w:themeColor="text1"/>
                <w:sz w:val="21"/>
                <w:szCs w:val="21"/>
              </w:rPr>
            </w:pPr>
            <w:r>
              <w:rPr>
                <w:color w:val="000000" w:themeColor="text1"/>
                <w:sz w:val="21"/>
                <w:szCs w:val="21"/>
              </w:rPr>
              <w:t>国家环境保护局(2002)</w:t>
            </w:r>
          </w:p>
        </w:tc>
        <w:tc>
          <w:tcPr>
            <w:tcW w:w="195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锌</w:t>
            </w:r>
          </w:p>
        </w:tc>
        <w:tc>
          <w:tcPr>
            <w:tcW w:w="3820" w:type="dxa"/>
            <w:vAlign w:val="center"/>
          </w:tcPr>
          <w:p>
            <w:pPr>
              <w:spacing w:line="240" w:lineRule="auto"/>
              <w:ind w:firstLine="0" w:firstLineChars="0"/>
              <w:jc w:val="center"/>
              <w:rPr>
                <w:color w:val="000000" w:themeColor="text1"/>
                <w:sz w:val="21"/>
                <w:szCs w:val="21"/>
              </w:rPr>
            </w:pPr>
            <w:r>
              <w:rPr>
                <w:color w:val="000000" w:themeColor="text1"/>
                <w:sz w:val="21"/>
                <w:szCs w:val="21"/>
              </w:rPr>
              <w:t>电感耦合等离子发射光谱法</w:t>
            </w:r>
          </w:p>
          <w:p>
            <w:pPr>
              <w:spacing w:line="240" w:lineRule="auto"/>
              <w:ind w:firstLine="0" w:firstLineChars="0"/>
              <w:jc w:val="center"/>
              <w:rPr>
                <w:color w:val="000000" w:themeColor="text1"/>
                <w:sz w:val="21"/>
                <w:szCs w:val="21"/>
              </w:rPr>
            </w:pPr>
            <w:r>
              <w:rPr>
                <w:color w:val="000000" w:themeColor="text1"/>
                <w:sz w:val="21"/>
                <w:szCs w:val="21"/>
              </w:rPr>
              <w:t>《水和废水监测分析方法》（第四版）</w:t>
            </w:r>
          </w:p>
          <w:p>
            <w:pPr>
              <w:spacing w:line="240" w:lineRule="auto"/>
              <w:ind w:firstLine="0" w:firstLineChars="0"/>
              <w:jc w:val="center"/>
              <w:rPr>
                <w:rFonts w:eastAsiaTheme="minorEastAsia"/>
                <w:color w:val="000000" w:themeColor="text1"/>
                <w:sz w:val="21"/>
                <w:szCs w:val="21"/>
              </w:rPr>
            </w:pPr>
            <w:r>
              <w:rPr>
                <w:color w:val="000000" w:themeColor="text1"/>
                <w:sz w:val="21"/>
                <w:szCs w:val="21"/>
              </w:rPr>
              <w:t>国家环境保护局(2002)</w:t>
            </w:r>
          </w:p>
        </w:tc>
        <w:tc>
          <w:tcPr>
            <w:tcW w:w="195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0.006mg/L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溶解性总固体</w:t>
            </w:r>
          </w:p>
        </w:tc>
        <w:tc>
          <w:tcPr>
            <w:tcW w:w="3820" w:type="dxa"/>
            <w:vAlign w:val="center"/>
          </w:tcPr>
          <w:p>
            <w:pPr>
              <w:spacing w:line="240" w:lineRule="auto"/>
              <w:ind w:firstLine="0" w:firstLineChars="0"/>
              <w:jc w:val="center"/>
              <w:rPr>
                <w:color w:val="000000" w:themeColor="text1"/>
                <w:sz w:val="21"/>
                <w:szCs w:val="21"/>
              </w:rPr>
            </w:pPr>
            <w:r>
              <w:rPr>
                <w:color w:val="000000" w:themeColor="text1"/>
                <w:kern w:val="0"/>
                <w:szCs w:val="24"/>
              </w:rPr>
              <w:t>生活饮用水标准检验方法感官性状和物理指标（8.1称量法）</w:t>
            </w:r>
          </w:p>
        </w:tc>
        <w:tc>
          <w:tcPr>
            <w:tcW w:w="1950" w:type="dxa"/>
            <w:vAlign w:val="center"/>
          </w:tcPr>
          <w:p>
            <w:pPr>
              <w:widowControl/>
              <w:spacing w:line="300" w:lineRule="exact"/>
              <w:ind w:firstLine="0" w:firstLineChars="0"/>
              <w:jc w:val="center"/>
              <w:rPr>
                <w:color w:val="000000" w:themeColor="text1"/>
                <w:kern w:val="0"/>
                <w:szCs w:val="24"/>
              </w:rPr>
            </w:pPr>
            <w:r>
              <w:rPr>
                <w:color w:val="000000" w:themeColor="text1"/>
                <w:kern w:val="0"/>
                <w:szCs w:val="24"/>
              </w:rPr>
              <w:t>GB/T5750.4-2006</w:t>
            </w:r>
          </w:p>
          <w:p>
            <w:pPr>
              <w:spacing w:line="240" w:lineRule="auto"/>
              <w:ind w:firstLine="0" w:firstLineChars="0"/>
              <w:jc w:val="center"/>
              <w:rPr>
                <w:rFonts w:eastAsiaTheme="minorEastAsia"/>
                <w:color w:val="000000" w:themeColor="text1"/>
                <w:sz w:val="21"/>
                <w:szCs w:val="21"/>
              </w:rPr>
            </w:pPr>
          </w:p>
        </w:tc>
        <w:tc>
          <w:tcPr>
            <w:tcW w:w="1266"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szCs w:val="21"/>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color w:val="000000" w:themeColor="text1"/>
                <w:kern w:val="0"/>
                <w:sz w:val="21"/>
                <w:szCs w:val="21"/>
              </w:rPr>
              <w:t>耗氧量</w:t>
            </w:r>
          </w:p>
        </w:tc>
        <w:tc>
          <w:tcPr>
            <w:tcW w:w="3820" w:type="dxa"/>
            <w:vAlign w:val="center"/>
          </w:tcPr>
          <w:p>
            <w:pPr>
              <w:spacing w:line="240" w:lineRule="auto"/>
              <w:ind w:firstLine="0" w:firstLineChars="0"/>
              <w:jc w:val="center"/>
              <w:rPr>
                <w:color w:val="000000" w:themeColor="text1"/>
                <w:kern w:val="0"/>
                <w:sz w:val="21"/>
                <w:szCs w:val="21"/>
              </w:rPr>
            </w:pPr>
            <w:r>
              <w:rPr>
                <w:color w:val="000000" w:themeColor="text1"/>
                <w:kern w:val="0"/>
                <w:sz w:val="21"/>
                <w:szCs w:val="21"/>
              </w:rPr>
              <w:t>生活饮用水标准检验方法有机物综合指标（1.1酸性高锰酸钾滴定法）</w:t>
            </w:r>
          </w:p>
        </w:tc>
        <w:tc>
          <w:tcPr>
            <w:tcW w:w="1950" w:type="dxa"/>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GB/T5750.7-2006</w:t>
            </w:r>
          </w:p>
          <w:p>
            <w:pPr>
              <w:spacing w:line="240" w:lineRule="auto"/>
              <w:ind w:firstLine="0" w:firstLineChars="0"/>
              <w:jc w:val="center"/>
              <w:rPr>
                <w:rFonts w:eastAsiaTheme="minorEastAsia"/>
                <w:color w:val="000000" w:themeColor="text1"/>
                <w:sz w:val="21"/>
                <w:szCs w:val="21"/>
              </w:rPr>
            </w:pPr>
          </w:p>
        </w:tc>
        <w:tc>
          <w:tcPr>
            <w:tcW w:w="1266" w:type="dxa"/>
            <w:vAlign w:val="center"/>
          </w:tcPr>
          <w:p>
            <w:pPr>
              <w:spacing w:line="240" w:lineRule="auto"/>
              <w:ind w:firstLine="0" w:firstLineChars="0"/>
              <w:jc w:val="center"/>
              <w:rPr>
                <w:color w:val="000000" w:themeColor="text1"/>
                <w:sz w:val="21"/>
                <w:szCs w:val="21"/>
              </w:rPr>
            </w:pPr>
            <w:r>
              <w:rPr>
                <w:color w:val="000000" w:themeColor="text1"/>
                <w:sz w:val="21"/>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color w:val="000000" w:themeColor="text1"/>
                <w:kern w:val="0"/>
                <w:sz w:val="21"/>
                <w:szCs w:val="21"/>
              </w:rPr>
            </w:pPr>
            <w:r>
              <w:rPr>
                <w:color w:val="000000" w:themeColor="text1"/>
                <w:kern w:val="0"/>
                <w:sz w:val="21"/>
                <w:szCs w:val="21"/>
              </w:rPr>
              <w:t>铝</w:t>
            </w:r>
          </w:p>
        </w:tc>
        <w:tc>
          <w:tcPr>
            <w:tcW w:w="3820" w:type="dxa"/>
            <w:vAlign w:val="center"/>
          </w:tcPr>
          <w:p>
            <w:pPr>
              <w:spacing w:line="240" w:lineRule="auto"/>
              <w:ind w:firstLine="0" w:firstLineChars="0"/>
              <w:jc w:val="center"/>
              <w:rPr>
                <w:color w:val="000000" w:themeColor="text1"/>
                <w:kern w:val="0"/>
                <w:sz w:val="21"/>
                <w:szCs w:val="21"/>
              </w:rPr>
            </w:pPr>
            <w:r>
              <w:rPr>
                <w:color w:val="000000" w:themeColor="text1"/>
                <w:sz w:val="21"/>
                <w:szCs w:val="21"/>
              </w:rPr>
              <w:t>水质32种金属元素电感耦合等离子发射光谱法</w:t>
            </w:r>
          </w:p>
        </w:tc>
        <w:tc>
          <w:tcPr>
            <w:tcW w:w="1950" w:type="dxa"/>
            <w:vAlign w:val="center"/>
          </w:tcPr>
          <w:p>
            <w:pPr>
              <w:spacing w:line="240" w:lineRule="auto"/>
              <w:ind w:firstLine="0" w:firstLineChars="0"/>
              <w:jc w:val="center"/>
              <w:rPr>
                <w:color w:val="000000" w:themeColor="text1"/>
                <w:sz w:val="21"/>
                <w:szCs w:val="21"/>
              </w:rPr>
            </w:pPr>
            <w:r>
              <w:rPr>
                <w:color w:val="000000" w:themeColor="text1"/>
                <w:sz w:val="21"/>
                <w:szCs w:val="21"/>
              </w:rPr>
              <w:t>HJ776-2015</w:t>
            </w:r>
          </w:p>
          <w:p>
            <w:pPr>
              <w:spacing w:line="240" w:lineRule="auto"/>
              <w:ind w:firstLine="0" w:firstLineChars="0"/>
              <w:jc w:val="center"/>
              <w:rPr>
                <w:rFonts w:eastAsiaTheme="minorEastAsia"/>
                <w:color w:val="000000" w:themeColor="text1"/>
                <w:sz w:val="21"/>
                <w:szCs w:val="21"/>
              </w:rPr>
            </w:pPr>
          </w:p>
        </w:tc>
        <w:tc>
          <w:tcPr>
            <w:tcW w:w="1266" w:type="dxa"/>
            <w:vAlign w:val="center"/>
          </w:tcPr>
          <w:p>
            <w:pPr>
              <w:spacing w:line="240" w:lineRule="auto"/>
              <w:ind w:firstLine="0" w:firstLineChars="0"/>
              <w:jc w:val="center"/>
              <w:rPr>
                <w:color w:val="000000" w:themeColor="text1"/>
                <w:sz w:val="21"/>
                <w:szCs w:val="21"/>
              </w:rPr>
            </w:pPr>
            <w:r>
              <w:rPr>
                <w:color w:val="000000" w:themeColor="text1"/>
                <w:sz w:val="21"/>
                <w:szCs w:val="21"/>
              </w:rPr>
              <w:t>0.009mg/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color w:val="000000" w:themeColor="text1"/>
                <w:kern w:val="0"/>
                <w:sz w:val="21"/>
                <w:szCs w:val="21"/>
              </w:rPr>
            </w:pPr>
            <w:r>
              <w:rPr>
                <w:color w:val="000000" w:themeColor="text1"/>
                <w:kern w:val="0"/>
                <w:sz w:val="21"/>
                <w:szCs w:val="21"/>
              </w:rPr>
              <w:t>阴离子表面活性剂</w:t>
            </w:r>
          </w:p>
        </w:tc>
        <w:tc>
          <w:tcPr>
            <w:tcW w:w="3820" w:type="dxa"/>
            <w:vAlign w:val="center"/>
          </w:tcPr>
          <w:p>
            <w:pPr>
              <w:spacing w:line="240" w:lineRule="auto"/>
              <w:ind w:firstLine="0" w:firstLineChars="0"/>
              <w:jc w:val="center"/>
              <w:rPr>
                <w:color w:val="000000" w:themeColor="text1"/>
                <w:sz w:val="21"/>
                <w:szCs w:val="21"/>
              </w:rPr>
            </w:pPr>
            <w:r>
              <w:rPr>
                <w:color w:val="000000" w:themeColor="text1"/>
                <w:sz w:val="21"/>
                <w:szCs w:val="21"/>
              </w:rPr>
              <w:t>水质阴离子表面活性剂的测定亚甲蓝分光光度法</w:t>
            </w:r>
          </w:p>
        </w:tc>
        <w:tc>
          <w:tcPr>
            <w:tcW w:w="195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GB7494-87</w:t>
            </w:r>
          </w:p>
          <w:p>
            <w:pPr>
              <w:spacing w:line="240" w:lineRule="auto"/>
              <w:ind w:firstLine="0" w:firstLineChars="0"/>
              <w:jc w:val="center"/>
              <w:rPr>
                <w:rFonts w:eastAsiaTheme="minorEastAsia"/>
                <w:color w:val="000000" w:themeColor="text1"/>
                <w:sz w:val="21"/>
                <w:szCs w:val="21"/>
              </w:rPr>
            </w:pPr>
          </w:p>
        </w:tc>
        <w:tc>
          <w:tcPr>
            <w:tcW w:w="1266" w:type="dxa"/>
            <w:vAlign w:val="center"/>
          </w:tcPr>
          <w:p>
            <w:pPr>
              <w:spacing w:line="240" w:lineRule="auto"/>
              <w:ind w:firstLine="0" w:firstLineChars="0"/>
              <w:jc w:val="center"/>
              <w:rPr>
                <w:color w:val="000000" w:themeColor="text1"/>
                <w:sz w:val="21"/>
                <w:szCs w:val="21"/>
              </w:rPr>
            </w:pPr>
            <w:r>
              <w:rPr>
                <w:color w:val="000000" w:themeColor="text1"/>
                <w:sz w:val="21"/>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color w:val="000000" w:themeColor="text1"/>
                <w:kern w:val="0"/>
                <w:sz w:val="21"/>
                <w:szCs w:val="21"/>
              </w:rPr>
            </w:pPr>
            <w:r>
              <w:rPr>
                <w:color w:val="000000" w:themeColor="text1"/>
                <w:kern w:val="0"/>
                <w:sz w:val="21"/>
                <w:szCs w:val="21"/>
              </w:rPr>
              <w:t>硫化物</w:t>
            </w:r>
          </w:p>
        </w:tc>
        <w:tc>
          <w:tcPr>
            <w:tcW w:w="3820" w:type="dxa"/>
            <w:vAlign w:val="center"/>
          </w:tcPr>
          <w:p>
            <w:pPr>
              <w:spacing w:line="240" w:lineRule="auto"/>
              <w:ind w:firstLine="0" w:firstLineChars="0"/>
              <w:jc w:val="center"/>
              <w:rPr>
                <w:color w:val="000000" w:themeColor="text1"/>
                <w:sz w:val="21"/>
                <w:szCs w:val="21"/>
              </w:rPr>
            </w:pPr>
            <w:r>
              <w:rPr>
                <w:color w:val="000000" w:themeColor="text1"/>
                <w:sz w:val="21"/>
                <w:szCs w:val="21"/>
              </w:rPr>
              <w:t>水质硫化物的测定</w:t>
            </w:r>
          </w:p>
          <w:p>
            <w:pPr>
              <w:spacing w:line="240" w:lineRule="auto"/>
              <w:ind w:firstLine="0" w:firstLineChars="0"/>
              <w:jc w:val="center"/>
              <w:rPr>
                <w:color w:val="000000" w:themeColor="text1"/>
                <w:sz w:val="21"/>
                <w:szCs w:val="21"/>
              </w:rPr>
            </w:pPr>
            <w:r>
              <w:rPr>
                <w:color w:val="000000" w:themeColor="text1"/>
                <w:sz w:val="21"/>
                <w:szCs w:val="21"/>
              </w:rPr>
              <w:t>亚甲基蓝分光光度法</w:t>
            </w:r>
          </w:p>
        </w:tc>
        <w:tc>
          <w:tcPr>
            <w:tcW w:w="1950" w:type="dxa"/>
            <w:vAlign w:val="center"/>
          </w:tcPr>
          <w:p>
            <w:pPr>
              <w:spacing w:line="240" w:lineRule="auto"/>
              <w:ind w:firstLine="0" w:firstLineChars="0"/>
              <w:jc w:val="center"/>
              <w:rPr>
                <w:color w:val="000000" w:themeColor="text1"/>
                <w:sz w:val="21"/>
                <w:szCs w:val="21"/>
              </w:rPr>
            </w:pPr>
            <w:r>
              <w:rPr>
                <w:color w:val="000000" w:themeColor="text1"/>
                <w:sz w:val="21"/>
                <w:szCs w:val="21"/>
              </w:rPr>
              <w:t>GB/T16489-1996</w:t>
            </w:r>
          </w:p>
          <w:p>
            <w:pPr>
              <w:spacing w:line="240" w:lineRule="auto"/>
              <w:ind w:firstLine="0" w:firstLineChars="0"/>
              <w:jc w:val="center"/>
              <w:rPr>
                <w:rFonts w:eastAsiaTheme="minorEastAsia"/>
                <w:color w:val="000000" w:themeColor="text1"/>
                <w:sz w:val="21"/>
                <w:szCs w:val="21"/>
              </w:rPr>
            </w:pPr>
          </w:p>
        </w:tc>
        <w:tc>
          <w:tcPr>
            <w:tcW w:w="1266" w:type="dxa"/>
            <w:vAlign w:val="center"/>
          </w:tcPr>
          <w:p>
            <w:pPr>
              <w:spacing w:line="240" w:lineRule="auto"/>
              <w:ind w:firstLine="0" w:firstLineChars="0"/>
              <w:jc w:val="center"/>
              <w:rPr>
                <w:color w:val="000000" w:themeColor="text1"/>
                <w:sz w:val="21"/>
                <w:szCs w:val="21"/>
              </w:rPr>
            </w:pPr>
            <w:r>
              <w:rPr>
                <w:color w:val="000000" w:themeColor="text1"/>
                <w:sz w:val="21"/>
                <w:szCs w:val="21"/>
              </w:rPr>
              <w:t>0.005mg/L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砷</w:t>
            </w:r>
          </w:p>
        </w:tc>
        <w:tc>
          <w:tcPr>
            <w:tcW w:w="3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水质汞、砷、硒、铋和锑的测定</w:t>
            </w:r>
          </w:p>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原子荧光法</w:t>
            </w:r>
          </w:p>
        </w:tc>
        <w:tc>
          <w:tcPr>
            <w:tcW w:w="195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HJ694-2014</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0.3</w:t>
            </w:r>
            <w:r>
              <w:rPr>
                <w:rFonts w:eastAsiaTheme="minorEastAsia"/>
                <w:color w:val="000000" w:themeColor="text1"/>
                <w:kern w:val="0"/>
                <w:sz w:val="21"/>
                <w:szCs w:val="21"/>
              </w:rPr>
              <w:sym w:font="Symbol" w:char="F06D"/>
            </w:r>
            <w:r>
              <w:rPr>
                <w:rFonts w:eastAsiaTheme="minorEastAsia"/>
                <w:color w:val="000000" w:themeColor="text1"/>
                <w:sz w:val="21"/>
                <w:szCs w:val="21"/>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汞</w:t>
            </w:r>
          </w:p>
        </w:tc>
        <w:tc>
          <w:tcPr>
            <w:tcW w:w="3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水质汞、砷、硒、铋和锑的测定</w:t>
            </w:r>
          </w:p>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原子荧光法</w:t>
            </w:r>
          </w:p>
        </w:tc>
        <w:tc>
          <w:tcPr>
            <w:tcW w:w="195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HJ694-2014</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0.04</w:t>
            </w:r>
            <w:r>
              <w:rPr>
                <w:rFonts w:eastAsiaTheme="minorEastAsia"/>
                <w:color w:val="000000" w:themeColor="text1"/>
                <w:kern w:val="0"/>
                <w:sz w:val="21"/>
                <w:szCs w:val="21"/>
              </w:rPr>
              <w:sym w:font="Symbol" w:char="F06D"/>
            </w:r>
            <w:r>
              <w:rPr>
                <w:rFonts w:eastAsiaTheme="minorEastAsia"/>
                <w:color w:val="000000" w:themeColor="text1"/>
                <w:sz w:val="21"/>
                <w:szCs w:val="21"/>
              </w:rPr>
              <w:t>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铬（六价）</w:t>
            </w:r>
          </w:p>
        </w:tc>
        <w:tc>
          <w:tcPr>
            <w:tcW w:w="3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水质六价铬的测定</w:t>
            </w:r>
          </w:p>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二苯碳酰二肼分光光度法</w:t>
            </w:r>
          </w:p>
        </w:tc>
        <w:tc>
          <w:tcPr>
            <w:tcW w:w="195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GB7467-1987</w:t>
            </w:r>
          </w:p>
        </w:tc>
        <w:tc>
          <w:tcPr>
            <w:tcW w:w="1266"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rFonts w:eastAsiaTheme="minorEastAsia"/>
                <w:color w:val="000000" w:themeColor="text1"/>
                <w:sz w:val="21"/>
                <w:szCs w:val="21"/>
              </w:rPr>
              <w:t>0.004mg/L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细菌总数</w:t>
            </w:r>
          </w:p>
        </w:tc>
        <w:tc>
          <w:tcPr>
            <w:tcW w:w="3820"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szCs w:val="21"/>
              </w:rPr>
              <w:t>水质标准检验方法微生物指标平皿计数法</w:t>
            </w:r>
          </w:p>
        </w:tc>
        <w:tc>
          <w:tcPr>
            <w:tcW w:w="1950" w:type="dxa"/>
            <w:vAlign w:val="center"/>
          </w:tcPr>
          <w:p>
            <w:pPr>
              <w:pStyle w:val="617"/>
              <w:spacing w:line="240" w:lineRule="auto"/>
              <w:ind w:firstLine="0" w:firstLineChars="0"/>
              <w:jc w:val="center"/>
              <w:rPr>
                <w:color w:val="000000" w:themeColor="text1"/>
                <w:sz w:val="21"/>
              </w:rPr>
            </w:pPr>
          </w:p>
          <w:p>
            <w:pPr>
              <w:pStyle w:val="617"/>
              <w:spacing w:line="240" w:lineRule="auto"/>
              <w:ind w:firstLine="0" w:firstLineChars="0"/>
              <w:jc w:val="center"/>
              <w:rPr>
                <w:rFonts w:eastAsia="Times New Roman"/>
                <w:color w:val="000000" w:themeColor="text1"/>
                <w:sz w:val="21"/>
                <w:szCs w:val="21"/>
              </w:rPr>
            </w:pPr>
            <w:r>
              <w:rPr>
                <w:color w:val="000000" w:themeColor="text1"/>
                <w:sz w:val="21"/>
              </w:rPr>
              <w:t>GB/T5750.12-2006</w:t>
            </w:r>
          </w:p>
          <w:p>
            <w:pPr>
              <w:tabs>
                <w:tab w:val="left" w:pos="1960"/>
              </w:tabs>
              <w:spacing w:line="240" w:lineRule="auto"/>
              <w:ind w:firstLine="0" w:firstLineChars="0"/>
              <w:jc w:val="center"/>
              <w:rPr>
                <w:rFonts w:eastAsiaTheme="minorEastAsia"/>
                <w:color w:val="000000" w:themeColor="text1"/>
                <w:kern w:val="24"/>
                <w:sz w:val="21"/>
                <w:szCs w:val="21"/>
              </w:rPr>
            </w:pP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color w:val="000000" w:themeColor="text1"/>
                <w:sz w:val="21"/>
                <w:szCs w:val="21"/>
              </w:rPr>
            </w:pPr>
            <w:r>
              <w:rPr>
                <w:color w:val="000000" w:themeColor="text1"/>
                <w:sz w:val="21"/>
                <w:szCs w:val="21"/>
              </w:rPr>
              <w:t>K</w:t>
            </w:r>
            <w:r>
              <w:rPr>
                <w:color w:val="000000" w:themeColor="text1"/>
                <w:sz w:val="21"/>
                <w:szCs w:val="21"/>
                <w:vertAlign w:val="superscript"/>
              </w:rPr>
              <w:t>+</w:t>
            </w:r>
          </w:p>
        </w:tc>
        <w:tc>
          <w:tcPr>
            <w:tcW w:w="3820" w:type="dxa"/>
            <w:vAlign w:val="center"/>
          </w:tcPr>
          <w:p>
            <w:pPr>
              <w:spacing w:line="240" w:lineRule="auto"/>
              <w:ind w:firstLine="0" w:firstLineChars="0"/>
              <w:jc w:val="center"/>
              <w:rPr>
                <w:color w:val="000000" w:themeColor="text1"/>
                <w:sz w:val="21"/>
                <w:szCs w:val="21"/>
              </w:rPr>
            </w:pPr>
            <w:r>
              <w:rPr>
                <w:color w:val="000000" w:themeColor="text1"/>
                <w:sz w:val="21"/>
                <w:szCs w:val="21"/>
              </w:rPr>
              <w:t>火焰原子吸收分光光度法</w:t>
            </w:r>
          </w:p>
        </w:tc>
        <w:tc>
          <w:tcPr>
            <w:tcW w:w="1950" w:type="dxa"/>
            <w:vAlign w:val="center"/>
          </w:tcPr>
          <w:p>
            <w:pPr>
              <w:spacing w:line="240" w:lineRule="auto"/>
              <w:ind w:firstLine="0" w:firstLineChars="0"/>
              <w:jc w:val="center"/>
              <w:rPr>
                <w:color w:val="000000" w:themeColor="text1"/>
                <w:sz w:val="21"/>
                <w:szCs w:val="21"/>
              </w:rPr>
            </w:pPr>
            <w:r>
              <w:rPr>
                <w:color w:val="000000" w:themeColor="text1"/>
                <w:sz w:val="21"/>
                <w:szCs w:val="21"/>
              </w:rPr>
              <w:t>GB11904-1989</w:t>
            </w:r>
          </w:p>
          <w:p>
            <w:pPr>
              <w:tabs>
                <w:tab w:val="left" w:pos="1960"/>
              </w:tabs>
              <w:spacing w:line="240" w:lineRule="auto"/>
              <w:ind w:firstLine="0" w:firstLineChars="0"/>
              <w:jc w:val="center"/>
              <w:rPr>
                <w:rFonts w:eastAsiaTheme="minorEastAsia"/>
                <w:color w:val="000000" w:themeColor="text1"/>
                <w:kern w:val="24"/>
                <w:sz w:val="21"/>
                <w:szCs w:val="21"/>
              </w:rPr>
            </w:pP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color w:val="000000" w:themeColor="text1"/>
                <w:sz w:val="21"/>
                <w:szCs w:val="21"/>
              </w:rPr>
            </w:pPr>
            <w:r>
              <w:rPr>
                <w:color w:val="000000" w:themeColor="text1"/>
                <w:sz w:val="21"/>
                <w:szCs w:val="21"/>
              </w:rPr>
              <w:t>Na</w:t>
            </w:r>
            <w:r>
              <w:rPr>
                <w:color w:val="000000" w:themeColor="text1"/>
                <w:sz w:val="21"/>
                <w:szCs w:val="21"/>
                <w:vertAlign w:val="superscript"/>
              </w:rPr>
              <w:t>+</w:t>
            </w:r>
          </w:p>
        </w:tc>
        <w:tc>
          <w:tcPr>
            <w:tcW w:w="3820" w:type="dxa"/>
            <w:vAlign w:val="center"/>
          </w:tcPr>
          <w:p>
            <w:pPr>
              <w:spacing w:line="240" w:lineRule="auto"/>
              <w:ind w:firstLine="0" w:firstLineChars="0"/>
              <w:jc w:val="center"/>
              <w:rPr>
                <w:color w:val="000000" w:themeColor="text1"/>
                <w:sz w:val="21"/>
                <w:szCs w:val="21"/>
              </w:rPr>
            </w:pPr>
            <w:r>
              <w:rPr>
                <w:color w:val="000000" w:themeColor="text1"/>
                <w:sz w:val="21"/>
                <w:szCs w:val="21"/>
              </w:rPr>
              <w:t>火焰原子吸收分光光度法</w:t>
            </w:r>
          </w:p>
        </w:tc>
        <w:tc>
          <w:tcPr>
            <w:tcW w:w="1950" w:type="dxa"/>
            <w:vAlign w:val="center"/>
          </w:tcPr>
          <w:p>
            <w:pPr>
              <w:spacing w:line="240" w:lineRule="auto"/>
              <w:ind w:firstLine="0" w:firstLineChars="0"/>
              <w:jc w:val="center"/>
              <w:rPr>
                <w:color w:val="000000" w:themeColor="text1"/>
                <w:sz w:val="21"/>
                <w:szCs w:val="21"/>
              </w:rPr>
            </w:pPr>
            <w:r>
              <w:rPr>
                <w:color w:val="000000" w:themeColor="text1"/>
                <w:sz w:val="21"/>
                <w:szCs w:val="21"/>
              </w:rPr>
              <w:t>GB11904-1989</w:t>
            </w:r>
          </w:p>
          <w:p>
            <w:pPr>
              <w:tabs>
                <w:tab w:val="left" w:pos="1960"/>
              </w:tabs>
              <w:spacing w:line="240" w:lineRule="auto"/>
              <w:ind w:firstLine="0" w:firstLineChars="0"/>
              <w:jc w:val="center"/>
              <w:rPr>
                <w:rFonts w:eastAsiaTheme="minorEastAsia"/>
                <w:color w:val="000000" w:themeColor="text1"/>
                <w:kern w:val="24"/>
                <w:sz w:val="21"/>
                <w:szCs w:val="21"/>
              </w:rPr>
            </w:pP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color w:val="000000" w:themeColor="text1"/>
                <w:sz w:val="21"/>
                <w:szCs w:val="21"/>
              </w:rPr>
            </w:pPr>
            <w:r>
              <w:rPr>
                <w:color w:val="000000" w:themeColor="text1"/>
                <w:sz w:val="21"/>
                <w:szCs w:val="21"/>
              </w:rPr>
              <w:t>Ca</w:t>
            </w:r>
            <w:r>
              <w:rPr>
                <w:color w:val="000000" w:themeColor="text1"/>
                <w:sz w:val="21"/>
                <w:szCs w:val="21"/>
                <w:vertAlign w:val="superscript"/>
              </w:rPr>
              <w:t>2+</w:t>
            </w:r>
          </w:p>
        </w:tc>
        <w:tc>
          <w:tcPr>
            <w:tcW w:w="3820" w:type="dxa"/>
            <w:vAlign w:val="center"/>
          </w:tcPr>
          <w:p>
            <w:pPr>
              <w:spacing w:line="240" w:lineRule="auto"/>
              <w:ind w:firstLine="0" w:firstLineChars="0"/>
              <w:jc w:val="center"/>
              <w:rPr>
                <w:color w:val="000000" w:themeColor="text1"/>
                <w:sz w:val="21"/>
                <w:szCs w:val="21"/>
              </w:rPr>
            </w:pPr>
            <w:r>
              <w:rPr>
                <w:color w:val="000000" w:themeColor="text1"/>
                <w:sz w:val="21"/>
                <w:szCs w:val="21"/>
              </w:rPr>
              <w:t>EDTA滴定法</w:t>
            </w:r>
          </w:p>
        </w:tc>
        <w:tc>
          <w:tcPr>
            <w:tcW w:w="1950" w:type="dxa"/>
            <w:vAlign w:val="center"/>
          </w:tcPr>
          <w:p>
            <w:pPr>
              <w:spacing w:line="240" w:lineRule="auto"/>
              <w:ind w:firstLine="0" w:firstLineChars="0"/>
              <w:jc w:val="center"/>
              <w:rPr>
                <w:color w:val="000000" w:themeColor="text1"/>
                <w:sz w:val="21"/>
                <w:szCs w:val="21"/>
              </w:rPr>
            </w:pPr>
            <w:r>
              <w:rPr>
                <w:color w:val="000000" w:themeColor="text1"/>
                <w:sz w:val="21"/>
                <w:szCs w:val="21"/>
              </w:rPr>
              <w:t>GB7476-1987</w:t>
            </w:r>
          </w:p>
          <w:p>
            <w:pPr>
              <w:tabs>
                <w:tab w:val="left" w:pos="1960"/>
              </w:tabs>
              <w:spacing w:line="240" w:lineRule="auto"/>
              <w:ind w:firstLine="0" w:firstLineChars="0"/>
              <w:jc w:val="center"/>
              <w:rPr>
                <w:rFonts w:eastAsiaTheme="minorEastAsia"/>
                <w:color w:val="000000" w:themeColor="text1"/>
                <w:kern w:val="24"/>
                <w:sz w:val="21"/>
                <w:szCs w:val="21"/>
              </w:rPr>
            </w:pP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color w:val="000000" w:themeColor="text1"/>
                <w:sz w:val="21"/>
                <w:szCs w:val="21"/>
              </w:rPr>
            </w:pPr>
            <w:r>
              <w:rPr>
                <w:color w:val="000000" w:themeColor="text1"/>
                <w:sz w:val="21"/>
                <w:szCs w:val="21"/>
              </w:rPr>
              <w:t>M</w:t>
            </w:r>
            <w:r>
              <w:rPr>
                <w:rFonts w:hint="eastAsia"/>
                <w:color w:val="000000" w:themeColor="text1"/>
                <w:sz w:val="21"/>
                <w:szCs w:val="21"/>
              </w:rPr>
              <w:t>DA002</w:t>
            </w:r>
            <w:r>
              <w:rPr>
                <w:color w:val="000000" w:themeColor="text1"/>
                <w:sz w:val="21"/>
                <w:szCs w:val="21"/>
                <w:vertAlign w:val="superscript"/>
              </w:rPr>
              <w:t>+</w:t>
            </w:r>
          </w:p>
        </w:tc>
        <w:tc>
          <w:tcPr>
            <w:tcW w:w="3820" w:type="dxa"/>
            <w:vAlign w:val="center"/>
          </w:tcPr>
          <w:p>
            <w:pPr>
              <w:spacing w:line="240" w:lineRule="auto"/>
              <w:ind w:firstLine="0" w:firstLineChars="0"/>
              <w:jc w:val="center"/>
              <w:rPr>
                <w:color w:val="000000" w:themeColor="text1"/>
                <w:sz w:val="21"/>
                <w:szCs w:val="21"/>
              </w:rPr>
            </w:pPr>
            <w:r>
              <w:rPr>
                <w:color w:val="000000" w:themeColor="text1"/>
                <w:sz w:val="21"/>
                <w:szCs w:val="21"/>
              </w:rPr>
              <w:t>EDTA滴定法</w:t>
            </w:r>
          </w:p>
        </w:tc>
        <w:tc>
          <w:tcPr>
            <w:tcW w:w="1950" w:type="dxa"/>
            <w:vAlign w:val="center"/>
          </w:tcPr>
          <w:p>
            <w:pPr>
              <w:spacing w:line="240" w:lineRule="auto"/>
              <w:ind w:firstLine="0" w:firstLineChars="0"/>
              <w:jc w:val="center"/>
              <w:rPr>
                <w:color w:val="000000" w:themeColor="text1"/>
                <w:sz w:val="21"/>
                <w:szCs w:val="21"/>
              </w:rPr>
            </w:pPr>
            <w:r>
              <w:rPr>
                <w:color w:val="000000" w:themeColor="text1"/>
                <w:sz w:val="21"/>
                <w:szCs w:val="21"/>
              </w:rPr>
              <w:t>GB7477-1987</w:t>
            </w:r>
          </w:p>
          <w:p>
            <w:pPr>
              <w:tabs>
                <w:tab w:val="left" w:pos="1960"/>
              </w:tabs>
              <w:spacing w:line="240" w:lineRule="auto"/>
              <w:ind w:firstLine="0" w:firstLineChars="0"/>
              <w:jc w:val="center"/>
              <w:rPr>
                <w:rFonts w:eastAsiaTheme="minorEastAsia"/>
                <w:color w:val="000000" w:themeColor="text1"/>
                <w:kern w:val="24"/>
                <w:sz w:val="21"/>
                <w:szCs w:val="21"/>
              </w:rPr>
            </w:pP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color w:val="000000" w:themeColor="text1"/>
                <w:sz w:val="21"/>
                <w:szCs w:val="21"/>
              </w:rPr>
            </w:pPr>
            <w:r>
              <w:rPr>
                <w:color w:val="000000" w:themeColor="text1"/>
                <w:sz w:val="21"/>
                <w:szCs w:val="21"/>
              </w:rPr>
              <w:t>CO</w:t>
            </w:r>
            <w:r>
              <w:rPr>
                <w:color w:val="000000" w:themeColor="text1"/>
                <w:sz w:val="21"/>
                <w:szCs w:val="21"/>
                <w:vertAlign w:val="subscript"/>
              </w:rPr>
              <w:t>3</w:t>
            </w:r>
            <w:r>
              <w:rPr>
                <w:color w:val="000000" w:themeColor="text1"/>
                <w:sz w:val="21"/>
                <w:szCs w:val="21"/>
                <w:vertAlign w:val="superscript"/>
              </w:rPr>
              <w:t>2-</w:t>
            </w:r>
          </w:p>
        </w:tc>
        <w:tc>
          <w:tcPr>
            <w:tcW w:w="3820" w:type="dxa"/>
            <w:vAlign w:val="center"/>
          </w:tcPr>
          <w:p>
            <w:pPr>
              <w:spacing w:line="240" w:lineRule="auto"/>
              <w:ind w:firstLine="0" w:firstLineChars="0"/>
              <w:jc w:val="center"/>
              <w:rPr>
                <w:color w:val="000000" w:themeColor="text1"/>
                <w:sz w:val="21"/>
                <w:szCs w:val="21"/>
              </w:rPr>
            </w:pPr>
            <w:r>
              <w:rPr>
                <w:color w:val="000000" w:themeColor="text1"/>
                <w:spacing w:val="-11"/>
                <w:sz w:val="21"/>
                <w:szCs w:val="21"/>
              </w:rPr>
              <w:t>滴定法测定碳酸根、重碳酸根和氢氧根</w:t>
            </w:r>
          </w:p>
        </w:tc>
        <w:tc>
          <w:tcPr>
            <w:tcW w:w="1950" w:type="dxa"/>
            <w:vAlign w:val="center"/>
          </w:tcPr>
          <w:p>
            <w:pPr>
              <w:spacing w:line="240" w:lineRule="auto"/>
              <w:ind w:firstLine="0" w:firstLineChars="0"/>
              <w:jc w:val="center"/>
              <w:rPr>
                <w:color w:val="000000" w:themeColor="text1"/>
                <w:spacing w:val="-11"/>
                <w:sz w:val="21"/>
                <w:szCs w:val="21"/>
              </w:rPr>
            </w:pPr>
            <w:r>
              <w:rPr>
                <w:color w:val="000000" w:themeColor="text1"/>
                <w:spacing w:val="-11"/>
                <w:sz w:val="21"/>
                <w:szCs w:val="21"/>
              </w:rPr>
              <w:t>DZ/T0064.49-1993</w:t>
            </w:r>
          </w:p>
          <w:p>
            <w:pPr>
              <w:tabs>
                <w:tab w:val="left" w:pos="1960"/>
              </w:tabs>
              <w:spacing w:line="240" w:lineRule="auto"/>
              <w:ind w:firstLine="0" w:firstLineChars="0"/>
              <w:jc w:val="center"/>
              <w:rPr>
                <w:rFonts w:eastAsiaTheme="minorEastAsia"/>
                <w:color w:val="000000" w:themeColor="text1"/>
                <w:kern w:val="24"/>
                <w:sz w:val="21"/>
                <w:szCs w:val="21"/>
              </w:rPr>
            </w:pP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color w:val="000000" w:themeColor="text1"/>
                <w:sz w:val="21"/>
                <w:szCs w:val="21"/>
              </w:rPr>
            </w:pPr>
            <w:r>
              <w:rPr>
                <w:color w:val="000000" w:themeColor="text1"/>
                <w:sz w:val="21"/>
                <w:szCs w:val="21"/>
              </w:rPr>
              <w:t>HCO</w:t>
            </w:r>
            <w:r>
              <w:rPr>
                <w:color w:val="000000" w:themeColor="text1"/>
                <w:sz w:val="21"/>
                <w:szCs w:val="21"/>
                <w:vertAlign w:val="subscript"/>
              </w:rPr>
              <w:t>3</w:t>
            </w:r>
            <w:r>
              <w:rPr>
                <w:color w:val="000000" w:themeColor="text1"/>
                <w:sz w:val="21"/>
                <w:szCs w:val="21"/>
                <w:vertAlign w:val="superscript"/>
              </w:rPr>
              <w:t>-</w:t>
            </w:r>
          </w:p>
        </w:tc>
        <w:tc>
          <w:tcPr>
            <w:tcW w:w="3820" w:type="dxa"/>
            <w:vAlign w:val="center"/>
          </w:tcPr>
          <w:p>
            <w:pPr>
              <w:spacing w:line="240" w:lineRule="auto"/>
              <w:ind w:firstLine="0" w:firstLineChars="0"/>
              <w:jc w:val="center"/>
              <w:rPr>
                <w:color w:val="000000" w:themeColor="text1"/>
                <w:sz w:val="21"/>
                <w:szCs w:val="21"/>
              </w:rPr>
            </w:pPr>
            <w:r>
              <w:rPr>
                <w:color w:val="000000" w:themeColor="text1"/>
                <w:spacing w:val="-11"/>
                <w:sz w:val="21"/>
                <w:szCs w:val="21"/>
              </w:rPr>
              <w:t>滴定法测定碳酸根、重碳酸根和氢氧根</w:t>
            </w:r>
          </w:p>
        </w:tc>
        <w:tc>
          <w:tcPr>
            <w:tcW w:w="1950" w:type="dxa"/>
            <w:vAlign w:val="center"/>
          </w:tcPr>
          <w:p>
            <w:pPr>
              <w:spacing w:line="240" w:lineRule="auto"/>
              <w:ind w:firstLine="0" w:firstLineChars="0"/>
              <w:jc w:val="center"/>
              <w:rPr>
                <w:color w:val="000000" w:themeColor="text1"/>
                <w:spacing w:val="-11"/>
                <w:sz w:val="21"/>
                <w:szCs w:val="21"/>
              </w:rPr>
            </w:pPr>
            <w:r>
              <w:rPr>
                <w:color w:val="000000" w:themeColor="text1"/>
                <w:spacing w:val="-11"/>
                <w:sz w:val="21"/>
                <w:szCs w:val="21"/>
              </w:rPr>
              <w:t>DZ/T0064.49-1993</w:t>
            </w:r>
          </w:p>
          <w:p>
            <w:pPr>
              <w:tabs>
                <w:tab w:val="left" w:pos="1960"/>
              </w:tabs>
              <w:spacing w:line="240" w:lineRule="auto"/>
              <w:ind w:firstLine="0" w:firstLineChars="0"/>
              <w:jc w:val="center"/>
              <w:rPr>
                <w:rFonts w:eastAsiaTheme="minorEastAsia"/>
                <w:color w:val="000000" w:themeColor="text1"/>
                <w:kern w:val="24"/>
                <w:sz w:val="21"/>
                <w:szCs w:val="21"/>
              </w:rPr>
            </w:pP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color w:val="000000" w:themeColor="text1"/>
                <w:sz w:val="21"/>
                <w:szCs w:val="21"/>
              </w:rPr>
            </w:pPr>
            <w:r>
              <w:rPr>
                <w:color w:val="000000" w:themeColor="text1"/>
                <w:sz w:val="21"/>
                <w:szCs w:val="21"/>
              </w:rPr>
              <w:t>Cl</w:t>
            </w:r>
            <w:r>
              <w:rPr>
                <w:color w:val="000000" w:themeColor="text1"/>
                <w:sz w:val="21"/>
                <w:szCs w:val="21"/>
                <w:vertAlign w:val="superscript"/>
              </w:rPr>
              <w:t>-</w:t>
            </w:r>
          </w:p>
        </w:tc>
        <w:tc>
          <w:tcPr>
            <w:tcW w:w="3820" w:type="dxa"/>
            <w:vAlign w:val="center"/>
          </w:tcPr>
          <w:p>
            <w:pPr>
              <w:spacing w:line="240" w:lineRule="auto"/>
              <w:ind w:firstLine="0" w:firstLineChars="0"/>
              <w:jc w:val="center"/>
              <w:rPr>
                <w:color w:val="000000" w:themeColor="text1"/>
                <w:sz w:val="21"/>
                <w:szCs w:val="21"/>
              </w:rPr>
            </w:pPr>
            <w:r>
              <w:rPr>
                <w:color w:val="000000" w:themeColor="text1"/>
                <w:sz w:val="21"/>
                <w:szCs w:val="21"/>
              </w:rPr>
              <w:t>硝酸银滴定法</w:t>
            </w:r>
          </w:p>
        </w:tc>
        <w:tc>
          <w:tcPr>
            <w:tcW w:w="1950" w:type="dxa"/>
            <w:vAlign w:val="center"/>
          </w:tcPr>
          <w:p>
            <w:pPr>
              <w:tabs>
                <w:tab w:val="left" w:pos="1960"/>
              </w:tabs>
              <w:spacing w:line="240" w:lineRule="auto"/>
              <w:ind w:firstLine="0" w:firstLineChars="0"/>
              <w:jc w:val="center"/>
              <w:rPr>
                <w:rFonts w:eastAsiaTheme="minorEastAsia"/>
                <w:color w:val="000000" w:themeColor="text1"/>
                <w:kern w:val="24"/>
                <w:sz w:val="21"/>
                <w:szCs w:val="21"/>
              </w:rPr>
            </w:pPr>
            <w:r>
              <w:rPr>
                <w:color w:val="000000" w:themeColor="text1"/>
                <w:sz w:val="21"/>
                <w:szCs w:val="21"/>
              </w:rPr>
              <w:t>GB11896-1989</w:t>
            </w: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1486" w:type="dxa"/>
            <w:vAlign w:val="center"/>
          </w:tcPr>
          <w:p>
            <w:pPr>
              <w:spacing w:line="240" w:lineRule="auto"/>
              <w:ind w:firstLine="0" w:firstLineChars="0"/>
              <w:jc w:val="center"/>
              <w:rPr>
                <w:color w:val="000000" w:themeColor="text1"/>
                <w:sz w:val="21"/>
                <w:szCs w:val="21"/>
              </w:rPr>
            </w:pPr>
            <w:r>
              <w:rPr>
                <w:color w:val="000000" w:themeColor="text1"/>
                <w:sz w:val="21"/>
                <w:szCs w:val="21"/>
              </w:rPr>
              <w:t>SO</w:t>
            </w:r>
            <w:r>
              <w:rPr>
                <w:color w:val="000000" w:themeColor="text1"/>
                <w:sz w:val="21"/>
                <w:szCs w:val="21"/>
                <w:vertAlign w:val="subscript"/>
              </w:rPr>
              <w:t>4</w:t>
            </w:r>
            <w:r>
              <w:rPr>
                <w:color w:val="000000" w:themeColor="text1"/>
                <w:sz w:val="21"/>
                <w:szCs w:val="21"/>
                <w:vertAlign w:val="superscript"/>
              </w:rPr>
              <w:t>2-</w:t>
            </w:r>
          </w:p>
        </w:tc>
        <w:tc>
          <w:tcPr>
            <w:tcW w:w="3820" w:type="dxa"/>
            <w:vAlign w:val="center"/>
          </w:tcPr>
          <w:p>
            <w:pPr>
              <w:spacing w:line="240" w:lineRule="auto"/>
              <w:ind w:firstLine="0" w:firstLineChars="0"/>
              <w:jc w:val="center"/>
              <w:rPr>
                <w:color w:val="000000" w:themeColor="text1"/>
                <w:sz w:val="21"/>
                <w:szCs w:val="21"/>
              </w:rPr>
            </w:pPr>
            <w:r>
              <w:rPr>
                <w:color w:val="000000" w:themeColor="text1"/>
                <w:sz w:val="21"/>
                <w:szCs w:val="21"/>
              </w:rPr>
              <w:t>离子色谱法</w:t>
            </w:r>
          </w:p>
        </w:tc>
        <w:tc>
          <w:tcPr>
            <w:tcW w:w="1950" w:type="dxa"/>
            <w:vAlign w:val="center"/>
          </w:tcPr>
          <w:p>
            <w:pPr>
              <w:spacing w:line="240" w:lineRule="auto"/>
              <w:ind w:firstLine="0" w:firstLineChars="0"/>
              <w:jc w:val="center"/>
              <w:rPr>
                <w:color w:val="000000" w:themeColor="text1"/>
                <w:sz w:val="21"/>
                <w:szCs w:val="21"/>
              </w:rPr>
            </w:pPr>
            <w:r>
              <w:rPr>
                <w:color w:val="000000" w:themeColor="text1"/>
                <w:sz w:val="21"/>
                <w:szCs w:val="21"/>
              </w:rPr>
              <w:t>GB/T5750.5.1-2006</w:t>
            </w:r>
          </w:p>
          <w:p>
            <w:pPr>
              <w:tabs>
                <w:tab w:val="left" w:pos="1960"/>
              </w:tabs>
              <w:spacing w:line="240" w:lineRule="auto"/>
              <w:ind w:firstLine="0" w:firstLineChars="0"/>
              <w:jc w:val="center"/>
              <w:rPr>
                <w:rFonts w:eastAsiaTheme="minorEastAsia"/>
                <w:color w:val="000000" w:themeColor="text1"/>
                <w:kern w:val="24"/>
                <w:sz w:val="21"/>
                <w:szCs w:val="21"/>
              </w:rPr>
            </w:pPr>
          </w:p>
        </w:tc>
        <w:tc>
          <w:tcPr>
            <w:tcW w:w="1266"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0.005mg/L</w:t>
            </w:r>
          </w:p>
        </w:tc>
      </w:tr>
    </w:tbl>
    <w:p>
      <w:pPr>
        <w:ind w:firstLine="480"/>
        <w:rPr>
          <w:rFonts w:eastAsiaTheme="minorEastAsia"/>
          <w:color w:val="000000" w:themeColor="text1"/>
          <w:szCs w:val="20"/>
        </w:rPr>
      </w:pPr>
      <w:r>
        <w:rPr>
          <w:rFonts w:eastAsiaTheme="minorEastAsia"/>
          <w:color w:val="000000" w:themeColor="text1"/>
          <w:szCs w:val="20"/>
        </w:rPr>
        <w:t>6、监测结果与评价分析</w:t>
      </w:r>
    </w:p>
    <w:p>
      <w:pPr>
        <w:ind w:firstLine="480"/>
        <w:rPr>
          <w:rFonts w:eastAsiaTheme="minorEastAsia"/>
          <w:b/>
          <w:bCs/>
          <w:color w:val="000000" w:themeColor="text1"/>
          <w:sz w:val="21"/>
          <w:szCs w:val="20"/>
        </w:rPr>
      </w:pPr>
      <w:r>
        <w:rPr>
          <w:rFonts w:eastAsiaTheme="minorEastAsia"/>
          <w:color w:val="000000" w:themeColor="text1"/>
          <w:szCs w:val="20"/>
        </w:rPr>
        <w:t>该项目地下水监测结果见表5.2-</w:t>
      </w:r>
      <w:r>
        <w:rPr>
          <w:rFonts w:hint="eastAsia" w:eastAsiaTheme="minorEastAsia"/>
          <w:color w:val="000000" w:themeColor="text1"/>
          <w:szCs w:val="20"/>
        </w:rPr>
        <w:t>10。</w:t>
      </w:r>
    </w:p>
    <w:p>
      <w:pPr>
        <w:adjustRightInd w:val="0"/>
        <w:snapToGrid w:val="0"/>
        <w:ind w:firstLine="0" w:firstLineChars="0"/>
        <w:jc w:val="center"/>
        <w:textAlignment w:val="baseline"/>
        <w:rPr>
          <w:rFonts w:eastAsiaTheme="minorEastAsia"/>
          <w:b/>
          <w:bCs/>
          <w:color w:val="000000" w:themeColor="text1"/>
          <w:sz w:val="21"/>
          <w:szCs w:val="20"/>
        </w:rPr>
      </w:pPr>
      <w:r>
        <w:rPr>
          <w:rFonts w:eastAsiaTheme="minorEastAsia"/>
          <w:b/>
          <w:bCs/>
          <w:color w:val="000000" w:themeColor="text1"/>
          <w:sz w:val="21"/>
          <w:szCs w:val="20"/>
        </w:rPr>
        <w:t>表5.2-</w:t>
      </w:r>
      <w:r>
        <w:rPr>
          <w:rFonts w:hint="eastAsia" w:eastAsiaTheme="minorEastAsia"/>
          <w:b/>
          <w:bCs/>
          <w:color w:val="000000" w:themeColor="text1"/>
          <w:sz w:val="21"/>
          <w:szCs w:val="20"/>
        </w:rPr>
        <w:t xml:space="preserve">10 </w:t>
      </w:r>
      <w:r>
        <w:rPr>
          <w:rFonts w:eastAsiaTheme="minorEastAsia"/>
          <w:b/>
          <w:bCs/>
          <w:color w:val="000000" w:themeColor="text1"/>
          <w:sz w:val="21"/>
          <w:szCs w:val="20"/>
        </w:rPr>
        <w:t>J3点位地下水现状补充监测结果统计</w:t>
      </w:r>
    </w:p>
    <w:tbl>
      <w:tblPr>
        <w:tblStyle w:val="61"/>
        <w:tblW w:w="851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7"/>
        <w:gridCol w:w="1129"/>
        <w:gridCol w:w="1200"/>
        <w:gridCol w:w="1200"/>
        <w:gridCol w:w="1246"/>
        <w:gridCol w:w="1020"/>
        <w:gridCol w:w="1193"/>
        <w:gridCol w:w="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8" w:hRule="atLeast"/>
          <w:tblHeader/>
          <w:jc w:val="center"/>
        </w:trPr>
        <w:tc>
          <w:tcPr>
            <w:tcW w:w="637"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监测点位</w:t>
            </w:r>
          </w:p>
        </w:tc>
        <w:tc>
          <w:tcPr>
            <w:tcW w:w="1129"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监测项目</w:t>
            </w:r>
          </w:p>
        </w:tc>
        <w:tc>
          <w:tcPr>
            <w:tcW w:w="3646" w:type="dxa"/>
            <w:gridSpan w:val="3"/>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监测结果（mg/L）</w:t>
            </w:r>
          </w:p>
        </w:tc>
        <w:tc>
          <w:tcPr>
            <w:tcW w:w="1020"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标准限值（mg/L）</w:t>
            </w:r>
          </w:p>
        </w:tc>
        <w:tc>
          <w:tcPr>
            <w:tcW w:w="1193" w:type="dxa"/>
            <w:vMerge w:val="restart"/>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最大标准指数</w:t>
            </w:r>
          </w:p>
        </w:tc>
        <w:tc>
          <w:tcPr>
            <w:tcW w:w="894" w:type="dxa"/>
            <w:vMerge w:val="restart"/>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3" w:hRule="atLeast"/>
          <w:tblHeader/>
          <w:jc w:val="center"/>
        </w:trPr>
        <w:tc>
          <w:tcPr>
            <w:tcW w:w="637" w:type="dxa"/>
            <w:vMerge w:val="continue"/>
            <w:vAlign w:val="center"/>
          </w:tcPr>
          <w:p>
            <w:pPr>
              <w:spacing w:line="240" w:lineRule="auto"/>
              <w:ind w:firstLine="0" w:firstLineChars="0"/>
              <w:jc w:val="center"/>
              <w:rPr>
                <w:color w:val="000000" w:themeColor="text1"/>
              </w:rPr>
            </w:pPr>
          </w:p>
        </w:tc>
        <w:tc>
          <w:tcPr>
            <w:tcW w:w="1129" w:type="dxa"/>
            <w:vMerge w:val="continue"/>
            <w:vAlign w:val="center"/>
          </w:tcPr>
          <w:p>
            <w:pPr>
              <w:spacing w:line="240" w:lineRule="auto"/>
              <w:ind w:firstLine="0" w:firstLineChars="0"/>
              <w:jc w:val="center"/>
              <w:rPr>
                <w:color w:val="000000" w:themeColor="text1"/>
              </w:rPr>
            </w:pPr>
          </w:p>
        </w:tc>
        <w:tc>
          <w:tcPr>
            <w:tcW w:w="1200" w:type="dxa"/>
            <w:vAlign w:val="center"/>
          </w:tcPr>
          <w:p>
            <w:pPr>
              <w:spacing w:line="240" w:lineRule="auto"/>
              <w:ind w:firstLine="0" w:firstLineChars="0"/>
              <w:jc w:val="center"/>
              <w:rPr>
                <w:color w:val="000000" w:themeColor="text1"/>
              </w:rPr>
            </w:pPr>
            <w:r>
              <w:rPr>
                <w:color w:val="000000" w:themeColor="text1"/>
                <w:sz w:val="21"/>
              </w:rPr>
              <w:t>2019.08.25</w:t>
            </w:r>
          </w:p>
        </w:tc>
        <w:tc>
          <w:tcPr>
            <w:tcW w:w="1200" w:type="dxa"/>
            <w:vAlign w:val="center"/>
          </w:tcPr>
          <w:p>
            <w:pPr>
              <w:spacing w:line="240" w:lineRule="auto"/>
              <w:ind w:firstLine="0" w:firstLineChars="0"/>
              <w:jc w:val="center"/>
              <w:rPr>
                <w:color w:val="000000" w:themeColor="text1"/>
              </w:rPr>
            </w:pPr>
            <w:r>
              <w:rPr>
                <w:color w:val="000000" w:themeColor="text1"/>
                <w:sz w:val="21"/>
              </w:rPr>
              <w:t>2019.08.26</w:t>
            </w:r>
          </w:p>
        </w:tc>
        <w:tc>
          <w:tcPr>
            <w:tcW w:w="1246" w:type="dxa"/>
            <w:vAlign w:val="center"/>
          </w:tcPr>
          <w:p>
            <w:pPr>
              <w:spacing w:line="240" w:lineRule="auto"/>
              <w:ind w:firstLine="0" w:firstLineChars="0"/>
              <w:jc w:val="center"/>
              <w:rPr>
                <w:color w:val="000000" w:themeColor="text1"/>
              </w:rPr>
            </w:pPr>
            <w:r>
              <w:rPr>
                <w:color w:val="000000" w:themeColor="text1"/>
                <w:sz w:val="21"/>
              </w:rPr>
              <w:t>2019.08.27</w:t>
            </w:r>
          </w:p>
        </w:tc>
        <w:tc>
          <w:tcPr>
            <w:tcW w:w="1020" w:type="dxa"/>
            <w:vMerge w:val="continue"/>
            <w:vAlign w:val="center"/>
          </w:tcPr>
          <w:p>
            <w:pPr>
              <w:spacing w:line="240" w:lineRule="auto"/>
              <w:ind w:firstLine="0" w:firstLineChars="0"/>
              <w:jc w:val="center"/>
              <w:rPr>
                <w:color w:val="000000" w:themeColor="text1"/>
              </w:rPr>
            </w:pPr>
          </w:p>
        </w:tc>
        <w:tc>
          <w:tcPr>
            <w:tcW w:w="1193" w:type="dxa"/>
            <w:vMerge w:val="continue"/>
            <w:vAlign w:val="center"/>
          </w:tcPr>
          <w:p>
            <w:pPr>
              <w:spacing w:line="240" w:lineRule="auto"/>
              <w:ind w:firstLine="0" w:firstLineChars="0"/>
              <w:jc w:val="center"/>
              <w:rPr>
                <w:color w:val="000000" w:themeColor="text1"/>
              </w:rPr>
            </w:pPr>
          </w:p>
        </w:tc>
        <w:tc>
          <w:tcPr>
            <w:tcW w:w="894" w:type="dxa"/>
            <w:vMerge w:val="continue"/>
            <w:vAlign w:val="center"/>
          </w:tcPr>
          <w:p>
            <w:pPr>
              <w:spacing w:line="240" w:lineRule="auto"/>
              <w:ind w:firstLine="0" w:firstLineChars="0"/>
              <w:jc w:val="center"/>
              <w:rPr>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6" w:hRule="atLeast"/>
          <w:jc w:val="center"/>
        </w:trPr>
        <w:tc>
          <w:tcPr>
            <w:tcW w:w="637" w:type="dxa"/>
            <w:vMerge w:val="restart"/>
            <w:vAlign w:val="center"/>
          </w:tcPr>
          <w:p>
            <w:pPr>
              <w:tabs>
                <w:tab w:val="left" w:pos="1960"/>
              </w:tabs>
              <w:spacing w:line="240" w:lineRule="auto"/>
              <w:ind w:firstLine="0" w:firstLineChars="0"/>
              <w:jc w:val="center"/>
              <w:rPr>
                <w:rFonts w:eastAsiaTheme="minorEastAsia"/>
                <w:color w:val="000000" w:themeColor="text1"/>
                <w:kern w:val="24"/>
                <w:sz w:val="21"/>
                <w:szCs w:val="20"/>
              </w:rPr>
            </w:pPr>
            <w:r>
              <w:rPr>
                <w:rFonts w:eastAsiaTheme="minorEastAsia"/>
                <w:color w:val="000000" w:themeColor="text1"/>
                <w:kern w:val="24"/>
                <w:sz w:val="21"/>
                <w:szCs w:val="20"/>
              </w:rPr>
              <w:t>四坡斗村井水（实测）</w:t>
            </w:r>
          </w:p>
        </w:tc>
        <w:tc>
          <w:tcPr>
            <w:tcW w:w="1129" w:type="dxa"/>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pH</w:t>
            </w:r>
            <w:r>
              <w:rPr>
                <w:color w:val="000000" w:themeColor="text1"/>
                <w:sz w:val="21"/>
                <w:szCs w:val="21"/>
              </w:rPr>
              <w:t>（无量纲）</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7.45</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7.38</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7.49</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6.5~8.5</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0.33</w:t>
            </w:r>
          </w:p>
        </w:tc>
        <w:tc>
          <w:tcPr>
            <w:tcW w:w="894" w:type="dxa"/>
            <w:vAlign w:val="center"/>
          </w:tcPr>
          <w:p>
            <w:pPr>
              <w:widowControl/>
              <w:spacing w:line="240" w:lineRule="auto"/>
              <w:ind w:firstLine="0" w:firstLineChars="0"/>
              <w:jc w:val="center"/>
              <w:rPr>
                <w:rFonts w:eastAsiaTheme="minorEastAsia"/>
                <w:color w:val="000000" w:themeColor="text1"/>
                <w:kern w:val="0"/>
                <w:sz w:val="21"/>
                <w:szCs w:val="21"/>
                <w:lang w:eastAsia="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总硬度</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219</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229</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208</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450</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0.51</w:t>
            </w:r>
          </w:p>
        </w:tc>
        <w:tc>
          <w:tcPr>
            <w:tcW w:w="894" w:type="dxa"/>
            <w:vAlign w:val="center"/>
          </w:tcPr>
          <w:p>
            <w:pPr>
              <w:widowControl/>
              <w:spacing w:line="240" w:lineRule="auto"/>
              <w:ind w:firstLine="0" w:firstLineChars="0"/>
              <w:jc w:val="center"/>
              <w:rPr>
                <w:rFonts w:eastAsiaTheme="minorEastAsia"/>
                <w:color w:val="000000" w:themeColor="text1"/>
                <w:kern w:val="0"/>
                <w:sz w:val="21"/>
                <w:szCs w:val="21"/>
                <w:lang w:eastAsia="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6" w:hRule="atLeas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溶解性总固体</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421</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430</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412</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1000</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0.43</w:t>
            </w:r>
          </w:p>
        </w:tc>
        <w:tc>
          <w:tcPr>
            <w:tcW w:w="894"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硫酸盐</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11.4</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11.7</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11.6</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250</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0.047</w:t>
            </w:r>
          </w:p>
        </w:tc>
        <w:tc>
          <w:tcPr>
            <w:tcW w:w="894"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氯化物</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43.1</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43.7</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42.5</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250</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0.175</w:t>
            </w:r>
          </w:p>
        </w:tc>
        <w:tc>
          <w:tcPr>
            <w:tcW w:w="894"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铁</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0.03L</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0.03L</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0.03L</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0.3</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w:t>
            </w:r>
          </w:p>
        </w:tc>
        <w:tc>
          <w:tcPr>
            <w:tcW w:w="894"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锰</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0.01L</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0.01L</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0.01L</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0.1</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w:t>
            </w:r>
          </w:p>
        </w:tc>
        <w:tc>
          <w:tcPr>
            <w:tcW w:w="894"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挥发酚类</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0.002L</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0.002L</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0.002L</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0.002</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w:t>
            </w:r>
          </w:p>
        </w:tc>
        <w:tc>
          <w:tcPr>
            <w:tcW w:w="894"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09"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position w:val="2"/>
                <w:sz w:val="21"/>
                <w:szCs w:val="21"/>
              </w:rPr>
              <w:t>耗氧量（</w:t>
            </w:r>
            <w:r>
              <w:rPr>
                <w:rFonts w:eastAsia="Times New Roman"/>
                <w:color w:val="000000" w:themeColor="text1"/>
                <w:position w:val="2"/>
                <w:sz w:val="21"/>
                <w:szCs w:val="21"/>
              </w:rPr>
              <w:t>COD</w:t>
            </w:r>
            <w:r>
              <w:rPr>
                <w:rFonts w:eastAsia="Times New Roman"/>
                <w:color w:val="000000" w:themeColor="text1"/>
                <w:sz w:val="13"/>
                <w:szCs w:val="13"/>
              </w:rPr>
              <w:t>Mn</w:t>
            </w:r>
            <w:r>
              <w:rPr>
                <w:color w:val="000000" w:themeColor="text1"/>
                <w:position w:val="2"/>
                <w:sz w:val="21"/>
                <w:szCs w:val="21"/>
              </w:rPr>
              <w:t>）</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0.96</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0.85</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1.02</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3.0</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0.34</w:t>
            </w:r>
          </w:p>
        </w:tc>
        <w:tc>
          <w:tcPr>
            <w:tcW w:w="894" w:type="dxa"/>
            <w:vAlign w:val="center"/>
          </w:tcPr>
          <w:p>
            <w:pPr>
              <w:widowControl/>
              <w:spacing w:line="240" w:lineRule="auto"/>
              <w:ind w:firstLine="0" w:firstLineChars="0"/>
              <w:jc w:val="center"/>
              <w:rPr>
                <w:rFonts w:eastAsiaTheme="minorEastAsia"/>
                <w:color w:val="000000" w:themeColor="text1"/>
                <w:kern w:val="0"/>
                <w:sz w:val="21"/>
                <w:szCs w:val="21"/>
                <w:lang w:eastAsia="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氨氮）</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0.03</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0.03</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0.04</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0.5</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0.08</w:t>
            </w:r>
          </w:p>
        </w:tc>
        <w:tc>
          <w:tcPr>
            <w:tcW w:w="894" w:type="dxa"/>
            <w:vAlign w:val="center"/>
          </w:tcPr>
          <w:p>
            <w:pPr>
              <w:widowControl/>
              <w:spacing w:line="240" w:lineRule="auto"/>
              <w:ind w:firstLine="0" w:firstLineChars="0"/>
              <w:jc w:val="center"/>
              <w:rPr>
                <w:rFonts w:eastAsiaTheme="minorEastAsia"/>
                <w:color w:val="000000" w:themeColor="text1"/>
                <w:kern w:val="0"/>
                <w:sz w:val="21"/>
                <w:szCs w:val="21"/>
                <w:lang w:eastAsia="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7" w:hRule="atLeas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总大肠菌群（</w:t>
            </w:r>
            <w:r>
              <w:rPr>
                <w:rFonts w:eastAsia="Times New Roman"/>
                <w:color w:val="000000" w:themeColor="text1"/>
                <w:sz w:val="21"/>
                <w:szCs w:val="21"/>
              </w:rPr>
              <w:t>MPN/100mL</w:t>
            </w:r>
            <w:r>
              <w:rPr>
                <w:color w:val="000000" w:themeColor="text1"/>
                <w:sz w:val="21"/>
                <w:szCs w:val="21"/>
              </w:rPr>
              <w:t>）</w:t>
            </w:r>
          </w:p>
        </w:tc>
        <w:tc>
          <w:tcPr>
            <w:tcW w:w="1200"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未检出</w:t>
            </w:r>
          </w:p>
        </w:tc>
        <w:tc>
          <w:tcPr>
            <w:tcW w:w="1200"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未检出</w:t>
            </w:r>
          </w:p>
        </w:tc>
        <w:tc>
          <w:tcPr>
            <w:tcW w:w="1246"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未检出</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3</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w:t>
            </w:r>
          </w:p>
        </w:tc>
        <w:tc>
          <w:tcPr>
            <w:tcW w:w="894" w:type="dxa"/>
            <w:vAlign w:val="center"/>
          </w:tcPr>
          <w:p>
            <w:pPr>
              <w:widowControl/>
              <w:spacing w:line="240" w:lineRule="auto"/>
              <w:ind w:firstLine="0" w:firstLineChars="0"/>
              <w:jc w:val="center"/>
              <w:rPr>
                <w:rFonts w:eastAsiaTheme="minorEastAsia"/>
                <w:color w:val="000000" w:themeColor="text1"/>
                <w:kern w:val="0"/>
                <w:sz w:val="21"/>
                <w:szCs w:val="21"/>
                <w:lang w:eastAsia="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07" w:hRule="atLeas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菌落总数（</w:t>
            </w:r>
            <w:r>
              <w:rPr>
                <w:rFonts w:eastAsia="Times New Roman"/>
                <w:color w:val="000000" w:themeColor="text1"/>
                <w:sz w:val="21"/>
                <w:szCs w:val="21"/>
              </w:rPr>
              <w:t>CFU/mL</w:t>
            </w:r>
            <w:r>
              <w:rPr>
                <w:color w:val="000000" w:themeColor="text1"/>
                <w:sz w:val="21"/>
                <w:szCs w:val="21"/>
              </w:rPr>
              <w:t>）</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34</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31</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37</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100</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0.37</w:t>
            </w:r>
          </w:p>
        </w:tc>
        <w:tc>
          <w:tcPr>
            <w:tcW w:w="894" w:type="dxa"/>
            <w:vAlign w:val="center"/>
          </w:tcPr>
          <w:p>
            <w:pPr>
              <w:widowControl/>
              <w:spacing w:line="240" w:lineRule="auto"/>
              <w:ind w:firstLine="0" w:firstLineChars="0"/>
              <w:jc w:val="center"/>
              <w:rPr>
                <w:rFonts w:eastAsiaTheme="minorEastAsia"/>
                <w:color w:val="000000" w:themeColor="text1"/>
                <w:kern w:val="0"/>
                <w:sz w:val="21"/>
                <w:szCs w:val="21"/>
                <w:lang w:eastAsia="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亚硝酸盐</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0.007</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0.006</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0.008</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1.0</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0.008</w:t>
            </w:r>
          </w:p>
        </w:tc>
        <w:tc>
          <w:tcPr>
            <w:tcW w:w="894" w:type="dxa"/>
            <w:vAlign w:val="center"/>
          </w:tcPr>
          <w:p>
            <w:pPr>
              <w:widowControl/>
              <w:spacing w:line="240" w:lineRule="auto"/>
              <w:ind w:firstLine="0" w:firstLineChars="0"/>
              <w:jc w:val="center"/>
              <w:rPr>
                <w:rFonts w:eastAsiaTheme="minorEastAsia"/>
                <w:color w:val="000000" w:themeColor="text1"/>
                <w:kern w:val="0"/>
                <w:sz w:val="21"/>
                <w:szCs w:val="21"/>
                <w:lang w:eastAsia="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硝酸盐</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0.2L</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0.2L</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0.2L</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20</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w:t>
            </w:r>
          </w:p>
        </w:tc>
        <w:tc>
          <w:tcPr>
            <w:tcW w:w="894" w:type="dxa"/>
            <w:vAlign w:val="center"/>
          </w:tcPr>
          <w:p>
            <w:pPr>
              <w:spacing w:line="240" w:lineRule="auto"/>
              <w:ind w:firstLine="0" w:firstLineChars="0"/>
              <w:jc w:val="center"/>
              <w:rPr>
                <w:rFonts w:eastAsiaTheme="minorEastAsia"/>
                <w:color w:val="000000" w:themeColor="text1"/>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氰化物</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0.002L</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0.002L</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0.002L</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0.05</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w:t>
            </w:r>
          </w:p>
        </w:tc>
        <w:tc>
          <w:tcPr>
            <w:tcW w:w="894" w:type="dxa"/>
            <w:vAlign w:val="center"/>
          </w:tcPr>
          <w:p>
            <w:pPr>
              <w:spacing w:line="240" w:lineRule="auto"/>
              <w:ind w:firstLine="0" w:firstLineChars="0"/>
              <w:jc w:val="center"/>
              <w:rPr>
                <w:rFonts w:eastAsiaTheme="minorEastAsia"/>
                <w:color w:val="000000" w:themeColor="text1"/>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氟化物</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0.2</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0.2</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0.2</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1.0</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0.2</w:t>
            </w:r>
          </w:p>
        </w:tc>
        <w:tc>
          <w:tcPr>
            <w:tcW w:w="894" w:type="dxa"/>
            <w:vAlign w:val="center"/>
          </w:tcPr>
          <w:p>
            <w:pPr>
              <w:spacing w:line="240" w:lineRule="auto"/>
              <w:ind w:firstLine="0" w:firstLineChars="0"/>
              <w:jc w:val="center"/>
              <w:rPr>
                <w:rFonts w:eastAsiaTheme="minorEastAsia"/>
                <w:color w:val="000000" w:themeColor="text1"/>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汞</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rFonts w:eastAsia="Times New Roman"/>
                <w:color w:val="000000" w:themeColor="text1"/>
                <w:sz w:val="21"/>
                <w:szCs w:val="21"/>
              </w:rPr>
              <w:t>1×10</w:t>
            </w:r>
            <w:r>
              <w:rPr>
                <w:rFonts w:eastAsia="Times New Roman"/>
                <w:color w:val="000000" w:themeColor="text1"/>
                <w:position w:val="7"/>
                <w:sz w:val="13"/>
                <w:szCs w:val="13"/>
              </w:rPr>
              <w:t>-4</w:t>
            </w:r>
            <w:r>
              <w:rPr>
                <w:rFonts w:eastAsia="Times New Roman"/>
                <w:color w:val="000000" w:themeColor="text1"/>
                <w:sz w:val="21"/>
                <w:szCs w:val="21"/>
              </w:rPr>
              <w:t>L</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rFonts w:eastAsia="Times New Roman"/>
                <w:color w:val="000000" w:themeColor="text1"/>
                <w:sz w:val="21"/>
                <w:szCs w:val="21"/>
              </w:rPr>
              <w:t>1×10</w:t>
            </w:r>
            <w:r>
              <w:rPr>
                <w:rFonts w:eastAsia="Times New Roman"/>
                <w:color w:val="000000" w:themeColor="text1"/>
                <w:position w:val="7"/>
                <w:sz w:val="13"/>
                <w:szCs w:val="13"/>
              </w:rPr>
              <w:t>-4</w:t>
            </w:r>
            <w:r>
              <w:rPr>
                <w:rFonts w:eastAsia="Times New Roman"/>
                <w:color w:val="000000" w:themeColor="text1"/>
                <w:sz w:val="21"/>
                <w:szCs w:val="21"/>
              </w:rPr>
              <w:t>L</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rFonts w:eastAsia="Times New Roman"/>
                <w:color w:val="000000" w:themeColor="text1"/>
                <w:sz w:val="21"/>
                <w:szCs w:val="21"/>
              </w:rPr>
              <w:t>1×10</w:t>
            </w:r>
            <w:r>
              <w:rPr>
                <w:rFonts w:eastAsia="Times New Roman"/>
                <w:color w:val="000000" w:themeColor="text1"/>
                <w:position w:val="7"/>
                <w:sz w:val="13"/>
                <w:szCs w:val="13"/>
              </w:rPr>
              <w:t>-4</w:t>
            </w:r>
            <w:r>
              <w:rPr>
                <w:rFonts w:eastAsia="Times New Roman"/>
                <w:color w:val="000000" w:themeColor="text1"/>
                <w:sz w:val="21"/>
                <w:szCs w:val="21"/>
              </w:rPr>
              <w:t>L</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0.001</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w:t>
            </w:r>
          </w:p>
        </w:tc>
        <w:tc>
          <w:tcPr>
            <w:tcW w:w="894" w:type="dxa"/>
            <w:vAlign w:val="center"/>
          </w:tcPr>
          <w:p>
            <w:pPr>
              <w:spacing w:line="240" w:lineRule="auto"/>
              <w:ind w:firstLine="0" w:firstLineChars="0"/>
              <w:jc w:val="center"/>
              <w:rPr>
                <w:rFonts w:eastAsiaTheme="minorEastAsia"/>
                <w:color w:val="000000" w:themeColor="text1"/>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砷</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rFonts w:eastAsia="Times New Roman"/>
                <w:color w:val="000000" w:themeColor="text1"/>
                <w:sz w:val="21"/>
                <w:szCs w:val="21"/>
              </w:rPr>
              <w:t>1.0×10</w:t>
            </w:r>
            <w:r>
              <w:rPr>
                <w:rFonts w:eastAsia="Times New Roman"/>
                <w:color w:val="000000" w:themeColor="text1"/>
                <w:position w:val="7"/>
                <w:sz w:val="13"/>
                <w:szCs w:val="13"/>
              </w:rPr>
              <w:t>-3</w:t>
            </w:r>
            <w:r>
              <w:rPr>
                <w:rFonts w:eastAsia="Times New Roman"/>
                <w:color w:val="000000" w:themeColor="text1"/>
                <w:sz w:val="21"/>
                <w:szCs w:val="21"/>
              </w:rPr>
              <w:t>L</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rFonts w:eastAsia="Times New Roman"/>
                <w:color w:val="000000" w:themeColor="text1"/>
                <w:sz w:val="21"/>
                <w:szCs w:val="21"/>
              </w:rPr>
              <w:t>1.0×10</w:t>
            </w:r>
            <w:r>
              <w:rPr>
                <w:rFonts w:eastAsia="Times New Roman"/>
                <w:color w:val="000000" w:themeColor="text1"/>
                <w:position w:val="7"/>
                <w:sz w:val="13"/>
                <w:szCs w:val="13"/>
              </w:rPr>
              <w:t>-3</w:t>
            </w:r>
            <w:r>
              <w:rPr>
                <w:rFonts w:eastAsia="Times New Roman"/>
                <w:color w:val="000000" w:themeColor="text1"/>
                <w:sz w:val="21"/>
                <w:szCs w:val="21"/>
              </w:rPr>
              <w:t>L</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rFonts w:eastAsia="Times New Roman"/>
                <w:color w:val="000000" w:themeColor="text1"/>
                <w:sz w:val="21"/>
                <w:szCs w:val="21"/>
              </w:rPr>
              <w:t>1.0×10</w:t>
            </w:r>
            <w:r>
              <w:rPr>
                <w:rFonts w:eastAsia="Times New Roman"/>
                <w:color w:val="000000" w:themeColor="text1"/>
                <w:position w:val="7"/>
                <w:sz w:val="13"/>
                <w:szCs w:val="13"/>
              </w:rPr>
              <w:t>-3</w:t>
            </w:r>
            <w:r>
              <w:rPr>
                <w:rFonts w:eastAsia="Times New Roman"/>
                <w:color w:val="000000" w:themeColor="text1"/>
                <w:sz w:val="21"/>
                <w:szCs w:val="21"/>
              </w:rPr>
              <w:t>L</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0.01</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w:t>
            </w:r>
          </w:p>
        </w:tc>
        <w:tc>
          <w:tcPr>
            <w:tcW w:w="894" w:type="dxa"/>
            <w:vAlign w:val="center"/>
          </w:tcPr>
          <w:p>
            <w:pPr>
              <w:spacing w:line="240" w:lineRule="auto"/>
              <w:ind w:firstLine="0" w:firstLineChars="0"/>
              <w:jc w:val="center"/>
              <w:rPr>
                <w:rFonts w:eastAsiaTheme="minorEastAsia"/>
                <w:color w:val="000000" w:themeColor="text1"/>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镉</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rFonts w:eastAsia="Times New Roman"/>
                <w:color w:val="000000" w:themeColor="text1"/>
                <w:sz w:val="21"/>
                <w:szCs w:val="21"/>
              </w:rPr>
              <w:t>5×10</w:t>
            </w:r>
            <w:r>
              <w:rPr>
                <w:rFonts w:eastAsia="Times New Roman"/>
                <w:color w:val="000000" w:themeColor="text1"/>
                <w:position w:val="7"/>
                <w:sz w:val="13"/>
                <w:szCs w:val="13"/>
              </w:rPr>
              <w:t>-4</w:t>
            </w:r>
            <w:r>
              <w:rPr>
                <w:rFonts w:eastAsia="Times New Roman"/>
                <w:color w:val="000000" w:themeColor="text1"/>
                <w:sz w:val="21"/>
                <w:szCs w:val="21"/>
              </w:rPr>
              <w:t>L</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rFonts w:eastAsia="Times New Roman"/>
                <w:color w:val="000000" w:themeColor="text1"/>
                <w:sz w:val="21"/>
                <w:szCs w:val="21"/>
              </w:rPr>
              <w:t>5×10</w:t>
            </w:r>
            <w:r>
              <w:rPr>
                <w:rFonts w:eastAsia="Times New Roman"/>
                <w:color w:val="000000" w:themeColor="text1"/>
                <w:position w:val="7"/>
                <w:sz w:val="13"/>
                <w:szCs w:val="13"/>
              </w:rPr>
              <w:t>-4</w:t>
            </w:r>
            <w:r>
              <w:rPr>
                <w:rFonts w:eastAsia="Times New Roman"/>
                <w:color w:val="000000" w:themeColor="text1"/>
                <w:sz w:val="21"/>
                <w:szCs w:val="21"/>
              </w:rPr>
              <w:t>L</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rFonts w:eastAsia="Times New Roman"/>
                <w:color w:val="000000" w:themeColor="text1"/>
                <w:sz w:val="21"/>
                <w:szCs w:val="21"/>
              </w:rPr>
              <w:t>5×10</w:t>
            </w:r>
            <w:r>
              <w:rPr>
                <w:rFonts w:eastAsia="Times New Roman"/>
                <w:color w:val="000000" w:themeColor="text1"/>
                <w:position w:val="7"/>
                <w:sz w:val="13"/>
                <w:szCs w:val="13"/>
              </w:rPr>
              <w:t>-4</w:t>
            </w:r>
            <w:r>
              <w:rPr>
                <w:rFonts w:eastAsia="Times New Roman"/>
                <w:color w:val="000000" w:themeColor="text1"/>
                <w:sz w:val="21"/>
                <w:szCs w:val="21"/>
              </w:rPr>
              <w:t>L</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0.005</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w:t>
            </w:r>
          </w:p>
        </w:tc>
        <w:tc>
          <w:tcPr>
            <w:tcW w:w="894" w:type="dxa"/>
            <w:vAlign w:val="center"/>
          </w:tcPr>
          <w:p>
            <w:pPr>
              <w:spacing w:line="240" w:lineRule="auto"/>
              <w:ind w:firstLine="0" w:firstLineChars="0"/>
              <w:jc w:val="center"/>
              <w:rPr>
                <w:rFonts w:eastAsiaTheme="minorEastAsia"/>
                <w:color w:val="000000" w:themeColor="text1"/>
                <w:kern w:val="0"/>
                <w:sz w:val="21"/>
                <w:szCs w:val="21"/>
                <w:lang w:eastAsia="en-US"/>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铬（六价）</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0.004L</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0.004L</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0.004L</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0.05</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w:t>
            </w:r>
          </w:p>
        </w:tc>
        <w:tc>
          <w:tcPr>
            <w:tcW w:w="894" w:type="dxa"/>
            <w:vAlign w:val="center"/>
          </w:tcPr>
          <w:p>
            <w:pPr>
              <w:spacing w:line="240" w:lineRule="auto"/>
              <w:ind w:firstLine="0" w:firstLineChars="0"/>
              <w:jc w:val="center"/>
              <w:rPr>
                <w:rFonts w:eastAsiaTheme="minorEastAsia"/>
                <w:color w:val="000000" w:themeColor="text1"/>
              </w:rPr>
            </w:pPr>
            <w:r>
              <w:rPr>
                <w:rFonts w:eastAsiaTheme="minorEastAsia"/>
                <w:color w:val="000000" w:themeColor="text1"/>
                <w:kern w:val="0"/>
                <w:sz w:val="21"/>
                <w:szCs w:val="21"/>
                <w:lang w:eastAsia="en-US"/>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37"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129" w:type="dxa"/>
            <w:vAlign w:val="center"/>
          </w:tcPr>
          <w:p>
            <w:pPr>
              <w:pStyle w:val="617"/>
              <w:spacing w:line="240" w:lineRule="auto"/>
              <w:ind w:firstLine="0" w:firstLineChars="0"/>
              <w:jc w:val="center"/>
              <w:rPr>
                <w:color w:val="000000" w:themeColor="text1"/>
                <w:sz w:val="21"/>
                <w:szCs w:val="21"/>
              </w:rPr>
            </w:pPr>
            <w:r>
              <w:rPr>
                <w:color w:val="000000" w:themeColor="text1"/>
                <w:sz w:val="21"/>
                <w:szCs w:val="21"/>
              </w:rPr>
              <w:t>铅</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rFonts w:eastAsia="Times New Roman"/>
                <w:color w:val="000000" w:themeColor="text1"/>
                <w:sz w:val="21"/>
                <w:szCs w:val="21"/>
              </w:rPr>
              <w:t>2.5×10</w:t>
            </w:r>
            <w:r>
              <w:rPr>
                <w:rFonts w:eastAsia="Times New Roman"/>
                <w:color w:val="000000" w:themeColor="text1"/>
                <w:position w:val="7"/>
                <w:sz w:val="13"/>
                <w:szCs w:val="13"/>
              </w:rPr>
              <w:t>-3</w:t>
            </w:r>
            <w:r>
              <w:rPr>
                <w:rFonts w:eastAsia="Times New Roman"/>
                <w:color w:val="000000" w:themeColor="text1"/>
                <w:sz w:val="21"/>
                <w:szCs w:val="21"/>
              </w:rPr>
              <w:t>L</w:t>
            </w:r>
          </w:p>
        </w:tc>
        <w:tc>
          <w:tcPr>
            <w:tcW w:w="1200" w:type="dxa"/>
            <w:vAlign w:val="center"/>
          </w:tcPr>
          <w:p>
            <w:pPr>
              <w:pStyle w:val="617"/>
              <w:spacing w:line="240" w:lineRule="auto"/>
              <w:ind w:firstLine="0" w:firstLineChars="0"/>
              <w:jc w:val="center"/>
              <w:rPr>
                <w:rFonts w:eastAsia="Times New Roman"/>
                <w:color w:val="000000" w:themeColor="text1"/>
                <w:sz w:val="21"/>
                <w:szCs w:val="21"/>
              </w:rPr>
            </w:pPr>
            <w:r>
              <w:rPr>
                <w:rFonts w:eastAsia="Times New Roman"/>
                <w:color w:val="000000" w:themeColor="text1"/>
                <w:sz w:val="21"/>
                <w:szCs w:val="21"/>
              </w:rPr>
              <w:t>2.5×10</w:t>
            </w:r>
            <w:r>
              <w:rPr>
                <w:rFonts w:eastAsia="Times New Roman"/>
                <w:color w:val="000000" w:themeColor="text1"/>
                <w:position w:val="7"/>
                <w:sz w:val="13"/>
                <w:szCs w:val="13"/>
              </w:rPr>
              <w:t>-3</w:t>
            </w:r>
            <w:r>
              <w:rPr>
                <w:rFonts w:eastAsia="Times New Roman"/>
                <w:color w:val="000000" w:themeColor="text1"/>
                <w:sz w:val="21"/>
                <w:szCs w:val="21"/>
              </w:rPr>
              <w:t>L</w:t>
            </w:r>
          </w:p>
        </w:tc>
        <w:tc>
          <w:tcPr>
            <w:tcW w:w="1246" w:type="dxa"/>
            <w:vAlign w:val="center"/>
          </w:tcPr>
          <w:p>
            <w:pPr>
              <w:pStyle w:val="617"/>
              <w:spacing w:line="240" w:lineRule="auto"/>
              <w:ind w:firstLine="0" w:firstLineChars="0"/>
              <w:jc w:val="center"/>
              <w:rPr>
                <w:rFonts w:eastAsia="Times New Roman"/>
                <w:color w:val="000000" w:themeColor="text1"/>
                <w:sz w:val="21"/>
                <w:szCs w:val="21"/>
              </w:rPr>
            </w:pPr>
            <w:r>
              <w:rPr>
                <w:rFonts w:eastAsia="Times New Roman"/>
                <w:color w:val="000000" w:themeColor="text1"/>
                <w:sz w:val="21"/>
                <w:szCs w:val="21"/>
              </w:rPr>
              <w:t>2.5×10</w:t>
            </w:r>
            <w:r>
              <w:rPr>
                <w:rFonts w:eastAsia="Times New Roman"/>
                <w:color w:val="000000" w:themeColor="text1"/>
                <w:position w:val="7"/>
                <w:sz w:val="13"/>
                <w:szCs w:val="13"/>
              </w:rPr>
              <w:t>-3</w:t>
            </w:r>
            <w:r>
              <w:rPr>
                <w:rFonts w:eastAsia="Times New Roman"/>
                <w:color w:val="000000" w:themeColor="text1"/>
                <w:sz w:val="21"/>
                <w:szCs w:val="21"/>
              </w:rPr>
              <w:t>L</w:t>
            </w:r>
          </w:p>
        </w:tc>
        <w:tc>
          <w:tcPr>
            <w:tcW w:w="1020" w:type="dxa"/>
            <w:vAlign w:val="center"/>
          </w:tcPr>
          <w:p>
            <w:pPr>
              <w:spacing w:line="240" w:lineRule="auto"/>
              <w:ind w:firstLine="0" w:firstLineChars="0"/>
              <w:jc w:val="center"/>
              <w:textAlignment w:val="center"/>
              <w:rPr>
                <w:rFonts w:eastAsiaTheme="minorEastAsia"/>
                <w:color w:val="000000" w:themeColor="text1"/>
                <w:sz w:val="21"/>
                <w:szCs w:val="21"/>
              </w:rPr>
            </w:pPr>
            <w:r>
              <w:rPr>
                <w:rFonts w:eastAsiaTheme="minorEastAsia"/>
                <w:color w:val="000000" w:themeColor="text1"/>
                <w:sz w:val="21"/>
                <w:szCs w:val="21"/>
              </w:rPr>
              <w:t>0.01</w:t>
            </w:r>
          </w:p>
        </w:tc>
        <w:tc>
          <w:tcPr>
            <w:tcW w:w="1193" w:type="dxa"/>
            <w:vAlign w:val="center"/>
          </w:tcPr>
          <w:p>
            <w:pPr>
              <w:spacing w:line="240" w:lineRule="auto"/>
              <w:ind w:firstLine="0" w:firstLineChars="0"/>
              <w:jc w:val="center"/>
              <w:textAlignment w:val="center"/>
              <w:rPr>
                <w:rFonts w:eastAsiaTheme="minorEastAsia"/>
                <w:color w:val="000000" w:themeColor="text1"/>
                <w:sz w:val="21"/>
                <w:szCs w:val="21"/>
              </w:rPr>
            </w:pPr>
            <w:r>
              <w:rPr>
                <w:rFonts w:hint="eastAsia" w:eastAsiaTheme="minorEastAsia"/>
                <w:color w:val="000000" w:themeColor="text1"/>
                <w:sz w:val="21"/>
                <w:szCs w:val="21"/>
              </w:rPr>
              <w:t>/</w:t>
            </w:r>
          </w:p>
        </w:tc>
        <w:tc>
          <w:tcPr>
            <w:tcW w:w="894" w:type="dxa"/>
            <w:vAlign w:val="center"/>
          </w:tcPr>
          <w:p>
            <w:pPr>
              <w:spacing w:line="240" w:lineRule="auto"/>
              <w:ind w:firstLine="0" w:firstLineChars="0"/>
              <w:jc w:val="center"/>
              <w:rPr>
                <w:rFonts w:eastAsiaTheme="minorEastAsia"/>
                <w:color w:val="000000" w:themeColor="text1"/>
              </w:rPr>
            </w:pPr>
            <w:r>
              <w:rPr>
                <w:rFonts w:eastAsiaTheme="minorEastAsia"/>
                <w:color w:val="000000" w:themeColor="text1"/>
                <w:kern w:val="0"/>
                <w:sz w:val="21"/>
                <w:szCs w:val="21"/>
                <w:lang w:eastAsia="en-US"/>
              </w:rPr>
              <w:t>达标</w:t>
            </w:r>
          </w:p>
        </w:tc>
      </w:tr>
    </w:tbl>
    <w:p>
      <w:pPr>
        <w:pStyle w:val="42"/>
        <w:ind w:firstLine="0" w:firstLineChars="0"/>
        <w:rPr>
          <w:color w:val="000000" w:themeColor="text1"/>
        </w:rPr>
      </w:pPr>
    </w:p>
    <w:p>
      <w:pPr>
        <w:adjustRightInd w:val="0"/>
        <w:snapToGrid w:val="0"/>
        <w:ind w:firstLine="0" w:firstLineChars="0"/>
        <w:jc w:val="center"/>
        <w:textAlignment w:val="baseline"/>
        <w:rPr>
          <w:rFonts w:eastAsiaTheme="minorEastAsia"/>
          <w:b/>
          <w:bCs/>
          <w:color w:val="000000" w:themeColor="text1"/>
          <w:sz w:val="21"/>
          <w:szCs w:val="21"/>
        </w:rPr>
      </w:pPr>
      <w:r>
        <w:rPr>
          <w:rFonts w:eastAsiaTheme="minorEastAsia"/>
          <w:b/>
          <w:bCs/>
          <w:color w:val="000000" w:themeColor="text1"/>
          <w:sz w:val="21"/>
          <w:szCs w:val="21"/>
        </w:rPr>
        <w:t>表5.2-1</w:t>
      </w:r>
      <w:r>
        <w:rPr>
          <w:rFonts w:hint="eastAsia" w:eastAsiaTheme="minorEastAsia"/>
          <w:b/>
          <w:bCs/>
          <w:color w:val="000000" w:themeColor="text1"/>
          <w:sz w:val="21"/>
          <w:szCs w:val="21"/>
        </w:rPr>
        <w:t xml:space="preserve">1 </w:t>
      </w:r>
      <w:r>
        <w:rPr>
          <w:rFonts w:eastAsiaTheme="minorEastAsia"/>
          <w:b/>
          <w:bCs/>
          <w:color w:val="000000" w:themeColor="text1"/>
          <w:sz w:val="21"/>
          <w:szCs w:val="20"/>
        </w:rPr>
        <w:t>J1和J2点位地下水现状补充监测结果统计</w:t>
      </w:r>
    </w:p>
    <w:tbl>
      <w:tblPr>
        <w:tblStyle w:val="61"/>
        <w:tblW w:w="851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1352"/>
        <w:gridCol w:w="1229"/>
        <w:gridCol w:w="1246"/>
        <w:gridCol w:w="1260"/>
        <w:gridCol w:w="1303"/>
        <w:gridCol w:w="1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4" w:hRule="atLeast"/>
          <w:tblHeader/>
          <w:jc w:val="center"/>
        </w:trPr>
        <w:tc>
          <w:tcPr>
            <w:tcW w:w="654"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监测点位</w:t>
            </w:r>
          </w:p>
        </w:tc>
        <w:tc>
          <w:tcPr>
            <w:tcW w:w="1352"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监测项目</w:t>
            </w:r>
          </w:p>
        </w:tc>
        <w:tc>
          <w:tcPr>
            <w:tcW w:w="2475" w:type="dxa"/>
            <w:gridSpan w:val="2"/>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监测结果</w:t>
            </w:r>
          </w:p>
        </w:tc>
        <w:tc>
          <w:tcPr>
            <w:tcW w:w="1260"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标准限值（mg/L）</w:t>
            </w:r>
          </w:p>
        </w:tc>
        <w:tc>
          <w:tcPr>
            <w:tcW w:w="1303" w:type="dxa"/>
            <w:vMerge w:val="restart"/>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最大标准指数</w:t>
            </w:r>
          </w:p>
        </w:tc>
        <w:tc>
          <w:tcPr>
            <w:tcW w:w="1475" w:type="dxa"/>
            <w:vMerge w:val="restart"/>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4" w:hRule="atLeast"/>
          <w:tblHeader/>
          <w:jc w:val="center"/>
        </w:trPr>
        <w:tc>
          <w:tcPr>
            <w:tcW w:w="654" w:type="dxa"/>
            <w:vMerge w:val="continue"/>
            <w:vAlign w:val="center"/>
          </w:tcPr>
          <w:p>
            <w:pPr>
              <w:spacing w:line="240" w:lineRule="auto"/>
              <w:ind w:firstLine="0" w:firstLineChars="0"/>
              <w:jc w:val="center"/>
              <w:rPr>
                <w:color w:val="000000" w:themeColor="text1"/>
                <w:sz w:val="21"/>
                <w:szCs w:val="21"/>
              </w:rPr>
            </w:pPr>
          </w:p>
        </w:tc>
        <w:tc>
          <w:tcPr>
            <w:tcW w:w="1352" w:type="dxa"/>
            <w:vMerge w:val="continue"/>
            <w:vAlign w:val="center"/>
          </w:tcPr>
          <w:p>
            <w:pPr>
              <w:spacing w:line="240" w:lineRule="auto"/>
              <w:ind w:firstLine="0" w:firstLineChars="0"/>
              <w:jc w:val="center"/>
              <w:rPr>
                <w:color w:val="000000" w:themeColor="text1"/>
                <w:sz w:val="21"/>
                <w:szCs w:val="21"/>
              </w:rPr>
            </w:pPr>
          </w:p>
        </w:tc>
        <w:tc>
          <w:tcPr>
            <w:tcW w:w="1229"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szCs w:val="21"/>
              </w:rPr>
              <w:t>2021/1/17</w:t>
            </w:r>
          </w:p>
        </w:tc>
        <w:tc>
          <w:tcPr>
            <w:tcW w:w="1246"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szCs w:val="21"/>
              </w:rPr>
              <w:t>2021/1/18</w:t>
            </w:r>
          </w:p>
        </w:tc>
        <w:tc>
          <w:tcPr>
            <w:tcW w:w="1260"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303"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475" w:type="dxa"/>
            <w:vMerge w:val="continue"/>
            <w:vAlign w:val="center"/>
          </w:tcPr>
          <w:p>
            <w:pPr>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4" w:hRule="exact"/>
          <w:jc w:val="center"/>
        </w:trPr>
        <w:tc>
          <w:tcPr>
            <w:tcW w:w="654" w:type="dxa"/>
            <w:vMerge w:val="restart"/>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J1</w:t>
            </w: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pH（无量纲）</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6.92</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6.80</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lang w:val="zh-CN"/>
              </w:rPr>
              <w:t>6.5~8.5</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0.4</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氨氮</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0.156</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0.151</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0.312</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硝酸盐氮</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0.06</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0.05</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0.003</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亚硝酸盐氮</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0.003L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0.003L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挥发性酚类</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0.0003L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0.0003L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0.002</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氰化物</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0.004L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0.004L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砷</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0.0008</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0.0008</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0.01</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0.08</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汞</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0.00004L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0.00004L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六价铬</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0.004L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0.004L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总硬度</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352</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345</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450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0.78</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铅</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0.01L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0.01L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0.01</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氟化物</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0.38</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0.41</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0.41</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镉</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0.001L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0.001L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0.005</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铁</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0.03L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0.03L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0.3</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锰</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0.02L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0.02L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0.1</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溶解性总固体</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382</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385</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1000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0.385</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耗氧量</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1.76</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1.72</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0.59</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8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总大肠菌群数</w:t>
            </w:r>
            <w:r>
              <w:rPr>
                <w:color w:val="000000" w:themeColor="text1"/>
                <w:kern w:val="0"/>
                <w:sz w:val="21"/>
                <w:szCs w:val="21"/>
              </w:rPr>
              <w:t>(MPN/100mL)</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未检出</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未检出</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9"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菌落总数</w:t>
            </w:r>
            <w:r>
              <w:rPr>
                <w:color w:val="000000" w:themeColor="text1"/>
                <w:kern w:val="0"/>
                <w:sz w:val="21"/>
                <w:szCs w:val="21"/>
              </w:rPr>
              <w:t>(CFU/mL)</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80</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70</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0.8</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铜</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0.01L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0.01L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锌</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0.006L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0.006L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铝</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0.016</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0.016</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0.2</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0.08</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9"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阴离子表面活性剂</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0.05L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0.05L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0.3</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硫化物</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0.005L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0.005L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0.02</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K</w:t>
            </w:r>
            <w:r>
              <w:rPr>
                <w:color w:val="000000" w:themeColor="text1"/>
                <w:sz w:val="21"/>
                <w:szCs w:val="21"/>
                <w:vertAlign w:val="superscript"/>
              </w:rPr>
              <w:t>+</w:t>
            </w:r>
            <w:r>
              <w:rPr>
                <w:color w:val="000000" w:themeColor="text1"/>
                <w:sz w:val="21"/>
                <w:szCs w:val="21"/>
              </w:rPr>
              <w:t>*</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0.81</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0.80</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Na</w:t>
            </w:r>
            <w:r>
              <w:rPr>
                <w:color w:val="000000" w:themeColor="text1"/>
                <w:sz w:val="21"/>
                <w:szCs w:val="21"/>
                <w:vertAlign w:val="superscript"/>
              </w:rPr>
              <w:t>+</w:t>
            </w:r>
            <w:r>
              <w:rPr>
                <w:color w:val="000000" w:themeColor="text1"/>
                <w:sz w:val="21"/>
                <w:szCs w:val="21"/>
              </w:rPr>
              <w:t>*</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4.30</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4.33</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Ca</w:t>
            </w:r>
            <w:r>
              <w:rPr>
                <w:color w:val="000000" w:themeColor="text1"/>
                <w:sz w:val="21"/>
                <w:szCs w:val="21"/>
                <w:vertAlign w:val="superscript"/>
              </w:rPr>
              <w:t>2+</w:t>
            </w:r>
            <w:r>
              <w:rPr>
                <w:color w:val="000000" w:themeColor="text1"/>
                <w:sz w:val="21"/>
                <w:szCs w:val="21"/>
              </w:rPr>
              <w:t>*</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37.9</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37.8</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M</w:t>
            </w:r>
            <w:r>
              <w:rPr>
                <w:rFonts w:hint="eastAsia"/>
                <w:color w:val="000000" w:themeColor="text1"/>
                <w:sz w:val="21"/>
                <w:szCs w:val="21"/>
              </w:rPr>
              <w:t>DA002</w:t>
            </w:r>
            <w:r>
              <w:rPr>
                <w:color w:val="000000" w:themeColor="text1"/>
                <w:sz w:val="21"/>
                <w:szCs w:val="21"/>
                <w:vertAlign w:val="superscript"/>
              </w:rPr>
              <w:t>+</w:t>
            </w:r>
            <w:r>
              <w:rPr>
                <w:color w:val="000000" w:themeColor="text1"/>
                <w:sz w:val="21"/>
                <w:szCs w:val="21"/>
              </w:rPr>
              <w:t>*</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2.84</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2.90</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CO</w:t>
            </w:r>
            <w:r>
              <w:rPr>
                <w:color w:val="000000" w:themeColor="text1"/>
                <w:sz w:val="21"/>
                <w:szCs w:val="21"/>
                <w:vertAlign w:val="subscript"/>
              </w:rPr>
              <w:t>3</w:t>
            </w:r>
            <w:r>
              <w:rPr>
                <w:color w:val="000000" w:themeColor="text1"/>
                <w:sz w:val="21"/>
                <w:szCs w:val="21"/>
                <w:vertAlign w:val="superscript"/>
              </w:rPr>
              <w:t>2-</w:t>
            </w:r>
            <w:r>
              <w:rPr>
                <w:color w:val="000000" w:themeColor="text1"/>
                <w:sz w:val="21"/>
                <w:szCs w:val="21"/>
              </w:rPr>
              <w:t>*</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5L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5L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HCO</w:t>
            </w:r>
            <w:r>
              <w:rPr>
                <w:color w:val="000000" w:themeColor="text1"/>
                <w:sz w:val="21"/>
                <w:szCs w:val="21"/>
                <w:vertAlign w:val="subscript"/>
              </w:rPr>
              <w:t>3</w:t>
            </w:r>
            <w:r>
              <w:rPr>
                <w:color w:val="000000" w:themeColor="text1"/>
                <w:sz w:val="21"/>
                <w:szCs w:val="21"/>
                <w:vertAlign w:val="superscript"/>
              </w:rPr>
              <w:t>-</w:t>
            </w:r>
            <w:r>
              <w:rPr>
                <w:color w:val="000000" w:themeColor="text1"/>
                <w:sz w:val="21"/>
                <w:szCs w:val="21"/>
              </w:rPr>
              <w:t>*</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45</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55</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Cl</w:t>
            </w:r>
            <w:r>
              <w:rPr>
                <w:color w:val="000000" w:themeColor="text1"/>
                <w:sz w:val="21"/>
                <w:szCs w:val="21"/>
                <w:vertAlign w:val="superscript"/>
              </w:rPr>
              <w:t>-</w:t>
            </w:r>
            <w:r>
              <w:rPr>
                <w:color w:val="000000" w:themeColor="text1"/>
                <w:sz w:val="21"/>
                <w:szCs w:val="21"/>
              </w:rPr>
              <w:t>*</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20</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21</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SO</w:t>
            </w:r>
            <w:r>
              <w:rPr>
                <w:color w:val="000000" w:themeColor="text1"/>
                <w:sz w:val="21"/>
                <w:szCs w:val="21"/>
                <w:vertAlign w:val="subscript"/>
              </w:rPr>
              <w:t>4</w:t>
            </w:r>
            <w:r>
              <w:rPr>
                <w:color w:val="000000" w:themeColor="text1"/>
                <w:sz w:val="21"/>
                <w:szCs w:val="21"/>
                <w:vertAlign w:val="superscript"/>
              </w:rPr>
              <w:t>2-</w:t>
            </w:r>
            <w:r>
              <w:rPr>
                <w:color w:val="000000" w:themeColor="text1"/>
                <w:sz w:val="21"/>
                <w:szCs w:val="21"/>
              </w:rPr>
              <w:t>*</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90</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96</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restart"/>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J2</w:t>
            </w: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pH（无量纲）</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7.15</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7.22</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lang w:val="zh-CN"/>
              </w:rPr>
              <w:t>6.5~8.5</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氨氮</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2.09</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2.02</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4.18</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b/>
                <w:bCs/>
                <w:color w:val="000000" w:themeColor="text1"/>
                <w:sz w:val="21"/>
                <w:szCs w:val="21"/>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硝酸盐氮</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1.57</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1.53</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0.0785</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亚硝酸盐氮</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0.164</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0.161</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0.164</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挥发性酚类</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0.0003L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0.0003L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0.002</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氰化物</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0.004L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0.004L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砷</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0.0014</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0.0014</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0.01</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汞</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0.00004L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0.00004L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六价铬</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0.004L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0.004L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总硬度</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376</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382</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450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0.85</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铅</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0.01L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0.01L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0.01</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氟化物</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0.35</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0.32</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0.35</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镉</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0.001L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0.001L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0.005</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铁</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0.03L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0.03L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0.3</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锰</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0.04</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0.04</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0.1</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0.4</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溶解性总固体</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441</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454</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1000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0.454</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耗氧量</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2.72</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2.75</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0.92</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19"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总大肠菌群数</w:t>
            </w:r>
            <w:r>
              <w:rPr>
                <w:color w:val="000000" w:themeColor="text1"/>
                <w:kern w:val="0"/>
                <w:sz w:val="21"/>
                <w:szCs w:val="21"/>
              </w:rPr>
              <w:t>(MPN/100mL)</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1.0</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1.0</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0.33</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9"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菌落总数</w:t>
            </w:r>
            <w:r>
              <w:rPr>
                <w:color w:val="000000" w:themeColor="text1"/>
                <w:kern w:val="0"/>
                <w:sz w:val="21"/>
                <w:szCs w:val="21"/>
              </w:rPr>
              <w:t>(CFU/mL)</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88</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90</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0.9</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铜</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0.01L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0.01L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锌</w:t>
            </w:r>
          </w:p>
        </w:tc>
        <w:tc>
          <w:tcPr>
            <w:tcW w:w="1229"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0.006</w:t>
            </w:r>
          </w:p>
        </w:tc>
        <w:tc>
          <w:tcPr>
            <w:tcW w:w="1246"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0.006</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0.006</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铝</w:t>
            </w:r>
          </w:p>
        </w:tc>
        <w:tc>
          <w:tcPr>
            <w:tcW w:w="1229"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0.019</w:t>
            </w:r>
          </w:p>
        </w:tc>
        <w:tc>
          <w:tcPr>
            <w:tcW w:w="1246"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0.019</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0.2</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0.095</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49" w:hRule="exact"/>
          <w:jc w:val="center"/>
        </w:trPr>
        <w:tc>
          <w:tcPr>
            <w:tcW w:w="654" w:type="dxa"/>
            <w:vMerge w:val="continue"/>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阴离子表面活性剂</w:t>
            </w:r>
          </w:p>
        </w:tc>
        <w:tc>
          <w:tcPr>
            <w:tcW w:w="1229"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0.05L</w:t>
            </w:r>
          </w:p>
        </w:tc>
        <w:tc>
          <w:tcPr>
            <w:tcW w:w="1246"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0.05L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0.3</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硫化物</w:t>
            </w:r>
          </w:p>
        </w:tc>
        <w:tc>
          <w:tcPr>
            <w:tcW w:w="1229"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0.005L</w:t>
            </w:r>
          </w:p>
        </w:tc>
        <w:tc>
          <w:tcPr>
            <w:tcW w:w="1246"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pacing w:val="-11"/>
                <w:sz w:val="21"/>
                <w:szCs w:val="21"/>
              </w:rPr>
              <w:t>0.005L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0.02</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K</w:t>
            </w:r>
            <w:r>
              <w:rPr>
                <w:color w:val="000000" w:themeColor="text1"/>
                <w:sz w:val="21"/>
                <w:szCs w:val="21"/>
                <w:vertAlign w:val="superscript"/>
              </w:rPr>
              <w:t>+</w:t>
            </w:r>
            <w:r>
              <w:rPr>
                <w:color w:val="000000" w:themeColor="text1"/>
                <w:sz w:val="21"/>
                <w:szCs w:val="21"/>
              </w:rPr>
              <w:t>*</w:t>
            </w:r>
          </w:p>
        </w:tc>
        <w:tc>
          <w:tcPr>
            <w:tcW w:w="1229"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0.77</w:t>
            </w:r>
          </w:p>
        </w:tc>
        <w:tc>
          <w:tcPr>
            <w:tcW w:w="1246"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0.76</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Na</w:t>
            </w:r>
            <w:r>
              <w:rPr>
                <w:color w:val="000000" w:themeColor="text1"/>
                <w:sz w:val="21"/>
                <w:szCs w:val="21"/>
                <w:vertAlign w:val="superscript"/>
              </w:rPr>
              <w:t>+</w:t>
            </w:r>
            <w:r>
              <w:rPr>
                <w:color w:val="000000" w:themeColor="text1"/>
                <w:sz w:val="21"/>
                <w:szCs w:val="21"/>
              </w:rPr>
              <w:t>*</w:t>
            </w:r>
          </w:p>
        </w:tc>
        <w:tc>
          <w:tcPr>
            <w:tcW w:w="1229"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5.61</w:t>
            </w:r>
          </w:p>
        </w:tc>
        <w:tc>
          <w:tcPr>
            <w:tcW w:w="1246"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5.62</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Ca</w:t>
            </w:r>
            <w:r>
              <w:rPr>
                <w:color w:val="000000" w:themeColor="text1"/>
                <w:sz w:val="21"/>
                <w:szCs w:val="21"/>
                <w:vertAlign w:val="superscript"/>
              </w:rPr>
              <w:t>2+</w:t>
            </w:r>
            <w:r>
              <w:rPr>
                <w:color w:val="000000" w:themeColor="text1"/>
                <w:sz w:val="21"/>
                <w:szCs w:val="21"/>
              </w:rPr>
              <w:t>*</w:t>
            </w:r>
          </w:p>
        </w:tc>
        <w:tc>
          <w:tcPr>
            <w:tcW w:w="1229"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8.15</w:t>
            </w:r>
          </w:p>
        </w:tc>
        <w:tc>
          <w:tcPr>
            <w:tcW w:w="1246"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7.97</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M</w:t>
            </w:r>
            <w:r>
              <w:rPr>
                <w:rFonts w:hint="eastAsia"/>
                <w:color w:val="000000" w:themeColor="text1"/>
                <w:sz w:val="21"/>
                <w:szCs w:val="21"/>
              </w:rPr>
              <w:t>DA002</w:t>
            </w:r>
            <w:r>
              <w:rPr>
                <w:color w:val="000000" w:themeColor="text1"/>
                <w:sz w:val="21"/>
                <w:szCs w:val="21"/>
                <w:vertAlign w:val="superscript"/>
              </w:rPr>
              <w:t>+</w:t>
            </w:r>
            <w:r>
              <w:rPr>
                <w:color w:val="000000" w:themeColor="text1"/>
                <w:sz w:val="21"/>
                <w:szCs w:val="21"/>
              </w:rPr>
              <w:t>*</w:t>
            </w:r>
          </w:p>
        </w:tc>
        <w:tc>
          <w:tcPr>
            <w:tcW w:w="1229"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15.4</w:t>
            </w:r>
          </w:p>
        </w:tc>
        <w:tc>
          <w:tcPr>
            <w:tcW w:w="1246"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15.5</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CO</w:t>
            </w:r>
            <w:r>
              <w:rPr>
                <w:color w:val="000000" w:themeColor="text1"/>
                <w:sz w:val="21"/>
                <w:szCs w:val="21"/>
                <w:vertAlign w:val="subscript"/>
              </w:rPr>
              <w:t>3</w:t>
            </w:r>
            <w:r>
              <w:rPr>
                <w:color w:val="000000" w:themeColor="text1"/>
                <w:sz w:val="21"/>
                <w:szCs w:val="21"/>
                <w:vertAlign w:val="superscript"/>
              </w:rPr>
              <w:t>2-</w:t>
            </w:r>
            <w:r>
              <w:rPr>
                <w:color w:val="000000" w:themeColor="text1"/>
                <w:sz w:val="21"/>
                <w:szCs w:val="21"/>
              </w:rPr>
              <w:t>*</w:t>
            </w:r>
          </w:p>
        </w:tc>
        <w:tc>
          <w:tcPr>
            <w:tcW w:w="1229"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5L</w:t>
            </w:r>
          </w:p>
        </w:tc>
        <w:tc>
          <w:tcPr>
            <w:tcW w:w="1246"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5L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HCO</w:t>
            </w:r>
            <w:r>
              <w:rPr>
                <w:color w:val="000000" w:themeColor="text1"/>
                <w:sz w:val="21"/>
                <w:szCs w:val="21"/>
                <w:vertAlign w:val="subscript"/>
              </w:rPr>
              <w:t>3</w:t>
            </w:r>
            <w:r>
              <w:rPr>
                <w:color w:val="000000" w:themeColor="text1"/>
                <w:sz w:val="21"/>
                <w:szCs w:val="21"/>
                <w:vertAlign w:val="superscript"/>
              </w:rPr>
              <w:t>-</w:t>
            </w:r>
            <w:r>
              <w:rPr>
                <w:color w:val="000000" w:themeColor="text1"/>
                <w:sz w:val="21"/>
                <w:szCs w:val="21"/>
              </w:rPr>
              <w:t>*</w:t>
            </w:r>
          </w:p>
        </w:tc>
        <w:tc>
          <w:tcPr>
            <w:tcW w:w="1229"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88</w:t>
            </w:r>
          </w:p>
        </w:tc>
        <w:tc>
          <w:tcPr>
            <w:tcW w:w="1246"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90</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Cl</w:t>
            </w:r>
            <w:r>
              <w:rPr>
                <w:color w:val="000000" w:themeColor="text1"/>
                <w:sz w:val="21"/>
                <w:szCs w:val="21"/>
                <w:vertAlign w:val="superscript"/>
              </w:rPr>
              <w:t>-</w:t>
            </w:r>
            <w:r>
              <w:rPr>
                <w:color w:val="000000" w:themeColor="text1"/>
                <w:sz w:val="21"/>
                <w:szCs w:val="21"/>
              </w:rPr>
              <w:t>*</w:t>
            </w:r>
          </w:p>
        </w:tc>
        <w:tc>
          <w:tcPr>
            <w:tcW w:w="1229"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10L</w:t>
            </w:r>
          </w:p>
        </w:tc>
        <w:tc>
          <w:tcPr>
            <w:tcW w:w="1246"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10L</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654" w:type="dxa"/>
            <w:vMerge w:val="continue"/>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p>
        </w:tc>
        <w:tc>
          <w:tcPr>
            <w:tcW w:w="1352"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SO</w:t>
            </w:r>
            <w:r>
              <w:rPr>
                <w:color w:val="000000" w:themeColor="text1"/>
                <w:sz w:val="21"/>
                <w:szCs w:val="21"/>
                <w:vertAlign w:val="subscript"/>
              </w:rPr>
              <w:t>4</w:t>
            </w:r>
            <w:r>
              <w:rPr>
                <w:color w:val="000000" w:themeColor="text1"/>
                <w:sz w:val="21"/>
                <w:szCs w:val="21"/>
                <w:vertAlign w:val="superscript"/>
              </w:rPr>
              <w:t>2-</w:t>
            </w:r>
            <w:r>
              <w:rPr>
                <w:color w:val="000000" w:themeColor="text1"/>
                <w:sz w:val="21"/>
                <w:szCs w:val="21"/>
              </w:rPr>
              <w:t>*</w:t>
            </w:r>
          </w:p>
        </w:tc>
        <w:tc>
          <w:tcPr>
            <w:tcW w:w="1229"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14</w:t>
            </w:r>
          </w:p>
        </w:tc>
        <w:tc>
          <w:tcPr>
            <w:tcW w:w="1246" w:type="dxa"/>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color w:val="000000" w:themeColor="text1"/>
                <w:sz w:val="21"/>
                <w:szCs w:val="21"/>
              </w:rPr>
              <w:t>16</w:t>
            </w:r>
          </w:p>
        </w:tc>
        <w:tc>
          <w:tcPr>
            <w:tcW w:w="1260"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w:t>
            </w:r>
          </w:p>
        </w:tc>
        <w:tc>
          <w:tcPr>
            <w:tcW w:w="1303"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w:t>
            </w:r>
          </w:p>
        </w:tc>
        <w:tc>
          <w:tcPr>
            <w:tcW w:w="1475" w:type="dxa"/>
            <w:vAlign w:val="center"/>
          </w:tcPr>
          <w:p>
            <w:pPr>
              <w:widowControl/>
              <w:tabs>
                <w:tab w:val="left" w:pos="5327"/>
                <w:tab w:val="left" w:pos="6326"/>
                <w:tab w:val="left" w:pos="7230"/>
                <w:tab w:val="left" w:pos="9301"/>
              </w:tabs>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bl>
    <w:p>
      <w:pPr>
        <w:ind w:firstLine="480"/>
        <w:jc w:val="both"/>
        <w:rPr>
          <w:rFonts w:eastAsiaTheme="minorEastAsia"/>
          <w:color w:val="000000" w:themeColor="text1"/>
        </w:rPr>
      </w:pPr>
      <w:r>
        <w:rPr>
          <w:rFonts w:eastAsiaTheme="minorEastAsia"/>
          <w:color w:val="000000" w:themeColor="text1"/>
        </w:rPr>
        <w:t>根据表5.2-</w:t>
      </w:r>
      <w:r>
        <w:rPr>
          <w:rFonts w:hint="eastAsia" w:eastAsiaTheme="minorEastAsia"/>
          <w:color w:val="000000" w:themeColor="text1"/>
        </w:rPr>
        <w:t>10</w:t>
      </w:r>
      <w:r>
        <w:rPr>
          <w:rFonts w:eastAsiaTheme="minorEastAsia"/>
          <w:color w:val="000000" w:themeColor="text1"/>
        </w:rPr>
        <w:t>和表5.2-1</w:t>
      </w:r>
      <w:r>
        <w:rPr>
          <w:rFonts w:hint="eastAsia" w:eastAsiaTheme="minorEastAsia"/>
          <w:color w:val="000000" w:themeColor="text1"/>
        </w:rPr>
        <w:t>1</w:t>
      </w:r>
      <w:r>
        <w:rPr>
          <w:rFonts w:eastAsiaTheme="minorEastAsia"/>
          <w:color w:val="000000" w:themeColor="text1"/>
        </w:rPr>
        <w:t>可知，区域地下水</w:t>
      </w:r>
      <w:r>
        <w:rPr>
          <w:rFonts w:hint="eastAsia" w:eastAsiaTheme="minorEastAsia"/>
          <w:color w:val="000000" w:themeColor="text1"/>
        </w:rPr>
        <w:t>除J2处的氨氮超标外，其余</w:t>
      </w:r>
      <w:r>
        <w:rPr>
          <w:rFonts w:eastAsiaTheme="minorEastAsia"/>
          <w:color w:val="000000" w:themeColor="text1"/>
        </w:rPr>
        <w:t>所测指标均达到《地下水质量标准》（GB/T14848-2017）</w:t>
      </w:r>
      <w:r>
        <w:rPr>
          <w:rFonts w:eastAsiaTheme="minorEastAsia"/>
          <w:color w:val="000000" w:themeColor="text1"/>
        </w:rPr>
        <w:fldChar w:fldCharType="begin"/>
      </w:r>
      <w:r>
        <w:rPr>
          <w:rFonts w:eastAsiaTheme="minorEastAsia"/>
          <w:color w:val="000000" w:themeColor="text1"/>
        </w:rPr>
        <w:instrText xml:space="preserve"> = 3 \* ROMAN </w:instrText>
      </w:r>
      <w:r>
        <w:rPr>
          <w:rFonts w:eastAsiaTheme="minorEastAsia"/>
          <w:color w:val="000000" w:themeColor="text1"/>
        </w:rPr>
        <w:fldChar w:fldCharType="separate"/>
      </w:r>
      <w:r>
        <w:rPr>
          <w:rFonts w:eastAsiaTheme="minorEastAsia"/>
          <w:color w:val="000000" w:themeColor="text1"/>
        </w:rPr>
        <w:t>III</w:t>
      </w:r>
      <w:r>
        <w:rPr>
          <w:rFonts w:eastAsiaTheme="minorEastAsia"/>
          <w:color w:val="000000" w:themeColor="text1"/>
        </w:rPr>
        <w:fldChar w:fldCharType="end"/>
      </w:r>
      <w:r>
        <w:rPr>
          <w:rFonts w:eastAsiaTheme="minorEastAsia"/>
          <w:color w:val="000000" w:themeColor="text1"/>
        </w:rPr>
        <w:t>类标准要求。</w:t>
      </w:r>
      <w:r>
        <w:rPr>
          <w:rFonts w:hint="eastAsia" w:eastAsiaTheme="minorEastAsia"/>
          <w:color w:val="000000" w:themeColor="text1"/>
        </w:rPr>
        <w:t>J2处的氨氮超标主要原因可能为项目区东侧上游的农田施肥退水，导致附近地下水氨氮浓度超标。</w:t>
      </w:r>
    </w:p>
    <w:p>
      <w:pPr>
        <w:pStyle w:val="6"/>
        <w:spacing w:beforeLines="0" w:afterLines="0"/>
        <w:rPr>
          <w:rFonts w:eastAsiaTheme="minorEastAsia"/>
          <w:color w:val="000000" w:themeColor="text1"/>
          <w:sz w:val="28"/>
          <w:szCs w:val="28"/>
        </w:rPr>
      </w:pPr>
      <w:bookmarkStart w:id="550" w:name="_Toc7496"/>
      <w:r>
        <w:rPr>
          <w:rFonts w:eastAsiaTheme="minorEastAsia"/>
          <w:color w:val="000000" w:themeColor="text1"/>
          <w:sz w:val="28"/>
          <w:szCs w:val="28"/>
        </w:rPr>
        <w:t>5.2.4声环境质量现状监测</w:t>
      </w:r>
      <w:bookmarkEnd w:id="550"/>
    </w:p>
    <w:p>
      <w:pPr>
        <w:ind w:firstLine="480"/>
        <w:rPr>
          <w:rFonts w:eastAsiaTheme="minorEastAsia"/>
          <w:color w:val="000000" w:themeColor="text1"/>
        </w:rPr>
      </w:pPr>
      <w:r>
        <w:rPr>
          <w:rStyle w:val="73"/>
          <w:color w:val="000000" w:themeColor="text1"/>
          <w:sz w:val="24"/>
          <w:szCs w:val="24"/>
        </w:rPr>
        <w:t>为了解评价范围声环境质量现状，建设单位委托云南中科检测技术有限公司</w:t>
      </w:r>
      <w:r>
        <w:rPr>
          <w:color w:val="000000" w:themeColor="text1"/>
          <w:spacing w:val="-5"/>
          <w:szCs w:val="24"/>
        </w:rPr>
        <w:t>于</w:t>
      </w:r>
      <w:r>
        <w:rPr>
          <w:color w:val="000000" w:themeColor="text1"/>
          <w:szCs w:val="24"/>
        </w:rPr>
        <w:t>2019年8月29日至30日对项目区周边噪声进行了监测，监测情况如下所示：</w:t>
      </w:r>
    </w:p>
    <w:p>
      <w:pPr>
        <w:ind w:firstLine="470" w:firstLineChars="196"/>
        <w:rPr>
          <w:rFonts w:eastAsiaTheme="minorEastAsia"/>
          <w:color w:val="000000" w:themeColor="text1"/>
        </w:rPr>
      </w:pPr>
      <w:r>
        <w:rPr>
          <w:rFonts w:eastAsiaTheme="minorEastAsia"/>
          <w:color w:val="000000" w:themeColor="text1"/>
        </w:rPr>
        <w:t>1、监测布点</w:t>
      </w:r>
    </w:p>
    <w:p>
      <w:pPr>
        <w:ind w:firstLine="470" w:firstLineChars="196"/>
        <w:rPr>
          <w:rFonts w:eastAsiaTheme="minorEastAsia"/>
          <w:color w:val="000000" w:themeColor="text1"/>
        </w:rPr>
      </w:pPr>
      <w:r>
        <w:rPr>
          <w:rFonts w:eastAsiaTheme="minorEastAsia"/>
          <w:color w:val="000000" w:themeColor="text1"/>
        </w:rPr>
        <w:t>在项目区厂界东（1#）、南（2#）、西（3#）、北（4#）各设一个点，共4个点，</w:t>
      </w:r>
      <w:r>
        <w:rPr>
          <w:rFonts w:eastAsiaTheme="minorEastAsia"/>
          <w:bCs/>
          <w:color w:val="000000" w:themeColor="text1"/>
        </w:rPr>
        <w:t>在原有项目正常生产时进行监测。</w:t>
      </w:r>
      <w:r>
        <w:rPr>
          <w:rFonts w:eastAsiaTheme="minorEastAsia"/>
          <w:color w:val="000000" w:themeColor="text1"/>
        </w:rPr>
        <w:t>监测点位见附图6。</w:t>
      </w:r>
    </w:p>
    <w:p>
      <w:pPr>
        <w:ind w:firstLine="480"/>
        <w:rPr>
          <w:rFonts w:eastAsiaTheme="minorEastAsia"/>
          <w:color w:val="000000" w:themeColor="text1"/>
        </w:rPr>
      </w:pPr>
      <w:r>
        <w:rPr>
          <w:rFonts w:eastAsiaTheme="minorEastAsia"/>
          <w:color w:val="000000" w:themeColor="text1"/>
        </w:rPr>
        <w:t>2、监测项目：以等效声级Leq表示。</w:t>
      </w:r>
    </w:p>
    <w:p>
      <w:pPr>
        <w:ind w:firstLine="480"/>
        <w:rPr>
          <w:rFonts w:eastAsiaTheme="minorEastAsia"/>
          <w:color w:val="000000" w:themeColor="text1"/>
        </w:rPr>
      </w:pPr>
      <w:r>
        <w:rPr>
          <w:rFonts w:eastAsiaTheme="minorEastAsia"/>
          <w:color w:val="000000" w:themeColor="text1"/>
        </w:rPr>
        <w:t>3、监测频率：连续两天，监测分昼间、夜间2个时段。</w:t>
      </w:r>
    </w:p>
    <w:p>
      <w:pPr>
        <w:ind w:firstLine="480"/>
        <w:rPr>
          <w:rFonts w:eastAsiaTheme="minorEastAsia"/>
          <w:color w:val="000000" w:themeColor="text1"/>
        </w:rPr>
      </w:pPr>
      <w:r>
        <w:rPr>
          <w:rFonts w:eastAsiaTheme="minorEastAsia"/>
          <w:color w:val="000000" w:themeColor="text1"/>
        </w:rPr>
        <w:t>4、监测方法：声环境质量标准监测方法（GB3096-2008）。</w:t>
      </w:r>
    </w:p>
    <w:p>
      <w:pPr>
        <w:ind w:firstLine="480"/>
        <w:rPr>
          <w:rFonts w:eastAsiaTheme="minorEastAsia"/>
          <w:color w:val="000000" w:themeColor="text1"/>
        </w:rPr>
      </w:pPr>
      <w:r>
        <w:rPr>
          <w:rFonts w:eastAsiaTheme="minorEastAsia"/>
          <w:color w:val="000000" w:themeColor="text1"/>
        </w:rPr>
        <w:t>5、监测结果</w:t>
      </w:r>
    </w:p>
    <w:p>
      <w:pPr>
        <w:ind w:firstLine="480"/>
        <w:rPr>
          <w:rFonts w:eastAsiaTheme="minorEastAsia"/>
          <w:b/>
          <w:bCs/>
          <w:color w:val="000000" w:themeColor="text1"/>
          <w:sz w:val="21"/>
          <w:szCs w:val="20"/>
        </w:rPr>
      </w:pPr>
      <w:r>
        <w:rPr>
          <w:rFonts w:eastAsiaTheme="minorEastAsia"/>
          <w:color w:val="000000" w:themeColor="text1"/>
        </w:rPr>
        <w:t>监测结果相见表5.2-1</w:t>
      </w:r>
      <w:r>
        <w:rPr>
          <w:rFonts w:hint="eastAsia" w:eastAsiaTheme="minorEastAsia"/>
          <w:color w:val="000000" w:themeColor="text1"/>
        </w:rPr>
        <w:t>2</w:t>
      </w:r>
      <w:r>
        <w:rPr>
          <w:rFonts w:eastAsiaTheme="minorEastAsia"/>
          <w:color w:val="000000" w:themeColor="text1"/>
        </w:rPr>
        <w:t>。</w:t>
      </w:r>
    </w:p>
    <w:p>
      <w:pPr>
        <w:adjustRightInd w:val="0"/>
        <w:snapToGrid w:val="0"/>
        <w:ind w:firstLine="0" w:firstLineChars="0"/>
        <w:jc w:val="center"/>
        <w:textAlignment w:val="baseline"/>
        <w:rPr>
          <w:rFonts w:eastAsiaTheme="minorEastAsia"/>
          <w:b/>
          <w:bCs/>
          <w:color w:val="000000" w:themeColor="text1"/>
          <w:sz w:val="21"/>
          <w:szCs w:val="20"/>
        </w:rPr>
      </w:pPr>
      <w:r>
        <w:rPr>
          <w:rFonts w:eastAsiaTheme="minorEastAsia"/>
          <w:b/>
          <w:bCs/>
          <w:color w:val="000000" w:themeColor="text1"/>
          <w:sz w:val="21"/>
          <w:szCs w:val="20"/>
        </w:rPr>
        <w:t>表5.2-1</w:t>
      </w:r>
      <w:r>
        <w:rPr>
          <w:rFonts w:hint="eastAsia" w:eastAsiaTheme="minorEastAsia"/>
          <w:b/>
          <w:bCs/>
          <w:color w:val="000000" w:themeColor="text1"/>
          <w:sz w:val="21"/>
          <w:szCs w:val="20"/>
        </w:rPr>
        <w:t>2</w:t>
      </w:r>
      <w:r>
        <w:rPr>
          <w:rFonts w:eastAsiaTheme="minorEastAsia"/>
          <w:b/>
          <w:bCs/>
          <w:color w:val="000000" w:themeColor="text1"/>
          <w:sz w:val="21"/>
          <w:szCs w:val="20"/>
        </w:rPr>
        <w:t>环境噪声检测结果</w:t>
      </w:r>
    </w:p>
    <w:tbl>
      <w:tblPr>
        <w:tblStyle w:val="61"/>
        <w:tblW w:w="9743" w:type="dxa"/>
        <w:jc w:val="center"/>
        <w:tblInd w:w="0" w:type="dxa"/>
        <w:tblLayout w:type="fixed"/>
        <w:tblCellMar>
          <w:top w:w="0" w:type="dxa"/>
          <w:left w:w="0" w:type="dxa"/>
          <w:bottom w:w="0" w:type="dxa"/>
          <w:right w:w="0" w:type="dxa"/>
        </w:tblCellMar>
      </w:tblPr>
      <w:tblGrid>
        <w:gridCol w:w="1095"/>
        <w:gridCol w:w="2422"/>
        <w:gridCol w:w="1136"/>
        <w:gridCol w:w="1325"/>
        <w:gridCol w:w="1279"/>
        <w:gridCol w:w="1278"/>
        <w:gridCol w:w="1208"/>
      </w:tblGrid>
      <w:tr>
        <w:tblPrEx>
          <w:tblLayout w:type="fixed"/>
          <w:tblCellMar>
            <w:top w:w="0" w:type="dxa"/>
            <w:left w:w="0" w:type="dxa"/>
            <w:bottom w:w="0" w:type="dxa"/>
            <w:right w:w="0" w:type="dxa"/>
          </w:tblCellMar>
        </w:tblPrEx>
        <w:trPr>
          <w:trHeight w:val="579" w:hRule="exact"/>
          <w:jc w:val="center"/>
        </w:trPr>
        <w:tc>
          <w:tcPr>
            <w:tcW w:w="1095" w:type="dxa"/>
            <w:vMerge w:val="restart"/>
            <w:tcBorders>
              <w:top w:val="single" w:color="000000" w:sz="6" w:space="0"/>
              <w:left w:val="single" w:color="000000" w:sz="4" w:space="0"/>
              <w:right w:val="single" w:color="000000" w:sz="4" w:space="0"/>
            </w:tcBorders>
            <w:vAlign w:val="center"/>
          </w:tcPr>
          <w:p>
            <w:pPr>
              <w:pStyle w:val="617"/>
              <w:spacing w:line="240" w:lineRule="auto"/>
              <w:ind w:firstLine="0" w:firstLineChars="0"/>
              <w:jc w:val="center"/>
              <w:rPr>
                <w:b/>
                <w:bCs/>
                <w:color w:val="000000" w:themeColor="text1"/>
                <w:sz w:val="21"/>
                <w:szCs w:val="21"/>
              </w:rPr>
            </w:pPr>
          </w:p>
          <w:p>
            <w:pPr>
              <w:pStyle w:val="617"/>
              <w:spacing w:line="240" w:lineRule="auto"/>
              <w:ind w:firstLine="0" w:firstLineChars="0"/>
              <w:jc w:val="center"/>
              <w:rPr>
                <w:color w:val="000000" w:themeColor="text1"/>
                <w:sz w:val="21"/>
                <w:szCs w:val="21"/>
              </w:rPr>
            </w:pPr>
            <w:r>
              <w:rPr>
                <w:b/>
                <w:bCs/>
                <w:color w:val="000000" w:themeColor="text1"/>
                <w:sz w:val="21"/>
                <w:szCs w:val="21"/>
              </w:rPr>
              <w:t>检测内容</w:t>
            </w:r>
          </w:p>
        </w:tc>
        <w:tc>
          <w:tcPr>
            <w:tcW w:w="2422" w:type="dxa"/>
            <w:vMerge w:val="restart"/>
            <w:tcBorders>
              <w:top w:val="single" w:color="000000" w:sz="6" w:space="0"/>
              <w:left w:val="single" w:color="000000" w:sz="4" w:space="0"/>
              <w:right w:val="single" w:color="000000" w:sz="6" w:space="0"/>
            </w:tcBorders>
            <w:vAlign w:val="center"/>
          </w:tcPr>
          <w:p>
            <w:pPr>
              <w:pStyle w:val="617"/>
              <w:spacing w:line="240" w:lineRule="auto"/>
              <w:ind w:firstLine="0" w:firstLineChars="0"/>
              <w:jc w:val="center"/>
              <w:rPr>
                <w:b/>
                <w:bCs/>
                <w:color w:val="000000" w:themeColor="text1"/>
                <w:sz w:val="21"/>
                <w:szCs w:val="21"/>
              </w:rPr>
            </w:pPr>
          </w:p>
          <w:p>
            <w:pPr>
              <w:pStyle w:val="617"/>
              <w:spacing w:line="240" w:lineRule="auto"/>
              <w:ind w:firstLine="0" w:firstLineChars="0"/>
              <w:jc w:val="center"/>
              <w:rPr>
                <w:color w:val="000000" w:themeColor="text1"/>
                <w:sz w:val="21"/>
                <w:szCs w:val="21"/>
              </w:rPr>
            </w:pPr>
            <w:r>
              <w:rPr>
                <w:b/>
                <w:bCs/>
                <w:color w:val="000000" w:themeColor="text1"/>
                <w:sz w:val="21"/>
                <w:szCs w:val="21"/>
              </w:rPr>
              <w:t>检测点位置</w:t>
            </w:r>
          </w:p>
        </w:tc>
        <w:tc>
          <w:tcPr>
            <w:tcW w:w="1136" w:type="dxa"/>
            <w:vMerge w:val="restart"/>
            <w:tcBorders>
              <w:top w:val="single" w:color="000000" w:sz="6" w:space="0"/>
              <w:left w:val="single" w:color="000000" w:sz="6" w:space="0"/>
              <w:right w:val="single" w:color="000000" w:sz="4" w:space="0"/>
            </w:tcBorders>
            <w:vAlign w:val="center"/>
          </w:tcPr>
          <w:p>
            <w:pPr>
              <w:pStyle w:val="617"/>
              <w:spacing w:line="240" w:lineRule="auto"/>
              <w:ind w:firstLine="0" w:firstLineChars="0"/>
              <w:jc w:val="center"/>
              <w:rPr>
                <w:b/>
                <w:bCs/>
                <w:color w:val="000000" w:themeColor="text1"/>
                <w:sz w:val="21"/>
                <w:szCs w:val="21"/>
              </w:rPr>
            </w:pPr>
          </w:p>
          <w:p>
            <w:pPr>
              <w:pStyle w:val="617"/>
              <w:spacing w:line="240" w:lineRule="auto"/>
              <w:ind w:firstLine="0" w:firstLineChars="0"/>
              <w:jc w:val="center"/>
              <w:rPr>
                <w:color w:val="000000" w:themeColor="text1"/>
                <w:sz w:val="21"/>
                <w:szCs w:val="21"/>
              </w:rPr>
            </w:pPr>
            <w:r>
              <w:rPr>
                <w:b/>
                <w:bCs/>
                <w:color w:val="000000" w:themeColor="text1"/>
                <w:sz w:val="21"/>
                <w:szCs w:val="21"/>
              </w:rPr>
              <w:t>检测日期</w:t>
            </w:r>
          </w:p>
        </w:tc>
        <w:tc>
          <w:tcPr>
            <w:tcW w:w="5090" w:type="dxa"/>
            <w:gridSpan w:val="4"/>
            <w:tcBorders>
              <w:top w:val="single" w:color="000000" w:sz="6"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b/>
                <w:bCs/>
                <w:color w:val="000000" w:themeColor="text1"/>
                <w:sz w:val="21"/>
                <w:szCs w:val="21"/>
              </w:rPr>
              <w:t>检测结果</w:t>
            </w:r>
            <w:r>
              <w:rPr>
                <w:rFonts w:eastAsia="Times New Roman"/>
                <w:b/>
                <w:bCs/>
                <w:color w:val="000000" w:themeColor="text1"/>
                <w:sz w:val="21"/>
                <w:szCs w:val="21"/>
              </w:rPr>
              <w:t>Leq[dB</w:t>
            </w:r>
            <w:r>
              <w:rPr>
                <w:b/>
                <w:bCs/>
                <w:color w:val="000000" w:themeColor="text1"/>
                <w:sz w:val="21"/>
                <w:szCs w:val="21"/>
              </w:rPr>
              <w:t>（</w:t>
            </w:r>
            <w:r>
              <w:rPr>
                <w:rFonts w:eastAsia="Times New Roman"/>
                <w:b/>
                <w:bCs/>
                <w:color w:val="000000" w:themeColor="text1"/>
                <w:sz w:val="21"/>
                <w:szCs w:val="21"/>
              </w:rPr>
              <w:t>A</w:t>
            </w:r>
            <w:r>
              <w:rPr>
                <w:b/>
                <w:bCs/>
                <w:color w:val="000000" w:themeColor="text1"/>
                <w:sz w:val="21"/>
                <w:szCs w:val="21"/>
              </w:rPr>
              <w:t>）</w:t>
            </w:r>
            <w:r>
              <w:rPr>
                <w:rFonts w:eastAsia="Times New Roman"/>
                <w:b/>
                <w:bCs/>
                <w:color w:val="000000" w:themeColor="text1"/>
                <w:sz w:val="21"/>
                <w:szCs w:val="21"/>
              </w:rPr>
              <w:t>]</w:t>
            </w:r>
          </w:p>
        </w:tc>
      </w:tr>
      <w:tr>
        <w:tblPrEx>
          <w:tblLayout w:type="fixed"/>
          <w:tblCellMar>
            <w:top w:w="0" w:type="dxa"/>
            <w:left w:w="0" w:type="dxa"/>
            <w:bottom w:w="0" w:type="dxa"/>
            <w:right w:w="0" w:type="dxa"/>
          </w:tblCellMar>
        </w:tblPrEx>
        <w:trPr>
          <w:trHeight w:val="583" w:hRule="exact"/>
          <w:jc w:val="center"/>
        </w:trPr>
        <w:tc>
          <w:tcPr>
            <w:tcW w:w="1095" w:type="dxa"/>
            <w:vMerge w:val="continue"/>
            <w:tcBorders>
              <w:left w:val="single" w:color="000000" w:sz="4" w:space="0"/>
              <w:bottom w:val="single" w:color="auto" w:sz="4" w:space="0"/>
              <w:right w:val="single" w:color="000000" w:sz="4" w:space="0"/>
            </w:tcBorders>
            <w:vAlign w:val="center"/>
          </w:tcPr>
          <w:p>
            <w:pPr>
              <w:spacing w:line="240" w:lineRule="auto"/>
              <w:ind w:firstLine="420"/>
              <w:jc w:val="center"/>
              <w:rPr>
                <w:color w:val="000000" w:themeColor="text1"/>
                <w:sz w:val="21"/>
                <w:szCs w:val="21"/>
              </w:rPr>
            </w:pPr>
          </w:p>
        </w:tc>
        <w:tc>
          <w:tcPr>
            <w:tcW w:w="2422" w:type="dxa"/>
            <w:vMerge w:val="continue"/>
            <w:tcBorders>
              <w:left w:val="single" w:color="000000" w:sz="4" w:space="0"/>
              <w:bottom w:val="single" w:color="auto" w:sz="4" w:space="0"/>
              <w:right w:val="single" w:color="000000" w:sz="6" w:space="0"/>
            </w:tcBorders>
            <w:vAlign w:val="center"/>
          </w:tcPr>
          <w:p>
            <w:pPr>
              <w:spacing w:line="240" w:lineRule="auto"/>
              <w:ind w:firstLine="420"/>
              <w:jc w:val="center"/>
              <w:rPr>
                <w:color w:val="000000" w:themeColor="text1"/>
                <w:sz w:val="21"/>
                <w:szCs w:val="21"/>
              </w:rPr>
            </w:pPr>
          </w:p>
        </w:tc>
        <w:tc>
          <w:tcPr>
            <w:tcW w:w="1136" w:type="dxa"/>
            <w:vMerge w:val="continue"/>
            <w:tcBorders>
              <w:left w:val="single" w:color="000000" w:sz="6" w:space="0"/>
              <w:bottom w:val="single" w:color="auto" w:sz="4" w:space="0"/>
              <w:right w:val="single" w:color="000000" w:sz="4" w:space="0"/>
            </w:tcBorders>
            <w:vAlign w:val="center"/>
          </w:tcPr>
          <w:p>
            <w:pPr>
              <w:spacing w:line="240" w:lineRule="auto"/>
              <w:ind w:firstLine="420"/>
              <w:jc w:val="center"/>
              <w:rPr>
                <w:color w:val="000000" w:themeColor="text1"/>
                <w:sz w:val="21"/>
                <w:szCs w:val="21"/>
              </w:rPr>
            </w:pPr>
          </w:p>
        </w:tc>
        <w:tc>
          <w:tcPr>
            <w:tcW w:w="2604" w:type="dxa"/>
            <w:gridSpan w:val="2"/>
            <w:tcBorders>
              <w:top w:val="single" w:color="000000" w:sz="4" w:space="0"/>
              <w:left w:val="single" w:color="000000" w:sz="4" w:space="0"/>
              <w:bottom w:val="single" w:color="auto" w:sz="4" w:space="0"/>
              <w:right w:val="single" w:color="000000" w:sz="6"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时段（昼间）</w:t>
            </w:r>
          </w:p>
        </w:tc>
        <w:tc>
          <w:tcPr>
            <w:tcW w:w="2486" w:type="dxa"/>
            <w:gridSpan w:val="2"/>
            <w:tcBorders>
              <w:top w:val="single" w:color="000000" w:sz="4" w:space="0"/>
              <w:left w:val="single" w:color="000000" w:sz="6" w:space="0"/>
              <w:bottom w:val="single" w:color="auto"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时段（夜间）</w:t>
            </w:r>
          </w:p>
        </w:tc>
      </w:tr>
      <w:tr>
        <w:tblPrEx>
          <w:tblLayout w:type="fixed"/>
          <w:tblCellMar>
            <w:top w:w="0" w:type="dxa"/>
            <w:left w:w="0" w:type="dxa"/>
            <w:bottom w:w="0" w:type="dxa"/>
            <w:right w:w="0" w:type="dxa"/>
          </w:tblCellMar>
        </w:tblPrEx>
        <w:trPr>
          <w:trHeight w:val="581" w:hRule="exact"/>
          <w:jc w:val="center"/>
        </w:trPr>
        <w:tc>
          <w:tcPr>
            <w:tcW w:w="1095" w:type="dxa"/>
            <w:vMerge w:val="restart"/>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环境噪声</w:t>
            </w:r>
          </w:p>
        </w:tc>
        <w:tc>
          <w:tcPr>
            <w:tcW w:w="2422"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N1</w:t>
            </w:r>
            <w:r>
              <w:rPr>
                <w:color w:val="000000" w:themeColor="text1"/>
                <w:sz w:val="21"/>
                <w:szCs w:val="21"/>
              </w:rPr>
              <w:t>：厂区东外</w:t>
            </w:r>
            <w:r>
              <w:rPr>
                <w:rFonts w:eastAsia="Times New Roman"/>
                <w:color w:val="000000" w:themeColor="text1"/>
                <w:sz w:val="21"/>
                <w:szCs w:val="21"/>
              </w:rPr>
              <w:t>1m</w:t>
            </w:r>
            <w:r>
              <w:rPr>
                <w:color w:val="000000" w:themeColor="text1"/>
                <w:sz w:val="21"/>
                <w:szCs w:val="21"/>
              </w:rPr>
              <w:t>处</w:t>
            </w:r>
          </w:p>
        </w:tc>
        <w:tc>
          <w:tcPr>
            <w:tcW w:w="1136" w:type="dxa"/>
            <w:vMerge w:val="restart"/>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both"/>
              <w:rPr>
                <w:rFonts w:eastAsia="Times New Roman"/>
                <w:color w:val="000000" w:themeColor="text1"/>
                <w:sz w:val="21"/>
                <w:szCs w:val="21"/>
              </w:rPr>
            </w:pPr>
            <w:r>
              <w:rPr>
                <w:color w:val="000000" w:themeColor="text1"/>
                <w:sz w:val="21"/>
                <w:szCs w:val="21"/>
              </w:rPr>
              <w:t>2019.08.29</w:t>
            </w:r>
          </w:p>
        </w:tc>
        <w:tc>
          <w:tcPr>
            <w:tcW w:w="1325"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w w:val="95"/>
                <w:sz w:val="21"/>
                <w:szCs w:val="21"/>
              </w:rPr>
              <w:t>10:08-10:18</w:t>
            </w:r>
          </w:p>
        </w:tc>
        <w:tc>
          <w:tcPr>
            <w:tcW w:w="1279"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61.8</w:t>
            </w:r>
          </w:p>
        </w:tc>
        <w:tc>
          <w:tcPr>
            <w:tcW w:w="127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22:11-22:21</w:t>
            </w:r>
          </w:p>
        </w:tc>
        <w:tc>
          <w:tcPr>
            <w:tcW w:w="120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54.4</w:t>
            </w:r>
          </w:p>
        </w:tc>
      </w:tr>
      <w:tr>
        <w:tblPrEx>
          <w:tblLayout w:type="fixed"/>
          <w:tblCellMar>
            <w:top w:w="0" w:type="dxa"/>
            <w:left w:w="0" w:type="dxa"/>
            <w:bottom w:w="0" w:type="dxa"/>
            <w:right w:w="0" w:type="dxa"/>
          </w:tblCellMar>
        </w:tblPrEx>
        <w:trPr>
          <w:trHeight w:val="581" w:hRule="exac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color w:val="000000" w:themeColor="text1"/>
                <w:sz w:val="21"/>
                <w:szCs w:val="21"/>
              </w:rPr>
            </w:pPr>
          </w:p>
        </w:tc>
        <w:tc>
          <w:tcPr>
            <w:tcW w:w="2422"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N2</w:t>
            </w:r>
            <w:r>
              <w:rPr>
                <w:color w:val="000000" w:themeColor="text1"/>
                <w:sz w:val="21"/>
                <w:szCs w:val="21"/>
              </w:rPr>
              <w:t>：厂区南外</w:t>
            </w:r>
            <w:r>
              <w:rPr>
                <w:rFonts w:eastAsia="Times New Roman"/>
                <w:color w:val="000000" w:themeColor="text1"/>
                <w:sz w:val="21"/>
                <w:szCs w:val="21"/>
              </w:rPr>
              <w:t>1m</w:t>
            </w:r>
            <w:r>
              <w:rPr>
                <w:color w:val="000000" w:themeColor="text1"/>
                <w:sz w:val="21"/>
                <w:szCs w:val="21"/>
              </w:rPr>
              <w:t>处</w:t>
            </w:r>
          </w:p>
        </w:tc>
        <w:tc>
          <w:tcPr>
            <w:tcW w:w="1136"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color w:val="000000" w:themeColor="text1"/>
                <w:sz w:val="21"/>
                <w:szCs w:val="21"/>
              </w:rPr>
            </w:pPr>
          </w:p>
        </w:tc>
        <w:tc>
          <w:tcPr>
            <w:tcW w:w="1325"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w w:val="95"/>
                <w:sz w:val="21"/>
                <w:szCs w:val="21"/>
              </w:rPr>
              <w:t>10:26-10:36</w:t>
            </w:r>
          </w:p>
        </w:tc>
        <w:tc>
          <w:tcPr>
            <w:tcW w:w="1279"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63.7</w:t>
            </w:r>
          </w:p>
        </w:tc>
        <w:tc>
          <w:tcPr>
            <w:tcW w:w="127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22:32-22:42</w:t>
            </w:r>
          </w:p>
        </w:tc>
        <w:tc>
          <w:tcPr>
            <w:tcW w:w="120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52.5</w:t>
            </w:r>
          </w:p>
        </w:tc>
      </w:tr>
      <w:tr>
        <w:tblPrEx>
          <w:tblLayout w:type="fixed"/>
          <w:tblCellMar>
            <w:top w:w="0" w:type="dxa"/>
            <w:left w:w="0" w:type="dxa"/>
            <w:bottom w:w="0" w:type="dxa"/>
            <w:right w:w="0" w:type="dxa"/>
          </w:tblCellMar>
        </w:tblPrEx>
        <w:trPr>
          <w:trHeight w:val="581" w:hRule="exac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color w:val="000000" w:themeColor="text1"/>
                <w:sz w:val="21"/>
                <w:szCs w:val="21"/>
              </w:rPr>
            </w:pPr>
          </w:p>
        </w:tc>
        <w:tc>
          <w:tcPr>
            <w:tcW w:w="2422"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N3</w:t>
            </w:r>
            <w:r>
              <w:rPr>
                <w:color w:val="000000" w:themeColor="text1"/>
                <w:sz w:val="21"/>
                <w:szCs w:val="21"/>
              </w:rPr>
              <w:t>：厂区西外</w:t>
            </w:r>
            <w:r>
              <w:rPr>
                <w:rFonts w:eastAsia="Times New Roman"/>
                <w:color w:val="000000" w:themeColor="text1"/>
                <w:sz w:val="21"/>
                <w:szCs w:val="21"/>
              </w:rPr>
              <w:t>1m</w:t>
            </w:r>
            <w:r>
              <w:rPr>
                <w:color w:val="000000" w:themeColor="text1"/>
                <w:sz w:val="21"/>
                <w:szCs w:val="21"/>
              </w:rPr>
              <w:t>处</w:t>
            </w:r>
          </w:p>
        </w:tc>
        <w:tc>
          <w:tcPr>
            <w:tcW w:w="1136"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color w:val="000000" w:themeColor="text1"/>
                <w:sz w:val="21"/>
                <w:szCs w:val="21"/>
              </w:rPr>
            </w:pPr>
          </w:p>
        </w:tc>
        <w:tc>
          <w:tcPr>
            <w:tcW w:w="1325"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w w:val="95"/>
                <w:sz w:val="21"/>
                <w:szCs w:val="21"/>
              </w:rPr>
              <w:t>10:44-10:54</w:t>
            </w:r>
          </w:p>
        </w:tc>
        <w:tc>
          <w:tcPr>
            <w:tcW w:w="1279"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58.4</w:t>
            </w:r>
          </w:p>
        </w:tc>
        <w:tc>
          <w:tcPr>
            <w:tcW w:w="127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22:50-23:00</w:t>
            </w:r>
          </w:p>
        </w:tc>
        <w:tc>
          <w:tcPr>
            <w:tcW w:w="120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49.9</w:t>
            </w:r>
          </w:p>
        </w:tc>
      </w:tr>
      <w:tr>
        <w:tblPrEx>
          <w:tblLayout w:type="fixed"/>
          <w:tblCellMar>
            <w:top w:w="0" w:type="dxa"/>
            <w:left w:w="0" w:type="dxa"/>
            <w:bottom w:w="0" w:type="dxa"/>
            <w:right w:w="0" w:type="dxa"/>
          </w:tblCellMar>
        </w:tblPrEx>
        <w:trPr>
          <w:trHeight w:val="581" w:hRule="exac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color w:val="000000" w:themeColor="text1"/>
                <w:sz w:val="21"/>
                <w:szCs w:val="21"/>
              </w:rPr>
            </w:pPr>
          </w:p>
        </w:tc>
        <w:tc>
          <w:tcPr>
            <w:tcW w:w="2422"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N4</w:t>
            </w:r>
            <w:r>
              <w:rPr>
                <w:color w:val="000000" w:themeColor="text1"/>
                <w:sz w:val="21"/>
                <w:szCs w:val="21"/>
              </w:rPr>
              <w:t>：厂区北外</w:t>
            </w:r>
            <w:r>
              <w:rPr>
                <w:rFonts w:eastAsia="Times New Roman"/>
                <w:color w:val="000000" w:themeColor="text1"/>
                <w:sz w:val="21"/>
                <w:szCs w:val="21"/>
              </w:rPr>
              <w:t>1m</w:t>
            </w:r>
            <w:r>
              <w:rPr>
                <w:color w:val="000000" w:themeColor="text1"/>
                <w:sz w:val="21"/>
                <w:szCs w:val="21"/>
              </w:rPr>
              <w:t>处</w:t>
            </w:r>
          </w:p>
        </w:tc>
        <w:tc>
          <w:tcPr>
            <w:tcW w:w="1136"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color w:val="000000" w:themeColor="text1"/>
                <w:sz w:val="21"/>
                <w:szCs w:val="21"/>
              </w:rPr>
            </w:pPr>
          </w:p>
        </w:tc>
        <w:tc>
          <w:tcPr>
            <w:tcW w:w="1325"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2"/>
                <w:sz w:val="21"/>
                <w:szCs w:val="21"/>
              </w:rPr>
              <w:t>11:02-11:12</w:t>
            </w:r>
          </w:p>
        </w:tc>
        <w:tc>
          <w:tcPr>
            <w:tcW w:w="1279"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62.5</w:t>
            </w:r>
          </w:p>
        </w:tc>
        <w:tc>
          <w:tcPr>
            <w:tcW w:w="127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23:08-23:18</w:t>
            </w:r>
          </w:p>
        </w:tc>
        <w:tc>
          <w:tcPr>
            <w:tcW w:w="120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51.7</w:t>
            </w:r>
          </w:p>
        </w:tc>
      </w:tr>
      <w:tr>
        <w:tblPrEx>
          <w:tblLayout w:type="fixed"/>
          <w:tblCellMar>
            <w:top w:w="0" w:type="dxa"/>
            <w:left w:w="0" w:type="dxa"/>
            <w:bottom w:w="0" w:type="dxa"/>
            <w:right w:w="0" w:type="dxa"/>
          </w:tblCellMar>
        </w:tblPrEx>
        <w:trPr>
          <w:trHeight w:val="581" w:hRule="exac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color w:val="000000" w:themeColor="text1"/>
                <w:sz w:val="21"/>
                <w:szCs w:val="21"/>
              </w:rPr>
            </w:pPr>
          </w:p>
        </w:tc>
        <w:tc>
          <w:tcPr>
            <w:tcW w:w="2422"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N1</w:t>
            </w:r>
            <w:r>
              <w:rPr>
                <w:color w:val="000000" w:themeColor="text1"/>
                <w:sz w:val="21"/>
                <w:szCs w:val="21"/>
              </w:rPr>
              <w:t>：厂区东外</w:t>
            </w:r>
            <w:r>
              <w:rPr>
                <w:rFonts w:eastAsia="Times New Roman"/>
                <w:color w:val="000000" w:themeColor="text1"/>
                <w:sz w:val="21"/>
                <w:szCs w:val="21"/>
              </w:rPr>
              <w:t>1m</w:t>
            </w:r>
            <w:r>
              <w:rPr>
                <w:color w:val="000000" w:themeColor="text1"/>
                <w:sz w:val="21"/>
                <w:szCs w:val="21"/>
              </w:rPr>
              <w:t>处</w:t>
            </w:r>
          </w:p>
        </w:tc>
        <w:tc>
          <w:tcPr>
            <w:tcW w:w="1136" w:type="dxa"/>
            <w:vMerge w:val="restart"/>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both"/>
              <w:rPr>
                <w:rFonts w:eastAsia="Times New Roman"/>
                <w:color w:val="000000" w:themeColor="text1"/>
                <w:sz w:val="21"/>
                <w:szCs w:val="21"/>
              </w:rPr>
            </w:pPr>
            <w:r>
              <w:rPr>
                <w:color w:val="000000" w:themeColor="text1"/>
                <w:sz w:val="21"/>
                <w:szCs w:val="21"/>
              </w:rPr>
              <w:t>2019.08.30</w:t>
            </w:r>
          </w:p>
        </w:tc>
        <w:tc>
          <w:tcPr>
            <w:tcW w:w="1325"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w w:val="95"/>
                <w:sz w:val="21"/>
                <w:szCs w:val="21"/>
              </w:rPr>
              <w:t>10:45-10:55</w:t>
            </w:r>
          </w:p>
        </w:tc>
        <w:tc>
          <w:tcPr>
            <w:tcW w:w="1279"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62.5</w:t>
            </w:r>
          </w:p>
        </w:tc>
        <w:tc>
          <w:tcPr>
            <w:tcW w:w="127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22:08-22:18</w:t>
            </w:r>
          </w:p>
        </w:tc>
        <w:tc>
          <w:tcPr>
            <w:tcW w:w="120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53.6</w:t>
            </w:r>
          </w:p>
        </w:tc>
      </w:tr>
      <w:tr>
        <w:tblPrEx>
          <w:tblLayout w:type="fixed"/>
          <w:tblCellMar>
            <w:top w:w="0" w:type="dxa"/>
            <w:left w:w="0" w:type="dxa"/>
            <w:bottom w:w="0" w:type="dxa"/>
            <w:right w:w="0" w:type="dxa"/>
          </w:tblCellMar>
        </w:tblPrEx>
        <w:trPr>
          <w:trHeight w:val="581" w:hRule="exac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color w:val="000000" w:themeColor="text1"/>
                <w:sz w:val="21"/>
                <w:szCs w:val="21"/>
              </w:rPr>
            </w:pPr>
          </w:p>
        </w:tc>
        <w:tc>
          <w:tcPr>
            <w:tcW w:w="2422"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N2</w:t>
            </w:r>
            <w:r>
              <w:rPr>
                <w:color w:val="000000" w:themeColor="text1"/>
                <w:sz w:val="21"/>
                <w:szCs w:val="21"/>
              </w:rPr>
              <w:t>：厂区南外</w:t>
            </w:r>
            <w:r>
              <w:rPr>
                <w:rFonts w:eastAsia="Times New Roman"/>
                <w:color w:val="000000" w:themeColor="text1"/>
                <w:sz w:val="21"/>
                <w:szCs w:val="21"/>
              </w:rPr>
              <w:t>1m</w:t>
            </w:r>
            <w:r>
              <w:rPr>
                <w:color w:val="000000" w:themeColor="text1"/>
                <w:sz w:val="21"/>
                <w:szCs w:val="21"/>
              </w:rPr>
              <w:t>处</w:t>
            </w:r>
          </w:p>
        </w:tc>
        <w:tc>
          <w:tcPr>
            <w:tcW w:w="1136"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color w:val="000000" w:themeColor="text1"/>
                <w:sz w:val="21"/>
                <w:szCs w:val="21"/>
              </w:rPr>
            </w:pPr>
          </w:p>
        </w:tc>
        <w:tc>
          <w:tcPr>
            <w:tcW w:w="1325"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2"/>
                <w:sz w:val="21"/>
                <w:szCs w:val="21"/>
              </w:rPr>
              <w:t>11:03-11:13</w:t>
            </w:r>
          </w:p>
        </w:tc>
        <w:tc>
          <w:tcPr>
            <w:tcW w:w="1279"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64.6</w:t>
            </w:r>
          </w:p>
        </w:tc>
        <w:tc>
          <w:tcPr>
            <w:tcW w:w="127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22:25-22:35</w:t>
            </w:r>
          </w:p>
        </w:tc>
        <w:tc>
          <w:tcPr>
            <w:tcW w:w="120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51.4</w:t>
            </w:r>
          </w:p>
        </w:tc>
      </w:tr>
      <w:tr>
        <w:tblPrEx>
          <w:tblLayout w:type="fixed"/>
          <w:tblCellMar>
            <w:top w:w="0" w:type="dxa"/>
            <w:left w:w="0" w:type="dxa"/>
            <w:bottom w:w="0" w:type="dxa"/>
            <w:right w:w="0" w:type="dxa"/>
          </w:tblCellMar>
        </w:tblPrEx>
        <w:trPr>
          <w:trHeight w:val="581" w:hRule="exac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color w:val="000000" w:themeColor="text1"/>
                <w:sz w:val="21"/>
                <w:szCs w:val="21"/>
              </w:rPr>
            </w:pPr>
          </w:p>
        </w:tc>
        <w:tc>
          <w:tcPr>
            <w:tcW w:w="2422"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N3</w:t>
            </w:r>
            <w:r>
              <w:rPr>
                <w:color w:val="000000" w:themeColor="text1"/>
                <w:sz w:val="21"/>
                <w:szCs w:val="21"/>
              </w:rPr>
              <w:t>：厂区西外</w:t>
            </w:r>
            <w:r>
              <w:rPr>
                <w:rFonts w:eastAsia="Times New Roman"/>
                <w:color w:val="000000" w:themeColor="text1"/>
                <w:sz w:val="21"/>
                <w:szCs w:val="21"/>
              </w:rPr>
              <w:t>1m</w:t>
            </w:r>
            <w:r>
              <w:rPr>
                <w:color w:val="000000" w:themeColor="text1"/>
                <w:sz w:val="21"/>
                <w:szCs w:val="21"/>
              </w:rPr>
              <w:t>处</w:t>
            </w:r>
          </w:p>
        </w:tc>
        <w:tc>
          <w:tcPr>
            <w:tcW w:w="1136"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color w:val="000000" w:themeColor="text1"/>
                <w:sz w:val="21"/>
                <w:szCs w:val="21"/>
              </w:rPr>
            </w:pPr>
          </w:p>
        </w:tc>
        <w:tc>
          <w:tcPr>
            <w:tcW w:w="1325"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2"/>
                <w:sz w:val="21"/>
                <w:szCs w:val="21"/>
              </w:rPr>
              <w:t>11:25-11:35</w:t>
            </w:r>
          </w:p>
        </w:tc>
        <w:tc>
          <w:tcPr>
            <w:tcW w:w="1279"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59.7</w:t>
            </w:r>
          </w:p>
        </w:tc>
        <w:tc>
          <w:tcPr>
            <w:tcW w:w="127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22:43-22:53</w:t>
            </w:r>
          </w:p>
        </w:tc>
        <w:tc>
          <w:tcPr>
            <w:tcW w:w="120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48.6</w:t>
            </w:r>
          </w:p>
        </w:tc>
      </w:tr>
      <w:tr>
        <w:tblPrEx>
          <w:tblLayout w:type="fixed"/>
          <w:tblCellMar>
            <w:top w:w="0" w:type="dxa"/>
            <w:left w:w="0" w:type="dxa"/>
            <w:bottom w:w="0" w:type="dxa"/>
            <w:right w:w="0" w:type="dxa"/>
          </w:tblCellMar>
        </w:tblPrEx>
        <w:trPr>
          <w:trHeight w:val="589" w:hRule="exact"/>
          <w:jc w:val="center"/>
        </w:trPr>
        <w:tc>
          <w:tcPr>
            <w:tcW w:w="1095"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color w:val="000000" w:themeColor="text1"/>
                <w:sz w:val="21"/>
                <w:szCs w:val="21"/>
              </w:rPr>
            </w:pPr>
          </w:p>
        </w:tc>
        <w:tc>
          <w:tcPr>
            <w:tcW w:w="2422"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N4</w:t>
            </w:r>
            <w:r>
              <w:rPr>
                <w:color w:val="000000" w:themeColor="text1"/>
                <w:sz w:val="21"/>
                <w:szCs w:val="21"/>
              </w:rPr>
              <w:t>：厂区北外</w:t>
            </w:r>
            <w:r>
              <w:rPr>
                <w:rFonts w:eastAsia="Times New Roman"/>
                <w:color w:val="000000" w:themeColor="text1"/>
                <w:sz w:val="21"/>
                <w:szCs w:val="21"/>
              </w:rPr>
              <w:t>1m</w:t>
            </w:r>
            <w:r>
              <w:rPr>
                <w:color w:val="000000" w:themeColor="text1"/>
                <w:sz w:val="21"/>
                <w:szCs w:val="21"/>
              </w:rPr>
              <w:t>处</w:t>
            </w:r>
          </w:p>
        </w:tc>
        <w:tc>
          <w:tcPr>
            <w:tcW w:w="1136"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color w:val="000000" w:themeColor="text1"/>
                <w:sz w:val="21"/>
                <w:szCs w:val="21"/>
              </w:rPr>
            </w:pPr>
          </w:p>
        </w:tc>
        <w:tc>
          <w:tcPr>
            <w:tcW w:w="1325"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pacing w:val="-2"/>
                <w:sz w:val="21"/>
                <w:szCs w:val="21"/>
              </w:rPr>
              <w:t>11:42-11:52</w:t>
            </w:r>
          </w:p>
        </w:tc>
        <w:tc>
          <w:tcPr>
            <w:tcW w:w="1279"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62.9</w:t>
            </w:r>
          </w:p>
        </w:tc>
        <w:tc>
          <w:tcPr>
            <w:tcW w:w="127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23:05-23:15</w:t>
            </w:r>
          </w:p>
        </w:tc>
        <w:tc>
          <w:tcPr>
            <w:tcW w:w="120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szCs w:val="21"/>
              </w:rPr>
              <w:t>50.8</w:t>
            </w:r>
          </w:p>
        </w:tc>
      </w:tr>
      <w:tr>
        <w:tblPrEx>
          <w:tblLayout w:type="fixed"/>
          <w:tblCellMar>
            <w:top w:w="0" w:type="dxa"/>
            <w:left w:w="0" w:type="dxa"/>
            <w:bottom w:w="0" w:type="dxa"/>
            <w:right w:w="0" w:type="dxa"/>
          </w:tblCellMar>
        </w:tblPrEx>
        <w:trPr>
          <w:trHeight w:val="589" w:hRule="exact"/>
          <w:jc w:val="center"/>
        </w:trPr>
        <w:tc>
          <w:tcPr>
            <w:tcW w:w="5978" w:type="dxa"/>
            <w:gridSpan w:val="4"/>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pacing w:val="-2"/>
                <w:sz w:val="21"/>
                <w:szCs w:val="21"/>
              </w:rPr>
            </w:pPr>
            <w:r>
              <w:rPr>
                <w:color w:val="000000" w:themeColor="text1"/>
                <w:sz w:val="21"/>
                <w:szCs w:val="21"/>
              </w:rPr>
              <w:t>《声环境质量标准》（GB3096-2008）中3类标准</w:t>
            </w:r>
          </w:p>
        </w:tc>
        <w:tc>
          <w:tcPr>
            <w:tcW w:w="1279"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65</w:t>
            </w:r>
          </w:p>
        </w:tc>
        <w:tc>
          <w:tcPr>
            <w:tcW w:w="127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w:t>
            </w:r>
          </w:p>
        </w:tc>
        <w:tc>
          <w:tcPr>
            <w:tcW w:w="120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55</w:t>
            </w:r>
          </w:p>
        </w:tc>
      </w:tr>
      <w:tr>
        <w:tblPrEx>
          <w:tblLayout w:type="fixed"/>
          <w:tblCellMar>
            <w:top w:w="0" w:type="dxa"/>
            <w:left w:w="0" w:type="dxa"/>
            <w:bottom w:w="0" w:type="dxa"/>
            <w:right w:w="0" w:type="dxa"/>
          </w:tblCellMar>
        </w:tblPrEx>
        <w:trPr>
          <w:trHeight w:val="589" w:hRule="exact"/>
          <w:jc w:val="center"/>
        </w:trPr>
        <w:tc>
          <w:tcPr>
            <w:tcW w:w="5978" w:type="dxa"/>
            <w:gridSpan w:val="4"/>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达标情况</w:t>
            </w:r>
          </w:p>
        </w:tc>
        <w:tc>
          <w:tcPr>
            <w:tcW w:w="1279"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达标</w:t>
            </w:r>
          </w:p>
        </w:tc>
        <w:tc>
          <w:tcPr>
            <w:tcW w:w="127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w:t>
            </w:r>
          </w:p>
        </w:tc>
        <w:tc>
          <w:tcPr>
            <w:tcW w:w="1208"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达标</w:t>
            </w:r>
          </w:p>
        </w:tc>
      </w:tr>
    </w:tbl>
    <w:p>
      <w:pPr>
        <w:ind w:firstLine="480"/>
        <w:jc w:val="both"/>
        <w:rPr>
          <w:rFonts w:eastAsiaTheme="minorEastAsia"/>
          <w:color w:val="000000" w:themeColor="text1"/>
        </w:rPr>
      </w:pPr>
      <w:r>
        <w:rPr>
          <w:rFonts w:eastAsiaTheme="minorEastAsia"/>
          <w:color w:val="000000" w:themeColor="text1"/>
        </w:rPr>
        <w:t>由表5.2-1</w:t>
      </w:r>
      <w:r>
        <w:rPr>
          <w:rFonts w:hint="eastAsia" w:eastAsiaTheme="minorEastAsia"/>
          <w:color w:val="000000" w:themeColor="text1"/>
        </w:rPr>
        <w:t>2</w:t>
      </w:r>
      <w:r>
        <w:rPr>
          <w:rFonts w:eastAsiaTheme="minorEastAsia"/>
          <w:color w:val="000000" w:themeColor="text1"/>
        </w:rPr>
        <w:t>分析可知，该项目声环境质量现状满足</w:t>
      </w:r>
      <w:r>
        <w:rPr>
          <w:rFonts w:eastAsiaTheme="minorEastAsia"/>
          <w:color w:val="000000" w:themeColor="text1"/>
          <w:szCs w:val="20"/>
        </w:rPr>
        <w:t>《声环境质量标准》（GB3096-2008）3类标准。</w:t>
      </w:r>
    </w:p>
    <w:p>
      <w:pPr>
        <w:pStyle w:val="6"/>
        <w:spacing w:beforeLines="0" w:afterLines="0"/>
        <w:rPr>
          <w:rFonts w:eastAsiaTheme="minorEastAsia"/>
          <w:color w:val="000000" w:themeColor="text1"/>
          <w:sz w:val="28"/>
          <w:szCs w:val="28"/>
        </w:rPr>
      </w:pPr>
      <w:bookmarkStart w:id="551" w:name="_Toc12540"/>
      <w:r>
        <w:rPr>
          <w:rFonts w:eastAsiaTheme="minorEastAsia"/>
          <w:color w:val="000000" w:themeColor="text1"/>
          <w:sz w:val="28"/>
          <w:szCs w:val="28"/>
        </w:rPr>
        <w:t>5.2.5土壤环境现状</w:t>
      </w:r>
      <w:bookmarkEnd w:id="551"/>
    </w:p>
    <w:p>
      <w:pPr>
        <w:ind w:firstLine="480"/>
        <w:rPr>
          <w:bCs/>
          <w:color w:val="000000" w:themeColor="text1"/>
        </w:rPr>
      </w:pPr>
      <w:r>
        <w:rPr>
          <w:bCs/>
          <w:color w:val="000000" w:themeColor="text1"/>
        </w:rPr>
        <w:t>1、监测点位</w:t>
      </w:r>
    </w:p>
    <w:p>
      <w:pPr>
        <w:ind w:firstLine="480"/>
        <w:rPr>
          <w:color w:val="000000" w:themeColor="text1"/>
        </w:rPr>
      </w:pPr>
      <w:r>
        <w:rPr>
          <w:color w:val="000000" w:themeColor="text1"/>
        </w:rPr>
        <w:t>在选厂占地范围内取3个表层样1#、2#、3#，共计3个监测点。</w:t>
      </w:r>
    </w:p>
    <w:p>
      <w:pPr>
        <w:ind w:firstLine="480"/>
        <w:rPr>
          <w:bCs/>
          <w:color w:val="000000" w:themeColor="text1"/>
        </w:rPr>
      </w:pPr>
      <w:r>
        <w:rPr>
          <w:bCs/>
          <w:color w:val="000000" w:themeColor="text1"/>
        </w:rPr>
        <w:t>2、监测频次及时间</w:t>
      </w:r>
    </w:p>
    <w:p>
      <w:pPr>
        <w:ind w:firstLine="480"/>
        <w:rPr>
          <w:bCs/>
          <w:color w:val="000000" w:themeColor="text1"/>
        </w:rPr>
      </w:pPr>
      <w:r>
        <w:rPr>
          <w:bCs/>
          <w:color w:val="000000" w:themeColor="text1"/>
        </w:rPr>
        <w:t>监测频次：采样1天，采样1次。监测时间：本次土壤监测时间为2019年8月28日。</w:t>
      </w:r>
    </w:p>
    <w:p>
      <w:pPr>
        <w:ind w:firstLine="480"/>
        <w:rPr>
          <w:bCs/>
          <w:color w:val="000000" w:themeColor="text1"/>
        </w:rPr>
      </w:pPr>
      <w:r>
        <w:rPr>
          <w:bCs/>
          <w:color w:val="000000" w:themeColor="text1"/>
        </w:rPr>
        <w:t>3、监测分析方法</w:t>
      </w:r>
    </w:p>
    <w:p>
      <w:pPr>
        <w:ind w:firstLine="480"/>
        <w:rPr>
          <w:rFonts w:eastAsiaTheme="minorEastAsia"/>
          <w:b/>
          <w:bCs/>
          <w:color w:val="000000" w:themeColor="text1"/>
          <w:sz w:val="21"/>
          <w:szCs w:val="21"/>
        </w:rPr>
      </w:pPr>
      <w:r>
        <w:rPr>
          <w:color w:val="000000" w:themeColor="text1"/>
        </w:rPr>
        <w:t>项目评价区域土壤环境质量执行《土壤环境质量建设用地土壤污染风险管控标准（试行）》（GB36600—2018）中筛选值第二类用地标准。监测方法详见下表</w:t>
      </w:r>
      <w:r>
        <w:rPr>
          <w:bCs/>
          <w:color w:val="000000" w:themeColor="text1"/>
        </w:rPr>
        <w:t>5.2-1</w:t>
      </w:r>
      <w:r>
        <w:rPr>
          <w:rFonts w:hint="eastAsia"/>
          <w:bCs/>
          <w:color w:val="000000" w:themeColor="text1"/>
        </w:rPr>
        <w:t>3。</w:t>
      </w: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表5.2-1</w:t>
      </w:r>
      <w:r>
        <w:rPr>
          <w:rFonts w:hint="eastAsia" w:eastAsiaTheme="minorEastAsia"/>
          <w:b/>
          <w:bCs/>
          <w:color w:val="000000" w:themeColor="text1"/>
          <w:sz w:val="21"/>
          <w:szCs w:val="21"/>
        </w:rPr>
        <w:t>3</w:t>
      </w:r>
      <w:r>
        <w:rPr>
          <w:rFonts w:eastAsiaTheme="minorEastAsia"/>
          <w:b/>
          <w:bCs/>
          <w:color w:val="000000" w:themeColor="text1"/>
          <w:sz w:val="21"/>
          <w:szCs w:val="21"/>
        </w:rPr>
        <w:t>土壤环境污染物分析方法</w:t>
      </w:r>
    </w:p>
    <w:tbl>
      <w:tblPr>
        <w:tblStyle w:val="61"/>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1"/>
        <w:gridCol w:w="3549"/>
        <w:gridCol w:w="2495"/>
        <w:gridCol w:w="13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41"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
                <w:color w:val="000000" w:themeColor="text1"/>
                <w:sz w:val="21"/>
                <w:szCs w:val="21"/>
              </w:rPr>
            </w:pPr>
            <w:r>
              <w:rPr>
                <w:rFonts w:eastAsiaTheme="minorEastAsia"/>
                <w:b/>
                <w:color w:val="000000" w:themeColor="text1"/>
                <w:sz w:val="21"/>
                <w:szCs w:val="21"/>
              </w:rPr>
              <w:t>检测项目</w:t>
            </w:r>
          </w:p>
        </w:tc>
        <w:tc>
          <w:tcPr>
            <w:tcW w:w="3549"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
                <w:color w:val="000000" w:themeColor="text1"/>
                <w:sz w:val="21"/>
                <w:szCs w:val="21"/>
              </w:rPr>
            </w:pPr>
            <w:r>
              <w:rPr>
                <w:rFonts w:eastAsiaTheme="minorEastAsia"/>
                <w:b/>
                <w:color w:val="000000" w:themeColor="text1"/>
                <w:sz w:val="21"/>
                <w:szCs w:val="21"/>
              </w:rPr>
              <w:t>检测方法依据标准代号及名称</w:t>
            </w:r>
          </w:p>
        </w:tc>
        <w:tc>
          <w:tcPr>
            <w:tcW w:w="249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
                <w:color w:val="000000" w:themeColor="text1"/>
                <w:sz w:val="21"/>
                <w:szCs w:val="21"/>
              </w:rPr>
            </w:pPr>
            <w:r>
              <w:rPr>
                <w:rFonts w:eastAsiaTheme="minorEastAsia"/>
                <w:b/>
                <w:color w:val="000000" w:themeColor="text1"/>
                <w:sz w:val="21"/>
                <w:szCs w:val="21"/>
              </w:rPr>
              <w:t>主要检测</w:t>
            </w:r>
          </w:p>
          <w:p>
            <w:pPr>
              <w:ind w:firstLine="0" w:firstLineChars="0"/>
              <w:jc w:val="center"/>
              <w:rPr>
                <w:rFonts w:eastAsiaTheme="minorEastAsia"/>
                <w:b/>
                <w:color w:val="000000" w:themeColor="text1"/>
                <w:sz w:val="21"/>
                <w:szCs w:val="21"/>
              </w:rPr>
            </w:pPr>
            <w:r>
              <w:rPr>
                <w:rFonts w:eastAsiaTheme="minorEastAsia"/>
                <w:b/>
                <w:color w:val="000000" w:themeColor="text1"/>
                <w:sz w:val="21"/>
                <w:szCs w:val="21"/>
              </w:rPr>
              <w:t>仪器设备型号及名称</w:t>
            </w:r>
          </w:p>
        </w:tc>
        <w:tc>
          <w:tcPr>
            <w:tcW w:w="134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
                <w:color w:val="000000" w:themeColor="text1"/>
                <w:sz w:val="21"/>
                <w:szCs w:val="21"/>
              </w:rPr>
            </w:pPr>
            <w:r>
              <w:rPr>
                <w:rFonts w:eastAsiaTheme="minorEastAsia"/>
                <w:b/>
                <w:color w:val="000000" w:themeColor="text1"/>
                <w:sz w:val="21"/>
                <w:szCs w:val="21"/>
              </w:rPr>
              <w:t>最低检出限或范围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41"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bCs/>
                <w:color w:val="000000" w:themeColor="text1"/>
                <w:sz w:val="21"/>
                <w:szCs w:val="21"/>
              </w:rPr>
              <w:t>铜</w:t>
            </w:r>
          </w:p>
        </w:tc>
        <w:tc>
          <w:tcPr>
            <w:tcW w:w="3549"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bCs/>
                <w:color w:val="000000" w:themeColor="text1"/>
                <w:sz w:val="21"/>
                <w:szCs w:val="21"/>
              </w:rPr>
              <w:t>土壤质量铜、锌的测定火焰原子吸收分光光度法GB/T17138-1997</w:t>
            </w:r>
          </w:p>
        </w:tc>
        <w:tc>
          <w:tcPr>
            <w:tcW w:w="249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bCs/>
                <w:color w:val="000000" w:themeColor="text1"/>
                <w:sz w:val="21"/>
                <w:szCs w:val="21"/>
              </w:rPr>
              <w:t>TAS-990MFG原子吸收分光光度XTFX-04</w:t>
            </w:r>
          </w:p>
        </w:tc>
        <w:tc>
          <w:tcPr>
            <w:tcW w:w="134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bCs/>
                <w:color w:val="000000" w:themeColor="text1"/>
                <w:sz w:val="21"/>
                <w:szCs w:val="21"/>
              </w:rPr>
              <w:t>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41"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铅</w:t>
            </w:r>
          </w:p>
        </w:tc>
        <w:tc>
          <w:tcPr>
            <w:tcW w:w="3549"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土壤质量铅、镉的测定石墨炉原子吸收分光光度法T17141-1997</w:t>
            </w:r>
          </w:p>
        </w:tc>
        <w:tc>
          <w:tcPr>
            <w:tcW w:w="249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ind w:firstLine="0" w:firstLineChars="0"/>
              <w:jc w:val="center"/>
              <w:rPr>
                <w:rFonts w:eastAsiaTheme="minorEastAsia"/>
                <w:bCs/>
                <w:color w:val="000000" w:themeColor="text1"/>
                <w:sz w:val="21"/>
                <w:szCs w:val="21"/>
              </w:rPr>
            </w:pPr>
            <w:r>
              <w:rPr>
                <w:rFonts w:eastAsiaTheme="minorEastAsia"/>
                <w:color w:val="000000" w:themeColor="text1"/>
                <w:sz w:val="21"/>
                <w:szCs w:val="21"/>
              </w:rPr>
              <w:t>AA-6880AFG原子吸收分光光度XTFX-05</w:t>
            </w:r>
          </w:p>
        </w:tc>
        <w:tc>
          <w:tcPr>
            <w:tcW w:w="134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41"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镉</w:t>
            </w:r>
          </w:p>
        </w:tc>
        <w:tc>
          <w:tcPr>
            <w:tcW w:w="3549"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土壤质量铅、镉的测定石墨炉原子吸收分光光度法T17141-1997</w:t>
            </w:r>
          </w:p>
        </w:tc>
        <w:tc>
          <w:tcPr>
            <w:tcW w:w="249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AA-6880AFG原子吸收分光光度XTFX-05</w:t>
            </w:r>
          </w:p>
        </w:tc>
        <w:tc>
          <w:tcPr>
            <w:tcW w:w="134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0.01mg/kg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41"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bCs/>
                <w:color w:val="000000" w:themeColor="text1"/>
                <w:sz w:val="21"/>
                <w:szCs w:val="21"/>
              </w:rPr>
              <w:t>砷</w:t>
            </w:r>
          </w:p>
        </w:tc>
        <w:tc>
          <w:tcPr>
            <w:tcW w:w="3549"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bCs/>
                <w:color w:val="000000" w:themeColor="text1"/>
                <w:sz w:val="21"/>
                <w:szCs w:val="21"/>
              </w:rPr>
              <w:t>土壤质量总汞、总砷、总铅的测定原子荧光法第2部分：土壤中总砷的测定GB/T22105.2-2008</w:t>
            </w:r>
          </w:p>
        </w:tc>
        <w:tc>
          <w:tcPr>
            <w:tcW w:w="249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PF72原子荧光光度计</w:t>
            </w:r>
          </w:p>
          <w:p>
            <w:pPr>
              <w:ind w:firstLine="0" w:firstLineChars="0"/>
              <w:jc w:val="center"/>
              <w:rPr>
                <w:rFonts w:eastAsiaTheme="minorEastAsia"/>
                <w:color w:val="000000" w:themeColor="text1"/>
                <w:sz w:val="21"/>
                <w:szCs w:val="21"/>
              </w:rPr>
            </w:pPr>
            <w:r>
              <w:rPr>
                <w:rFonts w:eastAsiaTheme="minorEastAsia"/>
                <w:color w:val="000000" w:themeColor="text1"/>
                <w:sz w:val="21"/>
                <w:szCs w:val="21"/>
              </w:rPr>
              <w:t>XTFX-06</w:t>
            </w:r>
          </w:p>
        </w:tc>
        <w:tc>
          <w:tcPr>
            <w:tcW w:w="134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bCs/>
                <w:color w:val="000000" w:themeColor="text1"/>
                <w:sz w:val="21"/>
                <w:szCs w:val="21"/>
              </w:rPr>
              <w:t>0.01mg/kg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41"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锌</w:t>
            </w:r>
          </w:p>
        </w:tc>
        <w:tc>
          <w:tcPr>
            <w:tcW w:w="3549"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bCs/>
                <w:color w:val="000000" w:themeColor="text1"/>
                <w:sz w:val="21"/>
                <w:szCs w:val="21"/>
              </w:rPr>
              <w:t>土壤质量铜、锌的测定火焰原子吸收分光光度法GB/T17138-1997</w:t>
            </w:r>
          </w:p>
        </w:tc>
        <w:tc>
          <w:tcPr>
            <w:tcW w:w="249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bCs/>
                <w:color w:val="000000" w:themeColor="text1"/>
                <w:sz w:val="21"/>
                <w:szCs w:val="21"/>
              </w:rPr>
              <w:t>TAS-990MFG原子吸收分光光度XTFX-04</w:t>
            </w:r>
          </w:p>
        </w:tc>
        <w:tc>
          <w:tcPr>
            <w:tcW w:w="134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0.5mg/kg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141"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镍</w:t>
            </w:r>
          </w:p>
        </w:tc>
        <w:tc>
          <w:tcPr>
            <w:tcW w:w="3549"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土壤质量镍的测定火焰原子吸收分光光度法GB/T17139-1997</w:t>
            </w:r>
          </w:p>
        </w:tc>
        <w:tc>
          <w:tcPr>
            <w:tcW w:w="2495"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bCs/>
                <w:color w:val="000000" w:themeColor="text1"/>
                <w:sz w:val="21"/>
                <w:szCs w:val="21"/>
              </w:rPr>
              <w:t>TAS-990MFG原子吸收分光光度XTFX-04</w:t>
            </w:r>
          </w:p>
        </w:tc>
        <w:tc>
          <w:tcPr>
            <w:tcW w:w="134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5mg/kg</w:t>
            </w:r>
          </w:p>
        </w:tc>
      </w:tr>
    </w:tbl>
    <w:p>
      <w:pPr>
        <w:spacing w:after="93" w:afterLines="30"/>
        <w:ind w:firstLine="480"/>
        <w:rPr>
          <w:bCs/>
          <w:color w:val="000000" w:themeColor="text1"/>
        </w:rPr>
      </w:pPr>
      <w:r>
        <w:rPr>
          <w:bCs/>
          <w:color w:val="000000" w:themeColor="text1"/>
        </w:rPr>
        <w:t>4、监测结果及评价</w:t>
      </w:r>
    </w:p>
    <w:p>
      <w:pPr>
        <w:spacing w:after="93" w:afterLines="30"/>
        <w:ind w:firstLine="480"/>
        <w:rPr>
          <w:color w:val="000000" w:themeColor="text1"/>
        </w:rPr>
      </w:pPr>
      <w:r>
        <w:rPr>
          <w:color w:val="000000" w:themeColor="text1"/>
        </w:rPr>
        <w:t>本项目土壤环境监测结果详见下表5.2-1</w:t>
      </w:r>
      <w:r>
        <w:rPr>
          <w:rFonts w:hint="eastAsia"/>
          <w:color w:val="000000" w:themeColor="text1"/>
        </w:rPr>
        <w:t>4</w:t>
      </w:r>
      <w:r>
        <w:rPr>
          <w:color w:val="000000" w:themeColor="text1"/>
        </w:rPr>
        <w:t>。</w:t>
      </w:r>
    </w:p>
    <w:p>
      <w:pPr>
        <w:ind w:firstLine="422"/>
        <w:jc w:val="center"/>
        <w:rPr>
          <w:color w:val="000000" w:themeColor="text1"/>
        </w:rPr>
      </w:pPr>
      <w:r>
        <w:rPr>
          <w:b/>
          <w:bCs/>
          <w:color w:val="000000" w:themeColor="text1"/>
          <w:sz w:val="21"/>
          <w:szCs w:val="21"/>
        </w:rPr>
        <w:t>表5.2-1</w:t>
      </w:r>
      <w:r>
        <w:rPr>
          <w:rFonts w:hint="eastAsia"/>
          <w:b/>
          <w:bCs/>
          <w:color w:val="000000" w:themeColor="text1"/>
          <w:sz w:val="21"/>
          <w:szCs w:val="21"/>
        </w:rPr>
        <w:t>4</w:t>
      </w:r>
      <w:r>
        <w:rPr>
          <w:b/>
          <w:bCs/>
          <w:color w:val="000000" w:themeColor="text1"/>
          <w:sz w:val="21"/>
          <w:szCs w:val="21"/>
        </w:rPr>
        <w:t>项目区土壤质量检测情况一览表</w:t>
      </w:r>
    </w:p>
    <w:tbl>
      <w:tblPr>
        <w:tblStyle w:val="61"/>
        <w:tblW w:w="8311" w:type="dxa"/>
        <w:tblInd w:w="0" w:type="dxa"/>
        <w:tblLayout w:type="fixed"/>
        <w:tblCellMar>
          <w:top w:w="0" w:type="dxa"/>
          <w:left w:w="0" w:type="dxa"/>
          <w:bottom w:w="0" w:type="dxa"/>
          <w:right w:w="0" w:type="dxa"/>
        </w:tblCellMar>
      </w:tblPr>
      <w:tblGrid>
        <w:gridCol w:w="1412"/>
        <w:gridCol w:w="1668"/>
        <w:gridCol w:w="1707"/>
        <w:gridCol w:w="1667"/>
        <w:gridCol w:w="927"/>
        <w:gridCol w:w="930"/>
      </w:tblGrid>
      <w:tr>
        <w:tblPrEx>
          <w:tblLayout w:type="fixed"/>
          <w:tblCellMar>
            <w:top w:w="0" w:type="dxa"/>
            <w:left w:w="0" w:type="dxa"/>
            <w:bottom w:w="0" w:type="dxa"/>
            <w:right w:w="0" w:type="dxa"/>
          </w:tblCellMar>
        </w:tblPrEx>
        <w:trPr>
          <w:trHeight w:val="577" w:hRule="exact"/>
        </w:trPr>
        <w:tc>
          <w:tcPr>
            <w:tcW w:w="1412" w:type="dxa"/>
            <w:vMerge w:val="restart"/>
            <w:tcBorders>
              <w:top w:val="single" w:color="000000" w:sz="4" w:space="0"/>
              <w:left w:val="single" w:color="000000" w:sz="4" w:space="0"/>
              <w:right w:val="single" w:color="000000" w:sz="4" w:space="0"/>
            </w:tcBorders>
          </w:tcPr>
          <w:p>
            <w:pPr>
              <w:pStyle w:val="617"/>
              <w:spacing w:line="260" w:lineRule="exact"/>
              <w:ind w:right="373" w:firstLine="0" w:firstLineChars="0"/>
              <w:jc w:val="right"/>
              <w:rPr>
                <w:rFonts w:ascii="宋体" w:hAnsi="宋体" w:cs="宋体"/>
                <w:b/>
                <w:bCs/>
                <w:color w:val="000000" w:themeColor="text1"/>
                <w:sz w:val="21"/>
                <w:szCs w:val="21"/>
              </w:rPr>
            </w:pPr>
            <w:r>
              <w:rPr>
                <w:rFonts w:ascii="宋体" w:hAnsi="宋体" w:cs="宋体"/>
                <w:b/>
                <w:bCs/>
                <w:color w:val="000000" w:themeColor="text1"/>
                <w:sz w:val="21"/>
              </w:rPr>
              <mc:AlternateContent>
                <mc:Choice Requires="wps">
                  <w:drawing>
                    <wp:anchor distT="0" distB="0" distL="114300" distR="114300" simplePos="0" relativeHeight="251671552" behindDoc="0" locked="0" layoutInCell="1" allowOverlap="1">
                      <wp:simplePos x="0" y="0"/>
                      <wp:positionH relativeFrom="column">
                        <wp:posOffset>7620</wp:posOffset>
                      </wp:positionH>
                      <wp:positionV relativeFrom="paragraph">
                        <wp:posOffset>15875</wp:posOffset>
                      </wp:positionV>
                      <wp:extent cx="866775" cy="1076960"/>
                      <wp:effectExtent l="3810" t="3175" r="5715" b="5715"/>
                      <wp:wrapNone/>
                      <wp:docPr id="28" name="直接连接符 31"/>
                      <wp:cNvGraphicFramePr/>
                      <a:graphic xmlns:a="http://schemas.openxmlformats.org/drawingml/2006/main">
                        <a:graphicData uri="http://schemas.microsoft.com/office/word/2010/wordprocessingShape">
                          <wps:wsp>
                            <wps:cNvCnPr/>
                            <wps:spPr>
                              <a:xfrm>
                                <a:off x="1208405" y="940435"/>
                                <a:ext cx="990600" cy="1095375"/>
                              </a:xfrm>
                              <a:prstGeom prst="line">
                                <a:avLst/>
                              </a:prstGeom>
                              <a:noFill/>
                              <a:ln w="9525" cap="flat" cmpd="sng" algn="ctr">
                                <a:solidFill>
                                  <a:srgbClr val="000000">
                                    <a:shade val="95000"/>
                                    <a:satMod val="105000"/>
                                  </a:srgbClr>
                                </a:solidFill>
                                <a:prstDash val="solid"/>
                              </a:ln>
                              <a:effectLst/>
                            </wps:spPr>
                            <wps:bodyPr/>
                          </wps:wsp>
                        </a:graphicData>
                      </a:graphic>
                    </wp:anchor>
                  </w:drawing>
                </mc:Choice>
                <mc:Fallback>
                  <w:pict>
                    <v:line id="直接连接符 31" o:spid="_x0000_s1026" o:spt="20" style="position:absolute;left:0pt;margin-left:0.6pt;margin-top:1.25pt;height:84.8pt;width:68.25pt;z-index:251671552;mso-width-relative:page;mso-height-relative:page;" filled="f" stroked="t" coordsize="21600,21600" o:gfxdata="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ctEk&#10;eNQAAAAHAQAADwAAAAAAAAABACAAAAAiAAAAZHJzL2Rvd25yZXYueG1sUEsBAhQAFAAAAAgAh07i&#10;QExiEUTtAQAApQMAAA4AAAAAAAAAAQAgAAAAIwEAAGRycy9lMm9Eb2MueG1sUEsFBgAAAAAGAAYA&#10;WQEAAIIFAAAAAA==&#10;">
                      <v:fill on="f" focussize="0,0"/>
                      <v:stroke color="#000000" joinstyle="round"/>
                      <v:imagedata o:title=""/>
                      <o:lock v:ext="edit" aspectratio="f"/>
                    </v:line>
                  </w:pict>
                </mc:Fallback>
              </mc:AlternateContent>
            </w:r>
            <w:r>
              <w:rPr>
                <w:rFonts w:ascii="宋体" w:hAnsi="宋体" w:cs="宋体"/>
                <w:b/>
                <w:bCs/>
                <w:color w:val="000000" w:themeColor="text1"/>
                <w:sz w:val="21"/>
              </w:rPr>
              <mc:AlternateContent>
                <mc:Choice Requires="wps">
                  <w:drawing>
                    <wp:anchor distT="0" distB="0" distL="114300" distR="114300" simplePos="0" relativeHeight="251670528" behindDoc="0" locked="0" layoutInCell="1" allowOverlap="1">
                      <wp:simplePos x="0" y="0"/>
                      <wp:positionH relativeFrom="column">
                        <wp:posOffset>-11430</wp:posOffset>
                      </wp:positionH>
                      <wp:positionV relativeFrom="paragraph">
                        <wp:posOffset>19685</wp:posOffset>
                      </wp:positionV>
                      <wp:extent cx="923925" cy="368300"/>
                      <wp:effectExtent l="1905" t="4445" r="7620" b="8255"/>
                      <wp:wrapNone/>
                      <wp:docPr id="21" name="直接连接符 21"/>
                      <wp:cNvGraphicFramePr/>
                      <a:graphic xmlns:a="http://schemas.openxmlformats.org/drawingml/2006/main">
                        <a:graphicData uri="http://schemas.microsoft.com/office/word/2010/wordprocessingShape">
                          <wps:wsp>
                            <wps:cNvCnPr/>
                            <wps:spPr>
                              <a:xfrm>
                                <a:off x="1227455" y="940435"/>
                                <a:ext cx="1000125" cy="377190"/>
                              </a:xfrm>
                              <a:prstGeom prst="line">
                                <a:avLst/>
                              </a:prstGeom>
                              <a:noFill/>
                              <a:ln w="9525" cap="flat" cmpd="sng" algn="ctr">
                                <a:solidFill>
                                  <a:srgbClr val="000000"/>
                                </a:solidFill>
                                <a:prstDash val="solid"/>
                              </a:ln>
                              <a:effectLst/>
                            </wps:spPr>
                            <wps:bodyPr/>
                          </wps:wsp>
                        </a:graphicData>
                      </a:graphic>
                    </wp:anchor>
                  </w:drawing>
                </mc:Choice>
                <mc:Fallback>
                  <w:pict>
                    <v:line id="_x0000_s1026" o:spid="_x0000_s1026" o:spt="20" style="position:absolute;left:0pt;margin-left:-0.9pt;margin-top:1.55pt;height:29pt;width:72.75pt;z-index:251670528;mso-width-relative:page;mso-height-relative:page;" filled="f" stroked="t" coordsize="21600,21600" o:gfxdata="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oypsZ1QAAAAcBAAAPAAAAAAAAAAEAIAAAACIA&#10;AABkcnMvZG93bnJldi54bWxQSwECFAAUAAAACACHTuJApdQEZtMBAABsAwAADgAAAAAAAAABACAA&#10;AAAkAQAAZHJzL2Uyb0RvYy54bWxQSwUGAAAAAAYABgBZAQAAaQUAAAAA&#10;">
                      <v:fill on="f" focussize="0,0"/>
                      <v:stroke color="#000000" joinstyle="round"/>
                      <v:imagedata o:title=""/>
                      <o:lock v:ext="edit" aspectratio="f"/>
                    </v:line>
                  </w:pict>
                </mc:Fallback>
              </mc:AlternateContent>
            </w:r>
            <w:r>
              <w:rPr>
                <w:rFonts w:hint="eastAsia" w:ascii="宋体" w:hAnsi="宋体" w:cs="宋体"/>
                <w:b/>
                <w:bCs/>
                <w:color w:val="000000" w:themeColor="text1"/>
                <w:w w:val="95"/>
                <w:sz w:val="21"/>
                <w:szCs w:val="21"/>
              </w:rPr>
              <w:t>检测点位</w:t>
            </w:r>
          </w:p>
          <w:p>
            <w:pPr>
              <w:pStyle w:val="617"/>
              <w:spacing w:line="240" w:lineRule="auto"/>
              <w:ind w:firstLine="502"/>
              <w:rPr>
                <w:b/>
                <w:bCs/>
                <w:color w:val="000000" w:themeColor="text1"/>
                <w:sz w:val="25"/>
                <w:szCs w:val="25"/>
              </w:rPr>
            </w:pPr>
          </w:p>
          <w:p>
            <w:pPr>
              <w:pStyle w:val="617"/>
              <w:spacing w:line="282" w:lineRule="exact"/>
              <w:ind w:right="423" w:firstLine="0" w:firstLineChars="0"/>
              <w:jc w:val="right"/>
              <w:rPr>
                <w:rFonts w:eastAsia="Times New Roman"/>
                <w:color w:val="000000" w:themeColor="text1"/>
                <w:sz w:val="21"/>
                <w:szCs w:val="21"/>
              </w:rPr>
            </w:pPr>
            <w:r>
              <w:rPr>
                <w:b/>
                <w:bCs/>
                <w:color w:val="000000" w:themeColor="text1"/>
                <w:sz w:val="21"/>
                <w:szCs w:val="21"/>
              </w:rPr>
              <w:t>采样时间</w:t>
            </w:r>
            <w:r>
              <w:rPr>
                <w:rFonts w:eastAsia="Times New Roman"/>
                <w:b/>
                <w:bCs/>
                <w:color w:val="000000" w:themeColor="text1"/>
                <w:sz w:val="21"/>
                <w:szCs w:val="21"/>
              </w:rPr>
              <w:t>/</w:t>
            </w:r>
          </w:p>
          <w:p>
            <w:pPr>
              <w:pStyle w:val="617"/>
              <w:spacing w:before="106" w:line="240" w:lineRule="auto"/>
              <w:ind w:firstLine="0" w:firstLineChars="0"/>
              <w:rPr>
                <w:b/>
                <w:bCs/>
                <w:color w:val="000000" w:themeColor="text1"/>
                <w:sz w:val="21"/>
                <w:szCs w:val="21"/>
              </w:rPr>
            </w:pPr>
            <w:r>
              <w:rPr>
                <w:b/>
                <w:bCs/>
                <w:color w:val="000000" w:themeColor="text1"/>
                <w:sz w:val="21"/>
                <w:szCs w:val="21"/>
              </w:rPr>
              <w:t>检测项目</w:t>
            </w:r>
          </w:p>
          <w:p>
            <w:pPr>
              <w:pStyle w:val="617"/>
              <w:spacing w:before="106" w:line="240" w:lineRule="auto"/>
              <w:ind w:firstLine="0" w:firstLineChars="0"/>
              <w:rPr>
                <w:color w:val="000000" w:themeColor="text1"/>
                <w:sz w:val="21"/>
                <w:szCs w:val="21"/>
              </w:rPr>
            </w:pPr>
            <w:r>
              <w:rPr>
                <w:b/>
                <w:bCs/>
                <w:color w:val="000000" w:themeColor="text1"/>
                <w:sz w:val="21"/>
                <w:szCs w:val="21"/>
              </w:rPr>
              <w:t>（单位）</w:t>
            </w:r>
          </w:p>
        </w:tc>
        <w:tc>
          <w:tcPr>
            <w:tcW w:w="1668" w:type="dxa"/>
            <w:tcBorders>
              <w:top w:val="single" w:color="000000" w:sz="4" w:space="0"/>
              <w:left w:val="single" w:color="000000" w:sz="4" w:space="0"/>
              <w:bottom w:val="single" w:color="000000" w:sz="4" w:space="0"/>
              <w:right w:val="single" w:color="000000" w:sz="4" w:space="0"/>
            </w:tcBorders>
          </w:tcPr>
          <w:p>
            <w:pPr>
              <w:pStyle w:val="617"/>
              <w:spacing w:before="112" w:line="240" w:lineRule="auto"/>
              <w:ind w:firstLine="0" w:firstLineChars="0"/>
              <w:jc w:val="center"/>
              <w:rPr>
                <w:color w:val="000000" w:themeColor="text1"/>
                <w:sz w:val="21"/>
                <w:szCs w:val="21"/>
              </w:rPr>
            </w:pPr>
            <w:r>
              <w:rPr>
                <w:rFonts w:eastAsia="Times New Roman"/>
                <w:color w:val="000000" w:themeColor="text1"/>
                <w:sz w:val="21"/>
                <w:szCs w:val="21"/>
              </w:rPr>
              <w:t>S1</w:t>
            </w:r>
            <w:r>
              <w:rPr>
                <w:color w:val="000000" w:themeColor="text1"/>
                <w:sz w:val="21"/>
                <w:szCs w:val="21"/>
              </w:rPr>
              <w:t>：项目区西南侧</w:t>
            </w:r>
          </w:p>
        </w:tc>
        <w:tc>
          <w:tcPr>
            <w:tcW w:w="1707" w:type="dxa"/>
            <w:tcBorders>
              <w:top w:val="single" w:color="000000" w:sz="4" w:space="0"/>
              <w:left w:val="single" w:color="000000" w:sz="4" w:space="0"/>
              <w:bottom w:val="single" w:color="000000" w:sz="4" w:space="0"/>
              <w:right w:val="single" w:color="000000" w:sz="4" w:space="0"/>
            </w:tcBorders>
          </w:tcPr>
          <w:p>
            <w:pPr>
              <w:pStyle w:val="617"/>
              <w:spacing w:before="112" w:line="240" w:lineRule="auto"/>
              <w:ind w:right="1" w:firstLine="0" w:firstLineChars="0"/>
              <w:jc w:val="center"/>
              <w:rPr>
                <w:color w:val="000000" w:themeColor="text1"/>
                <w:sz w:val="21"/>
                <w:szCs w:val="21"/>
              </w:rPr>
            </w:pPr>
            <w:r>
              <w:rPr>
                <w:rFonts w:eastAsia="Times New Roman"/>
                <w:color w:val="000000" w:themeColor="text1"/>
                <w:sz w:val="21"/>
                <w:szCs w:val="21"/>
              </w:rPr>
              <w:t>S2</w:t>
            </w:r>
            <w:r>
              <w:rPr>
                <w:color w:val="000000" w:themeColor="text1"/>
                <w:sz w:val="21"/>
                <w:szCs w:val="21"/>
              </w:rPr>
              <w:t>：项目区东侧</w:t>
            </w:r>
          </w:p>
        </w:tc>
        <w:tc>
          <w:tcPr>
            <w:tcW w:w="1667" w:type="dxa"/>
            <w:tcBorders>
              <w:top w:val="single" w:color="000000" w:sz="4" w:space="0"/>
              <w:left w:val="single" w:color="000000" w:sz="4" w:space="0"/>
              <w:bottom w:val="single" w:color="000000" w:sz="4" w:space="0"/>
              <w:right w:val="single" w:color="000000" w:sz="4" w:space="0"/>
            </w:tcBorders>
          </w:tcPr>
          <w:p>
            <w:pPr>
              <w:pStyle w:val="617"/>
              <w:spacing w:before="112" w:line="240" w:lineRule="auto"/>
              <w:ind w:right="1" w:firstLine="0" w:firstLineChars="0"/>
              <w:jc w:val="center"/>
              <w:rPr>
                <w:color w:val="000000" w:themeColor="text1"/>
                <w:sz w:val="21"/>
                <w:szCs w:val="21"/>
              </w:rPr>
            </w:pPr>
            <w:r>
              <w:rPr>
                <w:rFonts w:eastAsia="Times New Roman"/>
                <w:color w:val="000000" w:themeColor="text1"/>
                <w:sz w:val="21"/>
                <w:szCs w:val="21"/>
              </w:rPr>
              <w:t>S3</w:t>
            </w:r>
            <w:r>
              <w:rPr>
                <w:color w:val="000000" w:themeColor="text1"/>
                <w:sz w:val="21"/>
                <w:szCs w:val="21"/>
              </w:rPr>
              <w:t>：项目区北侧</w:t>
            </w:r>
          </w:p>
        </w:tc>
        <w:tc>
          <w:tcPr>
            <w:tcW w:w="927" w:type="dxa"/>
            <w:vMerge w:val="restart"/>
            <w:tcBorders>
              <w:top w:val="single" w:color="000000" w:sz="4" w:space="0"/>
              <w:left w:val="single" w:color="000000" w:sz="4" w:space="0"/>
              <w:right w:val="single" w:color="000000" w:sz="4" w:space="0"/>
            </w:tcBorders>
            <w:vAlign w:val="center"/>
          </w:tcPr>
          <w:p>
            <w:pPr>
              <w:pStyle w:val="617"/>
              <w:spacing w:before="112" w:line="240" w:lineRule="auto"/>
              <w:ind w:right="1" w:firstLine="0" w:firstLineChars="0"/>
              <w:jc w:val="center"/>
              <w:rPr>
                <w:color w:val="000000" w:themeColor="text1"/>
                <w:sz w:val="21"/>
                <w:szCs w:val="21"/>
              </w:rPr>
            </w:pPr>
            <w:r>
              <w:rPr>
                <w:color w:val="000000" w:themeColor="text1"/>
                <w:sz w:val="21"/>
                <w:szCs w:val="21"/>
              </w:rPr>
              <w:t>筛选值标准</w:t>
            </w:r>
          </w:p>
        </w:tc>
        <w:tc>
          <w:tcPr>
            <w:tcW w:w="930" w:type="dxa"/>
            <w:vMerge w:val="restart"/>
            <w:tcBorders>
              <w:top w:val="single" w:color="000000" w:sz="4" w:space="0"/>
              <w:left w:val="single" w:color="000000" w:sz="4" w:space="0"/>
              <w:right w:val="single" w:color="000000" w:sz="4" w:space="0"/>
            </w:tcBorders>
            <w:vAlign w:val="center"/>
          </w:tcPr>
          <w:p>
            <w:pPr>
              <w:pStyle w:val="617"/>
              <w:spacing w:before="112" w:line="240" w:lineRule="auto"/>
              <w:ind w:right="1" w:firstLine="0" w:firstLineChars="0"/>
              <w:jc w:val="center"/>
              <w:rPr>
                <w:color w:val="000000" w:themeColor="text1"/>
                <w:sz w:val="21"/>
                <w:szCs w:val="21"/>
              </w:rPr>
            </w:pPr>
            <w:r>
              <w:rPr>
                <w:color w:val="000000" w:themeColor="text1"/>
                <w:sz w:val="21"/>
                <w:szCs w:val="21"/>
              </w:rPr>
              <w:t>达标情况</w:t>
            </w:r>
          </w:p>
        </w:tc>
      </w:tr>
      <w:tr>
        <w:tblPrEx>
          <w:tblLayout w:type="fixed"/>
          <w:tblCellMar>
            <w:top w:w="0" w:type="dxa"/>
            <w:left w:w="0" w:type="dxa"/>
            <w:bottom w:w="0" w:type="dxa"/>
            <w:right w:w="0" w:type="dxa"/>
          </w:tblCellMar>
        </w:tblPrEx>
        <w:trPr>
          <w:trHeight w:val="577" w:hRule="exact"/>
        </w:trPr>
        <w:tc>
          <w:tcPr>
            <w:tcW w:w="1412" w:type="dxa"/>
            <w:vMerge w:val="continue"/>
            <w:tcBorders>
              <w:left w:val="single" w:color="000000" w:sz="4" w:space="0"/>
              <w:right w:val="single" w:color="000000" w:sz="4" w:space="0"/>
            </w:tcBorders>
          </w:tcPr>
          <w:p>
            <w:pPr>
              <w:ind w:firstLine="480"/>
              <w:rPr>
                <w:color w:val="000000" w:themeColor="text1"/>
              </w:rPr>
            </w:pPr>
          </w:p>
        </w:tc>
        <w:tc>
          <w:tcPr>
            <w:tcW w:w="5042" w:type="dxa"/>
            <w:gridSpan w:val="3"/>
            <w:tcBorders>
              <w:top w:val="single" w:color="000000" w:sz="4" w:space="0"/>
              <w:left w:val="single" w:color="000000" w:sz="4" w:space="0"/>
              <w:bottom w:val="single" w:color="000000" w:sz="4" w:space="0"/>
              <w:right w:val="single" w:color="000000" w:sz="4" w:space="0"/>
            </w:tcBorders>
          </w:tcPr>
          <w:p>
            <w:pPr>
              <w:pStyle w:val="617"/>
              <w:spacing w:before="163" w:line="240" w:lineRule="auto"/>
              <w:ind w:firstLine="0" w:firstLineChars="0"/>
              <w:jc w:val="center"/>
              <w:rPr>
                <w:rFonts w:eastAsia="Times New Roman"/>
                <w:color w:val="000000" w:themeColor="text1"/>
                <w:sz w:val="21"/>
                <w:szCs w:val="21"/>
              </w:rPr>
            </w:pPr>
            <w:r>
              <w:rPr>
                <w:color w:val="000000" w:themeColor="text1"/>
                <w:sz w:val="21"/>
              </w:rPr>
              <w:t>2019.08.28</w:t>
            </w:r>
          </w:p>
        </w:tc>
        <w:tc>
          <w:tcPr>
            <w:tcW w:w="927" w:type="dxa"/>
            <w:vMerge w:val="continue"/>
            <w:tcBorders>
              <w:left w:val="single" w:color="000000" w:sz="4" w:space="0"/>
              <w:right w:val="single" w:color="000000" w:sz="4" w:space="0"/>
            </w:tcBorders>
          </w:tcPr>
          <w:p>
            <w:pPr>
              <w:pStyle w:val="617"/>
              <w:spacing w:before="163" w:line="240" w:lineRule="auto"/>
              <w:ind w:firstLine="0" w:firstLineChars="0"/>
              <w:jc w:val="center"/>
              <w:rPr>
                <w:color w:val="000000" w:themeColor="text1"/>
                <w:sz w:val="21"/>
              </w:rPr>
            </w:pPr>
          </w:p>
        </w:tc>
        <w:tc>
          <w:tcPr>
            <w:tcW w:w="930" w:type="dxa"/>
            <w:vMerge w:val="continue"/>
            <w:tcBorders>
              <w:left w:val="single" w:color="000000" w:sz="4" w:space="0"/>
              <w:right w:val="single" w:color="000000" w:sz="4" w:space="0"/>
            </w:tcBorders>
          </w:tcPr>
          <w:p>
            <w:pPr>
              <w:pStyle w:val="617"/>
              <w:spacing w:before="163" w:line="240" w:lineRule="auto"/>
              <w:ind w:firstLine="0" w:firstLineChars="0"/>
              <w:jc w:val="center"/>
              <w:rPr>
                <w:color w:val="000000" w:themeColor="text1"/>
                <w:sz w:val="21"/>
              </w:rPr>
            </w:pPr>
          </w:p>
        </w:tc>
      </w:tr>
      <w:tr>
        <w:tblPrEx>
          <w:tblLayout w:type="fixed"/>
          <w:tblCellMar>
            <w:top w:w="0" w:type="dxa"/>
            <w:left w:w="0" w:type="dxa"/>
            <w:bottom w:w="0" w:type="dxa"/>
            <w:right w:w="0" w:type="dxa"/>
          </w:tblCellMar>
        </w:tblPrEx>
        <w:trPr>
          <w:trHeight w:val="577" w:hRule="exact"/>
        </w:trPr>
        <w:tc>
          <w:tcPr>
            <w:tcW w:w="1412" w:type="dxa"/>
            <w:vMerge w:val="continue"/>
            <w:tcBorders>
              <w:left w:val="single" w:color="000000" w:sz="4" w:space="0"/>
              <w:bottom w:val="single" w:color="000000" w:sz="4" w:space="0"/>
              <w:right w:val="single" w:color="000000" w:sz="4" w:space="0"/>
            </w:tcBorders>
          </w:tcPr>
          <w:p>
            <w:pPr>
              <w:ind w:firstLine="480"/>
              <w:rPr>
                <w:color w:val="000000" w:themeColor="text1"/>
              </w:rPr>
            </w:pPr>
          </w:p>
        </w:tc>
        <w:tc>
          <w:tcPr>
            <w:tcW w:w="1668" w:type="dxa"/>
            <w:tcBorders>
              <w:top w:val="single" w:color="000000" w:sz="4" w:space="0"/>
              <w:left w:val="single" w:color="000000" w:sz="4" w:space="0"/>
              <w:bottom w:val="single" w:color="000000" w:sz="4" w:space="0"/>
              <w:right w:val="single" w:color="000000" w:sz="4" w:space="0"/>
            </w:tcBorders>
          </w:tcPr>
          <w:p>
            <w:pPr>
              <w:pStyle w:val="617"/>
              <w:spacing w:before="138" w:line="240" w:lineRule="auto"/>
              <w:ind w:right="1" w:firstLine="0" w:firstLineChars="0"/>
              <w:jc w:val="center"/>
              <w:rPr>
                <w:rFonts w:eastAsia="Times New Roman"/>
                <w:color w:val="000000" w:themeColor="text1"/>
                <w:sz w:val="21"/>
                <w:szCs w:val="21"/>
              </w:rPr>
            </w:pPr>
            <w:r>
              <w:rPr>
                <w:color w:val="000000" w:themeColor="text1"/>
                <w:sz w:val="21"/>
              </w:rPr>
              <w:t>20190820005-S001</w:t>
            </w:r>
          </w:p>
        </w:tc>
        <w:tc>
          <w:tcPr>
            <w:tcW w:w="1707" w:type="dxa"/>
            <w:tcBorders>
              <w:top w:val="single" w:color="000000" w:sz="4" w:space="0"/>
              <w:left w:val="single" w:color="000000" w:sz="4" w:space="0"/>
              <w:bottom w:val="single" w:color="000000" w:sz="4" w:space="0"/>
              <w:right w:val="single" w:color="000000" w:sz="4" w:space="0"/>
            </w:tcBorders>
          </w:tcPr>
          <w:p>
            <w:pPr>
              <w:pStyle w:val="617"/>
              <w:spacing w:before="138" w:line="240" w:lineRule="auto"/>
              <w:ind w:firstLine="0" w:firstLineChars="0"/>
              <w:jc w:val="center"/>
              <w:rPr>
                <w:rFonts w:eastAsia="Times New Roman"/>
                <w:color w:val="000000" w:themeColor="text1"/>
                <w:sz w:val="21"/>
                <w:szCs w:val="21"/>
              </w:rPr>
            </w:pPr>
            <w:r>
              <w:rPr>
                <w:color w:val="000000" w:themeColor="text1"/>
                <w:sz w:val="21"/>
              </w:rPr>
              <w:t>20190820005-S002</w:t>
            </w:r>
          </w:p>
        </w:tc>
        <w:tc>
          <w:tcPr>
            <w:tcW w:w="1667" w:type="dxa"/>
            <w:tcBorders>
              <w:top w:val="single" w:color="000000" w:sz="4" w:space="0"/>
              <w:left w:val="single" w:color="000000" w:sz="4" w:space="0"/>
              <w:bottom w:val="single" w:color="000000" w:sz="4" w:space="0"/>
              <w:right w:val="single" w:color="000000" w:sz="4" w:space="0"/>
            </w:tcBorders>
          </w:tcPr>
          <w:p>
            <w:pPr>
              <w:pStyle w:val="617"/>
              <w:spacing w:before="138" w:line="240" w:lineRule="auto"/>
              <w:ind w:firstLine="0" w:firstLineChars="0"/>
              <w:jc w:val="center"/>
              <w:rPr>
                <w:rFonts w:eastAsia="Times New Roman"/>
                <w:color w:val="000000" w:themeColor="text1"/>
                <w:sz w:val="21"/>
                <w:szCs w:val="21"/>
              </w:rPr>
            </w:pPr>
            <w:r>
              <w:rPr>
                <w:color w:val="000000" w:themeColor="text1"/>
                <w:sz w:val="21"/>
              </w:rPr>
              <w:t>20190820005-S003</w:t>
            </w:r>
          </w:p>
        </w:tc>
        <w:tc>
          <w:tcPr>
            <w:tcW w:w="927" w:type="dxa"/>
            <w:vMerge w:val="continue"/>
            <w:tcBorders>
              <w:left w:val="single" w:color="000000" w:sz="4" w:space="0"/>
              <w:bottom w:val="single" w:color="000000" w:sz="4" w:space="0"/>
              <w:right w:val="single" w:color="000000" w:sz="4" w:space="0"/>
            </w:tcBorders>
          </w:tcPr>
          <w:p>
            <w:pPr>
              <w:pStyle w:val="617"/>
              <w:spacing w:before="138" w:line="240" w:lineRule="auto"/>
              <w:ind w:firstLine="0" w:firstLineChars="0"/>
              <w:jc w:val="center"/>
              <w:rPr>
                <w:color w:val="000000" w:themeColor="text1"/>
                <w:sz w:val="21"/>
              </w:rPr>
            </w:pPr>
          </w:p>
        </w:tc>
        <w:tc>
          <w:tcPr>
            <w:tcW w:w="930" w:type="dxa"/>
            <w:vMerge w:val="continue"/>
            <w:tcBorders>
              <w:left w:val="single" w:color="000000" w:sz="4" w:space="0"/>
              <w:bottom w:val="single" w:color="000000" w:sz="4" w:space="0"/>
              <w:right w:val="single" w:color="000000" w:sz="4" w:space="0"/>
            </w:tcBorders>
          </w:tcPr>
          <w:p>
            <w:pPr>
              <w:pStyle w:val="617"/>
              <w:spacing w:before="138" w:line="240" w:lineRule="auto"/>
              <w:ind w:firstLine="0" w:firstLineChars="0"/>
              <w:jc w:val="center"/>
              <w:rPr>
                <w:color w:val="000000" w:themeColor="text1"/>
                <w:sz w:val="21"/>
              </w:rPr>
            </w:pPr>
          </w:p>
        </w:tc>
      </w:tr>
      <w:tr>
        <w:tblPrEx>
          <w:tblLayout w:type="fixed"/>
          <w:tblCellMar>
            <w:top w:w="0" w:type="dxa"/>
            <w:left w:w="0" w:type="dxa"/>
            <w:bottom w:w="0" w:type="dxa"/>
            <w:right w:w="0" w:type="dxa"/>
          </w:tblCellMar>
        </w:tblPrEx>
        <w:trPr>
          <w:trHeight w:val="454" w:hRule="exact"/>
        </w:trPr>
        <w:tc>
          <w:tcPr>
            <w:tcW w:w="1412"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eastAsia="Times New Roman"/>
                <w:color w:val="000000" w:themeColor="text1"/>
                <w:sz w:val="21"/>
                <w:szCs w:val="21"/>
              </w:rPr>
              <w:t>pH</w:t>
            </w:r>
            <w:r>
              <w:rPr>
                <w:color w:val="000000" w:themeColor="text1"/>
                <w:sz w:val="21"/>
                <w:szCs w:val="21"/>
              </w:rPr>
              <w:t>（无量纲）</w:t>
            </w:r>
          </w:p>
        </w:tc>
        <w:tc>
          <w:tcPr>
            <w:tcW w:w="1668"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6.50</w:t>
            </w:r>
          </w:p>
        </w:tc>
        <w:tc>
          <w:tcPr>
            <w:tcW w:w="170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6.91</w:t>
            </w:r>
          </w:p>
        </w:tc>
        <w:tc>
          <w:tcPr>
            <w:tcW w:w="166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5.26</w:t>
            </w:r>
          </w:p>
        </w:tc>
        <w:tc>
          <w:tcPr>
            <w:tcW w:w="92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rPr>
              <w:t>/</w:t>
            </w:r>
          </w:p>
        </w:tc>
        <w:tc>
          <w:tcPr>
            <w:tcW w:w="93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rPr>
              <w:t>/</w:t>
            </w:r>
          </w:p>
        </w:tc>
      </w:tr>
      <w:tr>
        <w:tblPrEx>
          <w:tblLayout w:type="fixed"/>
          <w:tblCellMar>
            <w:top w:w="0" w:type="dxa"/>
            <w:left w:w="0" w:type="dxa"/>
            <w:bottom w:w="0" w:type="dxa"/>
            <w:right w:w="0" w:type="dxa"/>
          </w:tblCellMar>
        </w:tblPrEx>
        <w:trPr>
          <w:trHeight w:val="454" w:hRule="exact"/>
        </w:trPr>
        <w:tc>
          <w:tcPr>
            <w:tcW w:w="1412"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砷（</w:t>
            </w:r>
            <w:r>
              <w:rPr>
                <w:rFonts w:eastAsia="Times New Roman"/>
                <w:color w:val="000000" w:themeColor="text1"/>
                <w:sz w:val="21"/>
                <w:szCs w:val="21"/>
              </w:rPr>
              <w:t>mg/kg</w:t>
            </w:r>
            <w:r>
              <w:rPr>
                <w:color w:val="000000" w:themeColor="text1"/>
                <w:sz w:val="21"/>
                <w:szCs w:val="21"/>
              </w:rPr>
              <w:t>）</w:t>
            </w:r>
          </w:p>
        </w:tc>
        <w:tc>
          <w:tcPr>
            <w:tcW w:w="1668"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1.00</w:t>
            </w:r>
          </w:p>
        </w:tc>
        <w:tc>
          <w:tcPr>
            <w:tcW w:w="170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未检出</w:t>
            </w:r>
          </w:p>
        </w:tc>
        <w:tc>
          <w:tcPr>
            <w:tcW w:w="166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未检出</w:t>
            </w:r>
          </w:p>
        </w:tc>
        <w:tc>
          <w:tcPr>
            <w:tcW w:w="92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60</w:t>
            </w:r>
          </w:p>
        </w:tc>
        <w:tc>
          <w:tcPr>
            <w:tcW w:w="93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达标</w:t>
            </w:r>
          </w:p>
        </w:tc>
      </w:tr>
      <w:tr>
        <w:tblPrEx>
          <w:tblLayout w:type="fixed"/>
          <w:tblCellMar>
            <w:top w:w="0" w:type="dxa"/>
            <w:left w:w="0" w:type="dxa"/>
            <w:bottom w:w="0" w:type="dxa"/>
            <w:right w:w="0" w:type="dxa"/>
          </w:tblCellMar>
        </w:tblPrEx>
        <w:trPr>
          <w:trHeight w:val="454" w:hRule="exact"/>
        </w:trPr>
        <w:tc>
          <w:tcPr>
            <w:tcW w:w="1412"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镉（</w:t>
            </w:r>
            <w:r>
              <w:rPr>
                <w:rFonts w:eastAsia="Times New Roman"/>
                <w:color w:val="000000" w:themeColor="text1"/>
                <w:sz w:val="21"/>
                <w:szCs w:val="21"/>
              </w:rPr>
              <w:t>mg/kg</w:t>
            </w:r>
            <w:r>
              <w:rPr>
                <w:color w:val="000000" w:themeColor="text1"/>
                <w:sz w:val="21"/>
                <w:szCs w:val="21"/>
              </w:rPr>
              <w:t>）</w:t>
            </w:r>
          </w:p>
        </w:tc>
        <w:tc>
          <w:tcPr>
            <w:tcW w:w="1668"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0.26</w:t>
            </w:r>
          </w:p>
        </w:tc>
        <w:tc>
          <w:tcPr>
            <w:tcW w:w="170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0.39</w:t>
            </w:r>
          </w:p>
        </w:tc>
        <w:tc>
          <w:tcPr>
            <w:tcW w:w="166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0.41</w:t>
            </w:r>
          </w:p>
        </w:tc>
        <w:tc>
          <w:tcPr>
            <w:tcW w:w="92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rPr>
              <w:t>65</w:t>
            </w:r>
          </w:p>
        </w:tc>
        <w:tc>
          <w:tcPr>
            <w:tcW w:w="93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szCs w:val="21"/>
              </w:rPr>
              <w:t>达标</w:t>
            </w:r>
          </w:p>
        </w:tc>
      </w:tr>
      <w:tr>
        <w:tblPrEx>
          <w:tblLayout w:type="fixed"/>
          <w:tblCellMar>
            <w:top w:w="0" w:type="dxa"/>
            <w:left w:w="0" w:type="dxa"/>
            <w:bottom w:w="0" w:type="dxa"/>
            <w:right w:w="0" w:type="dxa"/>
          </w:tblCellMar>
        </w:tblPrEx>
        <w:trPr>
          <w:trHeight w:val="454" w:hRule="exact"/>
        </w:trPr>
        <w:tc>
          <w:tcPr>
            <w:tcW w:w="1412"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铅（</w:t>
            </w:r>
            <w:r>
              <w:rPr>
                <w:rFonts w:eastAsia="Times New Roman"/>
                <w:color w:val="000000" w:themeColor="text1"/>
                <w:sz w:val="21"/>
                <w:szCs w:val="21"/>
              </w:rPr>
              <w:t>mg/kg</w:t>
            </w:r>
            <w:r>
              <w:rPr>
                <w:color w:val="000000" w:themeColor="text1"/>
                <w:sz w:val="21"/>
                <w:szCs w:val="21"/>
              </w:rPr>
              <w:t>）</w:t>
            </w:r>
          </w:p>
        </w:tc>
        <w:tc>
          <w:tcPr>
            <w:tcW w:w="1668"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43.3</w:t>
            </w:r>
          </w:p>
        </w:tc>
        <w:tc>
          <w:tcPr>
            <w:tcW w:w="170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37.4</w:t>
            </w:r>
          </w:p>
        </w:tc>
        <w:tc>
          <w:tcPr>
            <w:tcW w:w="166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37.8</w:t>
            </w:r>
          </w:p>
        </w:tc>
        <w:tc>
          <w:tcPr>
            <w:tcW w:w="92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rPr>
              <w:t>800</w:t>
            </w:r>
          </w:p>
        </w:tc>
        <w:tc>
          <w:tcPr>
            <w:tcW w:w="93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szCs w:val="21"/>
              </w:rPr>
              <w:t>达标</w:t>
            </w:r>
          </w:p>
        </w:tc>
      </w:tr>
      <w:tr>
        <w:tblPrEx>
          <w:tblLayout w:type="fixed"/>
          <w:tblCellMar>
            <w:top w:w="0" w:type="dxa"/>
            <w:left w:w="0" w:type="dxa"/>
            <w:bottom w:w="0" w:type="dxa"/>
            <w:right w:w="0" w:type="dxa"/>
          </w:tblCellMar>
        </w:tblPrEx>
        <w:trPr>
          <w:trHeight w:val="734" w:hRule="exact"/>
        </w:trPr>
        <w:tc>
          <w:tcPr>
            <w:tcW w:w="1412"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铬（六价）（</w:t>
            </w:r>
            <w:r>
              <w:rPr>
                <w:rFonts w:eastAsia="Times New Roman"/>
                <w:color w:val="000000" w:themeColor="text1"/>
                <w:sz w:val="21"/>
                <w:szCs w:val="21"/>
              </w:rPr>
              <w:t>mg/kg</w:t>
            </w:r>
            <w:r>
              <w:rPr>
                <w:color w:val="000000" w:themeColor="text1"/>
                <w:sz w:val="21"/>
                <w:szCs w:val="21"/>
              </w:rPr>
              <w:t>）</w:t>
            </w:r>
          </w:p>
        </w:tc>
        <w:tc>
          <w:tcPr>
            <w:tcW w:w="1668"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w:t>
            </w:r>
          </w:p>
        </w:tc>
        <w:tc>
          <w:tcPr>
            <w:tcW w:w="170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w:t>
            </w:r>
          </w:p>
        </w:tc>
        <w:tc>
          <w:tcPr>
            <w:tcW w:w="1667" w:type="dxa"/>
            <w:tcBorders>
              <w:top w:val="single" w:color="000000" w:sz="4" w:space="0"/>
              <w:left w:val="single" w:color="000000" w:sz="4" w:space="0"/>
              <w:bottom w:val="single" w:color="000000" w:sz="4" w:space="0"/>
              <w:right w:val="single" w:color="000000" w:sz="4" w:space="0"/>
            </w:tcBorders>
            <w:vAlign w:val="center"/>
          </w:tcPr>
          <w:p>
            <w:pPr>
              <w:pStyle w:val="617"/>
              <w:tabs>
                <w:tab w:val="left" w:pos="1088"/>
              </w:tabs>
              <w:spacing w:line="240" w:lineRule="auto"/>
              <w:ind w:firstLine="0" w:firstLineChars="0"/>
              <w:jc w:val="center"/>
              <w:rPr>
                <w:color w:val="000000" w:themeColor="text1"/>
                <w:sz w:val="21"/>
                <w:szCs w:val="21"/>
              </w:rPr>
            </w:pPr>
            <w:r>
              <w:rPr>
                <w:color w:val="000000" w:themeColor="text1"/>
                <w:w w:val="95"/>
                <w:sz w:val="21"/>
              </w:rPr>
              <w:t>5</w:t>
            </w:r>
          </w:p>
        </w:tc>
        <w:tc>
          <w:tcPr>
            <w:tcW w:w="927" w:type="dxa"/>
            <w:tcBorders>
              <w:top w:val="single" w:color="000000" w:sz="4" w:space="0"/>
              <w:left w:val="single" w:color="000000" w:sz="4" w:space="0"/>
              <w:bottom w:val="single" w:color="000000" w:sz="4" w:space="0"/>
              <w:right w:val="single" w:color="000000" w:sz="4" w:space="0"/>
            </w:tcBorders>
            <w:vAlign w:val="center"/>
          </w:tcPr>
          <w:p>
            <w:pPr>
              <w:pStyle w:val="617"/>
              <w:tabs>
                <w:tab w:val="left" w:pos="1088"/>
              </w:tabs>
              <w:spacing w:line="240" w:lineRule="auto"/>
              <w:ind w:firstLine="0" w:firstLineChars="0"/>
              <w:jc w:val="center"/>
              <w:rPr>
                <w:color w:val="000000" w:themeColor="text1"/>
                <w:w w:val="95"/>
                <w:sz w:val="21"/>
              </w:rPr>
            </w:pPr>
            <w:r>
              <w:rPr>
                <w:color w:val="000000" w:themeColor="text1"/>
                <w:w w:val="95"/>
                <w:sz w:val="21"/>
              </w:rPr>
              <w:t>5.7</w:t>
            </w:r>
          </w:p>
        </w:tc>
        <w:tc>
          <w:tcPr>
            <w:tcW w:w="930" w:type="dxa"/>
            <w:tcBorders>
              <w:top w:val="single" w:color="000000" w:sz="4" w:space="0"/>
              <w:left w:val="single" w:color="000000" w:sz="4" w:space="0"/>
              <w:bottom w:val="single" w:color="000000" w:sz="4" w:space="0"/>
              <w:right w:val="single" w:color="000000" w:sz="4" w:space="0"/>
            </w:tcBorders>
            <w:vAlign w:val="center"/>
          </w:tcPr>
          <w:p>
            <w:pPr>
              <w:pStyle w:val="617"/>
              <w:tabs>
                <w:tab w:val="left" w:pos="1088"/>
              </w:tabs>
              <w:spacing w:line="240" w:lineRule="auto"/>
              <w:ind w:firstLine="0" w:firstLineChars="0"/>
              <w:jc w:val="center"/>
              <w:rPr>
                <w:color w:val="000000" w:themeColor="text1"/>
                <w:w w:val="95"/>
                <w:sz w:val="21"/>
              </w:rPr>
            </w:pPr>
            <w:r>
              <w:rPr>
                <w:color w:val="000000" w:themeColor="text1"/>
                <w:sz w:val="21"/>
                <w:szCs w:val="21"/>
              </w:rPr>
              <w:t>达标</w:t>
            </w:r>
          </w:p>
        </w:tc>
      </w:tr>
      <w:tr>
        <w:tblPrEx>
          <w:tblLayout w:type="fixed"/>
          <w:tblCellMar>
            <w:top w:w="0" w:type="dxa"/>
            <w:left w:w="0" w:type="dxa"/>
            <w:bottom w:w="0" w:type="dxa"/>
            <w:right w:w="0" w:type="dxa"/>
          </w:tblCellMar>
        </w:tblPrEx>
        <w:trPr>
          <w:trHeight w:val="454" w:hRule="exact"/>
        </w:trPr>
        <w:tc>
          <w:tcPr>
            <w:tcW w:w="1412"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铜（</w:t>
            </w:r>
            <w:r>
              <w:rPr>
                <w:rFonts w:eastAsia="Times New Roman"/>
                <w:color w:val="000000" w:themeColor="text1"/>
                <w:sz w:val="21"/>
                <w:szCs w:val="21"/>
              </w:rPr>
              <w:t>mg/kg</w:t>
            </w:r>
            <w:r>
              <w:rPr>
                <w:color w:val="000000" w:themeColor="text1"/>
                <w:sz w:val="21"/>
                <w:szCs w:val="21"/>
              </w:rPr>
              <w:t>）</w:t>
            </w:r>
          </w:p>
        </w:tc>
        <w:tc>
          <w:tcPr>
            <w:tcW w:w="1668"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19</w:t>
            </w:r>
          </w:p>
        </w:tc>
        <w:tc>
          <w:tcPr>
            <w:tcW w:w="170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24</w:t>
            </w:r>
          </w:p>
        </w:tc>
        <w:tc>
          <w:tcPr>
            <w:tcW w:w="166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31</w:t>
            </w:r>
          </w:p>
        </w:tc>
        <w:tc>
          <w:tcPr>
            <w:tcW w:w="92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rPr>
              <w:t>18000</w:t>
            </w:r>
          </w:p>
        </w:tc>
        <w:tc>
          <w:tcPr>
            <w:tcW w:w="93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szCs w:val="21"/>
              </w:rPr>
              <w:t>达标</w:t>
            </w:r>
          </w:p>
        </w:tc>
      </w:tr>
      <w:tr>
        <w:tblPrEx>
          <w:tblLayout w:type="fixed"/>
          <w:tblCellMar>
            <w:top w:w="0" w:type="dxa"/>
            <w:left w:w="0" w:type="dxa"/>
            <w:bottom w:w="0" w:type="dxa"/>
            <w:right w:w="0" w:type="dxa"/>
          </w:tblCellMar>
        </w:tblPrEx>
        <w:trPr>
          <w:trHeight w:val="454" w:hRule="exact"/>
        </w:trPr>
        <w:tc>
          <w:tcPr>
            <w:tcW w:w="1412"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汞（</w:t>
            </w:r>
            <w:r>
              <w:rPr>
                <w:rFonts w:eastAsia="Times New Roman"/>
                <w:color w:val="000000" w:themeColor="text1"/>
                <w:sz w:val="21"/>
                <w:szCs w:val="21"/>
              </w:rPr>
              <w:t>mg/kg</w:t>
            </w:r>
            <w:r>
              <w:rPr>
                <w:color w:val="000000" w:themeColor="text1"/>
                <w:sz w:val="21"/>
                <w:szCs w:val="21"/>
              </w:rPr>
              <w:t>）</w:t>
            </w:r>
          </w:p>
        </w:tc>
        <w:tc>
          <w:tcPr>
            <w:tcW w:w="1668"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0.469</w:t>
            </w:r>
          </w:p>
        </w:tc>
        <w:tc>
          <w:tcPr>
            <w:tcW w:w="170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0.193</w:t>
            </w:r>
          </w:p>
        </w:tc>
        <w:tc>
          <w:tcPr>
            <w:tcW w:w="166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0.184</w:t>
            </w:r>
          </w:p>
        </w:tc>
        <w:tc>
          <w:tcPr>
            <w:tcW w:w="92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rPr>
              <w:t>38</w:t>
            </w:r>
          </w:p>
        </w:tc>
        <w:tc>
          <w:tcPr>
            <w:tcW w:w="93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szCs w:val="21"/>
              </w:rPr>
              <w:t>达标</w:t>
            </w:r>
          </w:p>
        </w:tc>
      </w:tr>
      <w:tr>
        <w:tblPrEx>
          <w:tblLayout w:type="fixed"/>
          <w:tblCellMar>
            <w:top w:w="0" w:type="dxa"/>
            <w:left w:w="0" w:type="dxa"/>
            <w:bottom w:w="0" w:type="dxa"/>
            <w:right w:w="0" w:type="dxa"/>
          </w:tblCellMar>
        </w:tblPrEx>
        <w:trPr>
          <w:trHeight w:val="454" w:hRule="exact"/>
        </w:trPr>
        <w:tc>
          <w:tcPr>
            <w:tcW w:w="1412"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镍（</w:t>
            </w:r>
            <w:r>
              <w:rPr>
                <w:rFonts w:eastAsia="Times New Roman"/>
                <w:color w:val="000000" w:themeColor="text1"/>
                <w:sz w:val="21"/>
                <w:szCs w:val="21"/>
              </w:rPr>
              <w:t>mg/kg</w:t>
            </w:r>
            <w:r>
              <w:rPr>
                <w:color w:val="000000" w:themeColor="text1"/>
                <w:sz w:val="21"/>
                <w:szCs w:val="21"/>
              </w:rPr>
              <w:t>）</w:t>
            </w:r>
          </w:p>
        </w:tc>
        <w:tc>
          <w:tcPr>
            <w:tcW w:w="1668"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14</w:t>
            </w:r>
          </w:p>
        </w:tc>
        <w:tc>
          <w:tcPr>
            <w:tcW w:w="170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46</w:t>
            </w:r>
          </w:p>
        </w:tc>
        <w:tc>
          <w:tcPr>
            <w:tcW w:w="166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44</w:t>
            </w:r>
          </w:p>
        </w:tc>
        <w:tc>
          <w:tcPr>
            <w:tcW w:w="92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rPr>
              <w:t>900</w:t>
            </w:r>
          </w:p>
        </w:tc>
        <w:tc>
          <w:tcPr>
            <w:tcW w:w="93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szCs w:val="21"/>
              </w:rPr>
              <w:t>达标</w:t>
            </w:r>
          </w:p>
        </w:tc>
      </w:tr>
      <w:tr>
        <w:tblPrEx>
          <w:tblLayout w:type="fixed"/>
          <w:tblCellMar>
            <w:top w:w="0" w:type="dxa"/>
            <w:left w:w="0" w:type="dxa"/>
            <w:bottom w:w="0" w:type="dxa"/>
            <w:right w:w="0" w:type="dxa"/>
          </w:tblCellMar>
        </w:tblPrEx>
        <w:trPr>
          <w:trHeight w:val="764" w:hRule="exact"/>
        </w:trPr>
        <w:tc>
          <w:tcPr>
            <w:tcW w:w="1412"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有效态铁（</w:t>
            </w:r>
            <w:r>
              <w:rPr>
                <w:rFonts w:eastAsia="Times New Roman"/>
                <w:color w:val="000000" w:themeColor="text1"/>
                <w:sz w:val="21"/>
                <w:szCs w:val="21"/>
              </w:rPr>
              <w:t>mg/kg</w:t>
            </w:r>
            <w:r>
              <w:rPr>
                <w:color w:val="000000" w:themeColor="text1"/>
                <w:sz w:val="21"/>
                <w:szCs w:val="21"/>
              </w:rPr>
              <w:t>）</w:t>
            </w:r>
          </w:p>
        </w:tc>
        <w:tc>
          <w:tcPr>
            <w:tcW w:w="1668"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45.0</w:t>
            </w:r>
          </w:p>
        </w:tc>
        <w:tc>
          <w:tcPr>
            <w:tcW w:w="170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84.0</w:t>
            </w:r>
          </w:p>
        </w:tc>
        <w:tc>
          <w:tcPr>
            <w:tcW w:w="166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rFonts w:eastAsia="Times New Roman"/>
                <w:color w:val="000000" w:themeColor="text1"/>
                <w:sz w:val="21"/>
                <w:szCs w:val="21"/>
              </w:rPr>
            </w:pPr>
            <w:r>
              <w:rPr>
                <w:color w:val="000000" w:themeColor="text1"/>
                <w:sz w:val="21"/>
              </w:rPr>
              <w:t>93.2</w:t>
            </w:r>
          </w:p>
        </w:tc>
        <w:tc>
          <w:tcPr>
            <w:tcW w:w="92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rPr>
              <w:t>/</w:t>
            </w:r>
          </w:p>
        </w:tc>
        <w:tc>
          <w:tcPr>
            <w:tcW w:w="930"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rPr>
            </w:pPr>
            <w:r>
              <w:rPr>
                <w:color w:val="000000" w:themeColor="text1"/>
                <w:sz w:val="21"/>
              </w:rPr>
              <w:t>/</w:t>
            </w:r>
          </w:p>
        </w:tc>
      </w:tr>
      <w:tr>
        <w:tblPrEx>
          <w:tblLayout w:type="fixed"/>
          <w:tblCellMar>
            <w:top w:w="0" w:type="dxa"/>
            <w:left w:w="0" w:type="dxa"/>
            <w:bottom w:w="0" w:type="dxa"/>
            <w:right w:w="0" w:type="dxa"/>
          </w:tblCellMar>
        </w:tblPrEx>
        <w:trPr>
          <w:trHeight w:val="454" w:hRule="exact"/>
        </w:trPr>
        <w:tc>
          <w:tcPr>
            <w:tcW w:w="1412"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b/>
                <w:bCs/>
                <w:color w:val="000000" w:themeColor="text1"/>
                <w:sz w:val="21"/>
                <w:szCs w:val="21"/>
              </w:rPr>
              <w:t>备注</w:t>
            </w:r>
          </w:p>
        </w:tc>
        <w:tc>
          <w:tcPr>
            <w:tcW w:w="6899" w:type="dxa"/>
            <w:gridSpan w:val="5"/>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采样方法依据：</w:t>
            </w:r>
            <w:r>
              <w:rPr>
                <w:rFonts w:eastAsia="Times New Roman"/>
                <w:color w:val="000000" w:themeColor="text1"/>
                <w:sz w:val="21"/>
                <w:szCs w:val="21"/>
              </w:rPr>
              <w:t>HJ/T166-2004</w:t>
            </w:r>
            <w:r>
              <w:rPr>
                <w:color w:val="000000" w:themeColor="text1"/>
                <w:sz w:val="21"/>
                <w:szCs w:val="21"/>
              </w:rPr>
              <w:t>土壤环境监测技术规范。</w:t>
            </w:r>
          </w:p>
        </w:tc>
      </w:tr>
    </w:tbl>
    <w:p>
      <w:pPr>
        <w:spacing w:after="93" w:afterLines="30"/>
        <w:ind w:firstLine="480"/>
        <w:rPr>
          <w:color w:val="000000" w:themeColor="text1"/>
        </w:rPr>
      </w:pPr>
      <w:r>
        <w:rPr>
          <w:color w:val="000000" w:themeColor="text1"/>
        </w:rPr>
        <w:t>由上表结果表明：设置的3个土壤监测点处的铜、铅、镉、砷、镍、汞、铬土壤含量均小于《土壤环境质量建设用地土壤污染风险管控标准（试行）》（GB36600-2018）中表1的第</w:t>
      </w:r>
      <w:r>
        <w:rPr>
          <w:rFonts w:hint="eastAsia"/>
          <w:color w:val="000000" w:themeColor="text1"/>
        </w:rPr>
        <w:t>二类用地标准</w:t>
      </w:r>
      <w:r>
        <w:rPr>
          <w:color w:val="000000" w:themeColor="text1"/>
        </w:rPr>
        <w:t>筛选值。</w:t>
      </w:r>
    </w:p>
    <w:p>
      <w:pPr>
        <w:pStyle w:val="6"/>
        <w:adjustRightInd w:val="0"/>
        <w:snapToGrid w:val="0"/>
        <w:spacing w:beforeLines="0" w:afterLines="0"/>
        <w:rPr>
          <w:rFonts w:eastAsiaTheme="minorEastAsia"/>
          <w:color w:val="000000" w:themeColor="text1"/>
          <w:sz w:val="28"/>
          <w:szCs w:val="28"/>
        </w:rPr>
      </w:pPr>
      <w:bookmarkStart w:id="552" w:name="_Toc14022"/>
      <w:r>
        <w:rPr>
          <w:rFonts w:eastAsiaTheme="minorEastAsia"/>
          <w:color w:val="000000" w:themeColor="text1"/>
          <w:sz w:val="28"/>
          <w:szCs w:val="28"/>
        </w:rPr>
        <w:t>5.2.6生态环境现状</w:t>
      </w:r>
      <w:bookmarkEnd w:id="552"/>
    </w:p>
    <w:p>
      <w:pPr>
        <w:ind w:firstLine="540" w:firstLineChars="225"/>
        <w:rPr>
          <w:rFonts w:eastAsiaTheme="minorEastAsia"/>
          <w:color w:val="000000" w:themeColor="text1"/>
        </w:rPr>
      </w:pPr>
      <w:r>
        <w:rPr>
          <w:rFonts w:eastAsiaTheme="minorEastAsia"/>
          <w:color w:val="000000" w:themeColor="text1"/>
        </w:rPr>
        <w:t>1、植被现状</w:t>
      </w:r>
    </w:p>
    <w:p>
      <w:pPr>
        <w:ind w:firstLine="540" w:firstLineChars="225"/>
        <w:rPr>
          <w:rFonts w:eastAsiaTheme="minorEastAsia"/>
          <w:color w:val="000000" w:themeColor="text1"/>
        </w:rPr>
      </w:pPr>
      <w:r>
        <w:rPr>
          <w:rFonts w:eastAsiaTheme="minorEastAsia"/>
          <w:color w:val="000000" w:themeColor="text1"/>
        </w:rPr>
        <w:t>按照《中国植被》区划，本评价区植被属于亚热带常绿阔叶林和山地阔叶林向山地针叶林过度的温性针阔混交林。但现状植被中保护较好的常绿阔叶林地段已不存在，而被稀树灌木草丛替代，稀树灌木草丛是次生植被，这类植被的各个群落结构零乱而无规则，种类成分混杂而不一致，动态上处于一种很不稳定的状态，分布上的空间位置也不固定，虽然统称为稀树灌木草丛，但有的地点树木稍多而近似小片树林，有些地点灌木较多而成为草本和灌木混生，不少地段则以草丛为优势。</w:t>
      </w:r>
    </w:p>
    <w:p>
      <w:pPr>
        <w:ind w:firstLine="540" w:firstLineChars="225"/>
        <w:rPr>
          <w:rFonts w:eastAsiaTheme="minorEastAsia"/>
          <w:bCs/>
          <w:color w:val="000000" w:themeColor="text1"/>
          <w:szCs w:val="24"/>
        </w:rPr>
      </w:pPr>
      <w:r>
        <w:rPr>
          <w:rFonts w:eastAsiaTheme="minorEastAsia"/>
          <w:color w:val="000000" w:themeColor="text1"/>
        </w:rPr>
        <w:t>稀树灌木草丛的各种群落均由喜阳耐旱和耐火烧的植物种类所组成，生态适应的幅度很广。评价区乔木树种零星分布有木棉、厚皮树、罗晃子、天干果、新叶水团花、芒果等；灌木有鸭皂树、虾子花、滇刺枣、余甘子等；草本植物以扭黄茅为主、拟金茅、扭鞘香茅、桔草、虎氏管草相间分布。调查期间未发现</w:t>
      </w:r>
      <w:r>
        <w:rPr>
          <w:rFonts w:eastAsiaTheme="minorEastAsia"/>
          <w:bCs/>
          <w:color w:val="000000" w:themeColor="text1"/>
          <w:szCs w:val="24"/>
        </w:rPr>
        <w:t>在评价范围内有古树名木分布。</w:t>
      </w:r>
    </w:p>
    <w:p>
      <w:pPr>
        <w:ind w:firstLine="540" w:firstLineChars="225"/>
        <w:rPr>
          <w:rFonts w:eastAsiaTheme="minorEastAsia"/>
          <w:color w:val="000000" w:themeColor="text1"/>
        </w:rPr>
      </w:pPr>
      <w:r>
        <w:rPr>
          <w:rFonts w:eastAsiaTheme="minorEastAsia"/>
          <w:color w:val="000000" w:themeColor="text1"/>
        </w:rPr>
        <w:t>2、野生动物现状</w:t>
      </w:r>
    </w:p>
    <w:p>
      <w:pPr>
        <w:ind w:firstLine="540" w:firstLineChars="225"/>
        <w:rPr>
          <w:rFonts w:eastAsiaTheme="minorEastAsia"/>
          <w:color w:val="000000" w:themeColor="text1"/>
        </w:rPr>
      </w:pPr>
      <w:r>
        <w:rPr>
          <w:rFonts w:eastAsiaTheme="minorEastAsia"/>
          <w:color w:val="000000" w:themeColor="text1"/>
        </w:rPr>
        <w:t>从评价区植被和生境条件分析，缺乏大型兽类、鸟类的隐蔽地、栖息地和生活场所，一些野生动物可能迁徙异地，远离人类活动区，因此，基本可以排除在评价区内有大型野生动物分布的可能。评价区内主要为小型动物分布，尤其是锯齿类动物较多，从实地调查和走访当地村民，常见动物有小松鼠、黄胸鼠、社鼠、竹鸡等。鸟类有画眉、山鸡、斑鸠、啄木鸟、猫头鹰等。调查期间未发现</w:t>
      </w:r>
      <w:r>
        <w:rPr>
          <w:rFonts w:eastAsiaTheme="minorEastAsia"/>
          <w:bCs/>
          <w:color w:val="000000" w:themeColor="text1"/>
          <w:szCs w:val="24"/>
        </w:rPr>
        <w:t>国家和省级保护的野生动物。</w:t>
      </w:r>
    </w:p>
    <w:p>
      <w:pPr>
        <w:ind w:firstLine="540" w:firstLineChars="225"/>
        <w:rPr>
          <w:rFonts w:eastAsiaTheme="minorEastAsia"/>
          <w:color w:val="000000" w:themeColor="text1"/>
        </w:rPr>
      </w:pPr>
      <w:r>
        <w:rPr>
          <w:rFonts w:eastAsiaTheme="minorEastAsia"/>
          <w:color w:val="000000" w:themeColor="text1"/>
        </w:rPr>
        <w:t>3、土地利用现状</w:t>
      </w:r>
    </w:p>
    <w:p>
      <w:pPr>
        <w:ind w:firstLine="540" w:firstLineChars="225"/>
        <w:rPr>
          <w:rFonts w:eastAsiaTheme="minorEastAsia"/>
          <w:color w:val="000000" w:themeColor="text1"/>
        </w:rPr>
      </w:pPr>
      <w:r>
        <w:rPr>
          <w:rFonts w:eastAsiaTheme="minorEastAsia"/>
          <w:bCs/>
          <w:color w:val="000000" w:themeColor="text1"/>
          <w:szCs w:val="24"/>
        </w:rPr>
        <w:t>评价区土地利用现状以灌木林地及旱地为主，在评价区内的旱地常为坡地，梯地很少，耕作也较为粗放。种植的作物主要为甘蔗和玉米。在评价区内陡坡开垦现象突出，有的坡地被弃荒后演变为热性稀树灌木草丛。</w:t>
      </w:r>
    </w:p>
    <w:p>
      <w:pPr>
        <w:pStyle w:val="574"/>
        <w:spacing w:beforeLines="0" w:afterLines="0"/>
        <w:rPr>
          <w:rFonts w:eastAsiaTheme="minorEastAsia"/>
          <w:color w:val="000000" w:themeColor="text1"/>
          <w:sz w:val="30"/>
          <w:szCs w:val="30"/>
        </w:rPr>
      </w:pPr>
      <w:bookmarkStart w:id="553" w:name="_Toc30758"/>
      <w:r>
        <w:rPr>
          <w:rFonts w:eastAsiaTheme="minorEastAsia"/>
          <w:color w:val="000000" w:themeColor="text1"/>
          <w:sz w:val="30"/>
          <w:szCs w:val="30"/>
        </w:rPr>
        <w:t>5.3区域污染源调查</w:t>
      </w:r>
      <w:bookmarkEnd w:id="553"/>
    </w:p>
    <w:p>
      <w:pPr>
        <w:ind w:firstLine="480"/>
        <w:rPr>
          <w:rFonts w:eastAsiaTheme="minorEastAsia"/>
          <w:bCs/>
          <w:color w:val="000000" w:themeColor="text1"/>
          <w:szCs w:val="24"/>
        </w:rPr>
      </w:pPr>
      <w:r>
        <w:rPr>
          <w:rFonts w:eastAsiaTheme="minorEastAsia"/>
          <w:bCs/>
          <w:color w:val="000000" w:themeColor="text1"/>
          <w:szCs w:val="24"/>
        </w:rPr>
        <w:t>项目区域废气污染源主要为附近选矿厂排放的粉尘、道路扬尘及石料加工厂产生的粉尘。区域噪声污染源主要为附近道路运输噪声</w:t>
      </w:r>
      <w:r>
        <w:rPr>
          <w:rFonts w:hint="eastAsia" w:eastAsiaTheme="minorEastAsia"/>
          <w:bCs/>
          <w:color w:val="000000" w:themeColor="text1"/>
          <w:szCs w:val="24"/>
        </w:rPr>
        <w:t>、工况企业设备运行噪声</w:t>
      </w:r>
      <w:r>
        <w:rPr>
          <w:rFonts w:eastAsiaTheme="minorEastAsia"/>
          <w:bCs/>
          <w:color w:val="000000" w:themeColor="text1"/>
          <w:szCs w:val="24"/>
        </w:rPr>
        <w:t>。</w:t>
      </w:r>
    </w:p>
    <w:p>
      <w:pPr>
        <w:ind w:firstLine="474" w:firstLineChars="225"/>
        <w:jc w:val="center"/>
        <w:rPr>
          <w:rFonts w:eastAsiaTheme="minorEastAsia"/>
          <w:b/>
          <w:color w:val="000000" w:themeColor="text1"/>
          <w:sz w:val="21"/>
          <w:szCs w:val="21"/>
          <w:lang w:val="zh-CN"/>
        </w:rPr>
      </w:pPr>
      <w:r>
        <w:rPr>
          <w:rFonts w:eastAsiaTheme="minorEastAsia"/>
          <w:b/>
          <w:color w:val="000000" w:themeColor="text1"/>
          <w:sz w:val="21"/>
          <w:szCs w:val="21"/>
          <w:lang w:val="zh-CN"/>
        </w:rPr>
        <w:t>表</w:t>
      </w:r>
      <w:r>
        <w:rPr>
          <w:rFonts w:hint="eastAsia" w:eastAsiaTheme="minorEastAsia"/>
          <w:b/>
          <w:color w:val="000000" w:themeColor="text1"/>
          <w:sz w:val="21"/>
          <w:szCs w:val="21"/>
        </w:rPr>
        <w:t xml:space="preserve">5.3-1 </w:t>
      </w:r>
      <w:r>
        <w:rPr>
          <w:rFonts w:eastAsiaTheme="minorEastAsia"/>
          <w:b/>
          <w:color w:val="000000" w:themeColor="text1"/>
          <w:sz w:val="21"/>
          <w:szCs w:val="21"/>
          <w:lang w:val="zh-CN"/>
        </w:rPr>
        <w:t>项目</w:t>
      </w:r>
      <w:r>
        <w:rPr>
          <w:rFonts w:hint="eastAsia" w:eastAsiaTheme="minorEastAsia"/>
          <w:b/>
          <w:color w:val="000000" w:themeColor="text1"/>
          <w:sz w:val="21"/>
          <w:szCs w:val="21"/>
          <w:lang w:val="zh-CN"/>
        </w:rPr>
        <w:t>所在地</w:t>
      </w:r>
      <w:r>
        <w:rPr>
          <w:rFonts w:eastAsiaTheme="minorEastAsia"/>
          <w:b/>
          <w:color w:val="000000" w:themeColor="text1"/>
          <w:sz w:val="21"/>
          <w:szCs w:val="21"/>
          <w:lang w:val="zh-CN"/>
        </w:rPr>
        <w:t>戛洒片区污染</w:t>
      </w:r>
      <w:r>
        <w:rPr>
          <w:rFonts w:hint="eastAsia" w:eastAsiaTheme="minorEastAsia"/>
          <w:b/>
          <w:color w:val="000000" w:themeColor="text1"/>
          <w:sz w:val="21"/>
          <w:szCs w:val="21"/>
          <w:lang w:val="zh-CN"/>
        </w:rPr>
        <w:t>源分布一览表</w:t>
      </w:r>
    </w:p>
    <w:tbl>
      <w:tblPr>
        <w:tblStyle w:val="61"/>
        <w:tblW w:w="855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9"/>
        <w:gridCol w:w="581"/>
        <w:gridCol w:w="4084"/>
        <w:gridCol w:w="1472"/>
        <w:gridCol w:w="1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2" w:hRule="atLeast"/>
          <w:jc w:val="center"/>
        </w:trPr>
        <w:tc>
          <w:tcPr>
            <w:tcW w:w="949" w:type="dxa"/>
            <w:vMerge w:val="restart"/>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片区</w:t>
            </w: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序号</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建设单位</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与本项目区距离（km）</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烟尘、粉尘等（t/a）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restart"/>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戛洒片区</w:t>
            </w: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玉溪矿业有限公司</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10</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106.33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玉溪大红山矿业有限公司</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7</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3</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新平县振兴电积铜厂</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15</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4</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新平平安矿业开发有限公司</w:t>
            </w:r>
            <w:r>
              <w:rPr>
                <w:rFonts w:hint="eastAsia"/>
                <w:color w:val="000000" w:themeColor="text1"/>
                <w:kern w:val="0"/>
                <w:sz w:val="21"/>
                <w:szCs w:val="21"/>
              </w:rPr>
              <w:t>（辣子箐口选厂）</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0.4</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0"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5</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新平伟申矿业开发有限责任公司</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25</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0"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6</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玉溪坤沅矿业开发有限公司新平戞洒分公司</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15</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7</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新平天泰工贸有限公司</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10</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8</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新平铠恒选矿厂</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0.3</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color w:val="000000" w:themeColor="text1"/>
                <w:kern w:val="0"/>
                <w:sz w:val="21"/>
                <w:szCs w:val="21"/>
              </w:rPr>
              <w:t>2.116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9</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新平鑫鸿图</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1.2</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9.01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jc w:val="center"/>
        </w:trPr>
        <w:tc>
          <w:tcPr>
            <w:tcW w:w="949" w:type="dxa"/>
            <w:vMerge w:val="continue"/>
            <w:tcBorders>
              <w:tl2br w:val="nil"/>
              <w:tr2bl w:val="nil"/>
            </w:tcBorders>
            <w:shd w:val="clear" w:color="auto" w:fill="auto"/>
            <w:vAlign w:val="center"/>
          </w:tcPr>
          <w:p>
            <w:pPr>
              <w:widowControl/>
              <w:spacing w:line="240" w:lineRule="auto"/>
              <w:ind w:firstLine="0" w:firstLineChars="0"/>
              <w:rPr>
                <w:color w:val="000000" w:themeColor="text1"/>
                <w:kern w:val="0"/>
                <w:sz w:val="21"/>
                <w:szCs w:val="21"/>
              </w:rPr>
            </w:pPr>
          </w:p>
        </w:tc>
        <w:tc>
          <w:tcPr>
            <w:tcW w:w="581"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10</w:t>
            </w:r>
          </w:p>
        </w:tc>
        <w:tc>
          <w:tcPr>
            <w:tcW w:w="4084"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highlight w:val="red"/>
              </w:rPr>
            </w:pPr>
            <w:r>
              <w:rPr>
                <w:rFonts w:hint="eastAsia"/>
                <w:color w:val="000000" w:themeColor="text1"/>
                <w:kern w:val="0"/>
                <w:sz w:val="21"/>
                <w:szCs w:val="21"/>
              </w:rPr>
              <w:t>新平县鼎诚碎石有限公司</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1</w:t>
            </w:r>
          </w:p>
        </w:tc>
        <w:tc>
          <w:tcPr>
            <w:tcW w:w="1472" w:type="dxa"/>
            <w:tcBorders>
              <w:tl2br w:val="nil"/>
              <w:tr2bl w:val="nil"/>
            </w:tcBorders>
            <w:shd w:val="clear" w:color="auto" w:fill="auto"/>
            <w:vAlign w:val="center"/>
          </w:tcPr>
          <w:p>
            <w:pPr>
              <w:widowControl/>
              <w:spacing w:line="240" w:lineRule="auto"/>
              <w:ind w:firstLine="0" w:firstLineChars="0"/>
              <w:jc w:val="center"/>
              <w:rPr>
                <w:color w:val="000000" w:themeColor="text1"/>
                <w:kern w:val="0"/>
                <w:sz w:val="21"/>
                <w:szCs w:val="21"/>
              </w:rPr>
            </w:pPr>
            <w:r>
              <w:rPr>
                <w:rFonts w:hint="eastAsia"/>
                <w:color w:val="000000" w:themeColor="text1"/>
                <w:kern w:val="0"/>
                <w:sz w:val="21"/>
                <w:szCs w:val="21"/>
              </w:rPr>
              <w:t>3.27</w:t>
            </w:r>
          </w:p>
        </w:tc>
      </w:tr>
    </w:tbl>
    <w:p>
      <w:pPr>
        <w:pStyle w:val="574"/>
        <w:spacing w:beforeLines="0" w:afterLines="0"/>
        <w:rPr>
          <w:rFonts w:eastAsiaTheme="minorEastAsia"/>
          <w:color w:val="000000" w:themeColor="text1"/>
          <w:sz w:val="30"/>
          <w:szCs w:val="30"/>
        </w:rPr>
      </w:pPr>
      <w:bookmarkStart w:id="554" w:name="_Toc15233"/>
      <w:r>
        <w:rPr>
          <w:rFonts w:eastAsiaTheme="minorEastAsia"/>
          <w:color w:val="000000" w:themeColor="text1"/>
          <w:sz w:val="30"/>
          <w:szCs w:val="30"/>
        </w:rPr>
        <w:t>5.4工业园区概况</w:t>
      </w:r>
      <w:bookmarkEnd w:id="554"/>
    </w:p>
    <w:p>
      <w:pPr>
        <w:ind w:firstLine="480"/>
        <w:rPr>
          <w:rFonts w:eastAsiaTheme="minorEastAsia"/>
          <w:color w:val="000000" w:themeColor="text1"/>
          <w:szCs w:val="24"/>
        </w:rPr>
      </w:pPr>
      <w:r>
        <w:rPr>
          <w:rFonts w:eastAsiaTheme="minorEastAsia"/>
          <w:color w:val="000000" w:themeColor="text1"/>
          <w:szCs w:val="24"/>
        </w:rPr>
        <w:t>1、园区规划范围</w:t>
      </w:r>
    </w:p>
    <w:p>
      <w:pPr>
        <w:ind w:firstLine="480"/>
        <w:rPr>
          <w:color w:val="000000" w:themeColor="text1"/>
          <w:szCs w:val="24"/>
        </w:rPr>
      </w:pPr>
      <w:r>
        <w:rPr>
          <w:color w:val="000000" w:themeColor="text1"/>
          <w:kern w:val="0"/>
          <w:szCs w:val="24"/>
        </w:rPr>
        <w:t>园区规划用地面积35.4544平方公里，其中，戛洒片区规划面积6.82平方公里，包含大红山地块（4.863平方公里，主要布局铜铁矿采选业，并配套物流仓储、商业办公、管理服务等）和白糯格地块（2.137平方公里，主要布局制糖业、造纸业）；桂山片区规划面积4.756平方公里，分为生物资源加工组团和资源综合利用组团，主要布局农特绿色食品加工业、生物资源综合利用产业和特色旅游产品加工等产业；扬武片区规划面积21.8784平方公里，包含大开门地块（16.3069平方公里，分为矿冶组团和配套服务组团，主要布局金属冶炼及其合金制造、压延加工、焦化等冶炼企业配套产业、建材制造、废弃资源综合利用等产业，并配套物流仓储、金融、商务办公、管理服务等）和赵米克地块（5.5715平方公里，主要布局农机农具制造和新型装备制业、装配业）。</w:t>
      </w:r>
    </w:p>
    <w:p>
      <w:pPr>
        <w:ind w:firstLine="480"/>
        <w:rPr>
          <w:rFonts w:eastAsiaTheme="minorEastAsia"/>
          <w:color w:val="000000" w:themeColor="text1"/>
          <w:szCs w:val="24"/>
        </w:rPr>
      </w:pPr>
      <w:r>
        <w:rPr>
          <w:rFonts w:eastAsiaTheme="minorEastAsia"/>
          <w:color w:val="000000" w:themeColor="text1"/>
          <w:szCs w:val="24"/>
        </w:rPr>
        <w:t>2、功能定位</w:t>
      </w:r>
    </w:p>
    <w:p>
      <w:pPr>
        <w:ind w:firstLine="480"/>
        <w:rPr>
          <w:rFonts w:eastAsiaTheme="minorEastAsia"/>
          <w:color w:val="000000" w:themeColor="text1"/>
          <w:szCs w:val="24"/>
        </w:rPr>
      </w:pPr>
      <w:r>
        <w:rPr>
          <w:rFonts w:eastAsiaTheme="minorEastAsia"/>
          <w:color w:val="000000" w:themeColor="text1"/>
          <w:szCs w:val="24"/>
        </w:rPr>
        <w:t>以矿产资源的采选、运输、粗加工、精细加工、装备制造、商贸及物流为主，以农特产品加工、建材和综合配套服务设施建设为辅，带动工业园区乃至全县工业经济发展。</w:t>
      </w:r>
    </w:p>
    <w:p>
      <w:pPr>
        <w:ind w:firstLine="480"/>
        <w:rPr>
          <w:rFonts w:eastAsiaTheme="minorEastAsia"/>
          <w:color w:val="000000" w:themeColor="text1"/>
          <w:szCs w:val="24"/>
        </w:rPr>
      </w:pPr>
      <w:r>
        <w:rPr>
          <w:rFonts w:eastAsiaTheme="minorEastAsia"/>
          <w:color w:val="000000" w:themeColor="text1"/>
          <w:szCs w:val="24"/>
        </w:rPr>
        <w:t>3、该项目与工业园区的关系</w:t>
      </w:r>
    </w:p>
    <w:p>
      <w:pPr>
        <w:ind w:firstLine="480"/>
        <w:rPr>
          <w:rFonts w:eastAsiaTheme="minorEastAsia"/>
          <w:color w:val="000000" w:themeColor="text1"/>
          <w:szCs w:val="24"/>
        </w:rPr>
      </w:pPr>
      <w:r>
        <w:rPr>
          <w:rFonts w:eastAsiaTheme="minorEastAsia"/>
          <w:color w:val="000000" w:themeColor="text1"/>
        </w:rPr>
        <w:t>根</w:t>
      </w:r>
      <w:r>
        <w:rPr>
          <w:rFonts w:eastAsiaTheme="minorEastAsia"/>
          <w:color w:val="000000" w:themeColor="text1"/>
          <w:szCs w:val="24"/>
        </w:rPr>
        <w:t>据</w:t>
      </w:r>
      <w:r>
        <w:rPr>
          <w:rFonts w:eastAsiaTheme="minorEastAsia"/>
          <w:color w:val="000000" w:themeColor="text1"/>
        </w:rPr>
        <w:t>《新平工业园区总体规划修编（2018-2035）》</w:t>
      </w:r>
      <w:r>
        <w:rPr>
          <w:rFonts w:eastAsiaTheme="minorEastAsia"/>
          <w:color w:val="000000" w:themeColor="text1"/>
          <w:szCs w:val="24"/>
        </w:rPr>
        <w:t>，项目位于工业园区戛洒片区，戛洒片区</w:t>
      </w:r>
      <w:r>
        <w:rPr>
          <w:color w:val="000000" w:themeColor="text1"/>
          <w:kern w:val="0"/>
          <w:szCs w:val="24"/>
        </w:rPr>
        <w:t>以矿冶（矿产资源采选、冶、精深加工及配套产业）为主导产业，生物资源加工、制糖及造纸、装备制造为辅助产业，生产性服务业为配套产业</w:t>
      </w:r>
      <w:r>
        <w:rPr>
          <w:rFonts w:eastAsiaTheme="minorEastAsia"/>
          <w:color w:val="000000" w:themeColor="text1"/>
          <w:szCs w:val="24"/>
        </w:rPr>
        <w:t>。技改项目位于新平县工业园区戛洒片区大红山配套服务组团，产品为铁精矿，符合工业园区功能定位及产业布局规划要求。项目在新平工业园区戛洒片区位置图见附图8。</w:t>
      </w:r>
      <w:r>
        <w:rPr>
          <w:rFonts w:eastAsiaTheme="minorEastAsia"/>
          <w:color w:val="000000" w:themeColor="text1"/>
        </w:rPr>
        <w:t>《新平工业园区总体规划修编（2018-2035）》</w:t>
      </w:r>
      <w:r>
        <w:rPr>
          <w:rFonts w:eastAsiaTheme="minorEastAsia"/>
          <w:color w:val="000000" w:themeColor="text1"/>
          <w:szCs w:val="24"/>
        </w:rPr>
        <w:t>审查意见见附件6。</w:t>
      </w:r>
    </w:p>
    <w:p>
      <w:pPr>
        <w:keepNext/>
        <w:widowControl/>
        <w:adjustRightInd w:val="0"/>
        <w:snapToGrid w:val="0"/>
        <w:ind w:firstLine="0" w:firstLineChars="0"/>
        <w:outlineLvl w:val="0"/>
        <w:rPr>
          <w:rFonts w:eastAsiaTheme="minorEastAsia"/>
          <w:b/>
          <w:bCs/>
          <w:color w:val="000000" w:themeColor="text1"/>
          <w:kern w:val="32"/>
          <w:sz w:val="32"/>
          <w:szCs w:val="32"/>
          <w:lang w:bidi="en-US"/>
        </w:rPr>
        <w:sectPr>
          <w:headerReference r:id="rId21" w:type="default"/>
          <w:footerReference r:id="rId22" w:type="default"/>
          <w:pgSz w:w="11906" w:h="16838"/>
          <w:pgMar w:top="1440" w:right="1800" w:bottom="1440" w:left="1800" w:header="851" w:footer="992" w:gutter="0"/>
          <w:pgNumType w:fmt="numberInDash"/>
          <w:cols w:space="720" w:num="1"/>
          <w:docGrid w:type="lines" w:linePitch="312" w:charSpace="0"/>
        </w:sectPr>
      </w:pPr>
      <w:bookmarkStart w:id="555" w:name="_Toc465156879"/>
    </w:p>
    <w:p>
      <w:pPr>
        <w:keepNext/>
        <w:widowControl/>
        <w:ind w:firstLine="0" w:firstLineChars="0"/>
        <w:outlineLvl w:val="0"/>
        <w:rPr>
          <w:rFonts w:eastAsiaTheme="minorEastAsia"/>
          <w:b/>
          <w:bCs/>
          <w:color w:val="000000" w:themeColor="text1"/>
          <w:kern w:val="32"/>
          <w:sz w:val="32"/>
          <w:szCs w:val="32"/>
          <w:lang w:bidi="en-US"/>
        </w:rPr>
      </w:pPr>
      <w:bookmarkStart w:id="556" w:name="_Toc7150"/>
      <w:r>
        <w:rPr>
          <w:rFonts w:eastAsiaTheme="minorEastAsia"/>
          <w:b/>
          <w:bCs/>
          <w:color w:val="000000" w:themeColor="text1"/>
          <w:kern w:val="32"/>
          <w:sz w:val="32"/>
          <w:szCs w:val="32"/>
          <w:lang w:bidi="en-US"/>
        </w:rPr>
        <w:t>6环境影响预测分析与评价</w:t>
      </w:r>
      <w:bookmarkEnd w:id="555"/>
      <w:bookmarkEnd w:id="556"/>
    </w:p>
    <w:p>
      <w:pPr>
        <w:pStyle w:val="574"/>
        <w:adjustRightInd w:val="0"/>
        <w:snapToGrid w:val="0"/>
        <w:spacing w:beforeLines="0" w:afterLines="0"/>
        <w:rPr>
          <w:rFonts w:eastAsiaTheme="minorEastAsia"/>
          <w:color w:val="000000" w:themeColor="text1"/>
          <w:sz w:val="30"/>
          <w:szCs w:val="30"/>
        </w:rPr>
      </w:pPr>
      <w:bookmarkStart w:id="557" w:name="_Toc30812"/>
      <w:bookmarkStart w:id="558" w:name="_Toc465156880"/>
      <w:r>
        <w:rPr>
          <w:rFonts w:eastAsiaTheme="minorEastAsia"/>
          <w:color w:val="000000" w:themeColor="text1"/>
          <w:sz w:val="30"/>
          <w:szCs w:val="30"/>
        </w:rPr>
        <w:t>6.1施工期环境影响分析</w:t>
      </w:r>
      <w:bookmarkEnd w:id="557"/>
    </w:p>
    <w:p>
      <w:pPr>
        <w:adjustRightInd w:val="0"/>
        <w:snapToGrid w:val="0"/>
        <w:ind w:firstLine="480"/>
        <w:jc w:val="both"/>
        <w:rPr>
          <w:rFonts w:eastAsiaTheme="minorEastAsia"/>
          <w:color w:val="000000" w:themeColor="text1"/>
        </w:rPr>
      </w:pPr>
      <w:r>
        <w:rPr>
          <w:rFonts w:hint="eastAsia" w:eastAsiaTheme="minorEastAsia"/>
          <w:color w:val="000000" w:themeColor="text1"/>
        </w:rPr>
        <w:t>现场勘查阶段，项目生产设备已经建设完成，但部分相应的环保设备未建设，原矿石破碎站未硬化，物料堆棚未建设。本环评提出的整改措施，整改内容施工天数</w:t>
      </w:r>
      <w:r>
        <w:rPr>
          <w:rFonts w:eastAsiaTheme="minorEastAsia"/>
          <w:color w:val="000000" w:themeColor="text1"/>
        </w:rPr>
        <w:t>为</w:t>
      </w:r>
      <w:r>
        <w:rPr>
          <w:rFonts w:hint="eastAsia" w:eastAsiaTheme="minorEastAsia"/>
          <w:color w:val="000000" w:themeColor="text1"/>
        </w:rPr>
        <w:t>2</w:t>
      </w:r>
      <w:r>
        <w:rPr>
          <w:rFonts w:eastAsiaTheme="minorEastAsia"/>
          <w:color w:val="000000" w:themeColor="text1"/>
        </w:rPr>
        <w:t>个月（按</w:t>
      </w:r>
      <w:r>
        <w:rPr>
          <w:rFonts w:hint="eastAsia" w:eastAsiaTheme="minorEastAsia"/>
          <w:color w:val="000000" w:themeColor="text1"/>
        </w:rPr>
        <w:t>61</w:t>
      </w:r>
      <w:r>
        <w:rPr>
          <w:rFonts w:eastAsiaTheme="minorEastAsia"/>
          <w:color w:val="000000" w:themeColor="text1"/>
        </w:rPr>
        <w:t>天计算），项目在现有占地范围内进行</w:t>
      </w:r>
      <w:r>
        <w:rPr>
          <w:rFonts w:hint="eastAsia" w:eastAsiaTheme="minorEastAsia"/>
          <w:color w:val="000000" w:themeColor="text1"/>
        </w:rPr>
        <w:t>整</w:t>
      </w:r>
      <w:r>
        <w:rPr>
          <w:rFonts w:eastAsiaTheme="minorEastAsia"/>
          <w:color w:val="000000" w:themeColor="text1"/>
        </w:rPr>
        <w:t>改，</w:t>
      </w:r>
      <w:r>
        <w:rPr>
          <w:rFonts w:hint="eastAsia" w:eastAsiaTheme="minorEastAsia"/>
          <w:color w:val="000000" w:themeColor="text1"/>
        </w:rPr>
        <w:t>不新增占地</w:t>
      </w:r>
      <w:r>
        <w:rPr>
          <w:rFonts w:eastAsiaTheme="minorEastAsia"/>
          <w:color w:val="000000" w:themeColor="text1"/>
        </w:rPr>
        <w:t>。</w:t>
      </w:r>
    </w:p>
    <w:p>
      <w:pPr>
        <w:adjustRightInd w:val="0"/>
        <w:snapToGrid w:val="0"/>
        <w:ind w:firstLine="0" w:firstLineChars="0"/>
        <w:jc w:val="both"/>
        <w:rPr>
          <w:rFonts w:eastAsiaTheme="minorEastAsia"/>
          <w:color w:val="000000" w:themeColor="text1"/>
        </w:rPr>
      </w:pPr>
      <w:r>
        <w:rPr>
          <w:rFonts w:hint="eastAsia" w:eastAsiaTheme="minorEastAsia"/>
          <w:color w:val="000000" w:themeColor="text1"/>
        </w:rPr>
        <w:t>施工</w:t>
      </w:r>
      <w:r>
        <w:rPr>
          <w:rFonts w:eastAsiaTheme="minorEastAsia"/>
          <w:color w:val="000000" w:themeColor="text1"/>
        </w:rPr>
        <w:t>工程量小，</w:t>
      </w:r>
      <w:r>
        <w:rPr>
          <w:rFonts w:hint="eastAsia"/>
          <w:color w:val="000000" w:themeColor="text1"/>
        </w:rPr>
        <w:t>主要对场地硬化、料棚库围挡，及排水管线、沉淀池等水收集处理构筑物等环保设施的建设，</w:t>
      </w:r>
      <w:r>
        <w:rPr>
          <w:rFonts w:eastAsiaTheme="minorEastAsia"/>
          <w:color w:val="000000" w:themeColor="text1"/>
        </w:rPr>
        <w:t>且</w:t>
      </w:r>
      <w:r>
        <w:rPr>
          <w:rFonts w:hint="eastAsia" w:eastAsiaTheme="minorEastAsia"/>
          <w:color w:val="000000" w:themeColor="text1"/>
        </w:rPr>
        <w:t>需要整改的棚库</w:t>
      </w:r>
      <w:r>
        <w:rPr>
          <w:rFonts w:eastAsiaTheme="minorEastAsia"/>
          <w:color w:val="000000" w:themeColor="text1"/>
        </w:rPr>
        <w:t>主体结构为钢构。因此，施工期环境影响很小，且持续时间短，集中在厂区之内。</w:t>
      </w:r>
    </w:p>
    <w:p>
      <w:pPr>
        <w:pStyle w:val="6"/>
        <w:adjustRightInd w:val="0"/>
        <w:snapToGrid w:val="0"/>
        <w:spacing w:beforeLines="0" w:afterLines="0"/>
        <w:rPr>
          <w:rFonts w:eastAsiaTheme="minorEastAsia"/>
          <w:color w:val="000000" w:themeColor="text1"/>
          <w:sz w:val="28"/>
          <w:szCs w:val="28"/>
        </w:rPr>
      </w:pPr>
      <w:bookmarkStart w:id="559" w:name="_Toc283287871"/>
      <w:bookmarkStart w:id="560" w:name="_Toc430201399"/>
      <w:bookmarkStart w:id="561" w:name="_Toc12893"/>
      <w:bookmarkStart w:id="562" w:name="_Toc450603590"/>
      <w:bookmarkStart w:id="563" w:name="_Toc430953682"/>
      <w:bookmarkStart w:id="564" w:name="_Toc410033853"/>
      <w:bookmarkStart w:id="565" w:name="_Toc430953890"/>
      <w:bookmarkStart w:id="566" w:name="_Toc421915884"/>
      <w:r>
        <w:rPr>
          <w:rFonts w:eastAsiaTheme="minorEastAsia"/>
          <w:color w:val="000000" w:themeColor="text1"/>
          <w:sz w:val="28"/>
          <w:szCs w:val="28"/>
        </w:rPr>
        <w:t>6.1.1施工期环境空气影响分析</w:t>
      </w:r>
      <w:bookmarkEnd w:id="559"/>
      <w:bookmarkEnd w:id="560"/>
      <w:bookmarkEnd w:id="561"/>
      <w:bookmarkEnd w:id="562"/>
      <w:bookmarkEnd w:id="563"/>
      <w:bookmarkEnd w:id="564"/>
      <w:bookmarkEnd w:id="565"/>
      <w:bookmarkEnd w:id="566"/>
    </w:p>
    <w:p>
      <w:pPr>
        <w:autoSpaceDE w:val="0"/>
        <w:autoSpaceDN w:val="0"/>
        <w:adjustRightInd w:val="0"/>
        <w:snapToGrid w:val="0"/>
        <w:ind w:firstLine="480"/>
        <w:rPr>
          <w:rFonts w:eastAsiaTheme="minorEastAsia"/>
          <w:color w:val="000000" w:themeColor="text1"/>
        </w:rPr>
      </w:pPr>
      <w:bookmarkStart w:id="567" w:name="_Toc450603591"/>
      <w:r>
        <w:rPr>
          <w:rFonts w:eastAsiaTheme="minorEastAsia"/>
          <w:color w:val="000000" w:themeColor="text1"/>
        </w:rPr>
        <w:t>项目建设施工过程中，各种燃油动力机械和运输车辆排放的废气，挖土、运土、填土、夯实和汽车运输过程的扬尘等都会给周围大气环境带来污染。主要污染物是NO</w:t>
      </w:r>
      <w:r>
        <w:rPr>
          <w:rFonts w:eastAsiaTheme="minorEastAsia"/>
          <w:color w:val="000000" w:themeColor="text1"/>
          <w:vertAlign w:val="subscript"/>
        </w:rPr>
        <w:t>2</w:t>
      </w:r>
      <w:r>
        <w:rPr>
          <w:rFonts w:eastAsiaTheme="minorEastAsia"/>
          <w:color w:val="000000" w:themeColor="text1"/>
        </w:rPr>
        <w:t>、SO</w:t>
      </w:r>
      <w:r>
        <w:rPr>
          <w:rFonts w:eastAsiaTheme="minorEastAsia"/>
          <w:color w:val="000000" w:themeColor="text1"/>
          <w:vertAlign w:val="subscript"/>
        </w:rPr>
        <w:t>2</w:t>
      </w:r>
      <w:r>
        <w:rPr>
          <w:rFonts w:eastAsiaTheme="minorEastAsia"/>
          <w:color w:val="000000" w:themeColor="text1"/>
        </w:rPr>
        <w:t>和粉尘。</w:t>
      </w:r>
    </w:p>
    <w:p>
      <w:pPr>
        <w:ind w:firstLine="480"/>
        <w:rPr>
          <w:rFonts w:eastAsiaTheme="minorEastAsia"/>
          <w:color w:val="000000" w:themeColor="text1"/>
        </w:rPr>
      </w:pPr>
      <w:r>
        <w:rPr>
          <w:rFonts w:hint="eastAsia" w:eastAsiaTheme="minorEastAsia"/>
          <w:color w:val="000000" w:themeColor="text1"/>
        </w:rPr>
        <w:t>（1）施工机械和运输车辆废气</w:t>
      </w:r>
    </w:p>
    <w:p>
      <w:pPr>
        <w:ind w:firstLine="480"/>
        <w:rPr>
          <w:rFonts w:eastAsiaTheme="minorEastAsia"/>
          <w:color w:val="000000" w:themeColor="text1"/>
        </w:rPr>
      </w:pPr>
      <w:r>
        <w:rPr>
          <w:rFonts w:eastAsiaTheme="minorEastAsia"/>
          <w:color w:val="000000" w:themeColor="text1"/>
        </w:rPr>
        <w:t>施工过程中需要使用挖掘机、推土机等大型机械设备</w:t>
      </w:r>
      <w:r>
        <w:rPr>
          <w:rFonts w:hint="eastAsia" w:eastAsiaTheme="minorEastAsia"/>
          <w:color w:val="000000" w:themeColor="text1"/>
        </w:rPr>
        <w:t>和运输车辆</w:t>
      </w:r>
      <w:r>
        <w:rPr>
          <w:rFonts w:eastAsiaTheme="minorEastAsia"/>
          <w:color w:val="000000" w:themeColor="text1"/>
        </w:rPr>
        <w:t>；这些设备和车辆均使用柴油发动机，因此，这些车辆及设备在运行时会排放一定量的CO、NO</w:t>
      </w:r>
      <w:r>
        <w:rPr>
          <w:rFonts w:eastAsiaTheme="minorEastAsia"/>
          <w:color w:val="000000" w:themeColor="text1"/>
          <w:vertAlign w:val="subscript"/>
        </w:rPr>
        <w:t>x</w:t>
      </w:r>
      <w:r>
        <w:rPr>
          <w:rFonts w:eastAsiaTheme="minorEastAsia"/>
          <w:color w:val="000000" w:themeColor="text1"/>
        </w:rPr>
        <w:t>以及未完全燃烧的碳氢化物非甲烷总烃等大气污染物，会对环境产生一定的影响。</w:t>
      </w:r>
      <w:r>
        <w:rPr>
          <w:rFonts w:hint="eastAsia" w:eastAsiaTheme="minorEastAsia"/>
          <w:color w:val="000000" w:themeColor="text1"/>
        </w:rPr>
        <w:t>故需要加强施工机械和运输车辆的维修保养，选用符合国家污染物排放标准的施工机械和运输车辆。</w:t>
      </w:r>
    </w:p>
    <w:p>
      <w:pPr>
        <w:autoSpaceDE w:val="0"/>
        <w:autoSpaceDN w:val="0"/>
        <w:adjustRightInd w:val="0"/>
        <w:ind w:firstLine="480"/>
        <w:rPr>
          <w:rFonts w:eastAsiaTheme="minorEastAsia"/>
          <w:color w:val="000000" w:themeColor="text1"/>
        </w:rPr>
      </w:pPr>
      <w:r>
        <w:rPr>
          <w:rFonts w:hint="eastAsia" w:eastAsiaTheme="minorEastAsia"/>
          <w:color w:val="000000" w:themeColor="text1"/>
        </w:rPr>
        <w:t>（2）扬尘</w:t>
      </w:r>
    </w:p>
    <w:p>
      <w:pPr>
        <w:autoSpaceDE w:val="0"/>
        <w:autoSpaceDN w:val="0"/>
        <w:adjustRightInd w:val="0"/>
        <w:ind w:firstLine="480"/>
        <w:rPr>
          <w:rFonts w:eastAsiaTheme="minorEastAsia"/>
          <w:color w:val="000000" w:themeColor="text1"/>
        </w:rPr>
      </w:pPr>
      <w:r>
        <w:rPr>
          <w:rFonts w:eastAsiaTheme="minorEastAsia"/>
          <w:color w:val="000000" w:themeColor="text1"/>
        </w:rPr>
        <w:t>在整个施工期间，产生粉尘的作业主要有建材运输、露天堆放、装卸和搅拌过程。如遇干旱无雨季节，在大风季节，施工扬尘将较严重。</w:t>
      </w:r>
    </w:p>
    <w:p>
      <w:pPr>
        <w:autoSpaceDE w:val="0"/>
        <w:autoSpaceDN w:val="0"/>
        <w:adjustRightInd w:val="0"/>
        <w:ind w:firstLine="480"/>
        <w:rPr>
          <w:rFonts w:eastAsiaTheme="minorEastAsia"/>
          <w:color w:val="000000" w:themeColor="text1"/>
        </w:rPr>
      </w:pPr>
      <w:r>
        <w:rPr>
          <w:rFonts w:eastAsiaTheme="minorEastAsia"/>
          <w:color w:val="000000" w:themeColor="text1"/>
        </w:rPr>
        <w:t>根据有关调查，施工工地的扬尘主要是由运输车辆行驶产生，与道路路面情况及车辆行驶速度有关，约占总扬尘量的60%。在完全干旱情况下，可以按公式计算：</w:t>
      </w:r>
    </w:p>
    <w:p>
      <w:pPr>
        <w:autoSpaceDE w:val="0"/>
        <w:autoSpaceDN w:val="0"/>
        <w:adjustRightInd w:val="0"/>
        <w:ind w:firstLine="480"/>
        <w:jc w:val="center"/>
        <w:rPr>
          <w:rFonts w:eastAsiaTheme="minorEastAsia"/>
          <w:color w:val="000000" w:themeColor="text1"/>
        </w:rPr>
      </w:pPr>
      <w:bookmarkStart w:id="568" w:name="_Toc436312509"/>
      <w:bookmarkStart w:id="569" w:name="_Toc445971205"/>
      <w:bookmarkStart w:id="570" w:name="_Toc366137517"/>
      <w:bookmarkStart w:id="571" w:name="_Toc351308289"/>
      <w:bookmarkStart w:id="572" w:name="_Toc446277894"/>
      <w:bookmarkStart w:id="573" w:name="_Toc385841332"/>
      <w:bookmarkStart w:id="574" w:name="_Toc437356849"/>
      <w:bookmarkStart w:id="575" w:name="_Toc400718654"/>
      <w:bookmarkStart w:id="576" w:name="_Toc439249651"/>
      <w:bookmarkStart w:id="577" w:name="_Toc366139260"/>
      <w:bookmarkStart w:id="578" w:name="_Toc437357256"/>
      <w:bookmarkStart w:id="579" w:name="_Toc437527527"/>
      <w:bookmarkStart w:id="580" w:name="_Toc433726008"/>
      <w:bookmarkStart w:id="581" w:name="_Toc433613547"/>
      <w:bookmarkStart w:id="582" w:name="_Toc385762268"/>
      <w:bookmarkStart w:id="583" w:name="_Toc385770010"/>
      <w:bookmarkStart w:id="584" w:name="_Toc440869090"/>
      <w:r>
        <w:rPr>
          <w:rFonts w:eastAsiaTheme="minorEastAsia"/>
          <w:color w:val="000000" w:themeColor="text1"/>
        </w:rPr>
        <w:t>Q=0.123（V/5）（W/6.8）</w:t>
      </w:r>
      <w:r>
        <w:rPr>
          <w:rFonts w:eastAsiaTheme="minorEastAsia"/>
          <w:color w:val="000000" w:themeColor="text1"/>
          <w:vertAlign w:val="superscript"/>
        </w:rPr>
        <w:t>0.85</w:t>
      </w:r>
      <w:r>
        <w:rPr>
          <w:rFonts w:eastAsiaTheme="minorEastAsia"/>
          <w:color w:val="000000" w:themeColor="text1"/>
        </w:rPr>
        <w:t>（P/0.5）</w:t>
      </w:r>
      <w:r>
        <w:rPr>
          <w:rFonts w:eastAsiaTheme="minorEastAsia"/>
          <w:color w:val="000000" w:themeColor="text1"/>
          <w:vertAlign w:val="superscript"/>
        </w:rPr>
        <w:t>0.75</w:t>
      </w:r>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p>
    <w:p>
      <w:pPr>
        <w:autoSpaceDE w:val="0"/>
        <w:autoSpaceDN w:val="0"/>
        <w:adjustRightInd w:val="0"/>
        <w:ind w:firstLine="480"/>
        <w:rPr>
          <w:rFonts w:eastAsiaTheme="minorEastAsia"/>
          <w:color w:val="000000" w:themeColor="text1"/>
        </w:rPr>
      </w:pPr>
      <w:r>
        <w:rPr>
          <w:rFonts w:eastAsiaTheme="minorEastAsia"/>
          <w:color w:val="000000" w:themeColor="text1"/>
        </w:rPr>
        <w:t>式中：Q：汽车行驶的扬尘，kg/km/辆；</w:t>
      </w:r>
    </w:p>
    <w:p>
      <w:pPr>
        <w:autoSpaceDE w:val="0"/>
        <w:autoSpaceDN w:val="0"/>
        <w:adjustRightInd w:val="0"/>
        <w:ind w:firstLine="480"/>
        <w:rPr>
          <w:rFonts w:eastAsiaTheme="minorEastAsia"/>
          <w:color w:val="000000" w:themeColor="text1"/>
        </w:rPr>
      </w:pPr>
      <w:r>
        <w:rPr>
          <w:rFonts w:eastAsiaTheme="minorEastAsia"/>
          <w:color w:val="000000" w:themeColor="text1"/>
        </w:rPr>
        <w:t>V：汽车行驶速度，km/h；</w:t>
      </w:r>
    </w:p>
    <w:p>
      <w:pPr>
        <w:autoSpaceDE w:val="0"/>
        <w:autoSpaceDN w:val="0"/>
        <w:adjustRightInd w:val="0"/>
        <w:ind w:firstLine="480"/>
        <w:rPr>
          <w:rFonts w:eastAsiaTheme="minorEastAsia"/>
          <w:color w:val="000000" w:themeColor="text1"/>
        </w:rPr>
      </w:pPr>
      <w:r>
        <w:rPr>
          <w:rFonts w:eastAsiaTheme="minorEastAsia"/>
          <w:color w:val="000000" w:themeColor="text1"/>
        </w:rPr>
        <w:t>W：汽车载重量，吨；</w:t>
      </w:r>
    </w:p>
    <w:p>
      <w:pPr>
        <w:autoSpaceDE w:val="0"/>
        <w:autoSpaceDN w:val="0"/>
        <w:adjustRightInd w:val="0"/>
        <w:ind w:firstLine="480"/>
        <w:rPr>
          <w:rFonts w:eastAsiaTheme="minorEastAsia"/>
          <w:color w:val="000000" w:themeColor="text1"/>
        </w:rPr>
      </w:pPr>
      <w:r>
        <w:rPr>
          <w:rFonts w:eastAsiaTheme="minorEastAsia"/>
          <w:color w:val="000000" w:themeColor="text1"/>
        </w:rPr>
        <w:t>P：道路表面粉尘量，kg/m</w:t>
      </w:r>
      <w:r>
        <w:rPr>
          <w:rFonts w:eastAsiaTheme="minorEastAsia"/>
          <w:color w:val="000000" w:themeColor="text1"/>
          <w:vertAlign w:val="superscript"/>
        </w:rPr>
        <w:t>2</w:t>
      </w:r>
      <w:r>
        <w:rPr>
          <w:rFonts w:eastAsiaTheme="minorEastAsia"/>
          <w:color w:val="000000" w:themeColor="text1"/>
        </w:rPr>
        <w:t>。</w:t>
      </w:r>
    </w:p>
    <w:p>
      <w:pPr>
        <w:autoSpaceDE w:val="0"/>
        <w:autoSpaceDN w:val="0"/>
        <w:adjustRightInd w:val="0"/>
        <w:ind w:firstLine="480"/>
        <w:rPr>
          <w:rFonts w:eastAsiaTheme="minorEastAsia"/>
          <w:b/>
          <w:color w:val="000000" w:themeColor="text1"/>
          <w:sz w:val="21"/>
          <w:szCs w:val="21"/>
        </w:rPr>
      </w:pPr>
      <w:r>
        <w:rPr>
          <w:rFonts w:eastAsiaTheme="minorEastAsia"/>
          <w:color w:val="000000" w:themeColor="text1"/>
        </w:rPr>
        <w:t>表6.1-1为一辆10吨的卡车，通过一段长度1km的路面时，不同路面清洁程度，不同行驶速度情况下的扬尘量。由此可见，在同样路面清洁程度下，车速越快，扬尘量越大；而在同样车速情况下，路面越脏，则扬尘量越大。因此，限制车辆行驶速度、保持路面清洁，是减少汽车扬尘的有效手段。</w:t>
      </w:r>
    </w:p>
    <w:p>
      <w:pPr>
        <w:autoSpaceDE w:val="0"/>
        <w:autoSpaceDN w:val="0"/>
        <w:adjustRightInd w:val="0"/>
        <w:ind w:firstLine="422"/>
        <w:jc w:val="center"/>
        <w:rPr>
          <w:rFonts w:eastAsiaTheme="minorEastAsia"/>
          <w:b/>
          <w:color w:val="000000" w:themeColor="text1"/>
          <w:sz w:val="21"/>
          <w:szCs w:val="21"/>
        </w:rPr>
      </w:pPr>
      <w:r>
        <w:rPr>
          <w:rFonts w:eastAsiaTheme="minorEastAsia"/>
          <w:b/>
          <w:color w:val="000000" w:themeColor="text1"/>
          <w:sz w:val="21"/>
          <w:szCs w:val="21"/>
        </w:rPr>
        <w:t>表6.1-1不同路面清洁程度、不同行驶速度的汽车扬尘（kg/辆.km）</w:t>
      </w:r>
    </w:p>
    <w:tbl>
      <w:tblPr>
        <w:tblStyle w:val="61"/>
        <w:tblW w:w="8522" w:type="dxa"/>
        <w:jc w:val="center"/>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458"/>
        <w:gridCol w:w="1179"/>
        <w:gridCol w:w="1177"/>
        <w:gridCol w:w="1177"/>
        <w:gridCol w:w="1178"/>
        <w:gridCol w:w="1178"/>
        <w:gridCol w:w="117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510" w:hRule="atLeast"/>
          <w:tblHeader/>
          <w:jc w:val="center"/>
        </w:trPr>
        <w:tc>
          <w:tcPr>
            <w:tcW w:w="145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right"/>
              <w:rPr>
                <w:rFonts w:eastAsiaTheme="minorEastAsia"/>
                <w:b/>
                <w:color w:val="000000" w:themeColor="text1"/>
                <w:sz w:val="21"/>
                <w:szCs w:val="21"/>
              </w:rPr>
            </w:pPr>
            <w:r>
              <w:rPr>
                <w:rFonts w:eastAsiaTheme="minorEastAsia"/>
                <w:b/>
                <w:color w:val="000000" w:themeColor="text1"/>
                <w:sz w:val="21"/>
                <w:szCs w:val="21"/>
              </w:rPr>
              <mc:AlternateContent>
                <mc:Choice Requires="wps">
                  <w:drawing>
                    <wp:anchor distT="0" distB="0" distL="114300" distR="114300" simplePos="0" relativeHeight="251669504" behindDoc="0" locked="0" layoutInCell="1" allowOverlap="1">
                      <wp:simplePos x="0" y="0"/>
                      <wp:positionH relativeFrom="column">
                        <wp:posOffset>-76200</wp:posOffset>
                      </wp:positionH>
                      <wp:positionV relativeFrom="paragraph">
                        <wp:posOffset>4445</wp:posOffset>
                      </wp:positionV>
                      <wp:extent cx="933450" cy="590550"/>
                      <wp:effectExtent l="2540" t="3810" r="16510" b="15240"/>
                      <wp:wrapNone/>
                      <wp:docPr id="20" name="直接箭头连接符 16"/>
                      <wp:cNvGraphicFramePr/>
                      <a:graphic xmlns:a="http://schemas.openxmlformats.org/drawingml/2006/main">
                        <a:graphicData uri="http://schemas.microsoft.com/office/word/2010/wordprocessingShape">
                          <wps:wsp>
                            <wps:cNvCnPr/>
                            <wps:spPr>
                              <a:xfrm>
                                <a:off x="0" y="0"/>
                                <a:ext cx="933450" cy="590550"/>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直接箭头连接符 16" o:spid="_x0000_s1026" o:spt="32" type="#_x0000_t32" style="position:absolute;left:0pt;margin-left:-6pt;margin-top:0.35pt;height:46.5pt;width:73.5pt;z-index:251669504;mso-width-relative:page;mso-height-relative:page;" filled="f" stroked="t" coordsize="21600,21600" o:gfxdata="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CP0/R&#10;1gAAAAcBAAAPAAAAAAAAAAEAIAAAACIAAABkcnMvZG93bnJldi54bWxQSwECFAAUAAAACACHTuJA&#10;Rs5JHuoBAACyAwAADgAAAAAAAAABACAAAAAlAQAAZHJzL2Uyb0RvYy54bWxQSwUGAAAAAAYABgBZ&#10;AQAAgQUAAAAA&#10;">
                      <v:fill on="f" focussize="0,0"/>
                      <v:stroke color="#000000" joinstyle="round"/>
                      <v:imagedata o:title=""/>
                      <o:lock v:ext="edit" aspectratio="f"/>
                    </v:shape>
                  </w:pict>
                </mc:Fallback>
              </mc:AlternateContent>
            </w:r>
            <w:r>
              <w:rPr>
                <w:rFonts w:eastAsiaTheme="minorEastAsia"/>
                <w:b/>
                <w:color w:val="000000" w:themeColor="text1"/>
                <w:sz w:val="21"/>
                <w:szCs w:val="21"/>
              </w:rPr>
              <w:t>清洁度</w:t>
            </w:r>
          </w:p>
          <w:p>
            <w:pPr>
              <w:pStyle w:val="27"/>
              <w:spacing w:after="0"/>
              <w:ind w:left="0" w:leftChars="0" w:firstLine="0" w:firstLineChars="0"/>
              <w:rPr>
                <w:rFonts w:eastAsiaTheme="minorEastAsia"/>
                <w:b/>
                <w:color w:val="000000" w:themeColor="text1"/>
                <w:sz w:val="21"/>
                <w:szCs w:val="21"/>
              </w:rPr>
            </w:pPr>
            <w:r>
              <w:rPr>
                <w:rFonts w:eastAsiaTheme="minorEastAsia"/>
                <w:b/>
                <w:color w:val="000000" w:themeColor="text1"/>
                <w:sz w:val="21"/>
                <w:szCs w:val="21"/>
              </w:rPr>
              <w:t>车速</w:t>
            </w:r>
          </w:p>
        </w:tc>
        <w:tc>
          <w:tcPr>
            <w:tcW w:w="1179"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rPr>
                <w:rFonts w:eastAsiaTheme="minorEastAsia"/>
                <w:b/>
                <w:color w:val="000000" w:themeColor="text1"/>
                <w:sz w:val="21"/>
                <w:szCs w:val="21"/>
              </w:rPr>
            </w:pPr>
            <w:r>
              <w:rPr>
                <w:rFonts w:eastAsiaTheme="minorEastAsia"/>
                <w:b/>
                <w:color w:val="000000" w:themeColor="text1"/>
                <w:sz w:val="21"/>
                <w:szCs w:val="21"/>
              </w:rPr>
              <w:t>0.1kg/m</w:t>
            </w:r>
            <w:r>
              <w:rPr>
                <w:rFonts w:eastAsiaTheme="minorEastAsia"/>
                <w:b/>
                <w:color w:val="000000" w:themeColor="text1"/>
                <w:sz w:val="21"/>
                <w:szCs w:val="21"/>
                <w:vertAlign w:val="superscript"/>
              </w:rPr>
              <w:t>2</w:t>
            </w:r>
          </w:p>
        </w:tc>
        <w:tc>
          <w:tcPr>
            <w:tcW w:w="1177"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rPr>
                <w:rFonts w:eastAsiaTheme="minorEastAsia"/>
                <w:b/>
                <w:color w:val="000000" w:themeColor="text1"/>
                <w:sz w:val="21"/>
                <w:szCs w:val="21"/>
              </w:rPr>
            </w:pPr>
            <w:r>
              <w:rPr>
                <w:rFonts w:eastAsiaTheme="minorEastAsia"/>
                <w:b/>
                <w:color w:val="000000" w:themeColor="text1"/>
                <w:sz w:val="21"/>
                <w:szCs w:val="21"/>
              </w:rPr>
              <w:t>0.2kg/m</w:t>
            </w:r>
            <w:r>
              <w:rPr>
                <w:rFonts w:eastAsiaTheme="minorEastAsia"/>
                <w:b/>
                <w:color w:val="000000" w:themeColor="text1"/>
                <w:sz w:val="21"/>
                <w:szCs w:val="21"/>
                <w:vertAlign w:val="superscript"/>
              </w:rPr>
              <w:t>2</w:t>
            </w:r>
          </w:p>
        </w:tc>
        <w:tc>
          <w:tcPr>
            <w:tcW w:w="1177"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rPr>
                <w:rFonts w:eastAsiaTheme="minorEastAsia"/>
                <w:b/>
                <w:color w:val="000000" w:themeColor="text1"/>
                <w:sz w:val="21"/>
                <w:szCs w:val="21"/>
              </w:rPr>
            </w:pPr>
            <w:r>
              <w:rPr>
                <w:rFonts w:eastAsiaTheme="minorEastAsia"/>
                <w:b/>
                <w:color w:val="000000" w:themeColor="text1"/>
                <w:sz w:val="21"/>
                <w:szCs w:val="21"/>
              </w:rPr>
              <w:t>0.3kg/m</w:t>
            </w:r>
            <w:r>
              <w:rPr>
                <w:rFonts w:eastAsiaTheme="minorEastAsia"/>
                <w:b/>
                <w:color w:val="000000" w:themeColor="text1"/>
                <w:sz w:val="21"/>
                <w:szCs w:val="21"/>
                <w:vertAlign w:val="superscript"/>
              </w:rPr>
              <w:t>2</w:t>
            </w:r>
          </w:p>
        </w:tc>
        <w:tc>
          <w:tcPr>
            <w:tcW w:w="117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rPr>
                <w:rFonts w:eastAsiaTheme="minorEastAsia"/>
                <w:b/>
                <w:color w:val="000000" w:themeColor="text1"/>
                <w:sz w:val="21"/>
                <w:szCs w:val="21"/>
              </w:rPr>
            </w:pPr>
            <w:r>
              <w:rPr>
                <w:rFonts w:eastAsiaTheme="minorEastAsia"/>
                <w:b/>
                <w:color w:val="000000" w:themeColor="text1"/>
                <w:sz w:val="21"/>
                <w:szCs w:val="21"/>
              </w:rPr>
              <w:t>0.4kg/m</w:t>
            </w:r>
            <w:r>
              <w:rPr>
                <w:rFonts w:eastAsiaTheme="minorEastAsia"/>
                <w:b/>
                <w:color w:val="000000" w:themeColor="text1"/>
                <w:sz w:val="21"/>
                <w:szCs w:val="21"/>
                <w:vertAlign w:val="superscript"/>
              </w:rPr>
              <w:t>2</w:t>
            </w:r>
          </w:p>
        </w:tc>
        <w:tc>
          <w:tcPr>
            <w:tcW w:w="117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rPr>
                <w:rFonts w:eastAsiaTheme="minorEastAsia"/>
                <w:b/>
                <w:color w:val="000000" w:themeColor="text1"/>
                <w:sz w:val="21"/>
                <w:szCs w:val="21"/>
              </w:rPr>
            </w:pPr>
            <w:r>
              <w:rPr>
                <w:rFonts w:eastAsiaTheme="minorEastAsia"/>
                <w:b/>
                <w:color w:val="000000" w:themeColor="text1"/>
                <w:sz w:val="21"/>
                <w:szCs w:val="21"/>
              </w:rPr>
              <w:t>0.5kg/m</w:t>
            </w:r>
            <w:r>
              <w:rPr>
                <w:rFonts w:eastAsiaTheme="minorEastAsia"/>
                <w:b/>
                <w:color w:val="000000" w:themeColor="text1"/>
                <w:sz w:val="21"/>
                <w:szCs w:val="21"/>
                <w:vertAlign w:val="superscript"/>
              </w:rPr>
              <w:t>2</w:t>
            </w:r>
          </w:p>
        </w:tc>
        <w:tc>
          <w:tcPr>
            <w:tcW w:w="1175"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rPr>
                <w:rFonts w:eastAsiaTheme="minorEastAsia"/>
                <w:b/>
                <w:color w:val="000000" w:themeColor="text1"/>
                <w:sz w:val="21"/>
                <w:szCs w:val="21"/>
              </w:rPr>
            </w:pPr>
            <w:r>
              <w:rPr>
                <w:rFonts w:eastAsiaTheme="minorEastAsia"/>
                <w:b/>
                <w:color w:val="000000" w:themeColor="text1"/>
                <w:sz w:val="21"/>
                <w:szCs w:val="21"/>
              </w:rPr>
              <w:t>1.0kg/m</w:t>
            </w:r>
            <w:r>
              <w:rPr>
                <w:rFonts w:eastAsiaTheme="minorEastAsia"/>
                <w:b/>
                <w:color w:val="000000" w:themeColor="text1"/>
                <w:sz w:val="21"/>
                <w:szCs w:val="21"/>
                <w:vertAlign w:val="superscript"/>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510" w:hRule="atLeast"/>
          <w:jc w:val="center"/>
        </w:trPr>
        <w:tc>
          <w:tcPr>
            <w:tcW w:w="145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5（km/h）</w:t>
            </w:r>
          </w:p>
        </w:tc>
        <w:tc>
          <w:tcPr>
            <w:tcW w:w="1179"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0.0511</w:t>
            </w:r>
          </w:p>
        </w:tc>
        <w:tc>
          <w:tcPr>
            <w:tcW w:w="1177"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0.0856</w:t>
            </w:r>
          </w:p>
        </w:tc>
        <w:tc>
          <w:tcPr>
            <w:tcW w:w="1177"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0.1164</w:t>
            </w:r>
          </w:p>
        </w:tc>
        <w:tc>
          <w:tcPr>
            <w:tcW w:w="117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0.1444</w:t>
            </w:r>
          </w:p>
        </w:tc>
        <w:tc>
          <w:tcPr>
            <w:tcW w:w="117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0.1707</w:t>
            </w:r>
          </w:p>
        </w:tc>
        <w:tc>
          <w:tcPr>
            <w:tcW w:w="1175"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0.2871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510" w:hRule="atLeast"/>
          <w:jc w:val="center"/>
        </w:trPr>
        <w:tc>
          <w:tcPr>
            <w:tcW w:w="145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10（km/h）</w:t>
            </w:r>
          </w:p>
        </w:tc>
        <w:tc>
          <w:tcPr>
            <w:tcW w:w="1179"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0.1021</w:t>
            </w:r>
          </w:p>
        </w:tc>
        <w:tc>
          <w:tcPr>
            <w:tcW w:w="1177"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0.1717</w:t>
            </w:r>
          </w:p>
        </w:tc>
        <w:tc>
          <w:tcPr>
            <w:tcW w:w="1177"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0.2328</w:t>
            </w:r>
          </w:p>
        </w:tc>
        <w:tc>
          <w:tcPr>
            <w:tcW w:w="117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0.2888</w:t>
            </w:r>
          </w:p>
        </w:tc>
        <w:tc>
          <w:tcPr>
            <w:tcW w:w="117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0.3414</w:t>
            </w:r>
          </w:p>
        </w:tc>
        <w:tc>
          <w:tcPr>
            <w:tcW w:w="1175"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0.5742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510" w:hRule="atLeast"/>
          <w:jc w:val="center"/>
        </w:trPr>
        <w:tc>
          <w:tcPr>
            <w:tcW w:w="145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15（km/h）</w:t>
            </w:r>
          </w:p>
        </w:tc>
        <w:tc>
          <w:tcPr>
            <w:tcW w:w="1179"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0.1532</w:t>
            </w:r>
          </w:p>
        </w:tc>
        <w:tc>
          <w:tcPr>
            <w:tcW w:w="1177"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0.2576</w:t>
            </w:r>
          </w:p>
        </w:tc>
        <w:tc>
          <w:tcPr>
            <w:tcW w:w="1177"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0.3491</w:t>
            </w:r>
          </w:p>
        </w:tc>
        <w:tc>
          <w:tcPr>
            <w:tcW w:w="117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0.4332</w:t>
            </w:r>
          </w:p>
        </w:tc>
        <w:tc>
          <w:tcPr>
            <w:tcW w:w="117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0.5121</w:t>
            </w:r>
          </w:p>
        </w:tc>
        <w:tc>
          <w:tcPr>
            <w:tcW w:w="1175"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0.8613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510" w:hRule="atLeast"/>
          <w:jc w:val="center"/>
        </w:trPr>
        <w:tc>
          <w:tcPr>
            <w:tcW w:w="145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25（km/h）</w:t>
            </w:r>
          </w:p>
        </w:tc>
        <w:tc>
          <w:tcPr>
            <w:tcW w:w="1179"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0.2553</w:t>
            </w:r>
          </w:p>
        </w:tc>
        <w:tc>
          <w:tcPr>
            <w:tcW w:w="1177"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0.4293</w:t>
            </w:r>
          </w:p>
        </w:tc>
        <w:tc>
          <w:tcPr>
            <w:tcW w:w="1177"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0.5819</w:t>
            </w:r>
          </w:p>
        </w:tc>
        <w:tc>
          <w:tcPr>
            <w:tcW w:w="117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0.7220</w:t>
            </w:r>
          </w:p>
        </w:tc>
        <w:tc>
          <w:tcPr>
            <w:tcW w:w="1178"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0.8536</w:t>
            </w:r>
          </w:p>
        </w:tc>
        <w:tc>
          <w:tcPr>
            <w:tcW w:w="1175" w:type="dxa"/>
            <w:tcBorders>
              <w:top w:val="single" w:color="auto" w:sz="2" w:space="0"/>
              <w:left w:val="single" w:color="auto" w:sz="2" w:space="0"/>
              <w:bottom w:val="single" w:color="auto" w:sz="2" w:space="0"/>
              <w:right w:val="single" w:color="auto" w:sz="2" w:space="0"/>
            </w:tcBorders>
            <w:vAlign w:val="center"/>
          </w:tcPr>
          <w:p>
            <w:pPr>
              <w:pStyle w:val="27"/>
              <w:spacing w:after="0"/>
              <w:ind w:left="0" w:leftChars="0" w:firstLine="0" w:firstLineChars="0"/>
              <w:jc w:val="center"/>
              <w:rPr>
                <w:rFonts w:eastAsiaTheme="minorEastAsia"/>
                <w:color w:val="000000" w:themeColor="text1"/>
                <w:sz w:val="21"/>
                <w:szCs w:val="21"/>
              </w:rPr>
            </w:pPr>
            <w:r>
              <w:rPr>
                <w:rFonts w:eastAsiaTheme="minorEastAsia"/>
                <w:color w:val="000000" w:themeColor="text1"/>
                <w:sz w:val="21"/>
                <w:szCs w:val="21"/>
              </w:rPr>
              <w:t>1.4255</w:t>
            </w:r>
          </w:p>
        </w:tc>
      </w:tr>
    </w:tbl>
    <w:p>
      <w:pPr>
        <w:autoSpaceDE w:val="0"/>
        <w:autoSpaceDN w:val="0"/>
        <w:adjustRightInd w:val="0"/>
        <w:ind w:firstLine="480"/>
        <w:rPr>
          <w:rFonts w:eastAsiaTheme="minorEastAsia"/>
          <w:color w:val="000000" w:themeColor="text1"/>
        </w:rPr>
      </w:pPr>
      <w:r>
        <w:rPr>
          <w:rFonts w:eastAsiaTheme="minorEastAsia"/>
          <w:color w:val="000000" w:themeColor="text1"/>
        </w:rPr>
        <w:t>根据类比调查，施工场地、施工道路在自然风作用下产生的扬尘所影响的范围在100m以内。</w:t>
      </w:r>
    </w:p>
    <w:p>
      <w:pPr>
        <w:autoSpaceDE w:val="0"/>
        <w:autoSpaceDN w:val="0"/>
        <w:adjustRightInd w:val="0"/>
        <w:ind w:firstLine="480"/>
        <w:rPr>
          <w:rFonts w:eastAsiaTheme="minorEastAsia"/>
          <w:color w:val="000000" w:themeColor="text1"/>
        </w:rPr>
      </w:pPr>
      <w:r>
        <w:rPr>
          <w:rFonts w:eastAsiaTheme="minorEastAsia"/>
          <w:color w:val="000000" w:themeColor="text1"/>
        </w:rPr>
        <w:t>抑制扬尘的一个简洁有效的措施是洒水。如果施工阶段对汽车行驶路面勤洒水（每天4～5次），可以使空气中的粉尘量减少70％左右，可以收到很好的降尘效果。洒水的试验资料如表6.1-2。当施工场地洒水频率为每天4～5次时，扬尘污染距离可缩小到20～50m范围类。</w:t>
      </w:r>
    </w:p>
    <w:p>
      <w:pPr>
        <w:autoSpaceDE w:val="0"/>
        <w:autoSpaceDN w:val="0"/>
        <w:adjustRightInd w:val="0"/>
        <w:ind w:firstLine="422"/>
        <w:jc w:val="center"/>
        <w:rPr>
          <w:rFonts w:eastAsiaTheme="minorEastAsia"/>
          <w:b/>
          <w:color w:val="000000" w:themeColor="text1"/>
          <w:sz w:val="21"/>
          <w:szCs w:val="21"/>
        </w:rPr>
      </w:pPr>
      <w:r>
        <w:rPr>
          <w:rFonts w:eastAsiaTheme="minorEastAsia"/>
          <w:b/>
          <w:color w:val="000000" w:themeColor="text1"/>
          <w:sz w:val="21"/>
          <w:szCs w:val="21"/>
        </w:rPr>
        <w:t>表6.1-2施工阶段使用洒水降尘的试验结果</w:t>
      </w:r>
    </w:p>
    <w:tbl>
      <w:tblPr>
        <w:tblStyle w:val="61"/>
        <w:tblW w:w="8522" w:type="dxa"/>
        <w:jc w:val="center"/>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700"/>
        <w:gridCol w:w="1201"/>
        <w:gridCol w:w="1486"/>
        <w:gridCol w:w="1485"/>
        <w:gridCol w:w="1487"/>
        <w:gridCol w:w="116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454" w:hRule="exact"/>
          <w:jc w:val="center"/>
        </w:trPr>
        <w:tc>
          <w:tcPr>
            <w:tcW w:w="2901" w:type="dxa"/>
            <w:gridSpan w:val="2"/>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距路边距离（m）</w:t>
            </w:r>
          </w:p>
        </w:tc>
        <w:tc>
          <w:tcPr>
            <w:tcW w:w="148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5</w:t>
            </w:r>
          </w:p>
        </w:tc>
        <w:tc>
          <w:tcPr>
            <w:tcW w:w="148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20</w:t>
            </w:r>
          </w:p>
        </w:tc>
        <w:tc>
          <w:tcPr>
            <w:tcW w:w="1487"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50</w:t>
            </w:r>
          </w:p>
        </w:tc>
        <w:tc>
          <w:tcPr>
            <w:tcW w:w="1163"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454" w:hRule="exact"/>
          <w:jc w:val="center"/>
        </w:trPr>
        <w:tc>
          <w:tcPr>
            <w:tcW w:w="1700" w:type="dxa"/>
            <w:vMerge w:val="restart"/>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TSP浓度（mg/m</w:t>
            </w:r>
            <w:r>
              <w:rPr>
                <w:rFonts w:eastAsiaTheme="minorEastAsia"/>
                <w:color w:val="000000" w:themeColor="text1"/>
                <w:sz w:val="21"/>
                <w:szCs w:val="21"/>
                <w:vertAlign w:val="superscript"/>
              </w:rPr>
              <w:t>3</w:t>
            </w:r>
            <w:r>
              <w:rPr>
                <w:rFonts w:eastAsiaTheme="minorEastAsia"/>
                <w:color w:val="000000" w:themeColor="text1"/>
                <w:sz w:val="21"/>
                <w:szCs w:val="21"/>
              </w:rPr>
              <w:t>）</w:t>
            </w:r>
          </w:p>
        </w:tc>
        <w:tc>
          <w:tcPr>
            <w:tcW w:w="1201"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不洒水</w:t>
            </w:r>
          </w:p>
        </w:tc>
        <w:tc>
          <w:tcPr>
            <w:tcW w:w="148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10.14</w:t>
            </w:r>
          </w:p>
        </w:tc>
        <w:tc>
          <w:tcPr>
            <w:tcW w:w="148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2.81</w:t>
            </w:r>
          </w:p>
        </w:tc>
        <w:tc>
          <w:tcPr>
            <w:tcW w:w="1487"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1.15</w:t>
            </w:r>
          </w:p>
        </w:tc>
        <w:tc>
          <w:tcPr>
            <w:tcW w:w="1163"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0.86</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454" w:hRule="exact"/>
          <w:jc w:val="center"/>
        </w:trPr>
        <w:tc>
          <w:tcPr>
            <w:tcW w:w="1700" w:type="dxa"/>
            <w:vMerge w:val="continue"/>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420"/>
              <w:jc w:val="center"/>
              <w:rPr>
                <w:rFonts w:eastAsiaTheme="minorEastAsia"/>
                <w:color w:val="000000" w:themeColor="text1"/>
                <w:sz w:val="21"/>
                <w:szCs w:val="21"/>
              </w:rPr>
            </w:pPr>
          </w:p>
        </w:tc>
        <w:tc>
          <w:tcPr>
            <w:tcW w:w="1201"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洒水</w:t>
            </w:r>
          </w:p>
        </w:tc>
        <w:tc>
          <w:tcPr>
            <w:tcW w:w="148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2.01</w:t>
            </w:r>
          </w:p>
        </w:tc>
        <w:tc>
          <w:tcPr>
            <w:tcW w:w="148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1.40</w:t>
            </w:r>
          </w:p>
        </w:tc>
        <w:tc>
          <w:tcPr>
            <w:tcW w:w="1487"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0.68</w:t>
            </w:r>
          </w:p>
        </w:tc>
        <w:tc>
          <w:tcPr>
            <w:tcW w:w="1163"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0.60</w:t>
            </w:r>
          </w:p>
        </w:tc>
      </w:tr>
    </w:tbl>
    <w:p>
      <w:pPr>
        <w:autoSpaceDE w:val="0"/>
        <w:autoSpaceDN w:val="0"/>
        <w:adjustRightInd w:val="0"/>
        <w:ind w:firstLine="480"/>
        <w:rPr>
          <w:rFonts w:eastAsiaTheme="minorEastAsia"/>
          <w:color w:val="000000" w:themeColor="text1"/>
        </w:rPr>
      </w:pPr>
      <w:r>
        <w:rPr>
          <w:rFonts w:eastAsiaTheme="minorEastAsia"/>
          <w:color w:val="000000" w:themeColor="text1"/>
        </w:rPr>
        <w:t>另一个主要来源就是露天堆场和裸露场地的风力扬尘。由于施工需要，一些建筑材料需要露天堆放，一些施工作业点表层土壤需要人工开挖且临时堆放，在气候干燥又有风的情况下，会产生扬尘，其扬尘的产生量可按照堆场起尘的经验公式计算：</w:t>
      </w:r>
      <w:bookmarkStart w:id="585" w:name="_Toc366139261"/>
      <w:bookmarkStart w:id="586" w:name="_Toc366137518"/>
      <w:bookmarkStart w:id="587" w:name="_Toc385770011"/>
      <w:bookmarkStart w:id="588" w:name="_Toc440869091"/>
      <w:bookmarkStart w:id="589" w:name="_Toc439249652"/>
      <w:bookmarkStart w:id="590" w:name="_Toc351308290"/>
      <w:bookmarkStart w:id="591" w:name="_Toc445971206"/>
      <w:bookmarkStart w:id="592" w:name="_Toc400718655"/>
      <w:bookmarkStart w:id="593" w:name="_Toc437527528"/>
      <w:bookmarkStart w:id="594" w:name="_Toc437357257"/>
      <w:bookmarkStart w:id="595" w:name="_Toc385841333"/>
      <w:bookmarkStart w:id="596" w:name="_Toc433726009"/>
      <w:bookmarkStart w:id="597" w:name="_Toc437356850"/>
      <w:bookmarkStart w:id="598" w:name="_Toc436312510"/>
      <w:bookmarkStart w:id="599" w:name="_Toc446277895"/>
      <w:bookmarkStart w:id="600" w:name="_Toc433613548"/>
      <w:bookmarkStart w:id="601" w:name="_Toc385762269"/>
    </w:p>
    <w:p>
      <w:pPr>
        <w:autoSpaceDE w:val="0"/>
        <w:autoSpaceDN w:val="0"/>
        <w:adjustRightInd w:val="0"/>
        <w:ind w:firstLine="480"/>
        <w:jc w:val="center"/>
        <w:rPr>
          <w:rFonts w:eastAsiaTheme="minorEastAsia"/>
          <w:color w:val="000000" w:themeColor="text1"/>
        </w:rPr>
      </w:pPr>
      <w:r>
        <w:rPr>
          <w:rFonts w:eastAsiaTheme="minorEastAsia"/>
          <w:color w:val="000000" w:themeColor="text1"/>
        </w:rPr>
        <w:t>Q=2.1（V50–V0）</w:t>
      </w:r>
      <w:r>
        <w:rPr>
          <w:rFonts w:eastAsiaTheme="minorEastAsia"/>
          <w:color w:val="000000" w:themeColor="text1"/>
          <w:vertAlign w:val="superscript"/>
        </w:rPr>
        <w:t>3</w:t>
      </w:r>
      <w:r>
        <w:rPr>
          <w:rFonts w:eastAsiaTheme="minorEastAsia"/>
          <w:color w:val="000000" w:themeColor="text1"/>
        </w:rPr>
        <w:t>e</w:t>
      </w:r>
      <w:r>
        <w:rPr>
          <w:rFonts w:eastAsiaTheme="minorEastAsia"/>
          <w:color w:val="000000" w:themeColor="text1"/>
          <w:vertAlign w:val="superscript"/>
        </w:rPr>
        <w:t>-1.023</w:t>
      </w:r>
      <w:r>
        <w:rPr>
          <w:rFonts w:eastAsiaTheme="minorEastAsia"/>
          <w:color w:val="000000" w:themeColor="text1"/>
        </w:rPr>
        <w:t>W</w:t>
      </w:r>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p>
    <w:p>
      <w:pPr>
        <w:autoSpaceDE w:val="0"/>
        <w:autoSpaceDN w:val="0"/>
        <w:adjustRightInd w:val="0"/>
        <w:ind w:firstLine="480"/>
        <w:rPr>
          <w:rFonts w:eastAsiaTheme="minorEastAsia"/>
          <w:color w:val="000000" w:themeColor="text1"/>
        </w:rPr>
      </w:pPr>
      <w:r>
        <w:rPr>
          <w:rFonts w:eastAsiaTheme="minorEastAsia"/>
          <w:color w:val="000000" w:themeColor="text1"/>
        </w:rPr>
        <w:t>式中：Q：起尘量，kg/吨.年；</w:t>
      </w:r>
    </w:p>
    <w:p>
      <w:pPr>
        <w:autoSpaceDE w:val="0"/>
        <w:autoSpaceDN w:val="0"/>
        <w:adjustRightInd w:val="0"/>
        <w:ind w:firstLine="480"/>
        <w:rPr>
          <w:rFonts w:eastAsiaTheme="minorEastAsia"/>
          <w:color w:val="000000" w:themeColor="text1"/>
        </w:rPr>
      </w:pPr>
      <w:r>
        <w:rPr>
          <w:rFonts w:eastAsiaTheme="minorEastAsia"/>
          <w:color w:val="000000" w:themeColor="text1"/>
        </w:rPr>
        <w:t>V</w:t>
      </w:r>
      <w:r>
        <w:rPr>
          <w:rFonts w:eastAsiaTheme="minorEastAsia"/>
          <w:color w:val="000000" w:themeColor="text1"/>
          <w:vertAlign w:val="subscript"/>
        </w:rPr>
        <w:t>50</w:t>
      </w:r>
      <w:r>
        <w:rPr>
          <w:rFonts w:eastAsiaTheme="minorEastAsia"/>
          <w:color w:val="000000" w:themeColor="text1"/>
        </w:rPr>
        <w:t>：距离地面50m处风速，m/s；</w:t>
      </w:r>
    </w:p>
    <w:p>
      <w:pPr>
        <w:autoSpaceDE w:val="0"/>
        <w:autoSpaceDN w:val="0"/>
        <w:adjustRightInd w:val="0"/>
        <w:ind w:firstLine="480"/>
        <w:rPr>
          <w:rFonts w:eastAsiaTheme="minorEastAsia"/>
          <w:color w:val="000000" w:themeColor="text1"/>
        </w:rPr>
      </w:pPr>
      <w:r>
        <w:rPr>
          <w:rFonts w:eastAsiaTheme="minorEastAsia"/>
          <w:color w:val="000000" w:themeColor="text1"/>
        </w:rPr>
        <w:t>V</w:t>
      </w:r>
      <w:r>
        <w:rPr>
          <w:rFonts w:eastAsiaTheme="minorEastAsia"/>
          <w:color w:val="000000" w:themeColor="text1"/>
          <w:vertAlign w:val="subscript"/>
        </w:rPr>
        <w:t>0</w:t>
      </w:r>
      <w:r>
        <w:rPr>
          <w:rFonts w:eastAsiaTheme="minorEastAsia"/>
          <w:color w:val="000000" w:themeColor="text1"/>
        </w:rPr>
        <w:t>：起尘风速m/s；</w:t>
      </w:r>
    </w:p>
    <w:p>
      <w:pPr>
        <w:autoSpaceDE w:val="0"/>
        <w:autoSpaceDN w:val="0"/>
        <w:adjustRightInd w:val="0"/>
        <w:ind w:firstLine="480"/>
        <w:rPr>
          <w:rFonts w:eastAsiaTheme="minorEastAsia"/>
          <w:color w:val="000000" w:themeColor="text1"/>
        </w:rPr>
      </w:pPr>
      <w:r>
        <w:rPr>
          <w:rFonts w:eastAsiaTheme="minorEastAsia"/>
          <w:color w:val="000000" w:themeColor="text1"/>
        </w:rPr>
        <w:t>W：尘粒的含水率，％。</w:t>
      </w:r>
    </w:p>
    <w:p>
      <w:pPr>
        <w:autoSpaceDE w:val="0"/>
        <w:autoSpaceDN w:val="0"/>
        <w:adjustRightInd w:val="0"/>
        <w:ind w:firstLine="480"/>
        <w:rPr>
          <w:rFonts w:eastAsiaTheme="minorEastAsia"/>
          <w:b/>
          <w:color w:val="000000" w:themeColor="text1"/>
          <w:sz w:val="21"/>
          <w:szCs w:val="21"/>
        </w:rPr>
      </w:pPr>
      <w:r>
        <w:rPr>
          <w:rFonts w:eastAsiaTheme="minorEastAsia"/>
          <w:color w:val="000000" w:themeColor="text1"/>
        </w:rPr>
        <w:t>起尘风速与粒径、含水率有关，因此，减少露天堆放和保证一定的含水率，以及减少裸露地面是减少风力起尘的有效手段。粉尘在空气中的扩散稀释与风速等气象条件有关，也与粉尘的沉降速度有关。不同粉尘的沉降速度见表6.1-3</w:t>
      </w:r>
      <w:r>
        <w:rPr>
          <w:rFonts w:eastAsiaTheme="minorEastAsia"/>
          <w:b/>
          <w:color w:val="000000" w:themeColor="text1"/>
        </w:rPr>
        <w:t>。</w:t>
      </w:r>
    </w:p>
    <w:p>
      <w:pPr>
        <w:autoSpaceDE w:val="0"/>
        <w:autoSpaceDN w:val="0"/>
        <w:adjustRightInd w:val="0"/>
        <w:ind w:firstLine="422"/>
        <w:jc w:val="center"/>
        <w:rPr>
          <w:rFonts w:eastAsiaTheme="minorEastAsia"/>
          <w:b/>
          <w:color w:val="000000" w:themeColor="text1"/>
          <w:sz w:val="21"/>
          <w:szCs w:val="21"/>
        </w:rPr>
      </w:pPr>
      <w:r>
        <w:rPr>
          <w:rFonts w:eastAsiaTheme="minorEastAsia"/>
          <w:b/>
          <w:color w:val="000000" w:themeColor="text1"/>
          <w:sz w:val="21"/>
          <w:szCs w:val="21"/>
        </w:rPr>
        <w:t>表6.1-3不同粉尘的沉降速度</w:t>
      </w:r>
    </w:p>
    <w:tbl>
      <w:tblPr>
        <w:tblStyle w:val="61"/>
        <w:tblW w:w="8528" w:type="dxa"/>
        <w:jc w:val="center"/>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268"/>
        <w:gridCol w:w="876"/>
        <w:gridCol w:w="874"/>
        <w:gridCol w:w="875"/>
        <w:gridCol w:w="876"/>
        <w:gridCol w:w="875"/>
        <w:gridCol w:w="944"/>
        <w:gridCol w:w="94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2268"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粉尘粒径（um）</w:t>
            </w:r>
          </w:p>
        </w:tc>
        <w:tc>
          <w:tcPr>
            <w:tcW w:w="87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10</w:t>
            </w:r>
          </w:p>
        </w:tc>
        <w:tc>
          <w:tcPr>
            <w:tcW w:w="874"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20</w:t>
            </w:r>
          </w:p>
        </w:tc>
        <w:tc>
          <w:tcPr>
            <w:tcW w:w="87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30</w:t>
            </w:r>
          </w:p>
        </w:tc>
        <w:tc>
          <w:tcPr>
            <w:tcW w:w="87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40</w:t>
            </w:r>
          </w:p>
        </w:tc>
        <w:tc>
          <w:tcPr>
            <w:tcW w:w="87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50</w:t>
            </w:r>
          </w:p>
        </w:tc>
        <w:tc>
          <w:tcPr>
            <w:tcW w:w="944"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60</w:t>
            </w:r>
          </w:p>
        </w:tc>
        <w:tc>
          <w:tcPr>
            <w:tcW w:w="940"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b/>
                <w:color w:val="000000" w:themeColor="text1"/>
                <w:sz w:val="21"/>
                <w:szCs w:val="21"/>
              </w:rPr>
            </w:pPr>
            <w:r>
              <w:rPr>
                <w:rFonts w:eastAsiaTheme="minorEastAsia"/>
                <w:b/>
                <w:color w:val="000000" w:themeColor="text1"/>
                <w:sz w:val="21"/>
                <w:szCs w:val="21"/>
              </w:rPr>
              <w:t>70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2268"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沉降速度</w:t>
            </w:r>
          </w:p>
        </w:tc>
        <w:tc>
          <w:tcPr>
            <w:tcW w:w="87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0.003</w:t>
            </w:r>
          </w:p>
        </w:tc>
        <w:tc>
          <w:tcPr>
            <w:tcW w:w="874"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0.012</w:t>
            </w:r>
          </w:p>
        </w:tc>
        <w:tc>
          <w:tcPr>
            <w:tcW w:w="87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0.027</w:t>
            </w:r>
          </w:p>
        </w:tc>
        <w:tc>
          <w:tcPr>
            <w:tcW w:w="87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0.048</w:t>
            </w:r>
          </w:p>
        </w:tc>
        <w:tc>
          <w:tcPr>
            <w:tcW w:w="87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0.075</w:t>
            </w:r>
          </w:p>
        </w:tc>
        <w:tc>
          <w:tcPr>
            <w:tcW w:w="944"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0.108</w:t>
            </w:r>
          </w:p>
        </w:tc>
        <w:tc>
          <w:tcPr>
            <w:tcW w:w="940"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0.147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2268"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粉尘粒径</w:t>
            </w:r>
          </w:p>
        </w:tc>
        <w:tc>
          <w:tcPr>
            <w:tcW w:w="87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80</w:t>
            </w:r>
          </w:p>
        </w:tc>
        <w:tc>
          <w:tcPr>
            <w:tcW w:w="874"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90</w:t>
            </w:r>
          </w:p>
        </w:tc>
        <w:tc>
          <w:tcPr>
            <w:tcW w:w="87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100</w:t>
            </w:r>
          </w:p>
        </w:tc>
        <w:tc>
          <w:tcPr>
            <w:tcW w:w="87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150</w:t>
            </w:r>
          </w:p>
        </w:tc>
        <w:tc>
          <w:tcPr>
            <w:tcW w:w="87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200</w:t>
            </w:r>
          </w:p>
        </w:tc>
        <w:tc>
          <w:tcPr>
            <w:tcW w:w="944"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250</w:t>
            </w:r>
          </w:p>
        </w:tc>
        <w:tc>
          <w:tcPr>
            <w:tcW w:w="940"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350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2268"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沉降速度</w:t>
            </w:r>
          </w:p>
        </w:tc>
        <w:tc>
          <w:tcPr>
            <w:tcW w:w="87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0.158</w:t>
            </w:r>
          </w:p>
        </w:tc>
        <w:tc>
          <w:tcPr>
            <w:tcW w:w="874"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0.170</w:t>
            </w:r>
          </w:p>
        </w:tc>
        <w:tc>
          <w:tcPr>
            <w:tcW w:w="87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0.182</w:t>
            </w:r>
          </w:p>
        </w:tc>
        <w:tc>
          <w:tcPr>
            <w:tcW w:w="87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0.239</w:t>
            </w:r>
          </w:p>
        </w:tc>
        <w:tc>
          <w:tcPr>
            <w:tcW w:w="87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0.804</w:t>
            </w:r>
          </w:p>
        </w:tc>
        <w:tc>
          <w:tcPr>
            <w:tcW w:w="944"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1.005</w:t>
            </w:r>
          </w:p>
        </w:tc>
        <w:tc>
          <w:tcPr>
            <w:tcW w:w="940"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1.829</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2268"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粉尘粒径</w:t>
            </w:r>
          </w:p>
        </w:tc>
        <w:tc>
          <w:tcPr>
            <w:tcW w:w="87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450</w:t>
            </w:r>
          </w:p>
        </w:tc>
        <w:tc>
          <w:tcPr>
            <w:tcW w:w="874"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550</w:t>
            </w:r>
          </w:p>
        </w:tc>
        <w:tc>
          <w:tcPr>
            <w:tcW w:w="87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650</w:t>
            </w:r>
          </w:p>
        </w:tc>
        <w:tc>
          <w:tcPr>
            <w:tcW w:w="87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750</w:t>
            </w:r>
          </w:p>
        </w:tc>
        <w:tc>
          <w:tcPr>
            <w:tcW w:w="87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850</w:t>
            </w:r>
          </w:p>
        </w:tc>
        <w:tc>
          <w:tcPr>
            <w:tcW w:w="944"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950</w:t>
            </w:r>
          </w:p>
        </w:tc>
        <w:tc>
          <w:tcPr>
            <w:tcW w:w="940"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1050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Ex>
        <w:trPr>
          <w:trHeight w:val="340" w:hRule="atLeast"/>
          <w:jc w:val="center"/>
        </w:trPr>
        <w:tc>
          <w:tcPr>
            <w:tcW w:w="2268"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沉降速度</w:t>
            </w:r>
          </w:p>
        </w:tc>
        <w:tc>
          <w:tcPr>
            <w:tcW w:w="87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2.211</w:t>
            </w:r>
          </w:p>
        </w:tc>
        <w:tc>
          <w:tcPr>
            <w:tcW w:w="874"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2.614</w:t>
            </w:r>
          </w:p>
        </w:tc>
        <w:tc>
          <w:tcPr>
            <w:tcW w:w="87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3.016</w:t>
            </w:r>
          </w:p>
        </w:tc>
        <w:tc>
          <w:tcPr>
            <w:tcW w:w="876"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3.418</w:t>
            </w:r>
          </w:p>
        </w:tc>
        <w:tc>
          <w:tcPr>
            <w:tcW w:w="875"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3.820</w:t>
            </w:r>
          </w:p>
        </w:tc>
        <w:tc>
          <w:tcPr>
            <w:tcW w:w="944"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4.222</w:t>
            </w:r>
          </w:p>
        </w:tc>
        <w:tc>
          <w:tcPr>
            <w:tcW w:w="940" w:type="dxa"/>
            <w:tcBorders>
              <w:top w:val="single" w:color="auto" w:sz="2" w:space="0"/>
              <w:left w:val="single" w:color="auto" w:sz="2" w:space="0"/>
              <w:bottom w:val="single" w:color="auto" w:sz="2" w:space="0"/>
              <w:right w:val="single" w:color="auto" w:sz="2" w:space="0"/>
            </w:tcBorders>
            <w:vAlign w:val="center"/>
          </w:tcPr>
          <w:p>
            <w:pPr>
              <w:autoSpaceDE w:val="0"/>
              <w:autoSpaceDN w:val="0"/>
              <w:adjustRightInd w:val="0"/>
              <w:ind w:firstLine="0" w:firstLineChars="0"/>
              <w:jc w:val="center"/>
              <w:rPr>
                <w:rFonts w:eastAsiaTheme="minorEastAsia"/>
                <w:color w:val="000000" w:themeColor="text1"/>
                <w:sz w:val="21"/>
                <w:szCs w:val="21"/>
              </w:rPr>
            </w:pPr>
            <w:r>
              <w:rPr>
                <w:rFonts w:eastAsiaTheme="minorEastAsia"/>
                <w:color w:val="000000" w:themeColor="text1"/>
                <w:sz w:val="21"/>
                <w:szCs w:val="21"/>
              </w:rPr>
              <w:t>4.624</w:t>
            </w:r>
          </w:p>
        </w:tc>
      </w:tr>
    </w:tbl>
    <w:p>
      <w:pPr>
        <w:autoSpaceDE w:val="0"/>
        <w:autoSpaceDN w:val="0"/>
        <w:adjustRightInd w:val="0"/>
        <w:ind w:firstLine="480"/>
        <w:rPr>
          <w:rFonts w:eastAsiaTheme="minorEastAsia"/>
          <w:color w:val="000000" w:themeColor="text1"/>
        </w:rPr>
      </w:pPr>
      <w:r>
        <w:rPr>
          <w:rFonts w:eastAsiaTheme="minorEastAsia"/>
          <w:color w:val="000000" w:themeColor="text1"/>
        </w:rPr>
        <w:t>由上表可知，粉尘沉降速度随着粒径的增大而迅速增大。当粒径为60um时沉降速度为1.005m/s，因此，可以认为当尘粒大于60um时，主要影响范围在扬尘点下风向约100m的范围内，而真正对外环境产生影响的是一些微小粒径的颗粒，施工期扬尘对区域大气环境影响轻微。</w:t>
      </w:r>
    </w:p>
    <w:p>
      <w:pPr>
        <w:autoSpaceDE w:val="0"/>
        <w:autoSpaceDN w:val="0"/>
        <w:adjustRightInd w:val="0"/>
        <w:ind w:firstLine="480"/>
        <w:rPr>
          <w:rFonts w:eastAsiaTheme="minorEastAsia"/>
          <w:color w:val="000000" w:themeColor="text1"/>
        </w:rPr>
      </w:pPr>
      <w:r>
        <w:rPr>
          <w:rFonts w:eastAsiaTheme="minorEastAsia"/>
          <w:color w:val="000000" w:themeColor="text1"/>
        </w:rPr>
        <w:t>建设施工单位必须严格控制扬尘产生的降尘抑制措施，主要措施包括：从事建筑垃圾运输的车辆要进行车辆密闭化运输，车厢顶面覆盖等封闭运输措施；施工现场出入口要做到混凝土硬化、配备有高压水枪清洗轮胎及车身的洗车平台，土方开挖工程要实行湿法作业；加大道路的洒水、冲水频次，抑制道路扬尘等。</w:t>
      </w:r>
    </w:p>
    <w:bookmarkEnd w:id="567"/>
    <w:p>
      <w:pPr>
        <w:ind w:firstLine="480"/>
        <w:rPr>
          <w:color w:val="000000" w:themeColor="text1"/>
        </w:rPr>
      </w:pPr>
      <w:bookmarkStart w:id="602" w:name="_Toc283287872"/>
      <w:bookmarkStart w:id="603" w:name="_Toc430953891"/>
      <w:bookmarkStart w:id="604" w:name="_Toc430201400"/>
      <w:bookmarkStart w:id="605" w:name="_Toc421915885"/>
      <w:bookmarkStart w:id="606" w:name="_Toc430953683"/>
      <w:bookmarkStart w:id="607" w:name="_Toc410033854"/>
      <w:bookmarkStart w:id="608" w:name="_Toc450603593"/>
      <w:r>
        <w:rPr>
          <w:color w:val="000000" w:themeColor="text1"/>
        </w:rPr>
        <w:t>根据《玉溪市打嬴蓝天保卫战三年行动计划》及住建部《关于严格执行全市城区房屋建筑施工现场扬尘治理六个百分之百标准的通知》有关要求，建筑单位务必做到以下几点：</w:t>
      </w:r>
    </w:p>
    <w:p>
      <w:pPr>
        <w:ind w:firstLine="480"/>
        <w:rPr>
          <w:color w:val="000000" w:themeColor="text1"/>
        </w:rPr>
      </w:pPr>
      <w:r>
        <w:rPr>
          <w:color w:val="000000" w:themeColor="text1"/>
        </w:rPr>
        <w:t>1）现场封闭管理百分之百</w:t>
      </w:r>
    </w:p>
    <w:p>
      <w:pPr>
        <w:ind w:firstLine="480"/>
        <w:rPr>
          <w:color w:val="000000" w:themeColor="text1"/>
        </w:rPr>
      </w:pPr>
      <w:r>
        <w:rPr>
          <w:color w:val="000000" w:themeColor="text1"/>
        </w:rPr>
        <w:t>施工现场硬质围挡应连续设置，一般路段的工地不低于1.8m，做到坚固、平稳、整洁、美观。在建工程外立面应用安全网实现全封闭围护。</w:t>
      </w:r>
    </w:p>
    <w:p>
      <w:pPr>
        <w:ind w:firstLine="480"/>
        <w:rPr>
          <w:color w:val="000000" w:themeColor="text1"/>
        </w:rPr>
      </w:pPr>
      <w:r>
        <w:rPr>
          <w:color w:val="000000" w:themeColor="text1"/>
        </w:rPr>
        <w:t>2）场区道路硬化百分之百</w:t>
      </w:r>
    </w:p>
    <w:p>
      <w:pPr>
        <w:ind w:firstLine="480"/>
        <w:rPr>
          <w:color w:val="000000" w:themeColor="text1"/>
        </w:rPr>
      </w:pPr>
      <w:r>
        <w:rPr>
          <w:color w:val="000000" w:themeColor="text1"/>
        </w:rPr>
        <w:t>主要通道、进出道路、材料加工区及办公生活区地面进行硬化处理。</w:t>
      </w:r>
    </w:p>
    <w:p>
      <w:pPr>
        <w:ind w:firstLine="480"/>
        <w:rPr>
          <w:color w:val="000000" w:themeColor="text1"/>
        </w:rPr>
      </w:pPr>
      <w:r>
        <w:rPr>
          <w:color w:val="000000" w:themeColor="text1"/>
        </w:rPr>
        <w:t>3）渣土物料蓬盖百分之百</w:t>
      </w:r>
    </w:p>
    <w:p>
      <w:pPr>
        <w:ind w:firstLine="480"/>
        <w:rPr>
          <w:color w:val="000000" w:themeColor="text1"/>
        </w:rPr>
      </w:pPr>
      <w:r>
        <w:rPr>
          <w:color w:val="000000" w:themeColor="text1"/>
        </w:rPr>
        <w:t>施工现场内裸露的场地和集中堆放的土方应采取覆盖、固化或绿化等防尘措施。易产生扬尘的物料要篷盖。</w:t>
      </w:r>
    </w:p>
    <w:p>
      <w:pPr>
        <w:ind w:firstLine="480"/>
        <w:rPr>
          <w:color w:val="000000" w:themeColor="text1"/>
        </w:rPr>
      </w:pPr>
      <w:r>
        <w:rPr>
          <w:color w:val="000000" w:themeColor="text1"/>
        </w:rPr>
        <w:t>4）洒水清扫保洁百分之百</w:t>
      </w:r>
    </w:p>
    <w:p>
      <w:pPr>
        <w:ind w:firstLine="480"/>
        <w:rPr>
          <w:color w:val="000000" w:themeColor="text1"/>
        </w:rPr>
      </w:pPr>
      <w:r>
        <w:rPr>
          <w:color w:val="000000" w:themeColor="text1"/>
        </w:rPr>
        <w:t>施工现场设专人负责卫生保洁，每天上午、下午各进行二次洒水降尘，遇到干旱和大风天气时，应增加洒水降尘次数，确保无浮土扬尘。开挖、回填等土方作业时，要辅以洒水压尘等措施。工程竣工后，施工现场的临设、围挡、垃圾等必须及时清理完毕，清理时必须采取有效的降尘措施。</w:t>
      </w:r>
    </w:p>
    <w:p>
      <w:pPr>
        <w:ind w:firstLine="480"/>
        <w:rPr>
          <w:color w:val="000000" w:themeColor="text1"/>
        </w:rPr>
      </w:pPr>
      <w:r>
        <w:rPr>
          <w:color w:val="000000" w:themeColor="text1"/>
        </w:rPr>
        <w:t>5）物料密闭运输百分之百</w:t>
      </w:r>
    </w:p>
    <w:p>
      <w:pPr>
        <w:ind w:firstLine="480"/>
        <w:rPr>
          <w:color w:val="000000" w:themeColor="text1"/>
        </w:rPr>
      </w:pPr>
      <w:r>
        <w:rPr>
          <w:color w:val="000000" w:themeColor="text1"/>
        </w:rPr>
        <w:t>易产生扬尘的建筑材料、渣土应采取密闭搬运、存储或采用防尘布苫盖等防尘措施。严禁熔融沥青、焚烧垃圾等有毒有害物质。建筑物内施工垃圾清运，应采用器具或管道运输，严禁凌空抛掷。生活垃圾应存放在密封式垃圾站，并及时清运出场。同时，禁止无牌无证车辆进入施工现场。</w:t>
      </w:r>
    </w:p>
    <w:p>
      <w:pPr>
        <w:ind w:firstLine="480"/>
        <w:rPr>
          <w:color w:val="000000" w:themeColor="text1"/>
        </w:rPr>
      </w:pPr>
      <w:r>
        <w:rPr>
          <w:color w:val="000000" w:themeColor="text1"/>
        </w:rPr>
        <w:t>6）出入车辆清洗百分之百。</w:t>
      </w:r>
    </w:p>
    <w:p>
      <w:pPr>
        <w:ind w:firstLine="480"/>
        <w:rPr>
          <w:color w:val="000000" w:themeColor="text1"/>
        </w:rPr>
      </w:pPr>
      <w:r>
        <w:rPr>
          <w:color w:val="000000" w:themeColor="text1"/>
        </w:rPr>
        <w:t>施工现场出入口处设置自动车辆冲洗装置和沉淀池，运输车辆底盘和车轮冲洗干净后方可驶离施工现场。</w:t>
      </w:r>
    </w:p>
    <w:p>
      <w:pPr>
        <w:ind w:firstLine="480"/>
        <w:rPr>
          <w:rFonts w:eastAsiaTheme="minorEastAsia"/>
          <w:color w:val="000000" w:themeColor="text1"/>
          <w:sz w:val="28"/>
          <w:szCs w:val="28"/>
        </w:rPr>
      </w:pPr>
      <w:r>
        <w:rPr>
          <w:color w:val="000000" w:themeColor="text1"/>
        </w:rPr>
        <w:t>施工期工人均来自附近的村庄，不在厂区内食宿，不产生油烟。</w:t>
      </w:r>
    </w:p>
    <w:p>
      <w:pPr>
        <w:pStyle w:val="6"/>
        <w:spacing w:beforeLines="0" w:afterLines="0"/>
        <w:rPr>
          <w:rFonts w:eastAsiaTheme="minorEastAsia"/>
          <w:color w:val="000000" w:themeColor="text1"/>
          <w:sz w:val="28"/>
          <w:szCs w:val="28"/>
        </w:rPr>
      </w:pPr>
      <w:bookmarkStart w:id="609" w:name="_Toc32044"/>
      <w:r>
        <w:rPr>
          <w:rFonts w:eastAsiaTheme="minorEastAsia"/>
          <w:color w:val="000000" w:themeColor="text1"/>
          <w:sz w:val="28"/>
          <w:szCs w:val="28"/>
        </w:rPr>
        <w:t>6.1.2施工期地表水环境影响分析</w:t>
      </w:r>
      <w:bookmarkEnd w:id="602"/>
      <w:bookmarkEnd w:id="603"/>
      <w:bookmarkEnd w:id="604"/>
      <w:bookmarkEnd w:id="605"/>
      <w:bookmarkEnd w:id="606"/>
      <w:bookmarkEnd w:id="607"/>
      <w:bookmarkEnd w:id="608"/>
      <w:bookmarkEnd w:id="609"/>
    </w:p>
    <w:p>
      <w:pPr>
        <w:ind w:firstLine="480"/>
        <w:rPr>
          <w:rFonts w:eastAsiaTheme="minorEastAsia"/>
          <w:color w:val="000000" w:themeColor="text1"/>
          <w:sz w:val="28"/>
          <w:szCs w:val="28"/>
        </w:rPr>
      </w:pPr>
      <w:bookmarkStart w:id="610" w:name="_Toc450603594"/>
      <w:r>
        <w:rPr>
          <w:rFonts w:eastAsiaTheme="minorEastAsia"/>
          <w:color w:val="000000" w:themeColor="text1"/>
        </w:rPr>
        <w:t>施工期废水主要为施工人员生活污水、施工废水和场地降雨冲刷水。</w:t>
      </w:r>
    </w:p>
    <w:p>
      <w:pPr>
        <w:autoSpaceDE w:val="0"/>
        <w:autoSpaceDN w:val="0"/>
        <w:adjustRightInd w:val="0"/>
        <w:ind w:firstLine="482"/>
        <w:rPr>
          <w:rFonts w:eastAsiaTheme="minorEastAsia"/>
          <w:b/>
          <w:color w:val="000000" w:themeColor="text1"/>
        </w:rPr>
      </w:pPr>
      <w:r>
        <w:rPr>
          <w:rFonts w:eastAsiaTheme="minorEastAsia"/>
          <w:b/>
          <w:color w:val="000000" w:themeColor="text1"/>
        </w:rPr>
        <w:t>1、施工生活污水影响分析</w:t>
      </w:r>
      <w:bookmarkEnd w:id="610"/>
    </w:p>
    <w:p>
      <w:pPr>
        <w:autoSpaceDE w:val="0"/>
        <w:autoSpaceDN w:val="0"/>
        <w:adjustRightInd w:val="0"/>
        <w:ind w:firstLine="480"/>
        <w:rPr>
          <w:rFonts w:eastAsiaTheme="minorEastAsia"/>
          <w:color w:val="000000" w:themeColor="text1"/>
        </w:rPr>
      </w:pPr>
      <w:r>
        <w:rPr>
          <w:rFonts w:eastAsiaTheme="minorEastAsia"/>
          <w:color w:val="000000" w:themeColor="text1"/>
        </w:rPr>
        <w:t>施工期生活污水主要是工人日常生活排放的，主要污染物为COD、BOD</w:t>
      </w:r>
      <w:r>
        <w:rPr>
          <w:rFonts w:eastAsiaTheme="minorEastAsia"/>
          <w:color w:val="000000" w:themeColor="text1"/>
          <w:vertAlign w:val="subscript"/>
        </w:rPr>
        <w:t>5</w:t>
      </w:r>
      <w:r>
        <w:rPr>
          <w:rFonts w:eastAsiaTheme="minorEastAsia"/>
          <w:color w:val="000000" w:themeColor="text1"/>
        </w:rPr>
        <w:t>、SS和氨氮，由工程分析可知，生活污水产生量为0.48m</w:t>
      </w:r>
      <w:r>
        <w:rPr>
          <w:rFonts w:eastAsiaTheme="minorEastAsia"/>
          <w:color w:val="000000" w:themeColor="text1"/>
          <w:vertAlign w:val="superscript"/>
        </w:rPr>
        <w:t>3</w:t>
      </w:r>
      <w:r>
        <w:rPr>
          <w:rFonts w:eastAsiaTheme="minorEastAsia"/>
          <w:color w:val="000000" w:themeColor="text1"/>
        </w:rPr>
        <w:t>/d（44.16m</w:t>
      </w:r>
      <w:r>
        <w:rPr>
          <w:rFonts w:eastAsiaTheme="minorEastAsia"/>
          <w:color w:val="000000" w:themeColor="text1"/>
          <w:vertAlign w:val="superscript"/>
        </w:rPr>
        <w:t>3</w:t>
      </w:r>
      <w:r>
        <w:rPr>
          <w:rFonts w:eastAsiaTheme="minorEastAsia"/>
          <w:color w:val="000000" w:themeColor="text1"/>
        </w:rPr>
        <w:t>）。施工期生活污水依托原有项目化粪池处理，</w:t>
      </w:r>
      <w:r>
        <w:rPr>
          <w:rFonts w:hint="eastAsia" w:eastAsiaTheme="minorEastAsia"/>
          <w:color w:val="000000" w:themeColor="text1"/>
        </w:rPr>
        <w:t xml:space="preserve">定期委托周边农民清掏 </w:t>
      </w:r>
      <w:r>
        <w:rPr>
          <w:rFonts w:eastAsiaTheme="minorEastAsia"/>
          <w:color w:val="000000" w:themeColor="text1"/>
        </w:rPr>
        <w:t>。</w:t>
      </w:r>
    </w:p>
    <w:p>
      <w:pPr>
        <w:autoSpaceDE w:val="0"/>
        <w:autoSpaceDN w:val="0"/>
        <w:adjustRightInd w:val="0"/>
        <w:ind w:firstLine="482"/>
        <w:rPr>
          <w:rFonts w:eastAsiaTheme="minorEastAsia"/>
          <w:b/>
          <w:color w:val="000000" w:themeColor="text1"/>
        </w:rPr>
      </w:pPr>
      <w:bookmarkStart w:id="611" w:name="_Toc450603595"/>
      <w:r>
        <w:rPr>
          <w:rFonts w:eastAsiaTheme="minorEastAsia"/>
          <w:b/>
          <w:color w:val="000000" w:themeColor="text1"/>
        </w:rPr>
        <w:t>2、施工废水影响分析</w:t>
      </w:r>
      <w:bookmarkEnd w:id="611"/>
    </w:p>
    <w:p>
      <w:pPr>
        <w:autoSpaceDE w:val="0"/>
        <w:autoSpaceDN w:val="0"/>
        <w:adjustRightInd w:val="0"/>
        <w:ind w:firstLine="480"/>
        <w:rPr>
          <w:rFonts w:eastAsiaTheme="minorEastAsia"/>
          <w:color w:val="000000" w:themeColor="text1"/>
        </w:rPr>
      </w:pPr>
      <w:r>
        <w:rPr>
          <w:rFonts w:eastAsiaTheme="minorEastAsia"/>
          <w:color w:val="000000" w:themeColor="text1"/>
        </w:rPr>
        <w:t>施工废水主要为混凝土养护废水、工具清洗废水等。废水中所含污染物主要为SS，浓度约为300mg/L左右。设置施工废水沉淀池1个（2m</w:t>
      </w:r>
      <w:r>
        <w:rPr>
          <w:rFonts w:eastAsiaTheme="minorEastAsia"/>
          <w:color w:val="000000" w:themeColor="text1"/>
          <w:vertAlign w:val="superscript"/>
        </w:rPr>
        <w:t>3</w:t>
      </w:r>
      <w:r>
        <w:rPr>
          <w:rFonts w:eastAsiaTheme="minorEastAsia"/>
          <w:color w:val="000000" w:themeColor="text1"/>
        </w:rPr>
        <w:t>），大大降低废水中SS的含量，经沉淀后循环使用，不外排。</w:t>
      </w:r>
    </w:p>
    <w:p>
      <w:pPr>
        <w:ind w:firstLine="482"/>
        <w:rPr>
          <w:rFonts w:eastAsiaTheme="minorEastAsia"/>
          <w:b/>
          <w:color w:val="000000" w:themeColor="text1"/>
        </w:rPr>
      </w:pPr>
      <w:r>
        <w:rPr>
          <w:rFonts w:hint="eastAsia" w:eastAsiaTheme="minorEastAsia"/>
          <w:b/>
          <w:color w:val="000000" w:themeColor="text1"/>
        </w:rPr>
        <w:t>3、雨天降雨冲刷水</w:t>
      </w:r>
    </w:p>
    <w:p>
      <w:pPr>
        <w:ind w:firstLine="480"/>
        <w:rPr>
          <w:rFonts w:eastAsiaTheme="minorEastAsia"/>
          <w:bCs/>
          <w:color w:val="000000" w:themeColor="text1"/>
        </w:rPr>
      </w:pPr>
      <w:r>
        <w:rPr>
          <w:rFonts w:hint="eastAsia" w:eastAsiaTheme="minorEastAsia"/>
          <w:bCs/>
          <w:color w:val="000000" w:themeColor="text1"/>
        </w:rPr>
        <w:t>施工期间，施工场地雨天降雨冲刷水主要污染物为SS，通过设置沉淀池沉淀处理后用于晴天场地洒水降尘，用不完的通过沉淀后外排。</w:t>
      </w:r>
    </w:p>
    <w:p>
      <w:pPr>
        <w:autoSpaceDE w:val="0"/>
        <w:autoSpaceDN w:val="0"/>
        <w:adjustRightInd w:val="0"/>
        <w:ind w:firstLine="482"/>
        <w:rPr>
          <w:rFonts w:eastAsiaTheme="minorEastAsia"/>
          <w:b/>
          <w:color w:val="000000" w:themeColor="text1"/>
        </w:rPr>
      </w:pPr>
    </w:p>
    <w:p>
      <w:pPr>
        <w:autoSpaceDE w:val="0"/>
        <w:autoSpaceDN w:val="0"/>
        <w:adjustRightInd w:val="0"/>
        <w:ind w:firstLine="482"/>
        <w:rPr>
          <w:rFonts w:eastAsiaTheme="minorEastAsia"/>
          <w:b/>
          <w:color w:val="000000" w:themeColor="text1"/>
        </w:rPr>
      </w:pPr>
      <w:r>
        <w:rPr>
          <w:rFonts w:hint="eastAsia" w:eastAsiaTheme="minorEastAsia"/>
          <w:b/>
          <w:color w:val="000000" w:themeColor="text1"/>
        </w:rPr>
        <w:t>4</w:t>
      </w:r>
      <w:r>
        <w:rPr>
          <w:rFonts w:eastAsiaTheme="minorEastAsia"/>
          <w:b/>
          <w:color w:val="000000" w:themeColor="text1"/>
        </w:rPr>
        <w:t>、</w:t>
      </w:r>
      <w:r>
        <w:rPr>
          <w:rFonts w:eastAsiaTheme="minorEastAsia"/>
          <w:b/>
          <w:bCs/>
          <w:color w:val="000000" w:themeColor="text1"/>
        </w:rPr>
        <w:t>拟采取的废水处理措施</w:t>
      </w:r>
    </w:p>
    <w:p>
      <w:pPr>
        <w:autoSpaceDE w:val="0"/>
        <w:autoSpaceDN w:val="0"/>
        <w:adjustRightInd w:val="0"/>
        <w:ind w:firstLine="480"/>
        <w:rPr>
          <w:rFonts w:eastAsiaTheme="minorEastAsia"/>
          <w:color w:val="000000" w:themeColor="text1"/>
        </w:rPr>
      </w:pPr>
      <w:r>
        <w:rPr>
          <w:rFonts w:eastAsiaTheme="minorEastAsia"/>
          <w:color w:val="000000" w:themeColor="text1"/>
        </w:rPr>
        <w:t>施工废水经沉淀池1个（2m</w:t>
      </w:r>
      <w:r>
        <w:rPr>
          <w:rFonts w:eastAsiaTheme="minorEastAsia"/>
          <w:color w:val="000000" w:themeColor="text1"/>
          <w:vertAlign w:val="superscript"/>
        </w:rPr>
        <w:t>3</w:t>
      </w:r>
      <w:r>
        <w:rPr>
          <w:rFonts w:eastAsiaTheme="minorEastAsia"/>
          <w:color w:val="000000" w:themeColor="text1"/>
        </w:rPr>
        <w:t>）处理后回用于施工，不外排。施工人员生活污水依托原有项目化粪池处理后</w:t>
      </w:r>
      <w:r>
        <w:rPr>
          <w:rFonts w:hint="eastAsia" w:eastAsiaTheme="minorEastAsia"/>
          <w:color w:val="000000" w:themeColor="text1"/>
        </w:rPr>
        <w:t>定期委托周边农民清掏</w:t>
      </w:r>
      <w:r>
        <w:rPr>
          <w:rFonts w:eastAsiaTheme="minorEastAsia"/>
          <w:color w:val="000000" w:themeColor="text1"/>
        </w:rPr>
        <w:t>，不外排。</w:t>
      </w:r>
    </w:p>
    <w:p>
      <w:pPr>
        <w:autoSpaceDE w:val="0"/>
        <w:autoSpaceDN w:val="0"/>
        <w:adjustRightInd w:val="0"/>
        <w:ind w:firstLine="482"/>
        <w:rPr>
          <w:rFonts w:eastAsiaTheme="minorEastAsia"/>
          <w:b/>
          <w:color w:val="000000" w:themeColor="text1"/>
        </w:rPr>
      </w:pPr>
      <w:r>
        <w:rPr>
          <w:rFonts w:hint="eastAsia" w:eastAsiaTheme="minorEastAsia"/>
          <w:b/>
          <w:color w:val="000000" w:themeColor="text1"/>
        </w:rPr>
        <w:t>5</w:t>
      </w:r>
      <w:r>
        <w:rPr>
          <w:rFonts w:eastAsiaTheme="minorEastAsia"/>
          <w:b/>
          <w:color w:val="000000" w:themeColor="text1"/>
        </w:rPr>
        <w:t>、</w:t>
      </w:r>
      <w:r>
        <w:rPr>
          <w:rFonts w:eastAsiaTheme="minorEastAsia"/>
          <w:b/>
          <w:bCs/>
          <w:color w:val="000000" w:themeColor="text1"/>
        </w:rPr>
        <w:t>废水处理措施的可行性分析</w:t>
      </w:r>
    </w:p>
    <w:p>
      <w:pPr>
        <w:autoSpaceDE w:val="0"/>
        <w:autoSpaceDN w:val="0"/>
        <w:adjustRightInd w:val="0"/>
        <w:ind w:firstLine="480"/>
        <w:rPr>
          <w:rFonts w:eastAsiaTheme="minorEastAsia"/>
          <w:color w:val="000000" w:themeColor="text1"/>
        </w:rPr>
      </w:pPr>
      <w:r>
        <w:rPr>
          <w:rFonts w:eastAsiaTheme="minorEastAsia"/>
          <w:color w:val="000000" w:themeColor="text1"/>
        </w:rPr>
        <w:t>施工废水产生于建筑施工、设备清洗等环节，主要污染物为SS。项目雨天不进行施工，施工废水经收集池收集沉淀后，可降低施工废水中的SS浓度。由于建筑施工及洒水降尘对水质的要求不高，因此将施工废水回用于施工及场地洒水降尘是可行的。</w:t>
      </w:r>
    </w:p>
    <w:p>
      <w:pPr>
        <w:autoSpaceDE w:val="0"/>
        <w:autoSpaceDN w:val="0"/>
        <w:adjustRightInd w:val="0"/>
        <w:ind w:firstLine="482"/>
        <w:rPr>
          <w:rFonts w:eastAsiaTheme="minorEastAsia"/>
          <w:b/>
          <w:color w:val="000000" w:themeColor="text1"/>
        </w:rPr>
      </w:pPr>
      <w:r>
        <w:rPr>
          <w:rFonts w:hint="eastAsia" w:eastAsiaTheme="minorEastAsia"/>
          <w:b/>
          <w:color w:val="000000" w:themeColor="text1"/>
        </w:rPr>
        <w:t>6</w:t>
      </w:r>
      <w:r>
        <w:rPr>
          <w:rFonts w:eastAsiaTheme="minorEastAsia"/>
          <w:b/>
          <w:color w:val="000000" w:themeColor="text1"/>
        </w:rPr>
        <w:t>、结论</w:t>
      </w:r>
    </w:p>
    <w:p>
      <w:pPr>
        <w:autoSpaceDE w:val="0"/>
        <w:autoSpaceDN w:val="0"/>
        <w:adjustRightInd w:val="0"/>
        <w:ind w:firstLine="480"/>
        <w:rPr>
          <w:rFonts w:eastAsiaTheme="minorEastAsia"/>
          <w:color w:val="000000" w:themeColor="text1"/>
        </w:rPr>
      </w:pPr>
      <w:r>
        <w:rPr>
          <w:rFonts w:eastAsiaTheme="minorEastAsia"/>
          <w:color w:val="000000" w:themeColor="text1"/>
        </w:rPr>
        <w:t>施工期产生的生产废水经收集池收集后回用于施工及场地洒水降尘，不外排；</w:t>
      </w:r>
      <w:r>
        <w:rPr>
          <w:rFonts w:hint="eastAsia" w:eastAsiaTheme="minorEastAsia"/>
          <w:color w:val="000000" w:themeColor="text1"/>
        </w:rPr>
        <w:t>雨天降雨冲刷水</w:t>
      </w:r>
      <w:r>
        <w:rPr>
          <w:rFonts w:hint="eastAsia" w:eastAsiaTheme="minorEastAsia"/>
          <w:bCs/>
          <w:color w:val="000000" w:themeColor="text1"/>
        </w:rPr>
        <w:t>通过设置沉淀池沉淀处理后用于晴天场地洒水降尘，用不完的通过沉淀后外排，</w:t>
      </w:r>
      <w:r>
        <w:rPr>
          <w:rFonts w:eastAsiaTheme="minorEastAsia"/>
          <w:color w:val="000000" w:themeColor="text1"/>
        </w:rPr>
        <w:t>生活污水依托原有项目化粪池处理后</w:t>
      </w:r>
      <w:r>
        <w:rPr>
          <w:rFonts w:hint="eastAsia" w:eastAsiaTheme="minorEastAsia"/>
          <w:color w:val="000000" w:themeColor="text1"/>
        </w:rPr>
        <w:t>定期委托周边农民清掏</w:t>
      </w:r>
      <w:r>
        <w:rPr>
          <w:rFonts w:eastAsiaTheme="minorEastAsia"/>
          <w:color w:val="000000" w:themeColor="text1"/>
        </w:rPr>
        <w:t>，不外排。不会对地表水环境产生影响。</w:t>
      </w:r>
    </w:p>
    <w:p>
      <w:pPr>
        <w:pStyle w:val="6"/>
        <w:spacing w:beforeLines="0" w:afterLines="0"/>
        <w:rPr>
          <w:rFonts w:eastAsiaTheme="minorEastAsia"/>
          <w:color w:val="000000" w:themeColor="text1"/>
          <w:sz w:val="28"/>
          <w:szCs w:val="28"/>
        </w:rPr>
      </w:pPr>
      <w:bookmarkStart w:id="612" w:name="_Toc430201401"/>
      <w:bookmarkStart w:id="613" w:name="_Toc421915886"/>
      <w:bookmarkStart w:id="614" w:name="_Toc283287873"/>
      <w:bookmarkStart w:id="615" w:name="_Toc430953892"/>
      <w:bookmarkStart w:id="616" w:name="_Toc430953684"/>
      <w:bookmarkStart w:id="617" w:name="_Toc15929"/>
      <w:bookmarkStart w:id="618" w:name="_Toc410033855"/>
      <w:bookmarkStart w:id="619" w:name="_Toc450603598"/>
      <w:r>
        <w:rPr>
          <w:rFonts w:eastAsiaTheme="minorEastAsia"/>
          <w:color w:val="000000" w:themeColor="text1"/>
          <w:sz w:val="28"/>
          <w:szCs w:val="28"/>
        </w:rPr>
        <w:t>6.1.3施工期声环境影响预测与评价</w:t>
      </w:r>
      <w:bookmarkEnd w:id="612"/>
      <w:bookmarkEnd w:id="613"/>
      <w:bookmarkEnd w:id="614"/>
      <w:bookmarkEnd w:id="615"/>
      <w:bookmarkEnd w:id="616"/>
      <w:bookmarkEnd w:id="617"/>
      <w:bookmarkEnd w:id="618"/>
      <w:bookmarkEnd w:id="619"/>
    </w:p>
    <w:p>
      <w:pPr>
        <w:autoSpaceDE w:val="0"/>
        <w:autoSpaceDN w:val="0"/>
        <w:adjustRightInd w:val="0"/>
        <w:ind w:firstLine="482"/>
        <w:rPr>
          <w:rFonts w:eastAsiaTheme="minorEastAsia"/>
          <w:b/>
          <w:color w:val="000000" w:themeColor="text1"/>
        </w:rPr>
      </w:pPr>
      <w:bookmarkStart w:id="620" w:name="_Toc424738948"/>
      <w:r>
        <w:rPr>
          <w:rFonts w:eastAsiaTheme="minorEastAsia"/>
          <w:b/>
          <w:color w:val="000000" w:themeColor="text1"/>
        </w:rPr>
        <w:t>1、噪声源及源强</w:t>
      </w:r>
      <w:bookmarkEnd w:id="620"/>
    </w:p>
    <w:p>
      <w:pPr>
        <w:autoSpaceDE w:val="0"/>
        <w:autoSpaceDN w:val="0"/>
        <w:adjustRightInd w:val="0"/>
        <w:ind w:firstLine="480"/>
        <w:rPr>
          <w:rFonts w:eastAsiaTheme="minorEastAsia"/>
          <w:color w:val="000000" w:themeColor="text1"/>
        </w:rPr>
      </w:pPr>
      <w:r>
        <w:rPr>
          <w:rFonts w:eastAsiaTheme="minorEastAsia"/>
          <w:bCs/>
          <w:color w:val="000000" w:themeColor="text1"/>
        </w:rPr>
        <w:t>本项目施工中的噪声源主要是各种工程施工机械，距这些机械1m处的声级测值详见表4.</w:t>
      </w:r>
      <w:r>
        <w:rPr>
          <w:rFonts w:hint="eastAsia" w:eastAsiaTheme="minorEastAsia"/>
          <w:bCs/>
          <w:color w:val="000000" w:themeColor="text1"/>
        </w:rPr>
        <w:t>4</w:t>
      </w:r>
      <w:r>
        <w:rPr>
          <w:rFonts w:eastAsiaTheme="minorEastAsia"/>
          <w:bCs/>
          <w:color w:val="000000" w:themeColor="text1"/>
        </w:rPr>
        <w:t>-1。</w:t>
      </w:r>
    </w:p>
    <w:p>
      <w:pPr>
        <w:autoSpaceDE w:val="0"/>
        <w:autoSpaceDN w:val="0"/>
        <w:adjustRightInd w:val="0"/>
        <w:ind w:firstLine="482"/>
        <w:rPr>
          <w:rFonts w:eastAsiaTheme="minorEastAsia"/>
          <w:b/>
          <w:color w:val="000000" w:themeColor="text1"/>
        </w:rPr>
      </w:pPr>
      <w:bookmarkStart w:id="621" w:name="_Toc424738949"/>
      <w:r>
        <w:rPr>
          <w:rFonts w:eastAsiaTheme="minorEastAsia"/>
          <w:b/>
          <w:color w:val="000000" w:themeColor="text1"/>
        </w:rPr>
        <w:t>2、施工机械噪声衰减预测</w:t>
      </w:r>
      <w:bookmarkEnd w:id="621"/>
    </w:p>
    <w:p>
      <w:pPr>
        <w:autoSpaceDE w:val="0"/>
        <w:autoSpaceDN w:val="0"/>
        <w:adjustRightInd w:val="0"/>
        <w:ind w:firstLine="480"/>
        <w:rPr>
          <w:rFonts w:eastAsiaTheme="minorEastAsia"/>
          <w:color w:val="000000" w:themeColor="text1"/>
        </w:rPr>
      </w:pPr>
      <w:r>
        <w:rPr>
          <w:rFonts w:eastAsiaTheme="minorEastAsia"/>
          <w:color w:val="000000" w:themeColor="text1"/>
        </w:rPr>
        <w:t>采用点源衰减模式，预测只计算声源至受声点的几何发散衰减，不考虑声屏障、空气吸收等衰减，预测公式如下：</w:t>
      </w:r>
    </w:p>
    <w:p>
      <w:pPr>
        <w:ind w:firstLine="480"/>
        <w:rPr>
          <w:rFonts w:eastAsiaTheme="minorEastAsia"/>
          <w:color w:val="000000" w:themeColor="text1"/>
        </w:rPr>
      </w:pPr>
      <w:r>
        <w:rPr>
          <w:rFonts w:eastAsiaTheme="minorEastAsia"/>
          <w:color w:val="000000" w:themeColor="text1"/>
        </w:rPr>
        <w:drawing>
          <wp:inline distT="0" distB="0" distL="0" distR="0">
            <wp:extent cx="2962275" cy="314325"/>
            <wp:effectExtent l="0" t="0" r="9525" b="9525"/>
            <wp:docPr id="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2962275" cy="314325"/>
                    </a:xfrm>
                    <a:prstGeom prst="rect">
                      <a:avLst/>
                    </a:prstGeom>
                    <a:noFill/>
                    <a:ln>
                      <a:noFill/>
                    </a:ln>
                  </pic:spPr>
                </pic:pic>
              </a:graphicData>
            </a:graphic>
          </wp:inline>
        </w:drawing>
      </w:r>
    </w:p>
    <w:p>
      <w:pPr>
        <w:autoSpaceDE w:val="0"/>
        <w:autoSpaceDN w:val="0"/>
        <w:adjustRightInd w:val="0"/>
        <w:ind w:firstLine="480"/>
        <w:rPr>
          <w:rFonts w:eastAsiaTheme="minorEastAsia"/>
          <w:color w:val="000000" w:themeColor="text1"/>
        </w:rPr>
      </w:pPr>
      <w:r>
        <w:rPr>
          <w:rFonts w:eastAsiaTheme="minorEastAsia"/>
          <w:color w:val="000000" w:themeColor="text1"/>
        </w:rPr>
        <w:t>式中：Lr—距声源r处的A声压级，dB(A)；</w:t>
      </w:r>
    </w:p>
    <w:p>
      <w:pPr>
        <w:autoSpaceDE w:val="0"/>
        <w:autoSpaceDN w:val="0"/>
        <w:adjustRightInd w:val="0"/>
        <w:ind w:firstLine="1200" w:firstLineChars="500"/>
        <w:rPr>
          <w:rFonts w:eastAsiaTheme="minorEastAsia"/>
          <w:color w:val="000000" w:themeColor="text1"/>
        </w:rPr>
      </w:pPr>
      <w:r>
        <w:rPr>
          <w:rFonts w:eastAsiaTheme="minorEastAsia"/>
          <w:color w:val="000000" w:themeColor="text1"/>
        </w:rPr>
        <w:t>Lr</w:t>
      </w:r>
      <w:r>
        <w:rPr>
          <w:rFonts w:eastAsiaTheme="minorEastAsia"/>
          <w:color w:val="000000" w:themeColor="text1"/>
          <w:vertAlign w:val="subscript"/>
        </w:rPr>
        <w:t>0</w:t>
      </w:r>
      <w:r>
        <w:rPr>
          <w:rFonts w:eastAsiaTheme="minorEastAsia"/>
          <w:color w:val="000000" w:themeColor="text1"/>
        </w:rPr>
        <w:t>—距声源r</w:t>
      </w:r>
      <w:r>
        <w:rPr>
          <w:rFonts w:eastAsiaTheme="minorEastAsia"/>
          <w:color w:val="000000" w:themeColor="text1"/>
          <w:vertAlign w:val="subscript"/>
        </w:rPr>
        <w:t>0</w:t>
      </w:r>
      <w:r>
        <w:rPr>
          <w:rFonts w:eastAsiaTheme="minorEastAsia"/>
          <w:color w:val="000000" w:themeColor="text1"/>
        </w:rPr>
        <w:t>处的A声压级，dB(A)；</w:t>
      </w:r>
    </w:p>
    <w:p>
      <w:pPr>
        <w:autoSpaceDE w:val="0"/>
        <w:autoSpaceDN w:val="0"/>
        <w:adjustRightInd w:val="0"/>
        <w:ind w:firstLine="1200" w:firstLineChars="500"/>
        <w:rPr>
          <w:rFonts w:eastAsiaTheme="minorEastAsia"/>
          <w:color w:val="000000" w:themeColor="text1"/>
        </w:rPr>
      </w:pPr>
      <w:r>
        <w:rPr>
          <w:rFonts w:eastAsiaTheme="minorEastAsia"/>
          <w:color w:val="000000" w:themeColor="text1"/>
        </w:rPr>
        <w:t>r—预测点与声源的距离，m；</w:t>
      </w:r>
    </w:p>
    <w:p>
      <w:pPr>
        <w:autoSpaceDE w:val="0"/>
        <w:autoSpaceDN w:val="0"/>
        <w:adjustRightInd w:val="0"/>
        <w:ind w:firstLine="1200" w:firstLineChars="500"/>
        <w:rPr>
          <w:rFonts w:eastAsiaTheme="minorEastAsia"/>
          <w:color w:val="000000" w:themeColor="text1"/>
        </w:rPr>
      </w:pPr>
      <w:r>
        <w:rPr>
          <w:rFonts w:eastAsiaTheme="minorEastAsia"/>
          <w:color w:val="000000" w:themeColor="text1"/>
        </w:rPr>
        <w:t>r</w:t>
      </w:r>
      <w:r>
        <w:rPr>
          <w:rFonts w:eastAsiaTheme="minorEastAsia"/>
          <w:color w:val="000000" w:themeColor="text1"/>
          <w:vertAlign w:val="subscript"/>
        </w:rPr>
        <w:t>0</w:t>
      </w:r>
      <w:r>
        <w:rPr>
          <w:rFonts w:eastAsiaTheme="minorEastAsia"/>
          <w:color w:val="000000" w:themeColor="text1"/>
        </w:rPr>
        <w:t>—监测设备噪声时的距离，m。</w:t>
      </w:r>
    </w:p>
    <w:p>
      <w:pPr>
        <w:autoSpaceDE w:val="0"/>
        <w:autoSpaceDN w:val="0"/>
        <w:adjustRightInd w:val="0"/>
        <w:ind w:firstLine="480"/>
        <w:rPr>
          <w:rFonts w:eastAsiaTheme="minorEastAsia"/>
          <w:color w:val="000000" w:themeColor="text1"/>
        </w:rPr>
      </w:pPr>
      <w:r>
        <w:rPr>
          <w:rFonts w:eastAsiaTheme="minorEastAsia"/>
          <w:color w:val="000000" w:themeColor="text1"/>
        </w:rPr>
        <w:t>同时，各受声点的声源叠加按下列公式计算：</w:t>
      </w:r>
    </w:p>
    <w:p>
      <w:pPr>
        <w:ind w:firstLine="480"/>
        <w:rPr>
          <w:rFonts w:eastAsiaTheme="minorEastAsia"/>
          <w:color w:val="000000" w:themeColor="text1"/>
        </w:rPr>
      </w:pPr>
      <w:r>
        <w:rPr>
          <w:rFonts w:eastAsiaTheme="minorEastAsia"/>
          <w:color w:val="000000" w:themeColor="text1"/>
        </w:rPr>
        <w:drawing>
          <wp:inline distT="0" distB="0" distL="0" distR="0">
            <wp:extent cx="2838450" cy="504825"/>
            <wp:effectExtent l="0" t="0" r="0" b="9525"/>
            <wp:docPr id="14" name="图片 9" descr="]QW%K}%@13_Q4UZ@GW@~24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descr="]QW%K}%@13_Q4UZ@GW@~24V"/>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838450" cy="504825"/>
                    </a:xfrm>
                    <a:prstGeom prst="rect">
                      <a:avLst/>
                    </a:prstGeom>
                    <a:noFill/>
                    <a:ln>
                      <a:noFill/>
                    </a:ln>
                  </pic:spPr>
                </pic:pic>
              </a:graphicData>
            </a:graphic>
          </wp:inline>
        </w:drawing>
      </w:r>
    </w:p>
    <w:p>
      <w:pPr>
        <w:autoSpaceDE w:val="0"/>
        <w:autoSpaceDN w:val="0"/>
        <w:adjustRightInd w:val="0"/>
        <w:ind w:firstLine="480"/>
        <w:rPr>
          <w:rFonts w:eastAsiaTheme="minorEastAsia"/>
          <w:color w:val="000000" w:themeColor="text1"/>
        </w:rPr>
      </w:pPr>
      <w:r>
        <w:rPr>
          <w:rFonts w:eastAsiaTheme="minorEastAsia"/>
          <w:color w:val="000000" w:themeColor="text1"/>
        </w:rPr>
        <w:t>式中：Li——第i个声源声值；</w:t>
      </w:r>
    </w:p>
    <w:p>
      <w:pPr>
        <w:autoSpaceDE w:val="0"/>
        <w:autoSpaceDN w:val="0"/>
        <w:adjustRightInd w:val="0"/>
        <w:ind w:firstLine="480"/>
        <w:rPr>
          <w:rFonts w:eastAsiaTheme="minorEastAsia"/>
          <w:color w:val="000000" w:themeColor="text1"/>
        </w:rPr>
      </w:pPr>
      <w:r>
        <w:rPr>
          <w:rFonts w:eastAsiaTheme="minorEastAsia"/>
          <w:color w:val="000000" w:themeColor="text1"/>
        </w:rPr>
        <w:t>LA——某点噪声总叠加值；</w:t>
      </w:r>
    </w:p>
    <w:p>
      <w:pPr>
        <w:autoSpaceDE w:val="0"/>
        <w:autoSpaceDN w:val="0"/>
        <w:adjustRightInd w:val="0"/>
        <w:ind w:firstLine="480"/>
        <w:rPr>
          <w:rFonts w:eastAsiaTheme="minorEastAsia"/>
          <w:color w:val="000000" w:themeColor="text1"/>
        </w:rPr>
      </w:pPr>
      <w:r>
        <w:rPr>
          <w:rFonts w:eastAsiaTheme="minorEastAsia"/>
          <w:color w:val="000000" w:themeColor="text1"/>
        </w:rPr>
        <w:t>n——声源个数。</w:t>
      </w:r>
    </w:p>
    <w:p>
      <w:pPr>
        <w:autoSpaceDE w:val="0"/>
        <w:autoSpaceDN w:val="0"/>
        <w:adjustRightInd w:val="0"/>
        <w:ind w:firstLine="482"/>
        <w:rPr>
          <w:rFonts w:eastAsiaTheme="minorEastAsia"/>
          <w:b/>
          <w:color w:val="000000" w:themeColor="text1"/>
        </w:rPr>
      </w:pPr>
      <w:r>
        <w:rPr>
          <w:rFonts w:eastAsiaTheme="minorEastAsia"/>
          <w:b/>
          <w:color w:val="000000" w:themeColor="text1"/>
        </w:rPr>
        <w:t>3、</w:t>
      </w:r>
      <w:r>
        <w:rPr>
          <w:rFonts w:eastAsiaTheme="minorEastAsia"/>
          <w:b/>
          <w:bCs/>
          <w:color w:val="000000" w:themeColor="text1"/>
        </w:rPr>
        <w:t>施工期噪声影响预测结果</w:t>
      </w:r>
    </w:p>
    <w:p>
      <w:pPr>
        <w:autoSpaceDE w:val="0"/>
        <w:autoSpaceDN w:val="0"/>
        <w:adjustRightInd w:val="0"/>
        <w:ind w:firstLine="480"/>
        <w:rPr>
          <w:rFonts w:eastAsiaTheme="minorEastAsia"/>
          <w:color w:val="000000" w:themeColor="text1"/>
        </w:rPr>
      </w:pPr>
      <w:r>
        <w:rPr>
          <w:rFonts w:eastAsiaTheme="minorEastAsia"/>
          <w:color w:val="000000" w:themeColor="text1"/>
        </w:rPr>
        <w:t>主要施工机械在不同距离处的贡献值预测结果见表6.1-4。</w:t>
      </w:r>
    </w:p>
    <w:p>
      <w:pPr>
        <w:pStyle w:val="620"/>
        <w:ind w:firstLine="422"/>
        <w:rPr>
          <w:rFonts w:eastAsiaTheme="minorEastAsia"/>
          <w:color w:val="000000" w:themeColor="text1"/>
        </w:rPr>
      </w:pPr>
      <w:r>
        <w:rPr>
          <w:rFonts w:eastAsiaTheme="minorEastAsia"/>
          <w:color w:val="000000" w:themeColor="text1"/>
        </w:rPr>
        <w:t>表6.1-4各主要施工机械在不同距离处的贡献值</w:t>
      </w:r>
    </w:p>
    <w:tbl>
      <w:tblPr>
        <w:tblStyle w:val="61"/>
        <w:tblW w:w="83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83"/>
        <w:gridCol w:w="1267"/>
        <w:gridCol w:w="756"/>
        <w:gridCol w:w="478"/>
        <w:gridCol w:w="409"/>
        <w:gridCol w:w="478"/>
        <w:gridCol w:w="478"/>
        <w:gridCol w:w="478"/>
        <w:gridCol w:w="586"/>
        <w:gridCol w:w="478"/>
        <w:gridCol w:w="537"/>
        <w:gridCol w:w="478"/>
        <w:gridCol w:w="537"/>
        <w:gridCol w:w="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37" w:hRule="atLeast"/>
          <w:jc w:val="center"/>
        </w:trPr>
        <w:tc>
          <w:tcPr>
            <w:tcW w:w="483" w:type="dxa"/>
            <w:vMerge w:val="restart"/>
            <w:vAlign w:val="center"/>
          </w:tcPr>
          <w:p>
            <w:pPr>
              <w:pStyle w:val="126"/>
              <w:spacing w:line="360" w:lineRule="auto"/>
              <w:rPr>
                <w:rFonts w:eastAsiaTheme="minorEastAsia"/>
                <w:color w:val="000000" w:themeColor="text1"/>
              </w:rPr>
            </w:pPr>
            <w:r>
              <w:rPr>
                <w:rFonts w:eastAsiaTheme="minorEastAsia"/>
                <w:color w:val="000000" w:themeColor="text1"/>
              </w:rPr>
              <w:t>序号</w:t>
            </w:r>
          </w:p>
        </w:tc>
        <w:tc>
          <w:tcPr>
            <w:tcW w:w="1267" w:type="dxa"/>
            <w:vMerge w:val="restart"/>
            <w:vAlign w:val="center"/>
          </w:tcPr>
          <w:p>
            <w:pPr>
              <w:pStyle w:val="126"/>
              <w:spacing w:line="360" w:lineRule="auto"/>
              <w:rPr>
                <w:rFonts w:eastAsiaTheme="minorEastAsia"/>
                <w:color w:val="000000" w:themeColor="text1"/>
              </w:rPr>
            </w:pPr>
            <w:r>
              <w:rPr>
                <w:rFonts w:eastAsiaTheme="minorEastAsia"/>
                <w:color w:val="000000" w:themeColor="text1"/>
              </w:rPr>
              <w:t>机械名称</w:t>
            </w:r>
          </w:p>
        </w:tc>
        <w:tc>
          <w:tcPr>
            <w:tcW w:w="756" w:type="dxa"/>
            <w:vMerge w:val="restart"/>
            <w:vAlign w:val="center"/>
          </w:tcPr>
          <w:p>
            <w:pPr>
              <w:pStyle w:val="126"/>
              <w:spacing w:line="360" w:lineRule="auto"/>
              <w:rPr>
                <w:rFonts w:eastAsiaTheme="minorEastAsia"/>
                <w:color w:val="000000" w:themeColor="text1"/>
              </w:rPr>
            </w:pPr>
            <w:r>
              <w:rPr>
                <w:rFonts w:eastAsiaTheme="minorEastAsia"/>
                <w:color w:val="000000" w:themeColor="text1"/>
              </w:rPr>
              <w:t>1m处</w:t>
            </w:r>
          </w:p>
          <w:p>
            <w:pPr>
              <w:pStyle w:val="126"/>
              <w:spacing w:line="360" w:lineRule="auto"/>
              <w:rPr>
                <w:rFonts w:eastAsiaTheme="minorEastAsia"/>
                <w:color w:val="000000" w:themeColor="text1"/>
              </w:rPr>
            </w:pPr>
            <w:r>
              <w:rPr>
                <w:rFonts w:eastAsiaTheme="minorEastAsia"/>
                <w:color w:val="000000" w:themeColor="text1"/>
              </w:rPr>
              <w:t>噪声值</w:t>
            </w:r>
          </w:p>
        </w:tc>
        <w:tc>
          <w:tcPr>
            <w:tcW w:w="4937" w:type="dxa"/>
            <w:gridSpan w:val="10"/>
            <w:vAlign w:val="center"/>
          </w:tcPr>
          <w:p>
            <w:pPr>
              <w:pStyle w:val="126"/>
              <w:spacing w:line="360" w:lineRule="auto"/>
              <w:rPr>
                <w:rFonts w:eastAsiaTheme="minorEastAsia"/>
                <w:color w:val="000000" w:themeColor="text1"/>
              </w:rPr>
            </w:pPr>
            <w:r>
              <w:rPr>
                <w:rFonts w:eastAsiaTheme="minorEastAsia"/>
                <w:color w:val="000000" w:themeColor="text1"/>
              </w:rPr>
              <w:t>不同距离处的噪声预测(dB(A))</w:t>
            </w:r>
          </w:p>
        </w:tc>
        <w:tc>
          <w:tcPr>
            <w:tcW w:w="879" w:type="dxa"/>
            <w:vMerge w:val="restart"/>
            <w:vAlign w:val="center"/>
          </w:tcPr>
          <w:p>
            <w:pPr>
              <w:pStyle w:val="126"/>
              <w:spacing w:line="360" w:lineRule="auto"/>
              <w:rPr>
                <w:rFonts w:eastAsiaTheme="minorEastAsia"/>
                <w:color w:val="000000" w:themeColor="text1"/>
              </w:rPr>
            </w:pPr>
            <w:r>
              <w:rPr>
                <w:rFonts w:eastAsiaTheme="minorEastAsia"/>
                <w:color w:val="000000" w:themeColor="text1"/>
              </w:rPr>
              <w:t>施工阶段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37" w:hRule="atLeast"/>
          <w:jc w:val="center"/>
        </w:trPr>
        <w:tc>
          <w:tcPr>
            <w:tcW w:w="483" w:type="dxa"/>
            <w:vMerge w:val="continue"/>
            <w:vAlign w:val="center"/>
          </w:tcPr>
          <w:p>
            <w:pPr>
              <w:pStyle w:val="126"/>
              <w:spacing w:line="360" w:lineRule="auto"/>
              <w:rPr>
                <w:rFonts w:eastAsiaTheme="minorEastAsia"/>
                <w:color w:val="000000" w:themeColor="text1"/>
              </w:rPr>
            </w:pPr>
          </w:p>
        </w:tc>
        <w:tc>
          <w:tcPr>
            <w:tcW w:w="1267" w:type="dxa"/>
            <w:vMerge w:val="continue"/>
            <w:vAlign w:val="center"/>
          </w:tcPr>
          <w:p>
            <w:pPr>
              <w:pStyle w:val="126"/>
              <w:spacing w:line="360" w:lineRule="auto"/>
              <w:rPr>
                <w:rFonts w:eastAsiaTheme="minorEastAsia"/>
                <w:color w:val="000000" w:themeColor="text1"/>
              </w:rPr>
            </w:pPr>
          </w:p>
        </w:tc>
        <w:tc>
          <w:tcPr>
            <w:tcW w:w="756" w:type="dxa"/>
            <w:vMerge w:val="continue"/>
            <w:vAlign w:val="center"/>
          </w:tcPr>
          <w:p>
            <w:pPr>
              <w:pStyle w:val="126"/>
              <w:spacing w:line="360" w:lineRule="auto"/>
              <w:rPr>
                <w:rFonts w:eastAsiaTheme="minorEastAsia"/>
                <w:color w:val="000000" w:themeColor="text1"/>
              </w:rPr>
            </w:pP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10m</w:t>
            </w:r>
          </w:p>
        </w:tc>
        <w:tc>
          <w:tcPr>
            <w:tcW w:w="409" w:type="dxa"/>
            <w:vAlign w:val="center"/>
          </w:tcPr>
          <w:p>
            <w:pPr>
              <w:pStyle w:val="126"/>
              <w:spacing w:line="360" w:lineRule="auto"/>
              <w:rPr>
                <w:rFonts w:eastAsiaTheme="minorEastAsia"/>
                <w:color w:val="000000" w:themeColor="text1"/>
              </w:rPr>
            </w:pPr>
            <w:r>
              <w:rPr>
                <w:rFonts w:eastAsiaTheme="minorEastAsia"/>
                <w:color w:val="000000" w:themeColor="text1"/>
              </w:rPr>
              <w:t>20m</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30m</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40m</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50m</w:t>
            </w:r>
          </w:p>
        </w:tc>
        <w:tc>
          <w:tcPr>
            <w:tcW w:w="586" w:type="dxa"/>
            <w:vAlign w:val="center"/>
          </w:tcPr>
          <w:p>
            <w:pPr>
              <w:pStyle w:val="126"/>
              <w:spacing w:line="360" w:lineRule="auto"/>
              <w:rPr>
                <w:rFonts w:eastAsiaTheme="minorEastAsia"/>
                <w:color w:val="000000" w:themeColor="text1"/>
              </w:rPr>
            </w:pPr>
            <w:r>
              <w:rPr>
                <w:rFonts w:eastAsiaTheme="minorEastAsia"/>
                <w:color w:val="000000" w:themeColor="text1"/>
              </w:rPr>
              <w:t>100m</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150m</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200m</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250m</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300m</w:t>
            </w:r>
          </w:p>
        </w:tc>
        <w:tc>
          <w:tcPr>
            <w:tcW w:w="879" w:type="dxa"/>
            <w:vMerge w:val="continue"/>
            <w:vAlign w:val="center"/>
          </w:tcPr>
          <w:p>
            <w:pPr>
              <w:pStyle w:val="126"/>
              <w:spacing w:line="360" w:lineRule="auto"/>
              <w:rPr>
                <w:rFonts w:eastAsiaTheme="minorEastAsia"/>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37" w:hRule="atLeast"/>
          <w:jc w:val="center"/>
        </w:trPr>
        <w:tc>
          <w:tcPr>
            <w:tcW w:w="483" w:type="dxa"/>
            <w:vAlign w:val="center"/>
          </w:tcPr>
          <w:p>
            <w:pPr>
              <w:pStyle w:val="126"/>
              <w:spacing w:line="360" w:lineRule="auto"/>
              <w:rPr>
                <w:rFonts w:eastAsiaTheme="minorEastAsia"/>
                <w:color w:val="000000" w:themeColor="text1"/>
              </w:rPr>
            </w:pPr>
            <w:bookmarkStart w:id="622" w:name="_Hlk258352981"/>
            <w:r>
              <w:rPr>
                <w:rFonts w:eastAsiaTheme="minorEastAsia"/>
                <w:color w:val="000000" w:themeColor="text1"/>
              </w:rPr>
              <w:t>1</w:t>
            </w:r>
          </w:p>
        </w:tc>
        <w:tc>
          <w:tcPr>
            <w:tcW w:w="1267" w:type="dxa"/>
            <w:vAlign w:val="center"/>
          </w:tcPr>
          <w:p>
            <w:pPr>
              <w:pStyle w:val="126"/>
              <w:spacing w:line="360" w:lineRule="auto"/>
              <w:rPr>
                <w:rFonts w:eastAsiaTheme="minorEastAsia"/>
                <w:color w:val="000000" w:themeColor="text1"/>
              </w:rPr>
            </w:pPr>
            <w:r>
              <w:rPr>
                <w:rFonts w:eastAsiaTheme="minorEastAsia"/>
                <w:color w:val="000000" w:themeColor="text1"/>
              </w:rPr>
              <w:t>电锯</w:t>
            </w:r>
          </w:p>
        </w:tc>
        <w:tc>
          <w:tcPr>
            <w:tcW w:w="756" w:type="dxa"/>
            <w:vAlign w:val="center"/>
          </w:tcPr>
          <w:p>
            <w:pPr>
              <w:pStyle w:val="126"/>
              <w:spacing w:line="360" w:lineRule="auto"/>
              <w:rPr>
                <w:rFonts w:eastAsiaTheme="minorEastAsia"/>
                <w:color w:val="000000" w:themeColor="text1"/>
              </w:rPr>
            </w:pPr>
            <w:r>
              <w:rPr>
                <w:rFonts w:eastAsiaTheme="minorEastAsia"/>
                <w:color w:val="000000" w:themeColor="text1"/>
              </w:rPr>
              <w:t>94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74</w:t>
            </w:r>
          </w:p>
        </w:tc>
        <w:tc>
          <w:tcPr>
            <w:tcW w:w="409" w:type="dxa"/>
            <w:vAlign w:val="center"/>
          </w:tcPr>
          <w:p>
            <w:pPr>
              <w:pStyle w:val="126"/>
              <w:spacing w:line="360" w:lineRule="auto"/>
              <w:rPr>
                <w:rFonts w:eastAsiaTheme="minorEastAsia"/>
                <w:color w:val="000000" w:themeColor="text1"/>
              </w:rPr>
            </w:pPr>
            <w:r>
              <w:rPr>
                <w:rFonts w:eastAsiaTheme="minorEastAsia"/>
                <w:color w:val="000000" w:themeColor="text1"/>
              </w:rPr>
              <w:t>68</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64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62</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60</w:t>
            </w:r>
          </w:p>
        </w:tc>
        <w:tc>
          <w:tcPr>
            <w:tcW w:w="586" w:type="dxa"/>
            <w:vAlign w:val="center"/>
          </w:tcPr>
          <w:p>
            <w:pPr>
              <w:pStyle w:val="126"/>
              <w:spacing w:line="360" w:lineRule="auto"/>
              <w:rPr>
                <w:rFonts w:eastAsiaTheme="minorEastAsia"/>
                <w:color w:val="000000" w:themeColor="text1"/>
              </w:rPr>
            </w:pPr>
            <w:r>
              <w:rPr>
                <w:rFonts w:eastAsiaTheme="minorEastAsia"/>
                <w:color w:val="000000" w:themeColor="text1"/>
              </w:rPr>
              <w:t>54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50</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48</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46</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44</w:t>
            </w:r>
          </w:p>
        </w:tc>
        <w:tc>
          <w:tcPr>
            <w:tcW w:w="879" w:type="dxa"/>
            <w:vMerge w:val="restart"/>
            <w:vAlign w:val="center"/>
          </w:tcPr>
          <w:p>
            <w:pPr>
              <w:pStyle w:val="126"/>
              <w:spacing w:line="360" w:lineRule="auto"/>
              <w:rPr>
                <w:rFonts w:eastAsiaTheme="minorEastAsia"/>
                <w:color w:val="000000" w:themeColor="text1"/>
                <w:lang w:eastAsia="zh-CN"/>
              </w:rPr>
            </w:pPr>
            <w:r>
              <w:rPr>
                <w:rFonts w:hint="eastAsia" w:eastAsiaTheme="minorEastAsia"/>
                <w:color w:val="000000" w:themeColor="text1"/>
                <w:lang w:eastAsia="zh-CN"/>
              </w:rPr>
              <w:t>棚库建设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37" w:hRule="atLeast"/>
          <w:jc w:val="center"/>
        </w:trPr>
        <w:tc>
          <w:tcPr>
            <w:tcW w:w="483" w:type="dxa"/>
            <w:vAlign w:val="center"/>
          </w:tcPr>
          <w:p>
            <w:pPr>
              <w:pStyle w:val="126"/>
              <w:spacing w:line="360" w:lineRule="auto"/>
              <w:rPr>
                <w:rFonts w:eastAsiaTheme="minorEastAsia"/>
                <w:color w:val="000000" w:themeColor="text1"/>
              </w:rPr>
            </w:pPr>
            <w:r>
              <w:rPr>
                <w:rFonts w:eastAsiaTheme="minorEastAsia"/>
                <w:color w:val="000000" w:themeColor="text1"/>
              </w:rPr>
              <w:t>2</w:t>
            </w:r>
          </w:p>
        </w:tc>
        <w:tc>
          <w:tcPr>
            <w:tcW w:w="1267" w:type="dxa"/>
            <w:vAlign w:val="center"/>
          </w:tcPr>
          <w:p>
            <w:pPr>
              <w:pStyle w:val="126"/>
              <w:spacing w:line="360" w:lineRule="auto"/>
              <w:rPr>
                <w:rFonts w:eastAsiaTheme="minorEastAsia"/>
                <w:color w:val="000000" w:themeColor="text1"/>
              </w:rPr>
            </w:pPr>
            <w:r>
              <w:rPr>
                <w:rFonts w:eastAsiaTheme="minorEastAsia"/>
                <w:color w:val="000000" w:themeColor="text1"/>
              </w:rPr>
              <w:t>电焊机</w:t>
            </w:r>
          </w:p>
        </w:tc>
        <w:tc>
          <w:tcPr>
            <w:tcW w:w="756" w:type="dxa"/>
            <w:vAlign w:val="center"/>
          </w:tcPr>
          <w:p>
            <w:pPr>
              <w:pStyle w:val="126"/>
              <w:spacing w:line="360" w:lineRule="auto"/>
              <w:rPr>
                <w:rFonts w:eastAsiaTheme="minorEastAsia"/>
                <w:color w:val="000000" w:themeColor="text1"/>
              </w:rPr>
            </w:pPr>
            <w:r>
              <w:rPr>
                <w:rFonts w:eastAsiaTheme="minorEastAsia"/>
                <w:color w:val="000000" w:themeColor="text1"/>
              </w:rPr>
              <w:t>89</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69</w:t>
            </w:r>
          </w:p>
        </w:tc>
        <w:tc>
          <w:tcPr>
            <w:tcW w:w="409" w:type="dxa"/>
            <w:vAlign w:val="center"/>
          </w:tcPr>
          <w:p>
            <w:pPr>
              <w:pStyle w:val="126"/>
              <w:spacing w:line="360" w:lineRule="auto"/>
              <w:rPr>
                <w:rFonts w:eastAsiaTheme="minorEastAsia"/>
                <w:color w:val="000000" w:themeColor="text1"/>
              </w:rPr>
            </w:pPr>
            <w:r>
              <w:rPr>
                <w:rFonts w:eastAsiaTheme="minorEastAsia"/>
                <w:color w:val="000000" w:themeColor="text1"/>
              </w:rPr>
              <w:t>63</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59</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57</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55</w:t>
            </w:r>
          </w:p>
        </w:tc>
        <w:tc>
          <w:tcPr>
            <w:tcW w:w="586" w:type="dxa"/>
            <w:vAlign w:val="center"/>
          </w:tcPr>
          <w:p>
            <w:pPr>
              <w:pStyle w:val="126"/>
              <w:spacing w:line="360" w:lineRule="auto"/>
              <w:rPr>
                <w:rFonts w:eastAsiaTheme="minorEastAsia"/>
                <w:color w:val="000000" w:themeColor="text1"/>
              </w:rPr>
            </w:pPr>
            <w:r>
              <w:rPr>
                <w:rFonts w:eastAsiaTheme="minorEastAsia"/>
                <w:color w:val="000000" w:themeColor="text1"/>
              </w:rPr>
              <w:t>49</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45</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43</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41</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39</w:t>
            </w:r>
          </w:p>
        </w:tc>
        <w:tc>
          <w:tcPr>
            <w:tcW w:w="879" w:type="dxa"/>
            <w:vMerge w:val="continue"/>
            <w:vAlign w:val="center"/>
          </w:tcPr>
          <w:p>
            <w:pPr>
              <w:pStyle w:val="126"/>
              <w:spacing w:line="360" w:lineRule="auto"/>
              <w:rPr>
                <w:rFonts w:eastAsiaTheme="minorEastAsia"/>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37" w:hRule="atLeast"/>
          <w:jc w:val="center"/>
        </w:trPr>
        <w:tc>
          <w:tcPr>
            <w:tcW w:w="483" w:type="dxa"/>
            <w:vAlign w:val="center"/>
          </w:tcPr>
          <w:p>
            <w:pPr>
              <w:pStyle w:val="126"/>
              <w:spacing w:line="360" w:lineRule="auto"/>
              <w:rPr>
                <w:rFonts w:eastAsiaTheme="minorEastAsia"/>
                <w:color w:val="000000" w:themeColor="text1"/>
              </w:rPr>
            </w:pPr>
            <w:r>
              <w:rPr>
                <w:rFonts w:eastAsiaTheme="minorEastAsia"/>
                <w:color w:val="000000" w:themeColor="text1"/>
              </w:rPr>
              <w:t>3</w:t>
            </w:r>
          </w:p>
        </w:tc>
        <w:tc>
          <w:tcPr>
            <w:tcW w:w="1267" w:type="dxa"/>
            <w:vAlign w:val="center"/>
          </w:tcPr>
          <w:p>
            <w:pPr>
              <w:pStyle w:val="126"/>
              <w:spacing w:line="360" w:lineRule="auto"/>
              <w:rPr>
                <w:rFonts w:eastAsiaTheme="minorEastAsia"/>
                <w:color w:val="000000" w:themeColor="text1"/>
              </w:rPr>
            </w:pPr>
            <w:r>
              <w:rPr>
                <w:rFonts w:eastAsiaTheme="minorEastAsia"/>
                <w:color w:val="000000" w:themeColor="text1"/>
              </w:rPr>
              <w:t>中型载重车</w:t>
            </w:r>
          </w:p>
        </w:tc>
        <w:tc>
          <w:tcPr>
            <w:tcW w:w="756" w:type="dxa"/>
            <w:vAlign w:val="center"/>
          </w:tcPr>
          <w:p>
            <w:pPr>
              <w:pStyle w:val="126"/>
              <w:spacing w:line="360" w:lineRule="auto"/>
              <w:rPr>
                <w:rFonts w:eastAsiaTheme="minorEastAsia"/>
                <w:color w:val="000000" w:themeColor="text1"/>
              </w:rPr>
            </w:pPr>
            <w:r>
              <w:rPr>
                <w:rFonts w:eastAsiaTheme="minorEastAsia"/>
                <w:color w:val="000000" w:themeColor="text1"/>
              </w:rPr>
              <w:t>74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54</w:t>
            </w:r>
          </w:p>
        </w:tc>
        <w:tc>
          <w:tcPr>
            <w:tcW w:w="409" w:type="dxa"/>
            <w:vAlign w:val="center"/>
          </w:tcPr>
          <w:p>
            <w:pPr>
              <w:pStyle w:val="126"/>
              <w:spacing w:line="360" w:lineRule="auto"/>
              <w:rPr>
                <w:rFonts w:eastAsiaTheme="minorEastAsia"/>
                <w:color w:val="000000" w:themeColor="text1"/>
              </w:rPr>
            </w:pPr>
            <w:r>
              <w:rPr>
                <w:rFonts w:eastAsiaTheme="minorEastAsia"/>
                <w:color w:val="000000" w:themeColor="text1"/>
              </w:rPr>
              <w:t>48</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44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42</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40</w:t>
            </w:r>
          </w:p>
        </w:tc>
        <w:tc>
          <w:tcPr>
            <w:tcW w:w="586" w:type="dxa"/>
            <w:vAlign w:val="center"/>
          </w:tcPr>
          <w:p>
            <w:pPr>
              <w:pStyle w:val="126"/>
              <w:spacing w:line="360" w:lineRule="auto"/>
              <w:rPr>
                <w:rFonts w:eastAsiaTheme="minorEastAsia"/>
                <w:color w:val="000000" w:themeColor="text1"/>
              </w:rPr>
            </w:pPr>
            <w:r>
              <w:rPr>
                <w:rFonts w:eastAsiaTheme="minorEastAsia"/>
                <w:color w:val="000000" w:themeColor="text1"/>
              </w:rPr>
              <w:t>34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30</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28</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26</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24</w:t>
            </w:r>
          </w:p>
        </w:tc>
        <w:tc>
          <w:tcPr>
            <w:tcW w:w="879" w:type="dxa"/>
            <w:vMerge w:val="continue"/>
            <w:vAlign w:val="center"/>
          </w:tcPr>
          <w:p>
            <w:pPr>
              <w:pStyle w:val="126"/>
              <w:spacing w:line="360" w:lineRule="auto"/>
              <w:rPr>
                <w:rFonts w:eastAsiaTheme="minorEastAsia"/>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37" w:hRule="atLeast"/>
          <w:jc w:val="center"/>
        </w:trPr>
        <w:tc>
          <w:tcPr>
            <w:tcW w:w="1750" w:type="dxa"/>
            <w:gridSpan w:val="2"/>
            <w:vAlign w:val="center"/>
          </w:tcPr>
          <w:p>
            <w:pPr>
              <w:pStyle w:val="126"/>
              <w:spacing w:line="360" w:lineRule="auto"/>
              <w:rPr>
                <w:rFonts w:eastAsiaTheme="minorEastAsia"/>
                <w:color w:val="000000" w:themeColor="text1"/>
              </w:rPr>
            </w:pPr>
            <w:r>
              <w:rPr>
                <w:rFonts w:eastAsiaTheme="minorEastAsia"/>
                <w:color w:val="000000" w:themeColor="text1"/>
              </w:rPr>
              <w:t>多声源叠加值</w:t>
            </w:r>
          </w:p>
        </w:tc>
        <w:tc>
          <w:tcPr>
            <w:tcW w:w="756" w:type="dxa"/>
            <w:vAlign w:val="center"/>
          </w:tcPr>
          <w:p>
            <w:pPr>
              <w:pStyle w:val="126"/>
              <w:spacing w:line="360" w:lineRule="auto"/>
              <w:rPr>
                <w:rFonts w:eastAsiaTheme="minorEastAsia"/>
                <w:color w:val="000000" w:themeColor="text1"/>
              </w:rPr>
            </w:pPr>
            <w:r>
              <w:rPr>
                <w:rFonts w:eastAsiaTheme="minorEastAsia"/>
                <w:color w:val="000000" w:themeColor="text1"/>
              </w:rPr>
              <w:t>100.5</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80.5</w:t>
            </w:r>
          </w:p>
        </w:tc>
        <w:tc>
          <w:tcPr>
            <w:tcW w:w="409" w:type="dxa"/>
            <w:vAlign w:val="center"/>
          </w:tcPr>
          <w:p>
            <w:pPr>
              <w:pStyle w:val="126"/>
              <w:spacing w:line="360" w:lineRule="auto"/>
              <w:rPr>
                <w:rFonts w:eastAsiaTheme="minorEastAsia"/>
                <w:color w:val="000000" w:themeColor="text1"/>
              </w:rPr>
            </w:pPr>
            <w:r>
              <w:rPr>
                <w:rFonts w:eastAsiaTheme="minorEastAsia"/>
                <w:color w:val="000000" w:themeColor="text1"/>
              </w:rPr>
              <w:t>74.5</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70.5</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68.5</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66.5</w:t>
            </w:r>
          </w:p>
        </w:tc>
        <w:tc>
          <w:tcPr>
            <w:tcW w:w="586" w:type="dxa"/>
            <w:vAlign w:val="center"/>
          </w:tcPr>
          <w:p>
            <w:pPr>
              <w:pStyle w:val="126"/>
              <w:spacing w:line="360" w:lineRule="auto"/>
              <w:rPr>
                <w:rFonts w:eastAsiaTheme="minorEastAsia"/>
                <w:color w:val="000000" w:themeColor="text1"/>
              </w:rPr>
            </w:pPr>
            <w:r>
              <w:rPr>
                <w:rFonts w:eastAsiaTheme="minorEastAsia"/>
                <w:color w:val="000000" w:themeColor="text1"/>
              </w:rPr>
              <w:t>60.5</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56.5</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54.5</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52.5</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50.5</w:t>
            </w:r>
          </w:p>
        </w:tc>
        <w:tc>
          <w:tcPr>
            <w:tcW w:w="879" w:type="dxa"/>
            <w:vMerge w:val="continue"/>
            <w:vAlign w:val="center"/>
          </w:tcPr>
          <w:p>
            <w:pPr>
              <w:pStyle w:val="126"/>
              <w:spacing w:line="360" w:lineRule="auto"/>
              <w:rPr>
                <w:rFonts w:eastAsiaTheme="minorEastAsia"/>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37" w:hRule="atLeast"/>
          <w:jc w:val="center"/>
        </w:trPr>
        <w:tc>
          <w:tcPr>
            <w:tcW w:w="483" w:type="dxa"/>
            <w:vAlign w:val="center"/>
          </w:tcPr>
          <w:p>
            <w:pPr>
              <w:pStyle w:val="126"/>
              <w:spacing w:line="360" w:lineRule="auto"/>
              <w:rPr>
                <w:rFonts w:eastAsiaTheme="minorEastAsia"/>
                <w:color w:val="000000" w:themeColor="text1"/>
              </w:rPr>
            </w:pPr>
            <w:r>
              <w:rPr>
                <w:rFonts w:eastAsiaTheme="minorEastAsia"/>
                <w:color w:val="000000" w:themeColor="text1"/>
              </w:rPr>
              <w:t>1</w:t>
            </w:r>
          </w:p>
        </w:tc>
        <w:tc>
          <w:tcPr>
            <w:tcW w:w="1267" w:type="dxa"/>
            <w:vAlign w:val="center"/>
          </w:tcPr>
          <w:p>
            <w:pPr>
              <w:pStyle w:val="126"/>
              <w:spacing w:line="360" w:lineRule="auto"/>
              <w:rPr>
                <w:rFonts w:eastAsiaTheme="minorEastAsia"/>
                <w:color w:val="000000" w:themeColor="text1"/>
              </w:rPr>
            </w:pPr>
            <w:r>
              <w:rPr>
                <w:rFonts w:eastAsiaTheme="minorEastAsia"/>
                <w:color w:val="000000" w:themeColor="text1"/>
              </w:rPr>
              <w:t>电钻</w:t>
            </w:r>
          </w:p>
        </w:tc>
        <w:tc>
          <w:tcPr>
            <w:tcW w:w="756" w:type="dxa"/>
            <w:vAlign w:val="center"/>
          </w:tcPr>
          <w:p>
            <w:pPr>
              <w:pStyle w:val="126"/>
              <w:spacing w:line="360" w:lineRule="auto"/>
              <w:rPr>
                <w:rFonts w:eastAsiaTheme="minorEastAsia"/>
                <w:color w:val="000000" w:themeColor="text1"/>
              </w:rPr>
            </w:pPr>
            <w:r>
              <w:rPr>
                <w:rFonts w:eastAsiaTheme="minorEastAsia"/>
                <w:color w:val="000000" w:themeColor="text1"/>
              </w:rPr>
              <w:t>104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84</w:t>
            </w:r>
          </w:p>
        </w:tc>
        <w:tc>
          <w:tcPr>
            <w:tcW w:w="409" w:type="dxa"/>
            <w:vAlign w:val="center"/>
          </w:tcPr>
          <w:p>
            <w:pPr>
              <w:pStyle w:val="126"/>
              <w:spacing w:line="360" w:lineRule="auto"/>
              <w:rPr>
                <w:rFonts w:eastAsiaTheme="minorEastAsia"/>
                <w:color w:val="000000" w:themeColor="text1"/>
              </w:rPr>
            </w:pPr>
            <w:r>
              <w:rPr>
                <w:rFonts w:eastAsiaTheme="minorEastAsia"/>
                <w:color w:val="000000" w:themeColor="text1"/>
              </w:rPr>
              <w:t>78</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74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72</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70</w:t>
            </w:r>
          </w:p>
        </w:tc>
        <w:tc>
          <w:tcPr>
            <w:tcW w:w="586" w:type="dxa"/>
            <w:vAlign w:val="center"/>
          </w:tcPr>
          <w:p>
            <w:pPr>
              <w:pStyle w:val="126"/>
              <w:spacing w:line="360" w:lineRule="auto"/>
              <w:rPr>
                <w:rFonts w:eastAsiaTheme="minorEastAsia"/>
                <w:color w:val="000000" w:themeColor="text1"/>
              </w:rPr>
            </w:pPr>
            <w:r>
              <w:rPr>
                <w:rFonts w:eastAsiaTheme="minorEastAsia"/>
                <w:color w:val="000000" w:themeColor="text1"/>
              </w:rPr>
              <w:t>64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60</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58</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56</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54</w:t>
            </w:r>
          </w:p>
        </w:tc>
        <w:tc>
          <w:tcPr>
            <w:tcW w:w="879" w:type="dxa"/>
            <w:vMerge w:val="restart"/>
            <w:vAlign w:val="center"/>
          </w:tcPr>
          <w:p>
            <w:pPr>
              <w:pStyle w:val="126"/>
              <w:spacing w:line="360" w:lineRule="auto"/>
              <w:rPr>
                <w:rFonts w:eastAsiaTheme="minorEastAsia"/>
                <w:color w:val="000000" w:themeColor="text1"/>
              </w:rPr>
            </w:pPr>
            <w:r>
              <w:rPr>
                <w:rFonts w:hint="eastAsia" w:eastAsiaTheme="minorEastAsia"/>
                <w:color w:val="000000" w:themeColor="text1"/>
                <w:lang w:eastAsia="zh-CN"/>
              </w:rPr>
              <w:t>环保设备</w:t>
            </w:r>
            <w:r>
              <w:rPr>
                <w:rFonts w:eastAsiaTheme="minorEastAsia"/>
                <w:color w:val="000000" w:themeColor="text1"/>
              </w:rPr>
              <w:t>安装阶段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37" w:hRule="atLeast"/>
          <w:jc w:val="center"/>
        </w:trPr>
        <w:tc>
          <w:tcPr>
            <w:tcW w:w="483" w:type="dxa"/>
            <w:vAlign w:val="center"/>
          </w:tcPr>
          <w:p>
            <w:pPr>
              <w:pStyle w:val="126"/>
              <w:spacing w:line="360" w:lineRule="auto"/>
              <w:rPr>
                <w:rFonts w:eastAsiaTheme="minorEastAsia"/>
                <w:color w:val="000000" w:themeColor="text1"/>
              </w:rPr>
            </w:pPr>
            <w:r>
              <w:rPr>
                <w:rFonts w:eastAsiaTheme="minorEastAsia"/>
                <w:color w:val="000000" w:themeColor="text1"/>
              </w:rPr>
              <w:t>2</w:t>
            </w:r>
          </w:p>
        </w:tc>
        <w:tc>
          <w:tcPr>
            <w:tcW w:w="1267" w:type="dxa"/>
            <w:vAlign w:val="center"/>
          </w:tcPr>
          <w:p>
            <w:pPr>
              <w:pStyle w:val="126"/>
              <w:spacing w:line="360" w:lineRule="auto"/>
              <w:rPr>
                <w:rFonts w:eastAsiaTheme="minorEastAsia"/>
                <w:color w:val="000000" w:themeColor="text1"/>
              </w:rPr>
            </w:pPr>
            <w:r>
              <w:rPr>
                <w:rFonts w:eastAsiaTheme="minorEastAsia"/>
                <w:color w:val="000000" w:themeColor="text1"/>
              </w:rPr>
              <w:t>手工钻</w:t>
            </w:r>
          </w:p>
        </w:tc>
        <w:tc>
          <w:tcPr>
            <w:tcW w:w="756" w:type="dxa"/>
            <w:vAlign w:val="center"/>
          </w:tcPr>
          <w:p>
            <w:pPr>
              <w:pStyle w:val="126"/>
              <w:spacing w:line="360" w:lineRule="auto"/>
              <w:rPr>
                <w:rFonts w:eastAsiaTheme="minorEastAsia"/>
                <w:color w:val="000000" w:themeColor="text1"/>
              </w:rPr>
            </w:pPr>
            <w:r>
              <w:rPr>
                <w:rFonts w:eastAsiaTheme="minorEastAsia"/>
                <w:color w:val="000000" w:themeColor="text1"/>
              </w:rPr>
              <w:t>99</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79</w:t>
            </w:r>
          </w:p>
        </w:tc>
        <w:tc>
          <w:tcPr>
            <w:tcW w:w="409" w:type="dxa"/>
            <w:vAlign w:val="center"/>
          </w:tcPr>
          <w:p>
            <w:pPr>
              <w:pStyle w:val="126"/>
              <w:spacing w:line="360" w:lineRule="auto"/>
              <w:rPr>
                <w:rFonts w:eastAsiaTheme="minorEastAsia"/>
                <w:color w:val="000000" w:themeColor="text1"/>
              </w:rPr>
            </w:pPr>
            <w:r>
              <w:rPr>
                <w:rFonts w:eastAsiaTheme="minorEastAsia"/>
                <w:color w:val="000000" w:themeColor="text1"/>
              </w:rPr>
              <w:t>73</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69</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67</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65</w:t>
            </w:r>
          </w:p>
        </w:tc>
        <w:tc>
          <w:tcPr>
            <w:tcW w:w="586" w:type="dxa"/>
            <w:vAlign w:val="center"/>
          </w:tcPr>
          <w:p>
            <w:pPr>
              <w:pStyle w:val="126"/>
              <w:spacing w:line="360" w:lineRule="auto"/>
              <w:rPr>
                <w:rFonts w:eastAsiaTheme="minorEastAsia"/>
                <w:color w:val="000000" w:themeColor="text1"/>
              </w:rPr>
            </w:pPr>
            <w:r>
              <w:rPr>
                <w:rFonts w:eastAsiaTheme="minorEastAsia"/>
                <w:color w:val="000000" w:themeColor="text1"/>
              </w:rPr>
              <w:t>59</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55</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53</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51</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49</w:t>
            </w:r>
          </w:p>
        </w:tc>
        <w:tc>
          <w:tcPr>
            <w:tcW w:w="879" w:type="dxa"/>
            <w:vMerge w:val="continue"/>
            <w:vAlign w:val="center"/>
          </w:tcPr>
          <w:p>
            <w:pPr>
              <w:pStyle w:val="126"/>
              <w:spacing w:line="360" w:lineRule="auto"/>
              <w:rPr>
                <w:rFonts w:eastAsiaTheme="minorEastAsia"/>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37" w:hRule="atLeast"/>
          <w:jc w:val="center"/>
        </w:trPr>
        <w:tc>
          <w:tcPr>
            <w:tcW w:w="1750" w:type="dxa"/>
            <w:gridSpan w:val="2"/>
            <w:vAlign w:val="center"/>
          </w:tcPr>
          <w:p>
            <w:pPr>
              <w:pStyle w:val="126"/>
              <w:spacing w:line="360" w:lineRule="auto"/>
              <w:rPr>
                <w:rFonts w:eastAsiaTheme="minorEastAsia"/>
                <w:color w:val="000000" w:themeColor="text1"/>
              </w:rPr>
            </w:pPr>
            <w:r>
              <w:rPr>
                <w:rFonts w:eastAsiaTheme="minorEastAsia"/>
                <w:color w:val="000000" w:themeColor="text1"/>
              </w:rPr>
              <w:t>多声源叠加值</w:t>
            </w:r>
          </w:p>
        </w:tc>
        <w:tc>
          <w:tcPr>
            <w:tcW w:w="756" w:type="dxa"/>
            <w:vAlign w:val="center"/>
          </w:tcPr>
          <w:p>
            <w:pPr>
              <w:pStyle w:val="126"/>
              <w:spacing w:line="360" w:lineRule="auto"/>
              <w:rPr>
                <w:rFonts w:eastAsiaTheme="minorEastAsia"/>
                <w:color w:val="000000" w:themeColor="text1"/>
              </w:rPr>
            </w:pPr>
            <w:r>
              <w:rPr>
                <w:rFonts w:eastAsiaTheme="minorEastAsia"/>
                <w:color w:val="000000" w:themeColor="text1"/>
              </w:rPr>
              <w:t>105.4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85.4</w:t>
            </w:r>
          </w:p>
        </w:tc>
        <w:tc>
          <w:tcPr>
            <w:tcW w:w="409" w:type="dxa"/>
            <w:vAlign w:val="center"/>
          </w:tcPr>
          <w:p>
            <w:pPr>
              <w:pStyle w:val="126"/>
              <w:spacing w:line="360" w:lineRule="auto"/>
              <w:rPr>
                <w:rFonts w:eastAsiaTheme="minorEastAsia"/>
                <w:color w:val="000000" w:themeColor="text1"/>
              </w:rPr>
            </w:pPr>
            <w:r>
              <w:rPr>
                <w:rFonts w:eastAsiaTheme="minorEastAsia"/>
                <w:color w:val="000000" w:themeColor="text1"/>
              </w:rPr>
              <w:t>79.4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75.4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73.4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71.4</w:t>
            </w:r>
          </w:p>
        </w:tc>
        <w:tc>
          <w:tcPr>
            <w:tcW w:w="586" w:type="dxa"/>
            <w:vAlign w:val="center"/>
          </w:tcPr>
          <w:p>
            <w:pPr>
              <w:pStyle w:val="126"/>
              <w:spacing w:line="360" w:lineRule="auto"/>
              <w:rPr>
                <w:rFonts w:eastAsiaTheme="minorEastAsia"/>
                <w:color w:val="000000" w:themeColor="text1"/>
              </w:rPr>
            </w:pPr>
            <w:r>
              <w:rPr>
                <w:rFonts w:eastAsiaTheme="minorEastAsia"/>
                <w:color w:val="000000" w:themeColor="text1"/>
              </w:rPr>
              <w:t>65.4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61.4</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59.4</w:t>
            </w:r>
          </w:p>
        </w:tc>
        <w:tc>
          <w:tcPr>
            <w:tcW w:w="478" w:type="dxa"/>
            <w:vAlign w:val="center"/>
          </w:tcPr>
          <w:p>
            <w:pPr>
              <w:pStyle w:val="126"/>
              <w:spacing w:line="360" w:lineRule="auto"/>
              <w:rPr>
                <w:rFonts w:eastAsiaTheme="minorEastAsia"/>
                <w:color w:val="000000" w:themeColor="text1"/>
              </w:rPr>
            </w:pPr>
            <w:r>
              <w:rPr>
                <w:rFonts w:eastAsiaTheme="minorEastAsia"/>
                <w:color w:val="000000" w:themeColor="text1"/>
              </w:rPr>
              <w:t>57.4</w:t>
            </w:r>
          </w:p>
        </w:tc>
        <w:tc>
          <w:tcPr>
            <w:tcW w:w="537" w:type="dxa"/>
            <w:vAlign w:val="center"/>
          </w:tcPr>
          <w:p>
            <w:pPr>
              <w:pStyle w:val="126"/>
              <w:spacing w:line="360" w:lineRule="auto"/>
              <w:rPr>
                <w:rFonts w:eastAsiaTheme="minorEastAsia"/>
                <w:color w:val="000000" w:themeColor="text1"/>
              </w:rPr>
            </w:pPr>
            <w:r>
              <w:rPr>
                <w:rFonts w:eastAsiaTheme="minorEastAsia"/>
                <w:color w:val="000000" w:themeColor="text1"/>
              </w:rPr>
              <w:t>55.4</w:t>
            </w:r>
          </w:p>
        </w:tc>
        <w:tc>
          <w:tcPr>
            <w:tcW w:w="879" w:type="dxa"/>
            <w:vMerge w:val="continue"/>
            <w:vAlign w:val="center"/>
          </w:tcPr>
          <w:p>
            <w:pPr>
              <w:pStyle w:val="126"/>
              <w:spacing w:line="360" w:lineRule="auto"/>
              <w:rPr>
                <w:rFonts w:eastAsiaTheme="minorEastAsia"/>
                <w:color w:val="000000" w:themeColor="text1"/>
              </w:rPr>
            </w:pPr>
          </w:p>
        </w:tc>
      </w:tr>
      <w:bookmarkEnd w:id="622"/>
    </w:tbl>
    <w:p>
      <w:pPr>
        <w:autoSpaceDE w:val="0"/>
        <w:autoSpaceDN w:val="0"/>
        <w:adjustRightInd w:val="0"/>
        <w:ind w:firstLine="482"/>
        <w:rPr>
          <w:rFonts w:eastAsiaTheme="minorEastAsia"/>
          <w:b/>
          <w:color w:val="000000" w:themeColor="text1"/>
        </w:rPr>
      </w:pPr>
      <w:r>
        <w:rPr>
          <w:rFonts w:eastAsiaTheme="minorEastAsia"/>
          <w:b/>
          <w:color w:val="000000" w:themeColor="text1"/>
        </w:rPr>
        <w:t>4、</w:t>
      </w:r>
      <w:r>
        <w:rPr>
          <w:rFonts w:eastAsiaTheme="minorEastAsia"/>
          <w:b/>
          <w:bCs/>
          <w:color w:val="000000" w:themeColor="text1"/>
        </w:rPr>
        <w:t>施工期噪声影响分析与评价</w:t>
      </w:r>
    </w:p>
    <w:p>
      <w:pPr>
        <w:ind w:firstLine="480"/>
        <w:rPr>
          <w:rFonts w:eastAsiaTheme="minorEastAsia"/>
          <w:bCs/>
          <w:color w:val="000000" w:themeColor="text1"/>
        </w:rPr>
      </w:pPr>
      <w:r>
        <w:rPr>
          <w:rFonts w:eastAsiaTheme="minorEastAsia"/>
          <w:bCs/>
          <w:color w:val="000000" w:themeColor="text1"/>
        </w:rPr>
        <w:t>（1）评价标准</w:t>
      </w:r>
    </w:p>
    <w:p>
      <w:pPr>
        <w:ind w:firstLine="480"/>
        <w:rPr>
          <w:rFonts w:eastAsiaTheme="minorEastAsia"/>
          <w:bCs/>
          <w:color w:val="000000" w:themeColor="text1"/>
        </w:rPr>
      </w:pPr>
      <w:r>
        <w:rPr>
          <w:rFonts w:eastAsiaTheme="minorEastAsia"/>
          <w:bCs/>
          <w:color w:val="000000" w:themeColor="text1"/>
        </w:rPr>
        <w:t>施工期执行《建筑施工场界环境噪声排放标准》（GB12523</w:t>
      </w:r>
      <w:r>
        <w:rPr>
          <w:rFonts w:hint="eastAsia" w:eastAsiaTheme="minorEastAsia"/>
          <w:bCs/>
          <w:color w:val="000000" w:themeColor="text1"/>
        </w:rPr>
        <w:t>-</w:t>
      </w:r>
      <w:r>
        <w:rPr>
          <w:rFonts w:eastAsiaTheme="minorEastAsia"/>
          <w:bCs/>
          <w:color w:val="000000" w:themeColor="text1"/>
        </w:rPr>
        <w:t>2011）执行，即场界噪声昼间≤70dB（A）、夜间≤55dB（A）。</w:t>
      </w:r>
    </w:p>
    <w:p>
      <w:pPr>
        <w:ind w:firstLine="480"/>
        <w:rPr>
          <w:rFonts w:eastAsiaTheme="minorEastAsia"/>
          <w:bCs/>
          <w:color w:val="000000" w:themeColor="text1"/>
        </w:rPr>
      </w:pPr>
      <w:r>
        <w:rPr>
          <w:rFonts w:eastAsiaTheme="minorEastAsia"/>
          <w:bCs/>
          <w:color w:val="000000" w:themeColor="text1"/>
        </w:rPr>
        <w:t>（2）预测结果分析与评价</w:t>
      </w:r>
    </w:p>
    <w:p>
      <w:pPr>
        <w:ind w:firstLine="480"/>
        <w:rPr>
          <w:rFonts w:eastAsiaTheme="minorEastAsia"/>
          <w:bCs/>
          <w:color w:val="000000" w:themeColor="text1"/>
        </w:rPr>
      </w:pPr>
      <w:r>
        <w:rPr>
          <w:rFonts w:eastAsiaTheme="minorEastAsia"/>
          <w:bCs/>
          <w:color w:val="000000" w:themeColor="text1"/>
        </w:rPr>
        <w:t>分析施工期工程建设使用典型施工机械的情况，从表6.1-4施工期昼间噪声预测情况一览表可知：</w:t>
      </w:r>
    </w:p>
    <w:p>
      <w:pPr>
        <w:ind w:firstLine="480"/>
        <w:rPr>
          <w:rFonts w:eastAsiaTheme="minorEastAsia"/>
          <w:bCs/>
          <w:color w:val="000000" w:themeColor="text1"/>
        </w:rPr>
      </w:pPr>
      <w:r>
        <w:rPr>
          <w:rFonts w:eastAsiaTheme="minorEastAsia"/>
          <w:bCs/>
          <w:color w:val="000000" w:themeColor="text1"/>
        </w:rPr>
        <w:t>①由预测结果可以看出，在建设期，大部分施工设备的昼间噪声在厂界</w:t>
      </w:r>
      <w:r>
        <w:rPr>
          <w:rFonts w:hint="eastAsia" w:eastAsiaTheme="minorEastAsia"/>
          <w:bCs/>
          <w:color w:val="000000" w:themeColor="text1"/>
        </w:rPr>
        <w:t>2</w:t>
      </w:r>
      <w:r>
        <w:rPr>
          <w:rFonts w:eastAsiaTheme="minorEastAsia"/>
          <w:bCs/>
          <w:color w:val="000000" w:themeColor="text1"/>
        </w:rPr>
        <w:t>00m以外基本符合《建筑施工场界环境噪声排放标准》（GB12523—2011）中所规定的标准，而夜间施工时则可能超出标准限值。</w:t>
      </w:r>
    </w:p>
    <w:p>
      <w:pPr>
        <w:ind w:firstLine="480"/>
        <w:rPr>
          <w:rFonts w:eastAsiaTheme="minorEastAsia"/>
          <w:bCs/>
          <w:color w:val="000000" w:themeColor="text1"/>
        </w:rPr>
      </w:pPr>
      <w:r>
        <w:rPr>
          <w:rFonts w:eastAsiaTheme="minorEastAsia"/>
          <w:bCs/>
          <w:color w:val="000000" w:themeColor="text1"/>
        </w:rPr>
        <w:t>②不同的施工阶段所投入的机械设备不同，对环境噪声的影响也不同。在施工阶段，主要是挖、填土方、平整土地阶段，以各种推土机、挖土机和运输车辆噪声为主，施工设备噪声具有流动性和不稳定性，对周围环境的影响不太明显；</w:t>
      </w:r>
    </w:p>
    <w:p>
      <w:pPr>
        <w:ind w:firstLine="480"/>
        <w:rPr>
          <w:rFonts w:eastAsiaTheme="minorEastAsia"/>
          <w:bCs/>
          <w:color w:val="000000" w:themeColor="text1"/>
        </w:rPr>
      </w:pPr>
      <w:r>
        <w:rPr>
          <w:rFonts w:eastAsiaTheme="minorEastAsia"/>
          <w:bCs/>
          <w:color w:val="000000" w:themeColor="text1"/>
        </w:rPr>
        <w:t>③施工噪声对环境的影响很大程度上，取决于施工点与敏感点的距离和施工时间，距离越近，或在夜间施工时间越长，产生影响也就越大、越明显。</w:t>
      </w:r>
    </w:p>
    <w:p>
      <w:pPr>
        <w:ind w:firstLine="480"/>
        <w:rPr>
          <w:rFonts w:eastAsiaTheme="minorEastAsia"/>
          <w:bCs/>
          <w:color w:val="000000" w:themeColor="text1"/>
        </w:rPr>
      </w:pPr>
      <w:r>
        <w:rPr>
          <w:rFonts w:eastAsiaTheme="minorEastAsia"/>
          <w:bCs/>
          <w:color w:val="000000" w:themeColor="text1"/>
        </w:rPr>
        <w:t>④由于施工量较小，施工期不长，而且随着施工结束而消失，周围1公里内无声环境敏感目标，对当地声环境的影响不太明显。</w:t>
      </w:r>
    </w:p>
    <w:p>
      <w:pPr>
        <w:ind w:firstLine="480"/>
        <w:rPr>
          <w:rFonts w:eastAsiaTheme="minorEastAsia"/>
          <w:bCs/>
          <w:color w:val="000000" w:themeColor="text1"/>
        </w:rPr>
      </w:pPr>
      <w:r>
        <w:rPr>
          <w:rFonts w:eastAsiaTheme="minorEastAsia"/>
          <w:bCs/>
          <w:color w:val="000000" w:themeColor="text1"/>
        </w:rPr>
        <w:t>（3）对周边声环境敏感点影响分析</w:t>
      </w:r>
    </w:p>
    <w:p>
      <w:pPr>
        <w:ind w:firstLine="480"/>
        <w:rPr>
          <w:rFonts w:eastAsiaTheme="minorEastAsia"/>
          <w:color w:val="000000" w:themeColor="text1"/>
        </w:rPr>
      </w:pPr>
      <w:r>
        <w:rPr>
          <w:rFonts w:eastAsiaTheme="minorEastAsia"/>
          <w:bCs/>
          <w:color w:val="000000" w:themeColor="text1"/>
        </w:rPr>
        <w:t>本项目位于新平县戛洒镇社区东磨小组</w:t>
      </w:r>
      <w:r>
        <w:rPr>
          <w:rFonts w:eastAsiaTheme="minorEastAsia"/>
          <w:color w:val="000000" w:themeColor="text1"/>
        </w:rPr>
        <w:t>，</w:t>
      </w:r>
      <w:r>
        <w:rPr>
          <w:rFonts w:eastAsiaTheme="minorEastAsia"/>
          <w:bCs/>
          <w:color w:val="000000" w:themeColor="text1"/>
        </w:rPr>
        <w:t>周边最近的居民点是</w:t>
      </w:r>
      <w:r>
        <w:rPr>
          <w:rFonts w:eastAsiaTheme="minorEastAsia"/>
          <w:color w:val="000000" w:themeColor="text1"/>
        </w:rPr>
        <w:t>东北侧约1098m处的四坡斗村，距离较远，而且项目与该村之间存在山体阻隔</w:t>
      </w:r>
      <w:r>
        <w:rPr>
          <w:rFonts w:eastAsiaTheme="minorEastAsia"/>
          <w:bCs/>
          <w:color w:val="000000" w:themeColor="text1"/>
        </w:rPr>
        <w:t>，因此，施工噪声对敏感目标影响较小。</w:t>
      </w:r>
    </w:p>
    <w:p>
      <w:pPr>
        <w:pStyle w:val="6"/>
        <w:spacing w:beforeLines="0" w:afterLines="0"/>
        <w:rPr>
          <w:rFonts w:eastAsiaTheme="minorEastAsia"/>
          <w:color w:val="000000" w:themeColor="text1"/>
          <w:sz w:val="28"/>
          <w:szCs w:val="28"/>
        </w:rPr>
      </w:pPr>
      <w:bookmarkStart w:id="623" w:name="_Toc430201402"/>
      <w:bookmarkStart w:id="624" w:name="_Toc450603599"/>
      <w:bookmarkStart w:id="625" w:name="_Toc430953893"/>
      <w:bookmarkStart w:id="626" w:name="_Toc430953685"/>
      <w:bookmarkStart w:id="627" w:name="_Toc13013"/>
      <w:bookmarkStart w:id="628" w:name="_Toc421915887"/>
      <w:bookmarkStart w:id="629" w:name="_Toc410033856"/>
      <w:bookmarkStart w:id="630" w:name="_Toc283287874"/>
      <w:r>
        <w:rPr>
          <w:rFonts w:eastAsiaTheme="minorEastAsia"/>
          <w:color w:val="000000" w:themeColor="text1"/>
          <w:sz w:val="28"/>
          <w:szCs w:val="28"/>
        </w:rPr>
        <w:t>6.1.4施工期固废影响分析</w:t>
      </w:r>
      <w:bookmarkEnd w:id="623"/>
      <w:bookmarkEnd w:id="624"/>
      <w:bookmarkEnd w:id="625"/>
      <w:bookmarkEnd w:id="626"/>
      <w:bookmarkEnd w:id="627"/>
      <w:bookmarkEnd w:id="628"/>
      <w:bookmarkEnd w:id="629"/>
      <w:bookmarkEnd w:id="630"/>
    </w:p>
    <w:p>
      <w:pPr>
        <w:autoSpaceDE w:val="0"/>
        <w:autoSpaceDN w:val="0"/>
        <w:adjustRightInd w:val="0"/>
        <w:ind w:firstLine="480"/>
        <w:rPr>
          <w:rFonts w:eastAsiaTheme="minorEastAsia"/>
          <w:color w:val="000000" w:themeColor="text1"/>
        </w:rPr>
      </w:pPr>
      <w:r>
        <w:rPr>
          <w:rFonts w:eastAsiaTheme="minorEastAsia"/>
          <w:color w:val="000000" w:themeColor="text1"/>
          <w:szCs w:val="24"/>
        </w:rPr>
        <w:t>项目施工期固体废物主要是土石方、建筑垃圾、生活垃圾。</w:t>
      </w:r>
    </w:p>
    <w:p>
      <w:pPr>
        <w:autoSpaceDE w:val="0"/>
        <w:autoSpaceDN w:val="0"/>
        <w:adjustRightInd w:val="0"/>
        <w:ind w:firstLine="482"/>
        <w:rPr>
          <w:rFonts w:eastAsiaTheme="minorEastAsia"/>
          <w:b/>
          <w:color w:val="000000" w:themeColor="text1"/>
        </w:rPr>
      </w:pPr>
      <w:bookmarkStart w:id="631" w:name="_Toc450603600"/>
      <w:r>
        <w:rPr>
          <w:rFonts w:eastAsiaTheme="minorEastAsia"/>
          <w:b/>
          <w:color w:val="000000" w:themeColor="text1"/>
        </w:rPr>
        <w:t>1、土石方</w:t>
      </w:r>
    </w:p>
    <w:p>
      <w:pPr>
        <w:autoSpaceDE w:val="0"/>
        <w:autoSpaceDN w:val="0"/>
        <w:adjustRightInd w:val="0"/>
        <w:ind w:firstLine="480"/>
        <w:rPr>
          <w:rFonts w:eastAsiaTheme="minorEastAsia"/>
          <w:color w:val="000000" w:themeColor="text1"/>
        </w:rPr>
      </w:pPr>
      <w:r>
        <w:rPr>
          <w:rFonts w:eastAsiaTheme="minorEastAsia"/>
          <w:color w:val="000000" w:themeColor="text1"/>
        </w:rPr>
        <w:t>根据现场踏勘，项目区地势较平坦，土石方回填量较小，回填土石方来源于基础开挖产生的少量土石方。</w:t>
      </w:r>
    </w:p>
    <w:p>
      <w:pPr>
        <w:autoSpaceDE w:val="0"/>
        <w:autoSpaceDN w:val="0"/>
        <w:adjustRightInd w:val="0"/>
        <w:ind w:firstLine="482"/>
        <w:rPr>
          <w:rFonts w:eastAsiaTheme="minorEastAsia"/>
          <w:b/>
          <w:color w:val="000000" w:themeColor="text1"/>
        </w:rPr>
      </w:pPr>
      <w:r>
        <w:rPr>
          <w:rFonts w:eastAsiaTheme="minorEastAsia"/>
          <w:b/>
          <w:color w:val="000000" w:themeColor="text1"/>
        </w:rPr>
        <w:t>2、建筑垃圾</w:t>
      </w:r>
    </w:p>
    <w:p>
      <w:pPr>
        <w:autoSpaceDE w:val="0"/>
        <w:autoSpaceDN w:val="0"/>
        <w:adjustRightInd w:val="0"/>
        <w:ind w:firstLine="480"/>
        <w:rPr>
          <w:rFonts w:eastAsiaTheme="minorEastAsia"/>
          <w:color w:val="000000" w:themeColor="text1"/>
        </w:rPr>
      </w:pPr>
      <w:r>
        <w:rPr>
          <w:rFonts w:eastAsiaTheme="minorEastAsia"/>
          <w:color w:val="000000" w:themeColor="text1"/>
        </w:rPr>
        <w:t>项目在建设过程中产生的废弃、不可利用的建筑垃圾拟集中收集后运送至环保部门规定的场所处置。</w:t>
      </w:r>
    </w:p>
    <w:p>
      <w:pPr>
        <w:autoSpaceDE w:val="0"/>
        <w:autoSpaceDN w:val="0"/>
        <w:adjustRightInd w:val="0"/>
        <w:ind w:firstLine="482"/>
        <w:rPr>
          <w:rFonts w:eastAsiaTheme="minorEastAsia"/>
          <w:b/>
          <w:color w:val="000000" w:themeColor="text1"/>
        </w:rPr>
      </w:pPr>
      <w:r>
        <w:rPr>
          <w:rFonts w:eastAsiaTheme="minorEastAsia"/>
          <w:b/>
          <w:color w:val="000000" w:themeColor="text1"/>
        </w:rPr>
        <w:t>3、生活垃圾</w:t>
      </w:r>
    </w:p>
    <w:p>
      <w:pPr>
        <w:autoSpaceDE w:val="0"/>
        <w:autoSpaceDN w:val="0"/>
        <w:adjustRightInd w:val="0"/>
        <w:ind w:firstLine="480"/>
        <w:rPr>
          <w:rFonts w:eastAsiaTheme="minorEastAsia"/>
          <w:b/>
          <w:color w:val="000000" w:themeColor="text1"/>
        </w:rPr>
      </w:pPr>
      <w:r>
        <w:rPr>
          <w:rFonts w:eastAsiaTheme="minorEastAsia"/>
          <w:color w:val="000000" w:themeColor="text1"/>
        </w:rPr>
        <w:t>施工人员生活垃圾收集后与原有项目员工生活垃圾一同清运处理。</w:t>
      </w:r>
      <w:bookmarkEnd w:id="631"/>
    </w:p>
    <w:p>
      <w:pPr>
        <w:pStyle w:val="6"/>
        <w:spacing w:beforeLines="0" w:afterLines="0"/>
        <w:rPr>
          <w:rFonts w:eastAsiaTheme="minorEastAsia"/>
          <w:color w:val="000000" w:themeColor="text1"/>
          <w:sz w:val="28"/>
          <w:szCs w:val="28"/>
        </w:rPr>
      </w:pPr>
      <w:bookmarkStart w:id="632" w:name="_Toc6438"/>
      <w:r>
        <w:rPr>
          <w:rFonts w:eastAsiaTheme="minorEastAsia"/>
          <w:color w:val="000000" w:themeColor="text1"/>
          <w:sz w:val="28"/>
          <w:szCs w:val="28"/>
        </w:rPr>
        <w:t>6.1.</w:t>
      </w:r>
      <w:r>
        <w:rPr>
          <w:rFonts w:hint="eastAsia" w:eastAsiaTheme="minorEastAsia"/>
          <w:color w:val="000000" w:themeColor="text1"/>
          <w:sz w:val="28"/>
          <w:szCs w:val="28"/>
        </w:rPr>
        <w:t>5</w:t>
      </w:r>
      <w:r>
        <w:rPr>
          <w:rFonts w:eastAsiaTheme="minorEastAsia"/>
          <w:color w:val="000000" w:themeColor="text1"/>
          <w:sz w:val="28"/>
          <w:szCs w:val="28"/>
        </w:rPr>
        <w:t>施工</w:t>
      </w:r>
      <w:r>
        <w:rPr>
          <w:rFonts w:hint="eastAsia" w:eastAsiaTheme="minorEastAsia"/>
          <w:color w:val="000000" w:themeColor="text1"/>
          <w:sz w:val="28"/>
          <w:szCs w:val="28"/>
        </w:rPr>
        <w:t>水土流失</w:t>
      </w:r>
      <w:r>
        <w:rPr>
          <w:rFonts w:eastAsiaTheme="minorEastAsia"/>
          <w:color w:val="000000" w:themeColor="text1"/>
          <w:sz w:val="28"/>
          <w:szCs w:val="28"/>
        </w:rPr>
        <w:t>影响分析</w:t>
      </w:r>
      <w:bookmarkEnd w:id="632"/>
    </w:p>
    <w:p>
      <w:pPr>
        <w:autoSpaceDE w:val="0"/>
        <w:autoSpaceDN w:val="0"/>
        <w:adjustRightInd w:val="0"/>
        <w:ind w:firstLine="480"/>
        <w:rPr>
          <w:rFonts w:eastAsiaTheme="minorEastAsia"/>
          <w:color w:val="000000" w:themeColor="text1"/>
        </w:rPr>
      </w:pPr>
      <w:r>
        <w:rPr>
          <w:rFonts w:hint="eastAsia" w:eastAsiaTheme="minorEastAsia"/>
          <w:color w:val="000000" w:themeColor="text1"/>
        </w:rPr>
        <w:t>项目在原厂区空地上建设，料棚建设、雨污水管线工程、初雨收集池、污水收集及处理系统等涉及</w:t>
      </w:r>
      <w:r>
        <w:rPr>
          <w:rFonts w:eastAsiaTheme="minorEastAsia"/>
          <w:color w:val="000000" w:themeColor="text1"/>
        </w:rPr>
        <w:t>一定的开挖</w:t>
      </w:r>
      <w:r>
        <w:rPr>
          <w:rFonts w:hint="eastAsia" w:eastAsiaTheme="minorEastAsia"/>
          <w:color w:val="000000" w:themeColor="text1"/>
        </w:rPr>
        <w:t>的工程会造成一定程度的水土流失，但开挖量较小，作业周期短，且项目建设后加强厂区绿化，能在一定程度上减少水土流失情况，项目的建设对区域内水土流失影响不大。</w:t>
      </w:r>
    </w:p>
    <w:p>
      <w:pPr>
        <w:pStyle w:val="6"/>
        <w:spacing w:beforeLines="0" w:afterLines="0"/>
        <w:rPr>
          <w:rFonts w:eastAsiaTheme="minorEastAsia"/>
          <w:color w:val="000000" w:themeColor="text1"/>
          <w:sz w:val="28"/>
          <w:szCs w:val="28"/>
        </w:rPr>
      </w:pPr>
      <w:bookmarkStart w:id="633" w:name="_Toc6007"/>
      <w:r>
        <w:rPr>
          <w:rFonts w:eastAsiaTheme="minorEastAsia"/>
          <w:color w:val="000000" w:themeColor="text1"/>
          <w:sz w:val="28"/>
          <w:szCs w:val="28"/>
        </w:rPr>
        <w:t>6.1.</w:t>
      </w:r>
      <w:r>
        <w:rPr>
          <w:rFonts w:hint="eastAsia" w:eastAsiaTheme="minorEastAsia"/>
          <w:color w:val="000000" w:themeColor="text1"/>
          <w:sz w:val="28"/>
          <w:szCs w:val="28"/>
        </w:rPr>
        <w:t>6</w:t>
      </w:r>
      <w:r>
        <w:rPr>
          <w:rFonts w:eastAsiaTheme="minorEastAsia"/>
          <w:color w:val="000000" w:themeColor="text1"/>
          <w:sz w:val="28"/>
          <w:szCs w:val="28"/>
        </w:rPr>
        <w:t>小结</w:t>
      </w:r>
      <w:bookmarkEnd w:id="633"/>
    </w:p>
    <w:p>
      <w:pPr>
        <w:autoSpaceDE w:val="0"/>
        <w:autoSpaceDN w:val="0"/>
        <w:adjustRightInd w:val="0"/>
        <w:ind w:firstLine="480"/>
        <w:rPr>
          <w:rFonts w:eastAsiaTheme="minorEastAsia"/>
          <w:color w:val="000000" w:themeColor="text1"/>
          <w:sz w:val="30"/>
          <w:szCs w:val="30"/>
        </w:rPr>
      </w:pPr>
      <w:r>
        <w:rPr>
          <w:rFonts w:eastAsiaTheme="minorEastAsia"/>
          <w:color w:val="000000" w:themeColor="text1"/>
        </w:rPr>
        <w:t>施工期生产废水经临时沉淀池处理后，回用于项目区洒水降尘，生活污水依托原有项目化粪池处理后</w:t>
      </w:r>
      <w:r>
        <w:rPr>
          <w:rFonts w:hint="eastAsia" w:eastAsiaTheme="minorEastAsia"/>
          <w:color w:val="000000" w:themeColor="text1"/>
        </w:rPr>
        <w:t>定期委托周边农民清掏</w:t>
      </w:r>
      <w:r>
        <w:rPr>
          <w:rFonts w:eastAsiaTheme="minorEastAsia"/>
          <w:color w:val="000000" w:themeColor="text1"/>
        </w:rPr>
        <w:t>，不外排。施工场地、施工道路在自然风作用下产生的扬尘采取防治措施后，施工大气污染物对周边环境影响较小；施工期大部分施工设备的昼间噪声在厂界</w:t>
      </w:r>
      <w:r>
        <w:rPr>
          <w:rFonts w:hint="eastAsia" w:eastAsiaTheme="minorEastAsia"/>
          <w:color w:val="000000" w:themeColor="text1"/>
        </w:rPr>
        <w:t>200m以外</w:t>
      </w:r>
      <w:r>
        <w:rPr>
          <w:rFonts w:eastAsiaTheme="minorEastAsia"/>
          <w:color w:val="000000" w:themeColor="text1"/>
        </w:rPr>
        <w:t>基本符合《建筑施工场界环境噪声排放标准》（GB12523-2011）中所规定的标准，夜间禁止施工，</w:t>
      </w:r>
      <w:r>
        <w:rPr>
          <w:rFonts w:eastAsiaTheme="minorEastAsia"/>
          <w:bCs/>
          <w:color w:val="000000" w:themeColor="text1"/>
        </w:rPr>
        <w:t>周边最近的居民点是</w:t>
      </w:r>
      <w:r>
        <w:rPr>
          <w:rFonts w:eastAsiaTheme="minorEastAsia"/>
          <w:color w:val="000000" w:themeColor="text1"/>
        </w:rPr>
        <w:t>东北侧约1095m处的四坡斗村，距离较远，而且项目与该村之间存在山体阻隔</w:t>
      </w:r>
      <w:r>
        <w:rPr>
          <w:rFonts w:eastAsiaTheme="minorEastAsia"/>
          <w:bCs/>
          <w:color w:val="000000" w:themeColor="text1"/>
        </w:rPr>
        <w:t>，因此，施工时噪声对敏感目标影响较小</w:t>
      </w:r>
      <w:r>
        <w:rPr>
          <w:rFonts w:eastAsiaTheme="minorEastAsia"/>
          <w:color w:val="000000" w:themeColor="text1"/>
        </w:rPr>
        <w:t>；施工期土石方全部用于回填，无永久弃渣产生。施工期废弃、不可利用建筑垃圾分类收集，集中运至住建部门制定地点处置。施工期生活垃圾集中收集后清运至环卫部门指定地点处置；项目占地范围内未发现国家和地方重点保护的野生及珍稀动植物，对生态影响较小。</w:t>
      </w:r>
    </w:p>
    <w:p>
      <w:pPr>
        <w:pStyle w:val="574"/>
        <w:adjustRightInd w:val="0"/>
        <w:snapToGrid w:val="0"/>
        <w:spacing w:beforeLines="0" w:afterLines="0"/>
        <w:rPr>
          <w:rFonts w:eastAsiaTheme="minorEastAsia"/>
          <w:color w:val="000000" w:themeColor="text1"/>
          <w:sz w:val="30"/>
          <w:szCs w:val="30"/>
        </w:rPr>
      </w:pPr>
      <w:bookmarkStart w:id="634" w:name="_Toc20388"/>
      <w:r>
        <w:rPr>
          <w:rFonts w:eastAsiaTheme="minorEastAsia"/>
          <w:color w:val="000000" w:themeColor="text1"/>
          <w:sz w:val="30"/>
          <w:szCs w:val="30"/>
        </w:rPr>
        <w:t>6.2运营期环境空气影响分析</w:t>
      </w:r>
      <w:bookmarkEnd w:id="634"/>
    </w:p>
    <w:p>
      <w:pPr>
        <w:pStyle w:val="6"/>
        <w:adjustRightInd w:val="0"/>
        <w:snapToGrid w:val="0"/>
        <w:spacing w:beforeLines="0" w:afterLines="0"/>
        <w:rPr>
          <w:rFonts w:eastAsiaTheme="minorEastAsia"/>
          <w:color w:val="000000" w:themeColor="text1"/>
          <w:sz w:val="28"/>
          <w:szCs w:val="28"/>
        </w:rPr>
      </w:pPr>
      <w:bookmarkStart w:id="635" w:name="_Toc292440759"/>
      <w:bookmarkStart w:id="636" w:name="_Toc274383144"/>
      <w:bookmarkStart w:id="637" w:name="_Toc30954"/>
      <w:r>
        <w:rPr>
          <w:rFonts w:eastAsiaTheme="minorEastAsia"/>
          <w:color w:val="000000" w:themeColor="text1"/>
          <w:sz w:val="28"/>
          <w:szCs w:val="28"/>
        </w:rPr>
        <w:t>6.2.1</w:t>
      </w:r>
      <w:bookmarkEnd w:id="635"/>
      <w:bookmarkEnd w:id="636"/>
      <w:bookmarkStart w:id="638" w:name="_Toc430953687"/>
      <w:bookmarkStart w:id="639" w:name="_Toc430953895"/>
      <w:bookmarkStart w:id="640" w:name="_Toc450603606"/>
      <w:bookmarkStart w:id="641" w:name="_Toc421915889"/>
      <w:bookmarkStart w:id="642" w:name="_Toc410033858"/>
      <w:bookmarkStart w:id="643" w:name="_Toc430201404"/>
      <w:r>
        <w:rPr>
          <w:rFonts w:eastAsiaTheme="minorEastAsia"/>
          <w:color w:val="000000" w:themeColor="text1"/>
          <w:sz w:val="28"/>
          <w:szCs w:val="28"/>
        </w:rPr>
        <w:t>大气环境影响分析</w:t>
      </w:r>
      <w:bookmarkEnd w:id="637"/>
      <w:bookmarkEnd w:id="638"/>
      <w:bookmarkEnd w:id="639"/>
      <w:bookmarkEnd w:id="640"/>
      <w:bookmarkEnd w:id="641"/>
      <w:bookmarkEnd w:id="642"/>
      <w:bookmarkEnd w:id="643"/>
    </w:p>
    <w:p>
      <w:pPr>
        <w:ind w:firstLine="482"/>
        <w:rPr>
          <w:b/>
          <w:bCs/>
          <w:color w:val="000000" w:themeColor="text1"/>
        </w:rPr>
      </w:pPr>
      <w:bookmarkStart w:id="644" w:name="_Toc26030"/>
      <w:r>
        <w:rPr>
          <w:b/>
          <w:bCs/>
          <w:color w:val="000000" w:themeColor="text1"/>
        </w:rPr>
        <w:t>一、气象特征统计分析</w:t>
      </w:r>
      <w:bookmarkEnd w:id="644"/>
    </w:p>
    <w:p>
      <w:pPr>
        <w:adjustRightInd w:val="0"/>
        <w:snapToGrid w:val="0"/>
        <w:ind w:firstLine="480"/>
        <w:rPr>
          <w:bCs/>
          <w:color w:val="000000" w:themeColor="text1"/>
        </w:rPr>
      </w:pPr>
      <w:r>
        <w:rPr>
          <w:bCs/>
          <w:color w:val="000000" w:themeColor="text1"/>
        </w:rPr>
        <w:t>根据《环境影响评价技术导则大气环境》（HJ2.2-2018）规定，本次评价选择距离最近的新平县气象局（区站号：56869，经纬度：101.97E，24.07N，海拔1497.5米，距离项目约29km）的2020年连续一年的逐时、逐次的常规气象观测资料，作为预测所需的气象资料。</w:t>
      </w:r>
    </w:p>
    <w:p>
      <w:pPr>
        <w:ind w:firstLine="480"/>
        <w:rPr>
          <w:color w:val="000000" w:themeColor="text1"/>
        </w:rPr>
      </w:pPr>
      <w:bookmarkStart w:id="645" w:name="_Toc15026"/>
      <w:r>
        <w:rPr>
          <w:color w:val="000000" w:themeColor="text1"/>
        </w:rPr>
        <w:t>1、气候特征</w:t>
      </w:r>
      <w:bookmarkEnd w:id="645"/>
    </w:p>
    <w:p>
      <w:pPr>
        <w:ind w:firstLine="480"/>
        <w:rPr>
          <w:color w:val="000000" w:themeColor="text1"/>
        </w:rPr>
      </w:pPr>
      <w:bookmarkStart w:id="646" w:name="_Toc8320"/>
      <w:r>
        <w:rPr>
          <w:rFonts w:hint="eastAsia"/>
          <w:color w:val="000000" w:themeColor="text1"/>
        </w:rPr>
        <w:t>新平气象站气象资料整编如下：</w:t>
      </w:r>
    </w:p>
    <w:p>
      <w:pPr>
        <w:ind w:firstLine="422"/>
        <w:jc w:val="center"/>
        <w:rPr>
          <w:color w:val="000000" w:themeColor="text1"/>
        </w:rPr>
      </w:pPr>
      <w:r>
        <w:rPr>
          <w:rFonts w:hint="eastAsia"/>
          <w:b/>
          <w:bCs/>
          <w:color w:val="000000" w:themeColor="text1"/>
          <w:sz w:val="21"/>
          <w:szCs w:val="21"/>
        </w:rPr>
        <w:t>表6.2-1新平县气象站近20年常规气象统计表</w:t>
      </w:r>
    </w:p>
    <w:tbl>
      <w:tblPr>
        <w:tblStyle w:val="646"/>
        <w:tblW w:w="8313"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47"/>
        <w:gridCol w:w="3158"/>
        <w:gridCol w:w="1623"/>
        <w:gridCol w:w="20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67" w:hRule="exact"/>
          <w:jc w:val="center"/>
        </w:trPr>
        <w:tc>
          <w:tcPr>
            <w:tcW w:w="4605" w:type="dxa"/>
            <w:gridSpan w:val="2"/>
            <w:tcBorders>
              <w:tl2br w:val="nil"/>
              <w:tr2bl w:val="nil"/>
            </w:tcBorders>
            <w:vAlign w:val="center"/>
          </w:tcPr>
          <w:p>
            <w:pPr>
              <w:pStyle w:val="617"/>
              <w:autoSpaceDE/>
              <w:autoSpaceDN/>
              <w:spacing w:line="240" w:lineRule="auto"/>
              <w:ind w:firstLine="0" w:firstLineChars="0"/>
              <w:jc w:val="center"/>
              <w:rPr>
                <w:rFonts w:ascii="宋体"/>
                <w:color w:val="000000" w:themeColor="text1"/>
                <w:sz w:val="21"/>
                <w:szCs w:val="21"/>
                <w:lang w:eastAsia="en-US"/>
              </w:rPr>
            </w:pPr>
            <w:r>
              <w:rPr>
                <w:rFonts w:hint="eastAsia" w:ascii="宋体"/>
                <w:color w:val="000000" w:themeColor="text1"/>
                <w:sz w:val="21"/>
                <w:szCs w:val="21"/>
                <w:lang w:eastAsia="en-US"/>
              </w:rPr>
              <w:t>统计项目</w:t>
            </w:r>
          </w:p>
        </w:tc>
        <w:tc>
          <w:tcPr>
            <w:tcW w:w="1623" w:type="dxa"/>
            <w:tcBorders>
              <w:tl2br w:val="nil"/>
              <w:tr2bl w:val="nil"/>
            </w:tcBorders>
            <w:vAlign w:val="center"/>
          </w:tcPr>
          <w:p>
            <w:pPr>
              <w:pStyle w:val="617"/>
              <w:autoSpaceDE/>
              <w:autoSpaceDN/>
              <w:spacing w:line="240" w:lineRule="auto"/>
              <w:ind w:firstLine="0" w:firstLineChars="0"/>
              <w:jc w:val="center"/>
              <w:rPr>
                <w:rFonts w:ascii="宋体"/>
                <w:color w:val="000000" w:themeColor="text1"/>
                <w:sz w:val="21"/>
                <w:szCs w:val="21"/>
                <w:lang w:eastAsia="en-US"/>
              </w:rPr>
            </w:pPr>
            <w:r>
              <w:rPr>
                <w:rFonts w:hint="eastAsia" w:ascii="宋体"/>
                <w:color w:val="000000" w:themeColor="text1"/>
                <w:sz w:val="21"/>
                <w:szCs w:val="21"/>
                <w:lang w:eastAsia="en-US"/>
              </w:rPr>
              <w:t>统计值</w:t>
            </w:r>
          </w:p>
        </w:tc>
        <w:tc>
          <w:tcPr>
            <w:tcW w:w="2085" w:type="dxa"/>
            <w:tcBorders>
              <w:tl2br w:val="nil"/>
              <w:tr2bl w:val="nil"/>
            </w:tcBorders>
            <w:vAlign w:val="center"/>
          </w:tcPr>
          <w:p>
            <w:pPr>
              <w:pStyle w:val="617"/>
              <w:autoSpaceDE/>
              <w:autoSpaceDN/>
              <w:spacing w:line="240" w:lineRule="auto"/>
              <w:ind w:firstLine="0" w:firstLineChars="0"/>
              <w:jc w:val="center"/>
              <w:rPr>
                <w:rFonts w:ascii="宋体"/>
                <w:color w:val="000000" w:themeColor="text1"/>
                <w:sz w:val="21"/>
                <w:szCs w:val="21"/>
                <w:lang w:eastAsia="en-US"/>
              </w:rPr>
            </w:pPr>
            <w:r>
              <w:rPr>
                <w:rFonts w:hint="eastAsia" w:ascii="宋体"/>
                <w:color w:val="000000" w:themeColor="text1"/>
                <w:sz w:val="21"/>
                <w:szCs w:val="21"/>
                <w:lang w:eastAsia="en-US"/>
              </w:rPr>
              <w:t>极值出现时间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59" w:hRule="exact"/>
          <w:jc w:val="center"/>
        </w:trPr>
        <w:tc>
          <w:tcPr>
            <w:tcW w:w="4605" w:type="dxa"/>
            <w:gridSpan w:val="2"/>
            <w:tcBorders>
              <w:tl2br w:val="nil"/>
              <w:tr2bl w:val="nil"/>
            </w:tcBorders>
            <w:vAlign w:val="center"/>
          </w:tcPr>
          <w:p>
            <w:pPr>
              <w:pStyle w:val="617"/>
              <w:autoSpaceDE/>
              <w:autoSpaceDN/>
              <w:spacing w:line="240" w:lineRule="auto"/>
              <w:ind w:firstLine="0" w:firstLineChars="0"/>
              <w:jc w:val="center"/>
              <w:rPr>
                <w:rFonts w:ascii="宋体" w:hAnsi="宋体"/>
                <w:color w:val="000000" w:themeColor="text1"/>
                <w:sz w:val="21"/>
                <w:szCs w:val="21"/>
                <w:lang w:eastAsia="en-US"/>
              </w:rPr>
            </w:pPr>
            <w:r>
              <w:rPr>
                <w:rFonts w:hint="eastAsia" w:ascii="宋体" w:hAnsi="宋体"/>
                <w:color w:val="000000" w:themeColor="text1"/>
                <w:sz w:val="21"/>
                <w:szCs w:val="21"/>
                <w:lang w:eastAsia="en-US"/>
              </w:rPr>
              <w:t>多年平均气温（℃）</w:t>
            </w:r>
          </w:p>
        </w:tc>
        <w:tc>
          <w:tcPr>
            <w:tcW w:w="1623"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1.1</w:t>
            </w:r>
          </w:p>
        </w:tc>
        <w:tc>
          <w:tcPr>
            <w:tcW w:w="2085" w:type="dxa"/>
            <w:tcBorders>
              <w:tl2br w:val="nil"/>
              <w:tr2bl w:val="nil"/>
            </w:tcBorders>
            <w:vAlign w:val="center"/>
          </w:tcPr>
          <w:p>
            <w:pPr>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59" w:hRule="exact"/>
          <w:jc w:val="center"/>
        </w:trPr>
        <w:tc>
          <w:tcPr>
            <w:tcW w:w="4605" w:type="dxa"/>
            <w:gridSpan w:val="2"/>
            <w:tcBorders>
              <w:tl2br w:val="nil"/>
              <w:tr2bl w:val="nil"/>
            </w:tcBorders>
            <w:vAlign w:val="center"/>
          </w:tcPr>
          <w:p>
            <w:pPr>
              <w:pStyle w:val="617"/>
              <w:autoSpaceDE/>
              <w:autoSpaceDN/>
              <w:spacing w:line="240" w:lineRule="auto"/>
              <w:ind w:firstLine="0" w:firstLineChars="0"/>
              <w:jc w:val="center"/>
              <w:rPr>
                <w:rFonts w:ascii="宋体" w:hAnsi="宋体"/>
                <w:color w:val="000000" w:themeColor="text1"/>
                <w:sz w:val="21"/>
                <w:szCs w:val="21"/>
                <w:lang w:eastAsia="en-US"/>
              </w:rPr>
            </w:pPr>
            <w:r>
              <w:rPr>
                <w:rFonts w:hint="eastAsia" w:ascii="宋体" w:hAnsi="宋体"/>
                <w:color w:val="000000" w:themeColor="text1"/>
                <w:sz w:val="21"/>
                <w:szCs w:val="21"/>
                <w:lang w:eastAsia="en-US"/>
              </w:rPr>
              <w:t>累年极端最高气温（℃）</w:t>
            </w:r>
          </w:p>
        </w:tc>
        <w:tc>
          <w:tcPr>
            <w:tcW w:w="1623"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32.2</w:t>
            </w:r>
          </w:p>
        </w:tc>
        <w:tc>
          <w:tcPr>
            <w:tcW w:w="2085"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2019.5.20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59" w:hRule="exact"/>
          <w:jc w:val="center"/>
        </w:trPr>
        <w:tc>
          <w:tcPr>
            <w:tcW w:w="4605" w:type="dxa"/>
            <w:gridSpan w:val="2"/>
            <w:tcBorders>
              <w:tl2br w:val="nil"/>
              <w:tr2bl w:val="nil"/>
            </w:tcBorders>
            <w:vAlign w:val="center"/>
          </w:tcPr>
          <w:p>
            <w:pPr>
              <w:pStyle w:val="617"/>
              <w:autoSpaceDE/>
              <w:autoSpaceDN/>
              <w:spacing w:line="240" w:lineRule="auto"/>
              <w:ind w:firstLine="0" w:firstLineChars="0"/>
              <w:jc w:val="center"/>
              <w:rPr>
                <w:rFonts w:ascii="宋体" w:hAnsi="宋体"/>
                <w:color w:val="000000" w:themeColor="text1"/>
                <w:sz w:val="21"/>
                <w:szCs w:val="21"/>
                <w:lang w:eastAsia="en-US"/>
              </w:rPr>
            </w:pPr>
            <w:r>
              <w:rPr>
                <w:rFonts w:hint="eastAsia" w:ascii="宋体" w:hAnsi="宋体"/>
                <w:color w:val="000000" w:themeColor="text1"/>
                <w:sz w:val="21"/>
                <w:szCs w:val="21"/>
                <w:lang w:eastAsia="en-US"/>
              </w:rPr>
              <w:t>累年极端最低气温（℃）</w:t>
            </w:r>
          </w:p>
        </w:tc>
        <w:tc>
          <w:tcPr>
            <w:tcW w:w="1623"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-2.1</w:t>
            </w:r>
          </w:p>
        </w:tc>
        <w:tc>
          <w:tcPr>
            <w:tcW w:w="2085"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59" w:hRule="exact"/>
          <w:jc w:val="center"/>
        </w:trPr>
        <w:tc>
          <w:tcPr>
            <w:tcW w:w="4605" w:type="dxa"/>
            <w:gridSpan w:val="2"/>
            <w:tcBorders>
              <w:tl2br w:val="nil"/>
              <w:tr2bl w:val="nil"/>
            </w:tcBorders>
            <w:vAlign w:val="center"/>
          </w:tcPr>
          <w:p>
            <w:pPr>
              <w:pStyle w:val="617"/>
              <w:autoSpaceDE/>
              <w:autoSpaceDN/>
              <w:spacing w:line="240" w:lineRule="auto"/>
              <w:ind w:firstLine="0" w:firstLineChars="0"/>
              <w:jc w:val="center"/>
              <w:rPr>
                <w:rFonts w:ascii="宋体"/>
                <w:color w:val="000000" w:themeColor="text1"/>
                <w:sz w:val="21"/>
                <w:szCs w:val="21"/>
                <w:lang w:eastAsia="en-US"/>
              </w:rPr>
            </w:pPr>
            <w:r>
              <w:rPr>
                <w:rFonts w:hint="eastAsia" w:ascii="宋体"/>
                <w:color w:val="000000" w:themeColor="text1"/>
                <w:sz w:val="21"/>
                <w:szCs w:val="21"/>
                <w:lang w:eastAsia="en-US"/>
              </w:rPr>
              <w:t>多年平均气压（</w:t>
            </w:r>
            <w:r>
              <w:rPr>
                <w:color w:val="000000" w:themeColor="text1"/>
                <w:sz w:val="21"/>
                <w:szCs w:val="21"/>
                <w:lang w:eastAsia="en-US"/>
              </w:rPr>
              <w:t>hPa</w:t>
            </w:r>
            <w:r>
              <w:rPr>
                <w:rFonts w:hint="eastAsia" w:ascii="宋体"/>
                <w:color w:val="000000" w:themeColor="text1"/>
                <w:sz w:val="21"/>
                <w:szCs w:val="21"/>
                <w:lang w:eastAsia="en-US"/>
              </w:rPr>
              <w:t>）</w:t>
            </w:r>
          </w:p>
        </w:tc>
        <w:tc>
          <w:tcPr>
            <w:tcW w:w="1623"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849.3</w:t>
            </w:r>
          </w:p>
        </w:tc>
        <w:tc>
          <w:tcPr>
            <w:tcW w:w="2085" w:type="dxa"/>
            <w:tcBorders>
              <w:tl2br w:val="nil"/>
              <w:tr2bl w:val="nil"/>
            </w:tcBorders>
            <w:vAlign w:val="center"/>
          </w:tcPr>
          <w:p>
            <w:pPr>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59" w:hRule="exact"/>
          <w:jc w:val="center"/>
        </w:trPr>
        <w:tc>
          <w:tcPr>
            <w:tcW w:w="4605" w:type="dxa"/>
            <w:gridSpan w:val="2"/>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ascii="宋体"/>
                <w:color w:val="000000" w:themeColor="text1"/>
                <w:sz w:val="21"/>
                <w:szCs w:val="21"/>
                <w:lang w:eastAsia="en-US"/>
              </w:rPr>
              <w:t>多年平均相对湿度</w:t>
            </w:r>
            <w:r>
              <w:rPr>
                <w:color w:val="000000" w:themeColor="text1"/>
                <w:sz w:val="21"/>
                <w:szCs w:val="21"/>
                <w:lang w:eastAsia="en-US"/>
              </w:rPr>
              <w:t>(%)</w:t>
            </w:r>
          </w:p>
        </w:tc>
        <w:tc>
          <w:tcPr>
            <w:tcW w:w="1623"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72.7</w:t>
            </w:r>
          </w:p>
        </w:tc>
        <w:tc>
          <w:tcPr>
            <w:tcW w:w="2085" w:type="dxa"/>
            <w:tcBorders>
              <w:tl2br w:val="nil"/>
              <w:tr2bl w:val="nil"/>
            </w:tcBorders>
            <w:vAlign w:val="center"/>
          </w:tcPr>
          <w:p>
            <w:pPr>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59" w:hRule="exact"/>
          <w:jc w:val="center"/>
        </w:trPr>
        <w:tc>
          <w:tcPr>
            <w:tcW w:w="4605" w:type="dxa"/>
            <w:gridSpan w:val="2"/>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ascii="宋体"/>
                <w:color w:val="000000" w:themeColor="text1"/>
                <w:sz w:val="21"/>
                <w:szCs w:val="21"/>
                <w:lang w:eastAsia="en-US"/>
              </w:rPr>
              <w:t>多年平均降雨量</w:t>
            </w:r>
            <w:r>
              <w:rPr>
                <w:color w:val="000000" w:themeColor="text1"/>
                <w:sz w:val="21"/>
                <w:szCs w:val="21"/>
                <w:lang w:eastAsia="en-US"/>
              </w:rPr>
              <w:t>(mm)</w:t>
            </w:r>
          </w:p>
        </w:tc>
        <w:tc>
          <w:tcPr>
            <w:tcW w:w="1623"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915.9</w:t>
            </w:r>
          </w:p>
        </w:tc>
        <w:tc>
          <w:tcPr>
            <w:tcW w:w="2085"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59" w:hRule="exact"/>
          <w:jc w:val="center"/>
        </w:trPr>
        <w:tc>
          <w:tcPr>
            <w:tcW w:w="1447" w:type="dxa"/>
            <w:vMerge w:val="restart"/>
            <w:tcBorders>
              <w:tl2br w:val="nil"/>
              <w:tr2bl w:val="nil"/>
            </w:tcBorders>
            <w:vAlign w:val="center"/>
          </w:tcPr>
          <w:p>
            <w:pPr>
              <w:pStyle w:val="617"/>
              <w:autoSpaceDE/>
              <w:autoSpaceDN/>
              <w:spacing w:line="240" w:lineRule="auto"/>
              <w:ind w:firstLine="0" w:firstLineChars="0"/>
              <w:jc w:val="center"/>
              <w:rPr>
                <w:rFonts w:ascii="宋体"/>
                <w:color w:val="000000" w:themeColor="text1"/>
                <w:sz w:val="21"/>
                <w:szCs w:val="21"/>
                <w:lang w:eastAsia="en-US"/>
              </w:rPr>
            </w:pPr>
          </w:p>
          <w:p>
            <w:pPr>
              <w:pStyle w:val="617"/>
              <w:autoSpaceDE/>
              <w:autoSpaceDN/>
              <w:spacing w:line="240" w:lineRule="auto"/>
              <w:ind w:firstLine="0" w:firstLineChars="0"/>
              <w:jc w:val="center"/>
              <w:rPr>
                <w:rFonts w:ascii="宋体"/>
                <w:color w:val="000000" w:themeColor="text1"/>
                <w:sz w:val="21"/>
                <w:szCs w:val="21"/>
                <w:lang w:eastAsia="en-US"/>
              </w:rPr>
            </w:pPr>
          </w:p>
          <w:p>
            <w:pPr>
              <w:pStyle w:val="617"/>
              <w:autoSpaceDE/>
              <w:autoSpaceDN/>
              <w:spacing w:line="240" w:lineRule="auto"/>
              <w:ind w:firstLine="0" w:firstLineChars="0"/>
              <w:jc w:val="center"/>
              <w:rPr>
                <w:rFonts w:ascii="宋体"/>
                <w:color w:val="000000" w:themeColor="text1"/>
                <w:sz w:val="21"/>
                <w:szCs w:val="21"/>
                <w:lang w:eastAsia="en-US"/>
              </w:rPr>
            </w:pPr>
            <w:r>
              <w:rPr>
                <w:rFonts w:hint="eastAsia" w:ascii="宋体"/>
                <w:color w:val="000000" w:themeColor="text1"/>
                <w:sz w:val="21"/>
                <w:szCs w:val="21"/>
                <w:lang w:eastAsia="en-US"/>
              </w:rPr>
              <w:t>灾害天气统计</w:t>
            </w:r>
          </w:p>
        </w:tc>
        <w:tc>
          <w:tcPr>
            <w:tcW w:w="3158"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ascii="宋体"/>
                <w:color w:val="000000" w:themeColor="text1"/>
                <w:sz w:val="21"/>
                <w:szCs w:val="21"/>
                <w:lang w:eastAsia="en-US"/>
              </w:rPr>
              <w:t>多年平均沙暴日数</w:t>
            </w:r>
            <w:r>
              <w:rPr>
                <w:color w:val="000000" w:themeColor="text1"/>
                <w:sz w:val="21"/>
                <w:szCs w:val="21"/>
                <w:lang w:eastAsia="en-US"/>
              </w:rPr>
              <w:t>(d)</w:t>
            </w:r>
          </w:p>
        </w:tc>
        <w:tc>
          <w:tcPr>
            <w:tcW w:w="1623"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w:t>
            </w:r>
          </w:p>
        </w:tc>
        <w:tc>
          <w:tcPr>
            <w:tcW w:w="2085" w:type="dxa"/>
            <w:tcBorders>
              <w:tl2br w:val="nil"/>
              <w:tr2bl w:val="nil"/>
            </w:tcBorders>
            <w:vAlign w:val="center"/>
          </w:tcPr>
          <w:p>
            <w:pPr>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59" w:hRule="exact"/>
          <w:jc w:val="center"/>
        </w:trPr>
        <w:tc>
          <w:tcPr>
            <w:tcW w:w="1447" w:type="dxa"/>
            <w:vMerge w:val="continue"/>
            <w:tcBorders>
              <w:tl2br w:val="nil"/>
              <w:tr2bl w:val="nil"/>
            </w:tcBorders>
            <w:vAlign w:val="center"/>
          </w:tcPr>
          <w:p>
            <w:pPr>
              <w:autoSpaceDE/>
              <w:autoSpaceDN/>
              <w:spacing w:line="240" w:lineRule="auto"/>
              <w:ind w:firstLine="0" w:firstLineChars="0"/>
              <w:jc w:val="center"/>
              <w:rPr>
                <w:color w:val="000000" w:themeColor="text1"/>
                <w:sz w:val="21"/>
                <w:szCs w:val="21"/>
                <w:lang w:eastAsia="en-US"/>
              </w:rPr>
            </w:pPr>
          </w:p>
        </w:tc>
        <w:tc>
          <w:tcPr>
            <w:tcW w:w="3158"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ascii="宋体"/>
                <w:color w:val="000000" w:themeColor="text1"/>
                <w:sz w:val="21"/>
                <w:szCs w:val="21"/>
                <w:lang w:eastAsia="en-US"/>
              </w:rPr>
              <w:t>多年平均雷暴日数</w:t>
            </w:r>
            <w:r>
              <w:rPr>
                <w:color w:val="000000" w:themeColor="text1"/>
                <w:sz w:val="21"/>
                <w:szCs w:val="21"/>
                <w:lang w:eastAsia="en-US"/>
              </w:rPr>
              <w:t>(d)</w:t>
            </w:r>
          </w:p>
        </w:tc>
        <w:tc>
          <w:tcPr>
            <w:tcW w:w="1623"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60.5</w:t>
            </w:r>
          </w:p>
        </w:tc>
        <w:tc>
          <w:tcPr>
            <w:tcW w:w="2085" w:type="dxa"/>
            <w:tcBorders>
              <w:tl2br w:val="nil"/>
              <w:tr2bl w:val="nil"/>
            </w:tcBorders>
            <w:vAlign w:val="center"/>
          </w:tcPr>
          <w:p>
            <w:pPr>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59" w:hRule="exact"/>
          <w:jc w:val="center"/>
        </w:trPr>
        <w:tc>
          <w:tcPr>
            <w:tcW w:w="1447" w:type="dxa"/>
            <w:vMerge w:val="continue"/>
            <w:tcBorders>
              <w:tl2br w:val="nil"/>
              <w:tr2bl w:val="nil"/>
            </w:tcBorders>
            <w:vAlign w:val="center"/>
          </w:tcPr>
          <w:p>
            <w:pPr>
              <w:autoSpaceDE/>
              <w:autoSpaceDN/>
              <w:spacing w:line="240" w:lineRule="auto"/>
              <w:ind w:firstLine="0" w:firstLineChars="0"/>
              <w:jc w:val="center"/>
              <w:rPr>
                <w:color w:val="000000" w:themeColor="text1"/>
                <w:sz w:val="21"/>
                <w:szCs w:val="21"/>
                <w:lang w:eastAsia="en-US"/>
              </w:rPr>
            </w:pPr>
          </w:p>
        </w:tc>
        <w:tc>
          <w:tcPr>
            <w:tcW w:w="3158"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ascii="宋体"/>
                <w:color w:val="000000" w:themeColor="text1"/>
                <w:sz w:val="21"/>
                <w:szCs w:val="21"/>
                <w:lang w:eastAsia="en-US"/>
              </w:rPr>
              <w:t>多年平均冰雹日数</w:t>
            </w:r>
            <w:r>
              <w:rPr>
                <w:color w:val="000000" w:themeColor="text1"/>
                <w:sz w:val="21"/>
                <w:szCs w:val="21"/>
                <w:lang w:eastAsia="en-US"/>
              </w:rPr>
              <w:t>(d)</w:t>
            </w:r>
          </w:p>
        </w:tc>
        <w:tc>
          <w:tcPr>
            <w:tcW w:w="1623"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0.5</w:t>
            </w:r>
          </w:p>
        </w:tc>
        <w:tc>
          <w:tcPr>
            <w:tcW w:w="2085" w:type="dxa"/>
            <w:tcBorders>
              <w:tl2br w:val="nil"/>
              <w:tr2bl w:val="nil"/>
            </w:tcBorders>
            <w:vAlign w:val="center"/>
          </w:tcPr>
          <w:p>
            <w:pPr>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59" w:hRule="exact"/>
          <w:jc w:val="center"/>
        </w:trPr>
        <w:tc>
          <w:tcPr>
            <w:tcW w:w="1447" w:type="dxa"/>
            <w:vMerge w:val="continue"/>
            <w:tcBorders>
              <w:tl2br w:val="nil"/>
              <w:tr2bl w:val="nil"/>
            </w:tcBorders>
            <w:vAlign w:val="center"/>
          </w:tcPr>
          <w:p>
            <w:pPr>
              <w:autoSpaceDE/>
              <w:autoSpaceDN/>
              <w:spacing w:line="240" w:lineRule="auto"/>
              <w:ind w:firstLine="0" w:firstLineChars="0"/>
              <w:jc w:val="center"/>
              <w:rPr>
                <w:color w:val="000000" w:themeColor="text1"/>
                <w:sz w:val="21"/>
                <w:szCs w:val="21"/>
                <w:lang w:eastAsia="en-US"/>
              </w:rPr>
            </w:pPr>
          </w:p>
        </w:tc>
        <w:tc>
          <w:tcPr>
            <w:tcW w:w="3158"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ascii="宋体"/>
                <w:color w:val="000000" w:themeColor="text1"/>
                <w:sz w:val="21"/>
                <w:szCs w:val="21"/>
                <w:lang w:eastAsia="en-US"/>
              </w:rPr>
              <w:t>多年平均大风日数</w:t>
            </w:r>
            <w:r>
              <w:rPr>
                <w:color w:val="000000" w:themeColor="text1"/>
                <w:sz w:val="21"/>
                <w:szCs w:val="21"/>
                <w:lang w:eastAsia="en-US"/>
              </w:rPr>
              <w:t>(d)</w:t>
            </w:r>
          </w:p>
        </w:tc>
        <w:tc>
          <w:tcPr>
            <w:tcW w:w="1623"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4.5</w:t>
            </w:r>
          </w:p>
        </w:tc>
        <w:tc>
          <w:tcPr>
            <w:tcW w:w="2085" w:type="dxa"/>
            <w:tcBorders>
              <w:tl2br w:val="nil"/>
              <w:tr2bl w:val="nil"/>
            </w:tcBorders>
            <w:vAlign w:val="center"/>
          </w:tcPr>
          <w:p>
            <w:pPr>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857" w:hRule="exact"/>
          <w:jc w:val="center"/>
        </w:trPr>
        <w:tc>
          <w:tcPr>
            <w:tcW w:w="4605" w:type="dxa"/>
            <w:gridSpan w:val="2"/>
            <w:tcBorders>
              <w:tl2br w:val="nil"/>
              <w:tr2bl w:val="nil"/>
            </w:tcBorders>
            <w:vAlign w:val="center"/>
          </w:tcPr>
          <w:p>
            <w:pPr>
              <w:pStyle w:val="617"/>
              <w:autoSpaceDE/>
              <w:autoSpaceDN/>
              <w:spacing w:line="240" w:lineRule="auto"/>
              <w:ind w:firstLine="0" w:firstLineChars="0"/>
              <w:jc w:val="center"/>
              <w:rPr>
                <w:rFonts w:ascii="宋体"/>
                <w:color w:val="000000" w:themeColor="text1"/>
                <w:sz w:val="21"/>
                <w:szCs w:val="21"/>
                <w:lang w:eastAsia="en-US"/>
              </w:rPr>
            </w:pPr>
            <w:r>
              <w:rPr>
                <w:rFonts w:hint="eastAsia" w:ascii="宋体"/>
                <w:color w:val="000000" w:themeColor="text1"/>
                <w:sz w:val="21"/>
                <w:szCs w:val="21"/>
                <w:lang w:eastAsia="en-US"/>
              </w:rPr>
              <w:t>多年实测极大风速（</w:t>
            </w:r>
            <w:r>
              <w:rPr>
                <w:color w:val="000000" w:themeColor="text1"/>
                <w:w w:val="99"/>
                <w:sz w:val="21"/>
                <w:szCs w:val="21"/>
                <w:lang w:eastAsia="en-US"/>
              </w:rPr>
              <w:t>m/</w:t>
            </w:r>
            <w:r>
              <w:rPr>
                <w:color w:val="000000" w:themeColor="text1"/>
                <w:spacing w:val="-3"/>
                <w:w w:val="99"/>
                <w:sz w:val="21"/>
                <w:szCs w:val="21"/>
                <w:lang w:eastAsia="en-US"/>
              </w:rPr>
              <w:t>s</w:t>
            </w:r>
            <w:r>
              <w:rPr>
                <w:rFonts w:hint="eastAsia" w:ascii="宋体"/>
                <w:color w:val="000000" w:themeColor="text1"/>
                <w:sz w:val="21"/>
                <w:szCs w:val="21"/>
                <w:lang w:eastAsia="en-US"/>
              </w:rPr>
              <w:t>）、相应风向</w:t>
            </w:r>
          </w:p>
        </w:tc>
        <w:tc>
          <w:tcPr>
            <w:tcW w:w="1623"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27.3</w:t>
            </w:r>
          </w:p>
        </w:tc>
        <w:tc>
          <w:tcPr>
            <w:tcW w:w="2085"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2016.4.21对应风向：281.0/W</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59" w:hRule="exact"/>
          <w:jc w:val="center"/>
        </w:trPr>
        <w:tc>
          <w:tcPr>
            <w:tcW w:w="4605" w:type="dxa"/>
            <w:gridSpan w:val="2"/>
            <w:tcBorders>
              <w:tl2br w:val="nil"/>
              <w:tr2bl w:val="nil"/>
            </w:tcBorders>
            <w:vAlign w:val="center"/>
          </w:tcPr>
          <w:p>
            <w:pPr>
              <w:pStyle w:val="617"/>
              <w:autoSpaceDE/>
              <w:autoSpaceDN/>
              <w:spacing w:line="240" w:lineRule="auto"/>
              <w:ind w:firstLine="0" w:firstLineChars="0"/>
              <w:jc w:val="center"/>
              <w:rPr>
                <w:rFonts w:ascii="宋体"/>
                <w:color w:val="000000" w:themeColor="text1"/>
                <w:sz w:val="21"/>
                <w:szCs w:val="21"/>
                <w:lang w:eastAsia="en-US"/>
              </w:rPr>
            </w:pPr>
            <w:r>
              <w:rPr>
                <w:rFonts w:hint="eastAsia" w:ascii="宋体"/>
                <w:color w:val="000000" w:themeColor="text1"/>
                <w:sz w:val="21"/>
                <w:szCs w:val="21"/>
                <w:lang w:eastAsia="en-US"/>
              </w:rPr>
              <w:t>多年平均风速（</w:t>
            </w:r>
            <w:r>
              <w:rPr>
                <w:color w:val="000000" w:themeColor="text1"/>
                <w:sz w:val="21"/>
                <w:szCs w:val="21"/>
                <w:lang w:eastAsia="en-US"/>
              </w:rPr>
              <w:t>m/s</w:t>
            </w:r>
            <w:r>
              <w:rPr>
                <w:rFonts w:hint="eastAsia" w:ascii="宋体"/>
                <w:color w:val="000000" w:themeColor="text1"/>
                <w:sz w:val="21"/>
                <w:szCs w:val="21"/>
                <w:lang w:eastAsia="en-US"/>
              </w:rPr>
              <w:t>）</w:t>
            </w:r>
          </w:p>
        </w:tc>
        <w:tc>
          <w:tcPr>
            <w:tcW w:w="1623"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2.1</w:t>
            </w:r>
          </w:p>
        </w:tc>
        <w:tc>
          <w:tcPr>
            <w:tcW w:w="2085" w:type="dxa"/>
            <w:tcBorders>
              <w:tl2br w:val="nil"/>
              <w:tr2bl w:val="nil"/>
            </w:tcBorders>
            <w:vAlign w:val="center"/>
          </w:tcPr>
          <w:p>
            <w:pPr>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17" w:hRule="exact"/>
          <w:jc w:val="center"/>
        </w:trPr>
        <w:tc>
          <w:tcPr>
            <w:tcW w:w="4605" w:type="dxa"/>
            <w:gridSpan w:val="2"/>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最小年降水量（</w:t>
            </w:r>
            <w:r>
              <w:rPr>
                <w:color w:val="000000" w:themeColor="text1"/>
                <w:sz w:val="21"/>
                <w:szCs w:val="21"/>
                <w:lang w:eastAsia="en-US"/>
              </w:rPr>
              <w:t>mm</w:t>
            </w:r>
            <w:r>
              <w:rPr>
                <w:rFonts w:hint="eastAsia"/>
                <w:color w:val="000000" w:themeColor="text1"/>
                <w:sz w:val="21"/>
                <w:szCs w:val="21"/>
                <w:lang w:eastAsia="en-US"/>
              </w:rPr>
              <w:t>）</w:t>
            </w:r>
          </w:p>
        </w:tc>
        <w:tc>
          <w:tcPr>
            <w:tcW w:w="1623" w:type="dxa"/>
            <w:tcBorders>
              <w:tl2br w:val="nil"/>
              <w:tr2bl w:val="nil"/>
            </w:tcBorders>
            <w:vAlign w:val="center"/>
          </w:tcPr>
          <w:p>
            <w:pPr>
              <w:pStyle w:val="617"/>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647.4</w:t>
            </w:r>
          </w:p>
        </w:tc>
        <w:tc>
          <w:tcPr>
            <w:tcW w:w="2085" w:type="dxa"/>
            <w:tcBorders>
              <w:tl2br w:val="nil"/>
              <w:tr2bl w:val="nil"/>
            </w:tcBorders>
            <w:vAlign w:val="center"/>
          </w:tcPr>
          <w:p>
            <w:pPr>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97" w:hRule="exact"/>
          <w:jc w:val="center"/>
        </w:trPr>
        <w:tc>
          <w:tcPr>
            <w:tcW w:w="4605" w:type="dxa"/>
            <w:gridSpan w:val="2"/>
            <w:tcBorders>
              <w:tl2br w:val="nil"/>
              <w:tr2bl w:val="nil"/>
            </w:tcBorders>
            <w:vAlign w:val="center"/>
          </w:tcPr>
          <w:p>
            <w:pPr>
              <w:pStyle w:val="617"/>
              <w:autoSpaceDE/>
              <w:autoSpaceDN/>
              <w:spacing w:line="240" w:lineRule="auto"/>
              <w:ind w:firstLine="0" w:firstLineChars="0"/>
              <w:jc w:val="center"/>
              <w:rPr>
                <w:rFonts w:ascii="宋体"/>
                <w:color w:val="000000" w:themeColor="text1"/>
                <w:sz w:val="21"/>
                <w:szCs w:val="21"/>
                <w:lang w:eastAsia="en-US"/>
              </w:rPr>
            </w:pPr>
            <w:r>
              <w:rPr>
                <w:rFonts w:hint="eastAsia" w:ascii="宋体"/>
                <w:color w:val="000000" w:themeColor="text1"/>
                <w:sz w:val="21"/>
                <w:szCs w:val="21"/>
                <w:lang w:eastAsia="en-US"/>
              </w:rPr>
              <w:t>多年静风频率</w:t>
            </w:r>
            <w:r>
              <w:rPr>
                <w:color w:val="000000" w:themeColor="text1"/>
                <w:sz w:val="21"/>
                <w:szCs w:val="21"/>
                <w:lang w:eastAsia="en-US"/>
              </w:rPr>
              <w:t>(</w:t>
            </w:r>
            <w:r>
              <w:rPr>
                <w:rFonts w:hint="eastAsia" w:ascii="宋体"/>
                <w:color w:val="000000" w:themeColor="text1"/>
                <w:sz w:val="21"/>
                <w:szCs w:val="21"/>
                <w:lang w:eastAsia="en-US"/>
              </w:rPr>
              <w:t>风速</w:t>
            </w:r>
            <w:r>
              <w:rPr>
                <w:color w:val="000000" w:themeColor="text1"/>
                <w:sz w:val="21"/>
                <w:szCs w:val="21"/>
                <w:lang w:eastAsia="en-US"/>
              </w:rPr>
              <w:t>&lt;=0.2m/s)(%)</w:t>
            </w:r>
          </w:p>
        </w:tc>
        <w:tc>
          <w:tcPr>
            <w:tcW w:w="1623" w:type="dxa"/>
            <w:tcBorders>
              <w:tl2br w:val="nil"/>
              <w:tr2bl w:val="nil"/>
            </w:tcBorders>
            <w:vAlign w:val="center"/>
          </w:tcPr>
          <w:p>
            <w:pPr>
              <w:pStyle w:val="617"/>
              <w:autoSpaceDE/>
              <w:autoSpaceDN/>
              <w:spacing w:line="240" w:lineRule="auto"/>
              <w:ind w:firstLine="0" w:firstLineChars="0"/>
              <w:jc w:val="center"/>
              <w:rPr>
                <w:rFonts w:ascii="宋体"/>
                <w:color w:val="000000" w:themeColor="text1"/>
                <w:sz w:val="21"/>
                <w:szCs w:val="21"/>
                <w:lang w:eastAsia="en-US"/>
              </w:rPr>
            </w:pPr>
            <w:r>
              <w:rPr>
                <w:color w:val="000000" w:themeColor="text1"/>
                <w:sz w:val="21"/>
                <w:szCs w:val="21"/>
                <w:lang w:eastAsia="en-US"/>
              </w:rPr>
              <w:t>20.2</w:t>
            </w:r>
          </w:p>
        </w:tc>
        <w:tc>
          <w:tcPr>
            <w:tcW w:w="2085" w:type="dxa"/>
            <w:tcBorders>
              <w:tl2br w:val="nil"/>
              <w:tr2bl w:val="nil"/>
            </w:tcBorders>
            <w:vAlign w:val="center"/>
          </w:tcPr>
          <w:p>
            <w:pPr>
              <w:autoSpaceDE/>
              <w:autoSpaceDN/>
              <w:spacing w:line="240" w:lineRule="auto"/>
              <w:ind w:firstLine="0" w:firstLineChars="0"/>
              <w:jc w:val="center"/>
              <w:rPr>
                <w:color w:val="000000" w:themeColor="text1"/>
                <w:sz w:val="21"/>
                <w:szCs w:val="21"/>
                <w:lang w:eastAsia="en-US"/>
              </w:rPr>
            </w:pPr>
            <w:r>
              <w:rPr>
                <w:rFonts w:hint="eastAsia"/>
                <w:color w:val="000000" w:themeColor="text1"/>
                <w:sz w:val="21"/>
                <w:szCs w:val="21"/>
                <w:lang w:eastAsia="en-US"/>
              </w:rPr>
              <w:t>/</w:t>
            </w:r>
          </w:p>
        </w:tc>
      </w:tr>
    </w:tbl>
    <w:p>
      <w:pPr>
        <w:ind w:firstLine="480"/>
        <w:rPr>
          <w:color w:val="000000" w:themeColor="text1"/>
        </w:rPr>
      </w:pPr>
    </w:p>
    <w:p>
      <w:pPr>
        <w:ind w:firstLine="480"/>
        <w:rPr>
          <w:color w:val="000000" w:themeColor="text1"/>
        </w:rPr>
      </w:pPr>
      <w:r>
        <w:rPr>
          <w:color w:val="000000" w:themeColor="text1"/>
        </w:rPr>
        <w:t>2、气象特征</w:t>
      </w:r>
      <w:bookmarkEnd w:id="646"/>
    </w:p>
    <w:p>
      <w:pPr>
        <w:widowControl/>
        <w:ind w:firstLine="480"/>
        <w:rPr>
          <w:bCs/>
          <w:color w:val="000000" w:themeColor="text1"/>
        </w:rPr>
      </w:pPr>
      <w:r>
        <w:rPr>
          <w:color w:val="000000" w:themeColor="text1"/>
          <w:kern w:val="0"/>
          <w:szCs w:val="24"/>
        </w:rPr>
        <w:t>新平县2020年年平均气温18.88℃，日平均气温最大值为26.70℃，发生于5月24日平均湿度为69.58%，出现频率最高的稳定度级别D为77.06%，此稳定度下平均混合层高度829m，此稳定度下的总体平均风速2.28m/s。</w:t>
      </w:r>
    </w:p>
    <w:p>
      <w:pPr>
        <w:ind w:firstLine="480"/>
        <w:rPr>
          <w:color w:val="000000" w:themeColor="text1"/>
        </w:rPr>
      </w:pPr>
      <w:bookmarkStart w:id="647" w:name="_Toc22449"/>
      <w:r>
        <w:rPr>
          <w:color w:val="000000" w:themeColor="text1"/>
        </w:rPr>
        <w:t>（1）风向</w:t>
      </w:r>
      <w:bookmarkEnd w:id="647"/>
    </w:p>
    <w:p>
      <w:pPr>
        <w:adjustRightInd w:val="0"/>
        <w:snapToGrid w:val="0"/>
        <w:ind w:firstLine="480"/>
        <w:rPr>
          <w:bCs/>
          <w:color w:val="000000" w:themeColor="text1"/>
        </w:rPr>
      </w:pPr>
      <w:r>
        <w:rPr>
          <w:bCs/>
          <w:color w:val="000000" w:themeColor="text1"/>
        </w:rPr>
        <w:t>地面风向频率统计结果见下表所示。（本次评价中四季划分的月分为春：3～5月，夏：6～8月，秋：9～11月，冬：12～2月。下同），新平县2020年全年和各季风向频率玫瑰图见下图。</w:t>
      </w:r>
    </w:p>
    <w:p>
      <w:pPr>
        <w:pStyle w:val="78"/>
        <w:ind w:firstLine="480"/>
        <w:jc w:val="center"/>
        <w:rPr>
          <w:b/>
          <w:color w:val="000000" w:themeColor="text1"/>
          <w:sz w:val="21"/>
          <w:szCs w:val="21"/>
        </w:rPr>
        <w:sectPr>
          <w:headerReference r:id="rId23" w:type="default"/>
          <w:footerReference r:id="rId24" w:type="default"/>
          <w:pgSz w:w="11906" w:h="16838"/>
          <w:pgMar w:top="1440" w:right="1800" w:bottom="1440" w:left="1800" w:header="851" w:footer="992" w:gutter="0"/>
          <w:cols w:space="720" w:num="1"/>
          <w:docGrid w:type="lines" w:linePitch="312" w:charSpace="0"/>
        </w:sectPr>
      </w:pPr>
      <w:r>
        <w:rPr>
          <w:color w:val="000000" w:themeColor="text1"/>
        </w:rPr>
        <w:drawing>
          <wp:inline distT="0" distB="0" distL="114300" distR="114300">
            <wp:extent cx="4825365" cy="6776085"/>
            <wp:effectExtent l="0" t="0" r="13335" b="5715"/>
            <wp:docPr id="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
                    <pic:cNvPicPr>
                      <a:picLocks noChangeAspect="1"/>
                    </pic:cNvPicPr>
                  </pic:nvPicPr>
                  <pic:blipFill>
                    <a:blip r:embed="rId84" cstate="print"/>
                    <a:srcRect t="1523"/>
                    <a:stretch>
                      <a:fillRect/>
                    </a:stretch>
                  </pic:blipFill>
                  <pic:spPr>
                    <a:xfrm>
                      <a:off x="0" y="0"/>
                      <a:ext cx="4825365" cy="6776085"/>
                    </a:xfrm>
                    <a:prstGeom prst="rect">
                      <a:avLst/>
                    </a:prstGeom>
                    <a:noFill/>
                    <a:ln>
                      <a:noFill/>
                    </a:ln>
                  </pic:spPr>
                </pic:pic>
              </a:graphicData>
            </a:graphic>
          </wp:inline>
        </w:drawing>
      </w:r>
      <w:r>
        <w:rPr>
          <w:b/>
          <w:color w:val="000000" w:themeColor="text1"/>
          <w:sz w:val="21"/>
          <w:szCs w:val="21"/>
        </w:rPr>
        <w:t>图</w:t>
      </w:r>
      <w:r>
        <w:rPr>
          <w:rFonts w:hint="eastAsia"/>
          <w:b/>
          <w:color w:val="000000" w:themeColor="text1"/>
          <w:sz w:val="21"/>
          <w:szCs w:val="21"/>
        </w:rPr>
        <w:t>6.2</w:t>
      </w:r>
      <w:r>
        <w:rPr>
          <w:b/>
          <w:color w:val="000000" w:themeColor="text1"/>
          <w:sz w:val="21"/>
          <w:szCs w:val="21"/>
        </w:rPr>
        <w:t>-1新平县2020年风频玫瑰图</w:t>
      </w:r>
    </w:p>
    <w:p>
      <w:pPr>
        <w:pStyle w:val="78"/>
        <w:ind w:firstLine="422"/>
        <w:jc w:val="center"/>
        <w:rPr>
          <w:b/>
          <w:color w:val="000000" w:themeColor="text1"/>
          <w:sz w:val="21"/>
          <w:szCs w:val="21"/>
        </w:rPr>
      </w:pPr>
      <w:r>
        <w:rPr>
          <w:b/>
          <w:color w:val="000000" w:themeColor="text1"/>
          <w:sz w:val="21"/>
          <w:szCs w:val="21"/>
        </w:rPr>
        <w:t>表</w:t>
      </w:r>
      <w:r>
        <w:rPr>
          <w:rFonts w:hint="eastAsia"/>
          <w:b/>
          <w:color w:val="000000" w:themeColor="text1"/>
          <w:sz w:val="21"/>
          <w:szCs w:val="21"/>
        </w:rPr>
        <w:t>6</w:t>
      </w:r>
      <w:r>
        <w:rPr>
          <w:b/>
          <w:color w:val="000000" w:themeColor="text1"/>
          <w:sz w:val="21"/>
          <w:szCs w:val="21"/>
        </w:rPr>
        <w:t>.2-</w:t>
      </w:r>
      <w:r>
        <w:rPr>
          <w:rFonts w:hint="eastAsia"/>
          <w:b/>
          <w:color w:val="000000" w:themeColor="text1"/>
          <w:sz w:val="21"/>
          <w:szCs w:val="21"/>
        </w:rPr>
        <w:t>2</w:t>
      </w:r>
      <w:r>
        <w:rPr>
          <w:b/>
          <w:color w:val="000000" w:themeColor="text1"/>
          <w:sz w:val="21"/>
          <w:szCs w:val="21"/>
        </w:rPr>
        <w:t>新平县2020年年均风频月变化表</w:t>
      </w:r>
    </w:p>
    <w:tbl>
      <w:tblPr>
        <w:tblStyle w:val="61"/>
        <w:tblW w:w="14157" w:type="dxa"/>
        <w:tblInd w:w="0" w:type="dxa"/>
        <w:shd w:val="clear" w:color="auto" w:fill="FFFFFF" w:themeFill="background1"/>
        <w:tblLayout w:type="fixed"/>
        <w:tblCellMar>
          <w:top w:w="0" w:type="dxa"/>
          <w:left w:w="108" w:type="dxa"/>
          <w:bottom w:w="0" w:type="dxa"/>
          <w:right w:w="108" w:type="dxa"/>
        </w:tblCellMar>
      </w:tblPr>
      <w:tblGrid>
        <w:gridCol w:w="1503"/>
        <w:gridCol w:w="742"/>
        <w:gridCol w:w="742"/>
        <w:gridCol w:w="743"/>
        <w:gridCol w:w="743"/>
        <w:gridCol w:w="743"/>
        <w:gridCol w:w="743"/>
        <w:gridCol w:w="743"/>
        <w:gridCol w:w="743"/>
        <w:gridCol w:w="743"/>
        <w:gridCol w:w="743"/>
        <w:gridCol w:w="743"/>
        <w:gridCol w:w="743"/>
        <w:gridCol w:w="743"/>
        <w:gridCol w:w="765"/>
        <w:gridCol w:w="743"/>
        <w:gridCol w:w="743"/>
        <w:gridCol w:w="746"/>
      </w:tblGrid>
      <w:tr>
        <w:tblPrEx>
          <w:shd w:val="clear" w:color="auto" w:fill="FFFFFF" w:themeFill="background1"/>
          <w:tblLayout w:type="fixed"/>
          <w:tblCellMar>
            <w:top w:w="0" w:type="dxa"/>
            <w:left w:w="108" w:type="dxa"/>
            <w:bottom w:w="0" w:type="dxa"/>
            <w:right w:w="108" w:type="dxa"/>
          </w:tblCellMar>
        </w:tblPrEx>
        <w:trPr>
          <w:trHeight w:val="645" w:hRule="atLeast"/>
        </w:trPr>
        <w:tc>
          <w:tcPr>
            <w:tcW w:w="1503" w:type="dxa"/>
            <w:tcBorders>
              <w:top w:val="single" w:color="000000" w:sz="4" w:space="0"/>
              <w:left w:val="single" w:color="000000" w:sz="4" w:space="0"/>
              <w:bottom w:val="single" w:color="000000" w:sz="4" w:space="0"/>
              <w:right w:val="single" w:color="000000" w:sz="4" w:space="0"/>
              <w:tl2br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kern w:val="0"/>
                <w:sz w:val="21"/>
                <w:szCs w:val="21"/>
              </w:rPr>
            </w:pPr>
            <w:r>
              <w:rPr>
                <w:color w:val="000000" w:themeColor="text1"/>
                <w:kern w:val="0"/>
                <w:sz w:val="21"/>
                <w:szCs w:val="21"/>
              </w:rPr>
              <w:t>风频(%)</w:t>
            </w:r>
          </w:p>
          <w:p>
            <w:pPr>
              <w:widowControl/>
              <w:ind w:firstLine="0" w:firstLineChars="0"/>
              <w:jc w:val="center"/>
              <w:textAlignment w:val="center"/>
              <w:rPr>
                <w:color w:val="000000" w:themeColor="text1"/>
                <w:sz w:val="21"/>
                <w:szCs w:val="21"/>
              </w:rPr>
            </w:pPr>
            <w:r>
              <w:rPr>
                <w:color w:val="000000" w:themeColor="text1"/>
                <w:kern w:val="0"/>
                <w:sz w:val="21"/>
                <w:szCs w:val="21"/>
              </w:rPr>
              <w:t>风向</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N</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NNE</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NE</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ENE</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E</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ESE</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SE</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SSE</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S</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SSW</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SW</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WSW</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W</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WNW</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NW</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NNW</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C</w:t>
            </w:r>
          </w:p>
        </w:tc>
      </w:tr>
      <w:tr>
        <w:tblPrEx>
          <w:tblLayout w:type="fixed"/>
          <w:tblCellMar>
            <w:top w:w="0" w:type="dxa"/>
            <w:left w:w="108" w:type="dxa"/>
            <w:bottom w:w="0" w:type="dxa"/>
            <w:right w:w="108" w:type="dxa"/>
          </w:tblCellMar>
        </w:tblPrEx>
        <w:trPr>
          <w:trHeight w:val="285" w:hRule="atLeast"/>
        </w:trPr>
        <w:tc>
          <w:tcPr>
            <w:tcW w:w="150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一月</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2.02</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4.03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2.96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6.59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3.09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3.63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6.72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19.62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24.19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14.11</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2.42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2.69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1.08</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2.82</w:t>
            </w:r>
          </w:p>
        </w:tc>
      </w:tr>
      <w:tr>
        <w:tblPrEx>
          <w:tblLayout w:type="fixed"/>
          <w:tblCellMar>
            <w:top w:w="0" w:type="dxa"/>
            <w:left w:w="108" w:type="dxa"/>
            <w:bottom w:w="0" w:type="dxa"/>
            <w:right w:w="108" w:type="dxa"/>
          </w:tblCellMar>
        </w:tblPrEx>
        <w:trPr>
          <w:trHeight w:val="285" w:hRule="atLeast"/>
        </w:trPr>
        <w:tc>
          <w:tcPr>
            <w:tcW w:w="150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二月</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1.15</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3.59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2.59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6.03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6.18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2.16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1.72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1.15</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3.74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8.62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17.67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23.28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15.37</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2.16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0.72</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2.87</w:t>
            </w:r>
          </w:p>
        </w:tc>
      </w:tr>
      <w:tr>
        <w:tblPrEx>
          <w:tblLayout w:type="fixed"/>
          <w:tblCellMar>
            <w:top w:w="0" w:type="dxa"/>
            <w:left w:w="108" w:type="dxa"/>
            <w:bottom w:w="0" w:type="dxa"/>
            <w:right w:w="108" w:type="dxa"/>
          </w:tblCellMar>
        </w:tblPrEx>
        <w:trPr>
          <w:trHeight w:val="285" w:hRule="atLeast"/>
        </w:trPr>
        <w:tc>
          <w:tcPr>
            <w:tcW w:w="150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三月</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0.81</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6.85</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0.13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2.69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0.67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0.40</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4.70</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20.97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29.03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13.04</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2.96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0.81</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13.17</w:t>
            </w:r>
          </w:p>
        </w:tc>
      </w:tr>
      <w:tr>
        <w:tblPrEx>
          <w:tblLayout w:type="fixed"/>
          <w:tblCellMar>
            <w:top w:w="0" w:type="dxa"/>
            <w:left w:w="108" w:type="dxa"/>
            <w:bottom w:w="0" w:type="dxa"/>
            <w:right w:w="108" w:type="dxa"/>
          </w:tblCellMar>
        </w:tblPrEx>
        <w:trPr>
          <w:trHeight w:val="285" w:hRule="atLeast"/>
        </w:trPr>
        <w:tc>
          <w:tcPr>
            <w:tcW w:w="150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四月</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0.69</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4.31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3.33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4.03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6.25</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2.08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1.25</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0.14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7.22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17.92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24.72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15.97</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1.25</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0.14</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7.36</w:t>
            </w:r>
          </w:p>
        </w:tc>
      </w:tr>
      <w:tr>
        <w:tblPrEx>
          <w:tblLayout w:type="fixed"/>
          <w:tblCellMar>
            <w:top w:w="0" w:type="dxa"/>
            <w:left w:w="108" w:type="dxa"/>
            <w:bottom w:w="0" w:type="dxa"/>
            <w:right w:w="108" w:type="dxa"/>
          </w:tblCellMar>
        </w:tblPrEx>
        <w:trPr>
          <w:trHeight w:val="285" w:hRule="atLeast"/>
        </w:trPr>
        <w:tc>
          <w:tcPr>
            <w:tcW w:w="150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五月</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0.81</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2.82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0.54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5.11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0.67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2.02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5.91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21.91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29.30</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16.94</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2.55</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0.54</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6.85</w:t>
            </w:r>
          </w:p>
        </w:tc>
      </w:tr>
      <w:tr>
        <w:tblPrEx>
          <w:tblLayout w:type="fixed"/>
          <w:tblCellMar>
            <w:top w:w="0" w:type="dxa"/>
            <w:left w:w="108" w:type="dxa"/>
            <w:bottom w:w="0" w:type="dxa"/>
            <w:right w:w="108" w:type="dxa"/>
          </w:tblCellMar>
        </w:tblPrEx>
        <w:trPr>
          <w:trHeight w:val="285" w:hRule="atLeast"/>
        </w:trPr>
        <w:tc>
          <w:tcPr>
            <w:tcW w:w="150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六月</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0.14</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0.56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0.56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0.00</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2.50</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9.44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23.89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30.69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18.33</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3.89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0.69</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4.44</w:t>
            </w:r>
          </w:p>
        </w:tc>
      </w:tr>
      <w:tr>
        <w:tblPrEx>
          <w:tblLayout w:type="fixed"/>
          <w:tblCellMar>
            <w:top w:w="0" w:type="dxa"/>
            <w:left w:w="108" w:type="dxa"/>
            <w:bottom w:w="0" w:type="dxa"/>
            <w:right w:w="108" w:type="dxa"/>
          </w:tblCellMar>
        </w:tblPrEx>
        <w:trPr>
          <w:trHeight w:val="285" w:hRule="atLeast"/>
        </w:trPr>
        <w:tc>
          <w:tcPr>
            <w:tcW w:w="150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七月</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0.94</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3.76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2.02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2.02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4.97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3.23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8.06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16.53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22.98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18.82</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3.23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0.54</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8.60</w:t>
            </w:r>
          </w:p>
        </w:tc>
      </w:tr>
      <w:tr>
        <w:tblPrEx>
          <w:tblLayout w:type="fixed"/>
          <w:tblCellMar>
            <w:top w:w="0" w:type="dxa"/>
            <w:left w:w="108" w:type="dxa"/>
            <w:bottom w:w="0" w:type="dxa"/>
            <w:right w:w="108" w:type="dxa"/>
          </w:tblCellMar>
        </w:tblPrEx>
        <w:trPr>
          <w:trHeight w:val="285" w:hRule="atLeast"/>
        </w:trPr>
        <w:tc>
          <w:tcPr>
            <w:tcW w:w="150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八月</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1.88</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4.44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3.63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5.24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11.83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2.02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0.67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3.36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4.84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9.81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14.52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17.07</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1.48</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14.92</w:t>
            </w:r>
          </w:p>
        </w:tc>
      </w:tr>
      <w:tr>
        <w:tblPrEx>
          <w:tblLayout w:type="fixed"/>
          <w:tblCellMar>
            <w:top w:w="0" w:type="dxa"/>
            <w:left w:w="108" w:type="dxa"/>
            <w:bottom w:w="0" w:type="dxa"/>
            <w:right w:w="108" w:type="dxa"/>
          </w:tblCellMar>
        </w:tblPrEx>
        <w:trPr>
          <w:trHeight w:val="285" w:hRule="atLeast"/>
        </w:trPr>
        <w:tc>
          <w:tcPr>
            <w:tcW w:w="150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九月</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1.11</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6.67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4.86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4.86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13.33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2.36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3.47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5.28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9.58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19.17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15.00</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2.92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2.22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0.83</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5.97</w:t>
            </w:r>
          </w:p>
        </w:tc>
      </w:tr>
      <w:tr>
        <w:tblPrEx>
          <w:tblLayout w:type="fixed"/>
          <w:tblCellMar>
            <w:top w:w="0" w:type="dxa"/>
            <w:left w:w="108" w:type="dxa"/>
            <w:bottom w:w="0" w:type="dxa"/>
            <w:right w:w="108" w:type="dxa"/>
          </w:tblCellMar>
        </w:tblPrEx>
        <w:trPr>
          <w:trHeight w:val="285" w:hRule="atLeast"/>
        </w:trPr>
        <w:tc>
          <w:tcPr>
            <w:tcW w:w="150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十月</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1.34</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5.38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6.99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7.12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18.68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3.90</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2.28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4.57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8.47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15.86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12.37</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0.67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0.67</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8.06</w:t>
            </w:r>
          </w:p>
        </w:tc>
      </w:tr>
      <w:tr>
        <w:tblPrEx>
          <w:tblLayout w:type="fixed"/>
          <w:tblCellMar>
            <w:top w:w="0" w:type="dxa"/>
            <w:left w:w="108" w:type="dxa"/>
            <w:bottom w:w="0" w:type="dxa"/>
            <w:right w:w="108" w:type="dxa"/>
          </w:tblCellMar>
        </w:tblPrEx>
        <w:trPr>
          <w:trHeight w:val="285" w:hRule="atLeast"/>
        </w:trPr>
        <w:tc>
          <w:tcPr>
            <w:tcW w:w="150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十一月</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0.14</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2.08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2.22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3.75</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13.33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2.36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4.17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5.14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15.69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20.14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15.28</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1.94</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1.25</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0.69</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9.72</w:t>
            </w:r>
          </w:p>
        </w:tc>
      </w:tr>
      <w:tr>
        <w:tblPrEx>
          <w:tblLayout w:type="fixed"/>
          <w:tblCellMar>
            <w:top w:w="0" w:type="dxa"/>
            <w:left w:w="108" w:type="dxa"/>
            <w:bottom w:w="0" w:type="dxa"/>
            <w:right w:w="108" w:type="dxa"/>
          </w:tblCellMar>
        </w:tblPrEx>
        <w:trPr>
          <w:trHeight w:val="285" w:hRule="atLeast"/>
        </w:trPr>
        <w:tc>
          <w:tcPr>
            <w:tcW w:w="150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十二月</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1.21</w:t>
            </w:r>
          </w:p>
        </w:tc>
        <w:tc>
          <w:tcPr>
            <w:tcW w:w="74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3.49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3.90</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4.70</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7.39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2.15</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0.67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3.09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6.45</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15.19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19.49</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14.92</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2.15</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1.08</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12.10</w:t>
            </w:r>
          </w:p>
        </w:tc>
      </w:tr>
    </w:tbl>
    <w:p>
      <w:pPr>
        <w:pStyle w:val="78"/>
        <w:ind w:firstLine="422"/>
        <w:jc w:val="center"/>
        <w:rPr>
          <w:b/>
          <w:color w:val="000000" w:themeColor="text1"/>
          <w:sz w:val="21"/>
          <w:szCs w:val="21"/>
        </w:rPr>
      </w:pPr>
    </w:p>
    <w:p>
      <w:pPr>
        <w:pStyle w:val="78"/>
        <w:ind w:firstLine="422"/>
        <w:jc w:val="center"/>
        <w:rPr>
          <w:b/>
          <w:color w:val="000000" w:themeColor="text1"/>
          <w:sz w:val="21"/>
          <w:szCs w:val="21"/>
        </w:rPr>
      </w:pPr>
    </w:p>
    <w:p>
      <w:pPr>
        <w:pStyle w:val="78"/>
        <w:ind w:firstLine="422"/>
        <w:jc w:val="center"/>
        <w:rPr>
          <w:b/>
          <w:color w:val="000000" w:themeColor="text1"/>
          <w:sz w:val="21"/>
          <w:szCs w:val="21"/>
        </w:rPr>
      </w:pPr>
      <w:r>
        <w:rPr>
          <w:b/>
          <w:color w:val="000000" w:themeColor="text1"/>
          <w:sz w:val="21"/>
          <w:szCs w:val="21"/>
        </w:rPr>
        <w:t>表</w:t>
      </w:r>
      <w:r>
        <w:rPr>
          <w:rFonts w:hint="eastAsia"/>
          <w:b/>
          <w:color w:val="000000" w:themeColor="text1"/>
          <w:sz w:val="21"/>
          <w:szCs w:val="21"/>
        </w:rPr>
        <w:t>6</w:t>
      </w:r>
      <w:r>
        <w:rPr>
          <w:b/>
          <w:color w:val="000000" w:themeColor="text1"/>
          <w:sz w:val="21"/>
          <w:szCs w:val="21"/>
        </w:rPr>
        <w:t>.2-</w:t>
      </w:r>
      <w:r>
        <w:rPr>
          <w:rFonts w:hint="eastAsia"/>
          <w:b/>
          <w:color w:val="000000" w:themeColor="text1"/>
          <w:sz w:val="21"/>
          <w:szCs w:val="21"/>
        </w:rPr>
        <w:t>3</w:t>
      </w:r>
      <w:r>
        <w:rPr>
          <w:b/>
          <w:color w:val="000000" w:themeColor="text1"/>
          <w:sz w:val="21"/>
          <w:szCs w:val="21"/>
        </w:rPr>
        <w:t>新平县2020年年均风频季变化及年均风频表</w:t>
      </w:r>
    </w:p>
    <w:tbl>
      <w:tblPr>
        <w:tblStyle w:val="61"/>
        <w:tblW w:w="14165" w:type="dxa"/>
        <w:tblInd w:w="0" w:type="dxa"/>
        <w:shd w:val="clear" w:color="auto" w:fill="FFFFFF" w:themeFill="background1"/>
        <w:tblLayout w:type="fixed"/>
        <w:tblCellMar>
          <w:top w:w="0" w:type="dxa"/>
          <w:left w:w="108" w:type="dxa"/>
          <w:bottom w:w="0" w:type="dxa"/>
          <w:right w:w="108" w:type="dxa"/>
        </w:tblCellMar>
      </w:tblPr>
      <w:tblGrid>
        <w:gridCol w:w="1501"/>
        <w:gridCol w:w="743"/>
        <w:gridCol w:w="743"/>
        <w:gridCol w:w="743"/>
        <w:gridCol w:w="743"/>
        <w:gridCol w:w="743"/>
        <w:gridCol w:w="743"/>
        <w:gridCol w:w="743"/>
        <w:gridCol w:w="744"/>
        <w:gridCol w:w="744"/>
        <w:gridCol w:w="744"/>
        <w:gridCol w:w="744"/>
        <w:gridCol w:w="744"/>
        <w:gridCol w:w="744"/>
        <w:gridCol w:w="765"/>
        <w:gridCol w:w="744"/>
        <w:gridCol w:w="744"/>
        <w:gridCol w:w="746"/>
      </w:tblGrid>
      <w:tr>
        <w:tblPrEx>
          <w:shd w:val="clear" w:color="auto" w:fill="FFFFFF" w:themeFill="background1"/>
          <w:tblLayout w:type="fixed"/>
          <w:tblCellMar>
            <w:top w:w="0" w:type="dxa"/>
            <w:left w:w="108" w:type="dxa"/>
            <w:bottom w:w="0" w:type="dxa"/>
            <w:right w:w="108" w:type="dxa"/>
          </w:tblCellMar>
        </w:tblPrEx>
        <w:trPr>
          <w:trHeight w:val="600" w:hRule="atLeast"/>
        </w:trPr>
        <w:tc>
          <w:tcPr>
            <w:tcW w:w="1501" w:type="dxa"/>
            <w:tcBorders>
              <w:top w:val="single" w:color="000000" w:sz="4" w:space="0"/>
              <w:left w:val="single" w:color="000000" w:sz="4" w:space="0"/>
              <w:bottom w:val="single" w:color="000000" w:sz="4" w:space="0"/>
              <w:right w:val="single" w:color="000000" w:sz="4" w:space="0"/>
              <w:tl2br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风频(%)风向</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N</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NNE</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NE</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ENE</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E</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ESE</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SE</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SSE</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S</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SSW</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SW</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WSW</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W</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WNW</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NW</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NNW</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C</w:t>
            </w:r>
          </w:p>
        </w:tc>
      </w:tr>
      <w:tr>
        <w:tblPrEx>
          <w:tblLayout w:type="fixed"/>
          <w:tblCellMar>
            <w:top w:w="0" w:type="dxa"/>
            <w:left w:w="108" w:type="dxa"/>
            <w:bottom w:w="0" w:type="dxa"/>
            <w:right w:w="108" w:type="dxa"/>
          </w:tblCellMar>
        </w:tblPrEx>
        <w:trPr>
          <w:trHeight w:val="285" w:hRule="atLeast"/>
        </w:trPr>
        <w:tc>
          <w:tcPr>
            <w:tcW w:w="150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春季</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0.77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4.66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1.45</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1.77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4.66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0.86</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0.45</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1.63</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5.93</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20.29</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27.72</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15.31</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2.26</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1.22</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0.50</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9.15</w:t>
            </w:r>
          </w:p>
        </w:tc>
      </w:tr>
      <w:tr>
        <w:tblPrEx>
          <w:tblLayout w:type="fixed"/>
          <w:tblCellMar>
            <w:top w:w="0" w:type="dxa"/>
            <w:left w:w="108" w:type="dxa"/>
            <w:bottom w:w="0" w:type="dxa"/>
            <w:right w:w="108" w:type="dxa"/>
          </w:tblCellMar>
        </w:tblPrEx>
        <w:trPr>
          <w:trHeight w:val="285" w:hRule="atLeast"/>
        </w:trPr>
        <w:tc>
          <w:tcPr>
            <w:tcW w:w="150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夏季</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1.00</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3.13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2.17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2.72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6.02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0.86</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0.54</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3.03</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7.43</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16.67</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22.64</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18.07</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2.99</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1.13</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0.91</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9.38</w:t>
            </w:r>
          </w:p>
        </w:tc>
      </w:tr>
      <w:tr>
        <w:tblPrEx>
          <w:tblLayout w:type="fixed"/>
          <w:tblCellMar>
            <w:top w:w="0" w:type="dxa"/>
            <w:left w:w="108" w:type="dxa"/>
            <w:bottom w:w="0" w:type="dxa"/>
            <w:right w:w="108" w:type="dxa"/>
          </w:tblCellMar>
        </w:tblPrEx>
        <w:trPr>
          <w:trHeight w:val="285" w:hRule="atLeast"/>
        </w:trPr>
        <w:tc>
          <w:tcPr>
            <w:tcW w:w="150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秋季</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4.72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4.72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5.27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15.16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2.88</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1.14</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1.10</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3.30</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4.99</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11.22</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18.36</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14.19</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2.06</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1.37</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0.73</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7.92</w:t>
            </w:r>
          </w:p>
        </w:tc>
      </w:tr>
      <w:tr>
        <w:tblPrEx>
          <w:tblLayout w:type="fixed"/>
          <w:tblCellMar>
            <w:top w:w="0" w:type="dxa"/>
            <w:left w:w="108" w:type="dxa"/>
            <w:bottom w:w="0" w:type="dxa"/>
            <w:right w:w="108" w:type="dxa"/>
          </w:tblCellMar>
        </w:tblPrEx>
        <w:trPr>
          <w:trHeight w:val="285" w:hRule="atLeast"/>
        </w:trPr>
        <w:tc>
          <w:tcPr>
            <w:tcW w:w="150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冬季</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3.71</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2.56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4.53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6.73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2.47</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1.47</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0.92</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3.48</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7.23</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17.49</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22.30</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14.79</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2.24</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1.65</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0.96</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6.00</w:t>
            </w:r>
          </w:p>
        </w:tc>
      </w:tr>
      <w:tr>
        <w:tblPrEx>
          <w:tblLayout w:type="fixed"/>
          <w:tblCellMar>
            <w:top w:w="0" w:type="dxa"/>
            <w:left w:w="108" w:type="dxa"/>
            <w:bottom w:w="0" w:type="dxa"/>
            <w:right w:w="108" w:type="dxa"/>
          </w:tblCellMar>
        </w:tblPrEx>
        <w:trPr>
          <w:trHeight w:val="285" w:hRule="atLeast"/>
        </w:trPr>
        <w:tc>
          <w:tcPr>
            <w:tcW w:w="150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全年</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4.05</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2.72</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3.56</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8.13</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2.00</w:t>
            </w:r>
          </w:p>
        </w:tc>
        <w:tc>
          <w:tcPr>
            <w:tcW w:w="74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1.08</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0.75</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2.86</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6.40</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16.43</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22.77</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15.60</w:t>
            </w:r>
          </w:p>
        </w:tc>
        <w:tc>
          <w:tcPr>
            <w:tcW w:w="76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2.39</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1.34</w:t>
            </w:r>
          </w:p>
        </w:tc>
        <w:tc>
          <w:tcPr>
            <w:tcW w:w="74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0.77</w:t>
            </w:r>
          </w:p>
        </w:tc>
        <w:tc>
          <w:tcPr>
            <w:tcW w:w="74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8.12</w:t>
            </w:r>
          </w:p>
        </w:tc>
      </w:tr>
    </w:tbl>
    <w:p>
      <w:pPr>
        <w:pStyle w:val="78"/>
        <w:ind w:firstLine="422"/>
        <w:jc w:val="center"/>
        <w:rPr>
          <w:b/>
          <w:color w:val="000000" w:themeColor="text1"/>
          <w:sz w:val="21"/>
          <w:szCs w:val="21"/>
        </w:rPr>
        <w:sectPr>
          <w:pgSz w:w="16838" w:h="11906" w:orient="landscape"/>
          <w:pgMar w:top="1800" w:right="1440" w:bottom="1800" w:left="1440" w:header="851" w:footer="992" w:gutter="0"/>
          <w:cols w:space="720" w:num="1"/>
          <w:docGrid w:type="lines" w:linePitch="312" w:charSpace="0"/>
        </w:sectPr>
      </w:pPr>
    </w:p>
    <w:p>
      <w:pPr>
        <w:ind w:firstLine="480"/>
        <w:rPr>
          <w:color w:val="000000" w:themeColor="text1"/>
        </w:rPr>
      </w:pPr>
      <w:bookmarkStart w:id="648" w:name="_Toc29371"/>
      <w:r>
        <w:rPr>
          <w:color w:val="000000" w:themeColor="text1"/>
        </w:rPr>
        <w:t>（2）风速</w:t>
      </w:r>
      <w:bookmarkEnd w:id="648"/>
    </w:p>
    <w:p>
      <w:pPr>
        <w:pStyle w:val="78"/>
        <w:ind w:firstLine="480"/>
        <w:jc w:val="both"/>
        <w:rPr>
          <w:bCs/>
          <w:color w:val="000000" w:themeColor="text1"/>
          <w:szCs w:val="24"/>
        </w:rPr>
      </w:pPr>
      <w:r>
        <w:rPr>
          <w:bCs/>
          <w:color w:val="000000" w:themeColor="text1"/>
          <w:szCs w:val="24"/>
        </w:rPr>
        <w:t>新平县2020年风速玫瑰图见下图所示：</w:t>
      </w:r>
    </w:p>
    <w:p>
      <w:pPr>
        <w:pStyle w:val="78"/>
        <w:ind w:firstLine="480"/>
        <w:jc w:val="both"/>
        <w:rPr>
          <w:color w:val="000000" w:themeColor="text1"/>
        </w:rPr>
      </w:pPr>
      <w:r>
        <w:rPr>
          <w:color w:val="000000" w:themeColor="text1"/>
        </w:rPr>
        <w:drawing>
          <wp:inline distT="0" distB="0" distL="114300" distR="114300">
            <wp:extent cx="4825365" cy="6757035"/>
            <wp:effectExtent l="0" t="0" r="13335" b="571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85" cstate="print"/>
                    <a:srcRect t="1800"/>
                    <a:stretch>
                      <a:fillRect/>
                    </a:stretch>
                  </pic:blipFill>
                  <pic:spPr>
                    <a:xfrm>
                      <a:off x="0" y="0"/>
                      <a:ext cx="4825365" cy="6757035"/>
                    </a:xfrm>
                    <a:prstGeom prst="rect">
                      <a:avLst/>
                    </a:prstGeom>
                    <a:noFill/>
                    <a:ln>
                      <a:noFill/>
                    </a:ln>
                  </pic:spPr>
                </pic:pic>
              </a:graphicData>
            </a:graphic>
          </wp:inline>
        </w:drawing>
      </w:r>
    </w:p>
    <w:p>
      <w:pPr>
        <w:pStyle w:val="78"/>
        <w:ind w:firstLine="422"/>
        <w:jc w:val="center"/>
        <w:rPr>
          <w:b/>
          <w:bCs/>
          <w:color w:val="000000" w:themeColor="text1"/>
          <w:sz w:val="21"/>
          <w:szCs w:val="21"/>
        </w:rPr>
        <w:sectPr>
          <w:pgSz w:w="11906" w:h="16838"/>
          <w:pgMar w:top="1440" w:right="1800" w:bottom="1440" w:left="1800" w:header="851" w:footer="992" w:gutter="0"/>
          <w:cols w:space="720" w:num="1"/>
          <w:docGrid w:type="lines" w:linePitch="312" w:charSpace="0"/>
        </w:sectPr>
      </w:pPr>
      <w:r>
        <w:rPr>
          <w:b/>
          <w:bCs/>
          <w:color w:val="000000" w:themeColor="text1"/>
          <w:sz w:val="21"/>
          <w:szCs w:val="21"/>
        </w:rPr>
        <w:t>图</w:t>
      </w:r>
      <w:r>
        <w:rPr>
          <w:rFonts w:hint="eastAsia"/>
          <w:b/>
          <w:bCs/>
          <w:color w:val="000000" w:themeColor="text1"/>
          <w:sz w:val="21"/>
          <w:szCs w:val="21"/>
        </w:rPr>
        <w:t>6</w:t>
      </w:r>
      <w:r>
        <w:rPr>
          <w:b/>
          <w:bCs/>
          <w:color w:val="000000" w:themeColor="text1"/>
          <w:sz w:val="21"/>
          <w:szCs w:val="21"/>
        </w:rPr>
        <w:t>.2-2新平县2020年风速玫瑰图</w:t>
      </w:r>
    </w:p>
    <w:p>
      <w:pPr>
        <w:ind w:firstLine="480"/>
        <w:rPr>
          <w:bCs/>
          <w:color w:val="000000" w:themeColor="text1"/>
          <w:szCs w:val="32"/>
        </w:rPr>
      </w:pPr>
      <w:r>
        <w:rPr>
          <w:bCs/>
          <w:color w:val="000000" w:themeColor="text1"/>
          <w:szCs w:val="32"/>
        </w:rPr>
        <w:t>风速的大小决定了污染物在环境空气中的输送扩散能力。评价区域2020年各风向的地面平均风速分布统计结果见下表和图5.2-3。</w:t>
      </w:r>
    </w:p>
    <w:p>
      <w:pPr>
        <w:autoSpaceDE w:val="0"/>
        <w:autoSpaceDN w:val="0"/>
        <w:adjustRightInd w:val="0"/>
        <w:ind w:firstLine="422"/>
        <w:jc w:val="center"/>
        <w:rPr>
          <w:b/>
          <w:bCs/>
          <w:color w:val="000000" w:themeColor="text1"/>
          <w:sz w:val="21"/>
          <w:szCs w:val="21"/>
        </w:rPr>
      </w:pPr>
      <w:r>
        <w:rPr>
          <w:b/>
          <w:color w:val="000000" w:themeColor="text1"/>
          <w:sz w:val="21"/>
          <w:szCs w:val="21"/>
        </w:rPr>
        <w:t>表</w:t>
      </w:r>
      <w:r>
        <w:rPr>
          <w:rFonts w:hint="eastAsia"/>
          <w:b/>
          <w:color w:val="000000" w:themeColor="text1"/>
          <w:sz w:val="21"/>
          <w:szCs w:val="21"/>
        </w:rPr>
        <w:t>6</w:t>
      </w:r>
      <w:r>
        <w:rPr>
          <w:b/>
          <w:color w:val="000000" w:themeColor="text1"/>
          <w:sz w:val="21"/>
          <w:szCs w:val="21"/>
        </w:rPr>
        <w:t>.2-</w:t>
      </w:r>
      <w:r>
        <w:rPr>
          <w:rFonts w:hint="eastAsia"/>
          <w:b/>
          <w:color w:val="000000" w:themeColor="text1"/>
          <w:sz w:val="21"/>
          <w:szCs w:val="21"/>
        </w:rPr>
        <w:t>4</w:t>
      </w:r>
      <w:r>
        <w:rPr>
          <w:b/>
          <w:bCs/>
          <w:color w:val="000000" w:themeColor="text1"/>
          <w:sz w:val="21"/>
          <w:szCs w:val="21"/>
        </w:rPr>
        <w:t>新平县2020</w:t>
      </w:r>
      <w:r>
        <w:rPr>
          <w:rFonts w:hint="eastAsia"/>
          <w:b/>
          <w:bCs/>
          <w:color w:val="000000" w:themeColor="text1"/>
          <w:sz w:val="21"/>
          <w:szCs w:val="21"/>
        </w:rPr>
        <w:t>年</w:t>
      </w:r>
      <w:r>
        <w:rPr>
          <w:b/>
          <w:bCs/>
          <w:color w:val="000000" w:themeColor="text1"/>
          <w:sz w:val="21"/>
          <w:szCs w:val="21"/>
        </w:rPr>
        <w:t>风向、风速月、季变化（%）单位m/s</w:t>
      </w:r>
    </w:p>
    <w:tbl>
      <w:tblPr>
        <w:tblStyle w:val="61"/>
        <w:tblW w:w="13980" w:type="dxa"/>
        <w:tblInd w:w="0" w:type="dxa"/>
        <w:tblLayout w:type="fixed"/>
        <w:tblCellMar>
          <w:top w:w="0" w:type="dxa"/>
          <w:left w:w="0" w:type="dxa"/>
          <w:bottom w:w="0" w:type="dxa"/>
          <w:right w:w="0" w:type="dxa"/>
        </w:tblCellMar>
      </w:tblPr>
      <w:tblGrid>
        <w:gridCol w:w="776"/>
        <w:gridCol w:w="776"/>
        <w:gridCol w:w="776"/>
        <w:gridCol w:w="776"/>
        <w:gridCol w:w="776"/>
        <w:gridCol w:w="776"/>
        <w:gridCol w:w="776"/>
        <w:gridCol w:w="776"/>
        <w:gridCol w:w="776"/>
        <w:gridCol w:w="776"/>
        <w:gridCol w:w="776"/>
        <w:gridCol w:w="776"/>
        <w:gridCol w:w="776"/>
        <w:gridCol w:w="776"/>
        <w:gridCol w:w="779"/>
        <w:gridCol w:w="779"/>
        <w:gridCol w:w="779"/>
        <w:gridCol w:w="779"/>
      </w:tblGrid>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月份</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N</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NNE</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NE</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ENE</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E</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ESE</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SE</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SSE</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S</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SSW</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SW</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WSW</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W</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WNW</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NW</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NNW</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widowControl/>
              <w:adjustRightInd w:val="0"/>
              <w:snapToGrid w:val="0"/>
              <w:ind w:firstLine="0" w:firstLineChars="0"/>
              <w:jc w:val="center"/>
              <w:textAlignment w:val="bottom"/>
              <w:rPr>
                <w:color w:val="000000" w:themeColor="text1"/>
                <w:sz w:val="21"/>
                <w:szCs w:val="21"/>
              </w:rPr>
            </w:pPr>
            <w:r>
              <w:rPr>
                <w:color w:val="000000" w:themeColor="text1"/>
                <w:kern w:val="0"/>
                <w:sz w:val="21"/>
                <w:szCs w:val="21"/>
              </w:rPr>
              <w:t>平均</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一月</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0.46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1.98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0.76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2.41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3.75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2.36</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1.15</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0.95</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0.86</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2.5</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二月</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0.74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0.36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1.91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2.25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2.22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1.97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2.87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3.35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2.48</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0.72</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0.81</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0.72</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2.31</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三月</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2.25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0.25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1.99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1.42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3.22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4.29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4.04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2.86</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1.47</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0.96</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0.58</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2.79</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四月</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1.83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2.35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2.14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1.29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1.41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1.81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3.87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3.58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2.34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1.84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2.53</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五月</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0.44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1.61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2.15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2.53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2.45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4.28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3.69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3.07</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1.58</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0.65</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2.99</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六月</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0.48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1.92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2.14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3.28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3.85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3.18</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1.57</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0.91</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3.16</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七月</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0.76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0.79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1.25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2.87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2.64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2.95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1.43</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1.03</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1.03</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2.14</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八月</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0.68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1.69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1.85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1.29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1.67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2.17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2.51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2.19</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1.21</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1.19</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1.57</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九月</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0.71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0.58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1.25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1.64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1.97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2.45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2.33</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0.98</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0.76</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0.57</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1.68</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十月</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1.49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2.03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1.86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1.69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2.01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1.77</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0.97</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1.57</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十一月</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0.56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1.89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1.93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2.19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2.14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1.44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1.93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2.22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2.48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1.69</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0.63</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0.78</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1.81</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十二月</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0.56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1.94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2.13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2.16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2.84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2.95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2.64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1.09</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0.96</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2.06</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b/>
                <w:bCs/>
                <w:color w:val="000000" w:themeColor="text1"/>
                <w:sz w:val="21"/>
                <w:szCs w:val="21"/>
              </w:rPr>
            </w:pPr>
            <w:r>
              <w:rPr>
                <w:b/>
                <w:bCs/>
                <w:color w:val="000000" w:themeColor="text1"/>
                <w:sz w:val="21"/>
                <w:szCs w:val="21"/>
              </w:rPr>
              <w:t>全年</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0.57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1.99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1.84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2.39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3.22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3.23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2.46</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1.24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1.06</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0.85</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2.26</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春季</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0.46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2.11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1.41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4.16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3.78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2.76</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1.52</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0.68</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2.77</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夏季</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1.17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1.42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1.68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1.24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2.29</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3.03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3.04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3.14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2.59</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1.44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1.06</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2.28</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秋季</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0.68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1.44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1.65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1.86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1.74</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1.98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2.33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1.94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0.87</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0.79</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0.76</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1.68</w:t>
            </w:r>
          </w:p>
        </w:tc>
      </w:tr>
      <w:tr>
        <w:tblPrEx>
          <w:tblLayout w:type="fixed"/>
          <w:tblCellMar>
            <w:top w:w="0" w:type="dxa"/>
            <w:left w:w="0" w:type="dxa"/>
            <w:bottom w:w="0" w:type="dxa"/>
            <w:right w:w="0" w:type="dxa"/>
          </w:tblCellMar>
        </w:tblPrEx>
        <w:trPr>
          <w:trHeight w:val="340" w:hRule="atLeast"/>
        </w:trPr>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textAlignment w:val="center"/>
              <w:rPr>
                <w:color w:val="000000" w:themeColor="text1"/>
                <w:sz w:val="21"/>
                <w:szCs w:val="21"/>
              </w:rPr>
            </w:pPr>
            <w:r>
              <w:rPr>
                <w:color w:val="000000" w:themeColor="text1"/>
                <w:sz w:val="21"/>
                <w:szCs w:val="21"/>
              </w:rPr>
              <w:t>冬季</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0.85</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0.46</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1.78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2.01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2.13</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1.32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1.02</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1.57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2.17</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3.1</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3.38</w:t>
            </w:r>
          </w:p>
        </w:tc>
        <w:tc>
          <w:tcPr>
            <w:tcW w:w="77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2.5</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1</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0.94</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0.87</w:t>
            </w:r>
          </w:p>
        </w:tc>
        <w:tc>
          <w:tcPr>
            <w:tcW w:w="779"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adjustRightInd w:val="0"/>
              <w:snapToGrid w:val="0"/>
              <w:ind w:firstLine="0" w:firstLineChars="0"/>
              <w:jc w:val="center"/>
              <w:rPr>
                <w:color w:val="000000" w:themeColor="text1"/>
                <w:sz w:val="21"/>
                <w:szCs w:val="21"/>
              </w:rPr>
            </w:pPr>
            <w:r>
              <w:rPr>
                <w:color w:val="000000" w:themeColor="text1"/>
                <w:sz w:val="21"/>
                <w:szCs w:val="21"/>
              </w:rPr>
              <w:t>2.29</w:t>
            </w:r>
          </w:p>
        </w:tc>
      </w:tr>
    </w:tbl>
    <w:p>
      <w:pPr>
        <w:pStyle w:val="78"/>
        <w:ind w:left="480" w:leftChars="200" w:firstLine="0" w:firstLineChars="0"/>
        <w:jc w:val="both"/>
        <w:rPr>
          <w:b/>
          <w:color w:val="000000" w:themeColor="text1"/>
          <w:szCs w:val="24"/>
        </w:rPr>
      </w:pPr>
    </w:p>
    <w:p>
      <w:pPr>
        <w:autoSpaceDE w:val="0"/>
        <w:autoSpaceDN w:val="0"/>
        <w:adjustRightInd w:val="0"/>
        <w:ind w:firstLine="422"/>
        <w:jc w:val="center"/>
        <w:rPr>
          <w:b/>
          <w:color w:val="000000" w:themeColor="text1"/>
          <w:sz w:val="21"/>
          <w:szCs w:val="21"/>
        </w:rPr>
        <w:sectPr>
          <w:pgSz w:w="16838" w:h="11906" w:orient="landscape"/>
          <w:pgMar w:top="1800" w:right="1440" w:bottom="1800" w:left="1440" w:header="851" w:footer="992" w:gutter="0"/>
          <w:cols w:space="720" w:num="1"/>
          <w:docGrid w:type="lines" w:linePitch="312" w:charSpace="0"/>
        </w:sectPr>
      </w:pPr>
    </w:p>
    <w:p>
      <w:pPr>
        <w:autoSpaceDE w:val="0"/>
        <w:autoSpaceDN w:val="0"/>
        <w:adjustRightInd w:val="0"/>
        <w:snapToGrid w:val="0"/>
        <w:ind w:firstLine="480"/>
        <w:rPr>
          <w:b/>
          <w:color w:val="000000" w:themeColor="text1"/>
          <w:sz w:val="21"/>
          <w:szCs w:val="21"/>
        </w:rPr>
      </w:pPr>
      <w:r>
        <w:rPr>
          <w:bCs/>
          <w:color w:val="000000" w:themeColor="text1"/>
          <w:szCs w:val="32"/>
        </w:rPr>
        <w:t>新平县2020年季小时平均风速的日变化见下表。</w:t>
      </w:r>
    </w:p>
    <w:p>
      <w:pPr>
        <w:autoSpaceDE w:val="0"/>
        <w:autoSpaceDN w:val="0"/>
        <w:adjustRightInd w:val="0"/>
        <w:ind w:firstLine="422"/>
        <w:jc w:val="center"/>
        <w:rPr>
          <w:b/>
          <w:color w:val="000000" w:themeColor="text1"/>
          <w:sz w:val="21"/>
          <w:szCs w:val="21"/>
        </w:rPr>
      </w:pPr>
      <w:r>
        <w:rPr>
          <w:b/>
          <w:color w:val="000000" w:themeColor="text1"/>
          <w:sz w:val="21"/>
          <w:szCs w:val="21"/>
        </w:rPr>
        <w:t>表</w:t>
      </w:r>
      <w:r>
        <w:rPr>
          <w:rFonts w:hint="eastAsia"/>
          <w:b/>
          <w:color w:val="000000" w:themeColor="text1"/>
          <w:sz w:val="21"/>
          <w:szCs w:val="21"/>
        </w:rPr>
        <w:t>6</w:t>
      </w:r>
      <w:r>
        <w:rPr>
          <w:b/>
          <w:color w:val="000000" w:themeColor="text1"/>
          <w:sz w:val="21"/>
          <w:szCs w:val="21"/>
        </w:rPr>
        <w:t>.2-</w:t>
      </w:r>
      <w:r>
        <w:rPr>
          <w:rFonts w:hint="eastAsia"/>
          <w:b/>
          <w:color w:val="000000" w:themeColor="text1"/>
          <w:sz w:val="21"/>
          <w:szCs w:val="21"/>
        </w:rPr>
        <w:t>5</w:t>
      </w:r>
      <w:r>
        <w:rPr>
          <w:b/>
          <w:color w:val="000000" w:themeColor="text1"/>
          <w:sz w:val="21"/>
          <w:szCs w:val="21"/>
        </w:rPr>
        <w:t>新平县2020年季小时平均风速的日变化表</w:t>
      </w:r>
    </w:p>
    <w:tbl>
      <w:tblPr>
        <w:tblStyle w:val="61"/>
        <w:tblW w:w="8616" w:type="dxa"/>
        <w:jc w:val="center"/>
        <w:tblInd w:w="0" w:type="dxa"/>
        <w:shd w:val="clear" w:color="auto" w:fill="FFFFFF" w:themeFill="background1"/>
        <w:tblLayout w:type="fixed"/>
        <w:tblCellMar>
          <w:top w:w="0" w:type="dxa"/>
          <w:left w:w="108" w:type="dxa"/>
          <w:bottom w:w="0" w:type="dxa"/>
          <w:right w:w="108" w:type="dxa"/>
        </w:tblCellMar>
      </w:tblPr>
      <w:tblGrid>
        <w:gridCol w:w="1008"/>
        <w:gridCol w:w="585"/>
        <w:gridCol w:w="600"/>
        <w:gridCol w:w="630"/>
        <w:gridCol w:w="600"/>
        <w:gridCol w:w="645"/>
        <w:gridCol w:w="585"/>
        <w:gridCol w:w="630"/>
        <w:gridCol w:w="705"/>
        <w:gridCol w:w="615"/>
        <w:gridCol w:w="645"/>
        <w:gridCol w:w="675"/>
        <w:gridCol w:w="693"/>
      </w:tblGrid>
      <w:tr>
        <w:tblPrEx>
          <w:shd w:val="clear" w:color="auto" w:fill="FFFFFF" w:themeFill="background1"/>
          <w:tblLayout w:type="fixed"/>
          <w:tblCellMar>
            <w:top w:w="0" w:type="dxa"/>
            <w:left w:w="108" w:type="dxa"/>
            <w:bottom w:w="0" w:type="dxa"/>
            <w:right w:w="108" w:type="dxa"/>
          </w:tblCellMar>
        </w:tblPrEx>
        <w:trPr>
          <w:trHeight w:val="971" w:hRule="atLeast"/>
          <w:jc w:val="center"/>
        </w:trPr>
        <w:tc>
          <w:tcPr>
            <w:tcW w:w="1008" w:type="dxa"/>
            <w:tcBorders>
              <w:top w:val="single" w:color="000000" w:sz="4" w:space="0"/>
              <w:left w:val="single" w:color="000000" w:sz="4" w:space="0"/>
              <w:bottom w:val="single" w:color="000000" w:sz="4" w:space="0"/>
              <w:right w:val="single" w:color="000000" w:sz="4" w:space="0"/>
              <w:tl2br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风速(m/s)小时(h)</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1</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2</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3</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4</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5</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6</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7</w:t>
            </w:r>
          </w:p>
        </w:tc>
        <w:tc>
          <w:tcPr>
            <w:tcW w:w="70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8</w:t>
            </w:r>
          </w:p>
        </w:tc>
        <w:tc>
          <w:tcPr>
            <w:tcW w:w="61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9</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10</w:t>
            </w:r>
          </w:p>
        </w:tc>
        <w:tc>
          <w:tcPr>
            <w:tcW w:w="67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11</w:t>
            </w:r>
          </w:p>
        </w:tc>
        <w:tc>
          <w:tcPr>
            <w:tcW w:w="69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12</w:t>
            </w:r>
          </w:p>
        </w:tc>
      </w:tr>
      <w:tr>
        <w:tblPrEx>
          <w:tblLayout w:type="fixed"/>
          <w:tblCellMar>
            <w:top w:w="0" w:type="dxa"/>
            <w:left w:w="108" w:type="dxa"/>
            <w:bottom w:w="0" w:type="dxa"/>
            <w:right w:w="108" w:type="dxa"/>
          </w:tblCellMar>
        </w:tblPrEx>
        <w:trPr>
          <w:trHeight w:val="285"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春季</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1.35</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1.39</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1.19</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1.34</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1.24</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1.13</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0.93</w:t>
            </w:r>
          </w:p>
        </w:tc>
        <w:tc>
          <w:tcPr>
            <w:tcW w:w="70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0.98</w:t>
            </w:r>
          </w:p>
        </w:tc>
        <w:tc>
          <w:tcPr>
            <w:tcW w:w="61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1.50</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2.90</w:t>
            </w:r>
          </w:p>
        </w:tc>
        <w:tc>
          <w:tcPr>
            <w:tcW w:w="67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4.00</w:t>
            </w:r>
          </w:p>
        </w:tc>
        <w:tc>
          <w:tcPr>
            <w:tcW w:w="69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4.77</w:t>
            </w:r>
          </w:p>
        </w:tc>
      </w:tr>
      <w:tr>
        <w:tblPrEx>
          <w:tblLayout w:type="fixed"/>
          <w:tblCellMar>
            <w:top w:w="0" w:type="dxa"/>
            <w:left w:w="108" w:type="dxa"/>
            <w:bottom w:w="0" w:type="dxa"/>
            <w:right w:w="108" w:type="dxa"/>
          </w:tblCellMar>
        </w:tblPrEx>
        <w:trPr>
          <w:trHeight w:val="285"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夏季</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1.53</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1.66</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1.44</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1.44</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1.25</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1.08</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1.06</w:t>
            </w:r>
          </w:p>
        </w:tc>
        <w:tc>
          <w:tcPr>
            <w:tcW w:w="70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1.20</w:t>
            </w:r>
          </w:p>
        </w:tc>
        <w:tc>
          <w:tcPr>
            <w:tcW w:w="61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1.80</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2.29</w:t>
            </w:r>
          </w:p>
        </w:tc>
        <w:tc>
          <w:tcPr>
            <w:tcW w:w="67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2.89</w:t>
            </w:r>
          </w:p>
        </w:tc>
        <w:tc>
          <w:tcPr>
            <w:tcW w:w="69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3.23</w:t>
            </w:r>
          </w:p>
        </w:tc>
      </w:tr>
      <w:tr>
        <w:tblPrEx>
          <w:tblLayout w:type="fixed"/>
          <w:tblCellMar>
            <w:top w:w="0" w:type="dxa"/>
            <w:left w:w="108" w:type="dxa"/>
            <w:bottom w:w="0" w:type="dxa"/>
            <w:right w:w="108" w:type="dxa"/>
          </w:tblCellMar>
        </w:tblPrEx>
        <w:trPr>
          <w:trHeight w:val="285"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秋季</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1.20</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0.99</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0.86</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0.85</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0.87</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0.96</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0.85</w:t>
            </w:r>
          </w:p>
        </w:tc>
        <w:tc>
          <w:tcPr>
            <w:tcW w:w="70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0.92</w:t>
            </w:r>
          </w:p>
        </w:tc>
        <w:tc>
          <w:tcPr>
            <w:tcW w:w="61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0.97</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1.63</w:t>
            </w:r>
          </w:p>
        </w:tc>
        <w:tc>
          <w:tcPr>
            <w:tcW w:w="67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2.20</w:t>
            </w:r>
          </w:p>
        </w:tc>
        <w:tc>
          <w:tcPr>
            <w:tcW w:w="69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2.46</w:t>
            </w:r>
          </w:p>
        </w:tc>
      </w:tr>
      <w:tr>
        <w:tblPrEx>
          <w:tblLayout w:type="fixed"/>
          <w:tblCellMar>
            <w:top w:w="0" w:type="dxa"/>
            <w:left w:w="108" w:type="dxa"/>
            <w:bottom w:w="0" w:type="dxa"/>
            <w:right w:w="108" w:type="dxa"/>
          </w:tblCellMar>
        </w:tblPrEx>
        <w:trPr>
          <w:trHeight w:val="285"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冬季</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1.30</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1.34</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1.24</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1.01</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1.11</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1.10</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1.08</w:t>
            </w:r>
          </w:p>
        </w:tc>
        <w:tc>
          <w:tcPr>
            <w:tcW w:w="70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1.02</w:t>
            </w:r>
          </w:p>
        </w:tc>
        <w:tc>
          <w:tcPr>
            <w:tcW w:w="61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0.98</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1.55</w:t>
            </w:r>
          </w:p>
        </w:tc>
        <w:tc>
          <w:tcPr>
            <w:tcW w:w="67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2.63</w:t>
            </w:r>
          </w:p>
        </w:tc>
        <w:tc>
          <w:tcPr>
            <w:tcW w:w="69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3.80</w:t>
            </w:r>
          </w:p>
        </w:tc>
      </w:tr>
      <w:tr>
        <w:tblPrEx>
          <w:tblLayout w:type="fixed"/>
          <w:tblCellMar>
            <w:top w:w="0" w:type="dxa"/>
            <w:left w:w="108" w:type="dxa"/>
            <w:bottom w:w="0" w:type="dxa"/>
            <w:right w:w="108" w:type="dxa"/>
          </w:tblCellMar>
        </w:tblPrEx>
        <w:trPr>
          <w:trHeight w:val="855" w:hRule="atLeast"/>
          <w:jc w:val="center"/>
        </w:trPr>
        <w:tc>
          <w:tcPr>
            <w:tcW w:w="1008" w:type="dxa"/>
            <w:tcBorders>
              <w:top w:val="single" w:color="000000" w:sz="4" w:space="0"/>
              <w:left w:val="single" w:color="000000" w:sz="4" w:space="0"/>
              <w:bottom w:val="single" w:color="000000" w:sz="4" w:space="0"/>
              <w:right w:val="single" w:color="000000" w:sz="4" w:space="0"/>
              <w:tl2br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风速(m/s)小时(h)</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13</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14</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15</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16</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17</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18</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19</w:t>
            </w:r>
          </w:p>
        </w:tc>
        <w:tc>
          <w:tcPr>
            <w:tcW w:w="70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20</w:t>
            </w:r>
          </w:p>
        </w:tc>
        <w:tc>
          <w:tcPr>
            <w:tcW w:w="61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21</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22</w:t>
            </w:r>
          </w:p>
        </w:tc>
        <w:tc>
          <w:tcPr>
            <w:tcW w:w="67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23</w:t>
            </w:r>
          </w:p>
        </w:tc>
        <w:tc>
          <w:tcPr>
            <w:tcW w:w="69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center"/>
              <w:rPr>
                <w:color w:val="000000" w:themeColor="text1"/>
                <w:sz w:val="21"/>
                <w:szCs w:val="21"/>
              </w:rPr>
            </w:pPr>
            <w:r>
              <w:rPr>
                <w:color w:val="000000" w:themeColor="text1"/>
                <w:kern w:val="0"/>
                <w:sz w:val="21"/>
                <w:szCs w:val="21"/>
              </w:rPr>
              <w:t>24</w:t>
            </w:r>
          </w:p>
        </w:tc>
      </w:tr>
      <w:tr>
        <w:tblPrEx>
          <w:tblLayout w:type="fixed"/>
          <w:tblCellMar>
            <w:top w:w="0" w:type="dxa"/>
            <w:left w:w="108" w:type="dxa"/>
            <w:bottom w:w="0" w:type="dxa"/>
            <w:right w:w="108" w:type="dxa"/>
          </w:tblCellMar>
        </w:tblPrEx>
        <w:trPr>
          <w:trHeight w:val="285"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春季</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5.38</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5.64</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5.51</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5.32</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5.31</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4.73</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3.73</w:t>
            </w:r>
          </w:p>
        </w:tc>
        <w:tc>
          <w:tcPr>
            <w:tcW w:w="70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2.13</w:t>
            </w:r>
          </w:p>
        </w:tc>
        <w:tc>
          <w:tcPr>
            <w:tcW w:w="61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1.77</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1.54</w:t>
            </w:r>
          </w:p>
        </w:tc>
        <w:tc>
          <w:tcPr>
            <w:tcW w:w="67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1.52</w:t>
            </w:r>
          </w:p>
        </w:tc>
        <w:tc>
          <w:tcPr>
            <w:tcW w:w="69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1.26</w:t>
            </w:r>
          </w:p>
        </w:tc>
      </w:tr>
      <w:tr>
        <w:tblPrEx>
          <w:tblLayout w:type="fixed"/>
          <w:tblCellMar>
            <w:top w:w="0" w:type="dxa"/>
            <w:left w:w="108" w:type="dxa"/>
            <w:bottom w:w="0" w:type="dxa"/>
            <w:right w:w="108" w:type="dxa"/>
          </w:tblCellMar>
        </w:tblPrEx>
        <w:trPr>
          <w:trHeight w:val="285"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夏季</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3.44</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3.66</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3.73</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3.73</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3.59</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3.44</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3.00</w:t>
            </w:r>
          </w:p>
        </w:tc>
        <w:tc>
          <w:tcPr>
            <w:tcW w:w="70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2.40</w:t>
            </w:r>
          </w:p>
        </w:tc>
        <w:tc>
          <w:tcPr>
            <w:tcW w:w="61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1.84</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1.74</w:t>
            </w:r>
          </w:p>
        </w:tc>
        <w:tc>
          <w:tcPr>
            <w:tcW w:w="67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1.67</w:t>
            </w:r>
          </w:p>
        </w:tc>
        <w:tc>
          <w:tcPr>
            <w:tcW w:w="69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1.57</w:t>
            </w:r>
          </w:p>
        </w:tc>
      </w:tr>
      <w:tr>
        <w:tblPrEx>
          <w:tblLayout w:type="fixed"/>
          <w:tblCellMar>
            <w:top w:w="0" w:type="dxa"/>
            <w:left w:w="108" w:type="dxa"/>
            <w:bottom w:w="0" w:type="dxa"/>
            <w:right w:w="108" w:type="dxa"/>
          </w:tblCellMar>
        </w:tblPrEx>
        <w:trPr>
          <w:trHeight w:val="285"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秋季</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2.64</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2.95</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2.95</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2.95</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2.99</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2.41</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1.72</w:t>
            </w:r>
          </w:p>
        </w:tc>
        <w:tc>
          <w:tcPr>
            <w:tcW w:w="70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1.76</w:t>
            </w:r>
          </w:p>
        </w:tc>
        <w:tc>
          <w:tcPr>
            <w:tcW w:w="61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1.55</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1.27</w:t>
            </w:r>
          </w:p>
        </w:tc>
        <w:tc>
          <w:tcPr>
            <w:tcW w:w="67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1.22</w:t>
            </w:r>
          </w:p>
        </w:tc>
        <w:tc>
          <w:tcPr>
            <w:tcW w:w="69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1.24</w:t>
            </w:r>
          </w:p>
        </w:tc>
      </w:tr>
      <w:tr>
        <w:tblPrEx>
          <w:tblLayout w:type="fixed"/>
          <w:tblCellMar>
            <w:top w:w="0" w:type="dxa"/>
            <w:left w:w="108" w:type="dxa"/>
            <w:bottom w:w="0" w:type="dxa"/>
            <w:right w:w="108" w:type="dxa"/>
          </w:tblCellMar>
        </w:tblPrEx>
        <w:trPr>
          <w:trHeight w:val="285" w:hRule="atLeast"/>
          <w:jc w:val="center"/>
        </w:trPr>
        <w:tc>
          <w:tcPr>
            <w:tcW w:w="100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冬季</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4.48</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4.81</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4.89</w:t>
            </w:r>
          </w:p>
        </w:tc>
        <w:tc>
          <w:tcPr>
            <w:tcW w:w="6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4.68</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4.29</w:t>
            </w:r>
          </w:p>
        </w:tc>
        <w:tc>
          <w:tcPr>
            <w:tcW w:w="58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3.53</w:t>
            </w:r>
          </w:p>
        </w:tc>
        <w:tc>
          <w:tcPr>
            <w:tcW w:w="63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2.38</w:t>
            </w:r>
          </w:p>
        </w:tc>
        <w:tc>
          <w:tcPr>
            <w:tcW w:w="70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1.92</w:t>
            </w:r>
          </w:p>
        </w:tc>
        <w:tc>
          <w:tcPr>
            <w:tcW w:w="61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1.57</w:t>
            </w: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1.49</w:t>
            </w:r>
          </w:p>
        </w:tc>
        <w:tc>
          <w:tcPr>
            <w:tcW w:w="67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1.40</w:t>
            </w:r>
          </w:p>
        </w:tc>
        <w:tc>
          <w:tcPr>
            <w:tcW w:w="693"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1.34</w:t>
            </w:r>
          </w:p>
        </w:tc>
      </w:tr>
    </w:tbl>
    <w:p>
      <w:pPr>
        <w:autoSpaceDE w:val="0"/>
        <w:autoSpaceDN w:val="0"/>
        <w:adjustRightInd w:val="0"/>
        <w:ind w:firstLine="422"/>
        <w:jc w:val="both"/>
        <w:rPr>
          <w:b/>
          <w:color w:val="000000" w:themeColor="text1"/>
          <w:sz w:val="21"/>
          <w:szCs w:val="21"/>
        </w:rPr>
      </w:pPr>
    </w:p>
    <w:p>
      <w:pPr>
        <w:autoSpaceDE w:val="0"/>
        <w:autoSpaceDN w:val="0"/>
        <w:adjustRightInd w:val="0"/>
        <w:ind w:firstLine="422"/>
        <w:jc w:val="both"/>
        <w:rPr>
          <w:b/>
          <w:color w:val="000000" w:themeColor="text1"/>
          <w:sz w:val="21"/>
          <w:szCs w:val="21"/>
        </w:rPr>
      </w:pPr>
    </w:p>
    <w:p>
      <w:pPr>
        <w:autoSpaceDE w:val="0"/>
        <w:autoSpaceDN w:val="0"/>
        <w:adjustRightInd w:val="0"/>
        <w:ind w:firstLine="0" w:firstLineChars="0"/>
        <w:jc w:val="both"/>
        <w:rPr>
          <w:b/>
          <w:color w:val="000000" w:themeColor="text1"/>
          <w:sz w:val="21"/>
          <w:szCs w:val="21"/>
        </w:rPr>
      </w:pPr>
      <w:r>
        <w:rPr>
          <w:color w:val="000000" w:themeColor="text1"/>
        </w:rPr>
        <w:drawing>
          <wp:inline distT="0" distB="0" distL="114300" distR="114300">
            <wp:extent cx="5271135" cy="2199005"/>
            <wp:effectExtent l="4445" t="4445" r="20320" b="6350"/>
            <wp:docPr id="205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pPr>
        <w:ind w:firstLine="422"/>
        <w:jc w:val="center"/>
        <w:rPr>
          <w:b/>
          <w:color w:val="000000" w:themeColor="text1"/>
          <w:sz w:val="21"/>
          <w:szCs w:val="21"/>
        </w:rPr>
      </w:pPr>
      <w:r>
        <w:rPr>
          <w:b/>
          <w:color w:val="000000" w:themeColor="text1"/>
          <w:sz w:val="21"/>
          <w:szCs w:val="21"/>
        </w:rPr>
        <w:t>图</w:t>
      </w:r>
      <w:r>
        <w:rPr>
          <w:rFonts w:hint="eastAsia"/>
          <w:b/>
          <w:color w:val="000000" w:themeColor="text1"/>
          <w:sz w:val="21"/>
          <w:szCs w:val="21"/>
        </w:rPr>
        <w:t>6</w:t>
      </w:r>
      <w:r>
        <w:rPr>
          <w:b/>
          <w:color w:val="000000" w:themeColor="text1"/>
          <w:sz w:val="21"/>
          <w:szCs w:val="21"/>
        </w:rPr>
        <w:t>.2-3新平县季小时平均风速的日变化图</w:t>
      </w:r>
    </w:p>
    <w:p>
      <w:pPr>
        <w:autoSpaceDE w:val="0"/>
        <w:autoSpaceDN w:val="0"/>
        <w:adjustRightInd w:val="0"/>
        <w:snapToGrid w:val="0"/>
        <w:ind w:firstLine="480"/>
        <w:rPr>
          <w:b/>
          <w:color w:val="000000" w:themeColor="text1"/>
          <w:sz w:val="21"/>
          <w:szCs w:val="21"/>
        </w:rPr>
      </w:pPr>
      <w:r>
        <w:rPr>
          <w:bCs/>
          <w:color w:val="000000" w:themeColor="text1"/>
          <w:szCs w:val="32"/>
        </w:rPr>
        <w:t>新平县2020年年平均风速的月变化见下表。</w:t>
      </w:r>
    </w:p>
    <w:p>
      <w:pPr>
        <w:autoSpaceDE w:val="0"/>
        <w:autoSpaceDN w:val="0"/>
        <w:adjustRightInd w:val="0"/>
        <w:ind w:firstLine="422"/>
        <w:jc w:val="center"/>
        <w:rPr>
          <w:b/>
          <w:color w:val="000000" w:themeColor="text1"/>
          <w:sz w:val="21"/>
          <w:szCs w:val="21"/>
        </w:rPr>
      </w:pPr>
    </w:p>
    <w:p>
      <w:pPr>
        <w:autoSpaceDE w:val="0"/>
        <w:autoSpaceDN w:val="0"/>
        <w:adjustRightInd w:val="0"/>
        <w:ind w:firstLine="422"/>
        <w:jc w:val="center"/>
        <w:rPr>
          <w:b/>
          <w:color w:val="000000" w:themeColor="text1"/>
          <w:sz w:val="21"/>
          <w:szCs w:val="21"/>
        </w:rPr>
      </w:pPr>
      <w:r>
        <w:rPr>
          <w:b/>
          <w:color w:val="000000" w:themeColor="text1"/>
          <w:sz w:val="21"/>
          <w:szCs w:val="21"/>
        </w:rPr>
        <w:t>表</w:t>
      </w:r>
      <w:r>
        <w:rPr>
          <w:rFonts w:hint="eastAsia"/>
          <w:b/>
          <w:color w:val="000000" w:themeColor="text1"/>
          <w:sz w:val="21"/>
          <w:szCs w:val="21"/>
        </w:rPr>
        <w:t>6</w:t>
      </w:r>
      <w:r>
        <w:rPr>
          <w:b/>
          <w:color w:val="000000" w:themeColor="text1"/>
          <w:sz w:val="21"/>
          <w:szCs w:val="21"/>
        </w:rPr>
        <w:t>.2-</w:t>
      </w:r>
      <w:r>
        <w:rPr>
          <w:rFonts w:hint="eastAsia"/>
          <w:b/>
          <w:color w:val="000000" w:themeColor="text1"/>
          <w:sz w:val="21"/>
          <w:szCs w:val="21"/>
        </w:rPr>
        <w:t>6</w:t>
      </w:r>
      <w:r>
        <w:rPr>
          <w:b/>
          <w:color w:val="000000" w:themeColor="text1"/>
          <w:sz w:val="21"/>
          <w:szCs w:val="21"/>
        </w:rPr>
        <w:t>新平县2020年年平均月变化风速表</w:t>
      </w:r>
    </w:p>
    <w:tbl>
      <w:tblPr>
        <w:tblStyle w:val="61"/>
        <w:tblW w:w="8523" w:type="dxa"/>
        <w:jc w:val="center"/>
        <w:tblInd w:w="0" w:type="dxa"/>
        <w:shd w:val="clear" w:color="auto" w:fill="FFFFFF" w:themeFill="background1"/>
        <w:tblLayout w:type="fixed"/>
        <w:tblCellMar>
          <w:top w:w="0" w:type="dxa"/>
          <w:left w:w="108" w:type="dxa"/>
          <w:bottom w:w="0" w:type="dxa"/>
          <w:right w:w="108" w:type="dxa"/>
        </w:tblCellMar>
      </w:tblPr>
      <w:tblGrid>
        <w:gridCol w:w="1200"/>
        <w:gridCol w:w="584"/>
        <w:gridCol w:w="584"/>
        <w:gridCol w:w="584"/>
        <w:gridCol w:w="584"/>
        <w:gridCol w:w="584"/>
        <w:gridCol w:w="584"/>
        <w:gridCol w:w="584"/>
        <w:gridCol w:w="584"/>
        <w:gridCol w:w="584"/>
        <w:gridCol w:w="689"/>
        <w:gridCol w:w="689"/>
        <w:gridCol w:w="689"/>
      </w:tblGrid>
      <w:tr>
        <w:tblPrEx>
          <w:shd w:val="clear" w:color="auto" w:fill="FFFFFF" w:themeFill="background1"/>
          <w:tblLayout w:type="fixed"/>
          <w:tblCellMar>
            <w:top w:w="0" w:type="dxa"/>
            <w:left w:w="108" w:type="dxa"/>
            <w:bottom w:w="0" w:type="dxa"/>
            <w:right w:w="108" w:type="dxa"/>
          </w:tblCellMar>
        </w:tblPrEx>
        <w:trPr>
          <w:trHeight w:val="285" w:hRule="atLeast"/>
          <w:jc w:val="center"/>
        </w:trPr>
        <w:tc>
          <w:tcPr>
            <w:tcW w:w="12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月份</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1月</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2月</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3月</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4月</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5月</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6月</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7月</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8月</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9月</w:t>
            </w:r>
          </w:p>
        </w:tc>
        <w:tc>
          <w:tcPr>
            <w:tcW w:w="689"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10月</w:t>
            </w:r>
          </w:p>
        </w:tc>
        <w:tc>
          <w:tcPr>
            <w:tcW w:w="689"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11月</w:t>
            </w:r>
          </w:p>
        </w:tc>
        <w:tc>
          <w:tcPr>
            <w:tcW w:w="689"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12月</w:t>
            </w:r>
          </w:p>
        </w:tc>
      </w:tr>
      <w:tr>
        <w:tblPrEx>
          <w:tblLayout w:type="fixed"/>
          <w:tblCellMar>
            <w:top w:w="0" w:type="dxa"/>
            <w:left w:w="108" w:type="dxa"/>
            <w:bottom w:w="0" w:type="dxa"/>
            <w:right w:w="108" w:type="dxa"/>
          </w:tblCellMar>
        </w:tblPrEx>
        <w:trPr>
          <w:trHeight w:val="285" w:hRule="atLeast"/>
          <w:jc w:val="center"/>
        </w:trPr>
        <w:tc>
          <w:tcPr>
            <w:tcW w:w="1200"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风速(m/s)</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2.50</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2.31</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2.79</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2.53</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2.99</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3.16</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2.14</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1.57</w:t>
            </w:r>
          </w:p>
        </w:tc>
        <w:tc>
          <w:tcPr>
            <w:tcW w:w="58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1.68</w:t>
            </w:r>
          </w:p>
        </w:tc>
        <w:tc>
          <w:tcPr>
            <w:tcW w:w="689"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1.57</w:t>
            </w:r>
          </w:p>
        </w:tc>
        <w:tc>
          <w:tcPr>
            <w:tcW w:w="689"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1.81</w:t>
            </w:r>
          </w:p>
        </w:tc>
        <w:tc>
          <w:tcPr>
            <w:tcW w:w="689"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2.06</w:t>
            </w:r>
          </w:p>
        </w:tc>
      </w:tr>
    </w:tbl>
    <w:p>
      <w:pPr>
        <w:autoSpaceDE w:val="0"/>
        <w:autoSpaceDN w:val="0"/>
        <w:adjustRightInd w:val="0"/>
        <w:ind w:firstLine="422"/>
        <w:jc w:val="center"/>
        <w:rPr>
          <w:b/>
          <w:color w:val="000000" w:themeColor="text1"/>
          <w:sz w:val="21"/>
          <w:szCs w:val="21"/>
        </w:rPr>
      </w:pPr>
    </w:p>
    <w:p>
      <w:pPr>
        <w:autoSpaceDE w:val="0"/>
        <w:autoSpaceDN w:val="0"/>
        <w:adjustRightInd w:val="0"/>
        <w:ind w:firstLine="0" w:firstLineChars="0"/>
        <w:jc w:val="both"/>
        <w:rPr>
          <w:b/>
          <w:color w:val="000000" w:themeColor="text1"/>
          <w:sz w:val="21"/>
          <w:szCs w:val="21"/>
        </w:rPr>
      </w:pPr>
      <w:r>
        <w:rPr>
          <w:color w:val="000000" w:themeColor="text1"/>
        </w:rPr>
        <w:drawing>
          <wp:inline distT="0" distB="0" distL="114300" distR="114300">
            <wp:extent cx="5270500" cy="2028825"/>
            <wp:effectExtent l="4445" t="4445" r="20955" b="5080"/>
            <wp:docPr id="205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pPr>
        <w:ind w:firstLine="422"/>
        <w:jc w:val="center"/>
        <w:rPr>
          <w:b/>
          <w:color w:val="000000" w:themeColor="text1"/>
          <w:sz w:val="21"/>
          <w:szCs w:val="21"/>
        </w:rPr>
      </w:pPr>
      <w:r>
        <w:rPr>
          <w:b/>
          <w:color w:val="000000" w:themeColor="text1"/>
          <w:sz w:val="21"/>
          <w:szCs w:val="21"/>
        </w:rPr>
        <w:t>图</w:t>
      </w:r>
      <w:r>
        <w:rPr>
          <w:rFonts w:hint="eastAsia"/>
          <w:b/>
          <w:color w:val="000000" w:themeColor="text1"/>
          <w:sz w:val="21"/>
          <w:szCs w:val="21"/>
        </w:rPr>
        <w:t>6</w:t>
      </w:r>
      <w:r>
        <w:rPr>
          <w:b/>
          <w:color w:val="000000" w:themeColor="text1"/>
          <w:sz w:val="21"/>
          <w:szCs w:val="21"/>
        </w:rPr>
        <w:t>.2-4新平县年平均风速的月变化图</w:t>
      </w:r>
    </w:p>
    <w:p>
      <w:pPr>
        <w:ind w:firstLine="480"/>
        <w:rPr>
          <w:color w:val="000000" w:themeColor="text1"/>
        </w:rPr>
      </w:pPr>
      <w:bookmarkStart w:id="649" w:name="_Toc12408"/>
      <w:r>
        <w:rPr>
          <w:color w:val="000000" w:themeColor="text1"/>
        </w:rPr>
        <w:t>（3）污染系数</w:t>
      </w:r>
      <w:bookmarkEnd w:id="649"/>
    </w:p>
    <w:p>
      <w:pPr>
        <w:ind w:firstLine="480"/>
        <w:rPr>
          <w:bCs/>
          <w:color w:val="000000" w:themeColor="text1"/>
          <w:szCs w:val="32"/>
        </w:rPr>
      </w:pPr>
      <w:r>
        <w:rPr>
          <w:bCs/>
          <w:color w:val="000000" w:themeColor="text1"/>
          <w:szCs w:val="32"/>
        </w:rPr>
        <w:t>污染系数综合表达了风向频率和风向平均风速两者对污染物输送的影响。某风向污染系数最大，则其反方向受污染程度最重。</w:t>
      </w:r>
    </w:p>
    <w:p>
      <w:pPr>
        <w:ind w:firstLine="480"/>
        <w:rPr>
          <w:bCs/>
          <w:color w:val="000000" w:themeColor="text1"/>
          <w:szCs w:val="32"/>
        </w:rPr>
      </w:pPr>
      <w:r>
        <w:rPr>
          <w:bCs/>
          <w:color w:val="000000" w:themeColor="text1"/>
          <w:szCs w:val="32"/>
        </w:rPr>
        <w:t>污染系数与风频和风速的比成正比，其计算公式为：</w:t>
      </w:r>
    </w:p>
    <w:p>
      <w:pPr>
        <w:ind w:firstLine="480"/>
        <w:jc w:val="center"/>
        <w:rPr>
          <w:bCs/>
          <w:color w:val="000000" w:themeColor="text1"/>
          <w:szCs w:val="32"/>
        </w:rPr>
      </w:pPr>
      <w:r>
        <w:rPr>
          <w:bCs/>
          <w:color w:val="000000" w:themeColor="text1"/>
          <w:position w:val="-30"/>
          <w:szCs w:val="32"/>
        </w:rPr>
        <w:object>
          <v:shape id="_x0000_i1049" o:spt="75" type="#_x0000_t75" style="height:45.75pt;width:47.25pt;" o:ole="t" filled="f" o:preferrelative="t" stroked="f" coordsize="21600,21600">
            <v:path/>
            <v:fill on="f" focussize="0,0"/>
            <v:stroke on="f" joinstyle="miter"/>
            <v:imagedata r:id="rId89" o:title=""/>
            <o:lock v:ext="edit" aspectratio="t"/>
            <w10:wrap type="none"/>
            <w10:anchorlock/>
          </v:shape>
          <o:OLEObject Type="Embed" ProgID="Equation.3" ShapeID="_x0000_i1049" DrawAspect="Content" ObjectID="_1468075748" r:id="rId88">
            <o:LockedField>false</o:LockedField>
          </o:OLEObject>
        </w:object>
      </w:r>
    </w:p>
    <w:p>
      <w:pPr>
        <w:ind w:firstLine="480"/>
        <w:rPr>
          <w:bCs/>
          <w:color w:val="000000" w:themeColor="text1"/>
          <w:szCs w:val="32"/>
        </w:rPr>
      </w:pPr>
      <w:r>
        <w:rPr>
          <w:bCs/>
          <w:color w:val="000000" w:themeColor="text1"/>
          <w:szCs w:val="32"/>
        </w:rPr>
        <w:t>式中，fi为各风向出现频率，ui为各风向下的平均风速，i=1、2、3、…、16。</w:t>
      </w:r>
    </w:p>
    <w:p>
      <w:pPr>
        <w:ind w:firstLine="480"/>
        <w:rPr>
          <w:bCs/>
          <w:color w:val="000000" w:themeColor="text1"/>
          <w:szCs w:val="32"/>
        </w:rPr>
      </w:pPr>
      <w:r>
        <w:rPr>
          <w:bCs/>
          <w:color w:val="000000" w:themeColor="text1"/>
          <w:szCs w:val="32"/>
        </w:rPr>
        <w:t>评价区2020年污染系数统计见下表。</w:t>
      </w:r>
    </w:p>
    <w:p>
      <w:pPr>
        <w:pStyle w:val="78"/>
        <w:ind w:firstLine="480"/>
        <w:rPr>
          <w:color w:val="000000" w:themeColor="text1"/>
        </w:rPr>
      </w:pPr>
      <w:r>
        <w:rPr>
          <w:color w:val="000000" w:themeColor="text1"/>
        </w:rPr>
        <w:drawing>
          <wp:inline distT="0" distB="0" distL="114300" distR="114300">
            <wp:extent cx="4825365" cy="6776085"/>
            <wp:effectExtent l="0" t="0" r="13335" b="5715"/>
            <wp:docPr id="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pic:cNvPicPr>
                      <a:picLocks noChangeAspect="1"/>
                    </pic:cNvPicPr>
                  </pic:nvPicPr>
                  <pic:blipFill>
                    <a:blip r:embed="rId90" cstate="print"/>
                    <a:srcRect t="1523"/>
                    <a:stretch>
                      <a:fillRect/>
                    </a:stretch>
                  </pic:blipFill>
                  <pic:spPr>
                    <a:xfrm>
                      <a:off x="0" y="0"/>
                      <a:ext cx="4825365" cy="6776085"/>
                    </a:xfrm>
                    <a:prstGeom prst="rect">
                      <a:avLst/>
                    </a:prstGeom>
                    <a:noFill/>
                    <a:ln>
                      <a:noFill/>
                    </a:ln>
                  </pic:spPr>
                </pic:pic>
              </a:graphicData>
            </a:graphic>
          </wp:inline>
        </w:drawing>
      </w:r>
    </w:p>
    <w:p>
      <w:pPr>
        <w:pStyle w:val="78"/>
        <w:ind w:firstLine="480"/>
        <w:rPr>
          <w:color w:val="000000" w:themeColor="text1"/>
        </w:rPr>
      </w:pPr>
    </w:p>
    <w:p>
      <w:pPr>
        <w:pStyle w:val="78"/>
        <w:ind w:firstLine="422"/>
        <w:jc w:val="center"/>
        <w:rPr>
          <w:b/>
          <w:bCs/>
          <w:color w:val="000000" w:themeColor="text1"/>
          <w:sz w:val="21"/>
          <w:szCs w:val="21"/>
        </w:rPr>
        <w:sectPr>
          <w:pgSz w:w="11906" w:h="16838"/>
          <w:pgMar w:top="1440" w:right="1800" w:bottom="1440" w:left="1800" w:header="851" w:footer="992" w:gutter="0"/>
          <w:cols w:space="720" w:num="1"/>
          <w:docGrid w:type="lines" w:linePitch="312" w:charSpace="0"/>
        </w:sectPr>
      </w:pPr>
      <w:r>
        <w:rPr>
          <w:b/>
          <w:bCs/>
          <w:color w:val="000000" w:themeColor="text1"/>
          <w:sz w:val="21"/>
          <w:szCs w:val="21"/>
        </w:rPr>
        <w:t>图</w:t>
      </w:r>
      <w:r>
        <w:rPr>
          <w:rFonts w:hint="eastAsia"/>
          <w:b/>
          <w:bCs/>
          <w:color w:val="000000" w:themeColor="text1"/>
          <w:sz w:val="21"/>
          <w:szCs w:val="21"/>
        </w:rPr>
        <w:t>6</w:t>
      </w:r>
      <w:r>
        <w:rPr>
          <w:b/>
          <w:bCs/>
          <w:color w:val="000000" w:themeColor="text1"/>
          <w:sz w:val="21"/>
          <w:szCs w:val="21"/>
        </w:rPr>
        <w:t>.2-5新平县2020年气象统计污染系数玫瑰图</w:t>
      </w:r>
    </w:p>
    <w:p>
      <w:pPr>
        <w:adjustRightInd w:val="0"/>
        <w:snapToGrid w:val="0"/>
        <w:ind w:firstLine="0" w:firstLineChars="0"/>
        <w:jc w:val="center"/>
        <w:rPr>
          <w:b/>
          <w:bCs/>
          <w:color w:val="000000" w:themeColor="text1"/>
          <w:sz w:val="21"/>
          <w:szCs w:val="21"/>
        </w:rPr>
      </w:pPr>
      <w:r>
        <w:rPr>
          <w:b/>
          <w:bCs/>
          <w:color w:val="000000" w:themeColor="text1"/>
          <w:sz w:val="21"/>
          <w:szCs w:val="21"/>
        </w:rPr>
        <w:t>表</w:t>
      </w:r>
      <w:r>
        <w:rPr>
          <w:rFonts w:hint="eastAsia"/>
          <w:b/>
          <w:bCs/>
          <w:color w:val="000000" w:themeColor="text1"/>
          <w:sz w:val="21"/>
          <w:szCs w:val="21"/>
        </w:rPr>
        <w:t>6</w:t>
      </w:r>
      <w:r>
        <w:rPr>
          <w:b/>
          <w:bCs/>
          <w:color w:val="000000" w:themeColor="text1"/>
          <w:sz w:val="21"/>
          <w:szCs w:val="21"/>
        </w:rPr>
        <w:t>.2-</w:t>
      </w:r>
      <w:r>
        <w:rPr>
          <w:rFonts w:hint="eastAsia"/>
          <w:b/>
          <w:bCs/>
          <w:color w:val="000000" w:themeColor="text1"/>
          <w:sz w:val="21"/>
          <w:szCs w:val="21"/>
        </w:rPr>
        <w:t>7</w:t>
      </w:r>
      <w:r>
        <w:rPr>
          <w:b/>
          <w:bCs/>
          <w:color w:val="000000" w:themeColor="text1"/>
          <w:sz w:val="21"/>
          <w:szCs w:val="21"/>
        </w:rPr>
        <w:t>新平县2020年污染系数</w:t>
      </w:r>
    </w:p>
    <w:tbl>
      <w:tblPr>
        <w:tblStyle w:val="61"/>
        <w:tblW w:w="13398" w:type="dxa"/>
        <w:jc w:val="center"/>
        <w:tblInd w:w="0" w:type="dxa"/>
        <w:tblLayout w:type="fixed"/>
        <w:tblCellMar>
          <w:top w:w="0" w:type="dxa"/>
          <w:left w:w="0" w:type="dxa"/>
          <w:bottom w:w="0" w:type="dxa"/>
          <w:right w:w="0" w:type="dxa"/>
        </w:tblCellMar>
      </w:tblPr>
      <w:tblGrid>
        <w:gridCol w:w="743"/>
        <w:gridCol w:w="745"/>
        <w:gridCol w:w="745"/>
        <w:gridCol w:w="745"/>
        <w:gridCol w:w="745"/>
        <w:gridCol w:w="745"/>
        <w:gridCol w:w="745"/>
        <w:gridCol w:w="745"/>
        <w:gridCol w:w="745"/>
        <w:gridCol w:w="745"/>
        <w:gridCol w:w="745"/>
        <w:gridCol w:w="745"/>
        <w:gridCol w:w="745"/>
        <w:gridCol w:w="745"/>
        <w:gridCol w:w="745"/>
        <w:gridCol w:w="746"/>
        <w:gridCol w:w="746"/>
        <w:gridCol w:w="733"/>
      </w:tblGrid>
      <w:tr>
        <w:tblPrEx>
          <w:tblLayout w:type="fixed"/>
          <w:tblCellMar>
            <w:top w:w="0" w:type="dxa"/>
            <w:left w:w="0" w:type="dxa"/>
            <w:bottom w:w="0" w:type="dxa"/>
            <w:right w:w="0" w:type="dxa"/>
          </w:tblCellMar>
        </w:tblPrEx>
        <w:trPr>
          <w:trHeight w:val="369" w:hRule="atLeast"/>
          <w:jc w:val="center"/>
        </w:trPr>
        <w:tc>
          <w:tcPr>
            <w:tcW w:w="743"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月份</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N</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NNE</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NE</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ENE</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E</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ESE</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SE</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SSE</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S</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SSW</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SW</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WSW</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W</w:t>
            </w:r>
          </w:p>
        </w:tc>
        <w:tc>
          <w:tcPr>
            <w:tcW w:w="74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WNW</w:t>
            </w:r>
          </w:p>
        </w:tc>
        <w:tc>
          <w:tcPr>
            <w:tcW w:w="746"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NW</w:t>
            </w:r>
          </w:p>
        </w:tc>
        <w:tc>
          <w:tcPr>
            <w:tcW w:w="746"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NNW</w:t>
            </w:r>
          </w:p>
        </w:tc>
        <w:tc>
          <w:tcPr>
            <w:tcW w:w="733"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平均</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一月</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8.76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2.14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3.33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2.38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1.81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1.24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2.14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2.79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5.61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6.45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5.98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2.1</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2.83</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1.26</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3.27</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二月</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1.55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9.97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1.36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2.68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2.78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1.56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1.01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2.88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4.38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6.16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6.95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1.25</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3.42</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三月</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0.36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27.4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0.19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1.35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0.47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0.36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1.07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1.46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4.89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7.19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4.56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2.01</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0.98</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1.4</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3.45</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四月</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5.26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1.82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1.71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2.92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1.54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0.28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1.28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3.99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4.63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6.91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6.82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0.96</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0.83</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0.1</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2.55</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五月</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6.41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2.38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0.61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0.42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2.41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5.12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7.94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5.52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1.47</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0.77</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0.83</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2.33</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六月</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0.35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2.31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0.43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0.37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0.76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2.45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6.46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8.53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5.76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2.48</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1.07</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0.63</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2.1</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七月</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1.24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4.76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1.54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3.15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1.07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0.71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1.47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2.81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6.26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7.79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7.84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2.26</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1.05</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0.52</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2.81</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八月</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1.66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6.53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3.18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1.09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2.01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2.77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4.52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5.78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7.79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1.55</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1.13</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1.57</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3.25</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九月</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1.56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11.5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4.15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3.12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7.53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1.48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0.66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1.32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3.22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4.86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7.82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6.44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2.98</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2.92</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1.46</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3.96</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十月</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1.16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4.69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4.54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9.2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1.12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5.43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7.89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6.99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1.38</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0.74</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3.56</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十一月</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0.16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3.71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1.17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1.94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6.09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0.67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2.19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2.66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7.07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8.12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9.04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3.08</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1.6</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0.77</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3.15</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十二月</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1.38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6.23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2.01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3.36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1.37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2.99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5.35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6.61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5.65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1.97</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1.16</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1.13</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2.8</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b/>
                <w:bCs/>
                <w:color w:val="000000" w:themeColor="text1"/>
                <w:sz w:val="21"/>
                <w:szCs w:val="21"/>
              </w:rPr>
            </w:pPr>
            <w:r>
              <w:rPr>
                <w:b/>
                <w:bCs/>
                <w:color w:val="000000" w:themeColor="text1"/>
                <w:sz w:val="21"/>
                <w:szCs w:val="21"/>
              </w:rPr>
              <w:t>全年</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1.03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7.11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2.02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4.09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1.26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0.66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1.55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2.68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7.05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6.34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1.93</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1.26</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0.91</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2.86</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春季</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10.13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0.61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0.38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2.47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4.88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7.33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5.55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1.47</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0.74</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2.54</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夏季</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1.02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4.47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1.85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1.92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3.58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0.69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1.32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2.45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5.48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7.21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6.98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2.08</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1.07</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0.91</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2.65</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秋季</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6.94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3.28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3.19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7.58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1.55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2.85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5.67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7.88</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7.31</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2.37</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1.73</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0.96</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3.5</w:t>
            </w:r>
          </w:p>
        </w:tc>
      </w:tr>
      <w:tr>
        <w:tblPrEx>
          <w:tblLayout w:type="fixed"/>
          <w:tblCellMar>
            <w:top w:w="0" w:type="dxa"/>
            <w:left w:w="0" w:type="dxa"/>
            <w:bottom w:w="0" w:type="dxa"/>
            <w:right w:w="0" w:type="dxa"/>
          </w:tblCellMar>
        </w:tblPrEx>
        <w:trPr>
          <w:trHeight w:val="369" w:hRule="atLeast"/>
          <w:jc w:val="center"/>
        </w:trPr>
        <w:tc>
          <w:tcPr>
            <w:tcW w:w="743"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冬季</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1.73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8.07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1.44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2.25</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3.16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1.87</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1.44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3.33</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5.64</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6.6</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5.92</w:t>
            </w:r>
          </w:p>
        </w:tc>
        <w:tc>
          <w:tcPr>
            <w:tcW w:w="74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2.24</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1.76</w:t>
            </w:r>
          </w:p>
        </w:tc>
        <w:tc>
          <w:tcPr>
            <w:tcW w:w="746"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1.1</w:t>
            </w:r>
          </w:p>
        </w:tc>
        <w:tc>
          <w:tcPr>
            <w:tcW w:w="733"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3.1</w:t>
            </w:r>
          </w:p>
        </w:tc>
      </w:tr>
    </w:tbl>
    <w:p>
      <w:pPr>
        <w:pStyle w:val="78"/>
        <w:ind w:firstLine="480"/>
        <w:rPr>
          <w:color w:val="000000" w:themeColor="text1"/>
        </w:rPr>
        <w:sectPr>
          <w:pgSz w:w="16838" w:h="11906" w:orient="landscape"/>
          <w:pgMar w:top="1800" w:right="1440" w:bottom="1800" w:left="1440" w:header="851" w:footer="992" w:gutter="0"/>
          <w:cols w:space="720" w:num="1"/>
          <w:docGrid w:type="lines" w:linePitch="312" w:charSpace="0"/>
        </w:sectPr>
      </w:pPr>
    </w:p>
    <w:p>
      <w:pPr>
        <w:ind w:firstLine="480"/>
        <w:rPr>
          <w:color w:val="000000" w:themeColor="text1"/>
          <w:lang w:val="zh-CN"/>
        </w:rPr>
      </w:pPr>
      <w:bookmarkStart w:id="650" w:name="_Toc6306"/>
      <w:r>
        <w:rPr>
          <w:color w:val="000000" w:themeColor="text1"/>
          <w:lang w:val="zh-CN"/>
        </w:rPr>
        <w:t>（</w:t>
      </w:r>
      <w:r>
        <w:rPr>
          <w:color w:val="000000" w:themeColor="text1"/>
        </w:rPr>
        <w:t>4</w:t>
      </w:r>
      <w:r>
        <w:rPr>
          <w:color w:val="000000" w:themeColor="text1"/>
          <w:lang w:val="zh-CN"/>
        </w:rPr>
        <w:t>）大气稳定度</w:t>
      </w:r>
      <w:bookmarkEnd w:id="650"/>
    </w:p>
    <w:p>
      <w:pPr>
        <w:ind w:firstLine="480"/>
        <w:rPr>
          <w:color w:val="000000" w:themeColor="text1"/>
          <w:lang w:val="zh-CN"/>
        </w:rPr>
      </w:pPr>
      <w:r>
        <w:rPr>
          <w:color w:val="000000" w:themeColor="text1"/>
        </w:rPr>
        <w:t>2020</w:t>
      </w:r>
      <w:r>
        <w:rPr>
          <w:color w:val="000000" w:themeColor="text1"/>
          <w:lang w:val="zh-CN"/>
        </w:rPr>
        <w:t>年的各级稳定度出现频率统计结果见表</w:t>
      </w:r>
      <w:r>
        <w:rPr>
          <w:rFonts w:hint="eastAsia" w:eastAsia="黑体"/>
          <w:color w:val="000000" w:themeColor="text1"/>
        </w:rPr>
        <w:t>6</w:t>
      </w:r>
      <w:r>
        <w:rPr>
          <w:rFonts w:eastAsia="黑体"/>
          <w:color w:val="000000" w:themeColor="text1"/>
        </w:rPr>
        <w:t>.2-7</w:t>
      </w:r>
      <w:r>
        <w:rPr>
          <w:color w:val="000000" w:themeColor="text1"/>
          <w:lang w:val="zh-CN"/>
        </w:rPr>
        <w:t>。</w:t>
      </w:r>
    </w:p>
    <w:p>
      <w:pPr>
        <w:ind w:firstLine="422"/>
        <w:jc w:val="center"/>
        <w:rPr>
          <w:b/>
          <w:color w:val="000000" w:themeColor="text1"/>
          <w:sz w:val="21"/>
          <w:szCs w:val="21"/>
        </w:rPr>
      </w:pPr>
      <w:r>
        <w:rPr>
          <w:b/>
          <w:color w:val="000000" w:themeColor="text1"/>
          <w:sz w:val="21"/>
          <w:szCs w:val="21"/>
        </w:rPr>
        <w:t>表</w:t>
      </w:r>
      <w:r>
        <w:rPr>
          <w:rFonts w:hint="eastAsia"/>
          <w:b/>
          <w:color w:val="000000" w:themeColor="text1"/>
          <w:sz w:val="21"/>
          <w:szCs w:val="21"/>
        </w:rPr>
        <w:t>6</w:t>
      </w:r>
      <w:r>
        <w:rPr>
          <w:b/>
          <w:color w:val="000000" w:themeColor="text1"/>
          <w:sz w:val="21"/>
          <w:szCs w:val="21"/>
        </w:rPr>
        <w:t>.2-</w:t>
      </w:r>
      <w:r>
        <w:rPr>
          <w:rFonts w:hint="eastAsia"/>
          <w:b/>
          <w:color w:val="000000" w:themeColor="text1"/>
          <w:sz w:val="21"/>
          <w:szCs w:val="21"/>
        </w:rPr>
        <w:t xml:space="preserve">8  </w:t>
      </w:r>
      <w:r>
        <w:rPr>
          <w:b/>
          <w:color w:val="000000" w:themeColor="text1"/>
          <w:sz w:val="21"/>
          <w:szCs w:val="21"/>
        </w:rPr>
        <w:t>20</w:t>
      </w:r>
      <w:r>
        <w:rPr>
          <w:rFonts w:hint="eastAsia"/>
          <w:b/>
          <w:color w:val="000000" w:themeColor="text1"/>
          <w:sz w:val="21"/>
          <w:szCs w:val="21"/>
        </w:rPr>
        <w:t>20</w:t>
      </w:r>
      <w:r>
        <w:rPr>
          <w:b/>
          <w:color w:val="000000" w:themeColor="text1"/>
          <w:sz w:val="21"/>
          <w:szCs w:val="21"/>
        </w:rPr>
        <w:t>年大气稳定度频率(%)</w:t>
      </w:r>
    </w:p>
    <w:tbl>
      <w:tblPr>
        <w:tblStyle w:val="61"/>
        <w:tblW w:w="8329" w:type="dxa"/>
        <w:tblInd w:w="0" w:type="dxa"/>
        <w:tblLayout w:type="fixed"/>
        <w:tblCellMar>
          <w:top w:w="0" w:type="dxa"/>
          <w:left w:w="0" w:type="dxa"/>
          <w:bottom w:w="0" w:type="dxa"/>
          <w:right w:w="0" w:type="dxa"/>
        </w:tblCellMar>
      </w:tblPr>
      <w:tblGrid>
        <w:gridCol w:w="828"/>
        <w:gridCol w:w="832"/>
        <w:gridCol w:w="832"/>
        <w:gridCol w:w="832"/>
        <w:gridCol w:w="832"/>
        <w:gridCol w:w="834"/>
        <w:gridCol w:w="834"/>
        <w:gridCol w:w="835"/>
        <w:gridCol w:w="835"/>
        <w:gridCol w:w="835"/>
      </w:tblGrid>
      <w:tr>
        <w:tblPrEx>
          <w:tblLayout w:type="fixed"/>
          <w:tblCellMar>
            <w:top w:w="0" w:type="dxa"/>
            <w:left w:w="0" w:type="dxa"/>
            <w:bottom w:w="0" w:type="dxa"/>
            <w:right w:w="0" w:type="dxa"/>
          </w:tblCellMar>
        </w:tblPrEx>
        <w:trPr>
          <w:trHeight w:val="340" w:hRule="atLeast"/>
        </w:trPr>
        <w:tc>
          <w:tcPr>
            <w:tcW w:w="828" w:type="dxa"/>
            <w:tcBorders>
              <w:top w:val="single" w:color="auto" w:sz="4" w:space="0"/>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月份</w:t>
            </w:r>
          </w:p>
        </w:tc>
        <w:tc>
          <w:tcPr>
            <w:tcW w:w="832"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A</w:t>
            </w:r>
          </w:p>
        </w:tc>
        <w:tc>
          <w:tcPr>
            <w:tcW w:w="832"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B</w:t>
            </w:r>
          </w:p>
        </w:tc>
        <w:tc>
          <w:tcPr>
            <w:tcW w:w="832"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B-C</w:t>
            </w:r>
          </w:p>
        </w:tc>
        <w:tc>
          <w:tcPr>
            <w:tcW w:w="832"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C</w:t>
            </w:r>
          </w:p>
        </w:tc>
        <w:tc>
          <w:tcPr>
            <w:tcW w:w="834"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C-D</w:t>
            </w:r>
          </w:p>
        </w:tc>
        <w:tc>
          <w:tcPr>
            <w:tcW w:w="834"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D</w:t>
            </w:r>
          </w:p>
        </w:tc>
        <w:tc>
          <w:tcPr>
            <w:tcW w:w="83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D-E</w:t>
            </w:r>
          </w:p>
        </w:tc>
        <w:tc>
          <w:tcPr>
            <w:tcW w:w="83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E</w:t>
            </w:r>
          </w:p>
        </w:tc>
        <w:tc>
          <w:tcPr>
            <w:tcW w:w="835" w:type="dxa"/>
            <w:tcBorders>
              <w:top w:val="single" w:color="auto" w:sz="4" w:space="0"/>
              <w:left w:val="nil"/>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F</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一月</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4.84</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3.09</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2.69</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3.23</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57.93</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6.18</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22.04</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二月</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3.16</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3.45</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1.72</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4.17</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74.71</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1.44</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11.35</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三月</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3.49</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4.03</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2.02</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3.9</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62.1</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3.9</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20.56</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四月</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5.42</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0.42</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3.61</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0.28</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81.25</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2.08</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6.94</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五月</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0.4</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2.28</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1.75</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3.63</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2.28</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75.13</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2.82</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11.69</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六月</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1.53</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0.97</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3.06</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0.56</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91.39</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0.42</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2.08</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七月</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0.4</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2.28</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0.27</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1.21</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0.13</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94.22</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0.4</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1.08</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八月</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0.27</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1.21</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0.27</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0.67</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0.4</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95.03</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0.27</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1.88</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九月</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2.22</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0.14</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0.28</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96.67</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0.14</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0.56</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十月</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5.11</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1.48</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1.75</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0.13</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80.51</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1.48</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9.54</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十一月</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8.06</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5.56</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3.47</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0.83</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54.44</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4.72</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22.92</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十二月</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4.7</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4.3</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3.49</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2.42</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62.23</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4.84</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18.01</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b/>
                <w:bCs/>
                <w:color w:val="000000" w:themeColor="text1"/>
                <w:sz w:val="21"/>
                <w:szCs w:val="21"/>
              </w:rPr>
            </w:pPr>
            <w:r>
              <w:rPr>
                <w:b/>
                <w:bCs/>
                <w:color w:val="000000" w:themeColor="text1"/>
                <w:sz w:val="21"/>
                <w:szCs w:val="21"/>
              </w:rPr>
              <w:t>全年</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0.09</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3.69</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2.14</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2.3</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1.53</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77.11</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2.4</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10.75</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春季</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0.14</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3.71</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2.08</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3.08</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2.17</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72.74</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2.94</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13.13</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夏季</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0.23</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1.68</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0.5</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1.63</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0.36</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93.57</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0.36</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1.68</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秋季</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5.13</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2.38</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1.83</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0.32</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77.24</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2.11</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10.99</w:t>
            </w:r>
          </w:p>
        </w:tc>
      </w:tr>
      <w:tr>
        <w:tblPrEx>
          <w:tblLayout w:type="fixed"/>
          <w:tblCellMar>
            <w:top w:w="0" w:type="dxa"/>
            <w:left w:w="0" w:type="dxa"/>
            <w:bottom w:w="0" w:type="dxa"/>
            <w:right w:w="0" w:type="dxa"/>
          </w:tblCellMar>
        </w:tblPrEx>
        <w:trPr>
          <w:trHeight w:val="340" w:hRule="atLeast"/>
        </w:trPr>
        <w:tc>
          <w:tcPr>
            <w:tcW w:w="828" w:type="dxa"/>
            <w:tcBorders>
              <w:top w:val="nil"/>
              <w:left w:val="single" w:color="auto" w:sz="4" w:space="0"/>
              <w:bottom w:val="single" w:color="auto" w:sz="4" w:space="0"/>
              <w:right w:val="single" w:color="auto" w:sz="4" w:space="0"/>
            </w:tcBorders>
            <w:noWrap/>
            <w:tcMar>
              <w:top w:w="15" w:type="dxa"/>
              <w:left w:w="15" w:type="dxa"/>
              <w:right w:w="15" w:type="dxa"/>
            </w:tcMar>
            <w:vAlign w:val="center"/>
          </w:tcPr>
          <w:p>
            <w:pPr>
              <w:spacing w:line="240" w:lineRule="auto"/>
              <w:ind w:firstLine="0" w:firstLineChars="0"/>
              <w:jc w:val="center"/>
              <w:textAlignment w:val="bottom"/>
              <w:rPr>
                <w:color w:val="000000" w:themeColor="text1"/>
                <w:sz w:val="21"/>
                <w:szCs w:val="21"/>
              </w:rPr>
            </w:pPr>
            <w:r>
              <w:rPr>
                <w:color w:val="000000" w:themeColor="text1"/>
                <w:sz w:val="21"/>
                <w:szCs w:val="21"/>
              </w:rPr>
              <w:t>冬季</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4.26</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3.62</w:t>
            </w:r>
          </w:p>
        </w:tc>
        <w:tc>
          <w:tcPr>
            <w:tcW w:w="832"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2.66</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3.25</w:t>
            </w:r>
          </w:p>
        </w:tc>
        <w:tc>
          <w:tcPr>
            <w:tcW w:w="834"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64.74</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0</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4.21</w:t>
            </w:r>
          </w:p>
        </w:tc>
        <w:tc>
          <w:tcPr>
            <w:tcW w:w="835" w:type="dxa"/>
            <w:tcBorders>
              <w:top w:val="nil"/>
              <w:left w:val="nil"/>
              <w:bottom w:val="single" w:color="auto" w:sz="4" w:space="0"/>
              <w:right w:val="single" w:color="auto" w:sz="4" w:space="0"/>
            </w:tcBorders>
            <w:noWrap/>
            <w:tcMar>
              <w:top w:w="15" w:type="dxa"/>
              <w:left w:w="15" w:type="dxa"/>
              <w:right w:w="15" w:type="dxa"/>
            </w:tcMar>
            <w:vAlign w:val="center"/>
          </w:tcPr>
          <w:p>
            <w:pPr>
              <w:widowControl/>
              <w:spacing w:line="240" w:lineRule="auto"/>
              <w:ind w:firstLine="0" w:firstLineChars="0"/>
              <w:jc w:val="center"/>
              <w:textAlignment w:val="center"/>
              <w:rPr>
                <w:color w:val="000000" w:themeColor="text1"/>
                <w:sz w:val="21"/>
                <w:szCs w:val="21"/>
              </w:rPr>
            </w:pPr>
            <w:r>
              <w:rPr>
                <w:color w:val="000000" w:themeColor="text1"/>
                <w:kern w:val="0"/>
                <w:sz w:val="21"/>
                <w:szCs w:val="21"/>
              </w:rPr>
              <w:t>17.26</w:t>
            </w:r>
          </w:p>
        </w:tc>
      </w:tr>
    </w:tbl>
    <w:p>
      <w:pPr>
        <w:ind w:firstLine="480"/>
        <w:rPr>
          <w:color w:val="000000" w:themeColor="text1"/>
        </w:rPr>
      </w:pPr>
      <w:bookmarkStart w:id="651" w:name="_Toc21043"/>
      <w:r>
        <w:rPr>
          <w:color w:val="000000" w:themeColor="text1"/>
        </w:rPr>
        <w:t>（5）气温变化</w:t>
      </w:r>
      <w:bookmarkEnd w:id="651"/>
    </w:p>
    <w:p>
      <w:pPr>
        <w:pStyle w:val="78"/>
        <w:ind w:firstLine="480"/>
        <w:rPr>
          <w:bCs/>
          <w:color w:val="000000" w:themeColor="text1"/>
          <w:szCs w:val="24"/>
        </w:rPr>
      </w:pPr>
      <w:r>
        <w:rPr>
          <w:bCs/>
          <w:color w:val="000000" w:themeColor="text1"/>
          <w:szCs w:val="24"/>
        </w:rPr>
        <w:t>新平县2020年气温变化如下所示。</w:t>
      </w:r>
    </w:p>
    <w:p>
      <w:pPr>
        <w:pStyle w:val="78"/>
        <w:ind w:firstLine="422"/>
        <w:jc w:val="center"/>
        <w:rPr>
          <w:b/>
          <w:color w:val="000000" w:themeColor="text1"/>
          <w:sz w:val="21"/>
          <w:szCs w:val="21"/>
        </w:rPr>
      </w:pPr>
      <w:r>
        <w:rPr>
          <w:b/>
          <w:color w:val="000000" w:themeColor="text1"/>
          <w:sz w:val="21"/>
          <w:szCs w:val="21"/>
        </w:rPr>
        <w:t>表</w:t>
      </w:r>
      <w:r>
        <w:rPr>
          <w:rFonts w:hint="eastAsia"/>
          <w:b/>
          <w:color w:val="000000" w:themeColor="text1"/>
          <w:sz w:val="21"/>
          <w:szCs w:val="21"/>
        </w:rPr>
        <w:t>6</w:t>
      </w:r>
      <w:r>
        <w:rPr>
          <w:b/>
          <w:color w:val="000000" w:themeColor="text1"/>
          <w:sz w:val="21"/>
          <w:szCs w:val="21"/>
        </w:rPr>
        <w:t>.2-</w:t>
      </w:r>
      <w:r>
        <w:rPr>
          <w:rFonts w:hint="eastAsia"/>
          <w:b/>
          <w:color w:val="000000" w:themeColor="text1"/>
          <w:sz w:val="21"/>
          <w:szCs w:val="21"/>
        </w:rPr>
        <w:t>9</w:t>
      </w:r>
      <w:r>
        <w:rPr>
          <w:b/>
          <w:color w:val="000000" w:themeColor="text1"/>
          <w:sz w:val="21"/>
          <w:szCs w:val="21"/>
        </w:rPr>
        <w:t>新平县2020年年平均气温月变化表</w:t>
      </w:r>
    </w:p>
    <w:tbl>
      <w:tblPr>
        <w:tblStyle w:val="61"/>
        <w:tblW w:w="8522" w:type="dxa"/>
        <w:tblInd w:w="0" w:type="dxa"/>
        <w:shd w:val="clear" w:color="auto" w:fill="FFFFFF" w:themeFill="background1"/>
        <w:tblLayout w:type="fixed"/>
        <w:tblCellMar>
          <w:top w:w="0" w:type="dxa"/>
          <w:left w:w="108" w:type="dxa"/>
          <w:bottom w:w="0" w:type="dxa"/>
          <w:right w:w="108" w:type="dxa"/>
        </w:tblCellMar>
      </w:tblPr>
      <w:tblGrid>
        <w:gridCol w:w="899"/>
        <w:gridCol w:w="635"/>
        <w:gridCol w:w="635"/>
        <w:gridCol w:w="635"/>
        <w:gridCol w:w="635"/>
        <w:gridCol w:w="635"/>
        <w:gridCol w:w="635"/>
        <w:gridCol w:w="635"/>
        <w:gridCol w:w="635"/>
        <w:gridCol w:w="635"/>
        <w:gridCol w:w="636"/>
        <w:gridCol w:w="636"/>
        <w:gridCol w:w="636"/>
      </w:tblGrid>
      <w:tr>
        <w:tblPrEx>
          <w:shd w:val="clear" w:color="auto" w:fill="FFFFFF" w:themeFill="background1"/>
          <w:tblLayout w:type="fixed"/>
          <w:tblCellMar>
            <w:top w:w="0" w:type="dxa"/>
            <w:left w:w="108" w:type="dxa"/>
            <w:bottom w:w="0" w:type="dxa"/>
            <w:right w:w="108" w:type="dxa"/>
          </w:tblCellMar>
        </w:tblPrEx>
        <w:trPr>
          <w:trHeight w:val="285" w:hRule="atLeast"/>
        </w:trPr>
        <w:tc>
          <w:tcPr>
            <w:tcW w:w="899"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月份</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1月</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2月</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3月</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4月</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5月</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6月</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7月</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8月</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9月</w:t>
            </w:r>
          </w:p>
        </w:tc>
        <w:tc>
          <w:tcPr>
            <w:tcW w:w="63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10月</w:t>
            </w:r>
          </w:p>
        </w:tc>
        <w:tc>
          <w:tcPr>
            <w:tcW w:w="63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11月</w:t>
            </w:r>
          </w:p>
        </w:tc>
        <w:tc>
          <w:tcPr>
            <w:tcW w:w="63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12月</w:t>
            </w:r>
          </w:p>
        </w:tc>
      </w:tr>
      <w:tr>
        <w:tblPrEx>
          <w:tblLayout w:type="fixed"/>
          <w:tblCellMar>
            <w:top w:w="0" w:type="dxa"/>
            <w:left w:w="108" w:type="dxa"/>
            <w:bottom w:w="0" w:type="dxa"/>
            <w:right w:w="108" w:type="dxa"/>
          </w:tblCellMar>
        </w:tblPrEx>
        <w:trPr>
          <w:trHeight w:val="285" w:hRule="atLeast"/>
        </w:trPr>
        <w:tc>
          <w:tcPr>
            <w:tcW w:w="899"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温度(℃)</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13.02</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13.60</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19.04</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18.80</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23.91</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25.06</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22.96</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22.41</w:t>
            </w:r>
          </w:p>
        </w:tc>
        <w:tc>
          <w:tcPr>
            <w:tcW w:w="6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21.78</w:t>
            </w:r>
          </w:p>
        </w:tc>
        <w:tc>
          <w:tcPr>
            <w:tcW w:w="63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18.17</w:t>
            </w:r>
          </w:p>
        </w:tc>
        <w:tc>
          <w:tcPr>
            <w:tcW w:w="63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15.18</w:t>
            </w:r>
          </w:p>
        </w:tc>
        <w:tc>
          <w:tcPr>
            <w:tcW w:w="63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21"/>
                <w:szCs w:val="21"/>
              </w:rPr>
              <w:t>12.48</w:t>
            </w:r>
          </w:p>
        </w:tc>
      </w:tr>
    </w:tbl>
    <w:p>
      <w:pPr>
        <w:pStyle w:val="78"/>
        <w:ind w:firstLine="0" w:firstLineChars="0"/>
        <w:jc w:val="both"/>
        <w:rPr>
          <w:color w:val="000000" w:themeColor="text1"/>
        </w:rPr>
      </w:pPr>
      <w:r>
        <w:rPr>
          <w:color w:val="000000" w:themeColor="text1"/>
        </w:rPr>
        <w:drawing>
          <wp:inline distT="0" distB="0" distL="114300" distR="114300">
            <wp:extent cx="5758815" cy="2211070"/>
            <wp:effectExtent l="4445" t="4445" r="8890" b="13335"/>
            <wp:docPr id="205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pPr>
        <w:pStyle w:val="78"/>
        <w:ind w:firstLine="0" w:firstLineChars="0"/>
        <w:jc w:val="center"/>
        <w:rPr>
          <w:color w:val="000000" w:themeColor="text1"/>
          <w:sz w:val="28"/>
          <w:szCs w:val="28"/>
        </w:rPr>
      </w:pPr>
      <w:r>
        <w:rPr>
          <w:b/>
          <w:color w:val="000000" w:themeColor="text1"/>
          <w:sz w:val="21"/>
          <w:szCs w:val="21"/>
        </w:rPr>
        <w:t>图</w:t>
      </w:r>
      <w:r>
        <w:rPr>
          <w:rFonts w:hint="eastAsia"/>
          <w:b/>
          <w:color w:val="000000" w:themeColor="text1"/>
          <w:sz w:val="21"/>
          <w:szCs w:val="21"/>
        </w:rPr>
        <w:t>6</w:t>
      </w:r>
      <w:r>
        <w:rPr>
          <w:b/>
          <w:color w:val="000000" w:themeColor="text1"/>
          <w:sz w:val="21"/>
          <w:szCs w:val="21"/>
        </w:rPr>
        <w:t>.2-6新平县2020年年平均气温月变化图</w:t>
      </w:r>
    </w:p>
    <w:p>
      <w:pPr>
        <w:adjustRightInd w:val="0"/>
        <w:snapToGrid w:val="0"/>
        <w:ind w:firstLine="480"/>
        <w:rPr>
          <w:bCs/>
          <w:color w:val="000000" w:themeColor="text1"/>
        </w:rPr>
      </w:pPr>
      <w:bookmarkStart w:id="652" w:name="_Toc3264"/>
      <w:r>
        <w:rPr>
          <w:rFonts w:hint="eastAsia"/>
          <w:bCs/>
          <w:color w:val="000000" w:themeColor="text1"/>
        </w:rPr>
        <w:t>3、探空气象统计</w:t>
      </w:r>
    </w:p>
    <w:p>
      <w:pPr>
        <w:adjustRightInd w:val="0"/>
        <w:snapToGrid w:val="0"/>
        <w:ind w:firstLine="482"/>
        <w:rPr>
          <w:b/>
          <w:color w:val="000000" w:themeColor="text1"/>
        </w:rPr>
      </w:pPr>
      <w:r>
        <w:rPr>
          <w:rFonts w:hint="eastAsia"/>
          <w:b/>
          <w:color w:val="000000" w:themeColor="text1"/>
        </w:rPr>
        <w:t>（1）温廓线</w:t>
      </w:r>
    </w:p>
    <w:p>
      <w:pPr>
        <w:tabs>
          <w:tab w:val="left" w:pos="3495"/>
        </w:tabs>
        <w:autoSpaceDE w:val="0"/>
        <w:autoSpaceDN w:val="0"/>
        <w:ind w:firstLine="480"/>
        <w:rPr>
          <w:color w:val="000000" w:themeColor="text1"/>
          <w:kern w:val="0"/>
          <w:lang w:val="zh-CN"/>
        </w:rPr>
      </w:pPr>
      <w:r>
        <w:rPr>
          <w:rFonts w:hint="eastAsia"/>
          <w:color w:val="000000" w:themeColor="text1"/>
        </w:rPr>
        <w:t>2020年</w:t>
      </w:r>
      <w:r>
        <w:rPr>
          <w:color w:val="000000" w:themeColor="text1"/>
          <w:kern w:val="0"/>
          <w:lang w:val="zh-CN"/>
        </w:rPr>
        <w:t>温廓线统计如下</w:t>
      </w:r>
      <w:r>
        <w:rPr>
          <w:rFonts w:hint="eastAsia"/>
          <w:color w:val="000000" w:themeColor="text1"/>
          <w:kern w:val="0"/>
          <w:lang w:val="zh-CN"/>
        </w:rPr>
        <w:t>：</w:t>
      </w:r>
    </w:p>
    <w:p>
      <w:pPr>
        <w:pStyle w:val="78"/>
        <w:ind w:firstLine="422"/>
        <w:jc w:val="center"/>
        <w:rPr>
          <w:b/>
          <w:color w:val="000000" w:themeColor="text1"/>
          <w:sz w:val="21"/>
          <w:szCs w:val="21"/>
        </w:rPr>
      </w:pPr>
      <w:r>
        <w:rPr>
          <w:b/>
          <w:color w:val="000000" w:themeColor="text1"/>
          <w:sz w:val="21"/>
          <w:szCs w:val="21"/>
        </w:rPr>
        <w:t>表</w:t>
      </w:r>
      <w:r>
        <w:rPr>
          <w:rFonts w:hint="eastAsia"/>
          <w:b/>
          <w:color w:val="000000" w:themeColor="text1"/>
          <w:sz w:val="21"/>
          <w:szCs w:val="21"/>
        </w:rPr>
        <w:t>6</w:t>
      </w:r>
      <w:r>
        <w:rPr>
          <w:b/>
          <w:color w:val="000000" w:themeColor="text1"/>
          <w:sz w:val="21"/>
          <w:szCs w:val="21"/>
        </w:rPr>
        <w:t>.2-</w:t>
      </w:r>
      <w:r>
        <w:rPr>
          <w:rFonts w:hint="eastAsia"/>
          <w:b/>
          <w:color w:val="000000" w:themeColor="text1"/>
          <w:sz w:val="21"/>
          <w:szCs w:val="21"/>
        </w:rPr>
        <w:t>10</w:t>
      </w:r>
      <w:r>
        <w:rPr>
          <w:b/>
          <w:color w:val="000000" w:themeColor="text1"/>
          <w:sz w:val="21"/>
          <w:szCs w:val="21"/>
        </w:rPr>
        <w:t>新平县2020年</w:t>
      </w:r>
      <w:r>
        <w:rPr>
          <w:rFonts w:hint="eastAsia"/>
          <w:b/>
          <w:color w:val="000000" w:themeColor="text1"/>
          <w:sz w:val="21"/>
          <w:szCs w:val="21"/>
        </w:rPr>
        <w:t>温廓线统计结果</w:t>
      </w:r>
    </w:p>
    <w:tbl>
      <w:tblPr>
        <w:tblStyle w:val="61"/>
        <w:tblW w:w="8522" w:type="dxa"/>
        <w:tblInd w:w="0" w:type="dxa"/>
        <w:shd w:val="clear" w:color="auto" w:fill="FFFFFF" w:themeFill="background1"/>
        <w:tblLayout w:type="fixed"/>
        <w:tblCellMar>
          <w:top w:w="0" w:type="dxa"/>
          <w:left w:w="108" w:type="dxa"/>
          <w:bottom w:w="0" w:type="dxa"/>
          <w:right w:w="108" w:type="dxa"/>
        </w:tblCellMar>
      </w:tblPr>
      <w:tblGrid>
        <w:gridCol w:w="1076"/>
        <w:gridCol w:w="621"/>
        <w:gridCol w:w="621"/>
        <w:gridCol w:w="621"/>
        <w:gridCol w:w="621"/>
        <w:gridCol w:w="621"/>
        <w:gridCol w:w="621"/>
        <w:gridCol w:w="621"/>
        <w:gridCol w:w="621"/>
        <w:gridCol w:w="621"/>
        <w:gridCol w:w="621"/>
        <w:gridCol w:w="614"/>
        <w:gridCol w:w="622"/>
      </w:tblGrid>
      <w:tr>
        <w:tblPrEx>
          <w:shd w:val="clear" w:color="auto" w:fill="FFFFFF" w:themeFill="background1"/>
          <w:tblLayout w:type="fixed"/>
          <w:tblCellMar>
            <w:top w:w="0" w:type="dxa"/>
            <w:left w:w="108" w:type="dxa"/>
            <w:bottom w:w="0" w:type="dxa"/>
            <w:right w:w="108" w:type="dxa"/>
          </w:tblCellMar>
        </w:tblPrEx>
        <w:trPr>
          <w:trHeight w:val="285" w:hRule="atLeast"/>
        </w:trPr>
        <w:tc>
          <w:tcPr>
            <w:tcW w:w="107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高度（m）</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0</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42</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84</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126</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188</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274</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360</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446</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533</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621</w:t>
            </w:r>
          </w:p>
        </w:tc>
        <w:tc>
          <w:tcPr>
            <w:tcW w:w="61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710</w:t>
            </w:r>
          </w:p>
        </w:tc>
        <w:tc>
          <w:tcPr>
            <w:tcW w:w="62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799</w:t>
            </w:r>
          </w:p>
        </w:tc>
      </w:tr>
      <w:tr>
        <w:tblPrEx>
          <w:tblLayout w:type="fixed"/>
          <w:tblCellMar>
            <w:top w:w="0" w:type="dxa"/>
            <w:left w:w="108" w:type="dxa"/>
            <w:bottom w:w="0" w:type="dxa"/>
            <w:right w:w="108" w:type="dxa"/>
          </w:tblCellMar>
        </w:tblPrEx>
        <w:trPr>
          <w:trHeight w:val="285" w:hRule="atLeast"/>
        </w:trPr>
        <w:tc>
          <w:tcPr>
            <w:tcW w:w="107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18"/>
                <w:szCs w:val="18"/>
              </w:rPr>
              <w:t>气温(℃)</w:t>
            </w:r>
            <w:r>
              <w:rPr>
                <w:rFonts w:hint="eastAsia"/>
                <w:color w:val="000000" w:themeColor="text1"/>
                <w:kern w:val="0"/>
                <w:sz w:val="21"/>
                <w:szCs w:val="21"/>
              </w:rPr>
              <w:t xml:space="preserve"> </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16.28</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16.10</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16.06</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15.86</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15.52</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15.04</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14.24</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13.58</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12.81</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12.12</w:t>
            </w:r>
          </w:p>
        </w:tc>
        <w:tc>
          <w:tcPr>
            <w:tcW w:w="61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11.25</w:t>
            </w:r>
          </w:p>
        </w:tc>
        <w:tc>
          <w:tcPr>
            <w:tcW w:w="62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10.52</w:t>
            </w:r>
          </w:p>
        </w:tc>
      </w:tr>
      <w:tr>
        <w:tblPrEx>
          <w:tblLayout w:type="fixed"/>
          <w:tblCellMar>
            <w:top w:w="0" w:type="dxa"/>
            <w:left w:w="108" w:type="dxa"/>
            <w:bottom w:w="0" w:type="dxa"/>
            <w:right w:w="108" w:type="dxa"/>
          </w:tblCellMar>
        </w:tblPrEx>
        <w:trPr>
          <w:trHeight w:val="285" w:hRule="atLeast"/>
        </w:trPr>
        <w:tc>
          <w:tcPr>
            <w:tcW w:w="107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高度（m）</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935</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1119</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1306</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1496</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1690</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1940</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2246</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2615</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3110</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3689</w:t>
            </w:r>
          </w:p>
        </w:tc>
        <w:tc>
          <w:tcPr>
            <w:tcW w:w="61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4304</w:t>
            </w:r>
          </w:p>
        </w:tc>
        <w:tc>
          <w:tcPr>
            <w:tcW w:w="62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p>
        </w:tc>
      </w:tr>
      <w:tr>
        <w:tblPrEx>
          <w:tblLayout w:type="fixed"/>
          <w:tblCellMar>
            <w:top w:w="0" w:type="dxa"/>
            <w:left w:w="108" w:type="dxa"/>
            <w:bottom w:w="0" w:type="dxa"/>
            <w:right w:w="108" w:type="dxa"/>
          </w:tblCellMar>
        </w:tblPrEx>
        <w:trPr>
          <w:trHeight w:val="285" w:hRule="atLeast"/>
        </w:trPr>
        <w:tc>
          <w:tcPr>
            <w:tcW w:w="1076"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color w:val="000000" w:themeColor="text1"/>
                <w:kern w:val="0"/>
                <w:sz w:val="18"/>
                <w:szCs w:val="18"/>
              </w:rPr>
              <w:t>气温(℃)</w:t>
            </w:r>
            <w:r>
              <w:rPr>
                <w:rFonts w:hint="eastAsia"/>
                <w:color w:val="000000" w:themeColor="text1"/>
                <w:kern w:val="0"/>
                <w:sz w:val="21"/>
                <w:szCs w:val="21"/>
              </w:rPr>
              <w:t xml:space="preserve"> </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9.79</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9.31</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8.32</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6.43</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5.45</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4.50</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3.54</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3.14</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1.75</w:t>
            </w:r>
          </w:p>
        </w:tc>
        <w:tc>
          <w:tcPr>
            <w:tcW w:w="621"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-0.43</w:t>
            </w:r>
          </w:p>
        </w:tc>
        <w:tc>
          <w:tcPr>
            <w:tcW w:w="614"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r>
              <w:rPr>
                <w:rFonts w:hint="eastAsia"/>
                <w:color w:val="000000" w:themeColor="text1"/>
                <w:sz w:val="21"/>
                <w:szCs w:val="21"/>
              </w:rPr>
              <w:t>-2.33</w:t>
            </w:r>
          </w:p>
        </w:tc>
        <w:tc>
          <w:tcPr>
            <w:tcW w:w="622"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widowControl/>
              <w:ind w:firstLine="0" w:firstLineChars="0"/>
              <w:jc w:val="center"/>
              <w:textAlignment w:val="bottom"/>
              <w:rPr>
                <w:color w:val="000000" w:themeColor="text1"/>
                <w:sz w:val="21"/>
                <w:szCs w:val="21"/>
              </w:rPr>
            </w:pPr>
          </w:p>
        </w:tc>
      </w:tr>
    </w:tbl>
    <w:p>
      <w:pPr>
        <w:pStyle w:val="78"/>
        <w:ind w:firstLine="480"/>
        <w:rPr>
          <w:color w:val="000000" w:themeColor="text1"/>
        </w:rPr>
      </w:pPr>
    </w:p>
    <w:p>
      <w:pPr>
        <w:pStyle w:val="78"/>
        <w:ind w:firstLine="480"/>
        <w:jc w:val="center"/>
        <w:rPr>
          <w:color w:val="000000" w:themeColor="text1"/>
        </w:rPr>
      </w:pPr>
      <w:r>
        <w:rPr>
          <w:color w:val="000000" w:themeColor="text1"/>
        </w:rPr>
        <w:drawing>
          <wp:inline distT="0" distB="0" distL="114300" distR="114300">
            <wp:extent cx="2734310" cy="3905885"/>
            <wp:effectExtent l="0" t="0" r="8890" b="18415"/>
            <wp:docPr id="3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6"/>
                    <pic:cNvPicPr>
                      <a:picLocks noChangeAspect="1"/>
                    </pic:cNvPicPr>
                  </pic:nvPicPr>
                  <pic:blipFill>
                    <a:blip r:embed="rId92" cstate="print"/>
                    <a:stretch>
                      <a:fillRect/>
                    </a:stretch>
                  </pic:blipFill>
                  <pic:spPr>
                    <a:xfrm>
                      <a:off x="0" y="0"/>
                      <a:ext cx="2734310" cy="3905885"/>
                    </a:xfrm>
                    <a:prstGeom prst="rect">
                      <a:avLst/>
                    </a:prstGeom>
                    <a:noFill/>
                    <a:ln>
                      <a:noFill/>
                    </a:ln>
                  </pic:spPr>
                </pic:pic>
              </a:graphicData>
            </a:graphic>
          </wp:inline>
        </w:drawing>
      </w:r>
    </w:p>
    <w:p>
      <w:pPr>
        <w:pStyle w:val="78"/>
        <w:ind w:firstLine="422"/>
        <w:jc w:val="center"/>
        <w:rPr>
          <w:b/>
          <w:bCs/>
          <w:color w:val="000000" w:themeColor="text1"/>
          <w:sz w:val="21"/>
          <w:szCs w:val="21"/>
        </w:rPr>
      </w:pPr>
      <w:r>
        <w:rPr>
          <w:rFonts w:hint="eastAsia"/>
          <w:b/>
          <w:bCs/>
          <w:color w:val="000000" w:themeColor="text1"/>
          <w:sz w:val="21"/>
          <w:szCs w:val="21"/>
        </w:rPr>
        <w:t>图6.2-7 新平县2020温廓线图</w:t>
      </w:r>
    </w:p>
    <w:p>
      <w:pPr>
        <w:pStyle w:val="78"/>
        <w:ind w:firstLine="480"/>
        <w:rPr>
          <w:color w:val="000000" w:themeColor="text1"/>
        </w:rPr>
      </w:pPr>
    </w:p>
    <w:p>
      <w:pPr>
        <w:adjustRightInd w:val="0"/>
        <w:snapToGrid w:val="0"/>
        <w:ind w:firstLine="482"/>
        <w:rPr>
          <w:b/>
          <w:color w:val="000000" w:themeColor="text1"/>
        </w:rPr>
      </w:pPr>
      <w:r>
        <w:rPr>
          <w:b/>
          <w:color w:val="000000" w:themeColor="text1"/>
        </w:rPr>
        <w:t>二、评价工作等级的确定</w:t>
      </w:r>
      <w:bookmarkEnd w:id="652"/>
    </w:p>
    <w:p>
      <w:pPr>
        <w:pStyle w:val="19"/>
        <w:ind w:firstLine="480"/>
        <w:rPr>
          <w:color w:val="000000" w:themeColor="text1"/>
          <w:lang w:eastAsia="zh-CN"/>
        </w:rPr>
      </w:pPr>
      <w:r>
        <w:rPr>
          <w:color w:val="000000" w:themeColor="text1"/>
          <w:lang w:eastAsia="zh-CN"/>
        </w:rPr>
        <w:t>根据《环境影响评价技术导则大气环境》（HJ2.2-2018）中对大气环境影响预测与评价的要求，本次使用ARESCREEN估算模式</w:t>
      </w:r>
      <w:r>
        <w:rPr>
          <w:rFonts w:hint="eastAsia"/>
          <w:color w:val="000000" w:themeColor="text1"/>
          <w:lang w:eastAsia="zh-CN"/>
        </w:rPr>
        <w:t>对项目评价等级进行判定</w:t>
      </w:r>
      <w:r>
        <w:rPr>
          <w:color w:val="000000" w:themeColor="text1"/>
          <w:lang w:eastAsia="zh-CN"/>
        </w:rPr>
        <w:t>。</w:t>
      </w:r>
    </w:p>
    <w:p>
      <w:pPr>
        <w:ind w:firstLine="480"/>
        <w:rPr>
          <w:color w:val="000000" w:themeColor="text1"/>
        </w:rPr>
      </w:pPr>
      <w:bookmarkStart w:id="653" w:name="_Toc12047"/>
      <w:r>
        <w:rPr>
          <w:color w:val="000000" w:themeColor="text1"/>
        </w:rPr>
        <w:t>1、</w:t>
      </w:r>
      <w:r>
        <w:rPr>
          <w:color w:val="000000" w:themeColor="text1"/>
          <w:szCs w:val="24"/>
        </w:rPr>
        <w:t>Pi的确定</w:t>
      </w:r>
      <w:bookmarkEnd w:id="653"/>
    </w:p>
    <w:p>
      <w:pPr>
        <w:spacing w:line="480" w:lineRule="exact"/>
        <w:ind w:firstLine="422" w:firstLineChars="176"/>
        <w:rPr>
          <w:color w:val="000000" w:themeColor="text1"/>
          <w:szCs w:val="24"/>
        </w:rPr>
      </w:pPr>
      <w:r>
        <w:rPr>
          <w:color w:val="000000" w:themeColor="text1"/>
          <w:szCs w:val="24"/>
        </w:rPr>
        <w:t>依据《环境影响评价技术导则大气环境》(HJ2.2-2018)中最大地面浓度占标率P</w:t>
      </w:r>
      <w:r>
        <w:rPr>
          <w:i/>
          <w:color w:val="000000" w:themeColor="text1"/>
          <w:szCs w:val="24"/>
        </w:rPr>
        <w:t>i</w:t>
      </w:r>
      <w:r>
        <w:rPr>
          <w:color w:val="000000" w:themeColor="text1"/>
          <w:szCs w:val="24"/>
        </w:rPr>
        <w:t>定义如下：</w:t>
      </w:r>
    </w:p>
    <w:p>
      <w:pPr>
        <w:spacing w:line="276" w:lineRule="auto"/>
        <w:ind w:firstLine="422" w:firstLineChars="176"/>
        <w:jc w:val="center"/>
        <w:rPr>
          <w:color w:val="000000" w:themeColor="text1"/>
          <w:szCs w:val="24"/>
        </w:rPr>
      </w:pPr>
    </w:p>
    <w:p>
      <w:pPr>
        <w:ind w:firstLine="480"/>
        <w:jc w:val="center"/>
        <w:rPr>
          <w:color w:val="000000" w:themeColor="text1"/>
        </w:rPr>
      </w:pPr>
      <w:r>
        <w:rPr>
          <w:color w:val="000000" w:themeColor="text1"/>
        </w:rPr>
        <w:t>Pi=C</w:t>
      </w:r>
      <w:r>
        <w:rPr>
          <w:color w:val="000000" w:themeColor="text1"/>
          <w:vertAlign w:val="subscript"/>
        </w:rPr>
        <w:t>i</w:t>
      </w:r>
      <w:r>
        <w:rPr>
          <w:color w:val="000000" w:themeColor="text1"/>
        </w:rPr>
        <w:t>/C</w:t>
      </w:r>
      <w:r>
        <w:rPr>
          <w:color w:val="000000" w:themeColor="text1"/>
          <w:vertAlign w:val="subscript"/>
        </w:rPr>
        <w:t>io</w:t>
      </w:r>
      <w:r>
        <w:rPr>
          <w:color w:val="000000" w:themeColor="text1"/>
        </w:rPr>
        <w:t>×100%</w:t>
      </w:r>
    </w:p>
    <w:p>
      <w:pPr>
        <w:ind w:firstLine="480"/>
        <w:rPr>
          <w:color w:val="000000" w:themeColor="text1"/>
        </w:rPr>
      </w:pPr>
      <w:r>
        <w:rPr>
          <w:color w:val="000000" w:themeColor="text1"/>
        </w:rPr>
        <w:t>式中：P</w:t>
      </w:r>
      <w:r>
        <w:rPr>
          <w:color w:val="000000" w:themeColor="text1"/>
          <w:vertAlign w:val="subscript"/>
        </w:rPr>
        <w:t>i</w:t>
      </w:r>
      <w:r>
        <w:rPr>
          <w:color w:val="000000" w:themeColor="text1"/>
        </w:rPr>
        <w:t>－第i个污染物最大地面浓度占标率，%；</w:t>
      </w:r>
    </w:p>
    <w:p>
      <w:pPr>
        <w:ind w:firstLine="1200" w:firstLineChars="500"/>
        <w:rPr>
          <w:color w:val="000000" w:themeColor="text1"/>
        </w:rPr>
      </w:pPr>
      <w:r>
        <w:rPr>
          <w:color w:val="000000" w:themeColor="text1"/>
        </w:rPr>
        <w:t>C</w:t>
      </w:r>
      <w:r>
        <w:rPr>
          <w:color w:val="000000" w:themeColor="text1"/>
          <w:vertAlign w:val="subscript"/>
        </w:rPr>
        <w:t>i</w:t>
      </w:r>
      <w:r>
        <w:rPr>
          <w:color w:val="000000" w:themeColor="text1"/>
        </w:rPr>
        <w:t>－采用估算模式计算出的第i个污染物最大地面浓度，mg/m</w:t>
      </w:r>
      <w:r>
        <w:rPr>
          <w:color w:val="000000" w:themeColor="text1"/>
          <w:vertAlign w:val="superscript"/>
        </w:rPr>
        <w:t>3</w:t>
      </w:r>
      <w:r>
        <w:rPr>
          <w:color w:val="000000" w:themeColor="text1"/>
        </w:rPr>
        <w:t>；</w:t>
      </w:r>
    </w:p>
    <w:p>
      <w:pPr>
        <w:ind w:firstLine="1200" w:firstLineChars="500"/>
        <w:rPr>
          <w:color w:val="000000" w:themeColor="text1"/>
          <w:szCs w:val="24"/>
        </w:rPr>
      </w:pPr>
      <w:r>
        <w:rPr>
          <w:color w:val="000000" w:themeColor="text1"/>
        </w:rPr>
        <w:t>C</w:t>
      </w:r>
      <w:r>
        <w:rPr>
          <w:color w:val="000000" w:themeColor="text1"/>
          <w:vertAlign w:val="subscript"/>
        </w:rPr>
        <w:t>oi</w:t>
      </w:r>
      <w:r>
        <w:rPr>
          <w:color w:val="000000" w:themeColor="text1"/>
        </w:rPr>
        <w:t>－第i个污染物环境空气质量标准，mg/m</w:t>
      </w:r>
      <w:r>
        <w:rPr>
          <w:color w:val="000000" w:themeColor="text1"/>
          <w:vertAlign w:val="superscript"/>
        </w:rPr>
        <w:t>3</w:t>
      </w:r>
      <w:r>
        <w:rPr>
          <w:color w:val="000000" w:themeColor="text1"/>
        </w:rPr>
        <w:t>。</w:t>
      </w:r>
    </w:p>
    <w:p>
      <w:pPr>
        <w:spacing w:line="480" w:lineRule="exact"/>
        <w:ind w:firstLine="422" w:firstLineChars="176"/>
        <w:rPr>
          <w:color w:val="000000" w:themeColor="text1"/>
          <w:szCs w:val="24"/>
        </w:rPr>
      </w:pPr>
      <w:r>
        <w:rPr>
          <w:color w:val="000000" w:themeColor="text1"/>
          <w:szCs w:val="24"/>
        </w:rPr>
        <w:t>（2）评价等级判别表</w:t>
      </w:r>
    </w:p>
    <w:p>
      <w:pPr>
        <w:spacing w:line="480" w:lineRule="exact"/>
        <w:ind w:firstLine="422" w:firstLineChars="176"/>
        <w:rPr>
          <w:color w:val="000000" w:themeColor="text1"/>
          <w:szCs w:val="24"/>
        </w:rPr>
      </w:pPr>
      <w:r>
        <w:rPr>
          <w:color w:val="000000" w:themeColor="text1"/>
          <w:szCs w:val="24"/>
        </w:rPr>
        <w:t>评价等级按下表的分级判据进行划分</w:t>
      </w:r>
      <w:r>
        <w:rPr>
          <w:rFonts w:hint="eastAsia"/>
          <w:color w:val="000000" w:themeColor="text1"/>
          <w:szCs w:val="24"/>
        </w:rPr>
        <w:t>。</w:t>
      </w:r>
    </w:p>
    <w:p>
      <w:pPr>
        <w:spacing w:line="480" w:lineRule="exact"/>
        <w:ind w:firstLine="371" w:firstLineChars="176"/>
        <w:jc w:val="center"/>
        <w:rPr>
          <w:b/>
          <w:bCs/>
          <w:color w:val="000000" w:themeColor="text1"/>
          <w:sz w:val="21"/>
          <w:szCs w:val="21"/>
        </w:rPr>
      </w:pPr>
    </w:p>
    <w:p>
      <w:pPr>
        <w:spacing w:line="480" w:lineRule="exact"/>
        <w:ind w:firstLine="371" w:firstLineChars="176"/>
        <w:jc w:val="center"/>
        <w:rPr>
          <w:b/>
          <w:bCs/>
          <w:color w:val="000000" w:themeColor="text1"/>
          <w:sz w:val="21"/>
          <w:szCs w:val="21"/>
        </w:rPr>
      </w:pPr>
      <w:r>
        <w:rPr>
          <w:b/>
          <w:bCs/>
          <w:color w:val="000000" w:themeColor="text1"/>
          <w:sz w:val="21"/>
          <w:szCs w:val="21"/>
        </w:rPr>
        <w:t>表</w:t>
      </w:r>
      <w:r>
        <w:rPr>
          <w:rFonts w:hint="eastAsia"/>
          <w:b/>
          <w:bCs/>
          <w:color w:val="000000" w:themeColor="text1"/>
          <w:sz w:val="21"/>
          <w:szCs w:val="21"/>
        </w:rPr>
        <w:t>6</w:t>
      </w:r>
      <w:r>
        <w:rPr>
          <w:b/>
          <w:bCs/>
          <w:color w:val="000000" w:themeColor="text1"/>
          <w:sz w:val="21"/>
          <w:szCs w:val="21"/>
        </w:rPr>
        <w:t>.2-</w:t>
      </w:r>
      <w:r>
        <w:rPr>
          <w:rFonts w:hint="eastAsia"/>
          <w:b/>
          <w:bCs/>
          <w:color w:val="000000" w:themeColor="text1"/>
          <w:sz w:val="21"/>
          <w:szCs w:val="21"/>
        </w:rPr>
        <w:t>11</w:t>
      </w:r>
      <w:r>
        <w:rPr>
          <w:b/>
          <w:bCs/>
          <w:color w:val="000000" w:themeColor="text1"/>
          <w:sz w:val="21"/>
          <w:szCs w:val="21"/>
        </w:rPr>
        <w:t>评价等级判别表</w:t>
      </w:r>
    </w:p>
    <w:tbl>
      <w:tblPr>
        <w:tblStyle w:val="6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29"/>
        <w:gridCol w:w="42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29" w:type="dxa"/>
            <w:vAlign w:val="center"/>
          </w:tcPr>
          <w:p>
            <w:pPr>
              <w:ind w:firstLine="420"/>
              <w:jc w:val="center"/>
              <w:rPr>
                <w:color w:val="000000" w:themeColor="text1"/>
                <w:sz w:val="21"/>
                <w:szCs w:val="21"/>
              </w:rPr>
            </w:pPr>
            <w:r>
              <w:rPr>
                <w:color w:val="000000" w:themeColor="text1"/>
                <w:sz w:val="21"/>
                <w:szCs w:val="21"/>
              </w:rPr>
              <w:t>评价工作等级</w:t>
            </w:r>
          </w:p>
        </w:tc>
        <w:tc>
          <w:tcPr>
            <w:tcW w:w="4293" w:type="dxa"/>
            <w:vAlign w:val="center"/>
          </w:tcPr>
          <w:p>
            <w:pPr>
              <w:ind w:firstLine="420"/>
              <w:jc w:val="center"/>
              <w:rPr>
                <w:color w:val="000000" w:themeColor="text1"/>
                <w:sz w:val="21"/>
                <w:szCs w:val="21"/>
              </w:rPr>
            </w:pPr>
            <w:r>
              <w:rPr>
                <w:color w:val="000000" w:themeColor="text1"/>
                <w:sz w:val="21"/>
                <w:szCs w:val="21"/>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29" w:type="dxa"/>
            <w:vAlign w:val="center"/>
          </w:tcPr>
          <w:p>
            <w:pPr>
              <w:ind w:firstLine="420"/>
              <w:jc w:val="center"/>
              <w:rPr>
                <w:color w:val="000000" w:themeColor="text1"/>
                <w:sz w:val="21"/>
                <w:szCs w:val="21"/>
              </w:rPr>
            </w:pPr>
            <w:r>
              <w:rPr>
                <w:color w:val="000000" w:themeColor="text1"/>
                <w:sz w:val="21"/>
                <w:szCs w:val="21"/>
              </w:rPr>
              <w:t>一级评价</w:t>
            </w:r>
          </w:p>
        </w:tc>
        <w:tc>
          <w:tcPr>
            <w:tcW w:w="4293" w:type="dxa"/>
            <w:vAlign w:val="center"/>
          </w:tcPr>
          <w:p>
            <w:pPr>
              <w:ind w:firstLine="420"/>
              <w:jc w:val="center"/>
              <w:rPr>
                <w:color w:val="000000" w:themeColor="text1"/>
                <w:sz w:val="21"/>
                <w:szCs w:val="21"/>
              </w:rPr>
            </w:pPr>
            <w:r>
              <w:rPr>
                <w:color w:val="000000" w:themeColor="text1"/>
                <w:sz w:val="21"/>
                <w:szCs w:val="21"/>
              </w:rPr>
              <w:t>P</w:t>
            </w:r>
            <w:r>
              <w:rPr>
                <w:color w:val="000000" w:themeColor="text1"/>
                <w:sz w:val="21"/>
                <w:szCs w:val="21"/>
                <w:vertAlign w:val="subscript"/>
              </w:rPr>
              <w:t>max</w:t>
            </w:r>
            <w:r>
              <w:rPr>
                <w:color w:val="000000" w:themeColor="text1"/>
                <w:sz w:val="21"/>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29" w:type="dxa"/>
            <w:vAlign w:val="center"/>
          </w:tcPr>
          <w:p>
            <w:pPr>
              <w:ind w:firstLine="420"/>
              <w:jc w:val="center"/>
              <w:rPr>
                <w:color w:val="000000" w:themeColor="text1"/>
                <w:sz w:val="21"/>
                <w:szCs w:val="21"/>
              </w:rPr>
            </w:pPr>
            <w:r>
              <w:rPr>
                <w:color w:val="000000" w:themeColor="text1"/>
                <w:sz w:val="21"/>
                <w:szCs w:val="21"/>
              </w:rPr>
              <w:t>二级评价</w:t>
            </w:r>
          </w:p>
        </w:tc>
        <w:tc>
          <w:tcPr>
            <w:tcW w:w="4293" w:type="dxa"/>
            <w:vAlign w:val="center"/>
          </w:tcPr>
          <w:p>
            <w:pPr>
              <w:ind w:firstLine="420"/>
              <w:jc w:val="center"/>
              <w:rPr>
                <w:color w:val="000000" w:themeColor="text1"/>
                <w:sz w:val="21"/>
                <w:szCs w:val="21"/>
              </w:rPr>
            </w:pPr>
            <w:r>
              <w:rPr>
                <w:color w:val="000000" w:themeColor="text1"/>
                <w:sz w:val="21"/>
                <w:szCs w:val="21"/>
              </w:rPr>
              <w:t>1%≦P</w:t>
            </w:r>
            <w:r>
              <w:rPr>
                <w:color w:val="000000" w:themeColor="text1"/>
                <w:sz w:val="21"/>
                <w:szCs w:val="21"/>
                <w:vertAlign w:val="subscript"/>
              </w:rPr>
              <w:t>max</w:t>
            </w:r>
            <w:r>
              <w:rPr>
                <w:color w:val="000000" w:themeColor="text1"/>
                <w:sz w:val="21"/>
                <w:szCs w:val="21"/>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229" w:type="dxa"/>
            <w:vAlign w:val="center"/>
          </w:tcPr>
          <w:p>
            <w:pPr>
              <w:ind w:firstLine="420"/>
              <w:jc w:val="center"/>
              <w:rPr>
                <w:color w:val="000000" w:themeColor="text1"/>
                <w:sz w:val="21"/>
                <w:szCs w:val="21"/>
              </w:rPr>
            </w:pPr>
            <w:r>
              <w:rPr>
                <w:color w:val="000000" w:themeColor="text1"/>
                <w:sz w:val="21"/>
                <w:szCs w:val="21"/>
              </w:rPr>
              <w:t>三级评价</w:t>
            </w:r>
          </w:p>
        </w:tc>
        <w:tc>
          <w:tcPr>
            <w:tcW w:w="4293" w:type="dxa"/>
            <w:vAlign w:val="center"/>
          </w:tcPr>
          <w:p>
            <w:pPr>
              <w:ind w:firstLine="420"/>
              <w:jc w:val="center"/>
              <w:rPr>
                <w:color w:val="000000" w:themeColor="text1"/>
                <w:sz w:val="21"/>
                <w:szCs w:val="21"/>
              </w:rPr>
            </w:pPr>
            <w:r>
              <w:rPr>
                <w:color w:val="000000" w:themeColor="text1"/>
                <w:sz w:val="21"/>
                <w:szCs w:val="21"/>
              </w:rPr>
              <w:t>P</w:t>
            </w:r>
            <w:r>
              <w:rPr>
                <w:color w:val="000000" w:themeColor="text1"/>
                <w:sz w:val="21"/>
                <w:szCs w:val="21"/>
                <w:vertAlign w:val="subscript"/>
              </w:rPr>
              <w:t>max</w:t>
            </w:r>
            <w:r>
              <w:rPr>
                <w:color w:val="000000" w:themeColor="text1"/>
                <w:sz w:val="21"/>
                <w:szCs w:val="21"/>
              </w:rPr>
              <w:t>&lt;1%</w:t>
            </w:r>
          </w:p>
        </w:tc>
      </w:tr>
    </w:tbl>
    <w:p>
      <w:pPr>
        <w:spacing w:line="480" w:lineRule="exact"/>
        <w:ind w:firstLine="422" w:firstLineChars="176"/>
        <w:rPr>
          <w:color w:val="000000" w:themeColor="text1"/>
          <w:szCs w:val="24"/>
        </w:rPr>
      </w:pPr>
      <w:r>
        <w:rPr>
          <w:color w:val="000000" w:themeColor="text1"/>
          <w:szCs w:val="24"/>
        </w:rPr>
        <w:t>（3）污染物评价标准</w:t>
      </w:r>
    </w:p>
    <w:p>
      <w:pPr>
        <w:spacing w:line="480" w:lineRule="exact"/>
        <w:ind w:firstLine="422" w:firstLineChars="176"/>
        <w:rPr>
          <w:b/>
          <w:bCs/>
          <w:color w:val="000000" w:themeColor="text1"/>
          <w:sz w:val="21"/>
          <w:szCs w:val="21"/>
        </w:rPr>
      </w:pPr>
      <w:r>
        <w:rPr>
          <w:color w:val="000000" w:themeColor="text1"/>
          <w:szCs w:val="24"/>
        </w:rPr>
        <w:t>污染物评价标准和来源见下表。</w:t>
      </w:r>
    </w:p>
    <w:p>
      <w:pPr>
        <w:spacing w:line="480" w:lineRule="exact"/>
        <w:ind w:firstLine="371" w:firstLineChars="176"/>
        <w:jc w:val="center"/>
        <w:rPr>
          <w:b/>
          <w:bCs/>
          <w:color w:val="000000" w:themeColor="text1"/>
          <w:sz w:val="21"/>
          <w:szCs w:val="21"/>
        </w:rPr>
      </w:pPr>
      <w:r>
        <w:rPr>
          <w:b/>
          <w:bCs/>
          <w:color w:val="000000" w:themeColor="text1"/>
          <w:sz w:val="21"/>
          <w:szCs w:val="21"/>
        </w:rPr>
        <w:t>表</w:t>
      </w:r>
      <w:r>
        <w:rPr>
          <w:rFonts w:hint="eastAsia"/>
          <w:b/>
          <w:bCs/>
          <w:color w:val="000000" w:themeColor="text1"/>
          <w:sz w:val="21"/>
          <w:szCs w:val="21"/>
        </w:rPr>
        <w:t>6</w:t>
      </w:r>
      <w:r>
        <w:rPr>
          <w:b/>
          <w:bCs/>
          <w:color w:val="000000" w:themeColor="text1"/>
          <w:sz w:val="21"/>
          <w:szCs w:val="21"/>
        </w:rPr>
        <w:t>.2-1</w:t>
      </w:r>
      <w:r>
        <w:rPr>
          <w:rFonts w:hint="eastAsia"/>
          <w:b/>
          <w:bCs/>
          <w:color w:val="000000" w:themeColor="text1"/>
          <w:sz w:val="21"/>
          <w:szCs w:val="21"/>
        </w:rPr>
        <w:t>2</w:t>
      </w:r>
      <w:r>
        <w:rPr>
          <w:b/>
          <w:bCs/>
          <w:color w:val="000000" w:themeColor="text1"/>
          <w:sz w:val="21"/>
          <w:szCs w:val="21"/>
        </w:rPr>
        <w:t>污染物评价标准</w:t>
      </w:r>
    </w:p>
    <w:tbl>
      <w:tblPr>
        <w:tblStyle w:val="61"/>
        <w:tblW w:w="8519" w:type="dxa"/>
        <w:jc w:val="center"/>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1063"/>
        <w:gridCol w:w="771"/>
        <w:gridCol w:w="771"/>
        <w:gridCol w:w="1556"/>
        <w:gridCol w:w="2179"/>
        <w:gridCol w:w="2179"/>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Ex>
        <w:trPr>
          <w:trHeight w:val="454" w:hRule="atLeast"/>
          <w:jc w:val="center"/>
        </w:trPr>
        <w:tc>
          <w:tcPr>
            <w:tcW w:w="1063" w:type="dxa"/>
            <w:vAlign w:val="center"/>
          </w:tcPr>
          <w:p>
            <w:pPr>
              <w:spacing w:line="240" w:lineRule="auto"/>
              <w:ind w:firstLine="0" w:firstLineChars="0"/>
              <w:jc w:val="center"/>
              <w:rPr>
                <w:color w:val="000000" w:themeColor="text1"/>
                <w:sz w:val="21"/>
                <w:szCs w:val="21"/>
              </w:rPr>
            </w:pPr>
            <w:r>
              <w:rPr>
                <w:color w:val="000000" w:themeColor="text1"/>
                <w:sz w:val="21"/>
                <w:szCs w:val="21"/>
              </w:rPr>
              <w:t>污染物名称</w:t>
            </w:r>
          </w:p>
        </w:tc>
        <w:tc>
          <w:tcPr>
            <w:tcW w:w="771" w:type="dxa"/>
            <w:vAlign w:val="center"/>
          </w:tcPr>
          <w:p>
            <w:pPr>
              <w:spacing w:line="240" w:lineRule="auto"/>
              <w:ind w:firstLine="0" w:firstLineChars="0"/>
              <w:jc w:val="center"/>
              <w:rPr>
                <w:color w:val="000000" w:themeColor="text1"/>
                <w:sz w:val="21"/>
                <w:szCs w:val="21"/>
              </w:rPr>
            </w:pPr>
            <w:r>
              <w:rPr>
                <w:color w:val="000000" w:themeColor="text1"/>
                <w:sz w:val="21"/>
                <w:szCs w:val="21"/>
              </w:rPr>
              <w:t>功能区</w:t>
            </w:r>
          </w:p>
        </w:tc>
        <w:tc>
          <w:tcPr>
            <w:tcW w:w="771" w:type="dxa"/>
            <w:vAlign w:val="center"/>
          </w:tcPr>
          <w:p>
            <w:pPr>
              <w:spacing w:line="240" w:lineRule="auto"/>
              <w:ind w:firstLine="0" w:firstLineChars="0"/>
              <w:jc w:val="center"/>
              <w:rPr>
                <w:color w:val="000000" w:themeColor="text1"/>
                <w:sz w:val="21"/>
                <w:szCs w:val="21"/>
              </w:rPr>
            </w:pPr>
            <w:r>
              <w:rPr>
                <w:color w:val="000000" w:themeColor="text1"/>
                <w:sz w:val="21"/>
                <w:szCs w:val="21"/>
              </w:rPr>
              <w:t>取值时间</w:t>
            </w:r>
          </w:p>
        </w:tc>
        <w:tc>
          <w:tcPr>
            <w:tcW w:w="1556" w:type="dxa"/>
            <w:vAlign w:val="center"/>
          </w:tcPr>
          <w:p>
            <w:pPr>
              <w:spacing w:line="240" w:lineRule="auto"/>
              <w:ind w:firstLine="0" w:firstLineChars="0"/>
              <w:jc w:val="center"/>
              <w:rPr>
                <w:color w:val="000000" w:themeColor="text1"/>
                <w:sz w:val="21"/>
                <w:szCs w:val="21"/>
              </w:rPr>
            </w:pPr>
            <w:r>
              <w:rPr>
                <w:color w:val="000000" w:themeColor="text1"/>
                <w:sz w:val="21"/>
                <w:szCs w:val="21"/>
              </w:rPr>
              <w:t>标准值(μg/m³)</w:t>
            </w:r>
          </w:p>
        </w:tc>
        <w:tc>
          <w:tcPr>
            <w:tcW w:w="2179" w:type="dxa"/>
            <w:vAlign w:val="center"/>
          </w:tcPr>
          <w:p>
            <w:pPr>
              <w:spacing w:line="240" w:lineRule="auto"/>
              <w:ind w:firstLine="0" w:firstLineChars="0"/>
              <w:jc w:val="center"/>
              <w:rPr>
                <w:color w:val="000000" w:themeColor="text1"/>
                <w:sz w:val="21"/>
                <w:szCs w:val="21"/>
              </w:rPr>
            </w:pPr>
            <w:r>
              <w:rPr>
                <w:color w:val="000000" w:themeColor="text1"/>
                <w:sz w:val="21"/>
                <w:szCs w:val="21"/>
              </w:rPr>
              <w:t>标准来源</w:t>
            </w:r>
          </w:p>
        </w:tc>
        <w:tc>
          <w:tcPr>
            <w:tcW w:w="217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备注</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PrEx>
        <w:trPr>
          <w:trHeight w:val="454" w:hRule="atLeast"/>
          <w:jc w:val="center"/>
        </w:trPr>
        <w:tc>
          <w:tcPr>
            <w:tcW w:w="106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TSP</w:t>
            </w:r>
          </w:p>
        </w:tc>
        <w:tc>
          <w:tcPr>
            <w:tcW w:w="771" w:type="dxa"/>
            <w:vAlign w:val="center"/>
          </w:tcPr>
          <w:p>
            <w:pPr>
              <w:spacing w:line="240" w:lineRule="auto"/>
              <w:ind w:firstLine="0" w:firstLineChars="0"/>
              <w:jc w:val="center"/>
              <w:rPr>
                <w:color w:val="000000" w:themeColor="text1"/>
                <w:sz w:val="21"/>
                <w:szCs w:val="21"/>
              </w:rPr>
            </w:pPr>
            <w:r>
              <w:rPr>
                <w:color w:val="000000" w:themeColor="text1"/>
                <w:sz w:val="21"/>
                <w:szCs w:val="21"/>
              </w:rPr>
              <w:t>二类限区</w:t>
            </w:r>
          </w:p>
        </w:tc>
        <w:tc>
          <w:tcPr>
            <w:tcW w:w="7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24</w:t>
            </w:r>
            <w:r>
              <w:rPr>
                <w:color w:val="000000" w:themeColor="text1"/>
                <w:sz w:val="21"/>
                <w:szCs w:val="21"/>
              </w:rPr>
              <w:t>小时</w:t>
            </w:r>
          </w:p>
        </w:tc>
        <w:tc>
          <w:tcPr>
            <w:tcW w:w="155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w:t>
            </w:r>
            <w:r>
              <w:rPr>
                <w:color w:val="000000" w:themeColor="text1"/>
                <w:sz w:val="21"/>
                <w:szCs w:val="21"/>
              </w:rPr>
              <w:t>00.0</w:t>
            </w:r>
          </w:p>
        </w:tc>
        <w:tc>
          <w:tcPr>
            <w:tcW w:w="2179" w:type="dxa"/>
            <w:vAlign w:val="center"/>
          </w:tcPr>
          <w:p>
            <w:pPr>
              <w:spacing w:line="240" w:lineRule="auto"/>
              <w:ind w:firstLine="0" w:firstLineChars="0"/>
              <w:jc w:val="center"/>
              <w:rPr>
                <w:color w:val="000000" w:themeColor="text1"/>
                <w:sz w:val="21"/>
                <w:szCs w:val="21"/>
              </w:rPr>
            </w:pPr>
            <w:r>
              <w:rPr>
                <w:rFonts w:eastAsiaTheme="minorEastAsia"/>
                <w:color w:val="000000" w:themeColor="text1"/>
                <w:sz w:val="21"/>
                <w:szCs w:val="21"/>
              </w:rPr>
              <w:t>《环境空气质量标准》（GB3095-2012）二级标准</w:t>
            </w:r>
          </w:p>
        </w:tc>
        <w:tc>
          <w:tcPr>
            <w:tcW w:w="2179"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1h质量浓度以日均值的3倍计算</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Ex>
        <w:trPr>
          <w:trHeight w:val="454" w:hRule="atLeast"/>
          <w:jc w:val="center"/>
        </w:trPr>
        <w:tc>
          <w:tcPr>
            <w:tcW w:w="1063"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PM</w:t>
            </w:r>
            <w:r>
              <w:rPr>
                <w:rFonts w:hint="eastAsia"/>
                <w:color w:val="000000" w:themeColor="text1"/>
                <w:sz w:val="21"/>
                <w:szCs w:val="21"/>
                <w:vertAlign w:val="subscript"/>
              </w:rPr>
              <w:t>10</w:t>
            </w:r>
          </w:p>
        </w:tc>
        <w:tc>
          <w:tcPr>
            <w:tcW w:w="771" w:type="dxa"/>
            <w:vAlign w:val="center"/>
          </w:tcPr>
          <w:p>
            <w:pPr>
              <w:spacing w:line="240" w:lineRule="auto"/>
              <w:ind w:firstLine="0" w:firstLineChars="0"/>
              <w:jc w:val="center"/>
              <w:rPr>
                <w:color w:val="000000" w:themeColor="text1"/>
                <w:sz w:val="21"/>
                <w:szCs w:val="21"/>
              </w:rPr>
            </w:pPr>
            <w:r>
              <w:rPr>
                <w:color w:val="000000" w:themeColor="text1"/>
                <w:sz w:val="21"/>
                <w:szCs w:val="21"/>
              </w:rPr>
              <w:t>二类限区</w:t>
            </w:r>
          </w:p>
        </w:tc>
        <w:tc>
          <w:tcPr>
            <w:tcW w:w="77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24</w:t>
            </w:r>
            <w:r>
              <w:rPr>
                <w:color w:val="000000" w:themeColor="text1"/>
                <w:sz w:val="21"/>
                <w:szCs w:val="21"/>
              </w:rPr>
              <w:t>小时</w:t>
            </w:r>
          </w:p>
        </w:tc>
        <w:tc>
          <w:tcPr>
            <w:tcW w:w="155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15</w:t>
            </w:r>
            <w:r>
              <w:rPr>
                <w:color w:val="000000" w:themeColor="text1"/>
                <w:sz w:val="21"/>
                <w:szCs w:val="21"/>
              </w:rPr>
              <w:t>0.0</w:t>
            </w:r>
          </w:p>
        </w:tc>
        <w:tc>
          <w:tcPr>
            <w:tcW w:w="2179" w:type="dxa"/>
            <w:vAlign w:val="center"/>
          </w:tcPr>
          <w:p>
            <w:pPr>
              <w:spacing w:line="240" w:lineRule="auto"/>
              <w:ind w:firstLine="0" w:firstLineChars="0"/>
              <w:jc w:val="center"/>
              <w:rPr>
                <w:color w:val="000000" w:themeColor="text1"/>
                <w:sz w:val="21"/>
                <w:szCs w:val="21"/>
              </w:rPr>
            </w:pPr>
            <w:r>
              <w:rPr>
                <w:rFonts w:eastAsiaTheme="minorEastAsia"/>
                <w:color w:val="000000" w:themeColor="text1"/>
                <w:sz w:val="21"/>
                <w:szCs w:val="21"/>
              </w:rPr>
              <w:t>《环境空气质量标准》（GB3095-2012）二级标准</w:t>
            </w:r>
          </w:p>
        </w:tc>
        <w:tc>
          <w:tcPr>
            <w:tcW w:w="2179"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1h质量浓度以日均值的3倍计算</w:t>
            </w:r>
          </w:p>
        </w:tc>
      </w:tr>
    </w:tbl>
    <w:p>
      <w:pPr>
        <w:ind w:left="480" w:leftChars="200" w:firstLine="0" w:firstLineChars="0"/>
        <w:rPr>
          <w:color w:val="000000" w:themeColor="text1"/>
        </w:rPr>
      </w:pPr>
      <w:bookmarkStart w:id="654" w:name="_Toc31536"/>
      <w:r>
        <w:rPr>
          <w:rFonts w:hint="eastAsia"/>
          <w:color w:val="000000" w:themeColor="text1"/>
        </w:rPr>
        <w:t>2、</w:t>
      </w:r>
      <w:r>
        <w:rPr>
          <w:color w:val="000000" w:themeColor="text1"/>
        </w:rPr>
        <w:t>污染源参数</w:t>
      </w:r>
      <w:bookmarkEnd w:id="654"/>
    </w:p>
    <w:p>
      <w:pPr>
        <w:pStyle w:val="26"/>
        <w:spacing w:after="0" w:line="240" w:lineRule="auto"/>
        <w:ind w:firstLine="480"/>
        <w:rPr>
          <w:rFonts w:eastAsiaTheme="minorEastAsia"/>
          <w:bCs/>
          <w:color w:val="000000" w:themeColor="text1"/>
          <w:lang w:eastAsia="zh-CN"/>
        </w:rPr>
      </w:pPr>
      <w:r>
        <w:rPr>
          <w:rFonts w:eastAsiaTheme="minorEastAsia"/>
          <w:bCs/>
          <w:color w:val="000000" w:themeColor="text1"/>
          <w:lang w:eastAsia="zh-CN"/>
        </w:rPr>
        <w:t>本次预测污染源参数如下所示：</w:t>
      </w:r>
    </w:p>
    <w:p>
      <w:pPr>
        <w:spacing w:line="240" w:lineRule="auto"/>
        <w:ind w:firstLine="422"/>
        <w:jc w:val="center"/>
        <w:rPr>
          <w:rFonts w:eastAsiaTheme="minorEastAsia"/>
          <w:b/>
          <w:bCs/>
          <w:color w:val="000000" w:themeColor="text1"/>
          <w:sz w:val="21"/>
          <w:szCs w:val="21"/>
        </w:rPr>
      </w:pPr>
      <w:r>
        <w:rPr>
          <w:b/>
          <w:bCs/>
          <w:color w:val="000000" w:themeColor="text1"/>
          <w:sz w:val="21"/>
          <w:szCs w:val="21"/>
        </w:rPr>
        <w:t>表6.2-</w:t>
      </w:r>
      <w:r>
        <w:rPr>
          <w:rFonts w:hint="eastAsia"/>
          <w:b/>
          <w:bCs/>
          <w:color w:val="000000" w:themeColor="text1"/>
          <w:sz w:val="21"/>
          <w:szCs w:val="21"/>
        </w:rPr>
        <w:t>13</w:t>
      </w:r>
      <w:r>
        <w:rPr>
          <w:b/>
          <w:bCs/>
          <w:color w:val="000000" w:themeColor="text1"/>
          <w:sz w:val="21"/>
          <w:szCs w:val="21"/>
        </w:rPr>
        <w:t>主要废气污染源参数一览表(点源)</w:t>
      </w:r>
    </w:p>
    <w:tbl>
      <w:tblPr>
        <w:tblStyle w:val="62"/>
        <w:tblW w:w="8660" w:type="dxa"/>
        <w:tblInd w:w="-1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1256"/>
        <w:gridCol w:w="1121"/>
        <w:gridCol w:w="770"/>
        <w:gridCol w:w="851"/>
        <w:gridCol w:w="684"/>
        <w:gridCol w:w="854"/>
        <w:gridCol w:w="854"/>
        <w:gridCol w:w="854"/>
        <w:gridCol w:w="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70" w:type="dxa"/>
            <w:vMerge w:val="restart"/>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污染源名称</w:t>
            </w:r>
          </w:p>
        </w:tc>
        <w:tc>
          <w:tcPr>
            <w:tcW w:w="2377" w:type="dxa"/>
            <w:gridSpan w:val="2"/>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排气筒底部中心点坐标（</w:t>
            </w:r>
            <w:r>
              <w:rPr>
                <w:bCs/>
                <w:color w:val="000000" w:themeColor="text1"/>
                <w:sz w:val="21"/>
                <w:szCs w:val="21"/>
              </w:rPr>
              <w:t>°</w:t>
            </w:r>
            <w:r>
              <w:rPr>
                <w:rFonts w:eastAsiaTheme="minorEastAsia"/>
                <w:bCs/>
                <w:color w:val="000000" w:themeColor="text1"/>
                <w:sz w:val="21"/>
                <w:szCs w:val="21"/>
              </w:rPr>
              <w:t>）</w:t>
            </w:r>
          </w:p>
        </w:tc>
        <w:tc>
          <w:tcPr>
            <w:tcW w:w="770" w:type="dxa"/>
            <w:vMerge w:val="restart"/>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海拔高度（m）</w:t>
            </w:r>
          </w:p>
        </w:tc>
        <w:tc>
          <w:tcPr>
            <w:tcW w:w="2389" w:type="dxa"/>
            <w:gridSpan w:val="3"/>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排气筒参数</w:t>
            </w:r>
          </w:p>
        </w:tc>
        <w:tc>
          <w:tcPr>
            <w:tcW w:w="854" w:type="dxa"/>
            <w:vMerge w:val="restart"/>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烟气流速（m/s）</w:t>
            </w:r>
          </w:p>
        </w:tc>
        <w:tc>
          <w:tcPr>
            <w:tcW w:w="854" w:type="dxa"/>
            <w:vMerge w:val="restart"/>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排放速率（kg/h）</w:t>
            </w:r>
          </w:p>
        </w:tc>
        <w:tc>
          <w:tcPr>
            <w:tcW w:w="846" w:type="dxa"/>
            <w:vMerge w:val="restart"/>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污染物名称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70" w:type="dxa"/>
            <w:vMerge w:val="continue"/>
            <w:vAlign w:val="center"/>
          </w:tcPr>
          <w:p>
            <w:pPr>
              <w:spacing w:line="240" w:lineRule="auto"/>
              <w:ind w:firstLine="0" w:firstLineChars="0"/>
              <w:jc w:val="center"/>
              <w:rPr>
                <w:rFonts w:eastAsiaTheme="minorEastAsia"/>
                <w:bCs/>
                <w:color w:val="000000" w:themeColor="text1"/>
                <w:sz w:val="21"/>
                <w:szCs w:val="21"/>
              </w:rPr>
            </w:pPr>
          </w:p>
        </w:tc>
        <w:tc>
          <w:tcPr>
            <w:tcW w:w="1256"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Y</w:t>
            </w:r>
          </w:p>
        </w:tc>
        <w:tc>
          <w:tcPr>
            <w:tcW w:w="1121"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X</w:t>
            </w:r>
          </w:p>
        </w:tc>
        <w:tc>
          <w:tcPr>
            <w:tcW w:w="770" w:type="dxa"/>
            <w:vMerge w:val="continue"/>
          </w:tcPr>
          <w:p>
            <w:pPr>
              <w:spacing w:line="240" w:lineRule="auto"/>
              <w:ind w:firstLine="0" w:firstLineChars="0"/>
              <w:rPr>
                <w:rFonts w:eastAsiaTheme="minorEastAsia"/>
                <w:bCs/>
                <w:color w:val="000000" w:themeColor="text1"/>
                <w:sz w:val="21"/>
                <w:szCs w:val="21"/>
              </w:rPr>
            </w:pPr>
          </w:p>
        </w:tc>
        <w:tc>
          <w:tcPr>
            <w:tcW w:w="851" w:type="dxa"/>
          </w:tcPr>
          <w:p>
            <w:pPr>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高度（m）</w:t>
            </w:r>
          </w:p>
        </w:tc>
        <w:tc>
          <w:tcPr>
            <w:tcW w:w="684" w:type="dxa"/>
          </w:tcPr>
          <w:p>
            <w:pPr>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内径（m）</w:t>
            </w:r>
          </w:p>
        </w:tc>
        <w:tc>
          <w:tcPr>
            <w:tcW w:w="854" w:type="dxa"/>
          </w:tcPr>
          <w:p>
            <w:pPr>
              <w:spacing w:line="240" w:lineRule="auto"/>
              <w:ind w:firstLine="0" w:firstLineChars="0"/>
              <w:rPr>
                <w:rFonts w:eastAsiaTheme="minorEastAsia"/>
                <w:bCs/>
                <w:color w:val="000000" w:themeColor="text1"/>
                <w:sz w:val="21"/>
                <w:szCs w:val="21"/>
              </w:rPr>
            </w:pPr>
            <w:r>
              <w:rPr>
                <w:rFonts w:eastAsiaTheme="minorEastAsia"/>
                <w:bCs/>
                <w:color w:val="000000" w:themeColor="text1"/>
                <w:sz w:val="21"/>
                <w:szCs w:val="21"/>
              </w:rPr>
              <w:t>温度（m）</w:t>
            </w:r>
          </w:p>
        </w:tc>
        <w:tc>
          <w:tcPr>
            <w:tcW w:w="854" w:type="dxa"/>
            <w:vMerge w:val="continue"/>
          </w:tcPr>
          <w:p>
            <w:pPr>
              <w:spacing w:line="240" w:lineRule="auto"/>
              <w:ind w:firstLine="0" w:firstLineChars="0"/>
              <w:rPr>
                <w:rFonts w:eastAsiaTheme="minorEastAsia"/>
                <w:bCs/>
                <w:color w:val="000000" w:themeColor="text1"/>
                <w:sz w:val="21"/>
                <w:szCs w:val="21"/>
              </w:rPr>
            </w:pPr>
          </w:p>
        </w:tc>
        <w:tc>
          <w:tcPr>
            <w:tcW w:w="854" w:type="dxa"/>
            <w:vMerge w:val="continue"/>
          </w:tcPr>
          <w:p>
            <w:pPr>
              <w:spacing w:line="240" w:lineRule="auto"/>
              <w:ind w:firstLine="0" w:firstLineChars="0"/>
              <w:rPr>
                <w:rFonts w:eastAsiaTheme="minorEastAsia"/>
                <w:bCs/>
                <w:color w:val="000000" w:themeColor="text1"/>
                <w:sz w:val="21"/>
                <w:szCs w:val="21"/>
              </w:rPr>
            </w:pPr>
          </w:p>
        </w:tc>
        <w:tc>
          <w:tcPr>
            <w:tcW w:w="846" w:type="dxa"/>
            <w:vMerge w:val="continue"/>
          </w:tcPr>
          <w:p>
            <w:pPr>
              <w:spacing w:line="240" w:lineRule="auto"/>
              <w:ind w:firstLine="0" w:firstLineChars="0"/>
              <w:rPr>
                <w:rFonts w:eastAsiaTheme="minorEastAsia"/>
                <w:b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70" w:type="dxa"/>
            <w:vAlign w:val="center"/>
          </w:tcPr>
          <w:p>
            <w:pPr>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DA001</w:t>
            </w:r>
          </w:p>
        </w:tc>
        <w:tc>
          <w:tcPr>
            <w:tcW w:w="1256" w:type="dxa"/>
            <w:vAlign w:val="center"/>
          </w:tcPr>
          <w:p>
            <w:pPr>
              <w:ind w:firstLine="0" w:firstLineChars="0"/>
              <w:jc w:val="center"/>
              <w:rPr>
                <w:color w:val="000000" w:themeColor="text1"/>
                <w:sz w:val="21"/>
                <w:szCs w:val="21"/>
              </w:rPr>
            </w:pPr>
            <w:r>
              <w:rPr>
                <w:color w:val="000000" w:themeColor="text1"/>
                <w:sz w:val="21"/>
                <w:szCs w:val="21"/>
              </w:rPr>
              <w:t>101.600797</w:t>
            </w:r>
          </w:p>
        </w:tc>
        <w:tc>
          <w:tcPr>
            <w:tcW w:w="1121" w:type="dxa"/>
            <w:vAlign w:val="center"/>
          </w:tcPr>
          <w:p>
            <w:pPr>
              <w:ind w:firstLine="0" w:firstLineChars="0"/>
              <w:jc w:val="center"/>
              <w:rPr>
                <w:color w:val="000000" w:themeColor="text1"/>
                <w:sz w:val="21"/>
                <w:szCs w:val="21"/>
              </w:rPr>
            </w:pPr>
            <w:r>
              <w:rPr>
                <w:color w:val="000000" w:themeColor="text1"/>
                <w:sz w:val="21"/>
                <w:szCs w:val="21"/>
              </w:rPr>
              <w:t>24.07367</w:t>
            </w:r>
          </w:p>
        </w:tc>
        <w:tc>
          <w:tcPr>
            <w:tcW w:w="770" w:type="dxa"/>
            <w:vAlign w:val="center"/>
          </w:tcPr>
          <w:p>
            <w:pPr>
              <w:ind w:firstLine="0" w:firstLineChars="0"/>
              <w:jc w:val="center"/>
              <w:rPr>
                <w:color w:val="000000" w:themeColor="text1"/>
                <w:sz w:val="21"/>
                <w:szCs w:val="21"/>
              </w:rPr>
            </w:pPr>
            <w:r>
              <w:rPr>
                <w:color w:val="000000" w:themeColor="text1"/>
                <w:sz w:val="21"/>
                <w:szCs w:val="21"/>
              </w:rPr>
              <w:t>606.0</w:t>
            </w:r>
          </w:p>
        </w:tc>
        <w:tc>
          <w:tcPr>
            <w:tcW w:w="851" w:type="dxa"/>
            <w:vAlign w:val="center"/>
          </w:tcPr>
          <w:p>
            <w:pPr>
              <w:spacing w:line="240" w:lineRule="auto"/>
              <w:ind w:firstLine="0" w:firstLineChars="0"/>
              <w:jc w:val="center"/>
              <w:rPr>
                <w:rFonts w:eastAsiaTheme="minorEastAsia"/>
                <w:bCs/>
                <w:color w:val="000000" w:themeColor="text1"/>
                <w:sz w:val="21"/>
                <w:szCs w:val="21"/>
              </w:rPr>
            </w:pPr>
            <w:r>
              <w:rPr>
                <w:rFonts w:hint="eastAsia"/>
                <w:color w:val="000000" w:themeColor="text1"/>
                <w:sz w:val="21"/>
                <w:szCs w:val="21"/>
              </w:rPr>
              <w:t>15</w:t>
            </w:r>
            <w:r>
              <w:rPr>
                <w:color w:val="000000" w:themeColor="text1"/>
                <w:sz w:val="21"/>
                <w:szCs w:val="21"/>
              </w:rPr>
              <w:t>.00</w:t>
            </w:r>
          </w:p>
        </w:tc>
        <w:tc>
          <w:tcPr>
            <w:tcW w:w="684" w:type="dxa"/>
            <w:vAlign w:val="center"/>
          </w:tcPr>
          <w:p>
            <w:pPr>
              <w:spacing w:line="240" w:lineRule="auto"/>
              <w:ind w:firstLine="0" w:firstLineChars="0"/>
              <w:jc w:val="center"/>
              <w:rPr>
                <w:rFonts w:eastAsiaTheme="minorEastAsia"/>
                <w:bCs/>
                <w:color w:val="000000" w:themeColor="text1"/>
                <w:sz w:val="21"/>
                <w:szCs w:val="21"/>
              </w:rPr>
            </w:pPr>
            <w:r>
              <w:rPr>
                <w:color w:val="000000" w:themeColor="text1"/>
                <w:sz w:val="21"/>
                <w:szCs w:val="21"/>
              </w:rPr>
              <w:t>0.50</w:t>
            </w:r>
          </w:p>
        </w:tc>
        <w:tc>
          <w:tcPr>
            <w:tcW w:w="854" w:type="dxa"/>
            <w:vAlign w:val="center"/>
          </w:tcPr>
          <w:p>
            <w:pPr>
              <w:spacing w:line="240" w:lineRule="auto"/>
              <w:ind w:firstLine="0" w:firstLineChars="0"/>
              <w:jc w:val="center"/>
              <w:rPr>
                <w:rFonts w:eastAsiaTheme="minorEastAsia"/>
                <w:bCs/>
                <w:color w:val="000000" w:themeColor="text1"/>
                <w:sz w:val="21"/>
                <w:szCs w:val="21"/>
              </w:rPr>
            </w:pPr>
            <w:r>
              <w:rPr>
                <w:color w:val="000000" w:themeColor="text1"/>
                <w:sz w:val="21"/>
                <w:szCs w:val="21"/>
              </w:rPr>
              <w:t>30.00</w:t>
            </w:r>
          </w:p>
        </w:tc>
        <w:tc>
          <w:tcPr>
            <w:tcW w:w="854" w:type="dxa"/>
            <w:vAlign w:val="center"/>
          </w:tcPr>
          <w:p>
            <w:pPr>
              <w:spacing w:line="240" w:lineRule="auto"/>
              <w:ind w:firstLine="0" w:firstLineChars="0"/>
              <w:jc w:val="center"/>
              <w:rPr>
                <w:rFonts w:eastAsiaTheme="minorEastAsia"/>
                <w:bCs/>
                <w:color w:val="000000" w:themeColor="text1"/>
                <w:sz w:val="21"/>
                <w:szCs w:val="21"/>
              </w:rPr>
            </w:pPr>
            <w:r>
              <w:rPr>
                <w:color w:val="000000" w:themeColor="text1"/>
                <w:sz w:val="21"/>
                <w:szCs w:val="21"/>
              </w:rPr>
              <w:t>1</w:t>
            </w:r>
            <w:r>
              <w:rPr>
                <w:rFonts w:hint="eastAsia"/>
                <w:color w:val="000000" w:themeColor="text1"/>
                <w:sz w:val="21"/>
                <w:szCs w:val="21"/>
              </w:rPr>
              <w:t>0</w:t>
            </w:r>
            <w:r>
              <w:rPr>
                <w:color w:val="000000" w:themeColor="text1"/>
                <w:sz w:val="21"/>
                <w:szCs w:val="21"/>
              </w:rPr>
              <w:t>.00</w:t>
            </w:r>
          </w:p>
        </w:tc>
        <w:tc>
          <w:tcPr>
            <w:tcW w:w="854" w:type="dxa"/>
            <w:vAlign w:val="center"/>
          </w:tcPr>
          <w:p>
            <w:pPr>
              <w:spacing w:line="240" w:lineRule="auto"/>
              <w:ind w:firstLine="0" w:firstLineChars="0"/>
              <w:jc w:val="center"/>
              <w:rPr>
                <w:bCs/>
                <w:color w:val="000000" w:themeColor="text1"/>
                <w:sz w:val="21"/>
                <w:szCs w:val="21"/>
              </w:rPr>
            </w:pPr>
            <w:r>
              <w:rPr>
                <w:rFonts w:hint="eastAsia"/>
                <w:color w:val="000000" w:themeColor="text1"/>
                <w:sz w:val="21"/>
                <w:szCs w:val="21"/>
              </w:rPr>
              <w:t>0.042</w:t>
            </w:r>
          </w:p>
        </w:tc>
        <w:tc>
          <w:tcPr>
            <w:tcW w:w="846" w:type="dxa"/>
            <w:vAlign w:val="center"/>
          </w:tcPr>
          <w:p>
            <w:pPr>
              <w:spacing w:line="240" w:lineRule="auto"/>
              <w:ind w:firstLine="0" w:firstLineChars="0"/>
              <w:jc w:val="center"/>
              <w:rPr>
                <w:color w:val="000000" w:themeColor="text1"/>
                <w:sz w:val="21"/>
                <w:szCs w:val="21"/>
              </w:rPr>
            </w:pPr>
            <w:r>
              <w:rPr>
                <w:color w:val="000000" w:themeColor="text1"/>
                <w:sz w:val="21"/>
                <w:szCs w:val="21"/>
              </w:rPr>
              <w:t>PM</w:t>
            </w:r>
            <w:r>
              <w:rPr>
                <w:color w:val="000000" w:themeColor="text1"/>
                <w:sz w:val="21"/>
                <w:szCs w:val="21"/>
                <w:vertAlign w:val="subscript"/>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70" w:type="dxa"/>
          </w:tcPr>
          <w:p>
            <w:pPr>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DA002</w:t>
            </w:r>
          </w:p>
        </w:tc>
        <w:tc>
          <w:tcPr>
            <w:tcW w:w="1256" w:type="dxa"/>
            <w:vAlign w:val="center"/>
          </w:tcPr>
          <w:p>
            <w:pPr>
              <w:spacing w:line="240" w:lineRule="auto"/>
              <w:ind w:firstLine="0" w:firstLineChars="0"/>
              <w:jc w:val="center"/>
              <w:rPr>
                <w:color w:val="000000" w:themeColor="text1"/>
                <w:sz w:val="21"/>
                <w:szCs w:val="21"/>
              </w:rPr>
            </w:pPr>
            <w:r>
              <w:rPr>
                <w:color w:val="000000" w:themeColor="text1"/>
                <w:sz w:val="21"/>
                <w:szCs w:val="21"/>
              </w:rPr>
              <w:t>101.600674</w:t>
            </w:r>
          </w:p>
        </w:tc>
        <w:tc>
          <w:tcPr>
            <w:tcW w:w="1121" w:type="dxa"/>
            <w:vAlign w:val="center"/>
          </w:tcPr>
          <w:p>
            <w:pPr>
              <w:spacing w:line="240" w:lineRule="auto"/>
              <w:ind w:firstLine="0" w:firstLineChars="0"/>
              <w:jc w:val="center"/>
              <w:rPr>
                <w:color w:val="000000" w:themeColor="text1"/>
                <w:sz w:val="21"/>
                <w:szCs w:val="21"/>
              </w:rPr>
            </w:pPr>
            <w:r>
              <w:rPr>
                <w:color w:val="000000" w:themeColor="text1"/>
                <w:sz w:val="21"/>
                <w:szCs w:val="21"/>
              </w:rPr>
              <w:t>24.072827</w:t>
            </w:r>
          </w:p>
        </w:tc>
        <w:tc>
          <w:tcPr>
            <w:tcW w:w="770" w:type="dxa"/>
            <w:vAlign w:val="center"/>
          </w:tcPr>
          <w:p>
            <w:pPr>
              <w:spacing w:line="240" w:lineRule="auto"/>
              <w:ind w:firstLine="0" w:firstLineChars="0"/>
              <w:jc w:val="center"/>
              <w:rPr>
                <w:color w:val="000000" w:themeColor="text1"/>
                <w:sz w:val="21"/>
                <w:szCs w:val="21"/>
              </w:rPr>
            </w:pPr>
            <w:r>
              <w:rPr>
                <w:color w:val="000000" w:themeColor="text1"/>
                <w:sz w:val="21"/>
                <w:szCs w:val="21"/>
              </w:rPr>
              <w:t>594.0</w:t>
            </w:r>
          </w:p>
        </w:tc>
        <w:tc>
          <w:tcPr>
            <w:tcW w:w="851" w:type="dxa"/>
            <w:vAlign w:val="center"/>
          </w:tcPr>
          <w:p>
            <w:pPr>
              <w:spacing w:line="240" w:lineRule="auto"/>
              <w:ind w:firstLine="0" w:firstLineChars="0"/>
              <w:jc w:val="center"/>
              <w:rPr>
                <w:rFonts w:eastAsiaTheme="minorEastAsia"/>
                <w:bCs/>
                <w:color w:val="000000" w:themeColor="text1"/>
                <w:sz w:val="21"/>
                <w:szCs w:val="21"/>
              </w:rPr>
            </w:pPr>
            <w:r>
              <w:rPr>
                <w:rFonts w:hint="eastAsia"/>
                <w:color w:val="000000" w:themeColor="text1"/>
                <w:sz w:val="21"/>
                <w:szCs w:val="21"/>
              </w:rPr>
              <w:t>15</w:t>
            </w:r>
            <w:r>
              <w:rPr>
                <w:color w:val="000000" w:themeColor="text1"/>
                <w:sz w:val="21"/>
                <w:szCs w:val="21"/>
              </w:rPr>
              <w:t>.00</w:t>
            </w:r>
          </w:p>
        </w:tc>
        <w:tc>
          <w:tcPr>
            <w:tcW w:w="684" w:type="dxa"/>
            <w:vAlign w:val="center"/>
          </w:tcPr>
          <w:p>
            <w:pPr>
              <w:spacing w:line="240" w:lineRule="auto"/>
              <w:ind w:firstLine="0" w:firstLineChars="0"/>
              <w:jc w:val="center"/>
              <w:rPr>
                <w:rFonts w:eastAsiaTheme="minorEastAsia"/>
                <w:bCs/>
                <w:color w:val="000000" w:themeColor="text1"/>
                <w:sz w:val="21"/>
                <w:szCs w:val="21"/>
              </w:rPr>
            </w:pPr>
            <w:r>
              <w:rPr>
                <w:color w:val="000000" w:themeColor="text1"/>
                <w:sz w:val="21"/>
                <w:szCs w:val="21"/>
              </w:rPr>
              <w:t>0.30</w:t>
            </w:r>
          </w:p>
        </w:tc>
        <w:tc>
          <w:tcPr>
            <w:tcW w:w="854" w:type="dxa"/>
            <w:vAlign w:val="center"/>
          </w:tcPr>
          <w:p>
            <w:pPr>
              <w:spacing w:line="240" w:lineRule="auto"/>
              <w:ind w:firstLine="0" w:firstLineChars="0"/>
              <w:jc w:val="center"/>
              <w:rPr>
                <w:rFonts w:eastAsiaTheme="minorEastAsia"/>
                <w:bCs/>
                <w:color w:val="000000" w:themeColor="text1"/>
                <w:sz w:val="21"/>
                <w:szCs w:val="21"/>
              </w:rPr>
            </w:pPr>
            <w:r>
              <w:rPr>
                <w:color w:val="000000" w:themeColor="text1"/>
                <w:sz w:val="21"/>
                <w:szCs w:val="21"/>
              </w:rPr>
              <w:t>30.00</w:t>
            </w:r>
          </w:p>
        </w:tc>
        <w:tc>
          <w:tcPr>
            <w:tcW w:w="854" w:type="dxa"/>
            <w:vAlign w:val="center"/>
          </w:tcPr>
          <w:p>
            <w:pPr>
              <w:spacing w:line="240" w:lineRule="auto"/>
              <w:ind w:firstLine="0" w:firstLineChars="0"/>
              <w:jc w:val="center"/>
              <w:rPr>
                <w:rFonts w:eastAsiaTheme="minorEastAsia"/>
                <w:bCs/>
                <w:color w:val="000000" w:themeColor="text1"/>
                <w:sz w:val="21"/>
                <w:szCs w:val="21"/>
              </w:rPr>
            </w:pPr>
            <w:r>
              <w:rPr>
                <w:color w:val="000000" w:themeColor="text1"/>
                <w:sz w:val="21"/>
                <w:szCs w:val="21"/>
              </w:rPr>
              <w:t>1</w:t>
            </w:r>
            <w:r>
              <w:rPr>
                <w:rFonts w:hint="eastAsia"/>
                <w:color w:val="000000" w:themeColor="text1"/>
                <w:sz w:val="21"/>
                <w:szCs w:val="21"/>
              </w:rPr>
              <w:t>0</w:t>
            </w:r>
            <w:r>
              <w:rPr>
                <w:color w:val="000000" w:themeColor="text1"/>
                <w:sz w:val="21"/>
                <w:szCs w:val="21"/>
              </w:rPr>
              <w:t>.00</w:t>
            </w:r>
          </w:p>
        </w:tc>
        <w:tc>
          <w:tcPr>
            <w:tcW w:w="854"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0.021</w:t>
            </w:r>
          </w:p>
        </w:tc>
        <w:tc>
          <w:tcPr>
            <w:tcW w:w="846" w:type="dxa"/>
            <w:vAlign w:val="center"/>
          </w:tcPr>
          <w:p>
            <w:pPr>
              <w:spacing w:line="240" w:lineRule="auto"/>
              <w:ind w:firstLine="0" w:firstLineChars="0"/>
              <w:jc w:val="center"/>
              <w:rPr>
                <w:color w:val="000000" w:themeColor="text1"/>
                <w:sz w:val="21"/>
                <w:szCs w:val="21"/>
              </w:rPr>
            </w:pPr>
            <w:r>
              <w:rPr>
                <w:color w:val="000000" w:themeColor="text1"/>
                <w:sz w:val="21"/>
                <w:szCs w:val="21"/>
              </w:rPr>
              <w:t>PM</w:t>
            </w:r>
            <w:r>
              <w:rPr>
                <w:color w:val="000000" w:themeColor="text1"/>
                <w:sz w:val="21"/>
                <w:szCs w:val="21"/>
                <w:vertAlign w:val="subscript"/>
              </w:rPr>
              <w:t>10</w:t>
            </w:r>
          </w:p>
        </w:tc>
      </w:tr>
    </w:tbl>
    <w:p>
      <w:pPr>
        <w:ind w:firstLine="422"/>
        <w:jc w:val="center"/>
        <w:rPr>
          <w:b/>
          <w:color w:val="000000" w:themeColor="text1"/>
          <w:sz w:val="21"/>
          <w:szCs w:val="21"/>
        </w:rPr>
      </w:pPr>
      <w:r>
        <w:rPr>
          <w:b/>
          <w:color w:val="000000" w:themeColor="text1"/>
          <w:sz w:val="21"/>
          <w:szCs w:val="21"/>
        </w:rPr>
        <w:t>表6.2-</w:t>
      </w:r>
      <w:r>
        <w:rPr>
          <w:rFonts w:hint="eastAsia"/>
          <w:b/>
          <w:color w:val="000000" w:themeColor="text1"/>
          <w:sz w:val="21"/>
          <w:szCs w:val="21"/>
        </w:rPr>
        <w:t>14</w:t>
      </w:r>
      <w:r>
        <w:rPr>
          <w:b/>
          <w:color w:val="000000" w:themeColor="text1"/>
          <w:sz w:val="21"/>
          <w:szCs w:val="21"/>
        </w:rPr>
        <w:t>无组织估算模式计算参数和源强表（</w:t>
      </w:r>
      <w:r>
        <w:rPr>
          <w:rFonts w:hint="eastAsia"/>
          <w:b/>
          <w:color w:val="000000" w:themeColor="text1"/>
          <w:sz w:val="21"/>
          <w:szCs w:val="21"/>
        </w:rPr>
        <w:t>多边形</w:t>
      </w:r>
      <w:r>
        <w:rPr>
          <w:b/>
          <w:color w:val="000000" w:themeColor="text1"/>
          <w:sz w:val="21"/>
          <w:szCs w:val="21"/>
        </w:rPr>
        <w:t>面源）</w:t>
      </w:r>
    </w:p>
    <w:tbl>
      <w:tblPr>
        <w:tblStyle w:val="62"/>
        <w:tblW w:w="851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1063"/>
        <w:gridCol w:w="1068"/>
        <w:gridCol w:w="1063"/>
        <w:gridCol w:w="1063"/>
        <w:gridCol w:w="1065"/>
        <w:gridCol w:w="1065"/>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7" w:hRule="atLeast"/>
          <w:jc w:val="center"/>
        </w:trPr>
        <w:tc>
          <w:tcPr>
            <w:tcW w:w="1060" w:type="dxa"/>
            <w:vMerge w:val="restart"/>
            <w:vAlign w:val="center"/>
          </w:tcPr>
          <w:p>
            <w:pPr>
              <w:pStyle w:val="2"/>
              <w:spacing w:line="240" w:lineRule="auto"/>
              <w:ind w:firstLine="0" w:firstLineChars="0"/>
              <w:jc w:val="center"/>
              <w:rPr>
                <w:rFonts w:ascii="Times New Roman" w:hAnsi="Times New Roman"/>
                <w:color w:val="000000" w:themeColor="text1"/>
                <w:sz w:val="21"/>
                <w:szCs w:val="21"/>
                <w:lang w:eastAsia="zh-CN"/>
              </w:rPr>
            </w:pPr>
            <w:r>
              <w:rPr>
                <w:rFonts w:ascii="Times New Roman" w:hAnsi="Times New Roman"/>
                <w:color w:val="000000" w:themeColor="text1"/>
                <w:sz w:val="21"/>
                <w:szCs w:val="21"/>
                <w:lang w:eastAsia="zh-CN"/>
              </w:rPr>
              <w:t>名称</w:t>
            </w:r>
          </w:p>
        </w:tc>
        <w:tc>
          <w:tcPr>
            <w:tcW w:w="2131" w:type="dxa"/>
            <w:gridSpan w:val="2"/>
            <w:vAlign w:val="center"/>
          </w:tcPr>
          <w:p>
            <w:pPr>
              <w:pStyle w:val="2"/>
              <w:spacing w:line="240" w:lineRule="auto"/>
              <w:ind w:firstLine="0" w:firstLineChars="0"/>
              <w:jc w:val="center"/>
              <w:rPr>
                <w:rFonts w:ascii="Times New Roman" w:hAnsi="Times New Roman"/>
                <w:color w:val="000000" w:themeColor="text1"/>
                <w:sz w:val="21"/>
                <w:szCs w:val="21"/>
              </w:rPr>
            </w:pPr>
            <w:r>
              <w:rPr>
                <w:rFonts w:ascii="Times New Roman" w:hAnsi="Times New Roman"/>
                <w:color w:val="000000" w:themeColor="text1"/>
                <w:sz w:val="21"/>
                <w:szCs w:val="21"/>
              </w:rPr>
              <w:t>面源各顶点坐标</w:t>
            </w:r>
          </w:p>
        </w:tc>
        <w:tc>
          <w:tcPr>
            <w:tcW w:w="1063" w:type="dxa"/>
            <w:vMerge w:val="restart"/>
            <w:vAlign w:val="center"/>
          </w:tcPr>
          <w:p>
            <w:pPr>
              <w:pStyle w:val="2"/>
              <w:spacing w:line="240" w:lineRule="auto"/>
              <w:ind w:firstLine="0" w:firstLineChars="0"/>
              <w:jc w:val="center"/>
              <w:rPr>
                <w:rFonts w:ascii="Times New Roman" w:hAnsi="Times New Roman"/>
                <w:color w:val="000000" w:themeColor="text1"/>
                <w:sz w:val="21"/>
                <w:szCs w:val="21"/>
              </w:rPr>
            </w:pPr>
            <w:r>
              <w:rPr>
                <w:rFonts w:ascii="Times New Roman" w:hAnsi="Times New Roman"/>
                <w:color w:val="000000" w:themeColor="text1"/>
                <w:sz w:val="21"/>
                <w:szCs w:val="21"/>
              </w:rPr>
              <w:t>面源海拔高度/m</w:t>
            </w:r>
          </w:p>
        </w:tc>
        <w:tc>
          <w:tcPr>
            <w:tcW w:w="1063" w:type="dxa"/>
            <w:vMerge w:val="restart"/>
            <w:vAlign w:val="center"/>
          </w:tcPr>
          <w:p>
            <w:pPr>
              <w:pStyle w:val="2"/>
              <w:spacing w:line="240" w:lineRule="auto"/>
              <w:ind w:firstLine="0" w:firstLineChars="0"/>
              <w:jc w:val="center"/>
              <w:rPr>
                <w:rFonts w:ascii="Times New Roman" w:hAnsi="Times New Roman"/>
                <w:color w:val="000000" w:themeColor="text1"/>
                <w:sz w:val="21"/>
                <w:szCs w:val="21"/>
              </w:rPr>
            </w:pPr>
            <w:r>
              <w:rPr>
                <w:rFonts w:ascii="Times New Roman" w:hAnsi="Times New Roman"/>
                <w:color w:val="000000" w:themeColor="text1"/>
                <w:sz w:val="21"/>
                <w:szCs w:val="21"/>
              </w:rPr>
              <w:t>面源有效排放高度/m</w:t>
            </w:r>
          </w:p>
        </w:tc>
        <w:tc>
          <w:tcPr>
            <w:tcW w:w="1065" w:type="dxa"/>
            <w:vMerge w:val="restart"/>
            <w:vAlign w:val="center"/>
          </w:tcPr>
          <w:p>
            <w:pPr>
              <w:pStyle w:val="2"/>
              <w:spacing w:line="240" w:lineRule="auto"/>
              <w:ind w:firstLine="0" w:firstLineChars="0"/>
              <w:jc w:val="center"/>
              <w:rPr>
                <w:rFonts w:ascii="Times New Roman" w:hAnsi="Times New Roman"/>
                <w:color w:val="000000" w:themeColor="text1"/>
                <w:sz w:val="21"/>
                <w:szCs w:val="21"/>
              </w:rPr>
            </w:pPr>
            <w:r>
              <w:rPr>
                <w:rFonts w:ascii="Times New Roman" w:hAnsi="Times New Roman"/>
                <w:color w:val="000000" w:themeColor="text1"/>
                <w:sz w:val="21"/>
                <w:szCs w:val="21"/>
              </w:rPr>
              <w:t>年排放小时数/h</w:t>
            </w:r>
          </w:p>
        </w:tc>
        <w:tc>
          <w:tcPr>
            <w:tcW w:w="1065" w:type="dxa"/>
            <w:vMerge w:val="restart"/>
            <w:vAlign w:val="center"/>
          </w:tcPr>
          <w:p>
            <w:pPr>
              <w:pStyle w:val="2"/>
              <w:spacing w:line="240" w:lineRule="auto"/>
              <w:ind w:firstLine="0" w:firstLineChars="0"/>
              <w:jc w:val="center"/>
              <w:rPr>
                <w:rFonts w:ascii="Times New Roman" w:hAnsi="Times New Roman"/>
                <w:color w:val="000000" w:themeColor="text1"/>
                <w:sz w:val="21"/>
                <w:szCs w:val="21"/>
              </w:rPr>
            </w:pPr>
            <w:r>
              <w:rPr>
                <w:rFonts w:ascii="Times New Roman" w:hAnsi="Times New Roman"/>
                <w:color w:val="000000" w:themeColor="text1"/>
                <w:sz w:val="21"/>
                <w:szCs w:val="21"/>
              </w:rPr>
              <w:t>排放工况</w:t>
            </w:r>
          </w:p>
        </w:tc>
        <w:tc>
          <w:tcPr>
            <w:tcW w:w="1065" w:type="dxa"/>
            <w:vAlign w:val="center"/>
          </w:tcPr>
          <w:p>
            <w:pPr>
              <w:spacing w:line="240" w:lineRule="auto"/>
              <w:ind w:firstLine="0" w:firstLineChars="0"/>
              <w:jc w:val="center"/>
              <w:rPr>
                <w:color w:val="000000" w:themeColor="text1"/>
                <w:sz w:val="21"/>
                <w:szCs w:val="21"/>
              </w:rPr>
            </w:pPr>
            <w:r>
              <w:rPr>
                <w:color w:val="000000" w:themeColor="text1"/>
                <w:sz w:val="21"/>
                <w:szCs w:val="21"/>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7" w:hRule="atLeas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pStyle w:val="2"/>
              <w:spacing w:line="240" w:lineRule="auto"/>
              <w:ind w:firstLine="0" w:firstLineChars="0"/>
              <w:jc w:val="center"/>
              <w:rPr>
                <w:rFonts w:ascii="Times New Roman" w:hAnsi="Times New Roman"/>
                <w:color w:val="000000" w:themeColor="text1"/>
                <w:sz w:val="21"/>
                <w:szCs w:val="21"/>
                <w:lang w:eastAsia="zh-CN"/>
              </w:rPr>
            </w:pPr>
            <w:r>
              <w:rPr>
                <w:rFonts w:ascii="Times New Roman" w:hAnsi="Times New Roman"/>
                <w:color w:val="000000" w:themeColor="text1"/>
                <w:sz w:val="21"/>
                <w:szCs w:val="21"/>
                <w:lang w:eastAsia="zh-CN"/>
              </w:rPr>
              <w:t>X</w:t>
            </w:r>
          </w:p>
        </w:tc>
        <w:tc>
          <w:tcPr>
            <w:tcW w:w="1068" w:type="dxa"/>
            <w:vAlign w:val="center"/>
          </w:tcPr>
          <w:p>
            <w:pPr>
              <w:pStyle w:val="2"/>
              <w:spacing w:line="240" w:lineRule="auto"/>
              <w:ind w:firstLine="0" w:firstLineChars="0"/>
              <w:jc w:val="center"/>
              <w:rPr>
                <w:rFonts w:ascii="Times New Roman" w:hAnsi="Times New Roman"/>
                <w:color w:val="000000" w:themeColor="text1"/>
                <w:sz w:val="21"/>
                <w:szCs w:val="21"/>
                <w:lang w:eastAsia="zh-CN"/>
              </w:rPr>
            </w:pPr>
            <w:r>
              <w:rPr>
                <w:rFonts w:ascii="Times New Roman" w:hAnsi="Times New Roman"/>
                <w:color w:val="000000" w:themeColor="text1"/>
                <w:sz w:val="21"/>
                <w:szCs w:val="21"/>
                <w:lang w:eastAsia="zh-CN"/>
              </w:rPr>
              <w:t>Y</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Align w:val="center"/>
          </w:tcPr>
          <w:p>
            <w:pPr>
              <w:pStyle w:val="2"/>
              <w:spacing w:line="240" w:lineRule="auto"/>
              <w:ind w:firstLine="0" w:firstLineChars="0"/>
              <w:jc w:val="center"/>
              <w:rPr>
                <w:rFonts w:ascii="Times New Roman" w:hAnsi="Times New Roman"/>
                <w:color w:val="000000" w:themeColor="text1"/>
                <w:sz w:val="21"/>
                <w:szCs w:val="21"/>
              </w:rPr>
            </w:pPr>
            <w:r>
              <w:rPr>
                <w:rFonts w:ascii="Times New Roman" w:hAnsi="Times New Roman"/>
                <w:color w:val="000000" w:themeColor="text1"/>
                <w:sz w:val="21"/>
                <w:szCs w:val="21"/>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restart"/>
            <w:vAlign w:val="center"/>
          </w:tcPr>
          <w:p>
            <w:pPr>
              <w:pStyle w:val="2"/>
              <w:spacing w:line="240" w:lineRule="auto"/>
              <w:ind w:firstLine="0" w:firstLineChars="0"/>
              <w:jc w:val="center"/>
              <w:rPr>
                <w:rFonts w:ascii="Times New Roman" w:hAnsi="Times New Roman"/>
                <w:color w:val="000000" w:themeColor="text1"/>
                <w:sz w:val="21"/>
                <w:szCs w:val="21"/>
                <w:lang w:eastAsia="zh-CN"/>
              </w:rPr>
            </w:pPr>
            <w:r>
              <w:rPr>
                <w:rFonts w:ascii="Times New Roman" w:hAnsi="Times New Roman"/>
                <w:color w:val="000000" w:themeColor="text1"/>
                <w:sz w:val="21"/>
                <w:szCs w:val="21"/>
                <w:lang w:eastAsia="zh-CN"/>
              </w:rPr>
              <w:t>厂区无组织</w:t>
            </w: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-66.72</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194.32</w:t>
            </w:r>
          </w:p>
        </w:tc>
        <w:tc>
          <w:tcPr>
            <w:tcW w:w="1063" w:type="dxa"/>
            <w:vMerge w:val="restart"/>
            <w:vAlign w:val="center"/>
          </w:tcPr>
          <w:p>
            <w:pPr>
              <w:pStyle w:val="2"/>
              <w:spacing w:line="240" w:lineRule="auto"/>
              <w:ind w:firstLine="0" w:firstLineChars="0"/>
              <w:jc w:val="center"/>
              <w:rPr>
                <w:rFonts w:ascii="Times New Roman" w:hAnsi="Times New Roman"/>
                <w:color w:val="000000" w:themeColor="text1"/>
                <w:sz w:val="21"/>
                <w:szCs w:val="21"/>
                <w:lang w:eastAsia="zh-CN"/>
              </w:rPr>
            </w:pPr>
            <w:r>
              <w:rPr>
                <w:rFonts w:ascii="Times New Roman" w:hAnsi="Times New Roman"/>
                <w:color w:val="000000" w:themeColor="text1"/>
                <w:sz w:val="21"/>
                <w:szCs w:val="21"/>
                <w:lang w:eastAsia="zh-CN"/>
              </w:rPr>
              <w:t>1534</w:t>
            </w:r>
          </w:p>
        </w:tc>
        <w:tc>
          <w:tcPr>
            <w:tcW w:w="1063" w:type="dxa"/>
            <w:vMerge w:val="restart"/>
            <w:vAlign w:val="center"/>
          </w:tcPr>
          <w:p>
            <w:pPr>
              <w:pStyle w:val="2"/>
              <w:spacing w:line="240" w:lineRule="auto"/>
              <w:ind w:firstLine="0" w:firstLineChars="0"/>
              <w:jc w:val="center"/>
              <w:rPr>
                <w:rFonts w:ascii="Times New Roman" w:hAnsi="Times New Roman"/>
                <w:color w:val="000000" w:themeColor="text1"/>
                <w:sz w:val="21"/>
                <w:szCs w:val="21"/>
                <w:lang w:eastAsia="zh-CN"/>
              </w:rPr>
            </w:pPr>
            <w:r>
              <w:rPr>
                <w:rFonts w:ascii="Times New Roman" w:hAnsi="Times New Roman"/>
                <w:color w:val="000000" w:themeColor="text1"/>
                <w:sz w:val="21"/>
                <w:szCs w:val="21"/>
                <w:lang w:eastAsia="zh-CN"/>
              </w:rPr>
              <w:t>10</w:t>
            </w:r>
          </w:p>
        </w:tc>
        <w:tc>
          <w:tcPr>
            <w:tcW w:w="1065" w:type="dxa"/>
            <w:vMerge w:val="restart"/>
            <w:vAlign w:val="center"/>
          </w:tcPr>
          <w:p>
            <w:pPr>
              <w:pStyle w:val="2"/>
              <w:spacing w:line="240" w:lineRule="auto"/>
              <w:ind w:firstLine="0" w:firstLineChars="0"/>
              <w:jc w:val="center"/>
              <w:rPr>
                <w:rFonts w:ascii="Times New Roman" w:hAnsi="Times New Roman"/>
                <w:color w:val="000000" w:themeColor="text1"/>
                <w:sz w:val="21"/>
                <w:szCs w:val="21"/>
                <w:lang w:eastAsia="zh-CN"/>
              </w:rPr>
            </w:pPr>
            <w:r>
              <w:rPr>
                <w:rFonts w:ascii="Times New Roman" w:hAnsi="Times New Roman"/>
                <w:color w:val="000000" w:themeColor="text1"/>
                <w:sz w:val="21"/>
                <w:szCs w:val="21"/>
                <w:lang w:eastAsia="zh-CN"/>
              </w:rPr>
              <w:t>7200</w:t>
            </w:r>
          </w:p>
        </w:tc>
        <w:tc>
          <w:tcPr>
            <w:tcW w:w="1065" w:type="dxa"/>
            <w:vMerge w:val="restart"/>
            <w:vAlign w:val="center"/>
          </w:tcPr>
          <w:p>
            <w:pPr>
              <w:pStyle w:val="2"/>
              <w:spacing w:line="240" w:lineRule="auto"/>
              <w:ind w:firstLine="0" w:firstLineChars="0"/>
              <w:jc w:val="center"/>
              <w:rPr>
                <w:rFonts w:ascii="Times New Roman" w:hAnsi="Times New Roman"/>
                <w:color w:val="000000" w:themeColor="text1"/>
                <w:sz w:val="21"/>
                <w:szCs w:val="21"/>
                <w:lang w:eastAsia="zh-CN"/>
              </w:rPr>
            </w:pPr>
            <w:r>
              <w:rPr>
                <w:rFonts w:ascii="Times New Roman" w:hAnsi="Times New Roman"/>
                <w:color w:val="000000" w:themeColor="text1"/>
                <w:sz w:val="21"/>
                <w:szCs w:val="21"/>
                <w:lang w:eastAsia="zh-CN"/>
              </w:rPr>
              <w:t>连续排放</w:t>
            </w:r>
          </w:p>
        </w:tc>
        <w:tc>
          <w:tcPr>
            <w:tcW w:w="1065" w:type="dxa"/>
            <w:vMerge w:val="restart"/>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-40.84</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185.70</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-30.06</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144.72</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-10.65</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146.88</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-12.80</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146.88</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2"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15.23</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105.91</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-8.49</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82.18</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54.05</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-17.02</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105.81</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-19.18</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123.06</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-47.21</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49.74</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-105.44</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62.68</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-142.10</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41.11</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-176.61</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-4.18</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-200.33</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-99.07</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-200.33</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rPr>
            </w:pPr>
            <w:r>
              <w:rPr>
                <w:rFonts w:hint="eastAsia"/>
                <w:color w:val="000000" w:themeColor="text1"/>
              </w:rPr>
              <w:t>-105.54</w:t>
            </w:r>
          </w:p>
          <w:p>
            <w:pPr>
              <w:pStyle w:val="75"/>
              <w:ind w:firstLine="0" w:firstLineChars="0"/>
              <w:jc w:val="both"/>
              <w:rPr>
                <w:color w:val="000000" w:themeColor="text1"/>
              </w:rPr>
            </w:pP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-185.23</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-51.62</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-170.14</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-116.32</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-42.90</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-66.72</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-19.18</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-49.46</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28.27</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3" w:hRule="exact"/>
          <w:jc w:val="center"/>
        </w:trPr>
        <w:tc>
          <w:tcPr>
            <w:tcW w:w="1060"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-73.19</w:t>
            </w:r>
          </w:p>
        </w:tc>
        <w:tc>
          <w:tcPr>
            <w:tcW w:w="1068" w:type="dxa"/>
            <w:vAlign w:val="center"/>
          </w:tcPr>
          <w:p>
            <w:pPr>
              <w:widowControl/>
              <w:spacing w:line="240" w:lineRule="auto"/>
              <w:ind w:firstLine="0" w:firstLineChars="0"/>
              <w:jc w:val="center"/>
              <w:textAlignment w:val="center"/>
              <w:rPr>
                <w:color w:val="000000" w:themeColor="text1"/>
                <w:sz w:val="21"/>
                <w:szCs w:val="21"/>
              </w:rPr>
            </w:pPr>
            <w:r>
              <w:rPr>
                <w:rFonts w:hint="eastAsia"/>
                <w:color w:val="000000" w:themeColor="text1"/>
                <w:sz w:val="21"/>
                <w:szCs w:val="21"/>
              </w:rPr>
              <w:t>142.57</w:t>
            </w: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3"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c>
          <w:tcPr>
            <w:tcW w:w="1065" w:type="dxa"/>
            <w:vMerge w:val="continue"/>
            <w:vAlign w:val="center"/>
          </w:tcPr>
          <w:p>
            <w:pPr>
              <w:pStyle w:val="2"/>
              <w:spacing w:line="240" w:lineRule="auto"/>
              <w:ind w:firstLine="0" w:firstLineChars="0"/>
              <w:jc w:val="center"/>
              <w:rPr>
                <w:rFonts w:ascii="Times New Roman" w:hAnsi="Times New Roman"/>
                <w:color w:val="000000" w:themeColor="text1"/>
                <w:sz w:val="21"/>
                <w:szCs w:val="21"/>
              </w:rPr>
            </w:pPr>
          </w:p>
        </w:tc>
      </w:tr>
    </w:tbl>
    <w:p>
      <w:pPr>
        <w:ind w:left="480" w:leftChars="200" w:firstLine="0" w:firstLineChars="0"/>
        <w:rPr>
          <w:color w:val="000000" w:themeColor="text1"/>
        </w:rPr>
      </w:pPr>
      <w:bookmarkStart w:id="655" w:name="_Toc17103"/>
      <w:r>
        <w:rPr>
          <w:color w:val="000000" w:themeColor="text1"/>
        </w:rPr>
        <w:t>3、项目参数</w:t>
      </w:r>
      <w:bookmarkEnd w:id="655"/>
    </w:p>
    <w:p>
      <w:pPr>
        <w:ind w:firstLine="480"/>
        <w:rPr>
          <w:b/>
          <w:bCs/>
          <w:color w:val="000000" w:themeColor="text1"/>
          <w:sz w:val="21"/>
          <w:szCs w:val="21"/>
        </w:rPr>
      </w:pPr>
      <w:r>
        <w:rPr>
          <w:color w:val="000000" w:themeColor="text1"/>
        </w:rPr>
        <w:t>估算模式所用参数见下表：</w:t>
      </w:r>
    </w:p>
    <w:p>
      <w:pPr>
        <w:spacing w:line="480" w:lineRule="exact"/>
        <w:ind w:firstLine="422"/>
        <w:jc w:val="center"/>
        <w:rPr>
          <w:b/>
          <w:bCs/>
          <w:color w:val="000000" w:themeColor="text1"/>
          <w:sz w:val="21"/>
          <w:szCs w:val="21"/>
        </w:rPr>
      </w:pPr>
      <w:r>
        <w:rPr>
          <w:b/>
          <w:bCs/>
          <w:color w:val="000000" w:themeColor="text1"/>
          <w:sz w:val="21"/>
          <w:szCs w:val="21"/>
        </w:rPr>
        <w:t>表</w:t>
      </w:r>
      <w:r>
        <w:rPr>
          <w:rFonts w:hint="eastAsia"/>
          <w:b/>
          <w:bCs/>
          <w:color w:val="000000" w:themeColor="text1"/>
          <w:sz w:val="21"/>
          <w:szCs w:val="21"/>
        </w:rPr>
        <w:t>6</w:t>
      </w:r>
      <w:r>
        <w:rPr>
          <w:b/>
          <w:bCs/>
          <w:color w:val="000000" w:themeColor="text1"/>
          <w:sz w:val="21"/>
          <w:szCs w:val="21"/>
        </w:rPr>
        <w:t>.2-1</w:t>
      </w:r>
      <w:r>
        <w:rPr>
          <w:rFonts w:hint="eastAsia"/>
          <w:b/>
          <w:bCs/>
          <w:color w:val="000000" w:themeColor="text1"/>
          <w:sz w:val="21"/>
          <w:szCs w:val="21"/>
        </w:rPr>
        <w:t>5</w:t>
      </w:r>
      <w:r>
        <w:rPr>
          <w:b/>
          <w:bCs/>
          <w:color w:val="000000" w:themeColor="text1"/>
          <w:sz w:val="21"/>
          <w:szCs w:val="21"/>
        </w:rPr>
        <w:t>估算模型参数表</w:t>
      </w:r>
    </w:p>
    <w:tbl>
      <w:tblPr>
        <w:tblStyle w:val="62"/>
        <w:tblW w:w="85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19"/>
        <w:gridCol w:w="2560"/>
        <w:gridCol w:w="3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5079" w:type="dxa"/>
            <w:gridSpan w:val="2"/>
            <w:vAlign w:val="center"/>
          </w:tcPr>
          <w:p>
            <w:pPr>
              <w:ind w:firstLine="420"/>
              <w:jc w:val="center"/>
              <w:rPr>
                <w:color w:val="000000" w:themeColor="text1"/>
                <w:sz w:val="21"/>
              </w:rPr>
            </w:pPr>
            <w:r>
              <w:rPr>
                <w:color w:val="000000" w:themeColor="text1"/>
                <w:sz w:val="21"/>
              </w:rPr>
              <w:t>参数</w:t>
            </w:r>
          </w:p>
        </w:tc>
        <w:tc>
          <w:tcPr>
            <w:tcW w:w="3441" w:type="dxa"/>
            <w:vAlign w:val="center"/>
          </w:tcPr>
          <w:p>
            <w:pPr>
              <w:ind w:firstLine="420"/>
              <w:jc w:val="center"/>
              <w:rPr>
                <w:color w:val="000000" w:themeColor="text1"/>
                <w:sz w:val="21"/>
                <w:szCs w:val="24"/>
              </w:rPr>
            </w:pPr>
            <w:r>
              <w:rPr>
                <w:color w:val="000000" w:themeColor="text1"/>
                <w:sz w:val="21"/>
                <w:szCs w:val="24"/>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519" w:type="dxa"/>
            <w:vMerge w:val="restart"/>
            <w:vAlign w:val="center"/>
          </w:tcPr>
          <w:p>
            <w:pPr>
              <w:ind w:firstLine="420"/>
              <w:jc w:val="center"/>
              <w:rPr>
                <w:color w:val="000000" w:themeColor="text1"/>
                <w:sz w:val="21"/>
                <w:szCs w:val="24"/>
              </w:rPr>
            </w:pPr>
            <w:r>
              <w:rPr>
                <w:color w:val="000000" w:themeColor="text1"/>
                <w:sz w:val="21"/>
                <w:szCs w:val="24"/>
              </w:rPr>
              <w:t>城市农村/选项</w:t>
            </w:r>
          </w:p>
        </w:tc>
        <w:tc>
          <w:tcPr>
            <w:tcW w:w="2560" w:type="dxa"/>
            <w:vAlign w:val="center"/>
          </w:tcPr>
          <w:p>
            <w:pPr>
              <w:ind w:firstLine="420"/>
              <w:jc w:val="center"/>
              <w:rPr>
                <w:color w:val="000000" w:themeColor="text1"/>
                <w:sz w:val="21"/>
                <w:szCs w:val="24"/>
              </w:rPr>
            </w:pPr>
            <w:r>
              <w:rPr>
                <w:color w:val="000000" w:themeColor="text1"/>
                <w:sz w:val="21"/>
                <w:szCs w:val="24"/>
              </w:rPr>
              <w:t>城市/农村</w:t>
            </w:r>
          </w:p>
        </w:tc>
        <w:tc>
          <w:tcPr>
            <w:tcW w:w="3441" w:type="dxa"/>
            <w:vAlign w:val="center"/>
          </w:tcPr>
          <w:p>
            <w:pPr>
              <w:ind w:firstLine="420"/>
              <w:jc w:val="center"/>
              <w:rPr>
                <w:color w:val="000000" w:themeColor="text1"/>
                <w:sz w:val="21"/>
              </w:rPr>
            </w:pPr>
            <w:r>
              <w:rPr>
                <w:color w:val="000000" w:themeColor="text1"/>
                <w:sz w:val="21"/>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519" w:type="dxa"/>
            <w:vMerge w:val="continue"/>
            <w:vAlign w:val="center"/>
          </w:tcPr>
          <w:p>
            <w:pPr>
              <w:ind w:firstLine="420"/>
              <w:jc w:val="center"/>
              <w:rPr>
                <w:color w:val="000000" w:themeColor="text1"/>
                <w:sz w:val="21"/>
                <w:szCs w:val="24"/>
              </w:rPr>
            </w:pPr>
          </w:p>
        </w:tc>
        <w:tc>
          <w:tcPr>
            <w:tcW w:w="2560" w:type="dxa"/>
            <w:vAlign w:val="center"/>
          </w:tcPr>
          <w:p>
            <w:pPr>
              <w:ind w:firstLine="420"/>
              <w:jc w:val="center"/>
              <w:rPr>
                <w:color w:val="000000" w:themeColor="text1"/>
                <w:sz w:val="21"/>
                <w:szCs w:val="24"/>
              </w:rPr>
            </w:pPr>
            <w:r>
              <w:rPr>
                <w:color w:val="000000" w:themeColor="text1"/>
                <w:sz w:val="21"/>
                <w:szCs w:val="24"/>
              </w:rPr>
              <w:t>人口数（城市人口数）</w:t>
            </w:r>
          </w:p>
        </w:tc>
        <w:tc>
          <w:tcPr>
            <w:tcW w:w="3441" w:type="dxa"/>
            <w:vAlign w:val="center"/>
          </w:tcPr>
          <w:p>
            <w:pPr>
              <w:ind w:firstLine="420"/>
              <w:jc w:val="center"/>
              <w:rPr>
                <w:color w:val="000000" w:themeColor="text1"/>
                <w:sz w:val="21"/>
              </w:rPr>
            </w:pPr>
            <w:r>
              <w:rPr>
                <w:color w:val="000000" w:themeColor="text1"/>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5079" w:type="dxa"/>
            <w:gridSpan w:val="2"/>
            <w:vAlign w:val="center"/>
          </w:tcPr>
          <w:p>
            <w:pPr>
              <w:ind w:firstLine="420"/>
              <w:jc w:val="center"/>
              <w:rPr>
                <w:color w:val="000000" w:themeColor="text1"/>
                <w:sz w:val="21"/>
                <w:szCs w:val="24"/>
              </w:rPr>
            </w:pPr>
            <w:r>
              <w:rPr>
                <w:color w:val="000000" w:themeColor="text1"/>
                <w:sz w:val="21"/>
                <w:szCs w:val="24"/>
              </w:rPr>
              <w:t>最高环境温度</w:t>
            </w:r>
          </w:p>
        </w:tc>
        <w:tc>
          <w:tcPr>
            <w:tcW w:w="3441" w:type="dxa"/>
            <w:vAlign w:val="center"/>
          </w:tcPr>
          <w:p>
            <w:pPr>
              <w:ind w:firstLine="420"/>
              <w:jc w:val="center"/>
              <w:rPr>
                <w:color w:val="000000" w:themeColor="text1"/>
                <w:sz w:val="21"/>
              </w:rPr>
            </w:pPr>
            <w:r>
              <w:rPr>
                <w:rFonts w:hint="eastAsia"/>
                <w:color w:val="000000" w:themeColor="text1"/>
                <w:sz w:val="21"/>
              </w:rPr>
              <w:t>35.3</w:t>
            </w:r>
            <w:r>
              <w:rPr>
                <w:color w:val="000000" w:themeColor="text1"/>
                <w:sz w:val="21"/>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5079" w:type="dxa"/>
            <w:gridSpan w:val="2"/>
            <w:vAlign w:val="center"/>
          </w:tcPr>
          <w:p>
            <w:pPr>
              <w:ind w:firstLine="420"/>
              <w:jc w:val="center"/>
              <w:rPr>
                <w:color w:val="000000" w:themeColor="text1"/>
                <w:sz w:val="21"/>
                <w:szCs w:val="24"/>
              </w:rPr>
            </w:pPr>
            <w:r>
              <w:rPr>
                <w:color w:val="000000" w:themeColor="text1"/>
                <w:sz w:val="21"/>
                <w:szCs w:val="24"/>
              </w:rPr>
              <w:t>最低环境温度</w:t>
            </w:r>
          </w:p>
        </w:tc>
        <w:tc>
          <w:tcPr>
            <w:tcW w:w="3441" w:type="dxa"/>
            <w:vAlign w:val="center"/>
          </w:tcPr>
          <w:p>
            <w:pPr>
              <w:ind w:firstLine="420"/>
              <w:jc w:val="center"/>
              <w:rPr>
                <w:color w:val="000000" w:themeColor="text1"/>
                <w:sz w:val="21"/>
              </w:rPr>
            </w:pPr>
            <w:r>
              <w:rPr>
                <w:rFonts w:hint="eastAsia"/>
                <w:color w:val="000000" w:themeColor="text1"/>
                <w:sz w:val="21"/>
              </w:rPr>
              <w:t>-2.1</w:t>
            </w:r>
            <w:r>
              <w:rPr>
                <w:color w:val="000000" w:themeColor="text1"/>
                <w:sz w:val="21"/>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5079" w:type="dxa"/>
            <w:gridSpan w:val="2"/>
            <w:vAlign w:val="center"/>
          </w:tcPr>
          <w:p>
            <w:pPr>
              <w:ind w:firstLine="420"/>
              <w:jc w:val="center"/>
              <w:rPr>
                <w:color w:val="000000" w:themeColor="text1"/>
                <w:sz w:val="21"/>
                <w:szCs w:val="24"/>
              </w:rPr>
            </w:pPr>
            <w:r>
              <w:rPr>
                <w:color w:val="000000" w:themeColor="text1"/>
                <w:sz w:val="21"/>
                <w:szCs w:val="24"/>
              </w:rPr>
              <w:t>土地利用类型</w:t>
            </w:r>
          </w:p>
        </w:tc>
        <w:tc>
          <w:tcPr>
            <w:tcW w:w="3441" w:type="dxa"/>
            <w:vAlign w:val="center"/>
          </w:tcPr>
          <w:p>
            <w:pPr>
              <w:ind w:firstLine="420"/>
              <w:jc w:val="center"/>
              <w:rPr>
                <w:color w:val="000000" w:themeColor="text1"/>
                <w:sz w:val="21"/>
              </w:rPr>
            </w:pPr>
            <w:r>
              <w:rPr>
                <w:color w:val="000000" w:themeColor="text1"/>
                <w:sz w:val="21"/>
              </w:rPr>
              <w:t>农田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5079" w:type="dxa"/>
            <w:gridSpan w:val="2"/>
            <w:vAlign w:val="center"/>
          </w:tcPr>
          <w:p>
            <w:pPr>
              <w:ind w:firstLine="420"/>
              <w:jc w:val="center"/>
              <w:rPr>
                <w:color w:val="000000" w:themeColor="text1"/>
                <w:sz w:val="21"/>
                <w:szCs w:val="24"/>
              </w:rPr>
            </w:pPr>
            <w:r>
              <w:rPr>
                <w:color w:val="000000" w:themeColor="text1"/>
                <w:sz w:val="21"/>
                <w:szCs w:val="24"/>
              </w:rPr>
              <w:t>区域湿度条件</w:t>
            </w:r>
          </w:p>
        </w:tc>
        <w:tc>
          <w:tcPr>
            <w:tcW w:w="3441" w:type="dxa"/>
            <w:vAlign w:val="center"/>
          </w:tcPr>
          <w:p>
            <w:pPr>
              <w:ind w:firstLine="420"/>
              <w:jc w:val="center"/>
              <w:rPr>
                <w:color w:val="000000" w:themeColor="text1"/>
                <w:sz w:val="21"/>
              </w:rPr>
            </w:pPr>
            <w:r>
              <w:rPr>
                <w:color w:val="000000" w:themeColor="text1"/>
                <w:sz w:val="21"/>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519" w:type="dxa"/>
            <w:vMerge w:val="restart"/>
            <w:vAlign w:val="center"/>
          </w:tcPr>
          <w:p>
            <w:pPr>
              <w:ind w:firstLine="420"/>
              <w:jc w:val="center"/>
              <w:rPr>
                <w:color w:val="000000" w:themeColor="text1"/>
                <w:sz w:val="21"/>
                <w:szCs w:val="24"/>
              </w:rPr>
            </w:pPr>
            <w:r>
              <w:rPr>
                <w:color w:val="000000" w:themeColor="text1"/>
                <w:sz w:val="21"/>
                <w:szCs w:val="24"/>
              </w:rPr>
              <w:t>是否考虑地形</w:t>
            </w:r>
          </w:p>
        </w:tc>
        <w:tc>
          <w:tcPr>
            <w:tcW w:w="2560" w:type="dxa"/>
            <w:vAlign w:val="center"/>
          </w:tcPr>
          <w:p>
            <w:pPr>
              <w:ind w:firstLine="420"/>
              <w:jc w:val="center"/>
              <w:rPr>
                <w:color w:val="000000" w:themeColor="text1"/>
                <w:sz w:val="21"/>
                <w:szCs w:val="24"/>
              </w:rPr>
            </w:pPr>
            <w:r>
              <w:rPr>
                <w:color w:val="000000" w:themeColor="text1"/>
                <w:sz w:val="21"/>
                <w:szCs w:val="24"/>
              </w:rPr>
              <w:t>考虑地形</w:t>
            </w:r>
          </w:p>
        </w:tc>
        <w:tc>
          <w:tcPr>
            <w:tcW w:w="3441" w:type="dxa"/>
            <w:vAlign w:val="center"/>
          </w:tcPr>
          <w:p>
            <w:pPr>
              <w:ind w:firstLine="420"/>
              <w:jc w:val="center"/>
              <w:rPr>
                <w:color w:val="000000" w:themeColor="text1"/>
                <w:sz w:val="21"/>
              </w:rPr>
            </w:pPr>
            <w:r>
              <w:rPr>
                <w:color w:val="000000" w:themeColor="text1"/>
                <w:sz w:val="21"/>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519" w:type="dxa"/>
            <w:vMerge w:val="continue"/>
            <w:vAlign w:val="center"/>
          </w:tcPr>
          <w:p>
            <w:pPr>
              <w:ind w:firstLine="420"/>
              <w:jc w:val="center"/>
              <w:rPr>
                <w:color w:val="000000" w:themeColor="text1"/>
                <w:sz w:val="21"/>
                <w:szCs w:val="24"/>
              </w:rPr>
            </w:pPr>
          </w:p>
        </w:tc>
        <w:tc>
          <w:tcPr>
            <w:tcW w:w="2560" w:type="dxa"/>
            <w:vAlign w:val="center"/>
          </w:tcPr>
          <w:p>
            <w:pPr>
              <w:ind w:firstLine="420"/>
              <w:jc w:val="center"/>
              <w:rPr>
                <w:color w:val="000000" w:themeColor="text1"/>
                <w:sz w:val="21"/>
                <w:szCs w:val="24"/>
              </w:rPr>
            </w:pPr>
            <w:r>
              <w:rPr>
                <w:color w:val="000000" w:themeColor="text1"/>
                <w:sz w:val="21"/>
                <w:szCs w:val="24"/>
              </w:rPr>
              <w:t>地形数据分辨率（m）</w:t>
            </w:r>
          </w:p>
        </w:tc>
        <w:tc>
          <w:tcPr>
            <w:tcW w:w="3441" w:type="dxa"/>
            <w:vAlign w:val="center"/>
          </w:tcPr>
          <w:p>
            <w:pPr>
              <w:ind w:firstLine="420"/>
              <w:jc w:val="center"/>
              <w:rPr>
                <w:color w:val="000000" w:themeColor="text1"/>
                <w:sz w:val="21"/>
                <w:szCs w:val="24"/>
              </w:rPr>
            </w:pPr>
            <w:r>
              <w:rPr>
                <w:color w:val="000000" w:themeColor="text1"/>
                <w:sz w:val="21"/>
                <w:szCs w:val="24"/>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519" w:type="dxa"/>
            <w:vMerge w:val="restart"/>
            <w:vAlign w:val="center"/>
          </w:tcPr>
          <w:p>
            <w:pPr>
              <w:ind w:firstLine="420"/>
              <w:jc w:val="center"/>
              <w:rPr>
                <w:color w:val="000000" w:themeColor="text1"/>
                <w:sz w:val="21"/>
                <w:szCs w:val="24"/>
              </w:rPr>
            </w:pPr>
            <w:r>
              <w:rPr>
                <w:color w:val="000000" w:themeColor="text1"/>
                <w:sz w:val="21"/>
                <w:szCs w:val="24"/>
              </w:rPr>
              <w:t>是否考虑海岸线熏烟</w:t>
            </w:r>
          </w:p>
        </w:tc>
        <w:tc>
          <w:tcPr>
            <w:tcW w:w="2560" w:type="dxa"/>
            <w:vAlign w:val="center"/>
          </w:tcPr>
          <w:p>
            <w:pPr>
              <w:ind w:firstLine="420"/>
              <w:jc w:val="center"/>
              <w:rPr>
                <w:color w:val="000000" w:themeColor="text1"/>
                <w:sz w:val="21"/>
                <w:szCs w:val="24"/>
              </w:rPr>
            </w:pPr>
            <w:r>
              <w:rPr>
                <w:color w:val="000000" w:themeColor="text1"/>
                <w:sz w:val="21"/>
                <w:szCs w:val="24"/>
              </w:rPr>
              <w:t>考虑海岸线熏烟</w:t>
            </w:r>
          </w:p>
        </w:tc>
        <w:tc>
          <w:tcPr>
            <w:tcW w:w="3441" w:type="dxa"/>
            <w:vAlign w:val="center"/>
          </w:tcPr>
          <w:p>
            <w:pPr>
              <w:ind w:firstLine="420"/>
              <w:jc w:val="center"/>
              <w:rPr>
                <w:color w:val="000000" w:themeColor="text1"/>
                <w:sz w:val="21"/>
              </w:rPr>
            </w:pPr>
            <w:r>
              <w:rPr>
                <w:color w:val="000000" w:themeColor="text1"/>
                <w:sz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519" w:type="dxa"/>
            <w:vMerge w:val="continue"/>
            <w:vAlign w:val="center"/>
          </w:tcPr>
          <w:p>
            <w:pPr>
              <w:ind w:firstLine="420"/>
              <w:jc w:val="center"/>
              <w:rPr>
                <w:color w:val="000000" w:themeColor="text1"/>
                <w:sz w:val="21"/>
                <w:szCs w:val="24"/>
              </w:rPr>
            </w:pPr>
          </w:p>
        </w:tc>
        <w:tc>
          <w:tcPr>
            <w:tcW w:w="2560" w:type="dxa"/>
            <w:vAlign w:val="center"/>
          </w:tcPr>
          <w:p>
            <w:pPr>
              <w:ind w:firstLine="420"/>
              <w:jc w:val="center"/>
              <w:rPr>
                <w:color w:val="000000" w:themeColor="text1"/>
                <w:sz w:val="21"/>
                <w:szCs w:val="24"/>
              </w:rPr>
            </w:pPr>
            <w:r>
              <w:rPr>
                <w:color w:val="000000" w:themeColor="text1"/>
                <w:sz w:val="21"/>
                <w:szCs w:val="24"/>
              </w:rPr>
              <w:t>海岸线距离/km</w:t>
            </w:r>
          </w:p>
        </w:tc>
        <w:tc>
          <w:tcPr>
            <w:tcW w:w="3441" w:type="dxa"/>
            <w:vAlign w:val="center"/>
          </w:tcPr>
          <w:p>
            <w:pPr>
              <w:ind w:firstLine="420"/>
              <w:jc w:val="center"/>
              <w:rPr>
                <w:color w:val="000000" w:themeColor="text1"/>
                <w:sz w:val="21"/>
              </w:rPr>
            </w:pPr>
            <w:r>
              <w:rPr>
                <w:color w:val="000000" w:themeColor="text1"/>
                <w:sz w:val="21"/>
              </w:rPr>
              <w:t>/</w:t>
            </w:r>
          </w:p>
        </w:tc>
      </w:tr>
    </w:tbl>
    <w:p>
      <w:pPr>
        <w:ind w:firstLine="480"/>
        <w:rPr>
          <w:rFonts w:eastAsiaTheme="minorEastAsia"/>
          <w:color w:val="000000" w:themeColor="text1"/>
          <w:szCs w:val="24"/>
        </w:rPr>
      </w:pPr>
    </w:p>
    <w:p>
      <w:pPr>
        <w:ind w:firstLine="480"/>
        <w:rPr>
          <w:color w:val="000000" w:themeColor="text1"/>
        </w:rPr>
      </w:pPr>
      <w:bookmarkStart w:id="656" w:name="_Toc22623"/>
      <w:r>
        <w:rPr>
          <w:color w:val="000000" w:themeColor="text1"/>
        </w:rPr>
        <w:t>4、评价工作等级确定</w:t>
      </w:r>
      <w:bookmarkEnd w:id="656"/>
    </w:p>
    <w:p>
      <w:pPr>
        <w:ind w:firstLine="480"/>
        <w:rPr>
          <w:rFonts w:eastAsiaTheme="minorEastAsia"/>
          <w:b/>
          <w:bCs/>
          <w:color w:val="000000" w:themeColor="text1"/>
          <w:sz w:val="21"/>
          <w:szCs w:val="21"/>
        </w:rPr>
      </w:pPr>
      <w:r>
        <w:rPr>
          <w:color w:val="000000" w:themeColor="text1"/>
        </w:rPr>
        <w:t>本项目所有污染源的正常排放的污染物的P</w:t>
      </w:r>
      <w:r>
        <w:rPr>
          <w:color w:val="000000" w:themeColor="text1"/>
          <w:vertAlign w:val="subscript"/>
        </w:rPr>
        <w:t>max</w:t>
      </w:r>
      <w:r>
        <w:rPr>
          <w:color w:val="000000" w:themeColor="text1"/>
        </w:rPr>
        <w:t>和D</w:t>
      </w:r>
      <w:r>
        <w:rPr>
          <w:color w:val="000000" w:themeColor="text1"/>
          <w:vertAlign w:val="subscript"/>
        </w:rPr>
        <w:t>10%</w:t>
      </w:r>
      <w:r>
        <w:rPr>
          <w:color w:val="000000" w:themeColor="text1"/>
        </w:rPr>
        <w:t>预测结果如下：</w:t>
      </w:r>
    </w:p>
    <w:p>
      <w:pPr>
        <w:ind w:firstLine="422"/>
        <w:jc w:val="center"/>
        <w:rPr>
          <w:rFonts w:eastAsiaTheme="minorEastAsia"/>
          <w:b/>
          <w:bCs/>
          <w:color w:val="000000" w:themeColor="text1"/>
          <w:sz w:val="21"/>
          <w:szCs w:val="21"/>
        </w:rPr>
      </w:pPr>
    </w:p>
    <w:p>
      <w:pPr>
        <w:ind w:firstLine="422"/>
        <w:jc w:val="center"/>
        <w:rPr>
          <w:rFonts w:eastAsiaTheme="minorEastAsia"/>
          <w:b/>
          <w:bCs/>
          <w:color w:val="000000" w:themeColor="text1"/>
          <w:sz w:val="21"/>
          <w:szCs w:val="21"/>
        </w:rPr>
      </w:pPr>
      <w:r>
        <w:rPr>
          <w:rFonts w:eastAsiaTheme="minorEastAsia"/>
          <w:b/>
          <w:bCs/>
          <w:color w:val="000000" w:themeColor="text1"/>
          <w:sz w:val="21"/>
          <w:szCs w:val="21"/>
        </w:rPr>
        <w:t>表</w:t>
      </w:r>
      <w:r>
        <w:rPr>
          <w:rFonts w:hint="eastAsia" w:eastAsiaTheme="minorEastAsia"/>
          <w:b/>
          <w:bCs/>
          <w:color w:val="000000" w:themeColor="text1"/>
          <w:sz w:val="21"/>
          <w:szCs w:val="21"/>
        </w:rPr>
        <w:t>6</w:t>
      </w:r>
      <w:r>
        <w:rPr>
          <w:rFonts w:eastAsiaTheme="minorEastAsia"/>
          <w:b/>
          <w:bCs/>
          <w:color w:val="000000" w:themeColor="text1"/>
          <w:sz w:val="21"/>
          <w:szCs w:val="21"/>
        </w:rPr>
        <w:t>.2-1</w:t>
      </w:r>
      <w:r>
        <w:rPr>
          <w:rFonts w:hint="eastAsia" w:eastAsiaTheme="minorEastAsia"/>
          <w:b/>
          <w:bCs/>
          <w:color w:val="000000" w:themeColor="text1"/>
          <w:sz w:val="21"/>
          <w:szCs w:val="21"/>
        </w:rPr>
        <w:t>6</w:t>
      </w:r>
      <w:r>
        <w:rPr>
          <w:rFonts w:eastAsiaTheme="minorEastAsia"/>
          <w:b/>
          <w:bCs/>
          <w:color w:val="000000" w:themeColor="text1"/>
          <w:sz w:val="21"/>
          <w:szCs w:val="21"/>
        </w:rPr>
        <w:t>P</w:t>
      </w:r>
      <w:r>
        <w:rPr>
          <w:rFonts w:eastAsiaTheme="minorEastAsia"/>
          <w:b/>
          <w:bCs/>
          <w:color w:val="000000" w:themeColor="text1"/>
          <w:sz w:val="21"/>
          <w:szCs w:val="21"/>
          <w:vertAlign w:val="subscript"/>
        </w:rPr>
        <w:t>max</w:t>
      </w:r>
      <w:r>
        <w:rPr>
          <w:rFonts w:eastAsiaTheme="minorEastAsia"/>
          <w:b/>
          <w:bCs/>
          <w:color w:val="000000" w:themeColor="text1"/>
          <w:sz w:val="21"/>
          <w:szCs w:val="21"/>
        </w:rPr>
        <w:t>预测和计算结果一览表</w:t>
      </w:r>
    </w:p>
    <w:tbl>
      <w:tblPr>
        <w:tblStyle w:val="61"/>
        <w:tblW w:w="8519"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975"/>
        <w:gridCol w:w="767"/>
        <w:gridCol w:w="1609"/>
        <w:gridCol w:w="2286"/>
        <w:gridCol w:w="1440"/>
        <w:gridCol w:w="1442"/>
      </w:tblGrid>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Ex>
        <w:trPr>
          <w:trHeight w:val="454" w:hRule="atLeast"/>
        </w:trPr>
        <w:tc>
          <w:tcPr>
            <w:tcW w:w="975" w:type="dxa"/>
            <w:vAlign w:val="center"/>
          </w:tcPr>
          <w:p>
            <w:pPr>
              <w:spacing w:line="240" w:lineRule="auto"/>
              <w:ind w:firstLine="0" w:firstLineChars="0"/>
              <w:jc w:val="center"/>
              <w:rPr>
                <w:color w:val="000000" w:themeColor="text1"/>
                <w:sz w:val="21"/>
                <w:szCs w:val="21"/>
              </w:rPr>
            </w:pPr>
            <w:r>
              <w:rPr>
                <w:color w:val="000000" w:themeColor="text1"/>
                <w:sz w:val="21"/>
                <w:szCs w:val="21"/>
              </w:rPr>
              <w:t>污染源名称</w:t>
            </w:r>
          </w:p>
        </w:tc>
        <w:tc>
          <w:tcPr>
            <w:tcW w:w="767" w:type="dxa"/>
            <w:vAlign w:val="center"/>
          </w:tcPr>
          <w:p>
            <w:pPr>
              <w:spacing w:line="240" w:lineRule="auto"/>
              <w:ind w:firstLine="0" w:firstLineChars="0"/>
              <w:jc w:val="center"/>
              <w:rPr>
                <w:color w:val="000000" w:themeColor="text1"/>
                <w:sz w:val="21"/>
                <w:szCs w:val="21"/>
              </w:rPr>
            </w:pPr>
            <w:r>
              <w:rPr>
                <w:color w:val="000000" w:themeColor="text1"/>
                <w:sz w:val="21"/>
                <w:szCs w:val="21"/>
              </w:rPr>
              <w:t>评价因子</w:t>
            </w:r>
          </w:p>
        </w:tc>
        <w:tc>
          <w:tcPr>
            <w:tcW w:w="1609" w:type="dxa"/>
            <w:vAlign w:val="center"/>
          </w:tcPr>
          <w:p>
            <w:pPr>
              <w:spacing w:line="240" w:lineRule="auto"/>
              <w:ind w:firstLine="0" w:firstLineChars="0"/>
              <w:jc w:val="center"/>
              <w:rPr>
                <w:color w:val="000000" w:themeColor="text1"/>
                <w:sz w:val="21"/>
                <w:szCs w:val="21"/>
              </w:rPr>
            </w:pPr>
            <w:r>
              <w:rPr>
                <w:color w:val="000000" w:themeColor="text1"/>
                <w:sz w:val="21"/>
                <w:szCs w:val="21"/>
              </w:rPr>
              <w:t>评价标准(μg/m³)</w:t>
            </w:r>
          </w:p>
        </w:tc>
        <w:tc>
          <w:tcPr>
            <w:tcW w:w="2286" w:type="dxa"/>
            <w:vAlign w:val="center"/>
          </w:tcPr>
          <w:p>
            <w:pPr>
              <w:spacing w:line="240" w:lineRule="auto"/>
              <w:ind w:firstLine="0" w:firstLineChars="0"/>
              <w:jc w:val="center"/>
              <w:rPr>
                <w:color w:val="000000" w:themeColor="text1"/>
                <w:sz w:val="21"/>
                <w:szCs w:val="21"/>
              </w:rPr>
            </w:pPr>
            <w:r>
              <w:rPr>
                <w:color w:val="000000" w:themeColor="text1"/>
                <w:sz w:val="21"/>
                <w:szCs w:val="21"/>
              </w:rPr>
              <w:t>C</w:t>
            </w:r>
            <w:r>
              <w:rPr>
                <w:color w:val="000000" w:themeColor="text1"/>
                <w:sz w:val="21"/>
                <w:szCs w:val="21"/>
                <w:vertAlign w:val="subscript"/>
              </w:rPr>
              <w:t>max</w:t>
            </w:r>
            <w:r>
              <w:rPr>
                <w:color w:val="000000" w:themeColor="text1"/>
                <w:sz w:val="21"/>
                <w:szCs w:val="21"/>
              </w:rPr>
              <w:t>(μg/m³)</w:t>
            </w:r>
          </w:p>
        </w:tc>
        <w:tc>
          <w:tcPr>
            <w:tcW w:w="1440" w:type="dxa"/>
            <w:vAlign w:val="center"/>
          </w:tcPr>
          <w:p>
            <w:pPr>
              <w:spacing w:line="240" w:lineRule="auto"/>
              <w:ind w:firstLine="0" w:firstLineChars="0"/>
              <w:jc w:val="center"/>
              <w:rPr>
                <w:color w:val="000000" w:themeColor="text1"/>
                <w:sz w:val="21"/>
                <w:szCs w:val="21"/>
              </w:rPr>
            </w:pPr>
            <w:r>
              <w:rPr>
                <w:color w:val="000000" w:themeColor="text1"/>
                <w:sz w:val="21"/>
                <w:szCs w:val="21"/>
              </w:rPr>
              <w:t>P</w:t>
            </w:r>
            <w:r>
              <w:rPr>
                <w:color w:val="000000" w:themeColor="text1"/>
                <w:sz w:val="21"/>
                <w:szCs w:val="21"/>
                <w:vertAlign w:val="subscript"/>
              </w:rPr>
              <w:t>max</w:t>
            </w:r>
            <w:r>
              <w:rPr>
                <w:color w:val="000000" w:themeColor="text1"/>
                <w:sz w:val="21"/>
                <w:szCs w:val="21"/>
              </w:rPr>
              <w:t>(%)</w:t>
            </w:r>
          </w:p>
        </w:tc>
        <w:tc>
          <w:tcPr>
            <w:tcW w:w="1442" w:type="dxa"/>
            <w:vAlign w:val="center"/>
          </w:tcPr>
          <w:p>
            <w:pPr>
              <w:spacing w:line="240" w:lineRule="auto"/>
              <w:ind w:firstLine="0" w:firstLineChars="0"/>
              <w:jc w:val="center"/>
              <w:rPr>
                <w:color w:val="000000" w:themeColor="text1"/>
                <w:sz w:val="21"/>
                <w:szCs w:val="21"/>
              </w:rPr>
            </w:pPr>
            <w:r>
              <w:rPr>
                <w:color w:val="000000" w:themeColor="text1"/>
                <w:sz w:val="21"/>
                <w:szCs w:val="21"/>
              </w:rPr>
              <w:t>D</w:t>
            </w:r>
            <w:r>
              <w:rPr>
                <w:color w:val="000000" w:themeColor="text1"/>
                <w:sz w:val="21"/>
                <w:szCs w:val="21"/>
                <w:vertAlign w:val="subscript"/>
              </w:rPr>
              <w:t>10%</w:t>
            </w:r>
            <w:r>
              <w:rPr>
                <w:color w:val="000000" w:themeColor="text1"/>
                <w:sz w:val="21"/>
                <w:szCs w:val="21"/>
              </w:rPr>
              <w:t>(m)</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Ex>
        <w:trPr>
          <w:trHeight w:val="454" w:hRule="atLeast"/>
        </w:trPr>
        <w:tc>
          <w:tcPr>
            <w:tcW w:w="97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DA001</w:t>
            </w:r>
          </w:p>
        </w:tc>
        <w:tc>
          <w:tcPr>
            <w:tcW w:w="76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PM</w:t>
            </w:r>
            <w:r>
              <w:rPr>
                <w:rFonts w:hint="eastAsia"/>
                <w:color w:val="000000" w:themeColor="text1"/>
                <w:sz w:val="21"/>
                <w:szCs w:val="21"/>
                <w:vertAlign w:val="subscript"/>
              </w:rPr>
              <w:t>10</w:t>
            </w:r>
          </w:p>
        </w:tc>
        <w:tc>
          <w:tcPr>
            <w:tcW w:w="160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450</w:t>
            </w:r>
          </w:p>
        </w:tc>
        <w:tc>
          <w:tcPr>
            <w:tcW w:w="228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42.2730</w:t>
            </w:r>
          </w:p>
        </w:tc>
        <w:tc>
          <w:tcPr>
            <w:tcW w:w="144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9.3940</w:t>
            </w:r>
          </w:p>
        </w:tc>
        <w:tc>
          <w:tcPr>
            <w:tcW w:w="1442"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Ex>
        <w:trPr>
          <w:trHeight w:val="454" w:hRule="atLeast"/>
        </w:trPr>
        <w:tc>
          <w:tcPr>
            <w:tcW w:w="97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DA002</w:t>
            </w:r>
          </w:p>
        </w:tc>
        <w:tc>
          <w:tcPr>
            <w:tcW w:w="76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PM</w:t>
            </w:r>
            <w:r>
              <w:rPr>
                <w:rFonts w:hint="eastAsia"/>
                <w:color w:val="000000" w:themeColor="text1"/>
                <w:sz w:val="21"/>
                <w:szCs w:val="21"/>
                <w:vertAlign w:val="subscript"/>
              </w:rPr>
              <w:t>10</w:t>
            </w:r>
          </w:p>
        </w:tc>
        <w:tc>
          <w:tcPr>
            <w:tcW w:w="160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450</w:t>
            </w:r>
          </w:p>
        </w:tc>
        <w:tc>
          <w:tcPr>
            <w:tcW w:w="228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10.6410</w:t>
            </w:r>
          </w:p>
        </w:tc>
        <w:tc>
          <w:tcPr>
            <w:tcW w:w="144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2.3647</w:t>
            </w:r>
          </w:p>
        </w:tc>
        <w:tc>
          <w:tcPr>
            <w:tcW w:w="1442"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w:t>
            </w:r>
          </w:p>
        </w:tc>
      </w:tr>
      <w:tr>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Ex>
        <w:trPr>
          <w:trHeight w:val="454" w:hRule="atLeast"/>
        </w:trPr>
        <w:tc>
          <w:tcPr>
            <w:tcW w:w="97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厂区无组织</w:t>
            </w:r>
          </w:p>
        </w:tc>
        <w:tc>
          <w:tcPr>
            <w:tcW w:w="76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TSP</w:t>
            </w:r>
          </w:p>
        </w:tc>
        <w:tc>
          <w:tcPr>
            <w:tcW w:w="160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900</w:t>
            </w:r>
          </w:p>
        </w:tc>
        <w:tc>
          <w:tcPr>
            <w:tcW w:w="2286"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147.62</w:t>
            </w:r>
          </w:p>
        </w:tc>
        <w:tc>
          <w:tcPr>
            <w:tcW w:w="144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16.4022</w:t>
            </w:r>
          </w:p>
        </w:tc>
        <w:tc>
          <w:tcPr>
            <w:tcW w:w="1442"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500</w:t>
            </w:r>
          </w:p>
        </w:tc>
      </w:tr>
    </w:tbl>
    <w:p>
      <w:pPr>
        <w:ind w:firstLine="480"/>
        <w:jc w:val="both"/>
        <w:rPr>
          <w:rFonts w:eastAsiaTheme="minorEastAsia"/>
          <w:color w:val="000000" w:themeColor="text1"/>
          <w:szCs w:val="24"/>
          <w:highlight w:val="red"/>
        </w:rPr>
      </w:pPr>
      <w:r>
        <w:rPr>
          <w:rFonts w:eastAsiaTheme="minorEastAsia"/>
          <w:color w:val="000000" w:themeColor="text1"/>
          <w:szCs w:val="24"/>
        </w:rPr>
        <w:t>本项目P</w:t>
      </w:r>
      <w:r>
        <w:rPr>
          <w:rFonts w:eastAsiaTheme="minorEastAsia"/>
          <w:color w:val="000000" w:themeColor="text1"/>
          <w:szCs w:val="24"/>
          <w:vertAlign w:val="subscript"/>
        </w:rPr>
        <w:t>max</w:t>
      </w:r>
      <w:r>
        <w:rPr>
          <w:rFonts w:eastAsiaTheme="minorEastAsia"/>
          <w:color w:val="000000" w:themeColor="text1"/>
          <w:szCs w:val="24"/>
        </w:rPr>
        <w:t>最大值出现为面源排放的P</w:t>
      </w:r>
      <w:r>
        <w:rPr>
          <w:rFonts w:eastAsiaTheme="minorEastAsia"/>
          <w:color w:val="000000" w:themeColor="text1"/>
          <w:szCs w:val="24"/>
          <w:vertAlign w:val="subscript"/>
        </w:rPr>
        <w:t>max</w:t>
      </w:r>
      <w:r>
        <w:rPr>
          <w:rFonts w:eastAsiaTheme="minorEastAsia"/>
          <w:color w:val="000000" w:themeColor="text1"/>
          <w:szCs w:val="24"/>
        </w:rPr>
        <w:t>值为</w:t>
      </w:r>
      <w:r>
        <w:rPr>
          <w:rFonts w:hint="eastAsia" w:eastAsiaTheme="minorEastAsia"/>
          <w:color w:val="000000" w:themeColor="text1"/>
          <w:szCs w:val="24"/>
        </w:rPr>
        <w:t>16.4022</w:t>
      </w:r>
      <w:r>
        <w:rPr>
          <w:rFonts w:eastAsiaTheme="minorEastAsia"/>
          <w:color w:val="000000" w:themeColor="text1"/>
          <w:szCs w:val="24"/>
        </w:rPr>
        <w:t>%，C</w:t>
      </w:r>
      <w:r>
        <w:rPr>
          <w:rFonts w:eastAsiaTheme="minorEastAsia"/>
          <w:color w:val="000000" w:themeColor="text1"/>
          <w:szCs w:val="24"/>
          <w:vertAlign w:val="subscript"/>
        </w:rPr>
        <w:t>max</w:t>
      </w:r>
      <w:r>
        <w:rPr>
          <w:rFonts w:eastAsiaTheme="minorEastAsia"/>
          <w:color w:val="000000" w:themeColor="text1"/>
          <w:szCs w:val="24"/>
        </w:rPr>
        <w:t>为</w:t>
      </w:r>
      <w:r>
        <w:rPr>
          <w:rFonts w:hint="eastAsia" w:eastAsiaTheme="minorEastAsia"/>
          <w:color w:val="000000" w:themeColor="text1"/>
          <w:szCs w:val="24"/>
        </w:rPr>
        <w:t>147.62</w:t>
      </w:r>
      <w:r>
        <w:rPr>
          <w:rFonts w:eastAsiaTheme="minorEastAsia"/>
          <w:color w:val="000000" w:themeColor="text1"/>
          <w:szCs w:val="24"/>
        </w:rPr>
        <w:t>μg/m³，根据《环境影响评价技术导则大气环境》（HJ2.2-2018）分级判别依据，确定本项目大气环境影响评价工作等级为一级。</w:t>
      </w:r>
    </w:p>
    <w:p>
      <w:pPr>
        <w:ind w:firstLine="482"/>
        <w:rPr>
          <w:b/>
          <w:bCs/>
          <w:color w:val="000000" w:themeColor="text1"/>
        </w:rPr>
      </w:pPr>
      <w:bookmarkStart w:id="657" w:name="_Toc16666"/>
      <w:r>
        <w:rPr>
          <w:b/>
          <w:bCs/>
          <w:color w:val="000000" w:themeColor="text1"/>
        </w:rPr>
        <w:t>三、预测方案设计</w:t>
      </w:r>
      <w:bookmarkEnd w:id="657"/>
    </w:p>
    <w:p>
      <w:pPr>
        <w:ind w:firstLine="482"/>
        <w:rPr>
          <w:b/>
          <w:bCs/>
          <w:color w:val="000000" w:themeColor="text1"/>
        </w:rPr>
      </w:pPr>
      <w:bookmarkStart w:id="658" w:name="_Toc32405"/>
      <w:r>
        <w:rPr>
          <w:b/>
          <w:bCs/>
          <w:color w:val="000000" w:themeColor="text1"/>
        </w:rPr>
        <w:t>1、预测情景</w:t>
      </w:r>
      <w:bookmarkEnd w:id="658"/>
    </w:p>
    <w:p>
      <w:pPr>
        <w:adjustRightInd w:val="0"/>
        <w:snapToGrid w:val="0"/>
        <w:ind w:firstLine="480"/>
        <w:rPr>
          <w:color w:val="000000" w:themeColor="text1"/>
          <w:szCs w:val="24"/>
        </w:rPr>
      </w:pPr>
      <w:r>
        <w:rPr>
          <w:color w:val="000000" w:themeColor="text1"/>
          <w:szCs w:val="24"/>
        </w:rPr>
        <w:t>本次评价大气预测采用AERMOD大气预测软件，模式系统包括AERMOD（大气扩散模型）、AERMET（气象数据预处理器）和AERMAP（地形数据预处理器）。地面气象原始数据为中国国家级地面气象站，所观测的小时值数据,包括气压、风向、风速、干球温度、相对湿度、水汽压、风、降水量等气象要素的逐日逐时观测值。部分缺测数据根据气象数据处理技术规程，经线性插值填补缺失数据并由人工校核，云量数据采用基于中尺度气象模型WRF模拟，经由MMIF程序转变为AERMOD的气象数据格式SFC文件，然后提取其中的云量数据。模拟网格点位置坐标，与项目距离在</w:t>
      </w:r>
      <w:r>
        <w:rPr>
          <w:rFonts w:hint="eastAsia"/>
          <w:color w:val="000000" w:themeColor="text1"/>
          <w:szCs w:val="24"/>
        </w:rPr>
        <w:t>5</w:t>
      </w:r>
      <w:r>
        <w:rPr>
          <w:color w:val="000000" w:themeColor="text1"/>
          <w:szCs w:val="24"/>
        </w:rPr>
        <w:t>km范围。</w:t>
      </w:r>
    </w:p>
    <w:p>
      <w:pPr>
        <w:adjustRightInd w:val="0"/>
        <w:snapToGrid w:val="0"/>
        <w:ind w:firstLine="480"/>
        <w:rPr>
          <w:color w:val="000000" w:themeColor="text1"/>
          <w:szCs w:val="24"/>
        </w:rPr>
      </w:pPr>
      <w:r>
        <w:rPr>
          <w:color w:val="000000" w:themeColor="text1"/>
          <w:szCs w:val="24"/>
        </w:rPr>
        <w:t>根据本项目的大气污染物排放、周围环境情况及要预测内容、预测因子和空气环境质量评价标准、当地气象条件，拟建项目的大气环境影响预测情景设计详见下表。</w:t>
      </w:r>
    </w:p>
    <w:p>
      <w:pPr>
        <w:ind w:firstLine="422"/>
        <w:jc w:val="center"/>
        <w:rPr>
          <w:b/>
          <w:color w:val="000000" w:themeColor="text1"/>
          <w:sz w:val="21"/>
          <w:szCs w:val="21"/>
        </w:rPr>
      </w:pPr>
      <w:r>
        <w:rPr>
          <w:b/>
          <w:color w:val="000000" w:themeColor="text1"/>
          <w:sz w:val="21"/>
          <w:szCs w:val="21"/>
        </w:rPr>
        <w:t>表</w:t>
      </w:r>
      <w:r>
        <w:rPr>
          <w:rFonts w:hint="eastAsia"/>
          <w:b/>
          <w:color w:val="000000" w:themeColor="text1"/>
          <w:sz w:val="21"/>
          <w:szCs w:val="21"/>
        </w:rPr>
        <w:t>6</w:t>
      </w:r>
      <w:r>
        <w:rPr>
          <w:b/>
          <w:color w:val="000000" w:themeColor="text1"/>
          <w:sz w:val="21"/>
          <w:szCs w:val="21"/>
        </w:rPr>
        <w:t>.2-1</w:t>
      </w:r>
      <w:r>
        <w:rPr>
          <w:rFonts w:hint="eastAsia"/>
          <w:b/>
          <w:color w:val="000000" w:themeColor="text1"/>
          <w:sz w:val="21"/>
          <w:szCs w:val="21"/>
        </w:rPr>
        <w:t>7</w:t>
      </w:r>
      <w:r>
        <w:rPr>
          <w:b/>
          <w:color w:val="000000" w:themeColor="text1"/>
          <w:sz w:val="21"/>
          <w:szCs w:val="21"/>
        </w:rPr>
        <w:t>预测情景</w:t>
      </w:r>
    </w:p>
    <w:tbl>
      <w:tblPr>
        <w:tblStyle w:val="61"/>
        <w:tblW w:w="8528" w:type="dxa"/>
        <w:jc w:val="center"/>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509"/>
        <w:gridCol w:w="875"/>
        <w:gridCol w:w="1940"/>
        <w:gridCol w:w="1604"/>
        <w:gridCol w:w="2410"/>
        <w:gridCol w:w="1190"/>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jc w:val="center"/>
        </w:trPr>
        <w:tc>
          <w:tcPr>
            <w:tcW w:w="509" w:type="dxa"/>
            <w:vAlign w:val="center"/>
          </w:tcPr>
          <w:p>
            <w:pPr>
              <w:spacing w:line="240" w:lineRule="auto"/>
              <w:ind w:firstLine="0" w:firstLineChars="0"/>
              <w:jc w:val="center"/>
              <w:rPr>
                <w:color w:val="000000" w:themeColor="text1"/>
                <w:sz w:val="21"/>
                <w:szCs w:val="21"/>
              </w:rPr>
            </w:pPr>
            <w:r>
              <w:rPr>
                <w:color w:val="000000" w:themeColor="text1"/>
                <w:sz w:val="21"/>
                <w:szCs w:val="21"/>
              </w:rPr>
              <w:t>序号</w:t>
            </w:r>
          </w:p>
        </w:tc>
        <w:tc>
          <w:tcPr>
            <w:tcW w:w="875" w:type="dxa"/>
            <w:vAlign w:val="center"/>
          </w:tcPr>
          <w:p>
            <w:pPr>
              <w:spacing w:line="240" w:lineRule="auto"/>
              <w:ind w:firstLine="0" w:firstLineChars="0"/>
              <w:jc w:val="center"/>
              <w:rPr>
                <w:color w:val="000000" w:themeColor="text1"/>
                <w:sz w:val="21"/>
                <w:szCs w:val="21"/>
              </w:rPr>
            </w:pPr>
            <w:r>
              <w:rPr>
                <w:color w:val="000000" w:themeColor="text1"/>
                <w:sz w:val="21"/>
                <w:szCs w:val="21"/>
              </w:rPr>
              <w:t>排放源类别</w:t>
            </w:r>
          </w:p>
        </w:tc>
        <w:tc>
          <w:tcPr>
            <w:tcW w:w="1940" w:type="dxa"/>
            <w:vAlign w:val="center"/>
          </w:tcPr>
          <w:p>
            <w:pPr>
              <w:spacing w:line="240" w:lineRule="auto"/>
              <w:ind w:firstLine="0" w:firstLineChars="0"/>
              <w:jc w:val="center"/>
              <w:rPr>
                <w:color w:val="000000" w:themeColor="text1"/>
                <w:sz w:val="21"/>
                <w:szCs w:val="21"/>
              </w:rPr>
            </w:pPr>
            <w:r>
              <w:rPr>
                <w:color w:val="000000" w:themeColor="text1"/>
                <w:sz w:val="21"/>
                <w:szCs w:val="21"/>
              </w:rPr>
              <w:t>预测内容</w:t>
            </w:r>
          </w:p>
        </w:tc>
        <w:tc>
          <w:tcPr>
            <w:tcW w:w="1604" w:type="dxa"/>
            <w:vAlign w:val="center"/>
          </w:tcPr>
          <w:p>
            <w:pPr>
              <w:spacing w:line="240" w:lineRule="auto"/>
              <w:ind w:firstLine="0" w:firstLineChars="0"/>
              <w:jc w:val="center"/>
              <w:rPr>
                <w:color w:val="000000" w:themeColor="text1"/>
                <w:sz w:val="21"/>
                <w:szCs w:val="21"/>
              </w:rPr>
            </w:pPr>
            <w:r>
              <w:rPr>
                <w:color w:val="000000" w:themeColor="text1"/>
                <w:sz w:val="21"/>
                <w:szCs w:val="21"/>
              </w:rPr>
              <w:t>预测因子</w:t>
            </w:r>
          </w:p>
        </w:tc>
        <w:tc>
          <w:tcPr>
            <w:tcW w:w="2410" w:type="dxa"/>
            <w:vAlign w:val="center"/>
          </w:tcPr>
          <w:p>
            <w:pPr>
              <w:spacing w:line="240" w:lineRule="auto"/>
              <w:ind w:firstLine="0" w:firstLineChars="0"/>
              <w:jc w:val="center"/>
              <w:rPr>
                <w:color w:val="000000" w:themeColor="text1"/>
                <w:sz w:val="21"/>
                <w:szCs w:val="21"/>
              </w:rPr>
            </w:pPr>
            <w:r>
              <w:rPr>
                <w:color w:val="000000" w:themeColor="text1"/>
                <w:sz w:val="21"/>
                <w:szCs w:val="21"/>
              </w:rPr>
              <w:t>计算点</w:t>
            </w:r>
          </w:p>
        </w:tc>
        <w:tc>
          <w:tcPr>
            <w:tcW w:w="1190" w:type="dxa"/>
            <w:vAlign w:val="center"/>
          </w:tcPr>
          <w:p>
            <w:pPr>
              <w:spacing w:line="240" w:lineRule="auto"/>
              <w:ind w:firstLine="0" w:firstLineChars="0"/>
              <w:jc w:val="center"/>
              <w:rPr>
                <w:color w:val="000000" w:themeColor="text1"/>
                <w:sz w:val="21"/>
                <w:szCs w:val="21"/>
              </w:rPr>
            </w:pPr>
            <w:r>
              <w:rPr>
                <w:color w:val="000000" w:themeColor="text1"/>
                <w:sz w:val="21"/>
                <w:szCs w:val="21"/>
              </w:rPr>
              <w:t>气象条件</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jc w:val="center"/>
        </w:trPr>
        <w:tc>
          <w:tcPr>
            <w:tcW w:w="509" w:type="dxa"/>
            <w:vAlign w:val="center"/>
          </w:tcPr>
          <w:p>
            <w:pPr>
              <w:spacing w:line="240" w:lineRule="auto"/>
              <w:ind w:firstLine="0" w:firstLineChars="0"/>
              <w:jc w:val="center"/>
              <w:rPr>
                <w:color w:val="000000" w:themeColor="text1"/>
                <w:sz w:val="21"/>
                <w:szCs w:val="21"/>
              </w:rPr>
            </w:pPr>
            <w:r>
              <w:rPr>
                <w:color w:val="000000" w:themeColor="text1"/>
                <w:sz w:val="21"/>
                <w:szCs w:val="21"/>
              </w:rPr>
              <w:t>1</w:t>
            </w:r>
          </w:p>
        </w:tc>
        <w:tc>
          <w:tcPr>
            <w:tcW w:w="875" w:type="dxa"/>
            <w:vAlign w:val="center"/>
          </w:tcPr>
          <w:p>
            <w:pPr>
              <w:spacing w:line="240" w:lineRule="auto"/>
              <w:ind w:firstLine="0" w:firstLineChars="0"/>
              <w:jc w:val="center"/>
              <w:rPr>
                <w:color w:val="000000" w:themeColor="text1"/>
                <w:sz w:val="21"/>
                <w:szCs w:val="21"/>
              </w:rPr>
            </w:pPr>
            <w:r>
              <w:rPr>
                <w:color w:val="000000" w:themeColor="text1"/>
                <w:sz w:val="21"/>
                <w:szCs w:val="21"/>
              </w:rPr>
              <w:t>正常情况</w:t>
            </w:r>
          </w:p>
        </w:tc>
        <w:tc>
          <w:tcPr>
            <w:tcW w:w="194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TSP日均贡献值、年均贡献值、叠加背景日均贡献值；PM10日均贡献值，叠加现状浓度后</w:t>
            </w:r>
            <w:r>
              <w:rPr>
                <w:color w:val="000000" w:themeColor="text1"/>
                <w:sz w:val="21"/>
                <w:szCs w:val="21"/>
              </w:rPr>
              <w:t>保证率下</w:t>
            </w:r>
            <w:r>
              <w:rPr>
                <w:rFonts w:hint="eastAsia"/>
                <w:color w:val="000000" w:themeColor="text1"/>
                <w:sz w:val="21"/>
                <w:szCs w:val="21"/>
              </w:rPr>
              <w:t>日平均质量浓度和年平均质量浓度</w:t>
            </w:r>
          </w:p>
        </w:tc>
        <w:tc>
          <w:tcPr>
            <w:tcW w:w="1604"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TSP、PM</w:t>
            </w:r>
            <w:r>
              <w:rPr>
                <w:rFonts w:hint="eastAsia"/>
                <w:color w:val="000000" w:themeColor="text1"/>
                <w:sz w:val="21"/>
                <w:szCs w:val="21"/>
                <w:vertAlign w:val="subscript"/>
              </w:rPr>
              <w:t>10</w:t>
            </w:r>
          </w:p>
        </w:tc>
        <w:tc>
          <w:tcPr>
            <w:tcW w:w="2410" w:type="dxa"/>
            <w:vAlign w:val="center"/>
          </w:tcPr>
          <w:p>
            <w:pPr>
              <w:spacing w:line="240" w:lineRule="auto"/>
              <w:ind w:firstLine="0" w:firstLineChars="0"/>
              <w:jc w:val="center"/>
              <w:rPr>
                <w:color w:val="000000" w:themeColor="text1"/>
                <w:sz w:val="21"/>
                <w:szCs w:val="21"/>
              </w:rPr>
            </w:pPr>
            <w:r>
              <w:rPr>
                <w:color w:val="000000" w:themeColor="text1"/>
                <w:sz w:val="21"/>
                <w:szCs w:val="21"/>
              </w:rPr>
              <w:t>主要关心点、网格点（</w:t>
            </w:r>
            <w:r>
              <w:rPr>
                <w:rFonts w:hint="eastAsia"/>
                <w:color w:val="000000" w:themeColor="text1"/>
                <w:sz w:val="21"/>
                <w:szCs w:val="21"/>
              </w:rPr>
              <w:t>50</w:t>
            </w:r>
            <w:r>
              <w:rPr>
                <w:color w:val="000000" w:themeColor="text1"/>
                <w:sz w:val="21"/>
                <w:szCs w:val="21"/>
              </w:rPr>
              <w:t>00m×</w:t>
            </w:r>
            <w:r>
              <w:rPr>
                <w:rFonts w:hint="eastAsia"/>
                <w:color w:val="000000" w:themeColor="text1"/>
                <w:sz w:val="21"/>
                <w:szCs w:val="21"/>
              </w:rPr>
              <w:t>50</w:t>
            </w:r>
            <w:r>
              <w:rPr>
                <w:color w:val="000000" w:themeColor="text1"/>
                <w:sz w:val="21"/>
                <w:szCs w:val="21"/>
              </w:rPr>
              <w:t>00m）、区域最大地面浓度</w:t>
            </w:r>
          </w:p>
        </w:tc>
        <w:tc>
          <w:tcPr>
            <w:tcW w:w="1190" w:type="dxa"/>
            <w:vAlign w:val="center"/>
          </w:tcPr>
          <w:p>
            <w:pPr>
              <w:spacing w:line="240" w:lineRule="auto"/>
              <w:ind w:firstLine="0" w:firstLineChars="0"/>
              <w:jc w:val="center"/>
              <w:rPr>
                <w:color w:val="000000" w:themeColor="text1"/>
                <w:sz w:val="21"/>
                <w:szCs w:val="21"/>
              </w:rPr>
            </w:pPr>
            <w:r>
              <w:rPr>
                <w:color w:val="000000" w:themeColor="text1"/>
                <w:sz w:val="21"/>
                <w:szCs w:val="21"/>
              </w:rPr>
              <w:t>全年逐日</w:t>
            </w:r>
          </w:p>
        </w:tc>
      </w:tr>
    </w:tbl>
    <w:p>
      <w:pPr>
        <w:ind w:firstLine="482"/>
        <w:rPr>
          <w:b/>
          <w:bCs/>
          <w:color w:val="000000" w:themeColor="text1"/>
        </w:rPr>
      </w:pPr>
      <w:bookmarkStart w:id="659" w:name="_Toc17232"/>
      <w:r>
        <w:rPr>
          <w:b/>
          <w:bCs/>
          <w:color w:val="000000" w:themeColor="text1"/>
        </w:rPr>
        <w:t>2、预测因子</w:t>
      </w:r>
      <w:bookmarkEnd w:id="659"/>
    </w:p>
    <w:p>
      <w:pPr>
        <w:adjustRightInd w:val="0"/>
        <w:snapToGrid w:val="0"/>
        <w:ind w:firstLine="480"/>
        <w:rPr>
          <w:color w:val="000000" w:themeColor="text1"/>
          <w:szCs w:val="24"/>
        </w:rPr>
      </w:pPr>
      <w:r>
        <w:rPr>
          <w:color w:val="000000" w:themeColor="text1"/>
          <w:szCs w:val="24"/>
        </w:rPr>
        <w:t>通过工程分析，根据项目排污特征以及评价因子的筛选，确定为</w:t>
      </w:r>
      <w:r>
        <w:rPr>
          <w:rFonts w:hint="eastAsia"/>
          <w:color w:val="000000" w:themeColor="text1"/>
          <w:szCs w:val="24"/>
        </w:rPr>
        <w:t>TSP、PM</w:t>
      </w:r>
      <w:r>
        <w:rPr>
          <w:rFonts w:hint="eastAsia"/>
          <w:color w:val="000000" w:themeColor="text1"/>
          <w:szCs w:val="24"/>
          <w:vertAlign w:val="subscript"/>
        </w:rPr>
        <w:t>10</w:t>
      </w:r>
      <w:r>
        <w:rPr>
          <w:color w:val="000000" w:themeColor="text1"/>
          <w:szCs w:val="24"/>
        </w:rPr>
        <w:t>本次大气环境影响评价预测因子。</w:t>
      </w:r>
    </w:p>
    <w:p>
      <w:pPr>
        <w:ind w:firstLine="482"/>
        <w:rPr>
          <w:b/>
          <w:bCs/>
          <w:color w:val="000000" w:themeColor="text1"/>
        </w:rPr>
      </w:pPr>
      <w:bookmarkStart w:id="660" w:name="_Toc4358"/>
      <w:r>
        <w:rPr>
          <w:b/>
          <w:bCs/>
          <w:color w:val="000000" w:themeColor="text1"/>
        </w:rPr>
        <w:t>3、预测范围</w:t>
      </w:r>
      <w:bookmarkEnd w:id="660"/>
    </w:p>
    <w:p>
      <w:pPr>
        <w:adjustRightInd w:val="0"/>
        <w:snapToGrid w:val="0"/>
        <w:ind w:firstLine="480"/>
        <w:rPr>
          <w:color w:val="000000" w:themeColor="text1"/>
          <w:szCs w:val="24"/>
          <w:highlight w:val="yellow"/>
        </w:rPr>
      </w:pPr>
      <w:r>
        <w:rPr>
          <w:color w:val="000000" w:themeColor="text1"/>
          <w:szCs w:val="24"/>
        </w:rPr>
        <w:t>根据《环境影响评价技术导则—大气环境》（HJ2.2—2018），根据污染物源强，通过AERSCREEN估算模式进行预测，评价等级为一级，由于AERMOD预测范围适用于≤50km，且D</w:t>
      </w:r>
      <w:r>
        <w:rPr>
          <w:color w:val="000000" w:themeColor="text1"/>
          <w:szCs w:val="24"/>
          <w:vertAlign w:val="subscript"/>
        </w:rPr>
        <w:t>10%</w:t>
      </w:r>
      <w:r>
        <w:rPr>
          <w:color w:val="000000" w:themeColor="text1"/>
          <w:szCs w:val="24"/>
        </w:rPr>
        <w:t>为</w:t>
      </w:r>
      <w:r>
        <w:rPr>
          <w:rFonts w:hint="eastAsia"/>
          <w:color w:val="000000" w:themeColor="text1"/>
          <w:szCs w:val="24"/>
        </w:rPr>
        <w:t>500</w:t>
      </w:r>
      <w:r>
        <w:rPr>
          <w:color w:val="000000" w:themeColor="text1"/>
          <w:szCs w:val="24"/>
        </w:rPr>
        <w:t>m，因此，本次预测范围边长取</w:t>
      </w:r>
      <w:r>
        <w:rPr>
          <w:rFonts w:hint="eastAsia"/>
          <w:color w:val="000000" w:themeColor="text1"/>
          <w:szCs w:val="24"/>
        </w:rPr>
        <w:t>5</w:t>
      </w:r>
      <w:r>
        <w:rPr>
          <w:color w:val="000000" w:themeColor="text1"/>
          <w:szCs w:val="24"/>
        </w:rPr>
        <w:t>km。</w:t>
      </w:r>
    </w:p>
    <w:p>
      <w:pPr>
        <w:ind w:firstLine="482"/>
        <w:rPr>
          <w:b/>
          <w:bCs/>
          <w:color w:val="000000" w:themeColor="text1"/>
        </w:rPr>
      </w:pPr>
      <w:bookmarkStart w:id="661" w:name="_Toc23011"/>
      <w:r>
        <w:rPr>
          <w:b/>
          <w:bCs/>
          <w:color w:val="000000" w:themeColor="text1"/>
        </w:rPr>
        <w:t>4、计算点</w:t>
      </w:r>
      <w:bookmarkEnd w:id="661"/>
    </w:p>
    <w:p>
      <w:pPr>
        <w:adjustRightInd w:val="0"/>
        <w:snapToGrid w:val="0"/>
        <w:ind w:firstLine="480"/>
        <w:rPr>
          <w:color w:val="000000" w:themeColor="text1"/>
          <w:szCs w:val="24"/>
        </w:rPr>
      </w:pPr>
      <w:r>
        <w:rPr>
          <w:color w:val="000000" w:themeColor="text1"/>
          <w:szCs w:val="24"/>
        </w:rPr>
        <w:t>计算点分为三类：环境空气敏感点、预测范围内的网格点以及区域最大地面浓度点。环境空气敏感点为所有环境空气保护目标，由于AMERMOD模式预测计算点不能超过3万个，同时结合《环境影响评价技术导则-大气环境》（HJ2.2-2018）网格点的布设要求，本次预测计算点如下：</w:t>
      </w:r>
    </w:p>
    <w:p>
      <w:pPr>
        <w:adjustRightInd w:val="0"/>
        <w:snapToGrid w:val="0"/>
        <w:ind w:firstLine="480"/>
        <w:rPr>
          <w:color w:val="000000" w:themeColor="text1"/>
          <w:szCs w:val="24"/>
        </w:rPr>
      </w:pPr>
      <w:r>
        <w:rPr>
          <w:color w:val="000000" w:themeColor="text1"/>
          <w:szCs w:val="24"/>
        </w:rPr>
        <w:t>短期浓度和长期浓度：采用整个预测范围（</w:t>
      </w:r>
      <w:r>
        <w:rPr>
          <w:rFonts w:hint="eastAsia"/>
          <w:color w:val="000000" w:themeColor="text1"/>
          <w:szCs w:val="24"/>
        </w:rPr>
        <w:t>5</w:t>
      </w:r>
      <w:r>
        <w:rPr>
          <w:color w:val="000000" w:themeColor="text1"/>
          <w:szCs w:val="24"/>
        </w:rPr>
        <w:t>*</w:t>
      </w:r>
      <w:r>
        <w:rPr>
          <w:rFonts w:hint="eastAsia"/>
          <w:color w:val="000000" w:themeColor="text1"/>
          <w:szCs w:val="24"/>
        </w:rPr>
        <w:t>5</w:t>
      </w:r>
      <w:r>
        <w:rPr>
          <w:color w:val="000000" w:themeColor="text1"/>
          <w:szCs w:val="24"/>
        </w:rPr>
        <w:t>km范围）进行预测，共</w:t>
      </w:r>
      <w:r>
        <w:rPr>
          <w:rFonts w:hint="eastAsia"/>
          <w:color w:val="000000" w:themeColor="text1"/>
          <w:szCs w:val="24"/>
        </w:rPr>
        <w:t>4148</w:t>
      </w:r>
      <w:r>
        <w:rPr>
          <w:color w:val="000000" w:themeColor="text1"/>
          <w:szCs w:val="24"/>
        </w:rPr>
        <w:t>个点。</w:t>
      </w:r>
    </w:p>
    <w:p>
      <w:pPr>
        <w:ind w:firstLine="482"/>
        <w:rPr>
          <w:b/>
          <w:bCs/>
          <w:color w:val="000000" w:themeColor="text1"/>
        </w:rPr>
      </w:pPr>
      <w:bookmarkStart w:id="662" w:name="_Toc6208"/>
      <w:r>
        <w:rPr>
          <w:b/>
          <w:bCs/>
          <w:color w:val="000000" w:themeColor="text1"/>
        </w:rPr>
        <w:t>5、污染源参数以及背景浓度的处理</w:t>
      </w:r>
      <w:bookmarkEnd w:id="662"/>
    </w:p>
    <w:p>
      <w:pPr>
        <w:ind w:firstLine="480"/>
        <w:rPr>
          <w:color w:val="000000" w:themeColor="text1"/>
          <w:szCs w:val="24"/>
        </w:rPr>
      </w:pPr>
      <w:r>
        <w:rPr>
          <w:color w:val="000000" w:themeColor="text1"/>
          <w:szCs w:val="24"/>
        </w:rPr>
        <w:t>按照《环境影响评价技术导则-大气环境》（HJ2.2-2018）对本项目的所有有组织排放源和无组织排放源进行预测分析，预测包括本项目空气污染物地面浓度；项目</w:t>
      </w:r>
      <w:r>
        <w:rPr>
          <w:rFonts w:hint="eastAsia"/>
          <w:color w:val="000000" w:themeColor="text1"/>
          <w:szCs w:val="24"/>
        </w:rPr>
        <w:t>PM</w:t>
      </w:r>
      <w:r>
        <w:rPr>
          <w:rFonts w:hint="eastAsia"/>
          <w:color w:val="000000" w:themeColor="text1"/>
          <w:szCs w:val="24"/>
          <w:vertAlign w:val="subscript"/>
        </w:rPr>
        <w:t>10</w:t>
      </w:r>
      <w:r>
        <w:rPr>
          <w:color w:val="000000" w:themeColor="text1"/>
          <w:szCs w:val="24"/>
        </w:rPr>
        <w:t>有全年监测背景值</w:t>
      </w:r>
      <w:r>
        <w:rPr>
          <w:rFonts w:hint="eastAsia"/>
          <w:color w:val="000000" w:themeColor="text1"/>
          <w:szCs w:val="24"/>
        </w:rPr>
        <w:t>（新平县自动站监测值）</w:t>
      </w:r>
      <w:r>
        <w:rPr>
          <w:color w:val="000000" w:themeColor="text1"/>
          <w:szCs w:val="24"/>
        </w:rPr>
        <w:t>作为保护目标及网格点环境质量现状浓度，</w:t>
      </w:r>
      <w:r>
        <w:rPr>
          <w:rFonts w:hint="eastAsia"/>
          <w:color w:val="000000" w:themeColor="text1"/>
          <w:szCs w:val="24"/>
        </w:rPr>
        <w:t>24小时背景值为自动监测站日均监测值，年均背景值根据日均值生成的年均背景值，TSP</w:t>
      </w:r>
      <w:r>
        <w:rPr>
          <w:color w:val="000000" w:themeColor="text1"/>
          <w:szCs w:val="24"/>
        </w:rPr>
        <w:t>无全年监测的按照补充监测相同时刻各监测点位平均值</w:t>
      </w:r>
      <w:r>
        <w:rPr>
          <w:rFonts w:hint="eastAsia"/>
          <w:color w:val="000000" w:themeColor="text1"/>
          <w:szCs w:val="24"/>
        </w:rPr>
        <w:t>的最大值</w:t>
      </w:r>
      <w:r>
        <w:rPr>
          <w:color w:val="000000" w:themeColor="text1"/>
          <w:szCs w:val="24"/>
        </w:rPr>
        <w:t>作为保护目标及网格点环境质量现状浓度。</w:t>
      </w:r>
    </w:p>
    <w:p>
      <w:pPr>
        <w:ind w:firstLine="482"/>
        <w:rPr>
          <w:b/>
          <w:bCs/>
          <w:color w:val="000000" w:themeColor="text1"/>
        </w:rPr>
      </w:pPr>
      <w:bookmarkStart w:id="663" w:name="_Toc17791"/>
      <w:r>
        <w:rPr>
          <w:b/>
          <w:bCs/>
          <w:color w:val="000000" w:themeColor="text1"/>
        </w:rPr>
        <w:t>6、地形数据</w:t>
      </w:r>
      <w:bookmarkEnd w:id="663"/>
    </w:p>
    <w:p>
      <w:pPr>
        <w:adjustRightInd w:val="0"/>
        <w:snapToGrid w:val="0"/>
        <w:ind w:firstLine="480"/>
        <w:rPr>
          <w:color w:val="000000" w:themeColor="text1"/>
          <w:szCs w:val="24"/>
          <w:highlight w:val="yellow"/>
        </w:rPr>
      </w:pPr>
      <w:r>
        <w:rPr>
          <w:color w:val="000000" w:themeColor="text1"/>
          <w:szCs w:val="24"/>
        </w:rPr>
        <w:t>从http://srtm.csi.cgiar.org/selection/inputcoor.asp下载90m分辨率地形高程数据文件srtm_57_08.asc，应用GLOBALMapperv10.02，选择完全包含预测范围的区域，选取的范围为西北角（102.246700，24.473990）；东北角（102.740000，24.473990），西南角（102.246700，24.022340）；东南角（102.740000，24.022340）设置为UTM投影，导出生成AERMAP所需的数字高程DEM文件。</w:t>
      </w:r>
    </w:p>
    <w:p>
      <w:pPr>
        <w:ind w:firstLine="482"/>
        <w:rPr>
          <w:b/>
          <w:bCs/>
          <w:color w:val="000000" w:themeColor="text1"/>
        </w:rPr>
      </w:pPr>
      <w:bookmarkStart w:id="664" w:name="_Toc11052"/>
      <w:r>
        <w:rPr>
          <w:b/>
          <w:bCs/>
          <w:color w:val="000000" w:themeColor="text1"/>
        </w:rPr>
        <w:t>7、预测内容</w:t>
      </w:r>
      <w:bookmarkEnd w:id="664"/>
    </w:p>
    <w:p>
      <w:pPr>
        <w:adjustRightInd w:val="0"/>
        <w:snapToGrid w:val="0"/>
        <w:ind w:firstLine="480"/>
        <w:rPr>
          <w:color w:val="000000" w:themeColor="text1"/>
          <w:szCs w:val="24"/>
        </w:rPr>
      </w:pPr>
      <w:r>
        <w:rPr>
          <w:color w:val="000000" w:themeColor="text1"/>
          <w:szCs w:val="24"/>
        </w:rPr>
        <w:t>本项目所在区域为达标区，根据《环境影响评价技术导则—大气环境》（HJ/T2.2-2018），评价工作等级为一级的预测内容如下：</w:t>
      </w:r>
    </w:p>
    <w:p>
      <w:pPr>
        <w:ind w:firstLine="480"/>
        <w:rPr>
          <w:color w:val="000000" w:themeColor="text1"/>
        </w:rPr>
      </w:pPr>
      <w:r>
        <w:rPr>
          <w:rFonts w:hint="eastAsia"/>
          <w:color w:val="000000" w:themeColor="text1"/>
          <w:szCs w:val="24"/>
        </w:rPr>
        <w:t>（1）</w:t>
      </w:r>
      <w:r>
        <w:rPr>
          <w:color w:val="000000" w:themeColor="text1"/>
          <w:szCs w:val="24"/>
        </w:rPr>
        <w:t>项目正常排放条件下，预测环境空气保护目标和网格点主要污染物的短期浓度和长期浓度贡献值，评价其最大浓度占标率的达标情况</w:t>
      </w:r>
      <w:r>
        <w:rPr>
          <w:color w:val="000000" w:themeColor="text1"/>
        </w:rPr>
        <w:t xml:space="preserve">； </w:t>
      </w:r>
    </w:p>
    <w:p>
      <w:pPr>
        <w:ind w:firstLine="480"/>
        <w:rPr>
          <w:color w:val="000000" w:themeColor="text1"/>
          <w:szCs w:val="24"/>
        </w:rPr>
      </w:pPr>
      <w:r>
        <w:rPr>
          <w:rFonts w:hint="eastAsia"/>
          <w:color w:val="000000" w:themeColor="text1"/>
          <w:szCs w:val="24"/>
        </w:rPr>
        <w:t>（2）</w:t>
      </w:r>
      <w:r>
        <w:rPr>
          <w:color w:val="000000" w:themeColor="text1"/>
          <w:szCs w:val="24"/>
        </w:rPr>
        <w:t>项目正常排放条件下，预测评价</w:t>
      </w:r>
      <w:r>
        <w:rPr>
          <w:rFonts w:hint="eastAsia"/>
          <w:color w:val="000000" w:themeColor="text1"/>
          <w:szCs w:val="24"/>
        </w:rPr>
        <w:t>叠加环境空气质量现状浓度后，环境空气保护目标和网格点主要污染物的保证率日平均质量浓度和年平均质量浓度的达标情况。对于项目排放的主要污染物仅有短期浓度限值的，评价其短期浓度叠加后的达标情况。</w:t>
      </w:r>
    </w:p>
    <w:p>
      <w:pPr>
        <w:ind w:firstLine="480"/>
        <w:rPr>
          <w:color w:val="000000" w:themeColor="text1"/>
        </w:rPr>
      </w:pPr>
      <w:r>
        <w:rPr>
          <w:rFonts w:hint="eastAsia"/>
          <w:color w:val="000000" w:themeColor="text1"/>
        </w:rPr>
        <w:t>（3）</w:t>
      </w:r>
      <w:r>
        <w:rPr>
          <w:color w:val="000000" w:themeColor="text1"/>
        </w:rPr>
        <w:t>在基础底图上绘制各污染物短期质量浓度分布图、保证率日均质量浓度分布图、年均质量分布图。</w:t>
      </w:r>
    </w:p>
    <w:p>
      <w:pPr>
        <w:ind w:firstLine="480"/>
        <w:rPr>
          <w:color w:val="000000" w:themeColor="text1"/>
        </w:rPr>
      </w:pPr>
      <w:r>
        <w:rPr>
          <w:rFonts w:hint="eastAsia"/>
          <w:color w:val="000000" w:themeColor="text1"/>
        </w:rPr>
        <w:t>（4）</w:t>
      </w:r>
      <w:r>
        <w:rPr>
          <w:color w:val="000000" w:themeColor="text1"/>
        </w:rPr>
        <w:t>在基础底图上绘制最终确定的大气环境防护区域，并标示大气环境防护距离预测网格，厂界污染物浓度贡献浓度，超标区域及大气环境防护距离的确定。</w:t>
      </w:r>
    </w:p>
    <w:p>
      <w:pPr>
        <w:ind w:firstLine="480"/>
        <w:rPr>
          <w:b/>
          <w:color w:val="000000" w:themeColor="text1"/>
          <w:sz w:val="21"/>
          <w:szCs w:val="21"/>
        </w:rPr>
      </w:pPr>
      <w:r>
        <w:rPr>
          <w:rFonts w:hint="eastAsia"/>
          <w:color w:val="000000" w:themeColor="text1"/>
          <w:szCs w:val="24"/>
        </w:rPr>
        <w:t>（5）</w:t>
      </w:r>
      <w:r>
        <w:rPr>
          <w:color w:val="000000" w:themeColor="text1"/>
          <w:szCs w:val="24"/>
        </w:rPr>
        <w:t>非正常排放情况下，预测评价环境空气保护目标和网格点主要污染物1h最大浓度贡献值及占标率。</w:t>
      </w:r>
    </w:p>
    <w:p>
      <w:pPr>
        <w:ind w:firstLine="422"/>
        <w:jc w:val="center"/>
        <w:rPr>
          <w:color w:val="000000" w:themeColor="text1"/>
          <w:sz w:val="21"/>
          <w:szCs w:val="21"/>
        </w:rPr>
      </w:pPr>
      <w:r>
        <w:rPr>
          <w:b/>
          <w:color w:val="000000" w:themeColor="text1"/>
          <w:sz w:val="21"/>
          <w:szCs w:val="21"/>
        </w:rPr>
        <w:t>表</w:t>
      </w:r>
      <w:r>
        <w:rPr>
          <w:rFonts w:hint="eastAsia"/>
          <w:b/>
          <w:color w:val="000000" w:themeColor="text1"/>
          <w:sz w:val="21"/>
          <w:szCs w:val="21"/>
        </w:rPr>
        <w:t>6</w:t>
      </w:r>
      <w:r>
        <w:rPr>
          <w:b/>
          <w:color w:val="000000" w:themeColor="text1"/>
          <w:sz w:val="21"/>
          <w:szCs w:val="21"/>
        </w:rPr>
        <w:t>.2-1</w:t>
      </w:r>
      <w:r>
        <w:rPr>
          <w:rFonts w:hint="eastAsia"/>
          <w:b/>
          <w:color w:val="000000" w:themeColor="text1"/>
          <w:sz w:val="21"/>
          <w:szCs w:val="21"/>
        </w:rPr>
        <w:t>8</w:t>
      </w:r>
      <w:r>
        <w:rPr>
          <w:b/>
          <w:color w:val="000000" w:themeColor="text1"/>
          <w:sz w:val="21"/>
          <w:szCs w:val="21"/>
        </w:rPr>
        <w:t>正常工况环境空气影响预测计算方案</w:t>
      </w:r>
    </w:p>
    <w:tbl>
      <w:tblPr>
        <w:tblStyle w:val="61"/>
        <w:tblW w:w="852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85"/>
        <w:gridCol w:w="903"/>
        <w:gridCol w:w="1512"/>
        <w:gridCol w:w="927"/>
        <w:gridCol w:w="1486"/>
        <w:gridCol w:w="1191"/>
        <w:gridCol w:w="141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tblHeader/>
          <w:jc w:val="center"/>
        </w:trPr>
        <w:tc>
          <w:tcPr>
            <w:tcW w:w="1085" w:type="dxa"/>
            <w:vMerge w:val="restart"/>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r>
              <w:rPr>
                <w:color w:val="000000" w:themeColor="text1"/>
                <w:sz w:val="21"/>
                <w:szCs w:val="21"/>
              </w:rPr>
              <w:t>预测因子</w:t>
            </w:r>
          </w:p>
        </w:tc>
        <w:tc>
          <w:tcPr>
            <w:tcW w:w="2415" w:type="dxa"/>
            <w:gridSpan w:val="2"/>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r>
              <w:rPr>
                <w:color w:val="000000" w:themeColor="text1"/>
                <w:sz w:val="21"/>
                <w:szCs w:val="21"/>
              </w:rPr>
              <w:t>1小时平均</w:t>
            </w:r>
          </w:p>
        </w:tc>
        <w:tc>
          <w:tcPr>
            <w:tcW w:w="2413" w:type="dxa"/>
            <w:gridSpan w:val="2"/>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r>
              <w:rPr>
                <w:color w:val="000000" w:themeColor="text1"/>
                <w:sz w:val="21"/>
                <w:szCs w:val="21"/>
              </w:rPr>
              <w:t>24小时平均</w:t>
            </w:r>
          </w:p>
        </w:tc>
        <w:tc>
          <w:tcPr>
            <w:tcW w:w="2609" w:type="dxa"/>
            <w:gridSpan w:val="2"/>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r>
              <w:rPr>
                <w:color w:val="000000" w:themeColor="text1"/>
                <w:sz w:val="21"/>
                <w:szCs w:val="21"/>
              </w:rPr>
              <w:t>年平均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tblHeader/>
          <w:jc w:val="center"/>
        </w:trPr>
        <w:tc>
          <w:tcPr>
            <w:tcW w:w="1085" w:type="dxa"/>
            <w:vMerge w:val="continue"/>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p>
        </w:tc>
        <w:tc>
          <w:tcPr>
            <w:tcW w:w="903"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r>
              <w:rPr>
                <w:color w:val="000000" w:themeColor="text1"/>
                <w:sz w:val="21"/>
                <w:szCs w:val="21"/>
              </w:rPr>
              <w:t>贡献值</w:t>
            </w:r>
          </w:p>
        </w:tc>
        <w:tc>
          <w:tcPr>
            <w:tcW w:w="1512"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r>
              <w:rPr>
                <w:color w:val="000000" w:themeColor="text1"/>
                <w:sz w:val="21"/>
                <w:szCs w:val="21"/>
              </w:rPr>
              <w:t>叠加背景值</w:t>
            </w:r>
          </w:p>
        </w:tc>
        <w:tc>
          <w:tcPr>
            <w:tcW w:w="927"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r>
              <w:rPr>
                <w:color w:val="000000" w:themeColor="text1"/>
                <w:sz w:val="21"/>
                <w:szCs w:val="21"/>
              </w:rPr>
              <w:t>贡献值</w:t>
            </w:r>
          </w:p>
        </w:tc>
        <w:tc>
          <w:tcPr>
            <w:tcW w:w="1486"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r>
              <w:rPr>
                <w:color w:val="000000" w:themeColor="text1"/>
                <w:sz w:val="21"/>
                <w:szCs w:val="21"/>
              </w:rPr>
              <w:t>保证率下叠加背景值</w:t>
            </w:r>
          </w:p>
        </w:tc>
        <w:tc>
          <w:tcPr>
            <w:tcW w:w="1191"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r>
              <w:rPr>
                <w:color w:val="000000" w:themeColor="text1"/>
                <w:sz w:val="21"/>
                <w:szCs w:val="21"/>
              </w:rPr>
              <w:t>贡献值</w:t>
            </w:r>
          </w:p>
        </w:tc>
        <w:tc>
          <w:tcPr>
            <w:tcW w:w="1418"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r>
              <w:rPr>
                <w:color w:val="000000" w:themeColor="text1"/>
                <w:sz w:val="21"/>
                <w:szCs w:val="21"/>
              </w:rPr>
              <w:t>叠加背景值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8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color w:val="000000" w:themeColor="text1"/>
                <w:sz w:val="21"/>
                <w:szCs w:val="21"/>
              </w:rPr>
            </w:pPr>
            <w:r>
              <w:rPr>
                <w:rFonts w:hint="eastAsia"/>
                <w:color w:val="000000" w:themeColor="text1"/>
                <w:sz w:val="21"/>
                <w:szCs w:val="21"/>
              </w:rPr>
              <w:t>TSP</w:t>
            </w:r>
          </w:p>
        </w:tc>
        <w:tc>
          <w:tcPr>
            <w:tcW w:w="903"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lang w:eastAsia="zh-CN"/>
              </w:rPr>
            </w:pPr>
            <w:r>
              <w:rPr>
                <w:rFonts w:hint="eastAsia"/>
                <w:color w:val="000000" w:themeColor="text1"/>
                <w:sz w:val="21"/>
                <w:szCs w:val="21"/>
                <w:lang w:eastAsia="zh-CN"/>
              </w:rPr>
              <w:t>-</w:t>
            </w:r>
          </w:p>
        </w:tc>
        <w:tc>
          <w:tcPr>
            <w:tcW w:w="1512"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lang w:eastAsia="zh-CN"/>
              </w:rPr>
            </w:pPr>
            <w:r>
              <w:rPr>
                <w:rFonts w:hint="eastAsia"/>
                <w:color w:val="000000" w:themeColor="text1"/>
                <w:sz w:val="21"/>
                <w:szCs w:val="21"/>
                <w:lang w:eastAsia="zh-CN"/>
              </w:rPr>
              <w:t>-</w:t>
            </w:r>
          </w:p>
        </w:tc>
        <w:tc>
          <w:tcPr>
            <w:tcW w:w="927"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lang w:eastAsia="zh-CN"/>
              </w:rPr>
            </w:pPr>
            <w:r>
              <w:rPr>
                <w:color w:val="000000" w:themeColor="text1"/>
                <w:sz w:val="21"/>
                <w:szCs w:val="21"/>
              </w:rPr>
              <w:t>√</w:t>
            </w:r>
          </w:p>
        </w:tc>
        <w:tc>
          <w:tcPr>
            <w:tcW w:w="1486"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r>
              <w:rPr>
                <w:color w:val="000000" w:themeColor="text1"/>
                <w:sz w:val="21"/>
                <w:szCs w:val="21"/>
              </w:rPr>
              <w:t>√</w:t>
            </w:r>
          </w:p>
        </w:tc>
        <w:tc>
          <w:tcPr>
            <w:tcW w:w="1191"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lang w:eastAsia="zh-CN"/>
              </w:rPr>
            </w:pPr>
            <w:r>
              <w:rPr>
                <w:color w:val="000000" w:themeColor="text1"/>
                <w:sz w:val="21"/>
                <w:szCs w:val="21"/>
              </w:rPr>
              <w:t>√</w:t>
            </w:r>
          </w:p>
        </w:tc>
        <w:tc>
          <w:tcPr>
            <w:tcW w:w="1418"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lang w:eastAsia="zh-CN"/>
              </w:rPr>
            </w:pPr>
            <w:r>
              <w:rPr>
                <w:rFonts w:hint="eastAsia"/>
                <w:color w:val="000000" w:themeColor="text1"/>
                <w:sz w:val="21"/>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108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color w:val="000000" w:themeColor="text1"/>
                <w:sz w:val="21"/>
                <w:szCs w:val="21"/>
              </w:rPr>
            </w:pPr>
            <w:r>
              <w:rPr>
                <w:rFonts w:hint="eastAsia"/>
                <w:color w:val="000000" w:themeColor="text1"/>
                <w:sz w:val="21"/>
                <w:szCs w:val="21"/>
              </w:rPr>
              <w:t>PM</w:t>
            </w:r>
            <w:r>
              <w:rPr>
                <w:rFonts w:hint="eastAsia"/>
                <w:color w:val="000000" w:themeColor="text1"/>
                <w:sz w:val="21"/>
                <w:szCs w:val="21"/>
                <w:vertAlign w:val="subscript"/>
              </w:rPr>
              <w:t>10</w:t>
            </w:r>
          </w:p>
        </w:tc>
        <w:tc>
          <w:tcPr>
            <w:tcW w:w="903"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lang w:eastAsia="zh-CN"/>
              </w:rPr>
            </w:pPr>
            <w:r>
              <w:rPr>
                <w:rFonts w:hint="eastAsia"/>
                <w:color w:val="000000" w:themeColor="text1"/>
                <w:sz w:val="21"/>
                <w:szCs w:val="21"/>
                <w:lang w:eastAsia="zh-CN"/>
              </w:rPr>
              <w:t>-</w:t>
            </w:r>
          </w:p>
        </w:tc>
        <w:tc>
          <w:tcPr>
            <w:tcW w:w="1512"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lang w:eastAsia="zh-CN"/>
              </w:rPr>
            </w:pPr>
            <w:r>
              <w:rPr>
                <w:rFonts w:hint="eastAsia"/>
                <w:color w:val="000000" w:themeColor="text1"/>
                <w:sz w:val="21"/>
                <w:szCs w:val="21"/>
                <w:lang w:eastAsia="zh-CN"/>
              </w:rPr>
              <w:t>-</w:t>
            </w:r>
          </w:p>
        </w:tc>
        <w:tc>
          <w:tcPr>
            <w:tcW w:w="927"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lang w:eastAsia="zh-CN"/>
              </w:rPr>
            </w:pPr>
            <w:r>
              <w:rPr>
                <w:color w:val="000000" w:themeColor="text1"/>
                <w:sz w:val="21"/>
                <w:szCs w:val="21"/>
              </w:rPr>
              <w:t>√</w:t>
            </w:r>
          </w:p>
        </w:tc>
        <w:tc>
          <w:tcPr>
            <w:tcW w:w="1486"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r>
              <w:rPr>
                <w:color w:val="000000" w:themeColor="text1"/>
                <w:sz w:val="21"/>
                <w:szCs w:val="21"/>
              </w:rPr>
              <w:t>√</w:t>
            </w:r>
          </w:p>
        </w:tc>
        <w:tc>
          <w:tcPr>
            <w:tcW w:w="1191"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lang w:eastAsia="zh-CN"/>
              </w:rPr>
            </w:pPr>
            <w:r>
              <w:rPr>
                <w:color w:val="000000" w:themeColor="text1"/>
                <w:sz w:val="21"/>
                <w:szCs w:val="21"/>
              </w:rPr>
              <w:t>√</w:t>
            </w:r>
          </w:p>
        </w:tc>
        <w:tc>
          <w:tcPr>
            <w:tcW w:w="1418" w:type="dxa"/>
            <w:tcBorders>
              <w:top w:val="single" w:color="auto" w:sz="4" w:space="0"/>
              <w:left w:val="single" w:color="auto" w:sz="4" w:space="0"/>
              <w:bottom w:val="single" w:color="auto" w:sz="4" w:space="0"/>
              <w:right w:val="single" w:color="auto" w:sz="4" w:space="0"/>
            </w:tcBorders>
            <w:vAlign w:val="center"/>
          </w:tcPr>
          <w:p>
            <w:pPr>
              <w:pStyle w:val="166"/>
              <w:spacing w:line="240" w:lineRule="auto"/>
              <w:ind w:left="0" w:leftChars="0" w:right="0" w:rightChars="0" w:firstLine="0" w:firstLineChars="0"/>
              <w:rPr>
                <w:color w:val="000000" w:themeColor="text1"/>
                <w:sz w:val="21"/>
                <w:szCs w:val="21"/>
              </w:rPr>
            </w:pPr>
            <w:r>
              <w:rPr>
                <w:color w:val="000000" w:themeColor="text1"/>
                <w:sz w:val="21"/>
                <w:szCs w:val="21"/>
              </w:rPr>
              <w:t>√</w:t>
            </w:r>
          </w:p>
        </w:tc>
      </w:tr>
    </w:tbl>
    <w:p>
      <w:pPr>
        <w:spacing w:line="480" w:lineRule="exact"/>
        <w:ind w:firstLine="0" w:firstLineChars="0"/>
        <w:rPr>
          <w:color w:val="000000" w:themeColor="text1"/>
          <w:szCs w:val="24"/>
          <w:highlight w:val="red"/>
        </w:rPr>
      </w:pPr>
    </w:p>
    <w:p>
      <w:pPr>
        <w:pStyle w:val="19"/>
        <w:ind w:firstLine="482"/>
        <w:rPr>
          <w:b/>
          <w:bCs/>
          <w:color w:val="000000" w:themeColor="text1"/>
          <w:lang w:eastAsia="zh-CN"/>
        </w:rPr>
      </w:pPr>
      <w:r>
        <w:rPr>
          <w:rFonts w:hint="eastAsia"/>
          <w:b/>
          <w:bCs/>
          <w:color w:val="000000" w:themeColor="text1"/>
          <w:lang w:eastAsia="zh-CN"/>
        </w:rPr>
        <w:t>四</w:t>
      </w:r>
      <w:r>
        <w:rPr>
          <w:b/>
          <w:bCs/>
          <w:color w:val="000000" w:themeColor="text1"/>
          <w:lang w:eastAsia="zh-CN"/>
        </w:rPr>
        <w:t>、</w:t>
      </w:r>
      <w:r>
        <w:rPr>
          <w:b/>
          <w:bCs/>
          <w:color w:val="000000" w:themeColor="text1"/>
        </w:rPr>
        <w:t>预测</w:t>
      </w:r>
      <w:r>
        <w:rPr>
          <w:rFonts w:hint="eastAsia"/>
          <w:b/>
          <w:bCs/>
          <w:color w:val="000000" w:themeColor="text1"/>
          <w:lang w:eastAsia="zh-CN"/>
        </w:rPr>
        <w:t>结果</w:t>
      </w:r>
    </w:p>
    <w:p>
      <w:pPr>
        <w:ind w:firstLine="480"/>
        <w:rPr>
          <w:color w:val="000000" w:themeColor="text1"/>
        </w:rPr>
      </w:pPr>
      <w:r>
        <w:rPr>
          <w:color w:val="000000" w:themeColor="text1"/>
        </w:rPr>
        <w:t>（1）预测因子</w:t>
      </w:r>
    </w:p>
    <w:p>
      <w:pPr>
        <w:ind w:firstLine="480"/>
        <w:rPr>
          <w:color w:val="000000" w:themeColor="text1"/>
        </w:rPr>
      </w:pPr>
      <w:r>
        <w:rPr>
          <w:color w:val="000000" w:themeColor="text1"/>
        </w:rPr>
        <w:t>根据工程分析，项目有组织污染物预测评价因子PM</w:t>
      </w:r>
      <w:r>
        <w:rPr>
          <w:color w:val="000000" w:themeColor="text1"/>
          <w:vertAlign w:val="subscript"/>
        </w:rPr>
        <w:t>10</w:t>
      </w:r>
      <w:r>
        <w:rPr>
          <w:rFonts w:hint="eastAsia"/>
          <w:color w:val="000000" w:themeColor="text1"/>
        </w:rPr>
        <w:t>，无组织预测评价因子为TSP</w:t>
      </w:r>
      <w:r>
        <w:rPr>
          <w:color w:val="000000" w:themeColor="text1"/>
        </w:rPr>
        <w:t>。</w:t>
      </w:r>
    </w:p>
    <w:p>
      <w:pPr>
        <w:ind w:firstLine="480"/>
        <w:rPr>
          <w:color w:val="000000" w:themeColor="text1"/>
        </w:rPr>
      </w:pPr>
      <w:r>
        <w:rPr>
          <w:color w:val="000000" w:themeColor="text1"/>
        </w:rPr>
        <w:t>（2）预测结果</w:t>
      </w:r>
    </w:p>
    <w:p>
      <w:pPr>
        <w:ind w:firstLine="480"/>
        <w:rPr>
          <w:color w:val="000000" w:themeColor="text1"/>
        </w:rPr>
      </w:pPr>
      <w:r>
        <w:rPr>
          <w:color w:val="000000" w:themeColor="text1"/>
        </w:rPr>
        <w:t>采用《环境影响评价技术导则大气环境》（HJ2.2-2018）中推荐的估算模式，预测结果见下表。</w:t>
      </w:r>
    </w:p>
    <w:p>
      <w:pPr>
        <w:adjustRightInd w:val="0"/>
        <w:snapToGrid w:val="0"/>
        <w:ind w:firstLine="482"/>
        <w:rPr>
          <w:b/>
          <w:bCs/>
          <w:color w:val="000000" w:themeColor="text1"/>
          <w:szCs w:val="24"/>
        </w:rPr>
      </w:pPr>
      <w:r>
        <w:rPr>
          <w:rFonts w:hint="eastAsia"/>
          <w:b/>
          <w:bCs/>
          <w:color w:val="000000" w:themeColor="text1"/>
          <w:szCs w:val="24"/>
        </w:rPr>
        <w:t>1、正常工况预测结果</w:t>
      </w:r>
    </w:p>
    <w:p>
      <w:pPr>
        <w:adjustRightInd w:val="0"/>
        <w:snapToGrid w:val="0"/>
        <w:ind w:firstLine="482"/>
        <w:rPr>
          <w:b/>
          <w:bCs/>
          <w:color w:val="000000" w:themeColor="text1"/>
          <w:szCs w:val="24"/>
        </w:rPr>
      </w:pPr>
      <w:r>
        <w:rPr>
          <w:rFonts w:hint="eastAsia"/>
          <w:b/>
          <w:bCs/>
          <w:color w:val="000000" w:themeColor="text1"/>
          <w:szCs w:val="24"/>
        </w:rPr>
        <w:t>（1）PM</w:t>
      </w:r>
      <w:r>
        <w:rPr>
          <w:rFonts w:hint="eastAsia"/>
          <w:b/>
          <w:bCs/>
          <w:color w:val="000000" w:themeColor="text1"/>
          <w:szCs w:val="24"/>
          <w:vertAlign w:val="subscript"/>
        </w:rPr>
        <w:t>10</w:t>
      </w:r>
      <w:r>
        <w:rPr>
          <w:rFonts w:hint="eastAsia"/>
          <w:b/>
          <w:bCs/>
          <w:color w:val="000000" w:themeColor="text1"/>
          <w:szCs w:val="24"/>
        </w:rPr>
        <w:t>预测结果</w:t>
      </w:r>
    </w:p>
    <w:p>
      <w:pPr>
        <w:ind w:firstLine="480"/>
        <w:rPr>
          <w:b/>
          <w:bCs/>
          <w:color w:val="000000" w:themeColor="text1"/>
          <w:sz w:val="21"/>
          <w:szCs w:val="21"/>
        </w:rPr>
      </w:pPr>
      <w:r>
        <w:rPr>
          <w:color w:val="000000" w:themeColor="text1"/>
        </w:rPr>
        <w:t>本次PM</w:t>
      </w:r>
      <w:r>
        <w:rPr>
          <w:color w:val="000000" w:themeColor="text1"/>
          <w:vertAlign w:val="subscript"/>
        </w:rPr>
        <w:t>10</w:t>
      </w:r>
      <w:r>
        <w:rPr>
          <w:color w:val="000000" w:themeColor="text1"/>
        </w:rPr>
        <w:t>按有组织进行预测，对PM</w:t>
      </w:r>
      <w:r>
        <w:rPr>
          <w:color w:val="000000" w:themeColor="text1"/>
          <w:vertAlign w:val="subscript"/>
        </w:rPr>
        <w:t>10</w:t>
      </w:r>
      <w:r>
        <w:rPr>
          <w:color w:val="000000" w:themeColor="text1"/>
        </w:rPr>
        <w:t>日平均和年平均贡献值以及</w:t>
      </w:r>
      <w:r>
        <w:rPr>
          <w:rFonts w:hint="eastAsia"/>
          <w:color w:val="000000" w:themeColor="text1"/>
          <w:szCs w:val="24"/>
        </w:rPr>
        <w:t>叠加环境空气质量现状浓度后环境空气保护目标和网格点主要污染物的保证率日平均质量浓度和年平均质量浓度的达标情况</w:t>
      </w:r>
      <w:r>
        <w:rPr>
          <w:color w:val="000000" w:themeColor="text1"/>
        </w:rPr>
        <w:t>。</w:t>
      </w:r>
    </w:p>
    <w:p>
      <w:pPr>
        <w:adjustRightInd w:val="0"/>
        <w:snapToGrid w:val="0"/>
        <w:ind w:firstLine="0" w:firstLineChars="0"/>
        <w:jc w:val="center"/>
        <w:rPr>
          <w:b/>
          <w:bCs/>
          <w:color w:val="000000" w:themeColor="text1"/>
          <w:sz w:val="21"/>
          <w:szCs w:val="21"/>
        </w:rPr>
      </w:pPr>
      <w:r>
        <w:rPr>
          <w:b/>
          <w:bCs/>
          <w:color w:val="000000" w:themeColor="text1"/>
          <w:sz w:val="21"/>
          <w:szCs w:val="21"/>
        </w:rPr>
        <w:t>表</w:t>
      </w:r>
      <w:r>
        <w:rPr>
          <w:rFonts w:hint="eastAsia"/>
          <w:b/>
          <w:bCs/>
          <w:color w:val="000000" w:themeColor="text1"/>
          <w:sz w:val="21"/>
          <w:szCs w:val="21"/>
        </w:rPr>
        <w:t>6</w:t>
      </w:r>
      <w:r>
        <w:rPr>
          <w:b/>
          <w:bCs/>
          <w:color w:val="000000" w:themeColor="text1"/>
          <w:sz w:val="21"/>
          <w:szCs w:val="21"/>
        </w:rPr>
        <w:t>.2-1</w:t>
      </w:r>
      <w:r>
        <w:rPr>
          <w:rFonts w:hint="eastAsia"/>
          <w:b/>
          <w:bCs/>
          <w:color w:val="000000" w:themeColor="text1"/>
          <w:sz w:val="21"/>
          <w:szCs w:val="21"/>
        </w:rPr>
        <w:t>9</w:t>
      </w:r>
      <w:r>
        <w:rPr>
          <w:b/>
          <w:bCs/>
          <w:color w:val="000000" w:themeColor="text1"/>
          <w:sz w:val="21"/>
          <w:szCs w:val="21"/>
        </w:rPr>
        <w:t>正常工况下PM</w:t>
      </w:r>
      <w:r>
        <w:rPr>
          <w:b/>
          <w:bCs/>
          <w:color w:val="000000" w:themeColor="text1"/>
          <w:sz w:val="21"/>
          <w:szCs w:val="21"/>
          <w:vertAlign w:val="subscript"/>
        </w:rPr>
        <w:t>10</w:t>
      </w:r>
      <w:r>
        <w:rPr>
          <w:rFonts w:hint="eastAsia"/>
          <w:b/>
          <w:bCs/>
          <w:color w:val="000000" w:themeColor="text1"/>
          <w:sz w:val="21"/>
          <w:szCs w:val="21"/>
        </w:rPr>
        <w:t>日均</w:t>
      </w:r>
      <w:r>
        <w:rPr>
          <w:b/>
          <w:bCs/>
          <w:color w:val="000000" w:themeColor="text1"/>
          <w:sz w:val="21"/>
          <w:szCs w:val="21"/>
        </w:rPr>
        <w:t>贡献质量浓度预测结果表</w:t>
      </w:r>
    </w:p>
    <w:tbl>
      <w:tblPr>
        <w:tblStyle w:val="62"/>
        <w:tblW w:w="8303"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783"/>
        <w:gridCol w:w="783"/>
        <w:gridCol w:w="784"/>
        <w:gridCol w:w="784"/>
        <w:gridCol w:w="783"/>
        <w:gridCol w:w="1326"/>
        <w:gridCol w:w="1492"/>
        <w:gridCol w:w="784"/>
        <w:gridCol w:w="78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PrEx>
        <w:trPr>
          <w:trHeight w:val="319" w:hRule="atLeast"/>
          <w:jc w:val="center"/>
        </w:trPr>
        <w:tc>
          <w:tcPr>
            <w:tcW w:w="783"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污染物</w:t>
            </w:r>
          </w:p>
        </w:tc>
        <w:tc>
          <w:tcPr>
            <w:tcW w:w="783"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预测点</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X/</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Y/</w:t>
            </w:r>
          </w:p>
        </w:tc>
        <w:tc>
          <w:tcPr>
            <w:tcW w:w="783"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平均</w:t>
            </w:r>
          </w:p>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时段</w:t>
            </w: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最大贡献值/</w:t>
            </w:r>
          </w:p>
        </w:tc>
        <w:tc>
          <w:tcPr>
            <w:tcW w:w="1492"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出现时间</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占标率/</w:t>
            </w:r>
          </w:p>
        </w:tc>
        <w:tc>
          <w:tcPr>
            <w:tcW w:w="784"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19" w:hRule="atLeast"/>
          <w:jc w:val="center"/>
        </w:trPr>
        <w:tc>
          <w:tcPr>
            <w:tcW w:w="783"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3"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m</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m</w:t>
            </w:r>
          </w:p>
        </w:tc>
        <w:tc>
          <w:tcPr>
            <w:tcW w:w="783"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(μg/m³)</w:t>
            </w:r>
          </w:p>
        </w:tc>
        <w:tc>
          <w:tcPr>
            <w:tcW w:w="1492"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w:t>
            </w:r>
          </w:p>
        </w:tc>
        <w:tc>
          <w:tcPr>
            <w:tcW w:w="784"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19" w:hRule="atLeast"/>
          <w:jc w:val="center"/>
        </w:trPr>
        <w:tc>
          <w:tcPr>
            <w:tcW w:w="783"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PM</w:t>
            </w:r>
            <w:r>
              <w:rPr>
                <w:color w:val="000000" w:themeColor="text1"/>
                <w:sz w:val="21"/>
                <w:vertAlign w:val="subscript"/>
              </w:rPr>
              <w:t>10</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东磨村</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-2,028</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-655</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0.0523</w:t>
            </w:r>
          </w:p>
        </w:tc>
        <w:tc>
          <w:tcPr>
            <w:tcW w:w="149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2020/12/20</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0.0349</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19" w:hRule="atLeast"/>
          <w:jc w:val="center"/>
        </w:trPr>
        <w:tc>
          <w:tcPr>
            <w:tcW w:w="78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速都</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-2,024</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-2,476</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0.0350</w:t>
            </w:r>
          </w:p>
        </w:tc>
        <w:tc>
          <w:tcPr>
            <w:tcW w:w="149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2020/10/17</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0.0233</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19" w:hRule="atLeast"/>
          <w:jc w:val="center"/>
        </w:trPr>
        <w:tc>
          <w:tcPr>
            <w:tcW w:w="78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絮波陡</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1,462</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-2,544</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0.0003</w:t>
            </w:r>
          </w:p>
        </w:tc>
        <w:tc>
          <w:tcPr>
            <w:tcW w:w="149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2020/08/06</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0.0002</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19" w:hRule="atLeast"/>
          <w:jc w:val="center"/>
        </w:trPr>
        <w:tc>
          <w:tcPr>
            <w:tcW w:w="78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小红山</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2,196</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2,160</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0.0160</w:t>
            </w:r>
          </w:p>
        </w:tc>
        <w:tc>
          <w:tcPr>
            <w:tcW w:w="149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2020/08/06</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0.0106</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19" w:hRule="atLeast"/>
          <w:jc w:val="center"/>
        </w:trPr>
        <w:tc>
          <w:tcPr>
            <w:tcW w:w="78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曼湾</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-1,611</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-2,855</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0.0199</w:t>
            </w:r>
          </w:p>
        </w:tc>
        <w:tc>
          <w:tcPr>
            <w:tcW w:w="149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2020/07/20</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0.0132</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19" w:hRule="atLeast"/>
          <w:jc w:val="center"/>
        </w:trPr>
        <w:tc>
          <w:tcPr>
            <w:tcW w:w="78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大平掌</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1,669</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755</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0.0078</w:t>
            </w:r>
          </w:p>
        </w:tc>
        <w:tc>
          <w:tcPr>
            <w:tcW w:w="149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2020/12/15</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0.0052</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19" w:hRule="atLeast"/>
          <w:jc w:val="center"/>
        </w:trPr>
        <w:tc>
          <w:tcPr>
            <w:tcW w:w="78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白糯格</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-2,284</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1,404</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0.0338</w:t>
            </w:r>
          </w:p>
        </w:tc>
        <w:tc>
          <w:tcPr>
            <w:tcW w:w="149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2020/10/23</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0.0225</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19" w:hRule="atLeast"/>
          <w:jc w:val="center"/>
        </w:trPr>
        <w:tc>
          <w:tcPr>
            <w:tcW w:w="78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四坡斗村</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805</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724</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0.1290</w:t>
            </w:r>
          </w:p>
        </w:tc>
        <w:tc>
          <w:tcPr>
            <w:tcW w:w="149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2020/10/10</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0.0860</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19" w:hRule="atLeast"/>
          <w:jc w:val="center"/>
        </w:trPr>
        <w:tc>
          <w:tcPr>
            <w:tcW w:w="78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大红山</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1,679</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2,715</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0.0022</w:t>
            </w:r>
          </w:p>
        </w:tc>
        <w:tc>
          <w:tcPr>
            <w:tcW w:w="149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2020/06/26</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0.0015</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19" w:hRule="atLeast"/>
          <w:jc w:val="center"/>
        </w:trPr>
        <w:tc>
          <w:tcPr>
            <w:tcW w:w="78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戛洒镇</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-2,431</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-1,756</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0.0419</w:t>
            </w:r>
          </w:p>
        </w:tc>
        <w:tc>
          <w:tcPr>
            <w:tcW w:w="149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2020/10/17</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0.0279</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19" w:hRule="atLeast"/>
          <w:jc w:val="center"/>
        </w:trPr>
        <w:tc>
          <w:tcPr>
            <w:tcW w:w="78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曼秀</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-1,766</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-2,655</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0.0263</w:t>
            </w:r>
          </w:p>
        </w:tc>
        <w:tc>
          <w:tcPr>
            <w:tcW w:w="149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2020/03/19</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0.0175</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638" w:hRule="atLeast"/>
          <w:jc w:val="center"/>
        </w:trPr>
        <w:tc>
          <w:tcPr>
            <w:tcW w:w="783"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区域最大值</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-200</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1.0326</w:t>
            </w:r>
          </w:p>
        </w:tc>
        <w:tc>
          <w:tcPr>
            <w:tcW w:w="149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2020/12/20</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0.6884</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bl>
    <w:p>
      <w:pPr>
        <w:adjustRightInd w:val="0"/>
        <w:snapToGrid w:val="0"/>
        <w:ind w:firstLine="0" w:firstLineChars="0"/>
        <w:jc w:val="center"/>
        <w:rPr>
          <w:b/>
          <w:bCs/>
          <w:color w:val="000000" w:themeColor="text1"/>
          <w:sz w:val="21"/>
          <w:szCs w:val="21"/>
        </w:rPr>
      </w:pPr>
      <w:r>
        <w:rPr>
          <w:b/>
          <w:bCs/>
          <w:color w:val="000000" w:themeColor="text1"/>
          <w:sz w:val="21"/>
          <w:szCs w:val="21"/>
        </w:rPr>
        <w:t>表</w:t>
      </w:r>
      <w:r>
        <w:rPr>
          <w:rFonts w:hint="eastAsia"/>
          <w:b/>
          <w:bCs/>
          <w:color w:val="000000" w:themeColor="text1"/>
          <w:sz w:val="21"/>
          <w:szCs w:val="21"/>
        </w:rPr>
        <w:t>6</w:t>
      </w:r>
      <w:r>
        <w:rPr>
          <w:b/>
          <w:bCs/>
          <w:color w:val="000000" w:themeColor="text1"/>
          <w:sz w:val="21"/>
          <w:szCs w:val="21"/>
        </w:rPr>
        <w:t>.2-</w:t>
      </w:r>
      <w:r>
        <w:rPr>
          <w:rFonts w:hint="eastAsia"/>
          <w:b/>
          <w:bCs/>
          <w:color w:val="000000" w:themeColor="text1"/>
          <w:sz w:val="21"/>
          <w:szCs w:val="21"/>
        </w:rPr>
        <w:t>20</w:t>
      </w:r>
      <w:r>
        <w:rPr>
          <w:b/>
          <w:bCs/>
          <w:color w:val="000000" w:themeColor="text1"/>
          <w:sz w:val="21"/>
          <w:szCs w:val="21"/>
        </w:rPr>
        <w:t>正常工况下PM</w:t>
      </w:r>
      <w:r>
        <w:rPr>
          <w:b/>
          <w:bCs/>
          <w:color w:val="000000" w:themeColor="text1"/>
          <w:sz w:val="21"/>
          <w:szCs w:val="21"/>
          <w:vertAlign w:val="subscript"/>
        </w:rPr>
        <w:t>10</w:t>
      </w:r>
      <w:r>
        <w:rPr>
          <w:rFonts w:hint="eastAsia"/>
          <w:b/>
          <w:bCs/>
          <w:color w:val="000000" w:themeColor="text1"/>
          <w:sz w:val="21"/>
          <w:szCs w:val="21"/>
        </w:rPr>
        <w:t>年均</w:t>
      </w:r>
      <w:r>
        <w:rPr>
          <w:b/>
          <w:bCs/>
          <w:color w:val="000000" w:themeColor="text1"/>
          <w:sz w:val="21"/>
          <w:szCs w:val="21"/>
        </w:rPr>
        <w:t>贡献质量浓度预测结果表</w:t>
      </w:r>
    </w:p>
    <w:tbl>
      <w:tblPr>
        <w:tblStyle w:val="62"/>
        <w:tblW w:w="8298"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943"/>
        <w:gridCol w:w="902"/>
        <w:gridCol w:w="1031"/>
        <w:gridCol w:w="1031"/>
        <w:gridCol w:w="902"/>
        <w:gridCol w:w="1518"/>
        <w:gridCol w:w="1068"/>
        <w:gridCol w:w="9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污染物</w:t>
            </w:r>
          </w:p>
        </w:tc>
        <w:tc>
          <w:tcPr>
            <w:tcW w:w="902"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预测点</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X/</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Y/</w:t>
            </w:r>
          </w:p>
        </w:tc>
        <w:tc>
          <w:tcPr>
            <w:tcW w:w="902"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平均</w:t>
            </w:r>
          </w:p>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时段</w:t>
            </w: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最大贡献值/</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占标率/</w:t>
            </w:r>
          </w:p>
        </w:tc>
        <w:tc>
          <w:tcPr>
            <w:tcW w:w="903"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02"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m</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m</w:t>
            </w:r>
          </w:p>
        </w:tc>
        <w:tc>
          <w:tcPr>
            <w:tcW w:w="902"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(μg/m³)</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903"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PM</w:t>
            </w:r>
            <w:r>
              <w:rPr>
                <w:color w:val="000000" w:themeColor="text1"/>
                <w:sz w:val="21"/>
                <w:szCs w:val="21"/>
                <w:vertAlign w:val="subscript"/>
              </w:rPr>
              <w:t>10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东磨村</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-2,028</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-655</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0.0039</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0.0056</w:t>
            </w:r>
          </w:p>
        </w:tc>
        <w:tc>
          <w:tcPr>
            <w:tcW w:w="90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速都</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-2,024</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-2,476</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0.0021</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0.0030</w:t>
            </w:r>
          </w:p>
        </w:tc>
        <w:tc>
          <w:tcPr>
            <w:tcW w:w="90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絮波陡</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1,462</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-2,544</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0.0000</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0.0000</w:t>
            </w:r>
          </w:p>
        </w:tc>
        <w:tc>
          <w:tcPr>
            <w:tcW w:w="90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小红山</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2,196</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2,160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0.0031</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0.0044</w:t>
            </w:r>
          </w:p>
        </w:tc>
        <w:tc>
          <w:tcPr>
            <w:tcW w:w="90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曼湾</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-1,611</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-2,855</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0.0017</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0.0024</w:t>
            </w:r>
          </w:p>
        </w:tc>
        <w:tc>
          <w:tcPr>
            <w:tcW w:w="90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大平掌</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1,669</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755</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0.0021</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0.0031</w:t>
            </w:r>
          </w:p>
        </w:tc>
        <w:tc>
          <w:tcPr>
            <w:tcW w:w="90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白糯格</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-2,284</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1,404</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0.0020</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0.0029</w:t>
            </w:r>
          </w:p>
        </w:tc>
        <w:tc>
          <w:tcPr>
            <w:tcW w:w="90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四坡斗村</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805</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724</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0.0282</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0.0402</w:t>
            </w:r>
          </w:p>
        </w:tc>
        <w:tc>
          <w:tcPr>
            <w:tcW w:w="90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大红山</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1,679</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2,715</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0.0003</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0.0004</w:t>
            </w:r>
          </w:p>
        </w:tc>
        <w:tc>
          <w:tcPr>
            <w:tcW w:w="90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戛洒镇</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-2,431</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-1,756</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0.0025</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0.0036</w:t>
            </w:r>
          </w:p>
        </w:tc>
        <w:tc>
          <w:tcPr>
            <w:tcW w:w="90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曼秀</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-1,766</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-2,655</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0.0020</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0.0028</w:t>
            </w:r>
          </w:p>
        </w:tc>
        <w:tc>
          <w:tcPr>
            <w:tcW w:w="90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943"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区域最大值</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100</w:t>
            </w:r>
          </w:p>
        </w:tc>
        <w:tc>
          <w:tcPr>
            <w:tcW w:w="103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51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0.2805</w:t>
            </w:r>
          </w:p>
        </w:tc>
        <w:tc>
          <w:tcPr>
            <w:tcW w:w="106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0.4008</w:t>
            </w:r>
          </w:p>
        </w:tc>
        <w:tc>
          <w:tcPr>
            <w:tcW w:w="90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bl>
    <w:p>
      <w:pPr>
        <w:adjustRightInd w:val="0"/>
        <w:snapToGrid w:val="0"/>
        <w:ind w:firstLine="0" w:firstLineChars="0"/>
        <w:jc w:val="center"/>
        <w:rPr>
          <w:color w:val="000000" w:themeColor="text1"/>
          <w:szCs w:val="24"/>
        </w:rPr>
      </w:pPr>
      <w:r>
        <w:rPr>
          <w:b/>
          <w:bCs/>
          <w:color w:val="000000" w:themeColor="text1"/>
          <w:sz w:val="21"/>
          <w:szCs w:val="21"/>
        </w:rPr>
        <w:t>表</w:t>
      </w:r>
      <w:r>
        <w:rPr>
          <w:rFonts w:hint="eastAsia"/>
          <w:b/>
          <w:bCs/>
          <w:color w:val="000000" w:themeColor="text1"/>
          <w:sz w:val="21"/>
          <w:szCs w:val="21"/>
        </w:rPr>
        <w:t>6</w:t>
      </w:r>
      <w:r>
        <w:rPr>
          <w:b/>
          <w:bCs/>
          <w:color w:val="000000" w:themeColor="text1"/>
          <w:sz w:val="21"/>
          <w:szCs w:val="21"/>
        </w:rPr>
        <w:t>.2-</w:t>
      </w:r>
      <w:r>
        <w:rPr>
          <w:rFonts w:hint="eastAsia"/>
          <w:b/>
          <w:bCs/>
          <w:color w:val="000000" w:themeColor="text1"/>
          <w:sz w:val="21"/>
          <w:szCs w:val="21"/>
        </w:rPr>
        <w:t>21 PM</w:t>
      </w:r>
      <w:r>
        <w:rPr>
          <w:rFonts w:hint="eastAsia"/>
          <w:b/>
          <w:bCs/>
          <w:color w:val="000000" w:themeColor="text1"/>
          <w:sz w:val="21"/>
          <w:szCs w:val="21"/>
          <w:vertAlign w:val="subscript"/>
        </w:rPr>
        <w:t>10</w:t>
      </w:r>
      <w:r>
        <w:rPr>
          <w:rFonts w:hint="eastAsia"/>
          <w:b/>
          <w:bCs/>
          <w:color w:val="000000" w:themeColor="text1"/>
          <w:sz w:val="21"/>
          <w:szCs w:val="21"/>
        </w:rPr>
        <w:t>24小时95%保证率下叠加背景后环境</w:t>
      </w:r>
      <w:r>
        <w:rPr>
          <w:b/>
          <w:bCs/>
          <w:color w:val="000000" w:themeColor="text1"/>
          <w:sz w:val="21"/>
          <w:szCs w:val="21"/>
        </w:rPr>
        <w:t>质量浓度预测结果表</w:t>
      </w:r>
    </w:p>
    <w:tbl>
      <w:tblPr>
        <w:tblStyle w:val="62"/>
        <w:tblW w:w="8298"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61"/>
        <w:gridCol w:w="558"/>
        <w:gridCol w:w="565"/>
        <w:gridCol w:w="565"/>
        <w:gridCol w:w="710"/>
        <w:gridCol w:w="1145"/>
        <w:gridCol w:w="726"/>
        <w:gridCol w:w="726"/>
        <w:gridCol w:w="726"/>
        <w:gridCol w:w="728"/>
        <w:gridCol w:w="728"/>
        <w:gridCol w:w="5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污染物</w:t>
            </w:r>
          </w:p>
        </w:tc>
        <w:tc>
          <w:tcPr>
            <w:tcW w:w="558"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预测点</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X/</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Y/</w:t>
            </w:r>
          </w:p>
        </w:tc>
        <w:tc>
          <w:tcPr>
            <w:tcW w:w="710"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平均</w:t>
            </w:r>
          </w:p>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时段</w:t>
            </w:r>
          </w:p>
        </w:tc>
        <w:tc>
          <w:tcPr>
            <w:tcW w:w="1145"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出现时间</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贡献值</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占标率</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现状值</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叠加值</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占标率</w:t>
            </w:r>
          </w:p>
        </w:tc>
        <w:tc>
          <w:tcPr>
            <w:tcW w:w="560"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58"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m</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m</w:t>
            </w:r>
          </w:p>
        </w:tc>
        <w:tc>
          <w:tcPr>
            <w:tcW w:w="710"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1145"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(μg/m³)</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(μg/m³)</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(μg/m³)</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560"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PM</w:t>
            </w:r>
            <w:r>
              <w:rPr>
                <w:color w:val="000000" w:themeColor="text1"/>
                <w:sz w:val="21"/>
                <w:szCs w:val="21"/>
                <w:vertAlign w:val="subscript"/>
              </w:rPr>
              <w:t>10</w:t>
            </w:r>
          </w:p>
        </w:tc>
        <w:tc>
          <w:tcPr>
            <w:tcW w:w="55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东磨村</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-2,028</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-655</w:t>
            </w:r>
          </w:p>
        </w:tc>
        <w:tc>
          <w:tcPr>
            <w:tcW w:w="71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1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2020/04/16</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0.0003</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0.0002</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55.0000</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55.0003</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36.6669</w:t>
            </w:r>
          </w:p>
        </w:tc>
        <w:tc>
          <w:tcPr>
            <w:tcW w:w="56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5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速都</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-2,024</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-2,476</w:t>
            </w:r>
          </w:p>
        </w:tc>
        <w:tc>
          <w:tcPr>
            <w:tcW w:w="71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1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2020/04/16</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0.0001</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0.0001</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55.0000</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55.0001</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36.6668</w:t>
            </w:r>
          </w:p>
        </w:tc>
        <w:tc>
          <w:tcPr>
            <w:tcW w:w="56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5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絮波陡</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1,462</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-2,544</w:t>
            </w:r>
          </w:p>
        </w:tc>
        <w:tc>
          <w:tcPr>
            <w:tcW w:w="71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1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2020/04/16</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0.0000</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0.0000</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55.0000</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55.0000</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36.6667</w:t>
            </w:r>
          </w:p>
        </w:tc>
        <w:tc>
          <w:tcPr>
            <w:tcW w:w="56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5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小红山</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2,196</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2,160</w:t>
            </w:r>
          </w:p>
        </w:tc>
        <w:tc>
          <w:tcPr>
            <w:tcW w:w="71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1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2020/04/16</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0.0039</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0.0026</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55.0000</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55.0039</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36.6693</w:t>
            </w:r>
          </w:p>
        </w:tc>
        <w:tc>
          <w:tcPr>
            <w:tcW w:w="56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5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曼湾</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-1,611</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-2,855</w:t>
            </w:r>
          </w:p>
        </w:tc>
        <w:tc>
          <w:tcPr>
            <w:tcW w:w="71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1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2020/04/16</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0.0001</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0.0001</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55.0000</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55.0001</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36.6668</w:t>
            </w:r>
          </w:p>
        </w:tc>
        <w:tc>
          <w:tcPr>
            <w:tcW w:w="56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5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大平掌</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1,669</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755</w:t>
            </w:r>
          </w:p>
        </w:tc>
        <w:tc>
          <w:tcPr>
            <w:tcW w:w="71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1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2020/04/16</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0.0033</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0.0022</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55.0000</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55.0033</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36.6689</w:t>
            </w:r>
          </w:p>
        </w:tc>
        <w:tc>
          <w:tcPr>
            <w:tcW w:w="56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5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白糯格</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-2,284</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1,404</w:t>
            </w:r>
          </w:p>
        </w:tc>
        <w:tc>
          <w:tcPr>
            <w:tcW w:w="71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1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2020/04/16</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0.0002</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0.0001</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55.0000</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55.0002</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36.6668</w:t>
            </w:r>
          </w:p>
        </w:tc>
        <w:tc>
          <w:tcPr>
            <w:tcW w:w="56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5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四坡斗村</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805</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724</w:t>
            </w:r>
          </w:p>
        </w:tc>
        <w:tc>
          <w:tcPr>
            <w:tcW w:w="71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1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2020/04/16</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0.0263</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0.0175</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55.0000</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55.0263</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36.6842</w:t>
            </w:r>
          </w:p>
        </w:tc>
        <w:tc>
          <w:tcPr>
            <w:tcW w:w="56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5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大红山</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1,679</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2,715</w:t>
            </w:r>
          </w:p>
        </w:tc>
        <w:tc>
          <w:tcPr>
            <w:tcW w:w="71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1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2020/04/16</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0.0002</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0.0001</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55.0000</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55.0002</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36.6668</w:t>
            </w:r>
          </w:p>
        </w:tc>
        <w:tc>
          <w:tcPr>
            <w:tcW w:w="56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5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戛洒镇</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-2,431</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-1,756</w:t>
            </w:r>
          </w:p>
        </w:tc>
        <w:tc>
          <w:tcPr>
            <w:tcW w:w="71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1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2020/04/16</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0.0002</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0.0001</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55.0000</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55.0002</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36.6668</w:t>
            </w:r>
          </w:p>
        </w:tc>
        <w:tc>
          <w:tcPr>
            <w:tcW w:w="56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5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曼秀</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-1,766</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-2,655</w:t>
            </w:r>
          </w:p>
        </w:tc>
        <w:tc>
          <w:tcPr>
            <w:tcW w:w="71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1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2020/04/16</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0.0001</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0.0001</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55.0000</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55.0001</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36.6668</w:t>
            </w:r>
          </w:p>
        </w:tc>
        <w:tc>
          <w:tcPr>
            <w:tcW w:w="56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61"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5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区域最大值</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100</w:t>
            </w:r>
          </w:p>
        </w:tc>
        <w:tc>
          <w:tcPr>
            <w:tcW w:w="56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100</w:t>
            </w:r>
          </w:p>
        </w:tc>
        <w:tc>
          <w:tcPr>
            <w:tcW w:w="71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1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2020/04/16</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0.1932</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0.1288</w:t>
            </w:r>
          </w:p>
        </w:tc>
        <w:tc>
          <w:tcPr>
            <w:tcW w:w="72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55.0000</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55.1932</w:t>
            </w:r>
          </w:p>
        </w:tc>
        <w:tc>
          <w:tcPr>
            <w:tcW w:w="72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36.7954</w:t>
            </w:r>
          </w:p>
        </w:tc>
        <w:tc>
          <w:tcPr>
            <w:tcW w:w="56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bl>
    <w:p>
      <w:pPr>
        <w:adjustRightInd w:val="0"/>
        <w:snapToGrid w:val="0"/>
        <w:ind w:firstLine="0" w:firstLineChars="0"/>
        <w:jc w:val="center"/>
        <w:rPr>
          <w:color w:val="000000" w:themeColor="text1"/>
          <w:szCs w:val="24"/>
        </w:rPr>
      </w:pPr>
      <w:r>
        <w:rPr>
          <w:b/>
          <w:bCs/>
          <w:color w:val="000000" w:themeColor="text1"/>
          <w:sz w:val="21"/>
          <w:szCs w:val="21"/>
        </w:rPr>
        <w:t>表</w:t>
      </w:r>
      <w:r>
        <w:rPr>
          <w:rFonts w:hint="eastAsia"/>
          <w:b/>
          <w:bCs/>
          <w:color w:val="000000" w:themeColor="text1"/>
          <w:sz w:val="21"/>
          <w:szCs w:val="21"/>
        </w:rPr>
        <w:t>6</w:t>
      </w:r>
      <w:r>
        <w:rPr>
          <w:b/>
          <w:bCs/>
          <w:color w:val="000000" w:themeColor="text1"/>
          <w:sz w:val="21"/>
          <w:szCs w:val="21"/>
        </w:rPr>
        <w:t>.2-</w:t>
      </w:r>
      <w:r>
        <w:rPr>
          <w:rFonts w:hint="eastAsia"/>
          <w:b/>
          <w:bCs/>
          <w:color w:val="000000" w:themeColor="text1"/>
          <w:sz w:val="21"/>
          <w:szCs w:val="21"/>
        </w:rPr>
        <w:t>22叠加背景后PM</w:t>
      </w:r>
      <w:r>
        <w:rPr>
          <w:rFonts w:hint="eastAsia"/>
          <w:b/>
          <w:bCs/>
          <w:color w:val="000000" w:themeColor="text1"/>
          <w:sz w:val="21"/>
          <w:szCs w:val="21"/>
          <w:vertAlign w:val="subscript"/>
        </w:rPr>
        <w:t>10</w:t>
      </w:r>
      <w:r>
        <w:rPr>
          <w:rFonts w:hint="eastAsia"/>
          <w:b/>
          <w:bCs/>
          <w:color w:val="000000" w:themeColor="text1"/>
          <w:sz w:val="21"/>
          <w:szCs w:val="21"/>
        </w:rPr>
        <w:t>年平均环境</w:t>
      </w:r>
      <w:r>
        <w:rPr>
          <w:b/>
          <w:bCs/>
          <w:color w:val="000000" w:themeColor="text1"/>
          <w:sz w:val="21"/>
          <w:szCs w:val="21"/>
        </w:rPr>
        <w:t>质量浓度预测结果表</w:t>
      </w:r>
    </w:p>
    <w:tbl>
      <w:tblPr>
        <w:tblStyle w:val="62"/>
        <w:tblW w:w="8306"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713"/>
        <w:gridCol w:w="535"/>
        <w:gridCol w:w="793"/>
        <w:gridCol w:w="793"/>
        <w:gridCol w:w="536"/>
        <w:gridCol w:w="872"/>
        <w:gridCol w:w="822"/>
        <w:gridCol w:w="902"/>
        <w:gridCol w:w="902"/>
        <w:gridCol w:w="902"/>
        <w:gridCol w:w="5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污染物</w:t>
            </w:r>
          </w:p>
        </w:tc>
        <w:tc>
          <w:tcPr>
            <w:tcW w:w="535"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预测点</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X/</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Y/</w:t>
            </w:r>
          </w:p>
        </w:tc>
        <w:tc>
          <w:tcPr>
            <w:tcW w:w="536"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平均</w:t>
            </w:r>
          </w:p>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时段</w:t>
            </w: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贡献值/</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占标率/</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现状值/</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叠加值/</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占标率/</w:t>
            </w:r>
          </w:p>
        </w:tc>
        <w:tc>
          <w:tcPr>
            <w:tcW w:w="536"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m</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m</w:t>
            </w:r>
          </w:p>
        </w:tc>
        <w:tc>
          <w:tcPr>
            <w:tcW w:w="536"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(μg/m³)</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(μg/m³)</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(μg/m³)</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536"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PM</w:t>
            </w:r>
            <w:r>
              <w:rPr>
                <w:color w:val="000000" w:themeColor="text1"/>
                <w:sz w:val="21"/>
                <w:szCs w:val="21"/>
                <w:vertAlign w:val="subscript"/>
              </w:rPr>
              <w:t>10</w:t>
            </w: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东磨村</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-2,028</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-655</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0.0039</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0.0056</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25.3939</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36.2771</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速都</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-2,024</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-2,476</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0.0021</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0.0030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25.3921</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36.2744</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絮波陡</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1,462</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-2,544</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0.0000</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36.2714</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小红山</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2,196</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2,160</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0.0031</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0.0044</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25.3931</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36.2758</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曼湾</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-1,611</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-2,855</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0.0017</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0.0024</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25.3917</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36.2739</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大平掌</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1,669</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755</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0.0021</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0.0031</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25.3921</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36.2745</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白糯格</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-2,284</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1,404</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0.0020</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0.0029</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25.3920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36.2743</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四坡斗村</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805</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724</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0.0282</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0.0402</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25.4182</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36.3117</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大红山</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1,679</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2,715</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0.0003</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0.0004</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25.3903</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36.2719</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戛洒镇</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-2,431</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-1,756</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0.0025</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0.0036</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25.3925</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36.2750</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曼秀</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-1,766</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-2,655</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0.0020</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0.0028</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25.3920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36.2742</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713"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区域最大值</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100</w:t>
            </w:r>
          </w:p>
        </w:tc>
        <w:tc>
          <w:tcPr>
            <w:tcW w:w="7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100</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87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0.2805</w:t>
            </w:r>
          </w:p>
        </w:tc>
        <w:tc>
          <w:tcPr>
            <w:tcW w:w="82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0.4008</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25.3900</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25.6705</w:t>
            </w:r>
          </w:p>
        </w:tc>
        <w:tc>
          <w:tcPr>
            <w:tcW w:w="90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36.6722</w:t>
            </w:r>
          </w:p>
        </w:tc>
        <w:tc>
          <w:tcPr>
            <w:tcW w:w="536"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bl>
    <w:p>
      <w:pPr>
        <w:adjustRightInd w:val="0"/>
        <w:snapToGrid w:val="0"/>
        <w:ind w:firstLine="480"/>
        <w:rPr>
          <w:color w:val="000000" w:themeColor="text1"/>
          <w:szCs w:val="24"/>
        </w:rPr>
      </w:pPr>
    </w:p>
    <w:p>
      <w:pPr>
        <w:adjustRightInd w:val="0"/>
        <w:snapToGrid w:val="0"/>
        <w:ind w:firstLine="0" w:firstLineChars="0"/>
        <w:rPr>
          <w:color w:val="000000" w:themeColor="text1"/>
          <w:szCs w:val="24"/>
        </w:rPr>
      </w:pPr>
      <w:r>
        <w:rPr>
          <w:rFonts w:hint="eastAsia"/>
          <w:color w:val="000000" w:themeColor="text1"/>
          <w:szCs w:val="24"/>
        </w:rPr>
        <w:drawing>
          <wp:inline distT="0" distB="0" distL="114300" distR="114300">
            <wp:extent cx="5267960" cy="3604260"/>
            <wp:effectExtent l="12700" t="12700" r="15240" b="21590"/>
            <wp:docPr id="6" name="图片 6" descr="pm10单一日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pm10单一日均"/>
                    <pic:cNvPicPr>
                      <a:picLocks noChangeAspect="1"/>
                    </pic:cNvPicPr>
                  </pic:nvPicPr>
                  <pic:blipFill>
                    <a:blip r:embed="rId93"/>
                    <a:stretch>
                      <a:fillRect/>
                    </a:stretch>
                  </pic:blipFill>
                  <pic:spPr>
                    <a:xfrm>
                      <a:off x="0" y="0"/>
                      <a:ext cx="5267960" cy="3604260"/>
                    </a:xfrm>
                    <a:prstGeom prst="rect">
                      <a:avLst/>
                    </a:prstGeom>
                    <a:ln w="12700" cmpd="sng">
                      <a:solidFill>
                        <a:schemeClr val="tx1"/>
                      </a:solidFill>
                      <a:prstDash val="solid"/>
                    </a:ln>
                  </pic:spPr>
                </pic:pic>
              </a:graphicData>
            </a:graphic>
          </wp:inline>
        </w:drawing>
      </w:r>
    </w:p>
    <w:p>
      <w:pPr>
        <w:adjustRightInd w:val="0"/>
        <w:snapToGrid w:val="0"/>
        <w:ind w:firstLine="0" w:firstLineChars="0"/>
        <w:jc w:val="center"/>
        <w:rPr>
          <w:b/>
          <w:bCs/>
          <w:color w:val="000000" w:themeColor="text1"/>
          <w:sz w:val="22"/>
        </w:rPr>
      </w:pPr>
      <w:r>
        <w:rPr>
          <w:rFonts w:hint="eastAsia"/>
          <w:b/>
          <w:bCs/>
          <w:color w:val="000000" w:themeColor="text1"/>
          <w:sz w:val="22"/>
        </w:rPr>
        <w:t xml:space="preserve">  图6.2-8  PM</w:t>
      </w:r>
      <w:r>
        <w:rPr>
          <w:rFonts w:hint="eastAsia"/>
          <w:b/>
          <w:bCs/>
          <w:color w:val="000000" w:themeColor="text1"/>
          <w:sz w:val="22"/>
          <w:vertAlign w:val="subscript"/>
        </w:rPr>
        <w:t>10</w:t>
      </w:r>
      <w:r>
        <w:rPr>
          <w:rFonts w:hint="eastAsia"/>
          <w:b/>
          <w:bCs/>
          <w:color w:val="000000" w:themeColor="text1"/>
          <w:sz w:val="22"/>
        </w:rPr>
        <w:t xml:space="preserve"> 日均贡献环境质量浓度分布图  单位：ug/m</w:t>
      </w:r>
      <w:r>
        <w:rPr>
          <w:rFonts w:hint="eastAsia"/>
          <w:b/>
          <w:bCs/>
          <w:color w:val="000000" w:themeColor="text1"/>
          <w:sz w:val="22"/>
          <w:vertAlign w:val="superscript"/>
        </w:rPr>
        <w:t>3</w:t>
      </w:r>
    </w:p>
    <w:p>
      <w:pPr>
        <w:pStyle w:val="2"/>
        <w:ind w:firstLine="0" w:firstLineChars="0"/>
        <w:jc w:val="center"/>
        <w:rPr>
          <w:color w:val="000000" w:themeColor="text1"/>
          <w:lang w:eastAsia="zh-CN"/>
        </w:rPr>
      </w:pPr>
      <w:r>
        <w:rPr>
          <w:color w:val="000000" w:themeColor="text1"/>
          <w:lang w:eastAsia="zh-CN" w:bidi="ar-SA"/>
        </w:rPr>
        <w:drawing>
          <wp:inline distT="0" distB="0" distL="114300" distR="114300">
            <wp:extent cx="5262880" cy="3600450"/>
            <wp:effectExtent l="12700" t="12700" r="20320" b="25400"/>
            <wp:docPr id="17" name="图片 17" descr="pm10单一年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pm10单一年均"/>
                    <pic:cNvPicPr>
                      <a:picLocks noChangeAspect="1"/>
                    </pic:cNvPicPr>
                  </pic:nvPicPr>
                  <pic:blipFill>
                    <a:blip r:embed="rId94"/>
                    <a:stretch>
                      <a:fillRect/>
                    </a:stretch>
                  </pic:blipFill>
                  <pic:spPr>
                    <a:xfrm>
                      <a:off x="0" y="0"/>
                      <a:ext cx="5262880" cy="3600450"/>
                    </a:xfrm>
                    <a:prstGeom prst="rect">
                      <a:avLst/>
                    </a:prstGeom>
                    <a:ln w="12700" cmpd="sng">
                      <a:solidFill>
                        <a:schemeClr val="tx1"/>
                      </a:solidFill>
                      <a:prstDash val="solid"/>
                    </a:ln>
                  </pic:spPr>
                </pic:pic>
              </a:graphicData>
            </a:graphic>
          </wp:inline>
        </w:drawing>
      </w:r>
    </w:p>
    <w:p>
      <w:pPr>
        <w:adjustRightInd w:val="0"/>
        <w:snapToGrid w:val="0"/>
        <w:ind w:firstLine="0" w:firstLineChars="0"/>
        <w:jc w:val="center"/>
        <w:rPr>
          <w:b/>
          <w:bCs/>
          <w:color w:val="000000" w:themeColor="text1"/>
          <w:sz w:val="22"/>
        </w:rPr>
      </w:pPr>
      <w:r>
        <w:rPr>
          <w:rFonts w:hint="eastAsia"/>
          <w:b/>
          <w:bCs/>
          <w:color w:val="000000" w:themeColor="text1"/>
          <w:sz w:val="22"/>
        </w:rPr>
        <w:t>图6.2-9</w:t>
      </w:r>
      <w:r>
        <w:rPr>
          <w:rFonts w:hint="eastAsia"/>
          <w:b/>
          <w:bCs/>
          <w:color w:val="000000" w:themeColor="text1"/>
          <w:sz w:val="22"/>
          <w:lang w:val="zh-CN"/>
        </w:rPr>
        <w:t xml:space="preserve"> PM</w:t>
      </w:r>
      <w:r>
        <w:rPr>
          <w:rFonts w:hint="eastAsia"/>
          <w:b/>
          <w:bCs/>
          <w:color w:val="000000" w:themeColor="text1"/>
          <w:sz w:val="22"/>
          <w:vertAlign w:val="subscript"/>
          <w:lang w:val="zh-CN"/>
        </w:rPr>
        <w:t>10</w:t>
      </w:r>
      <w:r>
        <w:rPr>
          <w:rFonts w:hint="eastAsia"/>
          <w:b/>
          <w:bCs/>
          <w:color w:val="000000" w:themeColor="text1"/>
          <w:sz w:val="22"/>
          <w:lang w:val="zh-CN"/>
        </w:rPr>
        <w:t>年均贡献环境质量浓度分布图</w:t>
      </w:r>
      <w:r>
        <w:rPr>
          <w:rFonts w:hint="eastAsia"/>
          <w:b/>
          <w:bCs/>
          <w:color w:val="000000" w:themeColor="text1"/>
          <w:sz w:val="22"/>
        </w:rPr>
        <w:t xml:space="preserve"> 单位：ug/m</w:t>
      </w:r>
      <w:r>
        <w:rPr>
          <w:rFonts w:hint="eastAsia"/>
          <w:b/>
          <w:bCs/>
          <w:color w:val="000000" w:themeColor="text1"/>
          <w:sz w:val="22"/>
          <w:vertAlign w:val="superscript"/>
        </w:rPr>
        <w:t>3</w:t>
      </w:r>
    </w:p>
    <w:p>
      <w:pPr>
        <w:adjustRightInd w:val="0"/>
        <w:snapToGrid w:val="0"/>
        <w:ind w:firstLine="0" w:firstLineChars="0"/>
        <w:jc w:val="center"/>
        <w:rPr>
          <w:b/>
          <w:bCs/>
          <w:color w:val="000000" w:themeColor="text1"/>
          <w:sz w:val="21"/>
          <w:szCs w:val="21"/>
        </w:rPr>
      </w:pPr>
      <w:r>
        <w:rPr>
          <w:rFonts w:hint="eastAsia"/>
          <w:b/>
          <w:bCs/>
          <w:color w:val="000000" w:themeColor="text1"/>
          <w:sz w:val="21"/>
          <w:szCs w:val="21"/>
        </w:rPr>
        <w:drawing>
          <wp:inline distT="0" distB="0" distL="114300" distR="114300">
            <wp:extent cx="5266690" cy="3592195"/>
            <wp:effectExtent l="12700" t="12700" r="16510" b="14605"/>
            <wp:docPr id="32" name="图片 32" descr="pm10复合日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pm10复合日均"/>
                    <pic:cNvPicPr>
                      <a:picLocks noChangeAspect="1"/>
                    </pic:cNvPicPr>
                  </pic:nvPicPr>
                  <pic:blipFill>
                    <a:blip r:embed="rId95"/>
                    <a:stretch>
                      <a:fillRect/>
                    </a:stretch>
                  </pic:blipFill>
                  <pic:spPr>
                    <a:xfrm>
                      <a:off x="0" y="0"/>
                      <a:ext cx="5266690" cy="3592195"/>
                    </a:xfrm>
                    <a:prstGeom prst="rect">
                      <a:avLst/>
                    </a:prstGeom>
                    <a:ln w="12700" cmpd="sng">
                      <a:solidFill>
                        <a:schemeClr val="tx1"/>
                      </a:solidFill>
                      <a:prstDash val="solid"/>
                    </a:ln>
                  </pic:spPr>
                </pic:pic>
              </a:graphicData>
            </a:graphic>
          </wp:inline>
        </w:drawing>
      </w:r>
    </w:p>
    <w:p>
      <w:pPr>
        <w:adjustRightInd w:val="0"/>
        <w:snapToGrid w:val="0"/>
        <w:ind w:firstLine="0" w:firstLineChars="0"/>
        <w:jc w:val="center"/>
        <w:rPr>
          <w:b/>
          <w:bCs/>
          <w:color w:val="000000" w:themeColor="text1"/>
          <w:sz w:val="22"/>
        </w:rPr>
      </w:pPr>
      <w:r>
        <w:rPr>
          <w:rFonts w:hint="eastAsia"/>
          <w:b/>
          <w:bCs/>
          <w:color w:val="000000" w:themeColor="text1"/>
          <w:sz w:val="22"/>
        </w:rPr>
        <w:t>图6.2-10</w:t>
      </w:r>
      <w:r>
        <w:rPr>
          <w:rFonts w:hint="eastAsia"/>
          <w:b/>
          <w:bCs/>
          <w:color w:val="000000" w:themeColor="text1"/>
          <w:sz w:val="22"/>
          <w:lang w:val="zh-CN"/>
        </w:rPr>
        <w:t xml:space="preserve"> </w:t>
      </w:r>
      <w:r>
        <w:rPr>
          <w:rFonts w:hint="eastAsia"/>
          <w:b/>
          <w:bCs/>
          <w:color w:val="000000" w:themeColor="text1"/>
          <w:sz w:val="22"/>
        </w:rPr>
        <w:t>95%</w:t>
      </w:r>
      <w:r>
        <w:rPr>
          <w:rFonts w:hint="eastAsia"/>
          <w:b/>
          <w:bCs/>
          <w:color w:val="000000" w:themeColor="text1"/>
          <w:sz w:val="22"/>
          <w:lang w:val="zh-CN"/>
        </w:rPr>
        <w:t>保证率下叠加后PM</w:t>
      </w:r>
      <w:r>
        <w:rPr>
          <w:rFonts w:hint="eastAsia"/>
          <w:b/>
          <w:bCs/>
          <w:color w:val="000000" w:themeColor="text1"/>
          <w:sz w:val="22"/>
          <w:vertAlign w:val="subscript"/>
          <w:lang w:val="zh-CN"/>
        </w:rPr>
        <w:t>10</w:t>
      </w:r>
      <w:r>
        <w:rPr>
          <w:rFonts w:hint="eastAsia"/>
          <w:b/>
          <w:bCs/>
          <w:color w:val="000000" w:themeColor="text1"/>
          <w:sz w:val="22"/>
          <w:lang w:val="zh-CN"/>
        </w:rPr>
        <w:t>日平均环境质量浓度分布图</w:t>
      </w:r>
      <w:r>
        <w:rPr>
          <w:rFonts w:hint="eastAsia"/>
          <w:b/>
          <w:bCs/>
          <w:color w:val="000000" w:themeColor="text1"/>
          <w:sz w:val="22"/>
        </w:rPr>
        <w:t xml:space="preserve"> 单位：ug/m</w:t>
      </w:r>
      <w:r>
        <w:rPr>
          <w:rFonts w:hint="eastAsia"/>
          <w:b/>
          <w:bCs/>
          <w:color w:val="000000" w:themeColor="text1"/>
          <w:sz w:val="22"/>
          <w:vertAlign w:val="superscript"/>
        </w:rPr>
        <w:t>3</w:t>
      </w:r>
    </w:p>
    <w:p>
      <w:pPr>
        <w:adjustRightInd w:val="0"/>
        <w:snapToGrid w:val="0"/>
        <w:ind w:firstLine="0" w:firstLineChars="0"/>
        <w:jc w:val="center"/>
        <w:rPr>
          <w:b/>
          <w:bCs/>
          <w:color w:val="000000" w:themeColor="text1"/>
          <w:sz w:val="21"/>
          <w:szCs w:val="21"/>
        </w:rPr>
      </w:pPr>
      <w:r>
        <w:rPr>
          <w:rFonts w:hint="eastAsia"/>
          <w:b/>
          <w:bCs/>
          <w:color w:val="000000" w:themeColor="text1"/>
          <w:sz w:val="21"/>
          <w:szCs w:val="21"/>
        </w:rPr>
        <w:drawing>
          <wp:inline distT="0" distB="0" distL="114300" distR="114300">
            <wp:extent cx="5273040" cy="3646170"/>
            <wp:effectExtent l="12700" t="12700" r="29210" b="17780"/>
            <wp:docPr id="33" name="图片 33" descr="pm10复合年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pm10复合年均"/>
                    <pic:cNvPicPr>
                      <a:picLocks noChangeAspect="1"/>
                    </pic:cNvPicPr>
                  </pic:nvPicPr>
                  <pic:blipFill>
                    <a:blip r:embed="rId96"/>
                    <a:stretch>
                      <a:fillRect/>
                    </a:stretch>
                  </pic:blipFill>
                  <pic:spPr>
                    <a:xfrm>
                      <a:off x="0" y="0"/>
                      <a:ext cx="5273040" cy="3646170"/>
                    </a:xfrm>
                    <a:prstGeom prst="rect">
                      <a:avLst/>
                    </a:prstGeom>
                    <a:ln w="12700" cmpd="sng">
                      <a:solidFill>
                        <a:schemeClr val="tx1"/>
                      </a:solidFill>
                      <a:prstDash val="solid"/>
                    </a:ln>
                  </pic:spPr>
                </pic:pic>
              </a:graphicData>
            </a:graphic>
          </wp:inline>
        </w:drawing>
      </w:r>
    </w:p>
    <w:p>
      <w:pPr>
        <w:adjustRightInd w:val="0"/>
        <w:snapToGrid w:val="0"/>
        <w:ind w:firstLine="0" w:firstLineChars="0"/>
        <w:jc w:val="center"/>
        <w:rPr>
          <w:b/>
          <w:bCs/>
          <w:color w:val="000000" w:themeColor="text1"/>
          <w:szCs w:val="24"/>
        </w:rPr>
      </w:pPr>
      <w:r>
        <w:rPr>
          <w:rFonts w:hint="eastAsia"/>
          <w:b/>
          <w:bCs/>
          <w:color w:val="000000" w:themeColor="text1"/>
          <w:sz w:val="22"/>
        </w:rPr>
        <w:t>图6.2-11</w:t>
      </w:r>
      <w:r>
        <w:rPr>
          <w:b/>
          <w:bCs/>
          <w:color w:val="000000" w:themeColor="text1"/>
          <w:sz w:val="22"/>
          <w:lang w:val="zh-CN"/>
        </w:rPr>
        <w:t>叠加后PM</w:t>
      </w:r>
      <w:r>
        <w:rPr>
          <w:b/>
          <w:bCs/>
          <w:color w:val="000000" w:themeColor="text1"/>
          <w:sz w:val="22"/>
          <w:vertAlign w:val="subscript"/>
          <w:lang w:val="zh-CN"/>
        </w:rPr>
        <w:t>10</w:t>
      </w:r>
      <w:r>
        <w:rPr>
          <w:b/>
          <w:bCs/>
          <w:color w:val="000000" w:themeColor="text1"/>
          <w:sz w:val="22"/>
          <w:lang w:val="zh-CN"/>
        </w:rPr>
        <w:t>年平均环境质量浓度分布图</w:t>
      </w:r>
      <w:r>
        <w:rPr>
          <w:rFonts w:hint="eastAsia"/>
          <w:b/>
          <w:bCs/>
          <w:color w:val="000000" w:themeColor="text1"/>
          <w:sz w:val="22"/>
        </w:rPr>
        <w:t xml:space="preserve"> 单位：ug/m</w:t>
      </w:r>
      <w:r>
        <w:rPr>
          <w:rFonts w:hint="eastAsia"/>
          <w:b/>
          <w:bCs/>
          <w:color w:val="000000" w:themeColor="text1"/>
          <w:sz w:val="22"/>
          <w:vertAlign w:val="superscript"/>
        </w:rPr>
        <w:t>3</w:t>
      </w:r>
    </w:p>
    <w:p>
      <w:pPr>
        <w:ind w:firstLine="480"/>
        <w:rPr>
          <w:color w:val="000000" w:themeColor="text1"/>
          <w:szCs w:val="24"/>
        </w:rPr>
      </w:pPr>
      <w:bookmarkStart w:id="665" w:name="_Hlk51935373"/>
      <w:r>
        <w:rPr>
          <w:rFonts w:hint="eastAsia"/>
          <w:color w:val="000000" w:themeColor="text1"/>
          <w:szCs w:val="24"/>
        </w:rPr>
        <w:t>PM</w:t>
      </w:r>
      <w:r>
        <w:rPr>
          <w:rFonts w:hint="eastAsia"/>
          <w:color w:val="000000" w:themeColor="text1"/>
          <w:szCs w:val="24"/>
          <w:vertAlign w:val="subscript"/>
        </w:rPr>
        <w:t>10</w:t>
      </w:r>
      <w:r>
        <w:rPr>
          <w:rFonts w:hint="eastAsia"/>
          <w:color w:val="000000" w:themeColor="text1"/>
          <w:szCs w:val="24"/>
        </w:rPr>
        <w:t>全网格的日均浓度预测最大贡献值出现在12月20日，以此气象条件作出的最大日均等浓度图见图6.</w:t>
      </w:r>
      <w:r>
        <w:rPr>
          <w:color w:val="000000" w:themeColor="text1"/>
          <w:szCs w:val="24"/>
        </w:rPr>
        <w:t>2</w:t>
      </w:r>
      <w:r>
        <w:rPr>
          <w:rFonts w:hint="eastAsia"/>
          <w:color w:val="000000" w:themeColor="text1"/>
          <w:szCs w:val="24"/>
        </w:rPr>
        <w:t>-8。年均浓度图见图6</w:t>
      </w:r>
      <w:r>
        <w:rPr>
          <w:color w:val="000000" w:themeColor="text1"/>
          <w:szCs w:val="24"/>
        </w:rPr>
        <w:t>.2-</w:t>
      </w:r>
      <w:r>
        <w:rPr>
          <w:rFonts w:hint="eastAsia"/>
          <w:color w:val="000000" w:themeColor="text1"/>
          <w:szCs w:val="24"/>
        </w:rPr>
        <w:t>9。</w:t>
      </w:r>
    </w:p>
    <w:bookmarkEnd w:id="665"/>
    <w:p>
      <w:pPr>
        <w:pStyle w:val="23"/>
        <w:spacing w:line="360" w:lineRule="auto"/>
        <w:ind w:firstLine="480"/>
        <w:rPr>
          <w:b/>
          <w:bCs/>
          <w:color w:val="000000" w:themeColor="text1"/>
        </w:rPr>
      </w:pPr>
      <w:r>
        <w:rPr>
          <w:color w:val="000000" w:themeColor="text1"/>
          <w:sz w:val="24"/>
        </w:rPr>
        <w:t>根据预测计算分析，项目对</w:t>
      </w:r>
      <w:r>
        <w:rPr>
          <w:rFonts w:hint="eastAsia"/>
          <w:color w:val="000000" w:themeColor="text1"/>
          <w:sz w:val="24"/>
        </w:rPr>
        <w:t>颗粒物</w:t>
      </w:r>
      <w:r>
        <w:rPr>
          <w:color w:val="000000" w:themeColor="text1"/>
          <w:sz w:val="24"/>
        </w:rPr>
        <w:t>采取措施处理后，本项目建成后排放的</w:t>
      </w:r>
      <w:r>
        <w:rPr>
          <w:rFonts w:hint="eastAsia"/>
          <w:color w:val="000000" w:themeColor="text1"/>
          <w:sz w:val="24"/>
        </w:rPr>
        <w:t>颗粒物</w:t>
      </w:r>
      <w:r>
        <w:rPr>
          <w:color w:val="000000" w:themeColor="text1"/>
          <w:sz w:val="24"/>
        </w:rPr>
        <w:t>对评价区内各关心点的</w:t>
      </w:r>
      <w:r>
        <w:rPr>
          <w:rFonts w:hint="eastAsia"/>
          <w:color w:val="000000" w:themeColor="text1"/>
          <w:sz w:val="24"/>
        </w:rPr>
        <w:t>日均</w:t>
      </w:r>
      <w:r>
        <w:rPr>
          <w:color w:val="000000" w:themeColor="text1"/>
          <w:sz w:val="24"/>
        </w:rPr>
        <w:t>地面浓度贡献值</w:t>
      </w:r>
      <w:r>
        <w:rPr>
          <w:rFonts w:hint="eastAsia"/>
          <w:color w:val="000000" w:themeColor="text1"/>
          <w:sz w:val="24"/>
        </w:rPr>
        <w:t>，</w:t>
      </w:r>
      <w:r>
        <w:rPr>
          <w:color w:val="000000" w:themeColor="text1"/>
          <w:sz w:val="24"/>
        </w:rPr>
        <w:t>未超过</w:t>
      </w:r>
      <w:r>
        <w:rPr>
          <w:rFonts w:hint="eastAsia"/>
          <w:color w:val="000000" w:themeColor="text1"/>
          <w:sz w:val="24"/>
        </w:rPr>
        <w:t>小时</w:t>
      </w:r>
      <w:r>
        <w:rPr>
          <w:color w:val="000000" w:themeColor="text1"/>
          <w:sz w:val="24"/>
        </w:rPr>
        <w:t>浓度限值</w:t>
      </w:r>
      <w:r>
        <w:rPr>
          <w:rFonts w:hint="eastAsia"/>
          <w:color w:val="000000" w:themeColor="text1"/>
          <w:sz w:val="24"/>
        </w:rPr>
        <w:t>，叠加现状值基础上也未超过日均</w:t>
      </w:r>
      <w:r>
        <w:rPr>
          <w:color w:val="000000" w:themeColor="text1"/>
          <w:sz w:val="24"/>
        </w:rPr>
        <w:t>浓度限值</w:t>
      </w:r>
      <w:r>
        <w:rPr>
          <w:rFonts w:hint="eastAsia"/>
          <w:color w:val="000000" w:themeColor="text1"/>
          <w:sz w:val="24"/>
        </w:rPr>
        <w:t>和年均浓度限值，预测值日均</w:t>
      </w:r>
      <w:r>
        <w:rPr>
          <w:color w:val="000000" w:themeColor="text1"/>
          <w:sz w:val="24"/>
        </w:rPr>
        <w:t>占标率最大值为</w:t>
      </w:r>
      <w:r>
        <w:rPr>
          <w:rFonts w:hint="eastAsia"/>
          <w:color w:val="000000" w:themeColor="text1"/>
          <w:sz w:val="24"/>
        </w:rPr>
        <w:t>36.7954%，年均</w:t>
      </w:r>
      <w:r>
        <w:rPr>
          <w:color w:val="000000" w:themeColor="text1"/>
          <w:sz w:val="24"/>
        </w:rPr>
        <w:t>占标率最大值为</w:t>
      </w:r>
      <w:r>
        <w:rPr>
          <w:rFonts w:hint="eastAsia"/>
          <w:color w:val="000000" w:themeColor="text1"/>
          <w:sz w:val="24"/>
        </w:rPr>
        <w:t>36.6722%</w:t>
      </w:r>
      <w:r>
        <w:rPr>
          <w:color w:val="000000" w:themeColor="text1"/>
          <w:sz w:val="24"/>
        </w:rPr>
        <w:t>。</w:t>
      </w:r>
      <w:r>
        <w:rPr>
          <w:rFonts w:hint="eastAsia"/>
          <w:color w:val="000000" w:themeColor="text1"/>
          <w:sz w:val="24"/>
        </w:rPr>
        <w:t>PM</w:t>
      </w:r>
      <w:r>
        <w:rPr>
          <w:rFonts w:hint="eastAsia"/>
          <w:color w:val="000000" w:themeColor="text1"/>
          <w:sz w:val="24"/>
          <w:vertAlign w:val="subscript"/>
        </w:rPr>
        <w:t>10</w:t>
      </w:r>
      <w:r>
        <w:rPr>
          <w:color w:val="000000" w:themeColor="text1"/>
          <w:sz w:val="24"/>
        </w:rPr>
        <w:t>对评价区内各关心点的</w:t>
      </w:r>
      <w:r>
        <w:rPr>
          <w:rFonts w:hint="eastAsia"/>
          <w:color w:val="000000" w:themeColor="text1"/>
          <w:sz w:val="24"/>
        </w:rPr>
        <w:t>日均</w:t>
      </w:r>
      <w:r>
        <w:rPr>
          <w:color w:val="000000" w:themeColor="text1"/>
          <w:sz w:val="24"/>
        </w:rPr>
        <w:t>质量浓度</w:t>
      </w:r>
      <w:r>
        <w:rPr>
          <w:rFonts w:hint="eastAsia"/>
          <w:color w:val="000000" w:themeColor="text1"/>
          <w:sz w:val="24"/>
        </w:rPr>
        <w:t>和年均质量浓度</w:t>
      </w:r>
      <w:r>
        <w:rPr>
          <w:color w:val="000000" w:themeColor="text1"/>
          <w:sz w:val="24"/>
        </w:rPr>
        <w:t>能够满足《环境空气质量标准》（GB3095-2012）二级标准。</w:t>
      </w:r>
    </w:p>
    <w:p>
      <w:pPr>
        <w:adjustRightInd w:val="0"/>
        <w:snapToGrid w:val="0"/>
        <w:ind w:firstLine="482"/>
        <w:rPr>
          <w:b/>
          <w:bCs/>
          <w:color w:val="000000" w:themeColor="text1"/>
          <w:szCs w:val="24"/>
        </w:rPr>
      </w:pPr>
      <w:r>
        <w:rPr>
          <w:rFonts w:hint="eastAsia"/>
          <w:b/>
          <w:bCs/>
          <w:color w:val="000000" w:themeColor="text1"/>
          <w:szCs w:val="24"/>
        </w:rPr>
        <w:t>（2）TSP预测结果</w:t>
      </w:r>
    </w:p>
    <w:p>
      <w:pPr>
        <w:ind w:firstLine="480"/>
        <w:rPr>
          <w:b/>
          <w:bCs/>
          <w:color w:val="000000" w:themeColor="text1"/>
          <w:sz w:val="21"/>
          <w:szCs w:val="21"/>
        </w:rPr>
      </w:pPr>
      <w:r>
        <w:rPr>
          <w:color w:val="000000" w:themeColor="text1"/>
        </w:rPr>
        <w:t>本次TSP按无组织污染物进行预测，TSP无年均背景值及保证率背景值，本次评价日均值背景值取补充监测的</w:t>
      </w:r>
      <w:r>
        <w:rPr>
          <w:rFonts w:hint="eastAsia"/>
          <w:color w:val="000000" w:themeColor="text1"/>
        </w:rPr>
        <w:t>两个监测点同时段的平均</w:t>
      </w:r>
      <w:r>
        <w:rPr>
          <w:color w:val="000000" w:themeColor="text1"/>
        </w:rPr>
        <w:t>值</w:t>
      </w:r>
      <w:r>
        <w:rPr>
          <w:rFonts w:hint="eastAsia"/>
          <w:color w:val="000000" w:themeColor="text1"/>
        </w:rPr>
        <w:t>中的最大值</w:t>
      </w:r>
      <w:r>
        <w:rPr>
          <w:color w:val="000000" w:themeColor="text1"/>
        </w:rPr>
        <w:t>作为关心点及网格点背景值，本次对TSP日平均、年平均贡献值及叠加</w:t>
      </w:r>
      <w:r>
        <w:rPr>
          <w:rFonts w:hint="eastAsia"/>
          <w:color w:val="000000" w:themeColor="text1"/>
        </w:rPr>
        <w:t>背景</w:t>
      </w:r>
      <w:r>
        <w:rPr>
          <w:color w:val="000000" w:themeColor="text1"/>
        </w:rPr>
        <w:t>后日均浓度值进行预测，预测结果见下表。</w:t>
      </w:r>
    </w:p>
    <w:p>
      <w:pPr>
        <w:adjustRightInd w:val="0"/>
        <w:snapToGrid w:val="0"/>
        <w:ind w:firstLine="0" w:firstLineChars="0"/>
        <w:jc w:val="center"/>
        <w:rPr>
          <w:b/>
          <w:bCs/>
          <w:color w:val="000000" w:themeColor="text1"/>
          <w:sz w:val="21"/>
          <w:szCs w:val="21"/>
        </w:rPr>
      </w:pPr>
      <w:r>
        <w:rPr>
          <w:b/>
          <w:bCs/>
          <w:color w:val="000000" w:themeColor="text1"/>
          <w:sz w:val="21"/>
          <w:szCs w:val="21"/>
        </w:rPr>
        <w:t>表</w:t>
      </w:r>
      <w:r>
        <w:rPr>
          <w:rFonts w:hint="eastAsia"/>
          <w:b/>
          <w:bCs/>
          <w:color w:val="000000" w:themeColor="text1"/>
          <w:sz w:val="21"/>
          <w:szCs w:val="21"/>
        </w:rPr>
        <w:t>6</w:t>
      </w:r>
      <w:r>
        <w:rPr>
          <w:b/>
          <w:bCs/>
          <w:color w:val="000000" w:themeColor="text1"/>
          <w:sz w:val="21"/>
          <w:szCs w:val="21"/>
        </w:rPr>
        <w:t>.2-</w:t>
      </w:r>
      <w:r>
        <w:rPr>
          <w:rFonts w:hint="eastAsia"/>
          <w:b/>
          <w:bCs/>
          <w:color w:val="000000" w:themeColor="text1"/>
          <w:sz w:val="21"/>
          <w:szCs w:val="21"/>
        </w:rPr>
        <w:t>23</w:t>
      </w:r>
      <w:r>
        <w:rPr>
          <w:b/>
          <w:bCs/>
          <w:color w:val="000000" w:themeColor="text1"/>
          <w:sz w:val="21"/>
          <w:szCs w:val="21"/>
        </w:rPr>
        <w:t>正常工况下</w:t>
      </w:r>
      <w:r>
        <w:rPr>
          <w:rFonts w:hint="eastAsia"/>
          <w:b/>
          <w:bCs/>
          <w:color w:val="000000" w:themeColor="text1"/>
          <w:sz w:val="21"/>
          <w:szCs w:val="21"/>
        </w:rPr>
        <w:t>TSP日均</w:t>
      </w:r>
      <w:r>
        <w:rPr>
          <w:b/>
          <w:bCs/>
          <w:color w:val="000000" w:themeColor="text1"/>
          <w:sz w:val="21"/>
          <w:szCs w:val="21"/>
        </w:rPr>
        <w:t>贡献质量浓度预测结果表</w:t>
      </w:r>
    </w:p>
    <w:tbl>
      <w:tblPr>
        <w:tblStyle w:val="62"/>
        <w:tblW w:w="8298"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782"/>
        <w:gridCol w:w="782"/>
        <w:gridCol w:w="784"/>
        <w:gridCol w:w="784"/>
        <w:gridCol w:w="782"/>
        <w:gridCol w:w="1325"/>
        <w:gridCol w:w="1493"/>
        <w:gridCol w:w="784"/>
        <w:gridCol w:w="7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污染物</w:t>
            </w:r>
          </w:p>
        </w:tc>
        <w:tc>
          <w:tcPr>
            <w:tcW w:w="782"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预测点</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X/</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Y/</w:t>
            </w:r>
          </w:p>
        </w:tc>
        <w:tc>
          <w:tcPr>
            <w:tcW w:w="782"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平均</w:t>
            </w:r>
          </w:p>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时段</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最大贡献值/</w:t>
            </w:r>
          </w:p>
        </w:tc>
        <w:tc>
          <w:tcPr>
            <w:tcW w:w="1493"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出现时间</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占标率/</w:t>
            </w:r>
          </w:p>
        </w:tc>
        <w:tc>
          <w:tcPr>
            <w:tcW w:w="782"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2"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m</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m</w:t>
            </w:r>
          </w:p>
        </w:tc>
        <w:tc>
          <w:tcPr>
            <w:tcW w:w="782"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(μg/m³)</w:t>
            </w:r>
          </w:p>
        </w:tc>
        <w:tc>
          <w:tcPr>
            <w:tcW w:w="1493"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w:t>
            </w:r>
          </w:p>
        </w:tc>
        <w:tc>
          <w:tcPr>
            <w:tcW w:w="782"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TSP</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东磨村</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-2,028</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-655</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1.2798</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2020/11/16</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0.4266</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速都</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-2,024</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-2,476</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0.7030</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2020/10/15</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0.2343</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絮波陡</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1,462</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-2,544</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0.0029</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2020/04/11</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0.0010</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小红山</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2,196</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2,160</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1.2189</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2020/10/30</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0.4063</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曼湾</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-1,611</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-2,855</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0.4799</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2020/02/18</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0.1600</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大平掌</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1,669</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755</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0.2087</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2020/09/05</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0.0696</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白糯格</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-2,284</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1,404</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0.4893</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2020/10/11</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0.1631</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四坡斗村</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805</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724</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3.7644</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2020/04/14</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1.2548</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大红山</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1,679</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2,715</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0.0510</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2020/06/26</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0.0170</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戛洒镇</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-2,431</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-1,756</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0.6650</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2020/10/17</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0.2217</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曼秀</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-1,766</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-2,655</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0.5216</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2020/10/17</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0.1739</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782"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区域最大值</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-51</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32</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144.4294</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2020/10/15</w:t>
            </w:r>
          </w:p>
        </w:tc>
        <w:tc>
          <w:tcPr>
            <w:tcW w:w="784"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48.1431</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bl>
    <w:p>
      <w:pPr>
        <w:adjustRightInd w:val="0"/>
        <w:snapToGrid w:val="0"/>
        <w:ind w:firstLine="0" w:firstLineChars="0"/>
        <w:jc w:val="both"/>
        <w:rPr>
          <w:b/>
          <w:bCs/>
          <w:color w:val="000000" w:themeColor="text1"/>
          <w:sz w:val="21"/>
          <w:szCs w:val="21"/>
        </w:rPr>
      </w:pPr>
    </w:p>
    <w:p>
      <w:pPr>
        <w:adjustRightInd w:val="0"/>
        <w:snapToGrid w:val="0"/>
        <w:ind w:firstLine="0" w:firstLineChars="0"/>
        <w:jc w:val="center"/>
        <w:rPr>
          <w:b/>
          <w:bCs/>
          <w:color w:val="000000" w:themeColor="text1"/>
          <w:sz w:val="21"/>
          <w:szCs w:val="21"/>
        </w:rPr>
      </w:pPr>
      <w:r>
        <w:rPr>
          <w:b/>
          <w:bCs/>
          <w:color w:val="000000" w:themeColor="text1"/>
          <w:sz w:val="21"/>
          <w:szCs w:val="21"/>
        </w:rPr>
        <w:t>表</w:t>
      </w:r>
      <w:r>
        <w:rPr>
          <w:rFonts w:hint="eastAsia"/>
          <w:b/>
          <w:bCs/>
          <w:color w:val="000000" w:themeColor="text1"/>
          <w:sz w:val="21"/>
          <w:szCs w:val="21"/>
        </w:rPr>
        <w:t>6</w:t>
      </w:r>
      <w:r>
        <w:rPr>
          <w:b/>
          <w:bCs/>
          <w:color w:val="000000" w:themeColor="text1"/>
          <w:sz w:val="21"/>
          <w:szCs w:val="21"/>
        </w:rPr>
        <w:t>.2-</w:t>
      </w:r>
      <w:r>
        <w:rPr>
          <w:rFonts w:hint="eastAsia"/>
          <w:b/>
          <w:bCs/>
          <w:color w:val="000000" w:themeColor="text1"/>
          <w:sz w:val="21"/>
          <w:szCs w:val="21"/>
        </w:rPr>
        <w:t>24</w:t>
      </w:r>
      <w:r>
        <w:rPr>
          <w:b/>
          <w:bCs/>
          <w:color w:val="000000" w:themeColor="text1"/>
          <w:sz w:val="21"/>
          <w:szCs w:val="21"/>
        </w:rPr>
        <w:t>正常工况下</w:t>
      </w:r>
      <w:r>
        <w:rPr>
          <w:rFonts w:hint="eastAsia"/>
          <w:b/>
          <w:bCs/>
          <w:color w:val="000000" w:themeColor="text1"/>
          <w:sz w:val="21"/>
          <w:szCs w:val="21"/>
        </w:rPr>
        <w:t>TSP年均</w:t>
      </w:r>
      <w:r>
        <w:rPr>
          <w:b/>
          <w:bCs/>
          <w:color w:val="000000" w:themeColor="text1"/>
          <w:sz w:val="21"/>
          <w:szCs w:val="21"/>
        </w:rPr>
        <w:t>贡献质量浓度预测结果表</w:t>
      </w:r>
    </w:p>
    <w:tbl>
      <w:tblPr>
        <w:tblStyle w:val="62"/>
        <w:tblW w:w="8228"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946"/>
        <w:gridCol w:w="947"/>
        <w:gridCol w:w="947"/>
        <w:gridCol w:w="947"/>
        <w:gridCol w:w="947"/>
        <w:gridCol w:w="1600"/>
        <w:gridCol w:w="947"/>
        <w:gridCol w:w="94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污染物</w:t>
            </w:r>
          </w:p>
        </w:tc>
        <w:tc>
          <w:tcPr>
            <w:tcW w:w="947"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预测点</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X/</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Y/</w:t>
            </w:r>
          </w:p>
        </w:tc>
        <w:tc>
          <w:tcPr>
            <w:tcW w:w="947"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平均</w:t>
            </w:r>
          </w:p>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时段</w:t>
            </w: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最大贡献值/</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占标率/</w:t>
            </w:r>
          </w:p>
        </w:tc>
        <w:tc>
          <w:tcPr>
            <w:tcW w:w="947"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47"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m</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m</w:t>
            </w:r>
          </w:p>
        </w:tc>
        <w:tc>
          <w:tcPr>
            <w:tcW w:w="947"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(μg/m³)</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947"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TSP</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东磨村</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-2,028</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-655</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0.0758</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0.0379</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速都</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-2,024</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-2,476</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0.0405</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0.0202</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絮波陡</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1,462</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-2,544</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0.0000</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0.0000</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小红山</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2,196</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2,160</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0.1316</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0.0658</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曼湾</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-1,611</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-2,855</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0.0419</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0.0209</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大平掌</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1,669</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755</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0.0547</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0.0274</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白糯格</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-2,284</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1,404</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0.0328</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0.0164</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四坡斗村</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805</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724</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0.8026</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0.4013</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大红山</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1,679</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2,715</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0.0066</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0.0033</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戛洒镇</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-2,431</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-1,756</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0.0385</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0.0192</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曼秀</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-1,766</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-2,655</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0.0401</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0.0201</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40" w:hRule="atLeast"/>
          <w:jc w:val="center"/>
        </w:trPr>
        <w:tc>
          <w:tcPr>
            <w:tcW w:w="946"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区域最大值</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100</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年均</w:t>
            </w:r>
          </w:p>
        </w:tc>
        <w:tc>
          <w:tcPr>
            <w:tcW w:w="160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36.9729</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18.4865</w:t>
            </w:r>
          </w:p>
        </w:tc>
        <w:tc>
          <w:tcPr>
            <w:tcW w:w="94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bl>
    <w:p>
      <w:pPr>
        <w:adjustRightInd w:val="0"/>
        <w:snapToGrid w:val="0"/>
        <w:ind w:firstLine="0" w:firstLineChars="0"/>
        <w:jc w:val="center"/>
        <w:rPr>
          <w:color w:val="000000" w:themeColor="text1"/>
          <w:szCs w:val="24"/>
        </w:rPr>
      </w:pPr>
      <w:r>
        <w:rPr>
          <w:b/>
          <w:bCs/>
          <w:color w:val="000000" w:themeColor="text1"/>
          <w:sz w:val="21"/>
          <w:szCs w:val="21"/>
        </w:rPr>
        <w:t>表</w:t>
      </w:r>
      <w:r>
        <w:rPr>
          <w:rFonts w:hint="eastAsia"/>
          <w:b/>
          <w:bCs/>
          <w:color w:val="000000" w:themeColor="text1"/>
          <w:sz w:val="21"/>
          <w:szCs w:val="21"/>
        </w:rPr>
        <w:t>6</w:t>
      </w:r>
      <w:r>
        <w:rPr>
          <w:b/>
          <w:bCs/>
          <w:color w:val="000000" w:themeColor="text1"/>
          <w:sz w:val="21"/>
          <w:szCs w:val="21"/>
        </w:rPr>
        <w:t>.2-</w:t>
      </w:r>
      <w:r>
        <w:rPr>
          <w:rFonts w:hint="eastAsia"/>
          <w:b/>
          <w:bCs/>
          <w:color w:val="000000" w:themeColor="text1"/>
          <w:sz w:val="21"/>
          <w:szCs w:val="21"/>
        </w:rPr>
        <w:t>25叠加背景后TSP日平均环境</w:t>
      </w:r>
      <w:r>
        <w:rPr>
          <w:b/>
          <w:bCs/>
          <w:color w:val="000000" w:themeColor="text1"/>
          <w:sz w:val="21"/>
          <w:szCs w:val="21"/>
        </w:rPr>
        <w:t>质量浓度预测结果表</w:t>
      </w:r>
    </w:p>
    <w:tbl>
      <w:tblPr>
        <w:tblStyle w:val="62"/>
        <w:tblW w:w="8298"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36"/>
        <w:gridCol w:w="535"/>
        <w:gridCol w:w="545"/>
        <w:gridCol w:w="545"/>
        <w:gridCol w:w="537"/>
        <w:gridCol w:w="1280"/>
        <w:gridCol w:w="788"/>
        <w:gridCol w:w="708"/>
        <w:gridCol w:w="788"/>
        <w:gridCol w:w="788"/>
        <w:gridCol w:w="708"/>
        <w:gridCol w:w="5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污染物</w:t>
            </w:r>
          </w:p>
        </w:tc>
        <w:tc>
          <w:tcPr>
            <w:tcW w:w="535"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预测点</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X/</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Y/</w:t>
            </w:r>
          </w:p>
        </w:tc>
        <w:tc>
          <w:tcPr>
            <w:tcW w:w="537"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平均</w:t>
            </w:r>
          </w:p>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时段</w:t>
            </w:r>
          </w:p>
        </w:tc>
        <w:tc>
          <w:tcPr>
            <w:tcW w:w="1280"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出现时间</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贡献值/</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占标率/</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现状值/</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叠加值/</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占标率/</w:t>
            </w:r>
          </w:p>
        </w:tc>
        <w:tc>
          <w:tcPr>
            <w:tcW w:w="540"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m</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m</w:t>
            </w:r>
          </w:p>
        </w:tc>
        <w:tc>
          <w:tcPr>
            <w:tcW w:w="537"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1280"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(μg/m³)</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(μg/m³)</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(μg/m³)</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w:t>
            </w:r>
          </w:p>
        </w:tc>
        <w:tc>
          <w:tcPr>
            <w:tcW w:w="540"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TSP</w:t>
            </w: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东磨村</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-2,028</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-655</w:t>
            </w:r>
          </w:p>
        </w:tc>
        <w:tc>
          <w:tcPr>
            <w:tcW w:w="53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28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2020/11/16</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1.2798</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0.4266</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143.0000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144.2798</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48.0933</w:t>
            </w:r>
          </w:p>
        </w:tc>
        <w:tc>
          <w:tcPr>
            <w:tcW w:w="54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速都</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-2,024</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-2,476</w:t>
            </w:r>
          </w:p>
        </w:tc>
        <w:tc>
          <w:tcPr>
            <w:tcW w:w="53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28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2020/10/15</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0.7030</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0.2343</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143.0000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143.7030</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47.9010</w:t>
            </w:r>
          </w:p>
        </w:tc>
        <w:tc>
          <w:tcPr>
            <w:tcW w:w="54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絮波陡</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1,462</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-2,544</w:t>
            </w:r>
          </w:p>
        </w:tc>
        <w:tc>
          <w:tcPr>
            <w:tcW w:w="53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28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2020/04/11</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0.0029</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0.0010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143.0000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143.0029</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47.6676</w:t>
            </w:r>
          </w:p>
        </w:tc>
        <w:tc>
          <w:tcPr>
            <w:tcW w:w="54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小红山</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2,196</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2,160</w:t>
            </w:r>
          </w:p>
        </w:tc>
        <w:tc>
          <w:tcPr>
            <w:tcW w:w="53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28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2020/10/30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1.2189</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0.4063</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143.0000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144.2189</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48.0730</w:t>
            </w:r>
          </w:p>
        </w:tc>
        <w:tc>
          <w:tcPr>
            <w:tcW w:w="54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曼湾</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-1,611</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-2,855</w:t>
            </w:r>
          </w:p>
        </w:tc>
        <w:tc>
          <w:tcPr>
            <w:tcW w:w="53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28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2020/02/18</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0.4799</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0.1600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143.0000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143.4799</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47.8266</w:t>
            </w:r>
          </w:p>
        </w:tc>
        <w:tc>
          <w:tcPr>
            <w:tcW w:w="54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大平掌</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1,669</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755</w:t>
            </w:r>
          </w:p>
        </w:tc>
        <w:tc>
          <w:tcPr>
            <w:tcW w:w="53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28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2020/09/05</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0.2087</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0.0696</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143.0000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143.2087</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47.7362</w:t>
            </w:r>
          </w:p>
        </w:tc>
        <w:tc>
          <w:tcPr>
            <w:tcW w:w="54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白糯格</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-2,284</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1,404</w:t>
            </w:r>
          </w:p>
        </w:tc>
        <w:tc>
          <w:tcPr>
            <w:tcW w:w="53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28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2020/10/11</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0.4893</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0.1631</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143.0000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143.4893</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47.8298</w:t>
            </w:r>
          </w:p>
        </w:tc>
        <w:tc>
          <w:tcPr>
            <w:tcW w:w="54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四坡斗村</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805</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724</w:t>
            </w:r>
          </w:p>
        </w:tc>
        <w:tc>
          <w:tcPr>
            <w:tcW w:w="53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28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2020/04/14</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3.7644</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1.2548</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143.0000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146.7644</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48.9215</w:t>
            </w:r>
          </w:p>
        </w:tc>
        <w:tc>
          <w:tcPr>
            <w:tcW w:w="54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大红山</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1,679</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2,715</w:t>
            </w:r>
          </w:p>
        </w:tc>
        <w:tc>
          <w:tcPr>
            <w:tcW w:w="53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28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2020/06/26</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0.0510</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0.0170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143.0000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143.0510</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47.6837</w:t>
            </w:r>
          </w:p>
        </w:tc>
        <w:tc>
          <w:tcPr>
            <w:tcW w:w="54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戛洒镇</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-2,431</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-1,756</w:t>
            </w:r>
          </w:p>
        </w:tc>
        <w:tc>
          <w:tcPr>
            <w:tcW w:w="53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28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2020/10/17</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0.6650</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0.2217</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143.0000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143.6650</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47.8883</w:t>
            </w:r>
          </w:p>
        </w:tc>
        <w:tc>
          <w:tcPr>
            <w:tcW w:w="54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曼秀</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-1,766</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-2,655</w:t>
            </w:r>
          </w:p>
        </w:tc>
        <w:tc>
          <w:tcPr>
            <w:tcW w:w="53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28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2020/10/17</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0.5216</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0.1739</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143.0000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143.5216</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47.8405</w:t>
            </w:r>
          </w:p>
        </w:tc>
        <w:tc>
          <w:tcPr>
            <w:tcW w:w="54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jc w:val="center"/>
        </w:trPr>
        <w:tc>
          <w:tcPr>
            <w:tcW w:w="536"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p>
        </w:tc>
        <w:tc>
          <w:tcPr>
            <w:tcW w:w="53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区域最大值</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-51</w:t>
            </w:r>
          </w:p>
        </w:tc>
        <w:tc>
          <w:tcPr>
            <w:tcW w:w="54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32</w:t>
            </w:r>
          </w:p>
        </w:tc>
        <w:tc>
          <w:tcPr>
            <w:tcW w:w="537"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24小时</w:t>
            </w:r>
          </w:p>
        </w:tc>
        <w:tc>
          <w:tcPr>
            <w:tcW w:w="128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2020/10/15</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144.4294</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48.1431</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143.0000</w:t>
            </w:r>
          </w:p>
        </w:tc>
        <w:tc>
          <w:tcPr>
            <w:tcW w:w="78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287.4294</w:t>
            </w:r>
          </w:p>
        </w:tc>
        <w:tc>
          <w:tcPr>
            <w:tcW w:w="708"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95.8098</w:t>
            </w:r>
          </w:p>
        </w:tc>
        <w:tc>
          <w:tcPr>
            <w:tcW w:w="540"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szCs w:val="21"/>
              </w:rPr>
            </w:pPr>
            <w:r>
              <w:rPr>
                <w:rFonts w:hint="eastAsia" w:ascii="宋体" w:hAnsi="宋体" w:cs="宋体"/>
                <w:color w:val="000000" w:themeColor="text1"/>
                <w:sz w:val="21"/>
                <w:szCs w:val="21"/>
              </w:rPr>
              <w:t>达标</w:t>
            </w:r>
          </w:p>
        </w:tc>
      </w:tr>
    </w:tbl>
    <w:p>
      <w:pPr>
        <w:pStyle w:val="2"/>
        <w:ind w:firstLine="422"/>
        <w:rPr>
          <w:b/>
          <w:bCs/>
          <w:color w:val="000000" w:themeColor="text1"/>
          <w:sz w:val="21"/>
          <w:szCs w:val="21"/>
          <w:lang w:eastAsia="zh-CN"/>
        </w:rPr>
      </w:pPr>
    </w:p>
    <w:p>
      <w:pPr>
        <w:spacing w:line="240" w:lineRule="auto"/>
        <w:ind w:firstLine="0" w:firstLineChars="0"/>
        <w:jc w:val="center"/>
        <w:rPr>
          <w:b/>
          <w:bCs/>
          <w:color w:val="000000" w:themeColor="text1"/>
          <w:szCs w:val="24"/>
        </w:rPr>
      </w:pPr>
      <w:r>
        <w:rPr>
          <w:rFonts w:hint="eastAsia"/>
          <w:b/>
          <w:bCs/>
          <w:color w:val="000000" w:themeColor="text1"/>
          <w:sz w:val="21"/>
          <w:szCs w:val="21"/>
        </w:rPr>
        <w:drawing>
          <wp:inline distT="0" distB="0" distL="114300" distR="114300">
            <wp:extent cx="5266690" cy="3726180"/>
            <wp:effectExtent l="0" t="0" r="10160" b="7620"/>
            <wp:docPr id="22" name="图片 22" descr="TSP日均单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TSP日均单一"/>
                    <pic:cNvPicPr>
                      <a:picLocks noChangeAspect="1"/>
                    </pic:cNvPicPr>
                  </pic:nvPicPr>
                  <pic:blipFill>
                    <a:blip r:embed="rId97" cstate="print"/>
                    <a:stretch>
                      <a:fillRect/>
                    </a:stretch>
                  </pic:blipFill>
                  <pic:spPr>
                    <a:xfrm>
                      <a:off x="0" y="0"/>
                      <a:ext cx="5266690" cy="3726180"/>
                    </a:xfrm>
                    <a:prstGeom prst="rect">
                      <a:avLst/>
                    </a:prstGeom>
                  </pic:spPr>
                </pic:pic>
              </a:graphicData>
            </a:graphic>
          </wp:inline>
        </w:drawing>
      </w:r>
    </w:p>
    <w:p>
      <w:pPr>
        <w:adjustRightInd w:val="0"/>
        <w:snapToGrid w:val="0"/>
        <w:ind w:firstLine="0" w:firstLineChars="0"/>
        <w:jc w:val="center"/>
        <w:rPr>
          <w:b/>
          <w:bCs/>
          <w:color w:val="000000" w:themeColor="text1"/>
          <w:sz w:val="21"/>
          <w:szCs w:val="21"/>
          <w:vertAlign w:val="superscript"/>
        </w:rPr>
      </w:pPr>
      <w:r>
        <w:rPr>
          <w:rFonts w:hint="eastAsia"/>
          <w:b/>
          <w:bCs/>
          <w:color w:val="000000" w:themeColor="text1"/>
          <w:sz w:val="21"/>
          <w:szCs w:val="21"/>
        </w:rPr>
        <w:t>图6.2-12TSP日均贡献环境质量浓度分布图  单位：ug/m</w:t>
      </w:r>
      <w:r>
        <w:rPr>
          <w:rFonts w:hint="eastAsia"/>
          <w:b/>
          <w:bCs/>
          <w:color w:val="000000" w:themeColor="text1"/>
          <w:sz w:val="21"/>
          <w:szCs w:val="21"/>
          <w:vertAlign w:val="superscript"/>
        </w:rPr>
        <w:t>3</w:t>
      </w:r>
    </w:p>
    <w:p>
      <w:pPr>
        <w:adjustRightInd w:val="0"/>
        <w:snapToGrid w:val="0"/>
        <w:ind w:firstLine="0" w:firstLineChars="0"/>
        <w:rPr>
          <w:b/>
          <w:bCs/>
          <w:color w:val="000000" w:themeColor="text1"/>
          <w:szCs w:val="24"/>
        </w:rPr>
      </w:pPr>
      <w:r>
        <w:rPr>
          <w:rFonts w:hint="eastAsia"/>
          <w:b/>
          <w:bCs/>
          <w:color w:val="000000" w:themeColor="text1"/>
          <w:szCs w:val="24"/>
        </w:rPr>
        <w:drawing>
          <wp:inline distT="0" distB="0" distL="114300" distR="114300">
            <wp:extent cx="5266690" cy="3726180"/>
            <wp:effectExtent l="0" t="0" r="10160" b="7620"/>
            <wp:docPr id="23" name="图片 23" descr="TSP 年均单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TSP 年均单一"/>
                    <pic:cNvPicPr>
                      <a:picLocks noChangeAspect="1"/>
                    </pic:cNvPicPr>
                  </pic:nvPicPr>
                  <pic:blipFill>
                    <a:blip r:embed="rId98" cstate="print"/>
                    <a:stretch>
                      <a:fillRect/>
                    </a:stretch>
                  </pic:blipFill>
                  <pic:spPr>
                    <a:xfrm>
                      <a:off x="0" y="0"/>
                      <a:ext cx="5266690" cy="3726180"/>
                    </a:xfrm>
                    <a:prstGeom prst="rect">
                      <a:avLst/>
                    </a:prstGeom>
                  </pic:spPr>
                </pic:pic>
              </a:graphicData>
            </a:graphic>
          </wp:inline>
        </w:drawing>
      </w:r>
    </w:p>
    <w:p>
      <w:pPr>
        <w:adjustRightInd w:val="0"/>
        <w:snapToGrid w:val="0"/>
        <w:ind w:firstLine="0" w:firstLineChars="0"/>
        <w:jc w:val="center"/>
        <w:rPr>
          <w:b/>
          <w:bCs/>
          <w:color w:val="000000" w:themeColor="text1"/>
          <w:sz w:val="22"/>
        </w:rPr>
      </w:pPr>
      <w:r>
        <w:rPr>
          <w:rFonts w:hint="eastAsia"/>
          <w:b/>
          <w:bCs/>
          <w:color w:val="000000" w:themeColor="text1"/>
          <w:sz w:val="22"/>
        </w:rPr>
        <w:t>图6.2-13</w:t>
      </w:r>
      <w:r>
        <w:rPr>
          <w:rFonts w:hint="eastAsia"/>
          <w:b/>
          <w:bCs/>
          <w:color w:val="000000" w:themeColor="text1"/>
          <w:sz w:val="22"/>
          <w:lang w:val="zh-CN"/>
        </w:rPr>
        <w:t xml:space="preserve"> </w:t>
      </w:r>
      <w:r>
        <w:rPr>
          <w:rFonts w:hint="eastAsia"/>
          <w:b/>
          <w:bCs/>
          <w:color w:val="000000" w:themeColor="text1"/>
          <w:sz w:val="22"/>
        </w:rPr>
        <w:t>TSP</w:t>
      </w:r>
      <w:r>
        <w:rPr>
          <w:rFonts w:hint="eastAsia"/>
          <w:b/>
          <w:bCs/>
          <w:color w:val="000000" w:themeColor="text1"/>
          <w:sz w:val="22"/>
          <w:lang w:val="zh-CN"/>
        </w:rPr>
        <w:t>年均贡献环境质量浓度分布图</w:t>
      </w:r>
      <w:r>
        <w:rPr>
          <w:rFonts w:hint="eastAsia"/>
          <w:b/>
          <w:bCs/>
          <w:color w:val="000000" w:themeColor="text1"/>
          <w:sz w:val="22"/>
        </w:rPr>
        <w:t xml:space="preserve"> 单位：ug/m</w:t>
      </w:r>
      <w:r>
        <w:rPr>
          <w:rFonts w:hint="eastAsia"/>
          <w:b/>
          <w:bCs/>
          <w:color w:val="000000" w:themeColor="text1"/>
          <w:sz w:val="22"/>
          <w:vertAlign w:val="superscript"/>
        </w:rPr>
        <w:t>3</w:t>
      </w:r>
    </w:p>
    <w:p>
      <w:pPr>
        <w:adjustRightInd w:val="0"/>
        <w:snapToGrid w:val="0"/>
        <w:ind w:firstLine="0" w:firstLineChars="0"/>
        <w:rPr>
          <w:b/>
          <w:bCs/>
          <w:color w:val="000000" w:themeColor="text1"/>
          <w:szCs w:val="24"/>
        </w:rPr>
      </w:pPr>
      <w:r>
        <w:rPr>
          <w:rFonts w:hint="eastAsia"/>
          <w:b/>
          <w:bCs/>
          <w:color w:val="000000" w:themeColor="text1"/>
          <w:szCs w:val="24"/>
        </w:rPr>
        <w:drawing>
          <wp:inline distT="0" distB="0" distL="114300" distR="114300">
            <wp:extent cx="5266690" cy="3726180"/>
            <wp:effectExtent l="0" t="0" r="10160" b="7620"/>
            <wp:docPr id="24" name="图片 24" descr="TSP叠加日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TSP叠加日均"/>
                    <pic:cNvPicPr>
                      <a:picLocks noChangeAspect="1"/>
                    </pic:cNvPicPr>
                  </pic:nvPicPr>
                  <pic:blipFill>
                    <a:blip r:embed="rId97" cstate="print"/>
                    <a:stretch>
                      <a:fillRect/>
                    </a:stretch>
                  </pic:blipFill>
                  <pic:spPr>
                    <a:xfrm>
                      <a:off x="0" y="0"/>
                      <a:ext cx="5266690" cy="3726180"/>
                    </a:xfrm>
                    <a:prstGeom prst="rect">
                      <a:avLst/>
                    </a:prstGeom>
                  </pic:spPr>
                </pic:pic>
              </a:graphicData>
            </a:graphic>
          </wp:inline>
        </w:drawing>
      </w:r>
    </w:p>
    <w:p>
      <w:pPr>
        <w:adjustRightInd w:val="0"/>
        <w:snapToGrid w:val="0"/>
        <w:ind w:firstLine="0" w:firstLineChars="0"/>
        <w:jc w:val="center"/>
        <w:rPr>
          <w:rFonts w:eastAsiaTheme="minorEastAsia"/>
          <w:b/>
          <w:color w:val="000000" w:themeColor="text1"/>
        </w:rPr>
      </w:pPr>
      <w:r>
        <w:rPr>
          <w:rFonts w:hint="eastAsia"/>
          <w:b/>
          <w:bCs/>
          <w:color w:val="000000" w:themeColor="text1"/>
          <w:sz w:val="21"/>
          <w:szCs w:val="21"/>
        </w:rPr>
        <w:t>图6.2-14 TSP叠加背景后日平均环境质量浓度分布图  单位：ug/m</w:t>
      </w:r>
      <w:r>
        <w:rPr>
          <w:rFonts w:hint="eastAsia"/>
          <w:b/>
          <w:bCs/>
          <w:color w:val="000000" w:themeColor="text1"/>
          <w:sz w:val="21"/>
          <w:szCs w:val="21"/>
          <w:vertAlign w:val="superscript"/>
        </w:rPr>
        <w:t>3</w:t>
      </w:r>
    </w:p>
    <w:p>
      <w:pPr>
        <w:ind w:firstLine="480"/>
        <w:rPr>
          <w:color w:val="000000" w:themeColor="text1"/>
          <w:szCs w:val="24"/>
        </w:rPr>
      </w:pPr>
      <w:r>
        <w:rPr>
          <w:rFonts w:hint="eastAsia"/>
          <w:color w:val="000000" w:themeColor="text1"/>
          <w:szCs w:val="24"/>
        </w:rPr>
        <w:t>TSP全网格的日均浓度预测最大贡献值出现在10月15日，以此气象条件作出的最大日均等浓度图见图6.</w:t>
      </w:r>
      <w:r>
        <w:rPr>
          <w:color w:val="000000" w:themeColor="text1"/>
          <w:szCs w:val="24"/>
        </w:rPr>
        <w:t>2</w:t>
      </w:r>
      <w:r>
        <w:rPr>
          <w:rFonts w:hint="eastAsia"/>
          <w:color w:val="000000" w:themeColor="text1"/>
          <w:szCs w:val="24"/>
        </w:rPr>
        <w:t>-12。年均浓度图见图6</w:t>
      </w:r>
      <w:r>
        <w:rPr>
          <w:color w:val="000000" w:themeColor="text1"/>
          <w:szCs w:val="24"/>
        </w:rPr>
        <w:t>.2-</w:t>
      </w:r>
      <w:r>
        <w:rPr>
          <w:rFonts w:hint="eastAsia"/>
          <w:color w:val="000000" w:themeColor="text1"/>
          <w:szCs w:val="24"/>
        </w:rPr>
        <w:t>13。</w:t>
      </w:r>
    </w:p>
    <w:p>
      <w:pPr>
        <w:pStyle w:val="23"/>
        <w:spacing w:line="360" w:lineRule="auto"/>
        <w:ind w:firstLine="480"/>
        <w:rPr>
          <w:rFonts w:eastAsiaTheme="minorEastAsia"/>
          <w:b/>
          <w:bCs/>
          <w:color w:val="000000" w:themeColor="text1"/>
        </w:rPr>
      </w:pPr>
      <w:r>
        <w:rPr>
          <w:color w:val="000000" w:themeColor="text1"/>
          <w:sz w:val="24"/>
        </w:rPr>
        <w:t>根据预测计算分析，</w:t>
      </w:r>
      <w:r>
        <w:rPr>
          <w:rFonts w:hint="eastAsia"/>
          <w:color w:val="000000" w:themeColor="text1"/>
          <w:sz w:val="24"/>
        </w:rPr>
        <w:t>经采取除尘抑尘措施后，</w:t>
      </w:r>
      <w:r>
        <w:rPr>
          <w:color w:val="000000" w:themeColor="text1"/>
          <w:sz w:val="24"/>
        </w:rPr>
        <w:t>本项目排放的</w:t>
      </w:r>
      <w:r>
        <w:rPr>
          <w:rFonts w:hint="eastAsia"/>
          <w:color w:val="000000" w:themeColor="text1"/>
          <w:sz w:val="24"/>
        </w:rPr>
        <w:t>颗粒物</w:t>
      </w:r>
      <w:r>
        <w:rPr>
          <w:color w:val="000000" w:themeColor="text1"/>
          <w:sz w:val="24"/>
        </w:rPr>
        <w:t>对评价区内各关心点的</w:t>
      </w:r>
      <w:r>
        <w:rPr>
          <w:rFonts w:hint="eastAsia"/>
          <w:color w:val="000000" w:themeColor="text1"/>
          <w:sz w:val="24"/>
        </w:rPr>
        <w:t>日均</w:t>
      </w:r>
      <w:r>
        <w:rPr>
          <w:color w:val="000000" w:themeColor="text1"/>
          <w:sz w:val="24"/>
        </w:rPr>
        <w:t>地面浓度贡献值</w:t>
      </w:r>
      <w:r>
        <w:rPr>
          <w:rFonts w:hint="eastAsia"/>
          <w:color w:val="000000" w:themeColor="text1"/>
          <w:sz w:val="24"/>
        </w:rPr>
        <w:t>，</w:t>
      </w:r>
      <w:r>
        <w:rPr>
          <w:color w:val="000000" w:themeColor="text1"/>
          <w:sz w:val="24"/>
        </w:rPr>
        <w:t>未超过</w:t>
      </w:r>
      <w:r>
        <w:rPr>
          <w:rFonts w:hint="eastAsia"/>
          <w:color w:val="000000" w:themeColor="text1"/>
          <w:sz w:val="24"/>
        </w:rPr>
        <w:t>小时</w:t>
      </w:r>
      <w:r>
        <w:rPr>
          <w:color w:val="000000" w:themeColor="text1"/>
          <w:sz w:val="24"/>
        </w:rPr>
        <w:t>浓度限值</w:t>
      </w:r>
      <w:r>
        <w:rPr>
          <w:rFonts w:hint="eastAsia"/>
          <w:color w:val="000000" w:themeColor="text1"/>
          <w:sz w:val="24"/>
        </w:rPr>
        <w:t>，叠加现状值基础上也未超过日均</w:t>
      </w:r>
      <w:r>
        <w:rPr>
          <w:color w:val="000000" w:themeColor="text1"/>
          <w:sz w:val="24"/>
        </w:rPr>
        <w:t>浓度限值</w:t>
      </w:r>
      <w:r>
        <w:rPr>
          <w:rFonts w:hint="eastAsia"/>
          <w:color w:val="000000" w:themeColor="text1"/>
          <w:sz w:val="24"/>
        </w:rPr>
        <w:t>，预测值日均</w:t>
      </w:r>
      <w:r>
        <w:rPr>
          <w:color w:val="000000" w:themeColor="text1"/>
          <w:sz w:val="24"/>
        </w:rPr>
        <w:t>占标率最大值为</w:t>
      </w:r>
      <w:r>
        <w:rPr>
          <w:rFonts w:hint="eastAsia"/>
          <w:color w:val="000000" w:themeColor="text1"/>
          <w:sz w:val="24"/>
        </w:rPr>
        <w:t>95.8098%</w:t>
      </w:r>
      <w:r>
        <w:rPr>
          <w:color w:val="000000" w:themeColor="text1"/>
          <w:sz w:val="24"/>
        </w:rPr>
        <w:t>。</w:t>
      </w:r>
      <w:r>
        <w:rPr>
          <w:rFonts w:hint="eastAsia"/>
          <w:color w:val="000000" w:themeColor="text1"/>
          <w:sz w:val="24"/>
        </w:rPr>
        <w:t>TSP</w:t>
      </w:r>
      <w:r>
        <w:rPr>
          <w:color w:val="000000" w:themeColor="text1"/>
          <w:sz w:val="24"/>
        </w:rPr>
        <w:t>对评价区内各关心点的</w:t>
      </w:r>
      <w:r>
        <w:rPr>
          <w:rFonts w:hint="eastAsia"/>
          <w:color w:val="000000" w:themeColor="text1"/>
          <w:sz w:val="24"/>
        </w:rPr>
        <w:t>日均</w:t>
      </w:r>
      <w:r>
        <w:rPr>
          <w:color w:val="000000" w:themeColor="text1"/>
          <w:sz w:val="24"/>
        </w:rPr>
        <w:t>质量浓度</w:t>
      </w:r>
      <w:r>
        <w:rPr>
          <w:rFonts w:hint="eastAsia"/>
          <w:color w:val="000000" w:themeColor="text1"/>
          <w:sz w:val="24"/>
        </w:rPr>
        <w:t>和年均质量浓度</w:t>
      </w:r>
      <w:r>
        <w:rPr>
          <w:color w:val="000000" w:themeColor="text1"/>
          <w:sz w:val="24"/>
        </w:rPr>
        <w:t>能够满足《环境空气质量标准》（GB3095-2012）二级标准。</w:t>
      </w:r>
    </w:p>
    <w:p>
      <w:pPr>
        <w:ind w:firstLine="482"/>
        <w:rPr>
          <w:rFonts w:eastAsiaTheme="minorEastAsia"/>
          <w:b/>
          <w:bCs/>
          <w:color w:val="000000" w:themeColor="text1"/>
        </w:rPr>
      </w:pPr>
      <w:r>
        <w:rPr>
          <w:rFonts w:hint="eastAsia" w:eastAsiaTheme="minorEastAsia"/>
          <w:b/>
          <w:bCs/>
          <w:color w:val="000000" w:themeColor="text1"/>
        </w:rPr>
        <w:t>2</w:t>
      </w:r>
      <w:r>
        <w:rPr>
          <w:rFonts w:eastAsiaTheme="minorEastAsia"/>
          <w:b/>
          <w:bCs/>
          <w:color w:val="000000" w:themeColor="text1"/>
        </w:rPr>
        <w:t>、大气污染物排放量核算</w:t>
      </w:r>
    </w:p>
    <w:p>
      <w:pPr>
        <w:ind w:firstLine="480"/>
        <w:rPr>
          <w:rFonts w:eastAsiaTheme="minorEastAsia"/>
          <w:b/>
          <w:bCs/>
          <w:color w:val="000000" w:themeColor="text1"/>
          <w:sz w:val="21"/>
          <w:szCs w:val="21"/>
        </w:rPr>
      </w:pPr>
      <w:r>
        <w:rPr>
          <w:rFonts w:eastAsiaTheme="minorEastAsia"/>
          <w:color w:val="000000" w:themeColor="text1"/>
        </w:rPr>
        <w:t>技改项目废气污染物核算表如下表所示：</w:t>
      </w:r>
    </w:p>
    <w:p>
      <w:pPr>
        <w:ind w:firstLine="422"/>
        <w:jc w:val="center"/>
        <w:rPr>
          <w:rFonts w:eastAsiaTheme="minorEastAsia"/>
          <w:color w:val="000000" w:themeColor="text1"/>
          <w:sz w:val="21"/>
          <w:szCs w:val="21"/>
        </w:rPr>
      </w:pPr>
      <w:r>
        <w:rPr>
          <w:rFonts w:eastAsiaTheme="minorEastAsia"/>
          <w:b/>
          <w:bCs/>
          <w:color w:val="000000" w:themeColor="text1"/>
          <w:sz w:val="21"/>
          <w:szCs w:val="21"/>
        </w:rPr>
        <w:t>表6.2-</w:t>
      </w:r>
      <w:r>
        <w:rPr>
          <w:rFonts w:hint="eastAsia" w:eastAsiaTheme="minorEastAsia"/>
          <w:b/>
          <w:bCs/>
          <w:color w:val="000000" w:themeColor="text1"/>
          <w:sz w:val="21"/>
          <w:szCs w:val="21"/>
        </w:rPr>
        <w:t>26</w:t>
      </w:r>
      <w:r>
        <w:rPr>
          <w:rFonts w:eastAsiaTheme="minorEastAsia"/>
          <w:b/>
          <w:bCs/>
          <w:color w:val="000000" w:themeColor="text1"/>
          <w:sz w:val="21"/>
          <w:szCs w:val="21"/>
        </w:rPr>
        <w:t>大气污染物颗粒物排放核算表</w:t>
      </w:r>
    </w:p>
    <w:tbl>
      <w:tblPr>
        <w:tblStyle w:val="61"/>
        <w:tblW w:w="88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5"/>
        <w:gridCol w:w="1147"/>
        <w:gridCol w:w="1004"/>
        <w:gridCol w:w="1529"/>
        <w:gridCol w:w="2076"/>
        <w:gridCol w:w="1287"/>
        <w:gridCol w:w="12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1" w:hRule="atLeast"/>
        </w:trPr>
        <w:tc>
          <w:tcPr>
            <w:tcW w:w="545" w:type="dxa"/>
            <w:vMerge w:val="restart"/>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序号</w:t>
            </w:r>
          </w:p>
        </w:tc>
        <w:tc>
          <w:tcPr>
            <w:tcW w:w="1147" w:type="dxa"/>
            <w:vMerge w:val="restart"/>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产污环节</w:t>
            </w:r>
          </w:p>
        </w:tc>
        <w:tc>
          <w:tcPr>
            <w:tcW w:w="1004" w:type="dxa"/>
            <w:vMerge w:val="restart"/>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污染物</w:t>
            </w:r>
          </w:p>
        </w:tc>
        <w:tc>
          <w:tcPr>
            <w:tcW w:w="1529" w:type="dxa"/>
            <w:vMerge w:val="restart"/>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主要污染防治措施</w:t>
            </w:r>
          </w:p>
        </w:tc>
        <w:tc>
          <w:tcPr>
            <w:tcW w:w="3363" w:type="dxa"/>
            <w:gridSpan w:val="2"/>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国家标准或地方标准污染物排放标准</w:t>
            </w:r>
          </w:p>
        </w:tc>
        <w:tc>
          <w:tcPr>
            <w:tcW w:w="1229" w:type="dxa"/>
            <w:vMerge w:val="restart"/>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trPr>
        <w:tc>
          <w:tcPr>
            <w:tcW w:w="545"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rPr>
                <w:rFonts w:eastAsiaTheme="minorEastAsia"/>
                <w:color w:val="000000" w:themeColor="text1"/>
                <w:sz w:val="21"/>
                <w:szCs w:val="21"/>
              </w:rPr>
            </w:pPr>
          </w:p>
        </w:tc>
        <w:tc>
          <w:tcPr>
            <w:tcW w:w="1147"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rPr>
                <w:rFonts w:eastAsiaTheme="minorEastAsia"/>
                <w:color w:val="000000" w:themeColor="text1"/>
                <w:sz w:val="21"/>
                <w:szCs w:val="21"/>
              </w:rPr>
            </w:pPr>
          </w:p>
        </w:tc>
        <w:tc>
          <w:tcPr>
            <w:tcW w:w="1004"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rPr>
                <w:rFonts w:eastAsiaTheme="minorEastAsia"/>
                <w:color w:val="000000" w:themeColor="text1"/>
                <w:sz w:val="21"/>
                <w:szCs w:val="21"/>
              </w:rPr>
            </w:pPr>
          </w:p>
        </w:tc>
        <w:tc>
          <w:tcPr>
            <w:tcW w:w="152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rPr>
                <w:rFonts w:eastAsiaTheme="minorEastAsia"/>
                <w:color w:val="000000" w:themeColor="text1"/>
                <w:sz w:val="21"/>
                <w:szCs w:val="21"/>
              </w:rPr>
            </w:pPr>
          </w:p>
        </w:tc>
        <w:tc>
          <w:tcPr>
            <w:tcW w:w="2076"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标准名称</w:t>
            </w:r>
          </w:p>
        </w:tc>
        <w:tc>
          <w:tcPr>
            <w:tcW w:w="1287"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浓度限值</w:t>
            </w:r>
          </w:p>
        </w:tc>
        <w:tc>
          <w:tcPr>
            <w:tcW w:w="1229"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62" w:hRule="atLeast"/>
        </w:trPr>
        <w:tc>
          <w:tcPr>
            <w:tcW w:w="545" w:type="dxa"/>
            <w:vMerge w:val="restart"/>
            <w:tcBorders>
              <w:top w:val="single" w:color="auto" w:sz="4" w:space="0"/>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无组织</w:t>
            </w:r>
          </w:p>
        </w:tc>
        <w:tc>
          <w:tcPr>
            <w:tcW w:w="1147"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hint="eastAsia" w:eastAsiaTheme="minorEastAsia"/>
                <w:color w:val="000000" w:themeColor="text1"/>
                <w:sz w:val="21"/>
                <w:szCs w:val="21"/>
                <w:lang w:eastAsia="zh-CN"/>
              </w:rPr>
              <w:t>装载机装料（原矿石）粉尘</w:t>
            </w:r>
          </w:p>
        </w:tc>
        <w:tc>
          <w:tcPr>
            <w:tcW w:w="1004"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颗粒物</w:t>
            </w:r>
          </w:p>
        </w:tc>
        <w:tc>
          <w:tcPr>
            <w:tcW w:w="15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kern w:val="24"/>
                <w:sz w:val="21"/>
                <w:szCs w:val="21"/>
                <w:lang w:eastAsia="zh-CN"/>
              </w:rPr>
            </w:pPr>
            <w:r>
              <w:rPr>
                <w:rFonts w:hint="eastAsia" w:eastAsiaTheme="minorEastAsia"/>
                <w:color w:val="000000" w:themeColor="text1"/>
                <w:kern w:val="24"/>
                <w:sz w:val="21"/>
                <w:szCs w:val="21"/>
                <w:lang w:eastAsia="zh-CN"/>
              </w:rPr>
              <w:t>原矿堆场半封闭+设置喷淋设施</w:t>
            </w:r>
          </w:p>
        </w:tc>
        <w:tc>
          <w:tcPr>
            <w:tcW w:w="2076" w:type="dxa"/>
            <w:vMerge w:val="restart"/>
            <w:tcBorders>
              <w:top w:val="single" w:color="auto" w:sz="4" w:space="0"/>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《铁矿采选工业污染物排放标准》（GB28661-2012）</w:t>
            </w:r>
          </w:p>
        </w:tc>
        <w:tc>
          <w:tcPr>
            <w:tcW w:w="1287" w:type="dxa"/>
            <w:vMerge w:val="restart"/>
            <w:tcBorders>
              <w:top w:val="single" w:color="auto" w:sz="4" w:space="0"/>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1.0mg/m</w:t>
            </w:r>
            <w:r>
              <w:rPr>
                <w:rFonts w:eastAsiaTheme="minorEastAsia"/>
                <w:color w:val="000000" w:themeColor="text1"/>
                <w:sz w:val="21"/>
                <w:szCs w:val="21"/>
                <w:vertAlign w:val="superscript"/>
              </w:rPr>
              <w:t>3</w:t>
            </w:r>
          </w:p>
        </w:tc>
        <w:tc>
          <w:tcPr>
            <w:tcW w:w="12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bCs/>
                <w:color w:val="000000" w:themeColor="text1"/>
                <w:sz w:val="21"/>
                <w:szCs w:val="21"/>
                <w:lang w:eastAsia="zh-CN"/>
              </w:rPr>
            </w:pPr>
            <w:r>
              <w:rPr>
                <w:rFonts w:hint="eastAsia" w:eastAsiaTheme="minorEastAsia"/>
                <w:bCs/>
                <w:color w:val="000000" w:themeColor="text1"/>
                <w:sz w:val="21"/>
                <w:szCs w:val="21"/>
                <w:lang w:eastAsia="zh-CN"/>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62" w:hRule="atLeast"/>
        </w:trPr>
        <w:tc>
          <w:tcPr>
            <w:tcW w:w="545"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147"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给料粉尘</w:t>
            </w:r>
          </w:p>
        </w:tc>
        <w:tc>
          <w:tcPr>
            <w:tcW w:w="1004"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颗粒物</w:t>
            </w:r>
          </w:p>
        </w:tc>
        <w:tc>
          <w:tcPr>
            <w:tcW w:w="15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kern w:val="24"/>
                <w:sz w:val="21"/>
                <w:szCs w:val="21"/>
                <w:lang w:eastAsia="zh-CN"/>
              </w:rPr>
              <w:t>给料口</w:t>
            </w:r>
            <w:r>
              <w:rPr>
                <w:rFonts w:eastAsiaTheme="minorEastAsia"/>
                <w:bCs/>
                <w:color w:val="000000" w:themeColor="text1"/>
                <w:sz w:val="21"/>
                <w:szCs w:val="21"/>
                <w:lang w:eastAsia="zh-CN"/>
              </w:rPr>
              <w:t>喷淋降尘，给料口除上部给料处，四周围挡</w:t>
            </w:r>
          </w:p>
        </w:tc>
        <w:tc>
          <w:tcPr>
            <w:tcW w:w="2076"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287"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2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hint="eastAsia" w:eastAsiaTheme="minorEastAsia"/>
                <w:bCs/>
                <w:color w:val="000000" w:themeColor="text1"/>
                <w:sz w:val="21"/>
                <w:szCs w:val="21"/>
              </w:rPr>
              <w:t>0.</w:t>
            </w:r>
            <w:r>
              <w:rPr>
                <w:rFonts w:hint="eastAsia" w:eastAsiaTheme="minorEastAsia"/>
                <w:bCs/>
                <w:color w:val="000000" w:themeColor="text1"/>
                <w:sz w:val="21"/>
                <w:szCs w:val="21"/>
                <w:lang w:eastAsia="zh-CN"/>
              </w:rPr>
              <w:t xml:space="preserve">225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2" w:hRule="atLeast"/>
        </w:trPr>
        <w:tc>
          <w:tcPr>
            <w:tcW w:w="545"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147"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物料堆场扬尘</w:t>
            </w:r>
          </w:p>
        </w:tc>
        <w:tc>
          <w:tcPr>
            <w:tcW w:w="1004"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颗粒物</w:t>
            </w:r>
          </w:p>
        </w:tc>
        <w:tc>
          <w:tcPr>
            <w:tcW w:w="15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kern w:val="24"/>
                <w:sz w:val="21"/>
                <w:szCs w:val="21"/>
                <w:lang w:eastAsia="zh-CN"/>
              </w:rPr>
              <w:t>原矿石、公分石和瓜子石堆场设置堆棚形式，三面围挡+遮雨棚；低品位原矿堆场、机制砂堆场设置堆棚形式，三面围挡+遮雨棚，堆棚设置喷淋装置</w:t>
            </w:r>
          </w:p>
        </w:tc>
        <w:tc>
          <w:tcPr>
            <w:tcW w:w="2076"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287"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2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hint="eastAsia"/>
                <w:color w:val="000000" w:themeColor="text1"/>
                <w:sz w:val="21"/>
                <w:szCs w:val="21"/>
                <w:lang w:eastAsia="zh-CN"/>
              </w:rPr>
              <w:t>0.532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2" w:hRule="atLeast"/>
        </w:trPr>
        <w:tc>
          <w:tcPr>
            <w:tcW w:w="545"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147"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rPr>
              <w:t>运输</w:t>
            </w:r>
            <w:r>
              <w:rPr>
                <w:rFonts w:eastAsiaTheme="minorEastAsia"/>
                <w:color w:val="000000" w:themeColor="text1"/>
                <w:sz w:val="21"/>
                <w:szCs w:val="21"/>
                <w:lang w:eastAsia="zh-CN"/>
              </w:rPr>
              <w:t>扬尘</w:t>
            </w:r>
          </w:p>
        </w:tc>
        <w:tc>
          <w:tcPr>
            <w:tcW w:w="1004"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颗粒物</w:t>
            </w:r>
          </w:p>
        </w:tc>
        <w:tc>
          <w:tcPr>
            <w:tcW w:w="15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hint="eastAsia" w:eastAsiaTheme="minorEastAsia"/>
                <w:color w:val="000000" w:themeColor="text1"/>
                <w:kern w:val="24"/>
                <w:sz w:val="21"/>
                <w:szCs w:val="21"/>
                <w:lang w:eastAsia="zh-CN"/>
              </w:rPr>
              <w:t>场地硬化，</w:t>
            </w:r>
            <w:r>
              <w:rPr>
                <w:rFonts w:eastAsiaTheme="minorEastAsia"/>
                <w:color w:val="000000" w:themeColor="text1"/>
                <w:kern w:val="24"/>
                <w:sz w:val="21"/>
                <w:szCs w:val="21"/>
                <w:lang w:eastAsia="zh-CN"/>
              </w:rPr>
              <w:t>输送皮带均为密闭式，落料处降低落料高度，运输道路定期洒水降尘</w:t>
            </w:r>
          </w:p>
        </w:tc>
        <w:tc>
          <w:tcPr>
            <w:tcW w:w="2076"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287"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2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hint="eastAsia"/>
                <w:color w:val="000000" w:themeColor="text1"/>
                <w:sz w:val="21"/>
                <w:szCs w:val="21"/>
                <w:lang w:eastAsia="zh-CN"/>
              </w:rPr>
              <w:t>0.256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41" w:hRule="atLeast"/>
        </w:trPr>
        <w:tc>
          <w:tcPr>
            <w:tcW w:w="545"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147"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原料卸载粉尘</w:t>
            </w:r>
          </w:p>
        </w:tc>
        <w:tc>
          <w:tcPr>
            <w:tcW w:w="1004"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颗粒物</w:t>
            </w:r>
          </w:p>
        </w:tc>
        <w:tc>
          <w:tcPr>
            <w:tcW w:w="15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kern w:val="24"/>
                <w:sz w:val="21"/>
                <w:szCs w:val="21"/>
                <w:lang w:eastAsia="zh-CN"/>
              </w:rPr>
              <w:t>原料装卸采用雾炮喷雾降尘</w:t>
            </w:r>
          </w:p>
        </w:tc>
        <w:tc>
          <w:tcPr>
            <w:tcW w:w="2076"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287"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2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hint="eastAsia"/>
                <w:color w:val="000000" w:themeColor="text1"/>
                <w:sz w:val="21"/>
                <w:szCs w:val="21"/>
                <w:lang w:eastAsia="zh-CN"/>
              </w:rPr>
              <w:t>0.153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52" w:hRule="atLeast"/>
        </w:trPr>
        <w:tc>
          <w:tcPr>
            <w:tcW w:w="545"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147" w:type="dxa"/>
            <w:tcBorders>
              <w:top w:val="single" w:color="auto" w:sz="4" w:space="0"/>
              <w:left w:val="single" w:color="auto" w:sz="4" w:space="0"/>
              <w:bottom w:val="single" w:color="auto" w:sz="4" w:space="0"/>
              <w:right w:val="single" w:color="auto" w:sz="4" w:space="0"/>
            </w:tcBorders>
            <w:vAlign w:val="center"/>
          </w:tcPr>
          <w:p>
            <w:pPr>
              <w:kinsoku w:val="0"/>
              <w:overflowPunct w:val="0"/>
              <w:autoSpaceDE w:val="0"/>
              <w:ind w:firstLine="0" w:firstLineChars="0"/>
              <w:rPr>
                <w:color w:val="000000" w:themeColor="text1"/>
                <w:sz w:val="21"/>
                <w:szCs w:val="21"/>
              </w:rPr>
            </w:pPr>
            <w:r>
              <w:rPr>
                <w:color w:val="000000" w:themeColor="text1"/>
                <w:sz w:val="21"/>
                <w:szCs w:val="21"/>
              </w:rPr>
              <w:t>成品</w:t>
            </w:r>
            <w:r>
              <w:rPr>
                <w:rFonts w:hint="eastAsia"/>
                <w:color w:val="000000" w:themeColor="text1"/>
                <w:sz w:val="21"/>
                <w:szCs w:val="21"/>
              </w:rPr>
              <w:t>及副产品砂石料</w:t>
            </w:r>
            <w:r>
              <w:rPr>
                <w:color w:val="000000" w:themeColor="text1"/>
                <w:sz w:val="21"/>
                <w:szCs w:val="21"/>
              </w:rPr>
              <w:t>装载粉尘</w:t>
            </w:r>
          </w:p>
          <w:p>
            <w:pPr>
              <w:pStyle w:val="19"/>
              <w:spacing w:line="240" w:lineRule="auto"/>
              <w:ind w:firstLine="0" w:firstLineChars="0"/>
              <w:jc w:val="center"/>
              <w:rPr>
                <w:rFonts w:eastAsiaTheme="minorEastAsia"/>
                <w:color w:val="000000" w:themeColor="text1"/>
                <w:sz w:val="21"/>
                <w:szCs w:val="21"/>
                <w:lang w:eastAsia="zh-CN"/>
              </w:rPr>
            </w:pPr>
          </w:p>
        </w:tc>
        <w:tc>
          <w:tcPr>
            <w:tcW w:w="1004"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颗粒物</w:t>
            </w:r>
          </w:p>
        </w:tc>
        <w:tc>
          <w:tcPr>
            <w:tcW w:w="15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kern w:val="24"/>
                <w:sz w:val="21"/>
                <w:szCs w:val="21"/>
                <w:lang w:eastAsia="zh-CN"/>
              </w:rPr>
              <w:t>原料装卸采用雾炮喷雾降尘</w:t>
            </w:r>
          </w:p>
        </w:tc>
        <w:tc>
          <w:tcPr>
            <w:tcW w:w="2076"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287"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2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hint="eastAsia"/>
                <w:color w:val="000000" w:themeColor="text1"/>
                <w:sz w:val="21"/>
                <w:szCs w:val="21"/>
                <w:lang w:eastAsia="zh-CN"/>
              </w:rPr>
              <w:t>0.255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52" w:hRule="atLeast"/>
        </w:trPr>
        <w:tc>
          <w:tcPr>
            <w:tcW w:w="545" w:type="dxa"/>
            <w:vMerge w:val="continue"/>
            <w:tcBorders>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147"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hint="eastAsia" w:eastAsiaTheme="minorEastAsia"/>
                <w:color w:val="000000" w:themeColor="text1"/>
                <w:sz w:val="21"/>
                <w:szCs w:val="21"/>
                <w:lang w:eastAsia="zh-CN"/>
              </w:rPr>
              <w:t>破碎、筛分工段未收集粉尘</w:t>
            </w:r>
          </w:p>
        </w:tc>
        <w:tc>
          <w:tcPr>
            <w:tcW w:w="1004"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颗粒物</w:t>
            </w:r>
          </w:p>
        </w:tc>
        <w:tc>
          <w:tcPr>
            <w:tcW w:w="15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kern w:val="24"/>
                <w:sz w:val="21"/>
                <w:szCs w:val="21"/>
                <w:lang w:eastAsia="zh-CN"/>
              </w:rPr>
            </w:pPr>
            <w:r>
              <w:rPr>
                <w:rFonts w:hint="eastAsia" w:eastAsiaTheme="minorEastAsia"/>
                <w:color w:val="000000" w:themeColor="text1"/>
                <w:kern w:val="24"/>
                <w:sz w:val="21"/>
                <w:szCs w:val="21"/>
                <w:lang w:eastAsia="zh-CN"/>
              </w:rPr>
              <w:t>/</w:t>
            </w:r>
          </w:p>
        </w:tc>
        <w:tc>
          <w:tcPr>
            <w:tcW w:w="2076"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p>
        </w:tc>
        <w:tc>
          <w:tcPr>
            <w:tcW w:w="1287" w:type="dxa"/>
            <w:vMerge w:val="continue"/>
            <w:tcBorders>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p>
        </w:tc>
        <w:tc>
          <w:tcPr>
            <w:tcW w:w="12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color w:val="000000" w:themeColor="text1"/>
                <w:sz w:val="21"/>
                <w:szCs w:val="21"/>
                <w:lang w:eastAsia="zh-CN"/>
              </w:rPr>
            </w:pPr>
            <w:r>
              <w:rPr>
                <w:rFonts w:hint="eastAsia"/>
                <w:color w:val="000000" w:themeColor="text1"/>
                <w:sz w:val="21"/>
                <w:szCs w:val="21"/>
                <w:lang w:eastAsia="zh-CN"/>
              </w:rPr>
              <w:t>11.89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2" w:hRule="atLeast"/>
        </w:trPr>
        <w:tc>
          <w:tcPr>
            <w:tcW w:w="4225" w:type="dxa"/>
            <w:gridSpan w:val="4"/>
            <w:tcBorders>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kern w:val="24"/>
                <w:sz w:val="21"/>
                <w:szCs w:val="21"/>
                <w:lang w:eastAsia="zh-CN"/>
              </w:rPr>
            </w:pPr>
            <w:r>
              <w:rPr>
                <w:rFonts w:eastAsiaTheme="minorEastAsia"/>
                <w:color w:val="000000" w:themeColor="text1"/>
                <w:kern w:val="24"/>
                <w:sz w:val="21"/>
                <w:szCs w:val="21"/>
                <w:lang w:eastAsia="zh-CN"/>
              </w:rPr>
              <w:t>无组织小计</w:t>
            </w:r>
          </w:p>
        </w:tc>
        <w:tc>
          <w:tcPr>
            <w:tcW w:w="2076"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p>
        </w:tc>
        <w:tc>
          <w:tcPr>
            <w:tcW w:w="1287" w:type="dxa"/>
            <w:tcBorders>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w:t>
            </w:r>
          </w:p>
        </w:tc>
        <w:tc>
          <w:tcPr>
            <w:tcW w:w="12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color w:val="000000" w:themeColor="text1"/>
                <w:sz w:val="21"/>
                <w:szCs w:val="21"/>
                <w:lang w:eastAsia="zh-CN"/>
              </w:rPr>
            </w:pPr>
            <w:r>
              <w:rPr>
                <w:rFonts w:hint="eastAsia"/>
                <w:color w:val="000000" w:themeColor="text1"/>
                <w:sz w:val="21"/>
                <w:szCs w:val="21"/>
                <w:lang w:eastAsia="zh-CN"/>
              </w:rPr>
              <w:t>13.521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1" w:hRule="atLeast"/>
        </w:trPr>
        <w:tc>
          <w:tcPr>
            <w:tcW w:w="545" w:type="dxa"/>
            <w:vMerge w:val="restart"/>
            <w:tcBorders>
              <w:top w:val="single" w:color="auto" w:sz="4" w:space="0"/>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有组织</w:t>
            </w:r>
          </w:p>
        </w:tc>
        <w:tc>
          <w:tcPr>
            <w:tcW w:w="1147"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hint="eastAsia"/>
                <w:color w:val="000000" w:themeColor="text1"/>
                <w:sz w:val="21"/>
                <w:szCs w:val="21"/>
                <w:lang w:eastAsia="zh-CN"/>
              </w:rPr>
              <w:t>DA001</w:t>
            </w:r>
            <w:r>
              <w:rPr>
                <w:color w:val="000000" w:themeColor="text1"/>
                <w:sz w:val="21"/>
                <w:szCs w:val="21"/>
                <w:lang w:eastAsia="zh-CN"/>
              </w:rPr>
              <w:t>(</w:t>
            </w:r>
            <w:r>
              <w:rPr>
                <w:rFonts w:hint="eastAsia"/>
                <w:color w:val="000000" w:themeColor="text1"/>
                <w:sz w:val="21"/>
                <w:szCs w:val="21"/>
                <w:lang w:eastAsia="zh-CN"/>
              </w:rPr>
              <w:t>鄂式破碎机</w:t>
            </w:r>
            <w:r>
              <w:rPr>
                <w:color w:val="000000" w:themeColor="text1"/>
                <w:sz w:val="21"/>
                <w:szCs w:val="21"/>
                <w:lang w:eastAsia="zh-CN"/>
              </w:rPr>
              <w:t>和2台圆锥破碎机)</w:t>
            </w:r>
          </w:p>
        </w:tc>
        <w:tc>
          <w:tcPr>
            <w:tcW w:w="1004"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颗粒物</w:t>
            </w:r>
          </w:p>
        </w:tc>
        <w:tc>
          <w:tcPr>
            <w:tcW w:w="15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hint="eastAsia" w:eastAsiaTheme="minorEastAsia"/>
                <w:color w:val="000000" w:themeColor="text1"/>
                <w:sz w:val="21"/>
                <w:szCs w:val="21"/>
                <w:lang w:eastAsia="zh-CN"/>
              </w:rPr>
              <w:t>集气罩+</w:t>
            </w:r>
            <w:r>
              <w:rPr>
                <w:rFonts w:eastAsiaTheme="minorEastAsia"/>
                <w:color w:val="000000" w:themeColor="text1"/>
                <w:sz w:val="21"/>
                <w:szCs w:val="21"/>
                <w:lang w:eastAsia="zh-CN"/>
              </w:rPr>
              <w:t>布袋除尘</w:t>
            </w:r>
          </w:p>
        </w:tc>
        <w:tc>
          <w:tcPr>
            <w:tcW w:w="2076"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p>
        </w:tc>
        <w:tc>
          <w:tcPr>
            <w:tcW w:w="1287" w:type="dxa"/>
            <w:vMerge w:val="restart"/>
            <w:tcBorders>
              <w:top w:val="single" w:color="auto" w:sz="4" w:space="0"/>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20</w:t>
            </w:r>
          </w:p>
        </w:tc>
        <w:tc>
          <w:tcPr>
            <w:tcW w:w="1229" w:type="dxa"/>
            <w:tcBorders>
              <w:top w:val="single" w:color="auto" w:sz="4" w:space="0"/>
              <w:left w:val="single" w:color="auto" w:sz="4" w:space="0"/>
              <w:bottom w:val="single" w:color="auto" w:sz="4" w:space="0"/>
              <w:right w:val="single" w:color="auto" w:sz="4" w:space="0"/>
            </w:tcBorders>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color w:val="000000" w:themeColor="text1"/>
                <w:sz w:val="21"/>
                <w:szCs w:val="21"/>
              </w:rPr>
              <w:t>0.299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9" w:hRule="atLeast"/>
        </w:trPr>
        <w:tc>
          <w:tcPr>
            <w:tcW w:w="545"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p>
        </w:tc>
        <w:tc>
          <w:tcPr>
            <w:tcW w:w="1147"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bCs/>
                <w:color w:val="000000" w:themeColor="text1"/>
                <w:sz w:val="21"/>
                <w:szCs w:val="21"/>
                <w:lang w:eastAsia="zh-CN"/>
              </w:rPr>
            </w:pPr>
            <w:r>
              <w:rPr>
                <w:rFonts w:hint="eastAsia"/>
                <w:color w:val="000000" w:themeColor="text1"/>
                <w:sz w:val="21"/>
                <w:szCs w:val="21"/>
                <w:lang w:eastAsia="zh-CN"/>
              </w:rPr>
              <w:t>DA002</w:t>
            </w:r>
            <w:r>
              <w:rPr>
                <w:color w:val="000000" w:themeColor="text1"/>
                <w:sz w:val="21"/>
                <w:szCs w:val="21"/>
                <w:lang w:eastAsia="zh-CN"/>
              </w:rPr>
              <w:t>(筛分机</w:t>
            </w:r>
            <w:r>
              <w:rPr>
                <w:rFonts w:hint="eastAsia"/>
                <w:color w:val="000000" w:themeColor="text1"/>
                <w:sz w:val="21"/>
                <w:szCs w:val="21"/>
                <w:lang w:eastAsia="zh-CN"/>
              </w:rPr>
              <w:t>、</w:t>
            </w:r>
            <w:r>
              <w:rPr>
                <w:color w:val="000000" w:themeColor="text1"/>
                <w:sz w:val="21"/>
                <w:szCs w:val="21"/>
                <w:lang w:eastAsia="zh-CN"/>
              </w:rPr>
              <w:t>制砂机</w:t>
            </w:r>
            <w:r>
              <w:rPr>
                <w:rFonts w:hint="eastAsia"/>
                <w:color w:val="000000" w:themeColor="text1"/>
                <w:sz w:val="21"/>
                <w:szCs w:val="21"/>
                <w:lang w:eastAsia="zh-CN"/>
              </w:rPr>
              <w:t>、辊压机</w:t>
            </w:r>
            <w:r>
              <w:rPr>
                <w:color w:val="000000" w:themeColor="text1"/>
                <w:sz w:val="21"/>
                <w:szCs w:val="21"/>
                <w:lang w:eastAsia="zh-CN"/>
              </w:rPr>
              <w:t>)</w:t>
            </w:r>
          </w:p>
        </w:tc>
        <w:tc>
          <w:tcPr>
            <w:tcW w:w="1004"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颗粒物</w:t>
            </w:r>
          </w:p>
        </w:tc>
        <w:tc>
          <w:tcPr>
            <w:tcW w:w="1529" w:type="dxa"/>
            <w:tcBorders>
              <w:top w:val="single" w:color="auto" w:sz="4" w:space="0"/>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hint="eastAsia" w:eastAsiaTheme="minorEastAsia"/>
                <w:color w:val="000000" w:themeColor="text1"/>
                <w:sz w:val="21"/>
                <w:szCs w:val="21"/>
                <w:lang w:eastAsia="zh-CN"/>
              </w:rPr>
              <w:t>集气罩+</w:t>
            </w:r>
            <w:r>
              <w:rPr>
                <w:rFonts w:eastAsiaTheme="minorEastAsia"/>
                <w:color w:val="000000" w:themeColor="text1"/>
                <w:sz w:val="21"/>
                <w:szCs w:val="21"/>
                <w:lang w:eastAsia="zh-CN"/>
              </w:rPr>
              <w:t>布袋除尘</w:t>
            </w:r>
          </w:p>
        </w:tc>
        <w:tc>
          <w:tcPr>
            <w:tcW w:w="2076"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p>
        </w:tc>
        <w:tc>
          <w:tcPr>
            <w:tcW w:w="1287" w:type="dxa"/>
            <w:vMerge w:val="continue"/>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rPr>
            </w:pPr>
          </w:p>
        </w:tc>
        <w:tc>
          <w:tcPr>
            <w:tcW w:w="1229" w:type="dxa"/>
            <w:tcBorders>
              <w:top w:val="single" w:color="auto" w:sz="4" w:space="0"/>
              <w:left w:val="single" w:color="auto" w:sz="4" w:space="0"/>
              <w:bottom w:val="single" w:color="auto" w:sz="4" w:space="0"/>
              <w:right w:val="single" w:color="auto" w:sz="4" w:space="0"/>
            </w:tcBorders>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Theme="minorEastAsia"/>
                <w:bCs/>
                <w:color w:val="000000" w:themeColor="text1"/>
                <w:sz w:val="21"/>
                <w:szCs w:val="21"/>
              </w:rPr>
              <w:t>0.152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1" w:hRule="atLeast"/>
        </w:trPr>
        <w:tc>
          <w:tcPr>
            <w:tcW w:w="7588" w:type="dxa"/>
            <w:gridSpan w:val="6"/>
            <w:tcBorders>
              <w:left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eastAsiaTheme="minorEastAsia"/>
                <w:color w:val="000000" w:themeColor="text1"/>
                <w:sz w:val="21"/>
                <w:szCs w:val="21"/>
                <w:lang w:eastAsia="zh-CN"/>
              </w:rPr>
              <w:t>有组织小计</w:t>
            </w:r>
          </w:p>
        </w:tc>
        <w:tc>
          <w:tcPr>
            <w:tcW w:w="1229" w:type="dxa"/>
            <w:tcBorders>
              <w:top w:val="single" w:color="auto" w:sz="4" w:space="0"/>
              <w:left w:val="single" w:color="auto" w:sz="4" w:space="0"/>
              <w:bottom w:val="single" w:color="auto" w:sz="4" w:space="0"/>
              <w:right w:val="single" w:color="auto" w:sz="4" w:space="0"/>
            </w:tcBorders>
            <w:vAlign w:val="center"/>
          </w:tcPr>
          <w:p>
            <w:pPr>
              <w:pStyle w:val="75"/>
              <w:kinsoku w:val="0"/>
              <w:overflowPunct w:val="0"/>
              <w:autoSpaceDE w:val="0"/>
              <w:spacing w:line="240" w:lineRule="auto"/>
              <w:ind w:firstLine="0" w:firstLineChars="0"/>
              <w:rPr>
                <w:rFonts w:eastAsiaTheme="minorEastAsia"/>
                <w:bCs/>
                <w:color w:val="000000" w:themeColor="text1"/>
                <w:sz w:val="21"/>
                <w:szCs w:val="21"/>
              </w:rPr>
            </w:pPr>
            <w:r>
              <w:rPr>
                <w:rFonts w:hint="eastAsia" w:eastAsia="宋体"/>
                <w:bCs/>
                <w:color w:val="000000" w:themeColor="text1"/>
                <w:sz w:val="21"/>
                <w:szCs w:val="21"/>
              </w:rPr>
              <w:t>0.451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1" w:hRule="atLeast"/>
        </w:trPr>
        <w:tc>
          <w:tcPr>
            <w:tcW w:w="7588" w:type="dxa"/>
            <w:gridSpan w:val="6"/>
            <w:tcBorders>
              <w:left w:val="single" w:color="auto" w:sz="4" w:space="0"/>
              <w:bottom w:val="single" w:color="auto" w:sz="4" w:space="0"/>
              <w:right w:val="single" w:color="auto" w:sz="4" w:space="0"/>
            </w:tcBorders>
            <w:vAlign w:val="center"/>
          </w:tcPr>
          <w:p>
            <w:pPr>
              <w:pStyle w:val="19"/>
              <w:spacing w:line="240" w:lineRule="auto"/>
              <w:ind w:firstLine="0" w:firstLineChars="0"/>
              <w:jc w:val="center"/>
              <w:rPr>
                <w:rFonts w:eastAsiaTheme="minorEastAsia"/>
                <w:color w:val="000000" w:themeColor="text1"/>
                <w:sz w:val="21"/>
                <w:szCs w:val="21"/>
                <w:lang w:eastAsia="zh-CN"/>
              </w:rPr>
            </w:pPr>
            <w:r>
              <w:rPr>
                <w:rFonts w:hint="eastAsia" w:eastAsiaTheme="minorEastAsia"/>
                <w:color w:val="000000" w:themeColor="text1"/>
                <w:sz w:val="21"/>
                <w:szCs w:val="21"/>
                <w:lang w:eastAsia="zh-CN"/>
              </w:rPr>
              <w:t>无组织与有组织合计</w:t>
            </w:r>
          </w:p>
        </w:tc>
        <w:tc>
          <w:tcPr>
            <w:tcW w:w="1229" w:type="dxa"/>
            <w:tcBorders>
              <w:top w:val="single" w:color="auto" w:sz="4" w:space="0"/>
              <w:left w:val="single" w:color="auto" w:sz="4" w:space="0"/>
              <w:bottom w:val="single" w:color="auto" w:sz="4" w:space="0"/>
              <w:right w:val="single" w:color="auto" w:sz="4" w:space="0"/>
            </w:tcBorders>
            <w:vAlign w:val="center"/>
          </w:tcPr>
          <w:p>
            <w:pPr>
              <w:pStyle w:val="75"/>
              <w:kinsoku w:val="0"/>
              <w:overflowPunct w:val="0"/>
              <w:autoSpaceDE w:val="0"/>
              <w:spacing w:line="240" w:lineRule="auto"/>
              <w:ind w:firstLine="0" w:firstLineChars="0"/>
              <w:rPr>
                <w:color w:val="000000" w:themeColor="text1"/>
                <w:sz w:val="21"/>
                <w:szCs w:val="21"/>
              </w:rPr>
            </w:pPr>
            <w:r>
              <w:rPr>
                <w:rFonts w:hint="eastAsia"/>
                <w:color w:val="000000" w:themeColor="text1"/>
                <w:sz w:val="21"/>
                <w:szCs w:val="21"/>
              </w:rPr>
              <w:t>13.972</w:t>
            </w:r>
          </w:p>
        </w:tc>
      </w:tr>
    </w:tbl>
    <w:p>
      <w:pPr>
        <w:adjustRightInd w:val="0"/>
        <w:snapToGrid w:val="0"/>
        <w:ind w:firstLine="482"/>
        <w:rPr>
          <w:b/>
          <w:bCs/>
          <w:color w:val="000000" w:themeColor="text1"/>
          <w:szCs w:val="24"/>
        </w:rPr>
      </w:pPr>
      <w:r>
        <w:rPr>
          <w:rFonts w:hint="eastAsia"/>
          <w:b/>
          <w:bCs/>
          <w:color w:val="000000" w:themeColor="text1"/>
          <w:szCs w:val="24"/>
        </w:rPr>
        <w:t>3、非正常排放预测</w:t>
      </w:r>
    </w:p>
    <w:p>
      <w:pPr>
        <w:adjustRightInd w:val="0"/>
        <w:snapToGrid w:val="0"/>
        <w:ind w:firstLine="482"/>
        <w:rPr>
          <w:b/>
          <w:bCs/>
          <w:color w:val="000000" w:themeColor="text1"/>
          <w:szCs w:val="24"/>
        </w:rPr>
      </w:pPr>
      <w:r>
        <w:rPr>
          <w:rFonts w:hint="eastAsia"/>
          <w:b/>
          <w:bCs/>
          <w:color w:val="000000" w:themeColor="text1"/>
          <w:szCs w:val="24"/>
        </w:rPr>
        <w:t>（1）预测情景</w:t>
      </w:r>
    </w:p>
    <w:p>
      <w:pPr>
        <w:adjustRightInd w:val="0"/>
        <w:snapToGrid w:val="0"/>
        <w:ind w:firstLine="480"/>
        <w:rPr>
          <w:color w:val="000000" w:themeColor="text1"/>
          <w:szCs w:val="24"/>
        </w:rPr>
      </w:pPr>
      <w:r>
        <w:rPr>
          <w:rFonts w:hint="eastAsia"/>
          <w:bCs/>
          <w:color w:val="000000" w:themeColor="text1"/>
          <w:szCs w:val="24"/>
        </w:rPr>
        <w:t>本次项目非正常工况假设为：DA001和DA002排口布袋除尘器处理效率降低至80%。</w:t>
      </w:r>
    </w:p>
    <w:p>
      <w:pPr>
        <w:adjustRightInd w:val="0"/>
        <w:snapToGrid w:val="0"/>
        <w:ind w:firstLine="482"/>
        <w:rPr>
          <w:b/>
          <w:bCs/>
          <w:color w:val="000000" w:themeColor="text1"/>
          <w:szCs w:val="24"/>
        </w:rPr>
      </w:pPr>
      <w:r>
        <w:rPr>
          <w:rFonts w:hint="eastAsia"/>
          <w:b/>
          <w:bCs/>
          <w:color w:val="000000" w:themeColor="text1"/>
          <w:szCs w:val="24"/>
        </w:rPr>
        <w:t>（2）非正常排放污染源参数</w:t>
      </w:r>
    </w:p>
    <w:p>
      <w:pPr>
        <w:adjustRightInd w:val="0"/>
        <w:snapToGrid w:val="0"/>
        <w:ind w:firstLine="480"/>
        <w:rPr>
          <w:bCs/>
          <w:color w:val="000000" w:themeColor="text1"/>
          <w:szCs w:val="24"/>
        </w:rPr>
      </w:pPr>
      <w:r>
        <w:rPr>
          <w:rFonts w:hint="eastAsia"/>
          <w:bCs/>
          <w:color w:val="000000" w:themeColor="text1"/>
          <w:szCs w:val="24"/>
        </w:rPr>
        <w:t>项目废气非正常排放污染源排放参数见下表：</w:t>
      </w:r>
    </w:p>
    <w:p>
      <w:pPr>
        <w:adjustRightInd w:val="0"/>
        <w:snapToGrid w:val="0"/>
        <w:ind w:firstLine="0" w:firstLineChars="0"/>
        <w:jc w:val="center"/>
        <w:rPr>
          <w:b/>
          <w:bCs/>
          <w:color w:val="000000" w:themeColor="text1"/>
          <w:sz w:val="21"/>
          <w:szCs w:val="21"/>
        </w:rPr>
      </w:pPr>
      <w:r>
        <w:rPr>
          <w:rFonts w:hint="eastAsia"/>
          <w:b/>
          <w:bCs/>
          <w:color w:val="000000" w:themeColor="text1"/>
          <w:sz w:val="21"/>
          <w:szCs w:val="21"/>
        </w:rPr>
        <w:t>表6.2-27非正常排放污染源参数一览表（点源）</w:t>
      </w:r>
    </w:p>
    <w:tbl>
      <w:tblPr>
        <w:tblStyle w:val="61"/>
        <w:tblW w:w="851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4"/>
        <w:gridCol w:w="2369"/>
        <w:gridCol w:w="1041"/>
        <w:gridCol w:w="1248"/>
        <w:gridCol w:w="1155"/>
        <w:gridCol w:w="1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4" w:type="dxa"/>
            <w:vAlign w:val="center"/>
          </w:tcPr>
          <w:p>
            <w:pPr>
              <w:adjustRightInd w:val="0"/>
              <w:snapToGrid w:val="0"/>
              <w:spacing w:line="240" w:lineRule="auto"/>
              <w:ind w:firstLine="0" w:firstLineChars="0"/>
              <w:jc w:val="center"/>
              <w:rPr>
                <w:bCs/>
                <w:color w:val="000000" w:themeColor="text1"/>
                <w:sz w:val="21"/>
                <w:szCs w:val="21"/>
              </w:rPr>
            </w:pPr>
            <w:r>
              <w:rPr>
                <w:bCs/>
                <w:color w:val="000000" w:themeColor="text1"/>
                <w:sz w:val="21"/>
                <w:szCs w:val="21"/>
              </w:rPr>
              <w:t>非正常排放源</w:t>
            </w:r>
          </w:p>
        </w:tc>
        <w:tc>
          <w:tcPr>
            <w:tcW w:w="2369" w:type="dxa"/>
            <w:vAlign w:val="center"/>
          </w:tcPr>
          <w:p>
            <w:pPr>
              <w:adjustRightInd w:val="0"/>
              <w:snapToGrid w:val="0"/>
              <w:spacing w:line="240" w:lineRule="auto"/>
              <w:ind w:firstLine="0" w:firstLineChars="0"/>
              <w:jc w:val="center"/>
              <w:rPr>
                <w:bCs/>
                <w:color w:val="000000" w:themeColor="text1"/>
                <w:sz w:val="21"/>
                <w:szCs w:val="21"/>
              </w:rPr>
            </w:pPr>
            <w:r>
              <w:rPr>
                <w:bCs/>
                <w:color w:val="000000" w:themeColor="text1"/>
                <w:sz w:val="21"/>
                <w:szCs w:val="21"/>
              </w:rPr>
              <w:t>非正常排放原因</w:t>
            </w:r>
          </w:p>
        </w:tc>
        <w:tc>
          <w:tcPr>
            <w:tcW w:w="1041" w:type="dxa"/>
            <w:vAlign w:val="center"/>
          </w:tcPr>
          <w:p>
            <w:pPr>
              <w:adjustRightInd w:val="0"/>
              <w:snapToGrid w:val="0"/>
              <w:spacing w:line="240" w:lineRule="auto"/>
              <w:ind w:firstLine="0" w:firstLineChars="0"/>
              <w:jc w:val="center"/>
              <w:rPr>
                <w:bCs/>
                <w:color w:val="000000" w:themeColor="text1"/>
                <w:sz w:val="21"/>
                <w:szCs w:val="21"/>
              </w:rPr>
            </w:pPr>
            <w:r>
              <w:rPr>
                <w:bCs/>
                <w:color w:val="000000" w:themeColor="text1"/>
                <w:sz w:val="21"/>
                <w:szCs w:val="21"/>
              </w:rPr>
              <w:t>污染物</w:t>
            </w:r>
          </w:p>
        </w:tc>
        <w:tc>
          <w:tcPr>
            <w:tcW w:w="1248" w:type="dxa"/>
            <w:vAlign w:val="center"/>
          </w:tcPr>
          <w:p>
            <w:pPr>
              <w:adjustRightInd w:val="0"/>
              <w:snapToGrid w:val="0"/>
              <w:spacing w:line="240" w:lineRule="auto"/>
              <w:ind w:firstLine="0" w:firstLineChars="0"/>
              <w:jc w:val="center"/>
              <w:rPr>
                <w:bCs/>
                <w:color w:val="000000" w:themeColor="text1"/>
                <w:sz w:val="21"/>
                <w:szCs w:val="21"/>
              </w:rPr>
            </w:pPr>
            <w:r>
              <w:rPr>
                <w:bCs/>
                <w:color w:val="000000" w:themeColor="text1"/>
                <w:sz w:val="21"/>
                <w:szCs w:val="21"/>
              </w:rPr>
              <w:t>非正常排放量（kg/h）</w:t>
            </w:r>
          </w:p>
        </w:tc>
        <w:tc>
          <w:tcPr>
            <w:tcW w:w="1155" w:type="dxa"/>
            <w:vAlign w:val="center"/>
          </w:tcPr>
          <w:p>
            <w:pPr>
              <w:adjustRightInd w:val="0"/>
              <w:snapToGrid w:val="0"/>
              <w:spacing w:line="240" w:lineRule="auto"/>
              <w:ind w:firstLine="0" w:firstLineChars="0"/>
              <w:jc w:val="center"/>
              <w:rPr>
                <w:bCs/>
                <w:color w:val="000000" w:themeColor="text1"/>
                <w:sz w:val="21"/>
                <w:szCs w:val="21"/>
              </w:rPr>
            </w:pPr>
            <w:r>
              <w:rPr>
                <w:bCs/>
                <w:color w:val="000000" w:themeColor="text1"/>
                <w:sz w:val="21"/>
                <w:szCs w:val="21"/>
              </w:rPr>
              <w:t>单次持续时间/h</w:t>
            </w:r>
          </w:p>
        </w:tc>
        <w:tc>
          <w:tcPr>
            <w:tcW w:w="1356" w:type="dxa"/>
            <w:vAlign w:val="center"/>
          </w:tcPr>
          <w:p>
            <w:pPr>
              <w:adjustRightInd w:val="0"/>
              <w:snapToGrid w:val="0"/>
              <w:spacing w:line="240" w:lineRule="auto"/>
              <w:ind w:firstLine="0" w:firstLineChars="0"/>
              <w:jc w:val="center"/>
              <w:rPr>
                <w:bCs/>
                <w:color w:val="000000" w:themeColor="text1"/>
                <w:sz w:val="21"/>
                <w:szCs w:val="21"/>
              </w:rPr>
            </w:pPr>
            <w:r>
              <w:rPr>
                <w:bCs/>
                <w:color w:val="000000" w:themeColor="text1"/>
                <w:sz w:val="21"/>
                <w:szCs w:val="21"/>
              </w:rPr>
              <w:t>年发生频次/次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4" w:type="dxa"/>
            <w:vAlign w:val="center"/>
          </w:tcPr>
          <w:p>
            <w:pPr>
              <w:adjustRightInd w:val="0"/>
              <w:snapToGrid w:val="0"/>
              <w:spacing w:line="240" w:lineRule="auto"/>
              <w:ind w:firstLine="0" w:firstLineChars="0"/>
              <w:jc w:val="center"/>
              <w:rPr>
                <w:rFonts w:eastAsiaTheme="minorEastAsia"/>
                <w:bCs/>
                <w:color w:val="000000" w:themeColor="text1"/>
                <w:sz w:val="21"/>
                <w:szCs w:val="21"/>
              </w:rPr>
            </w:pPr>
            <w:r>
              <w:rPr>
                <w:rFonts w:hint="eastAsia"/>
                <w:bCs/>
                <w:color w:val="000000" w:themeColor="text1"/>
                <w:sz w:val="21"/>
                <w:szCs w:val="21"/>
              </w:rPr>
              <w:t>DA001</w:t>
            </w:r>
          </w:p>
        </w:tc>
        <w:tc>
          <w:tcPr>
            <w:tcW w:w="2369" w:type="dxa"/>
            <w:vAlign w:val="center"/>
          </w:tcPr>
          <w:p>
            <w:pPr>
              <w:adjustRightInd w:val="0"/>
              <w:snapToGrid w:val="0"/>
              <w:spacing w:line="240" w:lineRule="auto"/>
              <w:ind w:firstLine="0" w:firstLineChars="0"/>
              <w:jc w:val="center"/>
              <w:rPr>
                <w:rFonts w:eastAsiaTheme="minorEastAsia"/>
                <w:bCs/>
                <w:color w:val="000000" w:themeColor="text1"/>
                <w:sz w:val="21"/>
                <w:szCs w:val="21"/>
              </w:rPr>
            </w:pPr>
            <w:r>
              <w:rPr>
                <w:rFonts w:hint="eastAsia"/>
                <w:bCs/>
                <w:color w:val="000000" w:themeColor="text1"/>
                <w:sz w:val="21"/>
                <w:szCs w:val="21"/>
              </w:rPr>
              <w:t>布袋除尘器故障</w:t>
            </w:r>
            <w:r>
              <w:rPr>
                <w:rFonts w:hint="eastAsia"/>
                <w:color w:val="000000" w:themeColor="text1"/>
                <w:sz w:val="21"/>
                <w:szCs w:val="21"/>
              </w:rPr>
              <w:t>，</w:t>
            </w:r>
            <w:r>
              <w:rPr>
                <w:color w:val="000000" w:themeColor="text1"/>
                <w:sz w:val="21"/>
                <w:szCs w:val="21"/>
              </w:rPr>
              <w:t>效率降至</w:t>
            </w:r>
            <w:r>
              <w:rPr>
                <w:rFonts w:hint="eastAsia"/>
                <w:color w:val="000000" w:themeColor="text1"/>
                <w:sz w:val="21"/>
                <w:szCs w:val="21"/>
              </w:rPr>
              <w:t>8</w:t>
            </w:r>
            <w:r>
              <w:rPr>
                <w:color w:val="000000" w:themeColor="text1"/>
                <w:sz w:val="21"/>
                <w:szCs w:val="21"/>
              </w:rPr>
              <w:t>0%</w:t>
            </w:r>
          </w:p>
        </w:tc>
        <w:tc>
          <w:tcPr>
            <w:tcW w:w="1041" w:type="dxa"/>
            <w:vAlign w:val="center"/>
          </w:tcPr>
          <w:p>
            <w:pPr>
              <w:adjustRightInd w:val="0"/>
              <w:snapToGrid w:val="0"/>
              <w:spacing w:line="240" w:lineRule="auto"/>
              <w:ind w:firstLine="0" w:firstLineChars="0"/>
              <w:jc w:val="center"/>
              <w:rPr>
                <w:rFonts w:eastAsiaTheme="minorEastAsia"/>
                <w:bCs/>
                <w:color w:val="000000" w:themeColor="text1"/>
                <w:sz w:val="21"/>
                <w:szCs w:val="21"/>
              </w:rPr>
            </w:pPr>
            <w:r>
              <w:rPr>
                <w:rFonts w:hint="eastAsia"/>
                <w:bCs/>
                <w:color w:val="000000" w:themeColor="text1"/>
                <w:sz w:val="21"/>
                <w:szCs w:val="21"/>
              </w:rPr>
              <w:t>PM</w:t>
            </w:r>
            <w:r>
              <w:rPr>
                <w:rFonts w:hint="eastAsia"/>
                <w:bCs/>
                <w:color w:val="000000" w:themeColor="text1"/>
                <w:sz w:val="21"/>
                <w:szCs w:val="21"/>
                <w:vertAlign w:val="subscript"/>
              </w:rPr>
              <w:t>10</w:t>
            </w:r>
          </w:p>
        </w:tc>
        <w:tc>
          <w:tcPr>
            <w:tcW w:w="1248"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4.16</w:t>
            </w:r>
          </w:p>
        </w:tc>
        <w:tc>
          <w:tcPr>
            <w:tcW w:w="1155" w:type="dxa"/>
            <w:vAlign w:val="center"/>
          </w:tcPr>
          <w:p>
            <w:pPr>
              <w:adjustRightInd w:val="0"/>
              <w:snapToGrid w:val="0"/>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2</w:t>
            </w:r>
          </w:p>
        </w:tc>
        <w:tc>
          <w:tcPr>
            <w:tcW w:w="1356" w:type="dxa"/>
            <w:vAlign w:val="center"/>
          </w:tcPr>
          <w:p>
            <w:pPr>
              <w:adjustRightInd w:val="0"/>
              <w:snapToGrid w:val="0"/>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1344" w:type="dxa"/>
            <w:vAlign w:val="center"/>
          </w:tcPr>
          <w:p>
            <w:pPr>
              <w:pStyle w:val="617"/>
              <w:adjustRightInd w:val="0"/>
              <w:snapToGrid w:val="0"/>
              <w:spacing w:line="240" w:lineRule="auto"/>
              <w:ind w:firstLine="0" w:firstLineChars="0"/>
              <w:jc w:val="center"/>
              <w:rPr>
                <w:rFonts w:eastAsiaTheme="minorEastAsia"/>
                <w:color w:val="000000" w:themeColor="text1"/>
                <w:sz w:val="21"/>
                <w:szCs w:val="21"/>
              </w:rPr>
            </w:pPr>
            <w:r>
              <w:rPr>
                <w:rFonts w:hint="eastAsia"/>
                <w:color w:val="000000" w:themeColor="text1"/>
                <w:sz w:val="21"/>
                <w:szCs w:val="21"/>
              </w:rPr>
              <w:t>DA002</w:t>
            </w:r>
          </w:p>
        </w:tc>
        <w:tc>
          <w:tcPr>
            <w:tcW w:w="2369" w:type="dxa"/>
            <w:vAlign w:val="center"/>
          </w:tcPr>
          <w:p>
            <w:pPr>
              <w:adjustRightInd w:val="0"/>
              <w:snapToGrid w:val="0"/>
              <w:spacing w:line="240" w:lineRule="auto"/>
              <w:ind w:firstLine="0" w:firstLineChars="0"/>
              <w:jc w:val="center"/>
              <w:rPr>
                <w:rFonts w:hAnsiTheme="minorHAnsi" w:eastAsiaTheme="minorEastAsia" w:cstheme="minorBidi"/>
                <w:color w:val="000000" w:themeColor="text1"/>
                <w:sz w:val="21"/>
                <w:szCs w:val="21"/>
              </w:rPr>
            </w:pPr>
            <w:r>
              <w:rPr>
                <w:rFonts w:hint="eastAsia"/>
                <w:color w:val="000000" w:themeColor="text1"/>
                <w:sz w:val="21"/>
                <w:szCs w:val="21"/>
              </w:rPr>
              <w:t>有机废气治理设施故障，</w:t>
            </w:r>
            <w:r>
              <w:rPr>
                <w:color w:val="000000" w:themeColor="text1"/>
                <w:sz w:val="21"/>
                <w:szCs w:val="21"/>
              </w:rPr>
              <w:t>效率降至</w:t>
            </w:r>
            <w:r>
              <w:rPr>
                <w:rFonts w:hint="eastAsia"/>
                <w:color w:val="000000" w:themeColor="text1"/>
                <w:sz w:val="21"/>
                <w:szCs w:val="21"/>
              </w:rPr>
              <w:t>8</w:t>
            </w:r>
            <w:r>
              <w:rPr>
                <w:color w:val="000000" w:themeColor="text1"/>
                <w:sz w:val="21"/>
                <w:szCs w:val="21"/>
              </w:rPr>
              <w:t>0%</w:t>
            </w:r>
          </w:p>
        </w:tc>
        <w:tc>
          <w:tcPr>
            <w:tcW w:w="1041" w:type="dxa"/>
            <w:vAlign w:val="center"/>
          </w:tcPr>
          <w:p>
            <w:pPr>
              <w:pStyle w:val="56"/>
              <w:adjustRightInd w:val="0"/>
              <w:snapToGrid w:val="0"/>
              <w:spacing w:beforeAutospacing="0" w:after="0" w:afterAutospacing="0" w:line="240" w:lineRule="auto"/>
              <w:ind w:firstLine="0" w:firstLineChars="0"/>
              <w:jc w:val="center"/>
              <w:rPr>
                <w:rFonts w:ascii="Times New Roman" w:hAnsi="Times New Roman" w:cs="Times New Roman" w:eastAsiaTheme="minorEastAsia"/>
                <w:color w:val="000000" w:themeColor="text1"/>
                <w:spacing w:val="-1"/>
                <w:position w:val="1"/>
                <w:sz w:val="21"/>
                <w:szCs w:val="21"/>
                <w:lang w:eastAsia="zh-CN" w:bidi="ar-SA"/>
              </w:rPr>
            </w:pPr>
            <w:r>
              <w:rPr>
                <w:rFonts w:hint="eastAsia" w:ascii="Times New Roman"/>
                <w:bCs/>
                <w:color w:val="000000" w:themeColor="text1"/>
                <w:sz w:val="21"/>
                <w:szCs w:val="21"/>
                <w:lang w:eastAsia="zh-CN"/>
              </w:rPr>
              <w:t>PM</w:t>
            </w:r>
            <w:r>
              <w:rPr>
                <w:rFonts w:hint="eastAsia" w:ascii="Times New Roman"/>
                <w:bCs/>
                <w:color w:val="000000" w:themeColor="text1"/>
                <w:sz w:val="21"/>
                <w:szCs w:val="21"/>
                <w:vertAlign w:val="subscript"/>
                <w:lang w:eastAsia="zh-CN"/>
              </w:rPr>
              <w:t>10</w:t>
            </w:r>
          </w:p>
        </w:tc>
        <w:tc>
          <w:tcPr>
            <w:tcW w:w="1248"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2.12</w:t>
            </w:r>
          </w:p>
        </w:tc>
        <w:tc>
          <w:tcPr>
            <w:tcW w:w="1155" w:type="dxa"/>
            <w:vAlign w:val="center"/>
          </w:tcPr>
          <w:p>
            <w:pPr>
              <w:adjustRightInd w:val="0"/>
              <w:snapToGrid w:val="0"/>
              <w:spacing w:line="240" w:lineRule="auto"/>
              <w:ind w:firstLine="0" w:firstLineChars="0"/>
              <w:jc w:val="center"/>
              <w:rPr>
                <w:color w:val="000000" w:themeColor="text1"/>
                <w:sz w:val="21"/>
                <w:szCs w:val="21"/>
              </w:rPr>
            </w:pPr>
            <w:r>
              <w:rPr>
                <w:rFonts w:hint="eastAsia"/>
                <w:color w:val="000000" w:themeColor="text1"/>
                <w:sz w:val="21"/>
                <w:szCs w:val="21"/>
              </w:rPr>
              <w:t>2</w:t>
            </w:r>
          </w:p>
        </w:tc>
        <w:tc>
          <w:tcPr>
            <w:tcW w:w="1356" w:type="dxa"/>
            <w:vAlign w:val="center"/>
          </w:tcPr>
          <w:p>
            <w:pPr>
              <w:adjustRightInd w:val="0"/>
              <w:snapToGrid w:val="0"/>
              <w:spacing w:line="240" w:lineRule="auto"/>
              <w:ind w:firstLine="0" w:firstLineChars="0"/>
              <w:jc w:val="center"/>
              <w:rPr>
                <w:rFonts w:eastAsiaTheme="minorEastAsia"/>
                <w:color w:val="000000" w:themeColor="text1"/>
                <w:sz w:val="21"/>
                <w:szCs w:val="21"/>
                <w:lang w:val="zh-CN"/>
              </w:rPr>
            </w:pPr>
            <w:r>
              <w:rPr>
                <w:rFonts w:hint="eastAsia" w:eastAsiaTheme="minorEastAsia"/>
                <w:color w:val="000000" w:themeColor="text1"/>
                <w:sz w:val="21"/>
                <w:szCs w:val="21"/>
              </w:rPr>
              <w:t>1</w:t>
            </w:r>
          </w:p>
        </w:tc>
      </w:tr>
    </w:tbl>
    <w:p>
      <w:pPr>
        <w:adjustRightInd w:val="0"/>
        <w:snapToGrid w:val="0"/>
        <w:ind w:firstLine="480"/>
        <w:rPr>
          <w:color w:val="000000" w:themeColor="text1"/>
          <w:szCs w:val="24"/>
        </w:rPr>
      </w:pPr>
    </w:p>
    <w:p>
      <w:pPr>
        <w:adjustRightInd w:val="0"/>
        <w:snapToGrid w:val="0"/>
        <w:ind w:firstLine="482"/>
        <w:rPr>
          <w:b/>
          <w:bCs/>
          <w:color w:val="000000" w:themeColor="text1"/>
          <w:szCs w:val="24"/>
        </w:rPr>
      </w:pPr>
      <w:r>
        <w:rPr>
          <w:rFonts w:hint="eastAsia"/>
          <w:b/>
          <w:bCs/>
          <w:color w:val="000000" w:themeColor="text1"/>
          <w:szCs w:val="24"/>
        </w:rPr>
        <w:t>（3）非正常预测结果</w:t>
      </w:r>
    </w:p>
    <w:p>
      <w:pPr>
        <w:adjustRightInd w:val="0"/>
        <w:snapToGrid w:val="0"/>
        <w:ind w:firstLine="482"/>
        <w:rPr>
          <w:b/>
          <w:bCs/>
          <w:color w:val="000000" w:themeColor="text1"/>
          <w:szCs w:val="24"/>
        </w:rPr>
      </w:pPr>
      <w:r>
        <w:rPr>
          <w:rFonts w:hint="eastAsia"/>
          <w:b/>
          <w:bCs/>
          <w:color w:val="000000" w:themeColor="text1"/>
          <w:szCs w:val="24"/>
        </w:rPr>
        <w:t>1）PM</w:t>
      </w:r>
      <w:r>
        <w:rPr>
          <w:rFonts w:hint="eastAsia"/>
          <w:b/>
          <w:bCs/>
          <w:color w:val="000000" w:themeColor="text1"/>
          <w:szCs w:val="24"/>
          <w:vertAlign w:val="subscript"/>
        </w:rPr>
        <w:t>10</w:t>
      </w:r>
      <w:r>
        <w:rPr>
          <w:rFonts w:hint="eastAsia"/>
          <w:b/>
          <w:bCs/>
          <w:color w:val="000000" w:themeColor="text1"/>
          <w:szCs w:val="24"/>
        </w:rPr>
        <w:t>非正常短期浓度（1小时）预测结果</w:t>
      </w:r>
    </w:p>
    <w:p>
      <w:pPr>
        <w:adjustRightInd w:val="0"/>
        <w:snapToGrid w:val="0"/>
        <w:ind w:firstLine="0" w:firstLineChars="0"/>
        <w:jc w:val="center"/>
        <w:rPr>
          <w:color w:val="000000" w:themeColor="text1"/>
        </w:rPr>
      </w:pPr>
      <w:r>
        <w:rPr>
          <w:rFonts w:hint="eastAsia"/>
          <w:b/>
          <w:bCs/>
          <w:color w:val="000000" w:themeColor="text1"/>
          <w:sz w:val="21"/>
          <w:szCs w:val="21"/>
        </w:rPr>
        <w:t>表6.2-28非正常工况PM</w:t>
      </w:r>
      <w:r>
        <w:rPr>
          <w:rFonts w:hint="eastAsia"/>
          <w:b/>
          <w:bCs/>
          <w:color w:val="000000" w:themeColor="text1"/>
          <w:sz w:val="21"/>
          <w:szCs w:val="21"/>
          <w:vertAlign w:val="subscript"/>
        </w:rPr>
        <w:t>10</w:t>
      </w:r>
      <w:r>
        <w:rPr>
          <w:rFonts w:hint="eastAsia"/>
          <w:b/>
          <w:bCs/>
          <w:color w:val="000000" w:themeColor="text1"/>
          <w:sz w:val="21"/>
          <w:szCs w:val="21"/>
        </w:rPr>
        <w:t>1小时贡献质量浓度预测结果表单位：mg/m</w:t>
      </w:r>
      <w:r>
        <w:rPr>
          <w:rFonts w:hint="eastAsia"/>
          <w:b/>
          <w:bCs/>
          <w:color w:val="000000" w:themeColor="text1"/>
          <w:sz w:val="21"/>
          <w:szCs w:val="21"/>
          <w:vertAlign w:val="superscript"/>
        </w:rPr>
        <w:t>3</w:t>
      </w:r>
    </w:p>
    <w:tbl>
      <w:tblPr>
        <w:tblStyle w:val="62"/>
        <w:tblW w:w="8298"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781"/>
        <w:gridCol w:w="781"/>
        <w:gridCol w:w="782"/>
        <w:gridCol w:w="782"/>
        <w:gridCol w:w="782"/>
        <w:gridCol w:w="1325"/>
        <w:gridCol w:w="1493"/>
        <w:gridCol w:w="789"/>
        <w:gridCol w:w="78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污染物</w:t>
            </w:r>
          </w:p>
        </w:tc>
        <w:tc>
          <w:tcPr>
            <w:tcW w:w="781"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预测点</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X/</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Y/</w:t>
            </w:r>
          </w:p>
        </w:tc>
        <w:tc>
          <w:tcPr>
            <w:tcW w:w="782"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平均</w:t>
            </w:r>
          </w:p>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时段</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最大贡献值/</w:t>
            </w:r>
          </w:p>
        </w:tc>
        <w:tc>
          <w:tcPr>
            <w:tcW w:w="1493"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出现时间</w:t>
            </w: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占标率/</w:t>
            </w:r>
          </w:p>
        </w:tc>
        <w:tc>
          <w:tcPr>
            <w:tcW w:w="783"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1"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m</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m</w:t>
            </w:r>
          </w:p>
        </w:tc>
        <w:tc>
          <w:tcPr>
            <w:tcW w:w="782"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(μg/m³)</w:t>
            </w:r>
          </w:p>
        </w:tc>
        <w:tc>
          <w:tcPr>
            <w:tcW w:w="1493"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w:t>
            </w:r>
          </w:p>
        </w:tc>
        <w:tc>
          <w:tcPr>
            <w:tcW w:w="783"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restart"/>
            <w:tcBorders>
              <w:top w:val="single" w:color="auto" w:sz="0" w:space="0"/>
              <w:left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PM</w:t>
            </w:r>
            <w:r>
              <w:rPr>
                <w:color w:val="000000" w:themeColor="text1"/>
                <w:sz w:val="21"/>
                <w:vertAlign w:val="subscript"/>
              </w:rPr>
              <w:t>10</w:t>
            </w:r>
          </w:p>
        </w:tc>
        <w:tc>
          <w:tcPr>
            <w:tcW w:w="78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东磨村</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-2,028</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-655</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41.0292</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2020/07/19 22:00</w:t>
            </w: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9.1176</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速都</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-2,024</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-2,476</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36.9481</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2020/10/06 18:00</w:t>
            </w: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8.2107</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絮波陡</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1,462</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-2,544</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0.5259</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2020/08/06 17:00</w:t>
            </w: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0.1169</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小红山</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2,196</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2,160</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13.1664</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2020/08/06 13:00</w:t>
            </w: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2.9259</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曼湾</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-1,611</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-2,855</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34.6411</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2020/01/04 19:00</w:t>
            </w: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7.6980</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大平掌</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1,669</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755</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3.5757</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2020/12/14 00:00</w:t>
            </w: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0.7946</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白糯格</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-2,284</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1,404</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31.0849</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2020/10/23 15:00</w:t>
            </w: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6.9078</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四坡斗村</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805</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724</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138.9441</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2020/05/14 22:00</w:t>
            </w: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30.8765</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大红山</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1,679</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2,715</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2.0806</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2020/10/05 23:00</w:t>
            </w: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0.4624</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戛洒镇</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-2,431</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-1,756</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37.8383</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2020/07/19 21:00</w:t>
            </w: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8.4085</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continue"/>
            <w:tcBorders>
              <w:left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曼秀</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-1,766</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-2,655</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35.9843</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2020/03/19 23:00</w:t>
            </w: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7.9965</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397" w:hRule="atLeast"/>
          <w:jc w:val="center"/>
        </w:trPr>
        <w:tc>
          <w:tcPr>
            <w:tcW w:w="781" w:type="dxa"/>
            <w:vMerge w:val="continue"/>
            <w:tcBorders>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p>
        </w:tc>
        <w:tc>
          <w:tcPr>
            <w:tcW w:w="781"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区域最大值</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-100</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100</w:t>
            </w:r>
          </w:p>
        </w:tc>
        <w:tc>
          <w:tcPr>
            <w:tcW w:w="782"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1小时</w:t>
            </w:r>
          </w:p>
        </w:tc>
        <w:tc>
          <w:tcPr>
            <w:tcW w:w="1325"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1,206.2972</w:t>
            </w:r>
          </w:p>
        </w:tc>
        <w:tc>
          <w:tcPr>
            <w:tcW w:w="149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rPr>
            </w:pPr>
            <w:r>
              <w:rPr>
                <w:color w:val="000000" w:themeColor="text1"/>
                <w:sz w:val="21"/>
              </w:rPr>
              <w:t>2020/01/28 10:00</w:t>
            </w:r>
          </w:p>
        </w:tc>
        <w:tc>
          <w:tcPr>
            <w:tcW w:w="789"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color w:val="000000" w:themeColor="text1"/>
                <w:sz w:val="21"/>
                <w:szCs w:val="21"/>
              </w:rPr>
            </w:pPr>
            <w:r>
              <w:rPr>
                <w:color w:val="000000" w:themeColor="text1"/>
                <w:sz w:val="21"/>
                <w:szCs w:val="21"/>
              </w:rPr>
              <w:t>268.0660</w:t>
            </w:r>
          </w:p>
        </w:tc>
        <w:tc>
          <w:tcPr>
            <w:tcW w:w="783" w:type="dxa"/>
            <w:tcBorders>
              <w:top w:val="single" w:color="auto" w:sz="0" w:space="0"/>
              <w:left w:val="single" w:color="auto" w:sz="0" w:space="0"/>
              <w:bottom w:val="single" w:color="auto" w:sz="0" w:space="0"/>
              <w:right w:val="single" w:color="auto" w:sz="0" w:space="0"/>
            </w:tcBorders>
            <w:vAlign w:val="center"/>
          </w:tcPr>
          <w:p>
            <w:pPr>
              <w:spacing w:line="240" w:lineRule="auto"/>
              <w:ind w:firstLine="0" w:firstLineChars="0"/>
              <w:jc w:val="center"/>
              <w:rPr>
                <w:rFonts w:ascii="宋体" w:hAnsi="宋体" w:cs="宋体"/>
                <w:color w:val="000000" w:themeColor="text1"/>
                <w:sz w:val="21"/>
              </w:rPr>
            </w:pPr>
            <w:r>
              <w:rPr>
                <w:rFonts w:hint="eastAsia" w:ascii="宋体" w:hAnsi="宋体" w:cs="宋体"/>
                <w:color w:val="000000" w:themeColor="text1"/>
                <w:sz w:val="21"/>
              </w:rPr>
              <w:t>超标</w:t>
            </w:r>
          </w:p>
        </w:tc>
      </w:tr>
    </w:tbl>
    <w:p>
      <w:pPr>
        <w:adjustRightInd w:val="0"/>
        <w:snapToGrid w:val="0"/>
        <w:ind w:firstLine="0" w:firstLineChars="0"/>
        <w:jc w:val="center"/>
        <w:rPr>
          <w:b/>
          <w:bCs/>
          <w:color w:val="000000" w:themeColor="text1"/>
          <w:sz w:val="21"/>
          <w:szCs w:val="21"/>
        </w:rPr>
      </w:pPr>
    </w:p>
    <w:p>
      <w:pPr>
        <w:adjustRightInd w:val="0"/>
        <w:snapToGrid w:val="0"/>
        <w:ind w:firstLine="0" w:firstLineChars="0"/>
        <w:jc w:val="center"/>
        <w:rPr>
          <w:b/>
          <w:bCs/>
          <w:color w:val="000000" w:themeColor="text1"/>
          <w:sz w:val="21"/>
          <w:szCs w:val="21"/>
        </w:rPr>
      </w:pPr>
    </w:p>
    <w:p>
      <w:pPr>
        <w:pStyle w:val="78"/>
        <w:ind w:firstLine="0" w:firstLineChars="0"/>
        <w:rPr>
          <w:color w:val="000000" w:themeColor="text1"/>
        </w:rPr>
      </w:pPr>
      <w:r>
        <w:rPr>
          <w:rFonts w:hint="eastAsia"/>
          <w:color w:val="000000" w:themeColor="text1"/>
        </w:rPr>
        <w:drawing>
          <wp:inline distT="0" distB="0" distL="114300" distR="114300">
            <wp:extent cx="5266690" cy="3726180"/>
            <wp:effectExtent l="0" t="0" r="10160" b="7620"/>
            <wp:docPr id="25" name="图片 25" descr="PM10非正常1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PM10非正常1h"/>
                    <pic:cNvPicPr>
                      <a:picLocks noChangeAspect="1"/>
                    </pic:cNvPicPr>
                  </pic:nvPicPr>
                  <pic:blipFill>
                    <a:blip r:embed="rId99" cstate="print"/>
                    <a:stretch>
                      <a:fillRect/>
                    </a:stretch>
                  </pic:blipFill>
                  <pic:spPr>
                    <a:xfrm>
                      <a:off x="0" y="0"/>
                      <a:ext cx="5266690" cy="3726180"/>
                    </a:xfrm>
                    <a:prstGeom prst="rect">
                      <a:avLst/>
                    </a:prstGeom>
                  </pic:spPr>
                </pic:pic>
              </a:graphicData>
            </a:graphic>
          </wp:inline>
        </w:drawing>
      </w:r>
    </w:p>
    <w:p>
      <w:pPr>
        <w:pStyle w:val="78"/>
        <w:ind w:firstLine="0" w:firstLineChars="0"/>
        <w:rPr>
          <w:color w:val="000000" w:themeColor="text1"/>
        </w:rPr>
      </w:pPr>
    </w:p>
    <w:p>
      <w:pPr>
        <w:adjustRightInd w:val="0"/>
        <w:snapToGrid w:val="0"/>
        <w:ind w:firstLine="0" w:firstLineChars="0"/>
        <w:jc w:val="center"/>
        <w:rPr>
          <w:b/>
          <w:bCs/>
          <w:color w:val="000000" w:themeColor="text1"/>
          <w:sz w:val="22"/>
          <w:vertAlign w:val="superscript"/>
        </w:rPr>
      </w:pPr>
      <w:r>
        <w:rPr>
          <w:rFonts w:hint="eastAsia"/>
          <w:b/>
          <w:bCs/>
          <w:color w:val="000000" w:themeColor="text1"/>
          <w:sz w:val="22"/>
        </w:rPr>
        <w:t>图6.2-15非正常工况PM</w:t>
      </w:r>
      <w:r>
        <w:rPr>
          <w:rFonts w:hint="eastAsia"/>
          <w:b/>
          <w:bCs/>
          <w:color w:val="000000" w:themeColor="text1"/>
          <w:sz w:val="22"/>
          <w:vertAlign w:val="subscript"/>
        </w:rPr>
        <w:t>10</w:t>
      </w:r>
      <w:r>
        <w:rPr>
          <w:rFonts w:hint="eastAsia"/>
          <w:b/>
          <w:bCs/>
          <w:color w:val="000000" w:themeColor="text1"/>
          <w:sz w:val="22"/>
        </w:rPr>
        <w:t>最大落地1小时浓度贡献值等值线图单位：ug/m</w:t>
      </w:r>
      <w:r>
        <w:rPr>
          <w:rFonts w:hint="eastAsia"/>
          <w:b/>
          <w:bCs/>
          <w:color w:val="000000" w:themeColor="text1"/>
          <w:sz w:val="22"/>
          <w:vertAlign w:val="superscript"/>
        </w:rPr>
        <w:t>3</w:t>
      </w:r>
    </w:p>
    <w:p>
      <w:pPr>
        <w:ind w:firstLine="480"/>
        <w:rPr>
          <w:color w:val="000000" w:themeColor="text1"/>
          <w:kern w:val="0"/>
          <w:szCs w:val="24"/>
        </w:rPr>
      </w:pPr>
      <w:r>
        <w:rPr>
          <w:rFonts w:hint="eastAsia"/>
          <w:color w:val="000000" w:themeColor="text1"/>
          <w:szCs w:val="24"/>
        </w:rPr>
        <w:t>预测结果表明，非正常排放情况下，评价范围关心点及刚个点PM</w:t>
      </w:r>
      <w:r>
        <w:rPr>
          <w:rFonts w:hint="eastAsia"/>
          <w:color w:val="000000" w:themeColor="text1"/>
          <w:szCs w:val="24"/>
          <w:vertAlign w:val="subscript"/>
        </w:rPr>
        <w:t>10</w:t>
      </w:r>
      <w:r>
        <w:rPr>
          <w:rFonts w:hint="eastAsia"/>
          <w:color w:val="000000" w:themeColor="text1"/>
          <w:szCs w:val="24"/>
        </w:rPr>
        <w:t>浓度均部分超出了《环境空气质量标准》（GB3095-2012</w:t>
      </w:r>
      <w:r>
        <w:rPr>
          <w:color w:val="000000" w:themeColor="text1"/>
          <w:szCs w:val="24"/>
        </w:rPr>
        <w:t>）</w:t>
      </w:r>
      <w:r>
        <w:rPr>
          <w:rFonts w:hint="eastAsia"/>
          <w:color w:val="000000" w:themeColor="text1"/>
          <w:szCs w:val="24"/>
        </w:rPr>
        <w:t>二级标准，</w:t>
      </w:r>
      <w:r>
        <w:rPr>
          <w:bCs/>
          <w:color w:val="000000" w:themeColor="text1"/>
          <w:szCs w:val="24"/>
        </w:rPr>
        <w:t>最大落地浓度出现在</w:t>
      </w:r>
      <w:r>
        <w:rPr>
          <w:rFonts w:hint="eastAsia"/>
          <w:bCs/>
          <w:color w:val="000000" w:themeColor="text1"/>
          <w:szCs w:val="24"/>
        </w:rPr>
        <w:t>网格点</w:t>
      </w:r>
      <w:r>
        <w:rPr>
          <w:color w:val="000000" w:themeColor="text1"/>
          <w:kern w:val="0"/>
          <w:szCs w:val="24"/>
        </w:rPr>
        <w:t>，浓度为1206.2972</w:t>
      </w:r>
      <w:r>
        <w:rPr>
          <w:rFonts w:hint="eastAsia"/>
          <w:color w:val="000000" w:themeColor="text1"/>
          <w:kern w:val="0"/>
          <w:szCs w:val="24"/>
        </w:rPr>
        <w:t>u</w:t>
      </w:r>
      <w:r>
        <w:rPr>
          <w:color w:val="000000" w:themeColor="text1"/>
          <w:kern w:val="0"/>
          <w:szCs w:val="24"/>
        </w:rPr>
        <w:t>g/m</w:t>
      </w:r>
      <w:r>
        <w:rPr>
          <w:color w:val="000000" w:themeColor="text1"/>
          <w:kern w:val="0"/>
          <w:szCs w:val="24"/>
          <w:vertAlign w:val="superscript"/>
        </w:rPr>
        <w:t>3</w:t>
      </w:r>
      <w:r>
        <w:rPr>
          <w:color w:val="000000" w:themeColor="text1"/>
          <w:kern w:val="0"/>
          <w:szCs w:val="24"/>
        </w:rPr>
        <w:t>，最大占标率</w:t>
      </w:r>
      <w:r>
        <w:rPr>
          <w:rFonts w:hint="eastAsia"/>
          <w:color w:val="000000" w:themeColor="text1"/>
          <w:szCs w:val="24"/>
        </w:rPr>
        <w:t>268.066</w:t>
      </w:r>
      <w:r>
        <w:rPr>
          <w:color w:val="000000" w:themeColor="text1"/>
          <w:kern w:val="0"/>
          <w:szCs w:val="24"/>
        </w:rPr>
        <w:t>%</w:t>
      </w:r>
      <w:r>
        <w:rPr>
          <w:rFonts w:hint="eastAsia"/>
          <w:color w:val="000000" w:themeColor="text1"/>
          <w:kern w:val="0"/>
          <w:szCs w:val="24"/>
        </w:rPr>
        <w:t>，呈超标状况。</w:t>
      </w:r>
    </w:p>
    <w:p>
      <w:pPr>
        <w:ind w:firstLine="480"/>
        <w:rPr>
          <w:b/>
          <w:color w:val="000000" w:themeColor="text1"/>
        </w:rPr>
      </w:pPr>
      <w:r>
        <w:rPr>
          <w:rFonts w:hint="eastAsia" w:eastAsiaTheme="minorEastAsia"/>
          <w:color w:val="000000" w:themeColor="text1"/>
        </w:rPr>
        <w:t>根据以上预测结果，若布袋除尘器出现布袋破损，就会出现颗粒物超标现象，故在日常管理中，加强设备的巡检，若发现布袋破损现象，立即停止生产，并更换布袋，确保颗粒物达标排放。</w:t>
      </w:r>
    </w:p>
    <w:p>
      <w:pPr>
        <w:ind w:firstLine="482"/>
        <w:rPr>
          <w:b/>
          <w:color w:val="000000" w:themeColor="text1"/>
        </w:rPr>
      </w:pPr>
      <w:r>
        <w:rPr>
          <w:rFonts w:hint="eastAsia"/>
          <w:b/>
          <w:color w:val="000000" w:themeColor="text1"/>
        </w:rPr>
        <w:t>4</w:t>
      </w:r>
      <w:r>
        <w:rPr>
          <w:b/>
          <w:color w:val="000000" w:themeColor="text1"/>
        </w:rPr>
        <w:t>、</w:t>
      </w:r>
      <w:r>
        <w:rPr>
          <w:rFonts w:hint="eastAsia"/>
          <w:b/>
          <w:color w:val="000000" w:themeColor="text1"/>
        </w:rPr>
        <w:t>厂界污染物预测与分析</w:t>
      </w:r>
    </w:p>
    <w:p>
      <w:pPr>
        <w:ind w:firstLine="480"/>
        <w:rPr>
          <w:color w:val="000000" w:themeColor="text1"/>
        </w:rPr>
      </w:pPr>
      <w:r>
        <w:rPr>
          <w:color w:val="000000" w:themeColor="text1"/>
        </w:rPr>
        <w:t>本次采用</w:t>
      </w:r>
      <w:r>
        <w:rPr>
          <w:rFonts w:hint="eastAsia"/>
          <w:color w:val="000000" w:themeColor="text1"/>
        </w:rPr>
        <w:t>技改</w:t>
      </w:r>
      <w:r>
        <w:rPr>
          <w:color w:val="000000" w:themeColor="text1"/>
        </w:rPr>
        <w:t>后项目排放的无组织废气污染物</w:t>
      </w:r>
      <w:r>
        <w:rPr>
          <w:rFonts w:eastAsia="黑体"/>
          <w:color w:val="000000" w:themeColor="text1"/>
          <w:szCs w:val="21"/>
        </w:rPr>
        <w:t>TSP</w:t>
      </w:r>
      <w:r>
        <w:rPr>
          <w:color w:val="000000" w:themeColor="text1"/>
        </w:rPr>
        <w:t>对全厂厂界进行预测。</w:t>
      </w:r>
    </w:p>
    <w:p>
      <w:pPr>
        <w:ind w:firstLine="480"/>
        <w:rPr>
          <w:color w:val="000000" w:themeColor="text1"/>
        </w:rPr>
      </w:pPr>
      <w:r>
        <w:rPr>
          <w:color w:val="000000" w:themeColor="text1"/>
        </w:rPr>
        <w:t>本次无组织预测在全厂厂界设置</w:t>
      </w:r>
      <w:r>
        <w:rPr>
          <w:rFonts w:hint="eastAsia"/>
          <w:color w:val="000000" w:themeColor="text1"/>
        </w:rPr>
        <w:t>4</w:t>
      </w:r>
      <w:r>
        <w:rPr>
          <w:color w:val="000000" w:themeColor="text1"/>
        </w:rPr>
        <w:t>个预测点，预测点采用以关心点的形式输入AERMOD模式软件中进行预测，采用大气无组织排放监控点进行监控浓度评价。本项目TSP对全厂厂界的影响预测结果见下表。</w:t>
      </w:r>
    </w:p>
    <w:p>
      <w:pPr>
        <w:pStyle w:val="26"/>
        <w:widowControl w:val="0"/>
        <w:adjustRightInd w:val="0"/>
        <w:snapToGrid w:val="0"/>
        <w:spacing w:after="0"/>
        <w:ind w:firstLine="422"/>
        <w:jc w:val="center"/>
        <w:rPr>
          <w:rFonts w:eastAsia="宋体"/>
          <w:color w:val="000000" w:themeColor="text1"/>
          <w:sz w:val="21"/>
          <w:szCs w:val="21"/>
          <w:lang w:eastAsia="zh-CN"/>
        </w:rPr>
      </w:pPr>
      <w:r>
        <w:rPr>
          <w:rFonts w:eastAsia="宋体"/>
          <w:b/>
          <w:bCs/>
          <w:color w:val="000000" w:themeColor="text1"/>
          <w:sz w:val="21"/>
          <w:szCs w:val="21"/>
          <w:lang w:eastAsia="zh-CN"/>
        </w:rPr>
        <w:t>表</w:t>
      </w:r>
      <w:r>
        <w:rPr>
          <w:rFonts w:hint="eastAsia" w:eastAsia="宋体"/>
          <w:b/>
          <w:bCs/>
          <w:color w:val="000000" w:themeColor="text1"/>
          <w:sz w:val="21"/>
          <w:szCs w:val="21"/>
          <w:lang w:eastAsia="zh-CN"/>
        </w:rPr>
        <w:t>6</w:t>
      </w:r>
      <w:r>
        <w:rPr>
          <w:rFonts w:eastAsia="宋体"/>
          <w:b/>
          <w:bCs/>
          <w:color w:val="000000" w:themeColor="text1"/>
          <w:sz w:val="21"/>
          <w:szCs w:val="21"/>
          <w:lang w:eastAsia="zh-CN"/>
        </w:rPr>
        <w:t>.2-</w:t>
      </w:r>
      <w:r>
        <w:rPr>
          <w:rFonts w:hint="eastAsia" w:eastAsia="宋体"/>
          <w:b/>
          <w:bCs/>
          <w:color w:val="000000" w:themeColor="text1"/>
          <w:sz w:val="21"/>
          <w:szCs w:val="21"/>
          <w:lang w:eastAsia="zh-CN"/>
        </w:rPr>
        <w:t>29全厂厂界</w:t>
      </w:r>
      <w:r>
        <w:rPr>
          <w:rFonts w:eastAsia="宋体"/>
          <w:b/>
          <w:bCs/>
          <w:color w:val="000000" w:themeColor="text1"/>
          <w:sz w:val="21"/>
          <w:szCs w:val="21"/>
          <w:lang w:eastAsia="zh-CN"/>
        </w:rPr>
        <w:t>TSP面源污染源预测结果表</w:t>
      </w:r>
    </w:p>
    <w:tbl>
      <w:tblPr>
        <w:tblStyle w:val="61"/>
        <w:tblW w:w="8519" w:type="dxa"/>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
      <w:tblGrid>
        <w:gridCol w:w="881"/>
        <w:gridCol w:w="1395"/>
        <w:gridCol w:w="1390"/>
        <w:gridCol w:w="1649"/>
        <w:gridCol w:w="1601"/>
        <w:gridCol w:w="1603"/>
      </w:tblGrid>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881" w:type="dxa"/>
            <w:vAlign w:val="center"/>
          </w:tcPr>
          <w:p>
            <w:pPr>
              <w:spacing w:line="240" w:lineRule="auto"/>
              <w:ind w:firstLine="0" w:firstLineChars="0"/>
              <w:jc w:val="center"/>
              <w:rPr>
                <w:color w:val="000000" w:themeColor="text1"/>
                <w:sz w:val="21"/>
                <w:szCs w:val="21"/>
              </w:rPr>
            </w:pPr>
            <w:r>
              <w:rPr>
                <w:color w:val="000000" w:themeColor="text1"/>
                <w:sz w:val="21"/>
                <w:szCs w:val="21"/>
              </w:rPr>
              <w:t>项目</w:t>
            </w:r>
          </w:p>
        </w:tc>
        <w:tc>
          <w:tcPr>
            <w:tcW w:w="1395" w:type="dxa"/>
            <w:vAlign w:val="center"/>
          </w:tcPr>
          <w:p>
            <w:pPr>
              <w:spacing w:line="240" w:lineRule="auto"/>
              <w:ind w:firstLine="0" w:firstLineChars="0"/>
              <w:jc w:val="center"/>
              <w:rPr>
                <w:color w:val="000000" w:themeColor="text1"/>
                <w:sz w:val="21"/>
                <w:szCs w:val="21"/>
              </w:rPr>
            </w:pPr>
            <w:r>
              <w:rPr>
                <w:color w:val="000000" w:themeColor="text1"/>
                <w:sz w:val="21"/>
                <w:szCs w:val="21"/>
              </w:rPr>
              <w:t>监控位置</w:t>
            </w:r>
          </w:p>
        </w:tc>
        <w:tc>
          <w:tcPr>
            <w:tcW w:w="1390" w:type="dxa"/>
            <w:vAlign w:val="center"/>
          </w:tcPr>
          <w:p>
            <w:pPr>
              <w:spacing w:line="240" w:lineRule="auto"/>
              <w:ind w:firstLine="0" w:firstLineChars="0"/>
              <w:jc w:val="center"/>
              <w:rPr>
                <w:color w:val="000000" w:themeColor="text1"/>
                <w:sz w:val="21"/>
                <w:szCs w:val="21"/>
              </w:rPr>
            </w:pPr>
            <w:r>
              <w:rPr>
                <w:color w:val="000000" w:themeColor="text1"/>
                <w:sz w:val="21"/>
                <w:szCs w:val="21"/>
              </w:rPr>
              <w:t>浓度类型</w:t>
            </w:r>
          </w:p>
        </w:tc>
        <w:tc>
          <w:tcPr>
            <w:tcW w:w="1649" w:type="dxa"/>
            <w:vAlign w:val="center"/>
          </w:tcPr>
          <w:p>
            <w:pPr>
              <w:spacing w:line="240" w:lineRule="auto"/>
              <w:ind w:firstLine="0" w:firstLineChars="0"/>
              <w:jc w:val="center"/>
              <w:rPr>
                <w:color w:val="000000" w:themeColor="text1"/>
                <w:sz w:val="21"/>
                <w:szCs w:val="21"/>
              </w:rPr>
            </w:pPr>
            <w:r>
              <w:rPr>
                <w:color w:val="000000" w:themeColor="text1"/>
                <w:sz w:val="21"/>
                <w:szCs w:val="21"/>
              </w:rPr>
              <w:t>贡献值（μg/m³）</w:t>
            </w:r>
          </w:p>
        </w:tc>
        <w:tc>
          <w:tcPr>
            <w:tcW w:w="1601" w:type="dxa"/>
            <w:vAlign w:val="center"/>
          </w:tcPr>
          <w:p>
            <w:pPr>
              <w:spacing w:line="240" w:lineRule="auto"/>
              <w:ind w:firstLine="0" w:firstLineChars="0"/>
              <w:jc w:val="center"/>
              <w:rPr>
                <w:color w:val="000000" w:themeColor="text1"/>
                <w:sz w:val="21"/>
                <w:szCs w:val="21"/>
              </w:rPr>
            </w:pPr>
            <w:r>
              <w:rPr>
                <w:color w:val="000000" w:themeColor="text1"/>
                <w:sz w:val="21"/>
                <w:szCs w:val="21"/>
              </w:rPr>
              <w:t>标准（μg/m³）</w:t>
            </w:r>
          </w:p>
        </w:tc>
        <w:tc>
          <w:tcPr>
            <w:tcW w:w="1603" w:type="dxa"/>
            <w:vAlign w:val="center"/>
          </w:tcPr>
          <w:p>
            <w:pPr>
              <w:spacing w:line="240" w:lineRule="auto"/>
              <w:ind w:firstLine="0" w:firstLineChars="0"/>
              <w:jc w:val="center"/>
              <w:rPr>
                <w:color w:val="000000" w:themeColor="text1"/>
                <w:sz w:val="21"/>
                <w:szCs w:val="21"/>
              </w:rPr>
            </w:pPr>
            <w:r>
              <w:rPr>
                <w:color w:val="000000" w:themeColor="text1"/>
                <w:sz w:val="21"/>
                <w:szCs w:val="21"/>
              </w:rPr>
              <w:t>是否超标</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881" w:type="dxa"/>
            <w:vMerge w:val="restart"/>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TSP</w:t>
            </w:r>
          </w:p>
        </w:tc>
        <w:tc>
          <w:tcPr>
            <w:tcW w:w="1395" w:type="dxa"/>
            <w:vAlign w:val="center"/>
          </w:tcPr>
          <w:p>
            <w:pPr>
              <w:spacing w:line="240" w:lineRule="auto"/>
              <w:ind w:firstLine="0" w:firstLineChars="0"/>
              <w:jc w:val="center"/>
              <w:rPr>
                <w:color w:val="000000" w:themeColor="text1"/>
                <w:sz w:val="21"/>
                <w:szCs w:val="21"/>
              </w:rPr>
            </w:pPr>
            <w:r>
              <w:rPr>
                <w:color w:val="000000" w:themeColor="text1"/>
                <w:sz w:val="21"/>
                <w:szCs w:val="21"/>
              </w:rPr>
              <w:t>厂界东</w:t>
            </w:r>
          </w:p>
        </w:tc>
        <w:tc>
          <w:tcPr>
            <w:tcW w:w="139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24</w:t>
            </w:r>
            <w:r>
              <w:rPr>
                <w:color w:val="000000" w:themeColor="text1"/>
                <w:sz w:val="21"/>
                <w:szCs w:val="21"/>
              </w:rPr>
              <w:t>小时</w:t>
            </w:r>
          </w:p>
        </w:tc>
        <w:tc>
          <w:tcPr>
            <w:tcW w:w="1649"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rPr>
              <w:t>125.9980</w:t>
            </w:r>
          </w:p>
        </w:tc>
        <w:tc>
          <w:tcPr>
            <w:tcW w:w="1601" w:type="dxa"/>
            <w:vAlign w:val="center"/>
          </w:tcPr>
          <w:p>
            <w:pPr>
              <w:spacing w:line="240" w:lineRule="auto"/>
              <w:ind w:firstLine="0" w:firstLineChars="0"/>
              <w:jc w:val="center"/>
              <w:rPr>
                <w:rFonts w:hint="default" w:eastAsiaTheme="minorEastAsia"/>
                <w:color w:val="000000" w:themeColor="text1"/>
                <w:sz w:val="21"/>
                <w:szCs w:val="21"/>
                <w:lang w:val="en-US" w:eastAsia="zh-CN"/>
              </w:rPr>
            </w:pPr>
            <w:r>
              <w:rPr>
                <w:rFonts w:hint="eastAsia" w:eastAsiaTheme="minorEastAsia"/>
                <w:color w:val="000000" w:themeColor="text1"/>
                <w:sz w:val="21"/>
                <w:szCs w:val="21"/>
                <w:lang w:val="en-US" w:eastAsia="zh-CN"/>
              </w:rPr>
              <w:t>1000</w:t>
            </w:r>
          </w:p>
        </w:tc>
        <w:tc>
          <w:tcPr>
            <w:tcW w:w="1603" w:type="dxa"/>
            <w:vAlign w:val="center"/>
          </w:tcPr>
          <w:p>
            <w:pPr>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881" w:type="dxa"/>
            <w:vMerge w:val="continue"/>
            <w:vAlign w:val="center"/>
          </w:tcPr>
          <w:p>
            <w:pPr>
              <w:spacing w:line="240" w:lineRule="auto"/>
              <w:ind w:firstLine="0" w:firstLineChars="0"/>
              <w:jc w:val="center"/>
              <w:rPr>
                <w:color w:val="000000" w:themeColor="text1"/>
                <w:sz w:val="21"/>
                <w:szCs w:val="21"/>
              </w:rPr>
            </w:pPr>
          </w:p>
        </w:tc>
        <w:tc>
          <w:tcPr>
            <w:tcW w:w="1395" w:type="dxa"/>
            <w:vAlign w:val="center"/>
          </w:tcPr>
          <w:p>
            <w:pPr>
              <w:spacing w:line="240" w:lineRule="auto"/>
              <w:ind w:firstLine="0" w:firstLineChars="0"/>
              <w:jc w:val="center"/>
              <w:rPr>
                <w:color w:val="000000" w:themeColor="text1"/>
                <w:sz w:val="21"/>
                <w:szCs w:val="21"/>
              </w:rPr>
            </w:pPr>
            <w:r>
              <w:rPr>
                <w:color w:val="000000" w:themeColor="text1"/>
                <w:sz w:val="21"/>
                <w:szCs w:val="21"/>
              </w:rPr>
              <w:t>厂界南</w:t>
            </w:r>
          </w:p>
        </w:tc>
        <w:tc>
          <w:tcPr>
            <w:tcW w:w="139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24</w:t>
            </w:r>
            <w:r>
              <w:rPr>
                <w:color w:val="000000" w:themeColor="text1"/>
                <w:sz w:val="21"/>
                <w:szCs w:val="21"/>
              </w:rPr>
              <w:t>小时</w:t>
            </w:r>
          </w:p>
        </w:tc>
        <w:tc>
          <w:tcPr>
            <w:tcW w:w="1649"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rPr>
              <w:t>123.0038</w:t>
            </w:r>
          </w:p>
        </w:tc>
        <w:tc>
          <w:tcPr>
            <w:tcW w:w="1601" w:type="dxa"/>
            <w:vAlign w:val="center"/>
          </w:tcPr>
          <w:p>
            <w:pPr>
              <w:spacing w:line="240" w:lineRule="auto"/>
              <w:ind w:firstLine="0" w:firstLineChars="0"/>
              <w:jc w:val="center"/>
              <w:rPr>
                <w:rFonts w:hint="default" w:eastAsiaTheme="minorEastAsia"/>
                <w:color w:val="000000" w:themeColor="text1"/>
                <w:sz w:val="21"/>
                <w:szCs w:val="21"/>
                <w:lang w:val="en-US" w:eastAsia="zh-CN"/>
              </w:rPr>
            </w:pPr>
            <w:r>
              <w:rPr>
                <w:rFonts w:hint="eastAsia" w:eastAsiaTheme="minorEastAsia"/>
                <w:color w:val="000000" w:themeColor="text1"/>
                <w:sz w:val="21"/>
                <w:szCs w:val="21"/>
                <w:lang w:val="en-US" w:eastAsia="zh-CN"/>
              </w:rPr>
              <w:t>1000</w:t>
            </w:r>
          </w:p>
        </w:tc>
        <w:tc>
          <w:tcPr>
            <w:tcW w:w="1603" w:type="dxa"/>
            <w:vAlign w:val="center"/>
          </w:tcPr>
          <w:p>
            <w:pPr>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881" w:type="dxa"/>
            <w:vMerge w:val="continue"/>
            <w:vAlign w:val="center"/>
          </w:tcPr>
          <w:p>
            <w:pPr>
              <w:spacing w:line="240" w:lineRule="auto"/>
              <w:ind w:firstLine="0" w:firstLineChars="0"/>
              <w:jc w:val="center"/>
              <w:rPr>
                <w:color w:val="000000" w:themeColor="text1"/>
                <w:sz w:val="21"/>
                <w:szCs w:val="21"/>
              </w:rPr>
            </w:pPr>
          </w:p>
        </w:tc>
        <w:tc>
          <w:tcPr>
            <w:tcW w:w="1395" w:type="dxa"/>
            <w:vAlign w:val="center"/>
          </w:tcPr>
          <w:p>
            <w:pPr>
              <w:spacing w:line="240" w:lineRule="auto"/>
              <w:ind w:firstLine="0" w:firstLineChars="0"/>
              <w:jc w:val="center"/>
              <w:rPr>
                <w:color w:val="000000" w:themeColor="text1"/>
                <w:sz w:val="21"/>
                <w:szCs w:val="21"/>
              </w:rPr>
            </w:pPr>
            <w:r>
              <w:rPr>
                <w:color w:val="000000" w:themeColor="text1"/>
                <w:sz w:val="21"/>
                <w:szCs w:val="21"/>
              </w:rPr>
              <w:t>厂界西</w:t>
            </w:r>
          </w:p>
        </w:tc>
        <w:tc>
          <w:tcPr>
            <w:tcW w:w="139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24</w:t>
            </w:r>
            <w:r>
              <w:rPr>
                <w:color w:val="000000" w:themeColor="text1"/>
                <w:sz w:val="21"/>
                <w:szCs w:val="21"/>
              </w:rPr>
              <w:t>小时</w:t>
            </w:r>
          </w:p>
        </w:tc>
        <w:tc>
          <w:tcPr>
            <w:tcW w:w="1649"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rPr>
              <w:t>144.4294</w:t>
            </w:r>
          </w:p>
        </w:tc>
        <w:tc>
          <w:tcPr>
            <w:tcW w:w="1601" w:type="dxa"/>
            <w:vAlign w:val="center"/>
          </w:tcPr>
          <w:p>
            <w:pPr>
              <w:spacing w:line="240" w:lineRule="auto"/>
              <w:ind w:firstLine="0" w:firstLineChars="0"/>
              <w:jc w:val="center"/>
              <w:rPr>
                <w:rFonts w:hint="default" w:eastAsiaTheme="minorEastAsia"/>
                <w:color w:val="000000" w:themeColor="text1"/>
                <w:sz w:val="21"/>
                <w:szCs w:val="21"/>
                <w:lang w:val="en-US" w:eastAsia="zh-CN"/>
              </w:rPr>
            </w:pPr>
            <w:r>
              <w:rPr>
                <w:rFonts w:hint="eastAsia" w:eastAsiaTheme="minorEastAsia"/>
                <w:color w:val="000000" w:themeColor="text1"/>
                <w:sz w:val="21"/>
                <w:szCs w:val="21"/>
                <w:lang w:val="en-US" w:eastAsia="zh-CN"/>
              </w:rPr>
              <w:t>1000</w:t>
            </w:r>
          </w:p>
        </w:tc>
        <w:tc>
          <w:tcPr>
            <w:tcW w:w="1603" w:type="dxa"/>
            <w:vAlign w:val="center"/>
          </w:tcPr>
          <w:p>
            <w:pPr>
              <w:spacing w:line="240" w:lineRule="auto"/>
              <w:ind w:firstLine="0" w:firstLineChars="0"/>
              <w:jc w:val="center"/>
              <w:rPr>
                <w:color w:val="000000" w:themeColor="text1"/>
                <w:sz w:val="21"/>
                <w:szCs w:val="21"/>
              </w:rPr>
            </w:pPr>
            <w:r>
              <w:rPr>
                <w:color w:val="000000" w:themeColor="text1"/>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108" w:type="dxa"/>
            <w:bottom w:w="0" w:type="dxa"/>
            <w:right w:w="108" w:type="dxa"/>
          </w:tblCellMar>
        </w:tblPrEx>
        <w:trPr>
          <w:trHeight w:val="397" w:hRule="atLeast"/>
        </w:trPr>
        <w:tc>
          <w:tcPr>
            <w:tcW w:w="881" w:type="dxa"/>
            <w:vMerge w:val="continue"/>
            <w:vAlign w:val="center"/>
          </w:tcPr>
          <w:p>
            <w:pPr>
              <w:spacing w:line="240" w:lineRule="auto"/>
              <w:ind w:firstLine="0" w:firstLineChars="0"/>
              <w:jc w:val="center"/>
              <w:rPr>
                <w:color w:val="000000" w:themeColor="text1"/>
                <w:sz w:val="21"/>
                <w:szCs w:val="21"/>
              </w:rPr>
            </w:pPr>
          </w:p>
        </w:tc>
        <w:tc>
          <w:tcPr>
            <w:tcW w:w="1395" w:type="dxa"/>
            <w:vAlign w:val="center"/>
          </w:tcPr>
          <w:p>
            <w:pPr>
              <w:spacing w:line="240" w:lineRule="auto"/>
              <w:ind w:firstLine="0" w:firstLineChars="0"/>
              <w:jc w:val="center"/>
              <w:rPr>
                <w:color w:val="000000" w:themeColor="text1"/>
                <w:sz w:val="21"/>
                <w:szCs w:val="21"/>
              </w:rPr>
            </w:pPr>
            <w:r>
              <w:rPr>
                <w:color w:val="000000" w:themeColor="text1"/>
                <w:sz w:val="21"/>
                <w:szCs w:val="21"/>
              </w:rPr>
              <w:t>厂界北</w:t>
            </w:r>
          </w:p>
        </w:tc>
        <w:tc>
          <w:tcPr>
            <w:tcW w:w="139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24</w:t>
            </w:r>
            <w:r>
              <w:rPr>
                <w:color w:val="000000" w:themeColor="text1"/>
                <w:sz w:val="21"/>
                <w:szCs w:val="21"/>
              </w:rPr>
              <w:t>小时</w:t>
            </w:r>
          </w:p>
        </w:tc>
        <w:tc>
          <w:tcPr>
            <w:tcW w:w="1649" w:type="dxa"/>
            <w:vAlign w:val="center"/>
          </w:tcPr>
          <w:p>
            <w:pPr>
              <w:spacing w:line="240" w:lineRule="auto"/>
              <w:ind w:firstLine="0" w:firstLineChars="0"/>
              <w:jc w:val="center"/>
              <w:rPr>
                <w:rFonts w:eastAsiaTheme="minorEastAsia"/>
                <w:color w:val="000000" w:themeColor="text1"/>
                <w:sz w:val="21"/>
                <w:szCs w:val="21"/>
              </w:rPr>
            </w:pPr>
            <w:r>
              <w:rPr>
                <w:color w:val="000000" w:themeColor="text1"/>
                <w:sz w:val="21"/>
              </w:rPr>
              <w:t>73.0285</w:t>
            </w:r>
          </w:p>
        </w:tc>
        <w:tc>
          <w:tcPr>
            <w:tcW w:w="1601" w:type="dxa"/>
            <w:vAlign w:val="center"/>
          </w:tcPr>
          <w:p>
            <w:pPr>
              <w:spacing w:line="240" w:lineRule="auto"/>
              <w:ind w:firstLine="0" w:firstLineChars="0"/>
              <w:jc w:val="center"/>
              <w:rPr>
                <w:rFonts w:hint="default" w:eastAsiaTheme="minorEastAsia"/>
                <w:color w:val="000000" w:themeColor="text1"/>
                <w:sz w:val="21"/>
                <w:szCs w:val="21"/>
                <w:lang w:val="en-US" w:eastAsia="zh-CN"/>
              </w:rPr>
            </w:pPr>
            <w:r>
              <w:rPr>
                <w:rFonts w:hint="eastAsia" w:eastAsiaTheme="minorEastAsia"/>
                <w:color w:val="000000" w:themeColor="text1"/>
                <w:sz w:val="21"/>
                <w:szCs w:val="21"/>
                <w:lang w:val="en-US" w:eastAsia="zh-CN"/>
              </w:rPr>
              <w:t>1000</w:t>
            </w:r>
          </w:p>
        </w:tc>
        <w:tc>
          <w:tcPr>
            <w:tcW w:w="1603" w:type="dxa"/>
            <w:vAlign w:val="center"/>
          </w:tcPr>
          <w:p>
            <w:pPr>
              <w:spacing w:line="240" w:lineRule="auto"/>
              <w:ind w:firstLine="0" w:firstLineChars="0"/>
              <w:jc w:val="center"/>
              <w:rPr>
                <w:color w:val="000000" w:themeColor="text1"/>
                <w:sz w:val="21"/>
                <w:szCs w:val="21"/>
              </w:rPr>
            </w:pPr>
            <w:r>
              <w:rPr>
                <w:color w:val="000000" w:themeColor="text1"/>
                <w:sz w:val="21"/>
                <w:szCs w:val="21"/>
              </w:rPr>
              <w:t>达标</w:t>
            </w:r>
          </w:p>
        </w:tc>
      </w:tr>
    </w:tbl>
    <w:p>
      <w:pPr>
        <w:ind w:firstLine="480"/>
        <w:rPr>
          <w:bCs/>
          <w:color w:val="000000" w:themeColor="text1"/>
        </w:rPr>
      </w:pPr>
      <w:r>
        <w:rPr>
          <w:rFonts w:hint="eastAsia"/>
          <w:bCs/>
          <w:color w:val="000000" w:themeColor="text1"/>
        </w:rPr>
        <w:t xml:space="preserve"> 根据以上预测结果，厂界四周TSP浓度贡献值均小于《铁矿采选工业污染物排放标准》（GB28661-2012）中表7的现有和新建企业边界大气污染物浓度限值要求</w:t>
      </w:r>
      <w:r>
        <w:rPr>
          <w:rFonts w:hint="eastAsia"/>
          <w:color w:val="000000" w:themeColor="text1"/>
          <w:szCs w:val="24"/>
        </w:rPr>
        <w:t>，厂界污染物能够达标。</w:t>
      </w:r>
    </w:p>
    <w:p>
      <w:pPr>
        <w:ind w:firstLine="482"/>
        <w:rPr>
          <w:b/>
          <w:bCs/>
          <w:color w:val="000000" w:themeColor="text1"/>
        </w:rPr>
      </w:pPr>
      <w:r>
        <w:rPr>
          <w:rFonts w:hint="eastAsia"/>
          <w:b/>
          <w:bCs/>
          <w:color w:val="000000" w:themeColor="text1"/>
        </w:rPr>
        <w:t>5、</w:t>
      </w:r>
      <w:r>
        <w:rPr>
          <w:b/>
          <w:bCs/>
          <w:color w:val="000000" w:themeColor="text1"/>
        </w:rPr>
        <w:t>大气环境防护距离预测</w:t>
      </w:r>
    </w:p>
    <w:p>
      <w:pPr>
        <w:ind w:firstLine="480"/>
        <w:rPr>
          <w:color w:val="000000" w:themeColor="text1"/>
        </w:rPr>
      </w:pPr>
      <w:r>
        <w:rPr>
          <w:color w:val="000000" w:themeColor="text1"/>
        </w:rPr>
        <w:t>本项目大气评价等级定为一级，按照《环境影响评价技术导则-大气环境》（HJ2.2-2018）规定8.7.5要求“对于项目厂界浓度满足大气污染物厂界浓度限值，但厂界外污染物短期贡献浓度超过环境质量浓度限值的，可以自厂界向外设置一定范围的大气环境防护区域，以确保大气环境防护区域外的污染物贡献浓度满足环境质量标准”。</w:t>
      </w:r>
    </w:p>
    <w:p>
      <w:pPr>
        <w:ind w:firstLine="480"/>
        <w:rPr>
          <w:color w:val="000000" w:themeColor="text1"/>
        </w:rPr>
      </w:pPr>
      <w:r>
        <w:rPr>
          <w:color w:val="000000" w:themeColor="text1"/>
        </w:rPr>
        <w:t>本次使用AERMOD进一步预测，</w:t>
      </w:r>
      <w:r>
        <w:rPr>
          <w:rFonts w:hint="eastAsia"/>
          <w:color w:val="000000" w:themeColor="text1"/>
        </w:rPr>
        <w:t>正常工况下</w:t>
      </w:r>
      <w:r>
        <w:rPr>
          <w:color w:val="000000" w:themeColor="text1"/>
        </w:rPr>
        <w:t>项目污染物浓度</w:t>
      </w:r>
      <w:r>
        <w:rPr>
          <w:rFonts w:hint="eastAsia"/>
          <w:color w:val="000000" w:themeColor="text1"/>
        </w:rPr>
        <w:t>未</w:t>
      </w:r>
      <w:r>
        <w:rPr>
          <w:color w:val="000000" w:themeColor="text1"/>
        </w:rPr>
        <w:t>出现超标。</w:t>
      </w:r>
      <w:r>
        <w:rPr>
          <w:rFonts w:hint="eastAsia"/>
          <w:color w:val="000000" w:themeColor="text1"/>
        </w:rPr>
        <w:t>因此不设大气环境防护距离。</w:t>
      </w:r>
    </w:p>
    <w:p>
      <w:pPr>
        <w:ind w:firstLine="482"/>
        <w:rPr>
          <w:b/>
          <w:bCs/>
          <w:color w:val="000000" w:themeColor="text1"/>
        </w:rPr>
      </w:pPr>
      <w:r>
        <w:rPr>
          <w:rFonts w:hint="eastAsia"/>
          <w:b/>
          <w:bCs/>
          <w:color w:val="000000" w:themeColor="text1"/>
        </w:rPr>
        <w:t>6、小结</w:t>
      </w:r>
    </w:p>
    <w:p>
      <w:pPr>
        <w:ind w:firstLine="480"/>
        <w:rPr>
          <w:color w:val="000000" w:themeColor="text1"/>
          <w:szCs w:val="24"/>
        </w:rPr>
      </w:pPr>
      <w:bookmarkStart w:id="666" w:name="_Toc450603611"/>
      <w:bookmarkStart w:id="667" w:name="_Toc430953896"/>
      <w:bookmarkStart w:id="668" w:name="_Toc430953688"/>
      <w:bookmarkStart w:id="669" w:name="_Toc430201405"/>
      <w:bookmarkStart w:id="670" w:name="_Toc421915890"/>
      <w:bookmarkStart w:id="671" w:name="_Toc410033859"/>
      <w:r>
        <w:rPr>
          <w:rFonts w:hint="eastAsia"/>
          <w:color w:val="000000" w:themeColor="text1"/>
        </w:rPr>
        <w:t>技改</w:t>
      </w:r>
      <w:r>
        <w:rPr>
          <w:color w:val="000000" w:themeColor="text1"/>
        </w:rPr>
        <w:t>项目所在地20</w:t>
      </w:r>
      <w:r>
        <w:rPr>
          <w:rFonts w:hint="eastAsia"/>
          <w:color w:val="000000" w:themeColor="text1"/>
        </w:rPr>
        <w:t>20</w:t>
      </w:r>
      <w:r>
        <w:rPr>
          <w:color w:val="000000" w:themeColor="text1"/>
        </w:rPr>
        <w:t>年为环境空气质量达标区，对应的环境功能区划为二类区。根据导则10.1条，结合项目实际，</w:t>
      </w:r>
      <w:r>
        <w:rPr>
          <w:rFonts w:hint="eastAsia"/>
          <w:color w:val="000000" w:themeColor="text1"/>
        </w:rPr>
        <w:t>大气环境影响评价结论如下</w:t>
      </w:r>
      <w:r>
        <w:rPr>
          <w:color w:val="000000" w:themeColor="text1"/>
        </w:rPr>
        <w:t>：</w:t>
      </w:r>
    </w:p>
    <w:p>
      <w:pPr>
        <w:ind w:firstLine="480"/>
        <w:rPr>
          <w:color w:val="000000" w:themeColor="text1"/>
          <w:szCs w:val="24"/>
        </w:rPr>
      </w:pPr>
      <w:r>
        <w:rPr>
          <w:color w:val="000000" w:themeColor="text1"/>
          <w:szCs w:val="24"/>
        </w:rPr>
        <w:t>1、新增污染源</w:t>
      </w:r>
      <w:r>
        <w:rPr>
          <w:rFonts w:hint="eastAsia"/>
          <w:color w:val="000000" w:themeColor="text1"/>
          <w:szCs w:val="24"/>
        </w:rPr>
        <w:t>正常排放下</w:t>
      </w:r>
      <w:r>
        <w:rPr>
          <w:color w:val="000000" w:themeColor="text1"/>
          <w:szCs w:val="24"/>
        </w:rPr>
        <w:t>污染物短期浓度贡献值的最大占标率≤100%；</w:t>
      </w:r>
    </w:p>
    <w:p>
      <w:pPr>
        <w:ind w:firstLine="480"/>
        <w:rPr>
          <w:color w:val="000000" w:themeColor="text1"/>
          <w:szCs w:val="24"/>
        </w:rPr>
      </w:pPr>
      <w:r>
        <w:rPr>
          <w:color w:val="000000" w:themeColor="text1"/>
          <w:szCs w:val="24"/>
        </w:rPr>
        <w:t>2、新增污染源</w:t>
      </w:r>
      <w:r>
        <w:rPr>
          <w:rFonts w:hint="eastAsia"/>
          <w:color w:val="000000" w:themeColor="text1"/>
          <w:szCs w:val="24"/>
        </w:rPr>
        <w:t>正常排放下</w:t>
      </w:r>
      <w:r>
        <w:rPr>
          <w:color w:val="000000" w:themeColor="text1"/>
          <w:szCs w:val="24"/>
        </w:rPr>
        <w:t>污染物</w:t>
      </w:r>
      <w:r>
        <w:rPr>
          <w:rFonts w:hint="eastAsia"/>
          <w:color w:val="000000" w:themeColor="text1"/>
          <w:szCs w:val="24"/>
        </w:rPr>
        <w:t>年均</w:t>
      </w:r>
      <w:r>
        <w:rPr>
          <w:color w:val="000000" w:themeColor="text1"/>
          <w:szCs w:val="24"/>
        </w:rPr>
        <w:t>浓度贡献值的最大占标率≤</w:t>
      </w:r>
      <w:r>
        <w:rPr>
          <w:rFonts w:hint="eastAsia"/>
          <w:color w:val="000000" w:themeColor="text1"/>
          <w:szCs w:val="24"/>
        </w:rPr>
        <w:t>3</w:t>
      </w:r>
      <w:r>
        <w:rPr>
          <w:color w:val="000000" w:themeColor="text1"/>
          <w:szCs w:val="24"/>
        </w:rPr>
        <w:t>0%；</w:t>
      </w:r>
    </w:p>
    <w:p>
      <w:pPr>
        <w:ind w:firstLine="480"/>
        <w:rPr>
          <w:color w:val="000000" w:themeColor="text1"/>
        </w:rPr>
      </w:pPr>
      <w:r>
        <w:rPr>
          <w:rFonts w:hint="eastAsia"/>
          <w:color w:val="000000" w:themeColor="text1"/>
          <w:szCs w:val="24"/>
        </w:rPr>
        <w:t>3、</w:t>
      </w:r>
      <w:r>
        <w:rPr>
          <w:color w:val="000000" w:themeColor="text1"/>
          <w:szCs w:val="24"/>
        </w:rPr>
        <w:t>项目环境影响符合环境功能区划，叠加现状浓度后，</w:t>
      </w:r>
      <w:r>
        <w:rPr>
          <w:rFonts w:hint="eastAsia"/>
          <w:color w:val="000000" w:themeColor="text1"/>
          <w:szCs w:val="24"/>
        </w:rPr>
        <w:t>PM</w:t>
      </w:r>
      <w:r>
        <w:rPr>
          <w:rFonts w:hint="eastAsia"/>
          <w:color w:val="000000" w:themeColor="text1"/>
          <w:szCs w:val="24"/>
          <w:vertAlign w:val="subscript"/>
        </w:rPr>
        <w:t>10</w:t>
      </w:r>
      <w:r>
        <w:rPr>
          <w:rFonts w:hint="eastAsia"/>
          <w:color w:val="000000" w:themeColor="text1"/>
          <w:szCs w:val="24"/>
        </w:rPr>
        <w:t>保证率日平均质量浓度和年平均质量浓度均</w:t>
      </w:r>
      <w:r>
        <w:rPr>
          <w:color w:val="000000" w:themeColor="text1"/>
          <w:szCs w:val="24"/>
        </w:rPr>
        <w:t>符合</w:t>
      </w:r>
      <w:r>
        <w:rPr>
          <w:rFonts w:eastAsiaTheme="minorEastAsia"/>
          <w:color w:val="000000" w:themeColor="text1"/>
        </w:rPr>
        <w:t>《环境空气质量标准》（GB3095-2012）二级标准</w:t>
      </w:r>
      <w:r>
        <w:rPr>
          <w:color w:val="000000" w:themeColor="text1"/>
        </w:rPr>
        <w:t>，本项目产生的</w:t>
      </w:r>
      <w:r>
        <w:rPr>
          <w:rFonts w:hint="eastAsia"/>
          <w:color w:val="000000" w:themeColor="text1"/>
        </w:rPr>
        <w:t>颗粒物</w:t>
      </w:r>
      <w:r>
        <w:rPr>
          <w:color w:val="000000" w:themeColor="text1"/>
        </w:rPr>
        <w:t>对周边大气环境影响</w:t>
      </w:r>
      <w:r>
        <w:rPr>
          <w:rFonts w:hint="eastAsia"/>
          <w:color w:val="000000" w:themeColor="text1"/>
        </w:rPr>
        <w:t>可以接受</w:t>
      </w:r>
      <w:r>
        <w:rPr>
          <w:color w:val="000000" w:themeColor="text1"/>
        </w:rPr>
        <w:t>。</w:t>
      </w:r>
    </w:p>
    <w:p>
      <w:pPr>
        <w:pStyle w:val="2"/>
        <w:ind w:firstLine="480"/>
        <w:jc w:val="both"/>
        <w:rPr>
          <w:rFonts w:ascii="Times New Roman" w:hAnsi="Times New Roman"/>
          <w:color w:val="000000" w:themeColor="text1"/>
          <w:lang w:eastAsia="zh-CN"/>
        </w:rPr>
      </w:pPr>
      <w:r>
        <w:rPr>
          <w:rFonts w:hint="eastAsia" w:ascii="Times New Roman" w:hAnsi="Times New Roman"/>
          <w:color w:val="000000" w:themeColor="text1"/>
          <w:lang w:eastAsia="zh-CN"/>
        </w:rPr>
        <w:t>4、</w:t>
      </w:r>
      <w:r>
        <w:rPr>
          <w:rFonts w:ascii="Times New Roman" w:hAnsi="Times New Roman"/>
          <w:color w:val="000000" w:themeColor="text1"/>
          <w:lang w:eastAsia="zh-CN"/>
        </w:rPr>
        <w:t>非正常工况下，</w:t>
      </w:r>
      <w:r>
        <w:rPr>
          <w:rFonts w:hint="eastAsia" w:ascii="Times New Roman" w:hAnsi="Times New Roman"/>
          <w:color w:val="000000" w:themeColor="text1"/>
          <w:lang w:eastAsia="zh-CN"/>
        </w:rPr>
        <w:t>网格点中</w:t>
      </w:r>
      <w:r>
        <w:rPr>
          <w:rFonts w:ascii="Times New Roman" w:hAnsi="Times New Roman"/>
          <w:color w:val="000000" w:themeColor="text1"/>
          <w:lang w:eastAsia="zh-CN"/>
        </w:rPr>
        <w:t>1小时浓度超出《环境空气质量标准》（GB3095-2012）相应浓度限值，由于非正常工况出现的时间较短，对区域环境空气质量产生的影响只是暂时的，建设单位应采取措施，尽量避免该情况的发生。</w:t>
      </w:r>
      <w:r>
        <w:rPr>
          <w:color w:val="000000" w:themeColor="text1"/>
          <w:lang w:eastAsia="zh-CN"/>
        </w:rPr>
        <w:t>报告书要求项目在投入运行后，在生产运行中必须确保各废气治理设施正常运转，确保按设计的除尘效率和收集效率运行，保证达标排放，杜绝非正常排放。</w:t>
      </w:r>
    </w:p>
    <w:p>
      <w:pPr>
        <w:autoSpaceDE w:val="0"/>
        <w:autoSpaceDN w:val="0"/>
        <w:ind w:firstLine="480"/>
        <w:rPr>
          <w:color w:val="000000" w:themeColor="text1"/>
        </w:rPr>
      </w:pPr>
      <w:r>
        <w:rPr>
          <w:rFonts w:hint="eastAsia"/>
          <w:color w:val="000000" w:themeColor="text1"/>
        </w:rPr>
        <w:t>5、</w:t>
      </w:r>
      <w:r>
        <w:rPr>
          <w:color w:val="000000" w:themeColor="text1"/>
        </w:rPr>
        <w:t>厂界无组织颗粒物</w:t>
      </w:r>
      <w:r>
        <w:rPr>
          <w:rFonts w:hint="eastAsia"/>
          <w:color w:val="000000" w:themeColor="text1"/>
          <w:lang w:eastAsia="zh-CN"/>
        </w:rPr>
        <w:t>无超标点</w:t>
      </w:r>
      <w:r>
        <w:rPr>
          <w:rFonts w:hint="eastAsia" w:eastAsiaTheme="minorEastAsia"/>
          <w:color w:val="000000" w:themeColor="text1"/>
        </w:rPr>
        <w:t>，无需设置大气环境防护距离</w:t>
      </w:r>
      <w:r>
        <w:rPr>
          <w:color w:val="000000" w:themeColor="text1"/>
        </w:rPr>
        <w:t>。</w:t>
      </w:r>
    </w:p>
    <w:p>
      <w:pPr>
        <w:ind w:firstLine="480"/>
        <w:rPr>
          <w:rFonts w:eastAsiaTheme="minorEastAsia"/>
          <w:color w:val="000000" w:themeColor="text1"/>
          <w:sz w:val="28"/>
          <w:szCs w:val="28"/>
        </w:rPr>
      </w:pPr>
      <w:r>
        <w:rPr>
          <w:color w:val="000000" w:themeColor="text1"/>
        </w:rPr>
        <w:t>综上所述，该建设项目符合环境功能区划等相关要求，项目建设从大气环境保护的角度分析是可行的。</w:t>
      </w:r>
    </w:p>
    <w:p>
      <w:pPr>
        <w:pStyle w:val="6"/>
        <w:spacing w:beforeLines="0" w:afterLines="0"/>
        <w:rPr>
          <w:rFonts w:eastAsiaTheme="minorEastAsia"/>
          <w:color w:val="000000" w:themeColor="text1"/>
          <w:sz w:val="28"/>
          <w:szCs w:val="28"/>
        </w:rPr>
      </w:pPr>
      <w:bookmarkStart w:id="672" w:name="_Toc1570"/>
      <w:r>
        <w:rPr>
          <w:rFonts w:eastAsiaTheme="minorEastAsia"/>
          <w:color w:val="000000" w:themeColor="text1"/>
          <w:sz w:val="28"/>
          <w:szCs w:val="28"/>
        </w:rPr>
        <w:t>6.2.2</w:t>
      </w:r>
      <w:bookmarkEnd w:id="666"/>
      <w:bookmarkEnd w:id="667"/>
      <w:bookmarkEnd w:id="668"/>
      <w:bookmarkEnd w:id="669"/>
      <w:bookmarkEnd w:id="670"/>
      <w:bookmarkEnd w:id="671"/>
      <w:r>
        <w:rPr>
          <w:rFonts w:eastAsiaTheme="minorEastAsia"/>
          <w:color w:val="000000" w:themeColor="text1"/>
          <w:sz w:val="28"/>
          <w:szCs w:val="28"/>
        </w:rPr>
        <w:t>地表水环境影响评价</w:t>
      </w:r>
      <w:bookmarkEnd w:id="672"/>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6.2.2.1项目废水特征及废水处置方式</w:t>
      </w:r>
    </w:p>
    <w:p>
      <w:pPr>
        <w:ind w:firstLine="482"/>
        <w:rPr>
          <w:rFonts w:eastAsiaTheme="minorEastAsia"/>
          <w:b/>
          <w:bCs/>
          <w:color w:val="000000" w:themeColor="text1"/>
        </w:rPr>
      </w:pPr>
      <w:r>
        <w:rPr>
          <w:rFonts w:eastAsiaTheme="minorEastAsia"/>
          <w:b/>
          <w:bCs/>
          <w:color w:val="000000" w:themeColor="text1"/>
        </w:rPr>
        <w:t>1、废水特征</w:t>
      </w:r>
    </w:p>
    <w:p>
      <w:pPr>
        <w:ind w:firstLine="480"/>
        <w:rPr>
          <w:rFonts w:eastAsiaTheme="minorEastAsia"/>
          <w:color w:val="000000" w:themeColor="text1"/>
        </w:rPr>
      </w:pPr>
      <w:r>
        <w:rPr>
          <w:rFonts w:eastAsiaTheme="minorEastAsia"/>
          <w:bCs/>
          <w:color w:val="000000" w:themeColor="text1"/>
        </w:rPr>
        <w:t>根据工程分析，技改项目废水主要为生产废水与生活污水，其中生产废水主要来源于尾矿浆水、陶瓷过滤机</w:t>
      </w:r>
      <w:r>
        <w:rPr>
          <w:rFonts w:eastAsiaTheme="minorEastAsia"/>
          <w:bCs/>
          <w:color w:val="000000" w:themeColor="text1"/>
          <w:szCs w:val="24"/>
        </w:rPr>
        <w:t>所脱废水</w:t>
      </w:r>
      <w:r>
        <w:rPr>
          <w:rStyle w:val="73"/>
          <w:rFonts w:hint="eastAsia"/>
          <w:color w:val="000000" w:themeColor="text1"/>
          <w:kern w:val="0"/>
          <w:sz w:val="24"/>
          <w:szCs w:val="24"/>
        </w:rPr>
        <w:t>及陶瓷过滤机清洗水</w:t>
      </w:r>
      <w:r>
        <w:rPr>
          <w:rFonts w:eastAsiaTheme="minorEastAsia"/>
          <w:bCs/>
          <w:color w:val="000000" w:themeColor="text1"/>
          <w:szCs w:val="24"/>
        </w:rPr>
        <w:t>、洗砂废水等</w:t>
      </w:r>
      <w:r>
        <w:rPr>
          <w:rFonts w:eastAsiaTheme="minorEastAsia"/>
          <w:bCs/>
          <w:color w:val="000000" w:themeColor="text1"/>
        </w:rPr>
        <w:t>，生产废水中污染物主要为SS等。生活污水中主要污染物为COD、SS、BOD</w:t>
      </w:r>
      <w:r>
        <w:rPr>
          <w:rFonts w:eastAsiaTheme="minorEastAsia"/>
          <w:bCs/>
          <w:color w:val="000000" w:themeColor="text1"/>
          <w:vertAlign w:val="subscript"/>
        </w:rPr>
        <w:t>5</w:t>
      </w:r>
      <w:r>
        <w:rPr>
          <w:rFonts w:eastAsiaTheme="minorEastAsia"/>
          <w:bCs/>
          <w:color w:val="000000" w:themeColor="text1"/>
        </w:rPr>
        <w:t>。</w:t>
      </w:r>
    </w:p>
    <w:p>
      <w:pPr>
        <w:ind w:firstLine="480"/>
        <w:rPr>
          <w:rFonts w:eastAsiaTheme="minorEastAsia"/>
          <w:color w:val="000000" w:themeColor="text1"/>
        </w:rPr>
      </w:pPr>
      <w:r>
        <w:rPr>
          <w:rFonts w:hint="eastAsia" w:eastAsiaTheme="minorEastAsia"/>
          <w:color w:val="000000" w:themeColor="text1"/>
        </w:rPr>
        <w:t>根据云南长源检测技术有限公司2021年12月14日对本选厂尾矿浆沉淀池废水监测结果，</w:t>
      </w:r>
      <w:r>
        <w:rPr>
          <w:color w:val="000000" w:themeColor="text1"/>
        </w:rPr>
        <w:t>2022年1月23日委托了</w:t>
      </w:r>
      <w:r>
        <w:rPr>
          <w:bCs/>
          <w:color w:val="000000" w:themeColor="text1"/>
        </w:rPr>
        <w:t>云南环绿环境检测技术有限公司对镉和铅进行再次补充监测</w:t>
      </w:r>
      <w:r>
        <w:rPr>
          <w:rFonts w:hint="eastAsia"/>
          <w:bCs/>
          <w:color w:val="000000" w:themeColor="text1"/>
        </w:rPr>
        <w:t>，</w:t>
      </w:r>
      <w:r>
        <w:rPr>
          <w:rFonts w:hint="eastAsia" w:eastAsiaTheme="minorEastAsia"/>
          <w:color w:val="000000" w:themeColor="text1"/>
        </w:rPr>
        <w:t>废水监测结果见下表所示：</w:t>
      </w:r>
    </w:p>
    <w:p>
      <w:pPr>
        <w:ind w:firstLine="422"/>
        <w:jc w:val="center"/>
        <w:rPr>
          <w:rFonts w:eastAsiaTheme="minorEastAsia"/>
          <w:b/>
          <w:bCs/>
          <w:color w:val="000000" w:themeColor="text1"/>
          <w:sz w:val="21"/>
          <w:szCs w:val="21"/>
        </w:rPr>
      </w:pPr>
      <w:r>
        <w:rPr>
          <w:rFonts w:hint="eastAsia" w:eastAsiaTheme="minorEastAsia"/>
          <w:b/>
          <w:bCs/>
          <w:color w:val="000000" w:themeColor="text1"/>
          <w:sz w:val="21"/>
          <w:szCs w:val="21"/>
        </w:rPr>
        <w:t>表 6.2-30尾矿废水监测结果一览表 单位mg/L</w:t>
      </w:r>
    </w:p>
    <w:tbl>
      <w:tblPr>
        <w:tblStyle w:val="62"/>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3"/>
        <w:gridCol w:w="3243"/>
        <w:gridCol w:w="3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监测项目</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监测结果</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铜</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0.05L</w:t>
            </w:r>
          </w:p>
        </w:tc>
        <w:tc>
          <w:tcPr>
            <w:tcW w:w="3243" w:type="dxa"/>
            <w:vMerge w:val="restart"/>
            <w:vAlign w:val="center"/>
          </w:tcPr>
          <w:p>
            <w:pPr>
              <w:pStyle w:val="78"/>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2021年12月14日监测结果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锌</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0.05L</w:t>
            </w:r>
          </w:p>
        </w:tc>
        <w:tc>
          <w:tcPr>
            <w:tcW w:w="3243" w:type="dxa"/>
            <w:vMerge w:val="continue"/>
          </w:tcPr>
          <w:p>
            <w:pPr>
              <w:pStyle w:val="78"/>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硒</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0.0004L</w:t>
            </w:r>
          </w:p>
        </w:tc>
        <w:tc>
          <w:tcPr>
            <w:tcW w:w="3243" w:type="dxa"/>
            <w:vMerge w:val="continue"/>
          </w:tcPr>
          <w:p>
            <w:pPr>
              <w:pStyle w:val="78"/>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砷</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0.0003L</w:t>
            </w:r>
          </w:p>
        </w:tc>
        <w:tc>
          <w:tcPr>
            <w:tcW w:w="3243" w:type="dxa"/>
            <w:vMerge w:val="continue"/>
          </w:tcPr>
          <w:p>
            <w:pPr>
              <w:pStyle w:val="78"/>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汞</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0.00004L</w:t>
            </w:r>
          </w:p>
        </w:tc>
        <w:tc>
          <w:tcPr>
            <w:tcW w:w="3243" w:type="dxa"/>
            <w:vMerge w:val="continue"/>
          </w:tcPr>
          <w:p>
            <w:pPr>
              <w:pStyle w:val="78"/>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镉</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0.05L</w:t>
            </w:r>
          </w:p>
        </w:tc>
        <w:tc>
          <w:tcPr>
            <w:tcW w:w="3243" w:type="dxa"/>
            <w:vMerge w:val="continue"/>
          </w:tcPr>
          <w:p>
            <w:pPr>
              <w:pStyle w:val="78"/>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铬（六价）</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0.004L</w:t>
            </w:r>
          </w:p>
        </w:tc>
        <w:tc>
          <w:tcPr>
            <w:tcW w:w="3243" w:type="dxa"/>
            <w:vMerge w:val="continue"/>
          </w:tcPr>
          <w:p>
            <w:pPr>
              <w:pStyle w:val="78"/>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铅</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0.2L</w:t>
            </w:r>
          </w:p>
        </w:tc>
        <w:tc>
          <w:tcPr>
            <w:tcW w:w="3243" w:type="dxa"/>
            <w:vMerge w:val="continue"/>
          </w:tcPr>
          <w:p>
            <w:pPr>
              <w:pStyle w:val="78"/>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铁</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0.15</w:t>
            </w:r>
          </w:p>
        </w:tc>
        <w:tc>
          <w:tcPr>
            <w:tcW w:w="3243" w:type="dxa"/>
            <w:vMerge w:val="continue"/>
          </w:tcPr>
          <w:p>
            <w:pPr>
              <w:pStyle w:val="78"/>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锰</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0.25</w:t>
            </w:r>
          </w:p>
        </w:tc>
        <w:tc>
          <w:tcPr>
            <w:tcW w:w="3243" w:type="dxa"/>
            <w:vMerge w:val="continue"/>
          </w:tcPr>
          <w:p>
            <w:pPr>
              <w:pStyle w:val="78"/>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SS</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22</w:t>
            </w:r>
          </w:p>
        </w:tc>
        <w:tc>
          <w:tcPr>
            <w:tcW w:w="3243" w:type="dxa"/>
            <w:vMerge w:val="continue"/>
          </w:tcPr>
          <w:p>
            <w:pPr>
              <w:pStyle w:val="78"/>
              <w:spacing w:line="240" w:lineRule="auto"/>
              <w:ind w:firstLine="0" w:firstLineChars="0"/>
              <w:jc w:val="center"/>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铝</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0.012</w:t>
            </w:r>
          </w:p>
        </w:tc>
        <w:tc>
          <w:tcPr>
            <w:tcW w:w="3243" w:type="dxa"/>
            <w:vMerge w:val="continue"/>
          </w:tcPr>
          <w:p>
            <w:pPr>
              <w:pStyle w:val="78"/>
              <w:spacing w:line="240" w:lineRule="auto"/>
              <w:ind w:firstLine="0" w:firstLineChars="0"/>
              <w:jc w:val="center"/>
              <w:rPr>
                <w:color w:val="000000" w:themeColor="text1"/>
                <w:sz w:val="21"/>
                <w:szCs w:val="21"/>
              </w:rPr>
            </w:pPr>
          </w:p>
        </w:tc>
      </w:tr>
    </w:tbl>
    <w:p>
      <w:pPr>
        <w:ind w:firstLine="422"/>
        <w:jc w:val="center"/>
        <w:rPr>
          <w:rFonts w:eastAsiaTheme="minorEastAsia"/>
          <w:b/>
          <w:bCs/>
          <w:color w:val="000000" w:themeColor="text1"/>
          <w:sz w:val="21"/>
          <w:szCs w:val="21"/>
        </w:rPr>
      </w:pPr>
      <w:r>
        <w:rPr>
          <w:rFonts w:hint="eastAsia" w:eastAsiaTheme="minorEastAsia"/>
          <w:b/>
          <w:bCs/>
          <w:color w:val="000000" w:themeColor="text1"/>
          <w:sz w:val="21"/>
          <w:szCs w:val="21"/>
        </w:rPr>
        <w:t>表6.2-31镉和铅再次补充监测一览表 单位mg/L</w:t>
      </w:r>
    </w:p>
    <w:tbl>
      <w:tblPr>
        <w:tblStyle w:val="62"/>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3"/>
        <w:gridCol w:w="3243"/>
        <w:gridCol w:w="3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监测项目</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监测结果</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镉</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0.001L</w:t>
            </w:r>
          </w:p>
        </w:tc>
        <w:tc>
          <w:tcPr>
            <w:tcW w:w="3243" w:type="dxa"/>
            <w:vMerge w:val="restart"/>
            <w:vAlign w:val="center"/>
          </w:tcPr>
          <w:p>
            <w:pPr>
              <w:pStyle w:val="78"/>
              <w:spacing w:line="240" w:lineRule="auto"/>
              <w:ind w:firstLine="0" w:firstLineChars="0"/>
              <w:jc w:val="center"/>
              <w:rPr>
                <w:color w:val="000000" w:themeColor="text1"/>
                <w:sz w:val="21"/>
                <w:szCs w:val="21"/>
              </w:rPr>
            </w:pPr>
            <w:r>
              <w:rPr>
                <w:color w:val="000000" w:themeColor="text1"/>
                <w:sz w:val="21"/>
                <w:szCs w:val="21"/>
              </w:rPr>
              <w:t>2022年1月23日</w:t>
            </w:r>
            <w:r>
              <w:rPr>
                <w:rFonts w:hint="eastAsia"/>
                <w:color w:val="000000" w:themeColor="text1"/>
                <w:sz w:val="21"/>
                <w:szCs w:val="21"/>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203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铅</w:t>
            </w:r>
          </w:p>
        </w:tc>
        <w:tc>
          <w:tcPr>
            <w:tcW w:w="3243"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0.01L</w:t>
            </w:r>
          </w:p>
        </w:tc>
        <w:tc>
          <w:tcPr>
            <w:tcW w:w="3243" w:type="dxa"/>
            <w:vMerge w:val="continue"/>
          </w:tcPr>
          <w:p>
            <w:pPr>
              <w:pStyle w:val="78"/>
              <w:spacing w:line="240" w:lineRule="auto"/>
              <w:ind w:firstLine="0" w:firstLineChars="0"/>
              <w:jc w:val="center"/>
              <w:rPr>
                <w:color w:val="000000" w:themeColor="text1"/>
                <w:sz w:val="21"/>
                <w:szCs w:val="21"/>
              </w:rPr>
            </w:pPr>
          </w:p>
        </w:tc>
      </w:tr>
    </w:tbl>
    <w:p>
      <w:pPr>
        <w:ind w:firstLine="482"/>
        <w:rPr>
          <w:rFonts w:eastAsiaTheme="minorEastAsia"/>
          <w:b/>
          <w:bCs/>
          <w:color w:val="000000" w:themeColor="text1"/>
        </w:rPr>
      </w:pPr>
      <w:r>
        <w:rPr>
          <w:rFonts w:eastAsiaTheme="minorEastAsia"/>
          <w:b/>
          <w:bCs/>
          <w:color w:val="000000" w:themeColor="text1"/>
        </w:rPr>
        <w:t>2、废水处理措施</w:t>
      </w:r>
    </w:p>
    <w:p>
      <w:pPr>
        <w:ind w:firstLine="480"/>
        <w:rPr>
          <w:rFonts w:eastAsiaTheme="minorEastAsia"/>
          <w:color w:val="000000" w:themeColor="text1"/>
        </w:rPr>
      </w:pPr>
      <w:r>
        <w:rPr>
          <w:rFonts w:eastAsiaTheme="minorEastAsia"/>
          <w:color w:val="000000" w:themeColor="text1"/>
        </w:rPr>
        <w:t>技改后现有选矿车间生产用水封闭循环使用，不外排，循环给水系统内设有沉淀池、循环水泵站等，通过</w:t>
      </w:r>
      <w:r>
        <w:rPr>
          <w:rStyle w:val="73"/>
          <w:rFonts w:hint="eastAsia"/>
          <w:color w:val="000000" w:themeColor="text1"/>
          <w:kern w:val="0"/>
          <w:sz w:val="24"/>
          <w:szCs w:val="24"/>
        </w:rPr>
        <w:t>浮选、</w:t>
      </w:r>
      <w:r>
        <w:rPr>
          <w:rFonts w:eastAsiaTheme="minorEastAsia"/>
          <w:color w:val="000000" w:themeColor="text1"/>
        </w:rPr>
        <w:t>磁选和重选后，尾矿浆进入尾矿浆沉淀池，通过沉淀处理后上清液通过水泵抽至生产线，供生产利用。辣子箐尾矿库余水经尾矿库沉淀处理后全部回用于选矿生产，不外排，生活污水经一体化处理设施处理达标后回用于绿化，不外排，项目不设置废水排放口。</w:t>
      </w:r>
    </w:p>
    <w:p>
      <w:pPr>
        <w:pStyle w:val="78"/>
        <w:ind w:firstLine="480"/>
        <w:rPr>
          <w:rFonts w:eastAsiaTheme="minorEastAsia"/>
          <w:color w:val="000000" w:themeColor="text1"/>
        </w:rPr>
      </w:pPr>
      <w:r>
        <w:rPr>
          <w:rFonts w:eastAsiaTheme="minorEastAsia"/>
          <w:color w:val="000000" w:themeColor="text1"/>
        </w:rPr>
        <w:t>技改生产线生产用水点主要为洗砂和再选矿工艺，再选</w:t>
      </w:r>
      <w:r>
        <w:rPr>
          <w:rFonts w:hint="eastAsia" w:eastAsiaTheme="minorEastAsia"/>
          <w:color w:val="000000" w:themeColor="text1"/>
          <w:lang w:val="en-US" w:eastAsia="zh-CN"/>
        </w:rPr>
        <w:t>尾矿</w:t>
      </w:r>
      <w:r>
        <w:rPr>
          <w:rFonts w:eastAsiaTheme="minorEastAsia"/>
          <w:color w:val="000000" w:themeColor="text1"/>
        </w:rPr>
        <w:t>废水</w:t>
      </w:r>
      <w:r>
        <w:rPr>
          <w:rFonts w:hint="eastAsia" w:eastAsiaTheme="minorEastAsia"/>
          <w:color w:val="000000" w:themeColor="text1"/>
        </w:rPr>
        <w:t>和尾矿一起</w:t>
      </w:r>
      <w:r>
        <w:rPr>
          <w:rFonts w:eastAsiaTheme="minorEastAsia"/>
          <w:color w:val="000000" w:themeColor="text1"/>
        </w:rPr>
        <w:t>进入</w:t>
      </w:r>
      <w:r>
        <w:rPr>
          <w:rFonts w:hint="eastAsia" w:eastAsiaTheme="minorEastAsia"/>
          <w:color w:val="000000" w:themeColor="text1"/>
        </w:rPr>
        <w:t>依托的浓密池</w:t>
      </w:r>
      <w:r>
        <w:rPr>
          <w:rFonts w:eastAsiaTheme="minorEastAsia"/>
          <w:color w:val="000000" w:themeColor="text1"/>
        </w:rPr>
        <w:t>，陶瓷机压滤水</w:t>
      </w:r>
      <w:r>
        <w:rPr>
          <w:rFonts w:hint="eastAsia" w:eastAsiaTheme="minorEastAsia"/>
          <w:color w:val="000000" w:themeColor="text1"/>
        </w:rPr>
        <w:t>及清洗废水</w:t>
      </w:r>
      <w:r>
        <w:rPr>
          <w:rFonts w:eastAsiaTheme="minorEastAsia"/>
          <w:color w:val="000000" w:themeColor="text1"/>
        </w:rPr>
        <w:t>进入</w:t>
      </w:r>
      <w:r>
        <w:rPr>
          <w:rFonts w:hint="eastAsia" w:eastAsiaTheme="minorEastAsia"/>
          <w:color w:val="000000" w:themeColor="text1"/>
        </w:rPr>
        <w:t>原有</w:t>
      </w:r>
      <w:r>
        <w:rPr>
          <w:rFonts w:eastAsiaTheme="minorEastAsia"/>
          <w:color w:val="000000" w:themeColor="text1"/>
        </w:rPr>
        <w:t>尾矿浆沉淀池沉淀，上清液返回选矿生产线使用，原料加工过程的洗沙废水用于</w:t>
      </w:r>
      <w:r>
        <w:rPr>
          <w:rFonts w:hint="eastAsia" w:eastAsiaTheme="minorEastAsia"/>
          <w:color w:val="000000" w:themeColor="text1"/>
        </w:rPr>
        <w:t>原有项目</w:t>
      </w:r>
      <w:r>
        <w:rPr>
          <w:rFonts w:eastAsiaTheme="minorEastAsia"/>
          <w:color w:val="000000" w:themeColor="text1"/>
        </w:rPr>
        <w:t>选矿生产线，一方面对洗沙泥浆中少量的矿进一步回收，</w:t>
      </w:r>
      <w:r>
        <w:rPr>
          <w:rFonts w:hint="eastAsia" w:eastAsiaTheme="minorEastAsia"/>
          <w:color w:val="000000" w:themeColor="text1"/>
        </w:rPr>
        <w:t>另</w:t>
      </w:r>
      <w:r>
        <w:rPr>
          <w:rFonts w:eastAsiaTheme="minorEastAsia"/>
          <w:color w:val="000000" w:themeColor="text1"/>
        </w:rPr>
        <w:t>一</w:t>
      </w:r>
      <w:r>
        <w:rPr>
          <w:rFonts w:hint="eastAsia" w:eastAsiaTheme="minorEastAsia"/>
          <w:color w:val="000000" w:themeColor="text1"/>
        </w:rPr>
        <w:t>方面</w:t>
      </w:r>
      <w:r>
        <w:rPr>
          <w:rFonts w:eastAsiaTheme="minorEastAsia"/>
          <w:color w:val="000000" w:themeColor="text1"/>
        </w:rPr>
        <w:t>可以实现洗沙废水不外排。</w:t>
      </w:r>
    </w:p>
    <w:p>
      <w:pPr>
        <w:kinsoku w:val="0"/>
        <w:overflowPunct w:val="0"/>
        <w:autoSpaceDE w:val="0"/>
        <w:ind w:firstLine="480"/>
        <w:rPr>
          <w:rFonts w:eastAsiaTheme="minorEastAsia"/>
          <w:color w:val="000000" w:themeColor="text1"/>
        </w:rPr>
      </w:pPr>
      <w:r>
        <w:rPr>
          <w:rFonts w:hint="eastAsia"/>
          <w:color w:val="000000" w:themeColor="text1"/>
        </w:rPr>
        <w:t>项目区初期</w:t>
      </w:r>
      <w:r>
        <w:rPr>
          <w:color w:val="000000" w:themeColor="text1"/>
        </w:rPr>
        <w:t>雨水主要针对原料加工处理站</w:t>
      </w:r>
      <w:r>
        <w:rPr>
          <w:rFonts w:hint="eastAsia"/>
          <w:color w:val="000000" w:themeColor="text1"/>
        </w:rPr>
        <w:t>的砂石料堆场、低品位矿堆场及其附近区域进行收集</w:t>
      </w:r>
      <w:r>
        <w:rPr>
          <w:color w:val="000000" w:themeColor="text1"/>
        </w:rPr>
        <w:t>，汇水面积约</w:t>
      </w:r>
      <w:r>
        <w:rPr>
          <w:rFonts w:hint="eastAsia"/>
          <w:color w:val="000000" w:themeColor="text1"/>
        </w:rPr>
        <w:t>6800</w:t>
      </w:r>
      <w:r>
        <w:rPr>
          <w:color w:val="000000" w:themeColor="text1"/>
        </w:rPr>
        <w:t>m</w:t>
      </w:r>
      <w:r>
        <w:rPr>
          <w:color w:val="000000" w:themeColor="text1"/>
          <w:vertAlign w:val="superscript"/>
        </w:rPr>
        <w:t>2</w:t>
      </w:r>
      <w:r>
        <w:rPr>
          <w:color w:val="000000" w:themeColor="text1"/>
        </w:rPr>
        <w:t>，前15分钟的初期雨水量为</w:t>
      </w:r>
      <w:r>
        <w:rPr>
          <w:rFonts w:hint="eastAsia"/>
          <w:color w:val="000000" w:themeColor="text1"/>
        </w:rPr>
        <w:t>178.85</w:t>
      </w:r>
      <w:r>
        <w:rPr>
          <w:color w:val="000000" w:themeColor="text1"/>
        </w:rPr>
        <w:t>m</w:t>
      </w:r>
      <w:r>
        <w:rPr>
          <w:color w:val="000000" w:themeColor="text1"/>
          <w:vertAlign w:val="superscript"/>
        </w:rPr>
        <w:t>3</w:t>
      </w:r>
      <w:r>
        <w:rPr>
          <w:color w:val="000000" w:themeColor="text1"/>
        </w:rPr>
        <w:t>/次，</w:t>
      </w:r>
      <w:r>
        <w:rPr>
          <w:rFonts w:hint="eastAsia"/>
          <w:color w:val="000000" w:themeColor="text1"/>
        </w:rPr>
        <w:t>新建1个</w:t>
      </w:r>
      <w:r>
        <w:rPr>
          <w:color w:val="000000" w:themeColor="text1"/>
        </w:rPr>
        <w:t>初期雨水收集池容积设置为</w:t>
      </w:r>
      <w:r>
        <w:rPr>
          <w:rFonts w:hint="eastAsia"/>
          <w:color w:val="000000" w:themeColor="text1"/>
        </w:rPr>
        <w:t>2</w:t>
      </w:r>
      <w:r>
        <w:rPr>
          <w:color w:val="000000" w:themeColor="text1"/>
        </w:rPr>
        <w:t>00m</w:t>
      </w:r>
      <w:r>
        <w:rPr>
          <w:color w:val="000000" w:themeColor="text1"/>
          <w:vertAlign w:val="superscript"/>
        </w:rPr>
        <w:t>3</w:t>
      </w:r>
      <w:r>
        <w:rPr>
          <w:color w:val="000000" w:themeColor="text1"/>
        </w:rPr>
        <w:t>，</w:t>
      </w:r>
      <w:r>
        <w:rPr>
          <w:rFonts w:hint="eastAsia"/>
          <w:color w:val="000000" w:themeColor="text1"/>
        </w:rPr>
        <w:t xml:space="preserve">初期雨水主要污染物为SS， </w:t>
      </w:r>
      <w:r>
        <w:rPr>
          <w:color w:val="000000" w:themeColor="text1"/>
        </w:rPr>
        <w:t>设置排水沟</w:t>
      </w:r>
      <w:r>
        <w:rPr>
          <w:rFonts w:hint="eastAsia"/>
          <w:color w:val="000000" w:themeColor="text1"/>
        </w:rPr>
        <w:t>约250m</w:t>
      </w:r>
      <w:r>
        <w:rPr>
          <w:color w:val="000000" w:themeColor="text1"/>
        </w:rPr>
        <w:t>，</w:t>
      </w:r>
      <w:r>
        <w:rPr>
          <w:rFonts w:hint="eastAsia"/>
          <w:color w:val="000000" w:themeColor="text1"/>
        </w:rPr>
        <w:t>雨水通过截排水沟从较高处北面汇入较低处南面，进入到初期雨水池，</w:t>
      </w:r>
      <w:r>
        <w:rPr>
          <w:color w:val="000000" w:themeColor="text1"/>
        </w:rPr>
        <w:t>初期雨水进入雨水池沉淀后，上清液抽至厂区内的高位水池，用于选矿。</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6.2.2.2生产废水回用不外排的可行性分析</w:t>
      </w:r>
    </w:p>
    <w:p>
      <w:pPr>
        <w:ind w:firstLine="480"/>
        <w:jc w:val="both"/>
        <w:rPr>
          <w:rFonts w:eastAsiaTheme="minorEastAsia"/>
          <w:color w:val="000000" w:themeColor="text1"/>
        </w:rPr>
      </w:pPr>
      <w:r>
        <w:rPr>
          <w:rFonts w:eastAsiaTheme="minorEastAsia"/>
          <w:color w:val="000000" w:themeColor="text1"/>
        </w:rPr>
        <w:t>1、水量</w:t>
      </w:r>
    </w:p>
    <w:p>
      <w:pPr>
        <w:pStyle w:val="78"/>
        <w:ind w:firstLine="480"/>
        <w:jc w:val="both"/>
        <w:rPr>
          <w:rFonts w:eastAsiaTheme="minorEastAsia"/>
          <w:color w:val="000000" w:themeColor="text1"/>
        </w:rPr>
      </w:pPr>
      <w:r>
        <w:rPr>
          <w:rFonts w:hint="eastAsia" w:eastAsiaTheme="minorEastAsia"/>
          <w:bCs/>
          <w:color w:val="000000" w:themeColor="text1"/>
        </w:rPr>
        <w:t>技改后</w:t>
      </w:r>
      <w:r>
        <w:rPr>
          <w:rFonts w:eastAsiaTheme="minorEastAsia"/>
          <w:bCs/>
          <w:color w:val="000000" w:themeColor="text1"/>
        </w:rPr>
        <w:t>原有项目选矿</w:t>
      </w:r>
      <w:r>
        <w:rPr>
          <w:rFonts w:hint="eastAsia" w:eastAsiaTheme="minorEastAsia"/>
          <w:bCs/>
          <w:color w:val="000000" w:themeColor="text1"/>
        </w:rPr>
        <w:t>用水</w:t>
      </w:r>
      <w:r>
        <w:rPr>
          <w:rFonts w:eastAsiaTheme="minorEastAsia"/>
          <w:bCs/>
          <w:color w:val="000000" w:themeColor="text1"/>
        </w:rPr>
        <w:t>量为</w:t>
      </w:r>
      <w:r>
        <w:rPr>
          <w:rFonts w:hint="eastAsia" w:eastAsiaTheme="minorEastAsia"/>
          <w:bCs/>
          <w:color w:val="000000" w:themeColor="text1"/>
        </w:rPr>
        <w:t>656.545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技改前原有项目选矿用水量为1465.8</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color w:val="000000" w:themeColor="text1"/>
        </w:rPr>
        <w:t>由于选矿原矿加工量减少，</w:t>
      </w:r>
      <w:r>
        <w:rPr>
          <w:rFonts w:hint="eastAsia" w:eastAsiaTheme="minorEastAsia"/>
          <w:color w:val="000000" w:themeColor="text1"/>
        </w:rPr>
        <w:t>原有项目较技改前选矿用水量减少了809.255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技改后全厂选矿用水量为1022.54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较技改前选矿用水减少了 443.26</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w:t>
      </w:r>
    </w:p>
    <w:p>
      <w:pPr>
        <w:pStyle w:val="78"/>
        <w:ind w:firstLine="480"/>
        <w:jc w:val="both"/>
        <w:rPr>
          <w:rFonts w:eastAsiaTheme="minorEastAsia"/>
          <w:color w:val="000000" w:themeColor="text1"/>
        </w:rPr>
      </w:pPr>
      <w:r>
        <w:rPr>
          <w:rFonts w:eastAsiaTheme="minorEastAsia"/>
          <w:color w:val="000000" w:themeColor="text1"/>
        </w:rPr>
        <w:t>技改选矿生产线</w:t>
      </w:r>
      <w:r>
        <w:rPr>
          <w:rFonts w:hint="eastAsia" w:eastAsiaTheme="minorEastAsia"/>
          <w:color w:val="000000" w:themeColor="text1"/>
        </w:rPr>
        <w:t>用水</w:t>
      </w:r>
      <w:r>
        <w:rPr>
          <w:rFonts w:eastAsiaTheme="minorEastAsia"/>
          <w:color w:val="000000" w:themeColor="text1"/>
        </w:rPr>
        <w:t>量为</w:t>
      </w:r>
      <w:r>
        <w:rPr>
          <w:rFonts w:hint="eastAsia" w:eastAsiaTheme="minorEastAsia"/>
          <w:color w:val="000000" w:themeColor="text1"/>
        </w:rPr>
        <w:t>356.755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洗砂补充水量为9.24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降尘用水量为44.7</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技改后厂区绿化补充水量为3.24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全厂用水量总共为1096.57</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原有项目尾矿沉淀池</w:t>
      </w:r>
      <w:r>
        <w:rPr>
          <w:rFonts w:eastAsiaTheme="minorEastAsia"/>
          <w:color w:val="000000" w:themeColor="text1"/>
        </w:rPr>
        <w:t>回用量为</w:t>
      </w:r>
      <w:r>
        <w:rPr>
          <w:rFonts w:hint="eastAsia" w:eastAsiaTheme="minorEastAsia"/>
          <w:color w:val="000000" w:themeColor="text1"/>
        </w:rPr>
        <w:t>848.365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eastAsiaTheme="minorEastAsia"/>
          <w:color w:val="000000" w:themeColor="text1"/>
          <w:szCs w:val="24"/>
        </w:rPr>
        <w:t>尾矿进入</w:t>
      </w:r>
      <w:r>
        <w:rPr>
          <w:rFonts w:hint="eastAsia" w:eastAsiaTheme="minorEastAsia"/>
          <w:color w:val="000000" w:themeColor="text1"/>
          <w:szCs w:val="24"/>
        </w:rPr>
        <w:t>原有辣子箐</w:t>
      </w:r>
      <w:r>
        <w:rPr>
          <w:rFonts w:eastAsiaTheme="minorEastAsia"/>
          <w:color w:val="000000" w:themeColor="text1"/>
          <w:szCs w:val="24"/>
        </w:rPr>
        <w:t>尾矿库带走水量为</w:t>
      </w:r>
      <w:r>
        <w:rPr>
          <w:rFonts w:hint="eastAsia" w:eastAsiaTheme="minorEastAsia"/>
          <w:color w:val="000000" w:themeColor="text1"/>
          <w:szCs w:val="24"/>
        </w:rPr>
        <w:t>89.5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eastAsiaTheme="minorEastAsia"/>
          <w:color w:val="000000" w:themeColor="text1"/>
          <w:szCs w:val="24"/>
        </w:rPr>
        <w:t>，经尾矿库澄清后，上清液通过库内回水系统扬送至高位水池，</w:t>
      </w:r>
      <w:r>
        <w:rPr>
          <w:rFonts w:hint="eastAsia" w:eastAsiaTheme="minorEastAsia"/>
          <w:color w:val="000000" w:themeColor="text1"/>
          <w:szCs w:val="24"/>
        </w:rPr>
        <w:t>尾矿库</w:t>
      </w:r>
      <w:r>
        <w:rPr>
          <w:rFonts w:eastAsiaTheme="minorEastAsia"/>
          <w:color w:val="000000" w:themeColor="text1"/>
          <w:szCs w:val="24"/>
        </w:rPr>
        <w:t>回水量为</w:t>
      </w:r>
      <w:r>
        <w:rPr>
          <w:rFonts w:hint="eastAsia" w:eastAsiaTheme="minorEastAsia"/>
          <w:color w:val="000000" w:themeColor="text1"/>
          <w:szCs w:val="24"/>
        </w:rPr>
        <w:t>56.1</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，回用水总量为904.465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，平均每天还需用河水补充用水166.015</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w:t>
      </w:r>
      <w:r>
        <w:rPr>
          <w:rFonts w:hint="eastAsia" w:eastAsiaTheme="minorEastAsia"/>
          <w:color w:val="000000" w:themeColor="text1"/>
        </w:rPr>
        <w:t>，所以全厂生产废水能够全部回用，不外排。</w:t>
      </w:r>
    </w:p>
    <w:p>
      <w:pPr>
        <w:pStyle w:val="78"/>
        <w:ind w:firstLine="480"/>
        <w:rPr>
          <w:rFonts w:eastAsiaTheme="minorEastAsia"/>
          <w:color w:val="000000" w:themeColor="text1"/>
        </w:rPr>
      </w:pPr>
      <w:r>
        <w:rPr>
          <w:rFonts w:eastAsiaTheme="minorEastAsia"/>
          <w:color w:val="000000" w:themeColor="text1"/>
        </w:rPr>
        <w:t>原有项目尾浆通过DN200的HDPE管道利用场地高差压力自流进入尾矿浆沉淀池，从尾矿浆沉淀池回用到生产线的回水采用DN100的钢管和最大流量为50m</w:t>
      </w:r>
      <w:r>
        <w:rPr>
          <w:rFonts w:eastAsiaTheme="minorEastAsia"/>
          <w:color w:val="000000" w:themeColor="text1"/>
          <w:vertAlign w:val="superscript"/>
        </w:rPr>
        <w:t>3</w:t>
      </w:r>
      <w:r>
        <w:rPr>
          <w:rFonts w:eastAsiaTheme="minorEastAsia"/>
          <w:color w:val="000000" w:themeColor="text1"/>
        </w:rPr>
        <w:t>/h的离心泵输送至选矿工段。从尾矿浆沉淀池输送至辣子箐尾矿库的管道采用DN100的HDPE管道，采用一级渣浆泵输送最大流量为48m</w:t>
      </w:r>
      <w:r>
        <w:rPr>
          <w:rFonts w:eastAsiaTheme="minorEastAsia"/>
          <w:color w:val="000000" w:themeColor="text1"/>
          <w:vertAlign w:val="superscript"/>
        </w:rPr>
        <w:t>3</w:t>
      </w:r>
      <w:r>
        <w:rPr>
          <w:rFonts w:eastAsiaTheme="minorEastAsia"/>
          <w:color w:val="000000" w:themeColor="text1"/>
        </w:rPr>
        <w:t>/h，扬程为85.8m，二级砂浆泵最大流量为57m</w:t>
      </w:r>
      <w:r>
        <w:rPr>
          <w:rFonts w:eastAsiaTheme="minorEastAsia"/>
          <w:color w:val="000000" w:themeColor="text1"/>
          <w:vertAlign w:val="superscript"/>
        </w:rPr>
        <w:t>3</w:t>
      </w:r>
      <w:r>
        <w:rPr>
          <w:rFonts w:eastAsiaTheme="minorEastAsia"/>
          <w:color w:val="000000" w:themeColor="text1"/>
        </w:rPr>
        <w:t>/h，扬程为110.7m，渣浆泵的输送能力能够满足原有选矿项目输送尾矿所需。</w:t>
      </w:r>
    </w:p>
    <w:p>
      <w:pPr>
        <w:ind w:firstLine="480"/>
        <w:jc w:val="both"/>
        <w:rPr>
          <w:color w:val="000000" w:themeColor="text1"/>
        </w:rPr>
      </w:pPr>
      <w:r>
        <w:rPr>
          <w:rFonts w:eastAsiaTheme="minorEastAsia"/>
          <w:color w:val="000000" w:themeColor="text1"/>
        </w:rPr>
        <w:t>技改生产线尾矿产生量为</w:t>
      </w:r>
      <w:r>
        <w:rPr>
          <w:rFonts w:hint="eastAsia" w:eastAsiaTheme="minorEastAsia"/>
          <w:color w:val="000000" w:themeColor="text1"/>
        </w:rPr>
        <w:t>31874.126</w:t>
      </w:r>
      <w:r>
        <w:rPr>
          <w:rFonts w:eastAsiaTheme="minorEastAsia"/>
          <w:color w:val="000000" w:themeColor="text1"/>
        </w:rPr>
        <w:t>t/a（</w:t>
      </w:r>
      <w:r>
        <w:rPr>
          <w:rFonts w:hint="eastAsia" w:eastAsiaTheme="minorEastAsia"/>
          <w:color w:val="000000" w:themeColor="text1"/>
        </w:rPr>
        <w:t>106.25</w:t>
      </w:r>
      <w:r>
        <w:rPr>
          <w:rFonts w:eastAsiaTheme="minorEastAsia"/>
          <w:color w:val="000000" w:themeColor="text1"/>
        </w:rPr>
        <w:t>t/d），技改生产线</w:t>
      </w:r>
      <w:r>
        <w:rPr>
          <w:rFonts w:hint="eastAsia" w:eastAsiaTheme="minorEastAsia"/>
          <w:color w:val="000000" w:themeColor="text1"/>
        </w:rPr>
        <w:t>尾矿通过管道</w:t>
      </w:r>
      <w:r>
        <w:rPr>
          <w:rFonts w:eastAsiaTheme="minorEastAsia"/>
          <w:color w:val="000000" w:themeColor="text1"/>
        </w:rPr>
        <w:t>进入</w:t>
      </w:r>
      <w:r>
        <w:rPr>
          <w:color w:val="000000" w:themeColor="text1"/>
        </w:rPr>
        <w:t>打入平安矿业辣子箐口选厂的浓密池内，平安矿业已建设尾矿输送到大红山龙都尾矿库的配套设施及管道，从浓密池经已建好的隔膜泵站输送到大红山尾矿沟，然后进入龙都尾矿库</w:t>
      </w:r>
      <w:r>
        <w:rPr>
          <w:rFonts w:hint="eastAsia"/>
          <w:color w:val="000000" w:themeColor="text1"/>
        </w:rPr>
        <w:t>。</w:t>
      </w:r>
      <w:r>
        <w:rPr>
          <w:color w:val="000000" w:themeColor="text1"/>
        </w:rPr>
        <w:t>从本厂区内的尾矿管道到平安矿业浓密池，尾矿管道需要新建750m，管道采用钢管材质，内径为DN150mm，外径为160mm，管道承压能力为1.6MPa。另外还需要新建加压力泵扬尘8m，最大流量180m³/h，功率为30KW，输送能力能够满足技改项目尾矿输送。平安公司辣子箐口选矿厂至龙都尾矿库的尾矿输送能力为30万t/a，而目前辣子箐口选矿厂尾矿输送量为15万t/a，剩余15万t/a的输送余量，本技改铁矿再选尾矿输送量为</w:t>
      </w:r>
      <w:r>
        <w:rPr>
          <w:rFonts w:hint="eastAsia"/>
          <w:color w:val="000000" w:themeColor="text1"/>
        </w:rPr>
        <w:t>31874.126</w:t>
      </w:r>
      <w:r>
        <w:rPr>
          <w:color w:val="000000" w:themeColor="text1"/>
        </w:rPr>
        <w:t>t/a，已建好设施的剩余输送量能够满足技改项目的尾矿输送需求。</w:t>
      </w:r>
    </w:p>
    <w:p>
      <w:pPr>
        <w:ind w:firstLine="480"/>
        <w:rPr>
          <w:rFonts w:eastAsiaTheme="minorEastAsia"/>
          <w:color w:val="000000" w:themeColor="text1"/>
        </w:rPr>
      </w:pPr>
      <w:r>
        <w:rPr>
          <w:rFonts w:eastAsiaTheme="minorEastAsia"/>
          <w:color w:val="000000" w:themeColor="text1"/>
        </w:rPr>
        <w:t>2、水质</w:t>
      </w:r>
    </w:p>
    <w:p>
      <w:pPr>
        <w:pStyle w:val="127"/>
        <w:rPr>
          <w:rFonts w:eastAsiaTheme="minorEastAsia"/>
          <w:b/>
          <w:color w:val="000000" w:themeColor="text1"/>
          <w:sz w:val="21"/>
          <w:szCs w:val="20"/>
        </w:rPr>
      </w:pPr>
      <w:r>
        <w:rPr>
          <w:rFonts w:eastAsiaTheme="minorEastAsia"/>
          <w:color w:val="000000" w:themeColor="text1"/>
        </w:rPr>
        <w:t>技改铁矿再选尾矿进入大红山龙都尾矿库，玉溪矿业有限公司大红山铜矿、玉溪大红山矿业有限公司于2018年11月1日委托华恒环境科技有限公司监测的尾矿库</w:t>
      </w:r>
      <w:r>
        <w:rPr>
          <w:rFonts w:hint="eastAsia" w:eastAsiaTheme="minorEastAsia"/>
          <w:color w:val="000000" w:themeColor="text1"/>
        </w:rPr>
        <w:t>水质</w:t>
      </w:r>
      <w:r>
        <w:rPr>
          <w:rFonts w:eastAsiaTheme="minorEastAsia"/>
          <w:color w:val="000000" w:themeColor="text1"/>
        </w:rPr>
        <w:t>进行监测。监测结果见下表6.2-</w:t>
      </w:r>
      <w:r>
        <w:rPr>
          <w:rFonts w:hint="eastAsia" w:eastAsiaTheme="minorEastAsia"/>
          <w:color w:val="000000" w:themeColor="text1"/>
        </w:rPr>
        <w:t>32</w:t>
      </w:r>
      <w:r>
        <w:rPr>
          <w:rFonts w:eastAsiaTheme="minorEastAsia"/>
          <w:color w:val="000000" w:themeColor="text1"/>
        </w:rPr>
        <w:t>。</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表6.2-</w:t>
      </w:r>
      <w:r>
        <w:rPr>
          <w:rFonts w:hint="eastAsia" w:eastAsiaTheme="minorEastAsia"/>
          <w:b/>
          <w:color w:val="000000" w:themeColor="text1"/>
          <w:sz w:val="21"/>
          <w:szCs w:val="20"/>
        </w:rPr>
        <w:t>32</w:t>
      </w:r>
      <w:r>
        <w:rPr>
          <w:rFonts w:eastAsiaTheme="minorEastAsia"/>
          <w:b/>
          <w:color w:val="000000" w:themeColor="text1"/>
          <w:sz w:val="21"/>
          <w:szCs w:val="20"/>
        </w:rPr>
        <w:t>龙都尾矿库库尾蓄水区检测结果</w:t>
      </w:r>
    </w:p>
    <w:tbl>
      <w:tblPr>
        <w:tblStyle w:val="61"/>
        <w:tblW w:w="853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1"/>
        <w:gridCol w:w="1159"/>
        <w:gridCol w:w="1169"/>
        <w:gridCol w:w="1235"/>
        <w:gridCol w:w="1215"/>
        <w:gridCol w:w="1679"/>
        <w:gridCol w:w="7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3" w:hRule="atLeast"/>
          <w:jc w:val="center"/>
        </w:trPr>
        <w:tc>
          <w:tcPr>
            <w:tcW w:w="1351" w:type="dxa"/>
            <w:vMerge w:val="restart"/>
            <w:tcBorders>
              <w:tl2br w:val="single" w:color="auto" w:sz="12"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采样地点及采样日期</w:t>
            </w:r>
          </w:p>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检测项目</w:t>
            </w:r>
          </w:p>
        </w:tc>
        <w:tc>
          <w:tcPr>
            <w:tcW w:w="4778" w:type="dxa"/>
            <w:gridSpan w:val="4"/>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尾矿库库尾蓄水区</w:t>
            </w:r>
          </w:p>
        </w:tc>
        <w:tc>
          <w:tcPr>
            <w:tcW w:w="1679"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《铁矿采选工业污染物排放标准》（GB28661-2012）</w:t>
            </w:r>
          </w:p>
        </w:tc>
        <w:tc>
          <w:tcPr>
            <w:tcW w:w="729"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atLeast"/>
          <w:jc w:val="center"/>
        </w:trPr>
        <w:tc>
          <w:tcPr>
            <w:tcW w:w="1351" w:type="dxa"/>
            <w:vMerge w:val="continue"/>
            <w:tcBorders>
              <w:tl2br w:val="single" w:color="auto" w:sz="12" w:space="0"/>
            </w:tcBorders>
            <w:vAlign w:val="center"/>
          </w:tcPr>
          <w:p>
            <w:pPr>
              <w:spacing w:line="240" w:lineRule="auto"/>
              <w:ind w:firstLine="0" w:firstLineChars="0"/>
              <w:jc w:val="center"/>
              <w:rPr>
                <w:rFonts w:eastAsiaTheme="minorEastAsia"/>
                <w:color w:val="000000" w:themeColor="text1"/>
                <w:sz w:val="21"/>
                <w:szCs w:val="21"/>
              </w:rPr>
            </w:pPr>
          </w:p>
        </w:tc>
        <w:tc>
          <w:tcPr>
            <w:tcW w:w="1159"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第一次</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bCs/>
                <w:color w:val="000000" w:themeColor="text1"/>
                <w:sz w:val="21"/>
                <w:szCs w:val="21"/>
              </w:rPr>
              <w:t>第二次</w:t>
            </w:r>
          </w:p>
        </w:tc>
        <w:tc>
          <w:tcPr>
            <w:tcW w:w="1235"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第三次</w:t>
            </w:r>
          </w:p>
        </w:tc>
        <w:tc>
          <w:tcPr>
            <w:tcW w:w="1215"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平均值</w:t>
            </w:r>
          </w:p>
        </w:tc>
        <w:tc>
          <w:tcPr>
            <w:tcW w:w="1679" w:type="dxa"/>
            <w:vMerge w:val="continue"/>
            <w:vAlign w:val="center"/>
          </w:tcPr>
          <w:p>
            <w:pPr>
              <w:spacing w:line="240" w:lineRule="auto"/>
              <w:ind w:firstLine="0" w:firstLineChars="0"/>
              <w:jc w:val="center"/>
              <w:rPr>
                <w:rFonts w:eastAsiaTheme="minorEastAsia"/>
                <w:bCs/>
                <w:color w:val="000000" w:themeColor="text1"/>
                <w:sz w:val="21"/>
                <w:szCs w:val="21"/>
              </w:rPr>
            </w:pPr>
          </w:p>
        </w:tc>
        <w:tc>
          <w:tcPr>
            <w:tcW w:w="729" w:type="dxa"/>
            <w:vMerge w:val="continue"/>
            <w:vAlign w:val="center"/>
          </w:tcPr>
          <w:p>
            <w:pPr>
              <w:spacing w:line="240" w:lineRule="auto"/>
              <w:ind w:firstLine="0" w:firstLineChars="0"/>
              <w:jc w:val="center"/>
              <w:rPr>
                <w:rFonts w:eastAsiaTheme="minorEastAsia"/>
                <w:b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color w:val="000000" w:themeColor="text1"/>
                <w:sz w:val="21"/>
                <w:szCs w:val="21"/>
              </w:rPr>
              <w:t>pH（无量纲）</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8.0</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8.2</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8.1</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8.0~8.2</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6~9</w:t>
            </w:r>
          </w:p>
        </w:tc>
        <w:tc>
          <w:tcPr>
            <w:tcW w:w="72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化学需氧量</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53</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56</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60</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56</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70</w:t>
            </w:r>
          </w:p>
        </w:tc>
        <w:tc>
          <w:tcPr>
            <w:tcW w:w="72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悬浮物</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24</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30</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33</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29</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100</w:t>
            </w:r>
          </w:p>
        </w:tc>
        <w:tc>
          <w:tcPr>
            <w:tcW w:w="72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氨氮</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0.261</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0.302</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0.256</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0.273</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w:t>
            </w:r>
          </w:p>
        </w:tc>
        <w:tc>
          <w:tcPr>
            <w:tcW w:w="72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石油类</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0.19</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0.16</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0.16</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0.17</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氟化物</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1.21</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0.98</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1.04</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1.08</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硫化物</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0.005L</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0.005L</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0.005L</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0.005L</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六价铬</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0.016</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0.017</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0.016</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0.016</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铜</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锌</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0.05L</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0.05L</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0.05L</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0.05L</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2.0</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镉</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0.1</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砷(ug/L)</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0.0007</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0.0008</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0.0008</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0.0008</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汞(ug/L)</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0.00004L</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0.00004L</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0.00004L</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0.00004L</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5" w:hRule="exact"/>
          <w:jc w:val="center"/>
        </w:trPr>
        <w:tc>
          <w:tcPr>
            <w:tcW w:w="1351"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备注</w:t>
            </w:r>
          </w:p>
        </w:tc>
        <w:tc>
          <w:tcPr>
            <w:tcW w:w="7186" w:type="dxa"/>
            <w:gridSpan w:val="6"/>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“检出限L”</w:t>
            </w:r>
            <w:r>
              <w:rPr>
                <w:rFonts w:eastAsiaTheme="minorEastAsia"/>
                <w:color w:val="000000" w:themeColor="text1"/>
                <w:sz w:val="21"/>
                <w:szCs w:val="21"/>
              </w:rPr>
              <w:t>为检测结果低于分析方法检出限。</w:t>
            </w:r>
          </w:p>
        </w:tc>
      </w:tr>
    </w:tbl>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表6.2-</w:t>
      </w:r>
      <w:r>
        <w:rPr>
          <w:rFonts w:hint="eastAsia" w:eastAsiaTheme="minorEastAsia"/>
          <w:b/>
          <w:color w:val="000000" w:themeColor="text1"/>
          <w:sz w:val="21"/>
          <w:szCs w:val="20"/>
        </w:rPr>
        <w:t>33</w:t>
      </w:r>
      <w:r>
        <w:rPr>
          <w:rFonts w:eastAsiaTheme="minorEastAsia"/>
          <w:b/>
          <w:color w:val="000000" w:themeColor="text1"/>
          <w:sz w:val="21"/>
          <w:szCs w:val="20"/>
        </w:rPr>
        <w:t>龙都尾矿库外排水口检测结果</w:t>
      </w:r>
    </w:p>
    <w:tbl>
      <w:tblPr>
        <w:tblStyle w:val="61"/>
        <w:tblW w:w="853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1"/>
        <w:gridCol w:w="1159"/>
        <w:gridCol w:w="1169"/>
        <w:gridCol w:w="1235"/>
        <w:gridCol w:w="1215"/>
        <w:gridCol w:w="1679"/>
        <w:gridCol w:w="7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3" w:hRule="atLeast"/>
          <w:jc w:val="center"/>
        </w:trPr>
        <w:tc>
          <w:tcPr>
            <w:tcW w:w="1351" w:type="dxa"/>
            <w:vMerge w:val="restart"/>
            <w:tcBorders>
              <w:tl2br w:val="single" w:color="auto" w:sz="12"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采样地点及采样日期</w:t>
            </w:r>
          </w:p>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检测项目</w:t>
            </w:r>
          </w:p>
        </w:tc>
        <w:tc>
          <w:tcPr>
            <w:tcW w:w="4778" w:type="dxa"/>
            <w:gridSpan w:val="4"/>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尾矿库外排水口</w:t>
            </w:r>
          </w:p>
        </w:tc>
        <w:tc>
          <w:tcPr>
            <w:tcW w:w="1679"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《铁矿采选工业污染物排放标准》（GB28661-2012）</w:t>
            </w:r>
          </w:p>
        </w:tc>
        <w:tc>
          <w:tcPr>
            <w:tcW w:w="729"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atLeast"/>
          <w:jc w:val="center"/>
        </w:trPr>
        <w:tc>
          <w:tcPr>
            <w:tcW w:w="1351" w:type="dxa"/>
            <w:vMerge w:val="continue"/>
            <w:tcBorders>
              <w:tl2br w:val="single" w:color="auto" w:sz="12" w:space="0"/>
            </w:tcBorders>
            <w:vAlign w:val="center"/>
          </w:tcPr>
          <w:p>
            <w:pPr>
              <w:spacing w:line="240" w:lineRule="auto"/>
              <w:ind w:firstLine="0" w:firstLineChars="0"/>
              <w:jc w:val="center"/>
              <w:rPr>
                <w:rFonts w:eastAsiaTheme="minorEastAsia"/>
                <w:color w:val="000000" w:themeColor="text1"/>
                <w:sz w:val="21"/>
                <w:szCs w:val="21"/>
              </w:rPr>
            </w:pPr>
          </w:p>
        </w:tc>
        <w:tc>
          <w:tcPr>
            <w:tcW w:w="1159"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第一次</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bCs/>
                <w:color w:val="000000" w:themeColor="text1"/>
                <w:sz w:val="21"/>
                <w:szCs w:val="21"/>
              </w:rPr>
              <w:t>第二次</w:t>
            </w:r>
          </w:p>
        </w:tc>
        <w:tc>
          <w:tcPr>
            <w:tcW w:w="1235"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第三次</w:t>
            </w:r>
          </w:p>
        </w:tc>
        <w:tc>
          <w:tcPr>
            <w:tcW w:w="1215"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平均值</w:t>
            </w:r>
          </w:p>
        </w:tc>
        <w:tc>
          <w:tcPr>
            <w:tcW w:w="1679" w:type="dxa"/>
            <w:vMerge w:val="continue"/>
            <w:vAlign w:val="center"/>
          </w:tcPr>
          <w:p>
            <w:pPr>
              <w:spacing w:line="240" w:lineRule="auto"/>
              <w:ind w:firstLine="0" w:firstLineChars="0"/>
              <w:jc w:val="center"/>
              <w:rPr>
                <w:rFonts w:eastAsiaTheme="minorEastAsia"/>
                <w:bCs/>
                <w:color w:val="000000" w:themeColor="text1"/>
                <w:sz w:val="21"/>
                <w:szCs w:val="21"/>
              </w:rPr>
            </w:pPr>
          </w:p>
        </w:tc>
        <w:tc>
          <w:tcPr>
            <w:tcW w:w="729" w:type="dxa"/>
            <w:vMerge w:val="continue"/>
            <w:vAlign w:val="center"/>
          </w:tcPr>
          <w:p>
            <w:pPr>
              <w:spacing w:line="240" w:lineRule="auto"/>
              <w:ind w:firstLine="0" w:firstLineChars="0"/>
              <w:jc w:val="center"/>
              <w:rPr>
                <w:rFonts w:eastAsiaTheme="minorEastAsia"/>
                <w:bCs/>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color w:val="000000" w:themeColor="text1"/>
                <w:sz w:val="21"/>
                <w:szCs w:val="21"/>
              </w:rPr>
              <w:t>pH（无量纲）</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7.8</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7.5</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7.6</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7.5~7.8</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6~9</w:t>
            </w:r>
          </w:p>
        </w:tc>
        <w:tc>
          <w:tcPr>
            <w:tcW w:w="72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化学需氧量</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34</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32</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36</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34</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70</w:t>
            </w:r>
          </w:p>
        </w:tc>
        <w:tc>
          <w:tcPr>
            <w:tcW w:w="72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悬浮物</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40</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45</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36</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40</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100</w:t>
            </w:r>
          </w:p>
        </w:tc>
        <w:tc>
          <w:tcPr>
            <w:tcW w:w="72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氨氮</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0.088</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0.116</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0.096</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0.100</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w:t>
            </w:r>
          </w:p>
        </w:tc>
        <w:tc>
          <w:tcPr>
            <w:tcW w:w="72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石油类</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0.11</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0.06</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0.09</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0.09</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氟化物</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0.55</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0.46</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0.50</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硫化物</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0.007</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0.010</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0.011</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0.09</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六价铬</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0.006</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0.005</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0.006</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0.006</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铜</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锌</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0.05L</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0.05L</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0.05L</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0.05L</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2.0</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镉</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0.001L</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0.1</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砷(ug/L)</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0.0008</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0.0006</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0.0009</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0.0008</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0.5</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 w:hRule="exact"/>
          <w:jc w:val="center"/>
        </w:trPr>
        <w:tc>
          <w:tcPr>
            <w:tcW w:w="1351"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汞(ug/L)</w:t>
            </w:r>
          </w:p>
        </w:tc>
        <w:tc>
          <w:tcPr>
            <w:tcW w:w="115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0.00004L</w:t>
            </w:r>
          </w:p>
        </w:tc>
        <w:tc>
          <w:tcPr>
            <w:tcW w:w="116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0.00004L</w:t>
            </w:r>
          </w:p>
        </w:tc>
        <w:tc>
          <w:tcPr>
            <w:tcW w:w="12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0.00004L</w:t>
            </w:r>
          </w:p>
        </w:tc>
        <w:tc>
          <w:tcPr>
            <w:tcW w:w="121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0.00004L</w:t>
            </w:r>
          </w:p>
        </w:tc>
        <w:tc>
          <w:tcPr>
            <w:tcW w:w="1679"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0.05</w:t>
            </w:r>
          </w:p>
        </w:tc>
        <w:tc>
          <w:tcPr>
            <w:tcW w:w="729" w:type="dxa"/>
          </w:tcPr>
          <w:p>
            <w:pPr>
              <w:spacing w:line="240" w:lineRule="auto"/>
              <w:ind w:firstLine="0" w:firstLineChars="0"/>
              <w:jc w:val="center"/>
              <w:rPr>
                <w:rFonts w:eastAsiaTheme="minorEastAsia"/>
                <w:color w:val="000000" w:themeColor="text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5" w:hRule="exact"/>
          <w:jc w:val="center"/>
        </w:trPr>
        <w:tc>
          <w:tcPr>
            <w:tcW w:w="1351" w:type="dxa"/>
            <w:vAlign w:val="center"/>
          </w:tcPr>
          <w:p>
            <w:pPr>
              <w:spacing w:line="240" w:lineRule="auto"/>
              <w:ind w:firstLine="0" w:firstLineChars="0"/>
              <w:jc w:val="center"/>
              <w:rPr>
                <w:rFonts w:eastAsiaTheme="minorEastAsia"/>
                <w:bCs/>
                <w:color w:val="000000" w:themeColor="text1"/>
                <w:sz w:val="21"/>
                <w:szCs w:val="21"/>
              </w:rPr>
            </w:pPr>
            <w:r>
              <w:rPr>
                <w:rFonts w:eastAsiaTheme="minorEastAsia"/>
                <w:bCs/>
                <w:color w:val="000000" w:themeColor="text1"/>
                <w:sz w:val="21"/>
                <w:szCs w:val="21"/>
              </w:rPr>
              <w:t>备注</w:t>
            </w:r>
          </w:p>
        </w:tc>
        <w:tc>
          <w:tcPr>
            <w:tcW w:w="7186" w:type="dxa"/>
            <w:gridSpan w:val="6"/>
            <w:vAlign w:val="center"/>
          </w:tcPr>
          <w:p>
            <w:pPr>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“检出限L”</w:t>
            </w:r>
            <w:r>
              <w:rPr>
                <w:rFonts w:eastAsiaTheme="minorEastAsia"/>
                <w:color w:val="000000" w:themeColor="text1"/>
                <w:sz w:val="21"/>
                <w:szCs w:val="21"/>
              </w:rPr>
              <w:t>为检测结果低于分析方法检出限。</w:t>
            </w:r>
          </w:p>
        </w:tc>
      </w:tr>
    </w:tbl>
    <w:p>
      <w:pPr>
        <w:ind w:firstLine="480"/>
        <w:rPr>
          <w:rFonts w:eastAsiaTheme="minorEastAsia"/>
          <w:color w:val="000000" w:themeColor="text1"/>
          <w:szCs w:val="24"/>
        </w:rPr>
      </w:pPr>
    </w:p>
    <w:p>
      <w:pPr>
        <w:ind w:firstLine="480"/>
        <w:rPr>
          <w:rFonts w:eastAsiaTheme="minorEastAsia"/>
          <w:color w:val="000000" w:themeColor="text1"/>
        </w:rPr>
      </w:pPr>
      <w:r>
        <w:rPr>
          <w:rFonts w:eastAsiaTheme="minorEastAsia"/>
          <w:color w:val="000000" w:themeColor="text1"/>
          <w:szCs w:val="24"/>
        </w:rPr>
        <w:t>根据监测结果表明，</w:t>
      </w:r>
      <w:r>
        <w:rPr>
          <w:rFonts w:hint="eastAsia" w:eastAsiaTheme="minorEastAsia"/>
          <w:color w:val="000000" w:themeColor="text1"/>
          <w:szCs w:val="24"/>
        </w:rPr>
        <w:t>龙都</w:t>
      </w:r>
      <w:r>
        <w:rPr>
          <w:rFonts w:eastAsiaTheme="minorEastAsia"/>
          <w:color w:val="000000" w:themeColor="text1"/>
          <w:szCs w:val="24"/>
        </w:rPr>
        <w:t>尾矿库沉淀处理后水质达到</w:t>
      </w:r>
      <w:r>
        <w:rPr>
          <w:rFonts w:eastAsiaTheme="minorEastAsia"/>
          <w:color w:val="000000" w:themeColor="text1"/>
        </w:rPr>
        <w:t>《铁矿采选工业污染物排放标准》（GB28661-2012）表2新建企业项目废水排放限值要求。</w:t>
      </w:r>
      <w:r>
        <w:rPr>
          <w:rFonts w:hint="eastAsia" w:eastAsiaTheme="minorEastAsia"/>
          <w:color w:val="000000" w:themeColor="text1"/>
        </w:rPr>
        <w:t>本选厂现有项目选矿工艺和龙都尾矿库相似，尾矿库水质类比龙都尾矿库，</w:t>
      </w:r>
      <w:r>
        <w:rPr>
          <w:rFonts w:eastAsiaTheme="minorEastAsia"/>
          <w:color w:val="000000" w:themeColor="text1"/>
        </w:rPr>
        <w:t>项目选矿生产对水质要求不高，原有项目运行多年，经过尾矿库和尾矿浆沉淀池沉淀处理后上清液能够达到生产用水要求，选矿废水与补充的新水混合后再进入生产工段循环使用，选矿废水回用于生产对选矿生产影响很小。</w:t>
      </w:r>
    </w:p>
    <w:p>
      <w:pPr>
        <w:ind w:firstLine="480"/>
        <w:rPr>
          <w:rFonts w:eastAsiaTheme="minorEastAsia"/>
          <w:color w:val="000000" w:themeColor="text1"/>
        </w:rPr>
      </w:pPr>
      <w:r>
        <w:rPr>
          <w:rFonts w:eastAsiaTheme="minorEastAsia"/>
          <w:color w:val="000000" w:themeColor="text1"/>
          <w:szCs w:val="24"/>
        </w:rPr>
        <w:t>因此，</w:t>
      </w:r>
      <w:r>
        <w:rPr>
          <w:rFonts w:hint="eastAsia" w:eastAsiaTheme="minorEastAsia"/>
          <w:color w:val="000000" w:themeColor="text1"/>
          <w:szCs w:val="24"/>
        </w:rPr>
        <w:t>现有项目</w:t>
      </w:r>
      <w:r>
        <w:rPr>
          <w:rFonts w:eastAsiaTheme="minorEastAsia"/>
          <w:color w:val="000000" w:themeColor="text1"/>
          <w:szCs w:val="24"/>
        </w:rPr>
        <w:t>选矿废水沉淀处理后全部回用于选矿生产是可行的</w:t>
      </w:r>
      <w:r>
        <w:rPr>
          <w:rFonts w:hint="eastAsia" w:eastAsiaTheme="minorEastAsia"/>
          <w:color w:val="000000" w:themeColor="text1"/>
          <w:szCs w:val="24"/>
        </w:rPr>
        <w:t>，技改项目</w:t>
      </w:r>
      <w:r>
        <w:rPr>
          <w:rFonts w:hint="eastAsia" w:eastAsiaTheme="minorEastAsia"/>
          <w:color w:val="000000" w:themeColor="text1"/>
          <w:szCs w:val="24"/>
          <w:lang w:val="en-US" w:eastAsia="zh-CN"/>
        </w:rPr>
        <w:t>尾矿</w:t>
      </w:r>
      <w:r>
        <w:rPr>
          <w:rFonts w:hint="eastAsia" w:eastAsiaTheme="minorEastAsia"/>
          <w:color w:val="000000" w:themeColor="text1"/>
          <w:szCs w:val="24"/>
        </w:rPr>
        <w:t>废水</w:t>
      </w:r>
      <w:r>
        <w:rPr>
          <w:rFonts w:hint="eastAsia" w:eastAsiaTheme="minorEastAsia"/>
          <w:color w:val="000000" w:themeColor="text1"/>
          <w:szCs w:val="24"/>
          <w:lang w:val="en-US" w:eastAsia="zh-CN"/>
        </w:rPr>
        <w:t>随尾矿携带</w:t>
      </w:r>
      <w:r>
        <w:rPr>
          <w:rFonts w:hint="eastAsia" w:eastAsiaTheme="minorEastAsia"/>
          <w:color w:val="000000" w:themeColor="text1"/>
          <w:szCs w:val="24"/>
        </w:rPr>
        <w:t>进入依托的浓密池，再进入龙都尾矿库</w:t>
      </w:r>
      <w:r>
        <w:rPr>
          <w:rFonts w:eastAsiaTheme="minorEastAsia"/>
          <w:color w:val="000000" w:themeColor="text1"/>
          <w:szCs w:val="24"/>
        </w:rPr>
        <w:t>。</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6.2.2.3生活污水回用可行性分析</w:t>
      </w:r>
    </w:p>
    <w:p>
      <w:pPr>
        <w:ind w:firstLine="480"/>
        <w:rPr>
          <w:rFonts w:eastAsiaTheme="minorEastAsia"/>
          <w:color w:val="000000" w:themeColor="text1"/>
        </w:rPr>
      </w:pPr>
      <w:r>
        <w:rPr>
          <w:rFonts w:eastAsiaTheme="minorEastAsia"/>
          <w:color w:val="000000" w:themeColor="text1"/>
        </w:rPr>
        <w:t>本项目的生活污水来自行政办公、生活区内的生活设施，技改新增生活污水排放量0.</w:t>
      </w:r>
      <w:r>
        <w:rPr>
          <w:rFonts w:hint="eastAsia" w:eastAsiaTheme="minorEastAsia"/>
          <w:color w:val="000000" w:themeColor="text1"/>
        </w:rPr>
        <w:t>32</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/d，原有项目生活污水产生量</w:t>
      </w:r>
      <w:r>
        <w:rPr>
          <w:rFonts w:hint="eastAsia" w:eastAsiaTheme="minorEastAsia"/>
          <w:color w:val="000000" w:themeColor="text1"/>
        </w:rPr>
        <w:t>5.44</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/d，与原有项目合计生活污水产生量为</w:t>
      </w:r>
      <w:r>
        <w:rPr>
          <w:rFonts w:hint="eastAsia" w:eastAsiaTheme="minorEastAsia"/>
          <w:color w:val="000000" w:themeColor="text1"/>
        </w:rPr>
        <w:t>5.76</w:t>
      </w:r>
      <w:r>
        <w:rPr>
          <w:rFonts w:eastAsiaTheme="minorEastAsia"/>
          <w:color w:val="000000" w:themeColor="text1"/>
        </w:rPr>
        <w:t>m</w:t>
      </w:r>
      <w:r>
        <w:rPr>
          <w:rFonts w:eastAsiaTheme="minorEastAsia"/>
          <w:color w:val="000000" w:themeColor="text1"/>
          <w:vertAlign w:val="superscript"/>
        </w:rPr>
        <w:t>3</w:t>
      </w:r>
      <w:r>
        <w:rPr>
          <w:rFonts w:eastAsiaTheme="minorEastAsia"/>
          <w:color w:val="000000" w:themeColor="text1"/>
        </w:rPr>
        <w:t>/d，污染物主要为SS、氨氮、BOD</w:t>
      </w:r>
      <w:r>
        <w:rPr>
          <w:rFonts w:eastAsiaTheme="minorEastAsia"/>
          <w:color w:val="000000" w:themeColor="text1"/>
          <w:vertAlign w:val="subscript"/>
        </w:rPr>
        <w:t>5</w:t>
      </w:r>
      <w:r>
        <w:rPr>
          <w:rFonts w:eastAsiaTheme="minorEastAsia"/>
          <w:color w:val="000000" w:themeColor="text1"/>
        </w:rPr>
        <w:t>、COD</w:t>
      </w:r>
      <w:r>
        <w:rPr>
          <w:rFonts w:eastAsiaTheme="minorEastAsia"/>
          <w:color w:val="000000" w:themeColor="text1"/>
          <w:vertAlign w:val="subscript"/>
        </w:rPr>
        <w:t>Cr</w:t>
      </w:r>
      <w:r>
        <w:rPr>
          <w:rFonts w:eastAsiaTheme="minorEastAsia"/>
          <w:color w:val="000000" w:themeColor="text1"/>
        </w:rPr>
        <w:t>等。原有项目</w:t>
      </w:r>
      <w:r>
        <w:rPr>
          <w:rFonts w:hint="eastAsia" w:eastAsiaTheme="minorEastAsia"/>
          <w:color w:val="000000" w:themeColor="text1"/>
        </w:rPr>
        <w:t>使用旱厕，与目前厕所革命要求不符，本次用水冲厕替代旱厕，</w:t>
      </w:r>
      <w:r>
        <w:rPr>
          <w:rFonts w:eastAsiaTheme="minorEastAsia"/>
          <w:color w:val="000000" w:themeColor="text1"/>
        </w:rPr>
        <w:t>生活污水以新带老要求新增一套一体化生活污水处理设施，类比同类生活污水处理设施，技改后项目生活污水处理</w:t>
      </w:r>
      <w:r>
        <w:rPr>
          <w:rFonts w:hint="eastAsia" w:eastAsiaTheme="minorEastAsia"/>
          <w:color w:val="000000" w:themeColor="text1"/>
        </w:rPr>
        <w:t>推荐</w:t>
      </w:r>
      <w:r>
        <w:rPr>
          <w:rFonts w:eastAsiaTheme="minorEastAsia"/>
          <w:color w:val="000000" w:themeColor="text1"/>
        </w:rPr>
        <w:t>工艺见</w:t>
      </w:r>
      <w:r>
        <w:rPr>
          <w:rFonts w:hint="eastAsia" w:eastAsiaTheme="minorEastAsia"/>
          <w:color w:val="000000" w:themeColor="text1"/>
        </w:rPr>
        <w:t>下</w:t>
      </w:r>
      <w:r>
        <w:rPr>
          <w:rFonts w:eastAsiaTheme="minorEastAsia"/>
          <w:color w:val="000000" w:themeColor="text1"/>
        </w:rPr>
        <w:t>图</w:t>
      </w:r>
      <w:r>
        <w:rPr>
          <w:rFonts w:hint="eastAsia" w:eastAsiaTheme="minorEastAsia"/>
          <w:color w:val="000000" w:themeColor="text1"/>
        </w:rPr>
        <w:t>，具体处理工艺委托有资质单位设计实施</w:t>
      </w:r>
      <w:r>
        <w:rPr>
          <w:rFonts w:eastAsiaTheme="minorEastAsia"/>
          <w:color w:val="000000" w:themeColor="text1"/>
        </w:rPr>
        <w:t>。</w:t>
      </w:r>
      <w:r>
        <w:rPr>
          <w:rFonts w:eastAsiaTheme="minorEastAsia"/>
          <w:color w:val="000000" w:themeColor="text1"/>
        </w:rPr>
        <w:object>
          <v:shape id="_x0000_i1050" o:spt="75" type="#_x0000_t75" style="height:72.7pt;width:436.75pt;" o:ole="t" filled="f" o:preferrelative="t" stroked="f" coordsize="21600,21600">
            <v:path/>
            <v:fill on="f" focussize="0,0"/>
            <v:stroke on="f"/>
            <v:imagedata r:id="rId101" o:title=""/>
            <o:lock v:ext="edit" aspectratio="t"/>
            <w10:wrap type="none"/>
            <w10:anchorlock/>
          </v:shape>
          <o:OLEObject Type="Embed" ProgID="Visio.Drawing.11" ShapeID="_x0000_i1050" DrawAspect="Content" ObjectID="_1468075749" r:id="rId100">
            <o:LockedField>false</o:LockedField>
          </o:OLEObject>
        </w:object>
      </w:r>
      <w:r>
        <w:rPr>
          <w:rFonts w:hint="eastAsia" w:eastAsiaTheme="minorEastAsia"/>
          <w:color w:val="000000" w:themeColor="text1"/>
        </w:rPr>
        <w:t xml:space="preserve">              </w:t>
      </w:r>
      <w:r>
        <w:rPr>
          <w:rFonts w:eastAsiaTheme="minorEastAsia"/>
          <w:b/>
          <w:color w:val="000000" w:themeColor="text1"/>
          <w:sz w:val="21"/>
          <w:szCs w:val="20"/>
        </w:rPr>
        <w:t>图6.2-</w:t>
      </w:r>
      <w:r>
        <w:rPr>
          <w:rFonts w:hint="eastAsia" w:eastAsiaTheme="minorEastAsia"/>
          <w:b/>
          <w:color w:val="000000" w:themeColor="text1"/>
          <w:sz w:val="21"/>
          <w:szCs w:val="20"/>
        </w:rPr>
        <w:t>16</w:t>
      </w:r>
      <w:r>
        <w:rPr>
          <w:rFonts w:eastAsiaTheme="minorEastAsia"/>
          <w:b/>
          <w:color w:val="000000" w:themeColor="text1"/>
          <w:sz w:val="21"/>
          <w:szCs w:val="20"/>
        </w:rPr>
        <w:t>一体化生活污水处理设施工艺流程图</w:t>
      </w:r>
    </w:p>
    <w:p>
      <w:pPr>
        <w:pStyle w:val="51"/>
        <w:ind w:left="0" w:firstLine="480"/>
        <w:rPr>
          <w:color w:val="000000" w:themeColor="text1"/>
          <w:sz w:val="24"/>
          <w:szCs w:val="24"/>
          <w:lang w:eastAsia="zh-CN"/>
        </w:rPr>
      </w:pPr>
      <w:r>
        <w:rPr>
          <w:color w:val="000000" w:themeColor="text1"/>
          <w:sz w:val="24"/>
          <w:szCs w:val="24"/>
          <w:lang w:eastAsia="zh-CN"/>
        </w:rPr>
        <w:t>从以上工艺流程图看出，生活污水先经过化粪池预处理后，进入一体化污水处理设施的调节池进行调节，然后经过生化池去除生活污水中有机物含量，接着进入沉淀池沉淀，然后通过消毒后进入</w:t>
      </w:r>
      <w:r>
        <w:rPr>
          <w:rFonts w:hint="eastAsia"/>
          <w:color w:val="000000" w:themeColor="text1"/>
          <w:sz w:val="24"/>
          <w:szCs w:val="24"/>
          <w:lang w:eastAsia="zh-CN"/>
        </w:rPr>
        <w:t>收集池</w:t>
      </w:r>
      <w:r>
        <w:rPr>
          <w:color w:val="000000" w:themeColor="text1"/>
          <w:sz w:val="24"/>
          <w:szCs w:val="24"/>
          <w:lang w:eastAsia="zh-CN"/>
        </w:rPr>
        <w:t>储存，用于晴天厂区的绿化，雨天储存在</w:t>
      </w:r>
      <w:r>
        <w:rPr>
          <w:rFonts w:hint="eastAsia"/>
          <w:color w:val="000000" w:themeColor="text1"/>
          <w:sz w:val="24"/>
          <w:szCs w:val="24"/>
          <w:lang w:eastAsia="zh-CN"/>
        </w:rPr>
        <w:t>收集池</w:t>
      </w:r>
      <w:r>
        <w:rPr>
          <w:color w:val="000000" w:themeColor="text1"/>
          <w:sz w:val="24"/>
          <w:szCs w:val="24"/>
          <w:lang w:eastAsia="zh-CN"/>
        </w:rPr>
        <w:t>内，</w:t>
      </w:r>
      <w:r>
        <w:rPr>
          <w:rFonts w:hint="eastAsia"/>
          <w:color w:val="000000" w:themeColor="text1"/>
          <w:sz w:val="24"/>
          <w:szCs w:val="24"/>
          <w:lang w:eastAsia="zh-CN"/>
        </w:rPr>
        <w:t>用于非雨天绿化用水</w:t>
      </w:r>
      <w:r>
        <w:rPr>
          <w:color w:val="000000" w:themeColor="text1"/>
          <w:sz w:val="24"/>
          <w:szCs w:val="24"/>
          <w:lang w:eastAsia="zh-CN"/>
        </w:rPr>
        <w:t>。</w:t>
      </w:r>
    </w:p>
    <w:p>
      <w:pPr>
        <w:ind w:firstLine="480"/>
        <w:rPr>
          <w:rFonts w:eastAsiaTheme="minorEastAsia"/>
          <w:color w:val="000000" w:themeColor="text1"/>
        </w:rPr>
      </w:pPr>
      <w:r>
        <w:rPr>
          <w:rFonts w:hint="eastAsia"/>
          <w:bCs/>
          <w:color w:val="000000" w:themeColor="text1"/>
          <w:szCs w:val="24"/>
        </w:rPr>
        <w:t>项目区晴天绿化用水量为9m</w:t>
      </w:r>
      <w:r>
        <w:rPr>
          <w:rFonts w:hint="eastAsia"/>
          <w:bCs/>
          <w:color w:val="000000" w:themeColor="text1"/>
          <w:szCs w:val="24"/>
          <w:vertAlign w:val="superscript"/>
        </w:rPr>
        <w:t>3</w:t>
      </w:r>
      <w:r>
        <w:rPr>
          <w:rFonts w:hint="eastAsia"/>
          <w:bCs/>
          <w:color w:val="000000" w:themeColor="text1"/>
          <w:szCs w:val="24"/>
        </w:rPr>
        <w:t>/d，处理出口的中水量为5.76m</w:t>
      </w:r>
      <w:r>
        <w:rPr>
          <w:rFonts w:hint="eastAsia"/>
          <w:bCs/>
          <w:color w:val="000000" w:themeColor="text1"/>
          <w:szCs w:val="24"/>
          <w:vertAlign w:val="superscript"/>
        </w:rPr>
        <w:t>3</w:t>
      </w:r>
      <w:r>
        <w:rPr>
          <w:rFonts w:hint="eastAsia"/>
          <w:bCs/>
          <w:color w:val="000000" w:themeColor="text1"/>
          <w:szCs w:val="24"/>
        </w:rPr>
        <w:t>/d，能够完全消纳完生活污水</w:t>
      </w:r>
      <w:r>
        <w:rPr>
          <w:rFonts w:eastAsiaTheme="minorEastAsia"/>
          <w:color w:val="000000" w:themeColor="text1"/>
          <w:lang w:val="en-GB"/>
        </w:rPr>
        <w:t>。</w:t>
      </w:r>
      <w:r>
        <w:rPr>
          <w:rFonts w:hint="eastAsia" w:eastAsiaTheme="minorEastAsia"/>
          <w:color w:val="000000" w:themeColor="text1"/>
          <w:lang w:val="en-GB"/>
        </w:rPr>
        <w:t>雨天不绿化，处理过的中水储存在收集池内，</w:t>
      </w:r>
      <w:r>
        <w:rPr>
          <w:rFonts w:eastAsiaTheme="minorEastAsia"/>
          <w:color w:val="000000" w:themeColor="text1"/>
          <w:lang w:val="en-GB"/>
        </w:rPr>
        <w:t>一体化生活污水处理设施末端设有</w:t>
      </w:r>
      <w:r>
        <w:rPr>
          <w:rFonts w:eastAsiaTheme="minorEastAsia"/>
          <w:color w:val="000000" w:themeColor="text1"/>
        </w:rPr>
        <w:t>5</w:t>
      </w:r>
      <w:r>
        <w:rPr>
          <w:rFonts w:eastAsiaTheme="minorEastAsia"/>
          <w:color w:val="000000" w:themeColor="text1"/>
          <w:lang w:val="en-GB"/>
        </w:rPr>
        <w:t>0m</w:t>
      </w:r>
      <w:r>
        <w:rPr>
          <w:rFonts w:eastAsiaTheme="minorEastAsia"/>
          <w:color w:val="000000" w:themeColor="text1"/>
          <w:vertAlign w:val="superscript"/>
          <w:lang w:val="en-GB"/>
        </w:rPr>
        <w:t>3</w:t>
      </w:r>
      <w:r>
        <w:rPr>
          <w:rFonts w:eastAsiaTheme="minorEastAsia"/>
          <w:color w:val="000000" w:themeColor="text1"/>
          <w:lang w:val="en-GB"/>
        </w:rPr>
        <w:t>的</w:t>
      </w:r>
      <w:r>
        <w:rPr>
          <w:rFonts w:hint="eastAsia" w:eastAsiaTheme="minorEastAsia"/>
          <w:color w:val="000000" w:themeColor="text1"/>
          <w:lang w:val="en-GB"/>
        </w:rPr>
        <w:t>中水收集池</w:t>
      </w:r>
      <w:r>
        <w:rPr>
          <w:rFonts w:eastAsiaTheme="minorEastAsia"/>
          <w:color w:val="000000" w:themeColor="text1"/>
          <w:lang w:val="en-GB"/>
        </w:rPr>
        <w:t>，</w:t>
      </w:r>
      <w:r>
        <w:rPr>
          <w:rFonts w:eastAsiaTheme="minorEastAsia"/>
          <w:color w:val="000000" w:themeColor="text1"/>
        </w:rPr>
        <w:t>可以收集一个星期以上处理过的中水，待非雨季</w:t>
      </w:r>
      <w:r>
        <w:rPr>
          <w:rFonts w:eastAsiaTheme="minorEastAsia"/>
          <w:color w:val="000000" w:themeColor="text1"/>
          <w:lang w:val="en-GB"/>
        </w:rPr>
        <w:t>用于</w:t>
      </w:r>
      <w:r>
        <w:rPr>
          <w:rFonts w:hint="eastAsia" w:eastAsiaTheme="minorEastAsia"/>
          <w:color w:val="000000" w:themeColor="text1"/>
          <w:lang w:val="en-GB"/>
        </w:rPr>
        <w:t>厂区</w:t>
      </w:r>
      <w:r>
        <w:rPr>
          <w:rFonts w:eastAsiaTheme="minorEastAsia"/>
          <w:color w:val="000000" w:themeColor="text1"/>
          <w:lang w:val="en-GB"/>
        </w:rPr>
        <w:t>绿化</w:t>
      </w:r>
      <w:r>
        <w:rPr>
          <w:rFonts w:hint="eastAsia" w:eastAsiaTheme="minorEastAsia"/>
          <w:color w:val="000000" w:themeColor="text1"/>
          <w:lang w:val="en-GB"/>
        </w:rPr>
        <w:t>。根据《排污许可证申请与核发技术规范</w:t>
      </w:r>
      <w:r>
        <w:rPr>
          <w:rFonts w:hint="eastAsia" w:eastAsiaTheme="minorEastAsia"/>
          <w:color w:val="000000" w:themeColor="text1"/>
        </w:rPr>
        <w:t xml:space="preserve"> 水处理通用工序</w:t>
      </w:r>
      <w:r>
        <w:rPr>
          <w:rFonts w:hint="eastAsia" w:eastAsiaTheme="minorEastAsia"/>
          <w:color w:val="000000" w:themeColor="text1"/>
          <w:lang w:val="en-GB"/>
        </w:rPr>
        <w:t>》（</w:t>
      </w:r>
      <w:r>
        <w:rPr>
          <w:rFonts w:hint="eastAsia" w:eastAsiaTheme="minorEastAsia"/>
          <w:color w:val="000000" w:themeColor="text1"/>
        </w:rPr>
        <w:t>HJ1120-2020</w:t>
      </w:r>
      <w:r>
        <w:rPr>
          <w:rFonts w:hint="eastAsia" w:eastAsiaTheme="minorEastAsia"/>
          <w:color w:val="000000" w:themeColor="text1"/>
          <w:lang w:val="en-GB"/>
        </w:rPr>
        <w:t>）中黑色金属矿选矿厂污水（其中包括生活污水）处理推荐工艺有“隔油、气浮、沉淀、混凝、过滤、中和、高级氧化、吸附、消毒、膜过滤、离子交换、电渗析等或水解酸化、厌氧、好氧、缺氧好氧（A/O）、厌氧缺氧好氧（A2/O）、序批式活性污泥（SBR）、氧化沟、曝气生物滤池（BAF）、生物接触氧化、移动生物床反应器（MBBR）、膜生物反应器（MBR）等”，本项目使用工艺属于可行技术，</w:t>
      </w:r>
      <w:r>
        <w:rPr>
          <w:rFonts w:eastAsiaTheme="minorEastAsia"/>
          <w:color w:val="000000" w:themeColor="text1"/>
          <w:lang w:val="en-GB"/>
        </w:rPr>
        <w:t>因此，</w:t>
      </w:r>
      <w:r>
        <w:rPr>
          <w:rFonts w:eastAsiaTheme="minorEastAsia"/>
          <w:color w:val="000000" w:themeColor="text1"/>
        </w:rPr>
        <w:t>生活污水经化粪池、一体化污水处理设施处理后用于绿化是可行的。</w:t>
      </w:r>
    </w:p>
    <w:p>
      <w:pPr>
        <w:keepNext/>
        <w:keepLines/>
        <w:adjustRightInd w:val="0"/>
        <w:snapToGrid w:val="0"/>
        <w:ind w:firstLine="0" w:firstLineChars="0"/>
        <w:textAlignment w:val="baseline"/>
        <w:outlineLvl w:val="3"/>
        <w:rPr>
          <w:rFonts w:eastAsiaTheme="minorEastAsia"/>
          <w:b/>
          <w:color w:val="000000" w:themeColor="text1"/>
          <w:kern w:val="0"/>
          <w:szCs w:val="24"/>
        </w:rPr>
      </w:pPr>
      <w:bookmarkStart w:id="673" w:name="_Toc469851484"/>
      <w:bookmarkStart w:id="674" w:name="_Toc386125692"/>
      <w:r>
        <w:rPr>
          <w:rFonts w:eastAsiaTheme="minorEastAsia"/>
          <w:b/>
          <w:color w:val="000000" w:themeColor="text1"/>
          <w:kern w:val="0"/>
          <w:szCs w:val="24"/>
        </w:rPr>
        <w:t>6.2.2.4非正常工况废水影响分析</w:t>
      </w:r>
      <w:bookmarkEnd w:id="673"/>
      <w:bookmarkEnd w:id="674"/>
    </w:p>
    <w:p>
      <w:pPr>
        <w:ind w:firstLine="480"/>
        <w:rPr>
          <w:rFonts w:eastAsiaTheme="minorEastAsia"/>
          <w:color w:val="000000" w:themeColor="text1"/>
          <w:kern w:val="0"/>
          <w:szCs w:val="24"/>
          <w:lang w:bidi="en-US"/>
        </w:rPr>
      </w:pPr>
      <w:r>
        <w:rPr>
          <w:rFonts w:eastAsiaTheme="minorEastAsia"/>
          <w:color w:val="000000" w:themeColor="text1"/>
        </w:rPr>
        <w:t>当尾矿输送泵、管道、回水设施等发生故障，或者尾矿坝体出现泄漏、破裂甚至坍塌时，都可能造成废水下泄外排，大量夹带泥沙、含有金属元素的洗选废水未经处理将沿山箐流入困龙河，会造成水体浑浊，水质下降。</w:t>
      </w:r>
      <w:r>
        <w:rPr>
          <w:rFonts w:eastAsiaTheme="minorEastAsia"/>
          <w:color w:val="000000" w:themeColor="text1"/>
          <w:kern w:val="0"/>
          <w:szCs w:val="24"/>
          <w:lang w:bidi="en-US"/>
        </w:rPr>
        <w:t>因此，该项目必须要加强废水处理设施</w:t>
      </w:r>
      <w:r>
        <w:rPr>
          <w:rFonts w:hint="eastAsia" w:eastAsiaTheme="minorEastAsia"/>
          <w:color w:val="000000" w:themeColor="text1"/>
          <w:kern w:val="0"/>
          <w:szCs w:val="24"/>
          <w:lang w:bidi="en-US"/>
        </w:rPr>
        <w:t>、尾矿输送系统的</w:t>
      </w:r>
      <w:r>
        <w:rPr>
          <w:rFonts w:eastAsiaTheme="minorEastAsia"/>
          <w:color w:val="000000" w:themeColor="text1"/>
          <w:kern w:val="0"/>
          <w:szCs w:val="24"/>
          <w:lang w:bidi="en-US"/>
        </w:rPr>
        <w:t>日常维护管理和定期监测工作，严格杜绝废水非正常工况排放。</w:t>
      </w:r>
    </w:p>
    <w:p>
      <w:pPr>
        <w:ind w:firstLine="480"/>
        <w:jc w:val="both"/>
        <w:rPr>
          <w:rFonts w:eastAsiaTheme="minorEastAsia"/>
          <w:color w:val="000000" w:themeColor="text1"/>
          <w:kern w:val="0"/>
          <w:lang w:bidi="en-US"/>
        </w:rPr>
      </w:pPr>
      <w:r>
        <w:rPr>
          <w:rFonts w:hint="eastAsia" w:eastAsiaTheme="minorEastAsia"/>
          <w:color w:val="000000" w:themeColor="text1"/>
        </w:rPr>
        <w:t>原有项目</w:t>
      </w:r>
      <w:r>
        <w:rPr>
          <w:rFonts w:eastAsiaTheme="minorEastAsia"/>
          <w:color w:val="000000" w:themeColor="text1"/>
        </w:rPr>
        <w:t>选矿废水经尾矿浆沉淀池沉淀后用于生产循环用，本次技改</w:t>
      </w:r>
      <w:r>
        <w:rPr>
          <w:rFonts w:hint="eastAsia" w:eastAsiaTheme="minorEastAsia"/>
          <w:color w:val="000000" w:themeColor="text1"/>
        </w:rPr>
        <w:t>尾矿</w:t>
      </w:r>
      <w:r>
        <w:rPr>
          <w:rFonts w:hint="eastAsia" w:eastAsiaTheme="minorEastAsia"/>
          <w:color w:val="000000" w:themeColor="text1"/>
          <w:lang w:val="en-US" w:eastAsia="zh-CN"/>
        </w:rPr>
        <w:t>废水随尾矿携带</w:t>
      </w:r>
      <w:r>
        <w:rPr>
          <w:rFonts w:hint="eastAsia" w:eastAsiaTheme="minorEastAsia"/>
          <w:color w:val="000000" w:themeColor="text1"/>
        </w:rPr>
        <w:t>通过管道直接输送至依托的浓密池内</w:t>
      </w:r>
      <w:r>
        <w:rPr>
          <w:rFonts w:eastAsiaTheme="minorEastAsia"/>
          <w:color w:val="000000" w:themeColor="text1"/>
        </w:rPr>
        <w:t>，</w:t>
      </w:r>
      <w:r>
        <w:rPr>
          <w:rFonts w:hint="eastAsia" w:eastAsiaTheme="minorEastAsia"/>
          <w:color w:val="000000" w:themeColor="text1"/>
        </w:rPr>
        <w:t>本项目区依托原有</w:t>
      </w:r>
      <w:r>
        <w:rPr>
          <w:rFonts w:eastAsiaTheme="minorEastAsia"/>
          <w:color w:val="000000" w:themeColor="text1"/>
          <w:kern w:val="0"/>
          <w:szCs w:val="24"/>
          <w:lang w:bidi="en-US"/>
        </w:rPr>
        <w:t>200m</w:t>
      </w:r>
      <w:r>
        <w:rPr>
          <w:rFonts w:eastAsiaTheme="minorEastAsia"/>
          <w:color w:val="000000" w:themeColor="text1"/>
          <w:kern w:val="0"/>
          <w:szCs w:val="24"/>
          <w:vertAlign w:val="superscript"/>
          <w:lang w:bidi="en-US"/>
        </w:rPr>
        <w:t>3</w:t>
      </w:r>
      <w:r>
        <w:rPr>
          <w:rFonts w:eastAsiaTheme="minorEastAsia"/>
          <w:color w:val="000000" w:themeColor="text1"/>
          <w:kern w:val="0"/>
          <w:szCs w:val="24"/>
          <w:lang w:bidi="en-US"/>
        </w:rPr>
        <w:t>的应急事故池</w:t>
      </w:r>
      <w:r>
        <w:rPr>
          <w:rFonts w:hint="eastAsia" w:eastAsiaTheme="minorEastAsia"/>
          <w:color w:val="000000" w:themeColor="text1"/>
          <w:kern w:val="0"/>
          <w:szCs w:val="24"/>
          <w:lang w:bidi="en-US"/>
        </w:rPr>
        <w:t>（1#）</w:t>
      </w:r>
      <w:r>
        <w:rPr>
          <w:rFonts w:eastAsiaTheme="minorEastAsia"/>
          <w:color w:val="000000" w:themeColor="text1"/>
          <w:kern w:val="0"/>
          <w:szCs w:val="24"/>
          <w:lang w:bidi="en-US"/>
        </w:rPr>
        <w:t>，</w:t>
      </w:r>
      <w:r>
        <w:rPr>
          <w:rFonts w:eastAsiaTheme="minorEastAsia"/>
          <w:color w:val="000000" w:themeColor="text1"/>
        </w:rPr>
        <w:t>若选厂发生尾矿输送泵、管道、回水设施等发生故障，立即停止生产，并将事故废水引至应急事故池，待相关设施检修完成后，再将事故废水处理后循环使用，</w:t>
      </w:r>
      <w:r>
        <w:rPr>
          <w:rFonts w:eastAsiaTheme="minorEastAsia"/>
          <w:color w:val="000000" w:themeColor="text1"/>
          <w:kern w:val="0"/>
          <w:lang w:bidi="en-US"/>
        </w:rPr>
        <w:t>不外排。</w:t>
      </w:r>
      <w:r>
        <w:rPr>
          <w:rFonts w:hint="eastAsia" w:eastAsiaTheme="minorEastAsia"/>
          <w:color w:val="000000" w:themeColor="text1"/>
          <w:kern w:val="0"/>
          <w:lang w:bidi="en-US"/>
        </w:rPr>
        <w:t>由于尾矿沉淀池旁的事故应急池距离选矿区较远，中间有公路相隔，若选矿设备发生泄漏，泄漏的矿浆无收集设施，且不便于抽至尾矿沉淀池旁的事故应急池（1#），所以环评建议分区设置事故池，在选矿区空地的最低处设置1个事故池（2#），主要用于选矿设备发生破损或泄漏时矿浆的收集。由于选矿区目前空地面积较小，根据实际空地情况及地势情况，本环评建议设置1个40m</w:t>
      </w:r>
      <w:r>
        <w:rPr>
          <w:rFonts w:hint="eastAsia" w:eastAsiaTheme="minorEastAsia"/>
          <w:color w:val="000000" w:themeColor="text1"/>
          <w:kern w:val="0"/>
          <w:vertAlign w:val="superscript"/>
          <w:lang w:bidi="en-US"/>
        </w:rPr>
        <w:t>3</w:t>
      </w:r>
      <w:r>
        <w:rPr>
          <w:rFonts w:hint="eastAsia" w:eastAsiaTheme="minorEastAsia"/>
          <w:color w:val="000000" w:themeColor="text1"/>
          <w:kern w:val="0"/>
          <w:lang w:bidi="en-US"/>
        </w:rPr>
        <w:t>的事故池（2#）位于选矿区最低处。</w:t>
      </w:r>
    </w:p>
    <w:p>
      <w:pPr>
        <w:ind w:firstLine="480"/>
        <w:jc w:val="both"/>
        <w:rPr>
          <w:rFonts w:eastAsiaTheme="minorEastAsia"/>
          <w:color w:val="000000" w:themeColor="text1"/>
        </w:rPr>
      </w:pPr>
      <w:r>
        <w:rPr>
          <w:rFonts w:eastAsiaTheme="minorEastAsia"/>
          <w:color w:val="000000" w:themeColor="text1"/>
          <w:kern w:val="0"/>
          <w:lang w:bidi="en-US"/>
        </w:rPr>
        <w:t>原有项目辣子箐</w:t>
      </w:r>
      <w:r>
        <w:rPr>
          <w:rFonts w:eastAsiaTheme="minorEastAsia"/>
          <w:color w:val="000000" w:themeColor="text1"/>
        </w:rPr>
        <w:t>尾矿库旁设置一个30m</w:t>
      </w:r>
      <w:r>
        <w:rPr>
          <w:rFonts w:eastAsiaTheme="minorEastAsia"/>
          <w:color w:val="000000" w:themeColor="text1"/>
          <w:vertAlign w:val="superscript"/>
        </w:rPr>
        <w:t>3</w:t>
      </w:r>
      <w:r>
        <w:rPr>
          <w:rFonts w:eastAsiaTheme="minorEastAsia"/>
          <w:color w:val="000000" w:themeColor="text1"/>
        </w:rPr>
        <w:t>的回水池，坝下设置了一个15m</w:t>
      </w:r>
      <w:r>
        <w:rPr>
          <w:rFonts w:eastAsiaTheme="minorEastAsia"/>
          <w:color w:val="000000" w:themeColor="text1"/>
          <w:vertAlign w:val="superscript"/>
        </w:rPr>
        <w:t>3</w:t>
      </w:r>
      <w:r>
        <w:rPr>
          <w:rFonts w:eastAsiaTheme="minorEastAsia"/>
          <w:color w:val="000000" w:themeColor="text1"/>
        </w:rPr>
        <w:t>的沉淀池，</w:t>
      </w:r>
      <w:r>
        <w:rPr>
          <w:rFonts w:eastAsiaTheme="minorEastAsia"/>
          <w:color w:val="000000" w:themeColor="text1"/>
          <w:kern w:val="0"/>
          <w:lang w:bidi="en-US"/>
        </w:rPr>
        <w:t>若尾矿库发生</w:t>
      </w:r>
      <w:r>
        <w:rPr>
          <w:rFonts w:eastAsiaTheme="minorEastAsia"/>
          <w:color w:val="000000" w:themeColor="text1"/>
        </w:rPr>
        <w:t>泄漏或破裂，应立即停产，减少进入尾矿库的尾矿量，将泄漏废水引至沉淀池，并对发生故障的设施立即抢修。</w:t>
      </w:r>
    </w:p>
    <w:p>
      <w:pPr>
        <w:ind w:firstLine="480"/>
        <w:jc w:val="both"/>
        <w:rPr>
          <w:rFonts w:eastAsiaTheme="minorEastAsia"/>
          <w:color w:val="000000" w:themeColor="text1"/>
        </w:rPr>
      </w:pPr>
      <w:bookmarkStart w:id="675" w:name="_Toc469851486"/>
      <w:r>
        <w:rPr>
          <w:rFonts w:eastAsiaTheme="minorEastAsia"/>
          <w:color w:val="000000" w:themeColor="text1"/>
        </w:rPr>
        <w:t>龙都尾矿库非正常状况下事故排水不在本报告评价范围内。</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6.2.2.5小结</w:t>
      </w:r>
      <w:bookmarkEnd w:id="675"/>
    </w:p>
    <w:p>
      <w:pPr>
        <w:ind w:firstLine="480"/>
        <w:rPr>
          <w:rFonts w:eastAsiaTheme="minorEastAsia"/>
          <w:color w:val="000000" w:themeColor="text1"/>
        </w:rPr>
      </w:pPr>
      <w:r>
        <w:rPr>
          <w:rFonts w:eastAsiaTheme="minorEastAsia"/>
          <w:color w:val="000000" w:themeColor="text1"/>
        </w:rPr>
        <w:t>综上所述，正常工况下该项目废水处理达标后全部回用，对地表水环境影响很小。当废水处理装置发生故障时，废水排入事故池，处理后回用。非正常工况下废水排放将造成困龙河水质不利影响，因此，建设单位应加强管理措施，确保污水处理系统和回用系统正常运行，并做好废水监测工作，确保不影响困龙河下游水体功能，杜绝废水非正常排放。</w:t>
      </w:r>
    </w:p>
    <w:p>
      <w:pPr>
        <w:pStyle w:val="6"/>
        <w:spacing w:beforeLines="0" w:afterLines="0"/>
        <w:rPr>
          <w:rFonts w:eastAsiaTheme="minorEastAsia"/>
          <w:color w:val="000000" w:themeColor="text1"/>
          <w:sz w:val="28"/>
          <w:szCs w:val="28"/>
        </w:rPr>
      </w:pPr>
      <w:bookmarkStart w:id="676" w:name="_Toc2063"/>
      <w:r>
        <w:rPr>
          <w:rFonts w:eastAsiaTheme="minorEastAsia"/>
          <w:color w:val="000000" w:themeColor="text1"/>
          <w:sz w:val="28"/>
          <w:szCs w:val="28"/>
        </w:rPr>
        <w:t>6.2.3地下水环境影响分析与评价</w:t>
      </w:r>
      <w:bookmarkEnd w:id="676"/>
    </w:p>
    <w:p>
      <w:pPr>
        <w:ind w:firstLine="480"/>
        <w:rPr>
          <w:rFonts w:eastAsiaTheme="minorEastAsia"/>
          <w:color w:val="000000" w:themeColor="text1"/>
          <w:szCs w:val="24"/>
        </w:rPr>
      </w:pPr>
      <w:r>
        <w:rPr>
          <w:rFonts w:eastAsiaTheme="minorEastAsia"/>
          <w:color w:val="000000" w:themeColor="text1"/>
        </w:rPr>
        <w:t>该项目可能造成地下水环境影响主要为选矿废水下渗对地下水的影响，原有项目尾矿库为原辣子箐尾矿库，辣子箐尾矿库</w:t>
      </w:r>
      <w:r>
        <w:rPr>
          <w:rFonts w:eastAsiaTheme="minorEastAsia"/>
          <w:color w:val="000000" w:themeColor="text1"/>
          <w:szCs w:val="24"/>
        </w:rPr>
        <w:t>为昆明勘查设计研究院进行初步设计，该尾矿库环评文件于2005年8月10日取得原新平县环保局的审批意见。2007年10月由云南巨星安全技术有限公司编制了安全验收评价报告，并通过了安全验收。2011年12月，该尾矿库通过原新平县环保局环保竣工验收。2017年由云南振杰科技有限公司编制了安全现状评价报告，报告明确该辣子箐尾矿库符合安全生产条件。</w:t>
      </w:r>
    </w:p>
    <w:p>
      <w:pPr>
        <w:ind w:firstLine="480"/>
        <w:rPr>
          <w:rFonts w:eastAsiaTheme="minorEastAsia"/>
          <w:color w:val="000000" w:themeColor="text1"/>
        </w:rPr>
      </w:pPr>
      <w:r>
        <w:rPr>
          <w:rFonts w:eastAsiaTheme="minorEastAsia"/>
          <w:color w:val="000000" w:themeColor="text1"/>
        </w:rPr>
        <w:t>技改选矿生产线的尾矿输送至依托的大红山龙都尾矿库，</w:t>
      </w:r>
      <w:r>
        <w:rPr>
          <w:rFonts w:eastAsiaTheme="minorEastAsia"/>
          <w:color w:val="000000" w:themeColor="text1"/>
          <w:szCs w:val="24"/>
        </w:rPr>
        <w:t>玉溪矿业有限公司于2013年5月委托昆明有色冶金设计研究院股份公司编制了《大红山龙都尾矿库中后期筑坝工程初步设计》，于2015年5月19日取得了原云南省环境保护厅的环境保护验收意见（云环验</w:t>
      </w:r>
      <w:r>
        <w:rPr>
          <w:color w:val="000000" w:themeColor="text1"/>
          <w:szCs w:val="24"/>
        </w:rPr>
        <w:t>〔2015〕36号</w:t>
      </w:r>
      <w:r>
        <w:rPr>
          <w:rFonts w:eastAsiaTheme="minorEastAsia"/>
          <w:color w:val="000000" w:themeColor="text1"/>
          <w:szCs w:val="24"/>
        </w:rPr>
        <w:t>）。2016年9月，委托云南安科安全技术有限公司编制了《玉溪矿业有限公司大红山铜矿龙都尾矿库安全现状评价报告》，2019年5月24日玉溪矿业有限公司编制了《玉溪矿业有限公司大红山龙都尾矿库突发环境事件专项应急预案（第三版）》和《玉溪矿业有限公司大红山龙都尾矿库突发环境事件风险评估报告（第三版）》，2019年8月，委托中国有色金属工业昆明勘察设计研究院有限公司编制了《大红山龙都尾矿库中前期尾矿堆坝稳定性分析岩土工程勘察报告》。</w:t>
      </w:r>
    </w:p>
    <w:p>
      <w:pPr>
        <w:ind w:firstLine="480"/>
        <w:rPr>
          <w:rFonts w:eastAsiaTheme="minorEastAsia"/>
          <w:color w:val="000000" w:themeColor="text1"/>
        </w:rPr>
      </w:pPr>
      <w:r>
        <w:rPr>
          <w:rFonts w:eastAsiaTheme="minorEastAsia"/>
          <w:color w:val="000000" w:themeColor="text1"/>
        </w:rPr>
        <w:t>根据《环境影响评价技术导则-地下水环境》（HJ610-2016），本项目属于“附录A中G黑色金属42、采选”类别，选矿厂为Ⅱ类地项目，项目所在地不涉及地下水敏感区，地下环境不敏感。综合分析项目地下水评价为三级。</w:t>
      </w:r>
    </w:p>
    <w:p>
      <w:pPr>
        <w:ind w:firstLine="0" w:firstLineChars="0"/>
        <w:rPr>
          <w:rFonts w:eastAsiaTheme="minorEastAsia"/>
          <w:color w:val="000000" w:themeColor="text1"/>
        </w:rPr>
      </w:pPr>
      <w:r>
        <w:rPr>
          <w:rFonts w:eastAsiaTheme="minorEastAsia"/>
          <w:b/>
          <w:color w:val="000000" w:themeColor="text1"/>
          <w:kern w:val="0"/>
          <w:szCs w:val="24"/>
        </w:rPr>
        <w:t>6.2.3.</w:t>
      </w:r>
      <w:r>
        <w:rPr>
          <w:rFonts w:hint="eastAsia" w:eastAsiaTheme="minorEastAsia"/>
          <w:b/>
          <w:color w:val="000000" w:themeColor="text1"/>
          <w:kern w:val="0"/>
          <w:szCs w:val="24"/>
        </w:rPr>
        <w:t>1地质构造</w:t>
      </w:r>
    </w:p>
    <w:p>
      <w:pPr>
        <w:ind w:firstLine="480"/>
        <w:rPr>
          <w:rFonts w:eastAsiaTheme="minorEastAsia"/>
          <w:color w:val="000000" w:themeColor="text1"/>
        </w:rPr>
      </w:pPr>
      <w:r>
        <w:rPr>
          <w:rFonts w:eastAsiaTheme="minorEastAsia"/>
          <w:color w:val="000000" w:themeColor="text1"/>
        </w:rPr>
        <w:t>项目选矿区出露地层主要为三叠系上统地层，深部为早元古界大红山群曼岗河组（评估区未出露，但在老厂河河、困龙河和曼岗河交界处的均有出露）。大红山群总厚达2900余米，全组为一套较深海相海底火山喷发沉积建造，缺乏陆源碎屑、富含硅质条带，自下而上分三个岩段：下部一、二岩段以火山岩及火山碎屑岩为主，第三岩段为火山沉积变质的绿片岩段。</w:t>
      </w:r>
    </w:p>
    <w:p>
      <w:pPr>
        <w:ind w:firstLine="480"/>
        <w:rPr>
          <w:rFonts w:eastAsiaTheme="minorEastAsia"/>
          <w:color w:val="000000" w:themeColor="text1"/>
        </w:rPr>
      </w:pPr>
      <w:r>
        <w:rPr>
          <w:rFonts w:eastAsiaTheme="minorEastAsia"/>
          <w:color w:val="000000" w:themeColor="text1"/>
        </w:rPr>
        <w:t>评价区位于轴向近东西向的底巴都背斜南翼西端。地表出露上三叠统干海子组及舍资组组成的沉积盖层，早元古代大红山群曼岗河组隐伏于其下，二者间为不整合接触。</w:t>
      </w:r>
    </w:p>
    <w:p>
      <w:pPr>
        <w:ind w:firstLine="480"/>
        <w:rPr>
          <w:rFonts w:eastAsiaTheme="minorEastAsia"/>
          <w:color w:val="000000" w:themeColor="text1"/>
        </w:rPr>
      </w:pPr>
      <w:r>
        <w:rPr>
          <w:rFonts w:eastAsiaTheme="minorEastAsia"/>
          <w:color w:val="000000" w:themeColor="text1"/>
        </w:rPr>
        <w:t>沉积盖层总体倾向南西，倾角较缓（一般小于30°），属倾向南西的单斜构造。隐伏于沉积盖层之下的早元古代大红山群曼岗河组也呈倾向南西的单斜构造。</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6.2.3.2主要含（隔）水层</w:t>
      </w:r>
    </w:p>
    <w:p>
      <w:pPr>
        <w:ind w:firstLine="480"/>
        <w:rPr>
          <w:rFonts w:eastAsiaTheme="minorEastAsia"/>
          <w:color w:val="000000" w:themeColor="text1"/>
        </w:rPr>
      </w:pPr>
      <w:r>
        <w:rPr>
          <w:rFonts w:eastAsiaTheme="minorEastAsia"/>
          <w:color w:val="000000" w:themeColor="text1"/>
        </w:rPr>
        <w:t>按地下水在赋存介质中的赋存方式、特征和埋藏条件，评价区地层可划分为以下含（隔）水层组</w:t>
      </w:r>
      <w:r>
        <w:rPr>
          <w:rFonts w:eastAsiaTheme="minorEastAsia"/>
          <w:bCs/>
          <w:color w:val="000000" w:themeColor="text1"/>
        </w:rPr>
        <w:t>，</w:t>
      </w:r>
      <w:r>
        <w:rPr>
          <w:rFonts w:eastAsiaTheme="minorEastAsia"/>
          <w:color w:val="000000" w:themeColor="text1"/>
        </w:rPr>
        <w:t>分述如下：</w:t>
      </w:r>
    </w:p>
    <w:p>
      <w:pPr>
        <w:ind w:firstLine="480"/>
        <w:rPr>
          <w:rFonts w:eastAsiaTheme="minorEastAsia"/>
          <w:color w:val="000000" w:themeColor="text1"/>
        </w:rPr>
      </w:pPr>
      <w:r>
        <w:rPr>
          <w:rFonts w:eastAsiaTheme="minorEastAsia"/>
          <w:color w:val="000000" w:themeColor="text1"/>
        </w:rPr>
        <w:t>1、第四系孔隙含水层（Q）</w:t>
      </w:r>
    </w:p>
    <w:p>
      <w:pPr>
        <w:ind w:firstLine="480"/>
        <w:rPr>
          <w:rFonts w:eastAsiaTheme="minorEastAsia"/>
          <w:color w:val="000000" w:themeColor="text1"/>
        </w:rPr>
      </w:pPr>
      <w:r>
        <w:rPr>
          <w:rFonts w:eastAsiaTheme="minorEastAsia"/>
          <w:color w:val="000000" w:themeColor="text1"/>
        </w:rPr>
        <w:t>由残坡积、洪冲积碎石混粘土、砂砾石等组成，分布于山坡地形平缓处和困龙河河谷局部地段，厚度小于12m，含孔隙水，富水性弱。</w:t>
      </w:r>
    </w:p>
    <w:p>
      <w:pPr>
        <w:ind w:firstLine="480"/>
        <w:rPr>
          <w:rFonts w:eastAsiaTheme="minorEastAsia"/>
          <w:color w:val="000000" w:themeColor="text1"/>
        </w:rPr>
      </w:pPr>
      <w:r>
        <w:rPr>
          <w:rFonts w:eastAsiaTheme="minorEastAsia"/>
          <w:color w:val="000000" w:themeColor="text1"/>
        </w:rPr>
        <w:t>2、舍资组砂岩弱裂隙含水层（T</w:t>
      </w:r>
      <w:r>
        <w:rPr>
          <w:rFonts w:eastAsiaTheme="minorEastAsia"/>
          <w:color w:val="000000" w:themeColor="text1"/>
          <w:vertAlign w:val="subscript"/>
        </w:rPr>
        <w:t>3</w:t>
      </w:r>
      <w:r>
        <w:rPr>
          <w:rFonts w:eastAsiaTheme="minorEastAsia"/>
          <w:color w:val="000000" w:themeColor="text1"/>
        </w:rPr>
        <w:t>s</w:t>
      </w:r>
      <w:r>
        <w:rPr>
          <w:rFonts w:eastAsiaTheme="minorEastAsia"/>
          <w:color w:val="000000" w:themeColor="text1"/>
          <w:vertAlign w:val="superscript"/>
        </w:rPr>
        <w:t>a</w:t>
      </w:r>
      <w:r>
        <w:rPr>
          <w:rFonts w:eastAsiaTheme="minorEastAsia"/>
          <w:color w:val="000000" w:themeColor="text1"/>
        </w:rPr>
        <w:t>）</w:t>
      </w:r>
    </w:p>
    <w:p>
      <w:pPr>
        <w:ind w:firstLine="480"/>
        <w:rPr>
          <w:rFonts w:eastAsiaTheme="minorEastAsia"/>
          <w:color w:val="000000" w:themeColor="text1"/>
        </w:rPr>
      </w:pPr>
      <w:r>
        <w:rPr>
          <w:rFonts w:eastAsiaTheme="minorEastAsia"/>
          <w:color w:val="000000" w:themeColor="text1"/>
        </w:rPr>
        <w:t>岩性为深灰色厚层状长石石英砂岩，分布于曼岗河以西的大部分及东部，厚352m。节理裂隙较发育，含裂隙水，富水性弱。水位埋藏深，多属潜水。底板产状平缓，与下伏大红山群裂隙含水层呈整合接触。</w:t>
      </w:r>
    </w:p>
    <w:p>
      <w:pPr>
        <w:ind w:firstLine="480"/>
        <w:jc w:val="both"/>
        <w:rPr>
          <w:rFonts w:eastAsiaTheme="minorEastAsia"/>
          <w:color w:val="000000" w:themeColor="text1"/>
        </w:rPr>
      </w:pPr>
      <w:r>
        <w:rPr>
          <w:rFonts w:eastAsiaTheme="minorEastAsia"/>
          <w:color w:val="000000" w:themeColor="text1"/>
        </w:rPr>
        <w:t>该层位中含水岩层以白云石大理岩占有较大比例，其矿物成分以白云石、石英、钠长石及黑云母为主，角闪石、绿泥石、石榴石次之，多呈鳞片状、粒状变晶结构，条纹、条带和块状构造。块状白云石大理岩相对较纯，化学分析结果，MgO+CaO的含量很低（36%左右），而SiO</w:t>
      </w:r>
      <w:r>
        <w:rPr>
          <w:rFonts w:eastAsiaTheme="minorEastAsia"/>
          <w:color w:val="000000" w:themeColor="text1"/>
          <w:vertAlign w:val="subscript"/>
        </w:rPr>
        <w:t>2</w:t>
      </w:r>
      <w:r>
        <w:rPr>
          <w:rFonts w:eastAsiaTheme="minorEastAsia"/>
          <w:color w:val="000000" w:themeColor="text1"/>
        </w:rPr>
        <w:t>+Al</w:t>
      </w:r>
      <w:r>
        <w:rPr>
          <w:rFonts w:eastAsiaTheme="minorEastAsia"/>
          <w:color w:val="000000" w:themeColor="text1"/>
          <w:vertAlign w:val="subscript"/>
        </w:rPr>
        <w:t>2</w:t>
      </w:r>
      <w:r>
        <w:rPr>
          <w:rFonts w:eastAsiaTheme="minorEastAsia"/>
          <w:color w:val="000000" w:themeColor="text1"/>
        </w:rPr>
        <w:t>O</w:t>
      </w:r>
      <w:r>
        <w:rPr>
          <w:rFonts w:eastAsiaTheme="minorEastAsia"/>
          <w:color w:val="000000" w:themeColor="text1"/>
          <w:vertAlign w:val="subscript"/>
        </w:rPr>
        <w:t>3</w:t>
      </w:r>
      <w:r>
        <w:rPr>
          <w:rFonts w:eastAsiaTheme="minorEastAsia"/>
          <w:color w:val="000000" w:themeColor="text1"/>
        </w:rPr>
        <w:t>+Fe</w:t>
      </w:r>
      <w:r>
        <w:rPr>
          <w:rFonts w:eastAsiaTheme="minorEastAsia"/>
          <w:color w:val="000000" w:themeColor="text1"/>
          <w:vertAlign w:val="subscript"/>
        </w:rPr>
        <w:t>2</w:t>
      </w:r>
      <w:r>
        <w:rPr>
          <w:rFonts w:eastAsiaTheme="minorEastAsia"/>
          <w:color w:val="000000" w:themeColor="text1"/>
        </w:rPr>
        <w:t>O</w:t>
      </w:r>
      <w:r>
        <w:rPr>
          <w:rFonts w:eastAsiaTheme="minorEastAsia"/>
          <w:color w:val="000000" w:themeColor="text1"/>
          <w:vertAlign w:val="subscript"/>
        </w:rPr>
        <w:t>3</w:t>
      </w:r>
      <w:r>
        <w:rPr>
          <w:rFonts w:eastAsiaTheme="minorEastAsia"/>
          <w:color w:val="000000" w:themeColor="text1"/>
        </w:rPr>
        <w:t>的含量极高（26%）。岩石的矿物成分、结构、构造，化学成分等都对岩溶发育不利。岩层富水性规律受裂隙发育规律控制，总的富水性规律是浅强深弱，浅部相对富水部位划为含水层，一般厚75~225m，平均172m，为裂隙含水层。根据玉溪矿业有限公司大红山铜矿东部矿段详细勘察，钻孔抽水试验，q=0.0011~0.0424L/s.m，K=0.0011~0.0302m/d，水质为HCO</w:t>
      </w:r>
      <w:r>
        <w:rPr>
          <w:rFonts w:eastAsiaTheme="minorEastAsia"/>
          <w:color w:val="000000" w:themeColor="text1"/>
          <w:vertAlign w:val="subscript"/>
        </w:rPr>
        <w:t>3</w:t>
      </w:r>
      <w:r>
        <w:rPr>
          <w:rFonts w:eastAsiaTheme="minorEastAsia"/>
          <w:color w:val="000000" w:themeColor="text1"/>
        </w:rPr>
        <w:t>-Ca·Mg型，矿化度0.3g/L左右。</w:t>
      </w:r>
    </w:p>
    <w:p>
      <w:pPr>
        <w:ind w:firstLine="480"/>
        <w:rPr>
          <w:rFonts w:eastAsiaTheme="minorEastAsia"/>
          <w:color w:val="000000" w:themeColor="text1"/>
        </w:rPr>
      </w:pPr>
      <w:r>
        <w:rPr>
          <w:rFonts w:eastAsiaTheme="minorEastAsia"/>
          <w:color w:val="000000" w:themeColor="text1"/>
        </w:rPr>
        <w:t>评价区水文地质图见附图7。</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6.2.3.3地下水的补给、径流、排泄条件</w:t>
      </w:r>
    </w:p>
    <w:p>
      <w:pPr>
        <w:ind w:firstLine="480"/>
        <w:jc w:val="both"/>
        <w:rPr>
          <w:rFonts w:eastAsiaTheme="minorEastAsia"/>
          <w:color w:val="000000" w:themeColor="text1"/>
        </w:rPr>
      </w:pPr>
      <w:r>
        <w:rPr>
          <w:rFonts w:eastAsiaTheme="minorEastAsia"/>
          <w:color w:val="000000" w:themeColor="text1"/>
        </w:rPr>
        <w:t>评价区处于元江上游戛洒江水系流域，位于困龙河北侧，最高点海拔</w:t>
      </w:r>
      <w:r>
        <w:rPr>
          <w:rFonts w:hint="eastAsia" w:eastAsiaTheme="minorEastAsia"/>
          <w:color w:val="000000" w:themeColor="text1"/>
        </w:rPr>
        <w:t>1020</w:t>
      </w:r>
      <w:r>
        <w:rPr>
          <w:rFonts w:eastAsiaTheme="minorEastAsia"/>
          <w:color w:val="000000" w:themeColor="text1"/>
        </w:rPr>
        <w:t>m，最低处海拔为</w:t>
      </w:r>
      <w:r>
        <w:rPr>
          <w:rFonts w:hint="eastAsia" w:eastAsiaTheme="minorEastAsia"/>
          <w:color w:val="000000" w:themeColor="text1"/>
        </w:rPr>
        <w:t>550</w:t>
      </w:r>
      <w:r>
        <w:rPr>
          <w:rFonts w:eastAsiaTheme="minorEastAsia"/>
          <w:color w:val="000000" w:themeColor="text1"/>
        </w:rPr>
        <w:t>m，可视为当地最低侵蚀基准面。区内地形起伏变化较大，地形坡度一般为24~38°，地表广泛分布残坡积粘性土，总体处于区域地下水的径流排泄区。项目地表为第四系冲洪砾石、粘土层，下层为舍资组砂岩弱裂隙含水层，深层为大红山群（Ptd）裂隙含水层，项目所在位置</w:t>
      </w:r>
      <w:r>
        <w:rPr>
          <w:rFonts w:hint="eastAsia" w:eastAsiaTheme="minorEastAsia"/>
          <w:color w:val="000000" w:themeColor="text1"/>
        </w:rPr>
        <w:t>处于河谷区</w:t>
      </w:r>
      <w:r>
        <w:rPr>
          <w:rFonts w:eastAsiaTheme="minorEastAsia"/>
          <w:color w:val="000000" w:themeColor="text1"/>
        </w:rPr>
        <w:t>，地下水主要靠降雨补给，降雨大部分顺地形排泄至困龙河，少部分下渗补给地下水，项目区地下水以潜水形式构造，以裂隙排出地表，自西北向东南径流，最终在困龙河和戛洒江排泄。</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6.2.3.4水文地质单元及地下水影响范围</w:t>
      </w:r>
    </w:p>
    <w:p>
      <w:pPr>
        <w:adjustRightInd w:val="0"/>
        <w:snapToGrid w:val="0"/>
        <w:ind w:firstLine="480"/>
        <w:rPr>
          <w:rFonts w:eastAsiaTheme="minorEastAsia"/>
          <w:color w:val="000000" w:themeColor="text1"/>
        </w:rPr>
      </w:pPr>
      <w:r>
        <w:rPr>
          <w:color w:val="000000" w:themeColor="text1"/>
        </w:rPr>
        <w:t>根据项目区地形、地下水流向、含水层岩性等确定地下水环境调查评价范围，因此项目区地下水评价范围为以厂区附近断层开始向东南展布的含水层，面积约3.2km</w:t>
      </w:r>
      <w:r>
        <w:rPr>
          <w:color w:val="000000" w:themeColor="text1"/>
          <w:vertAlign w:val="superscript"/>
        </w:rPr>
        <w:t>2</w:t>
      </w:r>
      <w:r>
        <w:rPr>
          <w:color w:val="000000" w:themeColor="text1"/>
        </w:rPr>
        <w:t>。</w:t>
      </w:r>
      <w:r>
        <w:rPr>
          <w:rFonts w:eastAsiaTheme="minorEastAsia"/>
          <w:color w:val="000000" w:themeColor="text1"/>
        </w:rPr>
        <w:t>项目水文地质单元及影响范围见附图7。</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6.2.3.5区域水资源利用附近村庄饮用水源调查</w:t>
      </w:r>
    </w:p>
    <w:p>
      <w:pPr>
        <w:adjustRightInd w:val="0"/>
        <w:snapToGrid w:val="0"/>
        <w:ind w:firstLine="480"/>
        <w:rPr>
          <w:rFonts w:eastAsiaTheme="minorEastAsia"/>
          <w:color w:val="000000" w:themeColor="text1"/>
          <w:szCs w:val="24"/>
        </w:rPr>
      </w:pPr>
      <w:r>
        <w:rPr>
          <w:rFonts w:eastAsiaTheme="minorEastAsia"/>
          <w:color w:val="000000" w:themeColor="text1"/>
          <w:szCs w:val="24"/>
        </w:rPr>
        <w:t>该项目附近无人取用地下水水作为饮用水源。</w:t>
      </w:r>
      <w:r>
        <w:rPr>
          <w:rFonts w:hint="eastAsia" w:eastAsiaTheme="minorEastAsia"/>
          <w:color w:val="000000" w:themeColor="text1"/>
          <w:szCs w:val="24"/>
        </w:rPr>
        <w:t>周边村庄饮用水均为自来水。</w:t>
      </w:r>
    </w:p>
    <w:p>
      <w:pPr>
        <w:adjustRightInd w:val="0"/>
        <w:snapToGrid w:val="0"/>
        <w:ind w:firstLine="480"/>
        <w:rPr>
          <w:rFonts w:eastAsiaTheme="minorEastAsia"/>
          <w:color w:val="000000" w:themeColor="text1"/>
          <w:szCs w:val="24"/>
        </w:rPr>
      </w:pPr>
      <w:r>
        <w:rPr>
          <w:rFonts w:eastAsiaTheme="minorEastAsia"/>
          <w:color w:val="000000" w:themeColor="text1"/>
          <w:szCs w:val="24"/>
        </w:rPr>
        <w:t>根据现场调查，项目最近村庄为四坡斗村，生活用水由戛洒镇自来水厂统一供给，戛洒镇自来水厂取水点不在该项目地下水</w:t>
      </w:r>
      <w:r>
        <w:rPr>
          <w:rFonts w:hint="eastAsia" w:eastAsiaTheme="minorEastAsia"/>
          <w:color w:val="000000" w:themeColor="text1"/>
          <w:szCs w:val="24"/>
        </w:rPr>
        <w:t>评价</w:t>
      </w:r>
      <w:r>
        <w:rPr>
          <w:rFonts w:eastAsiaTheme="minorEastAsia"/>
          <w:color w:val="000000" w:themeColor="text1"/>
          <w:szCs w:val="24"/>
        </w:rPr>
        <w:t>范围内。</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hint="eastAsia" w:eastAsiaTheme="minorEastAsia"/>
          <w:b/>
          <w:color w:val="000000" w:themeColor="text1"/>
          <w:kern w:val="0"/>
          <w:szCs w:val="24"/>
        </w:rPr>
        <w:t>6.2.3.6污染途径</w:t>
      </w:r>
    </w:p>
    <w:p>
      <w:pPr>
        <w:widowControl/>
        <w:ind w:firstLine="480"/>
        <w:rPr>
          <w:rFonts w:ascii="宋体" w:hAnsi="宋体" w:cs="宋体"/>
          <w:color w:val="000000" w:themeColor="text1"/>
          <w:kern w:val="0"/>
          <w:szCs w:val="24"/>
        </w:rPr>
      </w:pPr>
      <w:r>
        <w:rPr>
          <w:rFonts w:hint="eastAsia" w:ascii="宋体" w:hAnsi="宋体" w:cs="宋体"/>
          <w:color w:val="000000" w:themeColor="text1"/>
          <w:kern w:val="0"/>
          <w:szCs w:val="24"/>
        </w:rPr>
        <w:t>一般而言，污染物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地下水能否被污染取决于污染物的种类和性质。一般说来，土壤粒细而紧密，渗透性差，则污染慢；反之，颗粒大松散，渗透性能良好则污染重。污染物从污染源进入地下水所经过路径称为地下水污染途径，地下水污染途径是多种多样的。</w:t>
      </w:r>
    </w:p>
    <w:p>
      <w:pPr>
        <w:widowControl/>
        <w:ind w:firstLine="480"/>
        <w:rPr>
          <w:color w:val="000000" w:themeColor="text1"/>
        </w:rPr>
      </w:pPr>
      <w:r>
        <w:rPr>
          <w:rFonts w:hint="eastAsia" w:ascii="宋体" w:hAnsi="宋体" w:cs="宋体"/>
          <w:color w:val="000000" w:themeColor="text1"/>
          <w:kern w:val="0"/>
          <w:szCs w:val="24"/>
        </w:rPr>
        <w:t>根据本项目实际情况，本项目可能对地下水造成污染的途径主要有：选矿废水输送管道或选矿设备泄漏、尾矿沉淀池渗漏、尾矿库发生渗漏、危废暂存间危险废物发生泄漏及配套污水管网渗漏或事故状态下废水、尾矿的事故排放带来的渗漏，因处置不当可能通过土壤下渗污染地下水。</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6.2.3.</w:t>
      </w:r>
      <w:r>
        <w:rPr>
          <w:rFonts w:hint="eastAsia" w:eastAsiaTheme="minorEastAsia"/>
          <w:b/>
          <w:color w:val="000000" w:themeColor="text1"/>
          <w:kern w:val="0"/>
          <w:szCs w:val="24"/>
        </w:rPr>
        <w:t>7</w:t>
      </w:r>
      <w:r>
        <w:rPr>
          <w:rFonts w:eastAsiaTheme="minorEastAsia"/>
          <w:b/>
          <w:color w:val="000000" w:themeColor="text1"/>
          <w:kern w:val="0"/>
          <w:szCs w:val="24"/>
        </w:rPr>
        <w:t>对评价区地下水的影响分析</w:t>
      </w:r>
    </w:p>
    <w:p>
      <w:pPr>
        <w:ind w:firstLine="482"/>
        <w:rPr>
          <w:rFonts w:eastAsiaTheme="minorEastAsia"/>
          <w:b/>
          <w:bCs/>
          <w:color w:val="000000" w:themeColor="text1"/>
        </w:rPr>
      </w:pPr>
      <w:r>
        <w:rPr>
          <w:rFonts w:hint="eastAsia" w:eastAsiaTheme="minorEastAsia"/>
          <w:b/>
          <w:bCs/>
          <w:color w:val="000000" w:themeColor="text1"/>
        </w:rPr>
        <w:t xml:space="preserve">（一）正常工况地下水环境影响分析 </w:t>
      </w:r>
    </w:p>
    <w:p>
      <w:pPr>
        <w:pStyle w:val="26"/>
        <w:spacing w:after="0"/>
        <w:ind w:firstLine="480"/>
        <w:rPr>
          <w:rFonts w:eastAsiaTheme="minorEastAsia"/>
          <w:color w:val="000000" w:themeColor="text1"/>
          <w:lang w:eastAsia="zh-CN"/>
        </w:rPr>
      </w:pPr>
      <w:r>
        <w:rPr>
          <w:rFonts w:hint="eastAsia" w:eastAsiaTheme="minorEastAsia"/>
          <w:color w:val="000000" w:themeColor="text1"/>
          <w:lang w:eastAsia="zh-CN"/>
        </w:rPr>
        <w:t>1</w:t>
      </w:r>
      <w:r>
        <w:rPr>
          <w:rFonts w:eastAsiaTheme="minorEastAsia"/>
          <w:color w:val="000000" w:themeColor="text1"/>
          <w:lang w:eastAsia="zh-CN"/>
        </w:rPr>
        <w:t>、原矿堆场对地下水的影响分析</w:t>
      </w:r>
    </w:p>
    <w:p>
      <w:pPr>
        <w:ind w:firstLine="480"/>
        <w:rPr>
          <w:rFonts w:eastAsiaTheme="minorEastAsia"/>
          <w:color w:val="000000" w:themeColor="text1"/>
          <w:szCs w:val="24"/>
        </w:rPr>
      </w:pPr>
      <w:r>
        <w:rPr>
          <w:rFonts w:eastAsiaTheme="minorEastAsia"/>
          <w:color w:val="000000" w:themeColor="text1"/>
        </w:rPr>
        <w:t>本次技改，环评要求对原料处理站进行硬化处理，原矿堆场、成品砂石料堆场、低品位矿堆场地面均硬化，设置三面遮挡+挡雨棚的形式储存物料。</w:t>
      </w:r>
      <w:r>
        <w:rPr>
          <w:rFonts w:hint="eastAsia" w:eastAsiaTheme="minorEastAsia"/>
          <w:color w:val="000000" w:themeColor="text1"/>
        </w:rPr>
        <w:t>场地</w:t>
      </w:r>
      <w:r>
        <w:rPr>
          <w:rFonts w:eastAsiaTheme="minorEastAsia"/>
          <w:color w:val="000000" w:themeColor="text1"/>
        </w:rPr>
        <w:t>硬化处理之后渗透系数较小，</w:t>
      </w:r>
      <w:r>
        <w:rPr>
          <w:rFonts w:hint="eastAsia" w:eastAsiaTheme="minorEastAsia"/>
          <w:color w:val="000000" w:themeColor="text1"/>
        </w:rPr>
        <w:t>对物料建棚封闭后，避免雨水对物料的淋溶，</w:t>
      </w:r>
      <w:r>
        <w:rPr>
          <w:rFonts w:eastAsiaTheme="minorEastAsia"/>
          <w:color w:val="000000" w:themeColor="text1"/>
        </w:rPr>
        <w:t>物料不容易进入土壤污染地下水，原料处理站设置雨水沟，初期雨水经收集后暂存在雨水收集池，防止</w:t>
      </w:r>
      <w:r>
        <w:rPr>
          <w:rFonts w:hint="eastAsia" w:eastAsiaTheme="minorEastAsia"/>
          <w:color w:val="000000" w:themeColor="text1"/>
        </w:rPr>
        <w:t>初期雨水中含有可溶污染物对地下水造成污染</w:t>
      </w:r>
      <w:r>
        <w:rPr>
          <w:rFonts w:eastAsiaTheme="minorEastAsia"/>
          <w:color w:val="000000" w:themeColor="text1"/>
        </w:rPr>
        <w:t>。</w:t>
      </w:r>
    </w:p>
    <w:p>
      <w:pPr>
        <w:ind w:firstLine="480"/>
        <w:rPr>
          <w:rFonts w:eastAsiaTheme="minorEastAsia"/>
          <w:color w:val="000000" w:themeColor="text1"/>
          <w:szCs w:val="24"/>
        </w:rPr>
      </w:pPr>
      <w:r>
        <w:rPr>
          <w:rFonts w:hint="eastAsia" w:eastAsiaTheme="minorEastAsia"/>
          <w:color w:val="000000" w:themeColor="text1"/>
          <w:szCs w:val="24"/>
        </w:rPr>
        <w:t>2</w:t>
      </w:r>
      <w:r>
        <w:rPr>
          <w:rFonts w:eastAsiaTheme="minorEastAsia"/>
          <w:color w:val="000000" w:themeColor="text1"/>
          <w:szCs w:val="24"/>
        </w:rPr>
        <w:t>、选矿废水对地下水的影响分析</w:t>
      </w:r>
    </w:p>
    <w:p>
      <w:pPr>
        <w:ind w:firstLine="480"/>
        <w:rPr>
          <w:rFonts w:eastAsiaTheme="minorEastAsia"/>
          <w:color w:val="000000" w:themeColor="text1"/>
        </w:rPr>
      </w:pPr>
      <w:r>
        <w:rPr>
          <w:rFonts w:eastAsiaTheme="minorEastAsia"/>
          <w:color w:val="000000" w:themeColor="text1"/>
        </w:rPr>
        <w:t>该项目选厂车间地基夯实之后，全部铺设混凝土，车间全部硬化处理，硬化处理之后渗透系数较小，渗漏量较小。车间混凝土下面为第四系粉土层，车间基建时清基之后对该土层进行夯实，该土层分布均匀连续，平均厚度超过5m，即使车间混凝土地面开裂时，下渗水量不大，夯实之后的第四系粉土层，对下渗水起到一定的阻挡和过滤作用，下渗废水对地下水水质影响不大。日常运营中要加强管理，减少选矿废水跑、冒、滴、漏等情况的发生，发现有地面开裂要及时修补，减少废水下渗。</w:t>
      </w:r>
    </w:p>
    <w:p>
      <w:pPr>
        <w:ind w:firstLine="480"/>
        <w:rPr>
          <w:rFonts w:eastAsiaTheme="minorEastAsia"/>
          <w:color w:val="000000" w:themeColor="text1"/>
        </w:rPr>
      </w:pPr>
      <w:r>
        <w:rPr>
          <w:rFonts w:eastAsiaTheme="minorEastAsia"/>
          <w:color w:val="000000" w:themeColor="text1"/>
        </w:rPr>
        <w:t>选矿精矿池全部采用混凝土进行了</w:t>
      </w:r>
      <w:r>
        <w:rPr>
          <w:rFonts w:hint="eastAsia" w:eastAsiaTheme="minorEastAsia"/>
          <w:color w:val="000000" w:themeColor="text1"/>
        </w:rPr>
        <w:t>浇筑</w:t>
      </w:r>
      <w:r>
        <w:rPr>
          <w:rFonts w:eastAsiaTheme="minorEastAsia"/>
          <w:color w:val="000000" w:themeColor="text1"/>
        </w:rPr>
        <w:t>，尾矿浆利用场地高差压力，通过自流至尾矿浆沉淀池处理，脱水车间脱出的水也进入尾矿浆沉淀池处理，尾矿浆沉淀池全部采用水泥混凝土浇筑，有效防止了选矿废水下渗。项目选矿废水水质简单，</w:t>
      </w:r>
      <w:r>
        <w:rPr>
          <w:rFonts w:hint="eastAsia" w:eastAsiaTheme="minorEastAsia"/>
          <w:color w:val="000000" w:themeColor="text1"/>
        </w:rPr>
        <w:t>原有项目选矿废水</w:t>
      </w:r>
      <w:r>
        <w:rPr>
          <w:rFonts w:eastAsiaTheme="minorEastAsia"/>
          <w:color w:val="000000" w:themeColor="text1"/>
        </w:rPr>
        <w:t>经过沉淀处理之后选矿废水全部回用至生产线使用，进一步减少了废水下渗。</w:t>
      </w:r>
      <w:r>
        <w:rPr>
          <w:rFonts w:hint="eastAsia" w:eastAsiaTheme="minorEastAsia"/>
          <w:color w:val="000000" w:themeColor="text1"/>
        </w:rPr>
        <w:t>技改项目</w:t>
      </w:r>
      <w:r>
        <w:rPr>
          <w:rFonts w:hint="eastAsia" w:eastAsiaTheme="minorEastAsia"/>
          <w:color w:val="000000" w:themeColor="text1"/>
          <w:lang w:val="en-US" w:eastAsia="zh-CN"/>
        </w:rPr>
        <w:t>尾矿</w:t>
      </w:r>
      <w:r>
        <w:rPr>
          <w:rFonts w:hint="eastAsia" w:eastAsiaTheme="minorEastAsia"/>
          <w:color w:val="000000" w:themeColor="text1"/>
        </w:rPr>
        <w:t>废水</w:t>
      </w:r>
      <w:r>
        <w:rPr>
          <w:rFonts w:hint="eastAsia" w:eastAsiaTheme="minorEastAsia"/>
          <w:color w:val="000000" w:themeColor="text1"/>
          <w:lang w:val="en-US" w:eastAsia="zh-CN"/>
        </w:rPr>
        <w:t>随尾矿携带进入</w:t>
      </w:r>
      <w:r>
        <w:rPr>
          <w:rFonts w:hint="eastAsia" w:eastAsiaTheme="minorEastAsia"/>
          <w:color w:val="000000" w:themeColor="text1"/>
        </w:rPr>
        <w:t>依托辣子箐口选厂的浓密池后，输送进入龙都尾矿库。</w:t>
      </w:r>
    </w:p>
    <w:p>
      <w:pPr>
        <w:ind w:firstLine="480"/>
        <w:rPr>
          <w:rFonts w:eastAsiaTheme="minorEastAsia"/>
          <w:color w:val="000000" w:themeColor="text1"/>
        </w:rPr>
      </w:pPr>
      <w:r>
        <w:rPr>
          <w:rFonts w:eastAsiaTheme="minorEastAsia"/>
          <w:color w:val="000000" w:themeColor="text1"/>
        </w:rPr>
        <w:t>采取以上措施之后项目选矿生产对地下水水质影响很小。</w:t>
      </w:r>
    </w:p>
    <w:p>
      <w:pPr>
        <w:ind w:firstLine="480"/>
        <w:rPr>
          <w:rFonts w:eastAsiaTheme="minorEastAsia"/>
          <w:color w:val="000000" w:themeColor="text1"/>
          <w:szCs w:val="24"/>
        </w:rPr>
      </w:pPr>
      <w:r>
        <w:rPr>
          <w:rFonts w:eastAsiaTheme="minorEastAsia"/>
          <w:color w:val="000000" w:themeColor="text1"/>
          <w:szCs w:val="24"/>
        </w:rPr>
        <w:t>3、尾矿库对地下水的影响分析</w:t>
      </w:r>
    </w:p>
    <w:p>
      <w:pPr>
        <w:ind w:firstLine="480"/>
        <w:rPr>
          <w:rFonts w:eastAsiaTheme="minorEastAsia"/>
          <w:color w:val="000000" w:themeColor="text1"/>
        </w:rPr>
      </w:pPr>
      <w:r>
        <w:rPr>
          <w:rFonts w:eastAsiaTheme="minorEastAsia"/>
          <w:color w:val="000000" w:themeColor="text1"/>
        </w:rPr>
        <w:t>根据水文地质图，辣子箐尾矿库占地区域为第四系孔隙含水层，3-5m，沟谷上游和下游均为三叠系舍子组下段砂岩弱裂隙含水层。</w:t>
      </w:r>
    </w:p>
    <w:p>
      <w:pPr>
        <w:ind w:firstLine="480"/>
        <w:rPr>
          <w:rFonts w:eastAsiaTheme="minorEastAsia"/>
          <w:color w:val="000000" w:themeColor="text1"/>
        </w:rPr>
      </w:pPr>
      <w:r>
        <w:rPr>
          <w:rFonts w:eastAsiaTheme="minorEastAsia"/>
          <w:color w:val="000000" w:themeColor="text1"/>
        </w:rPr>
        <w:t>经现场调查，辣子箐尾矿库所在沟谷为长时间冲刷形成的深切割沟谷，降雨形成的地表径流顺山沟而下，长时间对沟谷底部进行冲刷，三叠系舍子组下段砂岩弱裂隙含水层，裂隙不发育，可以视为一个相对隔水层。尾矿库建设时，已对底部进行夯实处理，下层第四系对尾矿渗滤起到一定过滤作用，尾矿库周边建设截排水沟，及时疏排雨水，防止大量雨水进入尾矿库，根据调查，目前尾矿库已经堆存一定量的尾矿，尾矿库尾矿经过长时间沉积之后，在一定程度上阻止了尾矿渗滤液下渗。根据引用的尾矿浸出毒性实验结果，尾矿为Ⅰ类一般工业固废，尾矿浸出液中有害成分含量低，沉淀之后的尾矿含水率在35%左右，戛洒地区蒸发量很大，尾矿中水分进一步蒸发之后，下渗的渗滤液量很小。</w:t>
      </w:r>
    </w:p>
    <w:p>
      <w:pPr>
        <w:ind w:firstLine="480"/>
        <w:rPr>
          <w:rFonts w:eastAsiaTheme="minorEastAsia"/>
          <w:color w:val="000000" w:themeColor="text1"/>
        </w:rPr>
      </w:pPr>
      <w:r>
        <w:rPr>
          <w:rFonts w:eastAsiaTheme="minorEastAsia"/>
          <w:color w:val="000000" w:themeColor="text1"/>
        </w:rPr>
        <w:t>综合以上分析可知，尾矿渗漏水量较小，渗水污染物含量较低，对地下水水质影响较小。</w:t>
      </w:r>
    </w:p>
    <w:p>
      <w:pPr>
        <w:ind w:firstLine="480"/>
        <w:rPr>
          <w:rFonts w:eastAsiaTheme="minorEastAsia"/>
          <w:color w:val="000000" w:themeColor="text1"/>
        </w:rPr>
      </w:pPr>
      <w:r>
        <w:rPr>
          <w:rFonts w:eastAsiaTheme="minorEastAsia"/>
          <w:color w:val="000000" w:themeColor="text1"/>
        </w:rPr>
        <w:t>戛洒江和困龙河交界处作为评价区最低侵蚀基准面，尾矿库地下水向困龙河和戛洒江排泄，将对困龙河和戛洒江水体局部造成一定的不利影响；由于该地区较为蒸发量较大，三叠系舍子组下段砂岩弱裂隙含水层裂隙不发育，地下水排泄量不大，并且戛洒江和困龙河水量大，排泄的地下水对该段河流总体水质影响不大。</w:t>
      </w:r>
    </w:p>
    <w:p>
      <w:pPr>
        <w:ind w:firstLine="480"/>
        <w:rPr>
          <w:rFonts w:eastAsiaTheme="minorEastAsia"/>
          <w:color w:val="000000" w:themeColor="text1"/>
        </w:rPr>
      </w:pPr>
      <w:r>
        <w:rPr>
          <w:rFonts w:eastAsiaTheme="minorEastAsia"/>
          <w:color w:val="000000" w:themeColor="text1"/>
        </w:rPr>
        <w:t>技改选矿生产线产生的尾矿排入大红山龙都尾矿库，技改再选工艺不使用到浮选工艺，仅为磁选，大红山尾矿库接收大红山选矿产生的尾矿和平安公司辣子箐选厂及东磨选厂技改项目的尾矿，三家选矿工艺均相似，本技改项目排入的尾矿对大红山龙都尾矿库地下水影响不大。</w:t>
      </w:r>
    </w:p>
    <w:p>
      <w:pPr>
        <w:ind w:firstLine="480"/>
        <w:rPr>
          <w:rFonts w:eastAsiaTheme="minorEastAsia"/>
          <w:color w:val="000000" w:themeColor="text1"/>
        </w:rPr>
      </w:pPr>
      <w:r>
        <w:rPr>
          <w:rFonts w:eastAsiaTheme="minorEastAsia"/>
          <w:color w:val="000000" w:themeColor="text1"/>
        </w:rPr>
        <w:t>目前，建设单位已对选厂生产区域、高位水池、精矿池和尾矿浆沉淀池进行混凝土浇筑，</w:t>
      </w:r>
      <w:r>
        <w:rPr>
          <w:rFonts w:hint="eastAsia" w:eastAsiaTheme="minorEastAsia"/>
          <w:color w:val="000000" w:themeColor="text1"/>
        </w:rPr>
        <w:t>本次环评要求对其进行防渗处理后，</w:t>
      </w:r>
      <w:r>
        <w:rPr>
          <w:rStyle w:val="73"/>
          <w:color w:val="000000" w:themeColor="text1"/>
          <w:kern w:val="0"/>
          <w:sz w:val="24"/>
          <w:szCs w:val="24"/>
        </w:rPr>
        <w:t>降</w:t>
      </w:r>
      <w:r>
        <w:rPr>
          <w:rFonts w:eastAsiaTheme="minorEastAsia"/>
          <w:color w:val="000000" w:themeColor="text1"/>
        </w:rPr>
        <w:t>低了项目生产废水对下水的影响。为了进一步降低选矿废水对地下的影响，要求建设单位落实节水措施，提高水的重复利用率，减少废水产生量和排放量</w:t>
      </w:r>
      <w:r>
        <w:rPr>
          <w:rFonts w:hint="eastAsia" w:eastAsiaTheme="minorEastAsia"/>
          <w:color w:val="000000" w:themeColor="text1"/>
        </w:rPr>
        <w:t>，项目的建设对地下水的影响可以接受</w:t>
      </w:r>
      <w:r>
        <w:rPr>
          <w:rFonts w:eastAsiaTheme="minorEastAsia"/>
          <w:color w:val="000000" w:themeColor="text1"/>
        </w:rPr>
        <w:t>。</w:t>
      </w:r>
    </w:p>
    <w:p>
      <w:pPr>
        <w:ind w:firstLine="482"/>
        <w:rPr>
          <w:rFonts w:eastAsiaTheme="minorEastAsia"/>
          <w:b/>
          <w:bCs/>
          <w:color w:val="000000" w:themeColor="text1"/>
        </w:rPr>
      </w:pPr>
      <w:r>
        <w:rPr>
          <w:rFonts w:hint="eastAsia" w:eastAsiaTheme="minorEastAsia"/>
          <w:b/>
          <w:bCs/>
          <w:color w:val="000000" w:themeColor="text1"/>
        </w:rPr>
        <w:t xml:space="preserve">（二）非正常工况地下水环境影响分析 </w:t>
      </w:r>
    </w:p>
    <w:p>
      <w:pPr>
        <w:widowControl/>
        <w:ind w:firstLine="480"/>
        <w:rPr>
          <w:rFonts w:eastAsiaTheme="minorEastAsia"/>
          <w:b/>
          <w:color w:val="000000" w:themeColor="text1"/>
          <w:sz w:val="21"/>
          <w:szCs w:val="20"/>
        </w:rPr>
      </w:pPr>
      <w:r>
        <w:rPr>
          <w:rFonts w:hint="eastAsia" w:ascii="宋体" w:hAnsi="宋体" w:cs="宋体"/>
          <w:color w:val="000000" w:themeColor="text1"/>
          <w:kern w:val="0"/>
          <w:szCs w:val="24"/>
        </w:rPr>
        <w:t>本项目对地下水可能产生污染的区域识别如下表所示：</w:t>
      </w:r>
    </w:p>
    <w:p>
      <w:pPr>
        <w:widowControl/>
        <w:ind w:firstLine="0" w:firstLineChars="0"/>
        <w:jc w:val="center"/>
        <w:rPr>
          <w:color w:val="000000" w:themeColor="text1"/>
        </w:rPr>
      </w:pPr>
      <w:r>
        <w:rPr>
          <w:rFonts w:hint="eastAsia" w:eastAsiaTheme="minorEastAsia"/>
          <w:b/>
          <w:color w:val="000000" w:themeColor="text1"/>
          <w:sz w:val="21"/>
          <w:szCs w:val="20"/>
        </w:rPr>
        <w:t>表6.2-34可能污染地下水的区域识别表</w:t>
      </w:r>
    </w:p>
    <w:tbl>
      <w:tblPr>
        <w:tblStyle w:val="62"/>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40" w:type="dxa"/>
            <w:vAlign w:val="center"/>
          </w:tcPr>
          <w:p>
            <w:pPr>
              <w:kinsoku w:val="0"/>
              <w:overflowPunct w:val="0"/>
              <w:adjustRightIn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区域</w:t>
            </w:r>
          </w:p>
        </w:tc>
        <w:tc>
          <w:tcPr>
            <w:tcW w:w="2841" w:type="dxa"/>
            <w:vAlign w:val="center"/>
          </w:tcPr>
          <w:p>
            <w:pPr>
              <w:kinsoku w:val="0"/>
              <w:overflowPunct w:val="0"/>
              <w:adjustRightIn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污染途径</w:t>
            </w:r>
          </w:p>
        </w:tc>
        <w:tc>
          <w:tcPr>
            <w:tcW w:w="2841" w:type="dxa"/>
            <w:vAlign w:val="center"/>
          </w:tcPr>
          <w:p>
            <w:pPr>
              <w:kinsoku w:val="0"/>
              <w:overflowPunct w:val="0"/>
              <w:adjustRightIn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污染特征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40" w:type="dxa"/>
            <w:vAlign w:val="center"/>
          </w:tcPr>
          <w:p>
            <w:pPr>
              <w:kinsoku w:val="0"/>
              <w:overflowPunct w:val="0"/>
              <w:adjustRightIn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原矿堆场、铁精矿堆场、陶瓷压滤车间</w:t>
            </w:r>
          </w:p>
        </w:tc>
        <w:tc>
          <w:tcPr>
            <w:tcW w:w="2841" w:type="dxa"/>
            <w:vAlign w:val="center"/>
          </w:tcPr>
          <w:p>
            <w:pPr>
              <w:kinsoku w:val="0"/>
              <w:overflowPunct w:val="0"/>
              <w:adjustRightIn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原矿堆场、三级精矿池、铁精矿堆场、陶瓷压滤车间存在水分下渗污染含水层的风险</w:t>
            </w:r>
          </w:p>
        </w:tc>
        <w:tc>
          <w:tcPr>
            <w:tcW w:w="2841" w:type="dxa"/>
            <w:vAlign w:val="center"/>
          </w:tcPr>
          <w:p>
            <w:pPr>
              <w:kinsoku w:val="0"/>
              <w:overflowPunct w:val="0"/>
              <w:spacing w:line="240" w:lineRule="auto"/>
              <w:ind w:firstLine="0" w:firstLineChars="0"/>
              <w:jc w:val="center"/>
              <w:rPr>
                <w:rFonts w:eastAsiaTheme="minorEastAsia"/>
                <w:bCs/>
                <w:color w:val="000000" w:themeColor="text1"/>
                <w:kern w:val="0"/>
                <w:sz w:val="21"/>
                <w:szCs w:val="21"/>
              </w:rPr>
            </w:pPr>
            <w:r>
              <w:rPr>
                <w:rFonts w:hint="eastAsia" w:ascii="宋体" w:hAnsi="宋体" w:cs="宋体"/>
                <w:bCs/>
                <w:color w:val="000000" w:themeColor="text1"/>
                <w:kern w:val="0"/>
                <w:sz w:val="21"/>
                <w:szCs w:val="21"/>
              </w:rPr>
              <w:t>这些区域做好三防措施，废水由截排水沟收集后送入事故池，避免渗漏污染地下水。正常情况下污染风险较小，但存在防渗池破损，导致水分下渗的污染风险。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40" w:type="dxa"/>
            <w:vAlign w:val="center"/>
          </w:tcPr>
          <w:p>
            <w:pPr>
              <w:kinsoku w:val="0"/>
              <w:overflowPunct w:val="0"/>
              <w:spacing w:line="240" w:lineRule="auto"/>
              <w:ind w:firstLine="0" w:firstLineChars="0"/>
              <w:jc w:val="center"/>
              <w:rPr>
                <w:rFonts w:eastAsiaTheme="minorEastAsia"/>
                <w:bCs/>
                <w:color w:val="000000" w:themeColor="text1"/>
                <w:kern w:val="0"/>
                <w:sz w:val="21"/>
                <w:szCs w:val="21"/>
              </w:rPr>
            </w:pPr>
            <w:r>
              <w:rPr>
                <w:rFonts w:hint="eastAsia" w:ascii="宋体" w:hAnsi="宋体" w:cs="宋体"/>
                <w:bCs/>
                <w:color w:val="000000" w:themeColor="text1"/>
                <w:kern w:val="0"/>
                <w:sz w:val="21"/>
                <w:szCs w:val="21"/>
              </w:rPr>
              <w:t>生产车间内的生产设备、地面或明沟中的管网等</w:t>
            </w:r>
          </w:p>
        </w:tc>
        <w:tc>
          <w:tcPr>
            <w:tcW w:w="2841" w:type="dxa"/>
            <w:vAlign w:val="center"/>
          </w:tcPr>
          <w:p>
            <w:pPr>
              <w:kinsoku w:val="0"/>
              <w:overflowPunct w:val="0"/>
              <w:spacing w:line="240" w:lineRule="auto"/>
              <w:ind w:firstLine="0" w:firstLineChars="0"/>
              <w:jc w:val="center"/>
              <w:rPr>
                <w:rFonts w:eastAsiaTheme="minorEastAsia"/>
                <w:bCs/>
                <w:color w:val="000000" w:themeColor="text1"/>
                <w:kern w:val="0"/>
                <w:sz w:val="21"/>
                <w:szCs w:val="21"/>
              </w:rPr>
            </w:pPr>
            <w:r>
              <w:rPr>
                <w:rFonts w:hint="eastAsia" w:ascii="宋体" w:hAnsi="宋体" w:cs="宋体"/>
                <w:bCs/>
                <w:color w:val="000000" w:themeColor="text1"/>
                <w:kern w:val="0"/>
                <w:sz w:val="21"/>
                <w:szCs w:val="21"/>
              </w:rPr>
              <w:t>可能发生</w:t>
            </w:r>
            <w:r>
              <w:rPr>
                <w:bCs/>
                <w:color w:val="000000" w:themeColor="text1"/>
                <w:kern w:val="0"/>
                <w:sz w:val="21"/>
                <w:szCs w:val="21"/>
              </w:rPr>
              <w:t>“</w:t>
            </w:r>
            <w:r>
              <w:rPr>
                <w:rFonts w:hint="eastAsia" w:ascii="宋体" w:hAnsi="宋体" w:cs="宋体"/>
                <w:bCs/>
                <w:color w:val="000000" w:themeColor="text1"/>
                <w:kern w:val="0"/>
                <w:sz w:val="21"/>
                <w:szCs w:val="21"/>
              </w:rPr>
              <w:t>跑、冒、滴、漏</w:t>
            </w:r>
            <w:r>
              <w:rPr>
                <w:bCs/>
                <w:color w:val="000000" w:themeColor="text1"/>
                <w:kern w:val="0"/>
                <w:sz w:val="21"/>
                <w:szCs w:val="21"/>
              </w:rPr>
              <w:t>”</w:t>
            </w:r>
            <w:r>
              <w:rPr>
                <w:rFonts w:hint="eastAsia" w:ascii="宋体" w:hAnsi="宋体" w:cs="宋体"/>
                <w:bCs/>
                <w:color w:val="000000" w:themeColor="text1"/>
                <w:kern w:val="0"/>
                <w:sz w:val="21"/>
                <w:szCs w:val="21"/>
              </w:rPr>
              <w:t>，使生产废水、原料或产品等落到地面，进而随着缝隙下渗至含水层。</w:t>
            </w:r>
          </w:p>
        </w:tc>
        <w:tc>
          <w:tcPr>
            <w:tcW w:w="2841" w:type="dxa"/>
            <w:vAlign w:val="center"/>
          </w:tcPr>
          <w:p>
            <w:pPr>
              <w:kinsoku w:val="0"/>
              <w:overflowPunct w:val="0"/>
              <w:spacing w:line="240" w:lineRule="auto"/>
              <w:ind w:firstLine="0" w:firstLineChars="0"/>
              <w:jc w:val="center"/>
              <w:rPr>
                <w:rFonts w:eastAsiaTheme="minorEastAsia"/>
                <w:bCs/>
                <w:color w:val="000000" w:themeColor="text1"/>
                <w:kern w:val="0"/>
                <w:sz w:val="21"/>
                <w:szCs w:val="21"/>
              </w:rPr>
            </w:pPr>
            <w:r>
              <w:rPr>
                <w:rFonts w:hint="eastAsia" w:ascii="宋体" w:hAnsi="宋体" w:cs="宋体"/>
                <w:bCs/>
                <w:color w:val="000000" w:themeColor="text1"/>
                <w:kern w:val="0"/>
                <w:sz w:val="21"/>
                <w:szCs w:val="21"/>
              </w:rPr>
              <w:t>发生</w:t>
            </w:r>
            <w:r>
              <w:rPr>
                <w:bCs/>
                <w:color w:val="000000" w:themeColor="text1"/>
                <w:kern w:val="0"/>
                <w:sz w:val="21"/>
                <w:szCs w:val="21"/>
              </w:rPr>
              <w:t>“</w:t>
            </w:r>
            <w:r>
              <w:rPr>
                <w:rFonts w:hint="eastAsia" w:ascii="宋体" w:hAnsi="宋体" w:cs="宋体"/>
                <w:bCs/>
                <w:color w:val="000000" w:themeColor="text1"/>
                <w:kern w:val="0"/>
                <w:sz w:val="21"/>
                <w:szCs w:val="21"/>
              </w:rPr>
              <w:t>跑、冒、滴、漏</w:t>
            </w:r>
            <w:r>
              <w:rPr>
                <w:bCs/>
                <w:color w:val="000000" w:themeColor="text1"/>
                <w:kern w:val="0"/>
                <w:sz w:val="21"/>
                <w:szCs w:val="21"/>
              </w:rPr>
              <w:t>”</w:t>
            </w:r>
            <w:r>
              <w:rPr>
                <w:rFonts w:hint="eastAsia" w:ascii="宋体" w:hAnsi="宋体" w:cs="宋体"/>
                <w:bCs/>
                <w:color w:val="000000" w:themeColor="text1"/>
                <w:kern w:val="0"/>
                <w:sz w:val="21"/>
                <w:szCs w:val="21"/>
              </w:rPr>
              <w:t>的区域皆在可视范围内，可及时被发现并处理，不会任其渗漏污染地下水。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40" w:type="dxa"/>
            <w:vAlign w:val="center"/>
          </w:tcPr>
          <w:p>
            <w:pPr>
              <w:kinsoku w:val="0"/>
              <w:overflowPunct w:val="0"/>
              <w:adjustRightIn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尾矿沉淀池、精矿浓缩池</w:t>
            </w:r>
          </w:p>
        </w:tc>
        <w:tc>
          <w:tcPr>
            <w:tcW w:w="2841" w:type="dxa"/>
            <w:vAlign w:val="center"/>
          </w:tcPr>
          <w:p>
            <w:pPr>
              <w:kinsoku w:val="0"/>
              <w:overflowPunct w:val="0"/>
              <w:adjustRightIn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池体可能发生破损，致使污水或浸出液存在泄漏后下渗污染含水层的风险。</w:t>
            </w:r>
          </w:p>
        </w:tc>
        <w:tc>
          <w:tcPr>
            <w:tcW w:w="2841" w:type="dxa"/>
            <w:vAlign w:val="center"/>
          </w:tcPr>
          <w:p>
            <w:pPr>
              <w:kinsoku w:val="0"/>
              <w:overflowPunct w:val="0"/>
              <w:spacing w:line="240" w:lineRule="auto"/>
              <w:ind w:firstLine="0" w:firstLineChars="0"/>
              <w:jc w:val="center"/>
              <w:rPr>
                <w:rFonts w:eastAsiaTheme="minorEastAsia"/>
                <w:bCs/>
                <w:color w:val="000000" w:themeColor="text1"/>
                <w:kern w:val="0"/>
                <w:sz w:val="21"/>
                <w:szCs w:val="21"/>
              </w:rPr>
            </w:pPr>
            <w:r>
              <w:rPr>
                <w:rFonts w:hint="eastAsia" w:ascii="宋体" w:hAnsi="宋体" w:cs="宋体"/>
                <w:bCs/>
                <w:color w:val="000000" w:themeColor="text1"/>
                <w:kern w:val="0"/>
                <w:sz w:val="21"/>
                <w:szCs w:val="21"/>
              </w:rPr>
              <w:t>池子直接建在地面以上，若底部发生渗漏，不易被发现。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40" w:type="dxa"/>
            <w:vAlign w:val="center"/>
          </w:tcPr>
          <w:p>
            <w:pPr>
              <w:kinsoku w:val="0"/>
              <w:overflowPunct w:val="0"/>
              <w:adjustRightIn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尾矿库</w:t>
            </w:r>
          </w:p>
        </w:tc>
        <w:tc>
          <w:tcPr>
            <w:tcW w:w="2841" w:type="dxa"/>
            <w:vAlign w:val="center"/>
          </w:tcPr>
          <w:p>
            <w:pPr>
              <w:kinsoku w:val="0"/>
              <w:overflowPunct w:val="0"/>
              <w:adjustRightIn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渗滤液下渗污染含水层的风险</w:t>
            </w:r>
          </w:p>
        </w:tc>
        <w:tc>
          <w:tcPr>
            <w:tcW w:w="2841" w:type="dxa"/>
            <w:vAlign w:val="center"/>
          </w:tcPr>
          <w:p>
            <w:pPr>
              <w:kinsoku w:val="0"/>
              <w:overflowPunct w:val="0"/>
              <w:adjustRightIn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尾矿库已进行过相关专题风险评价，不作为本报告评价重点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840" w:type="dxa"/>
            <w:vAlign w:val="center"/>
          </w:tcPr>
          <w:p>
            <w:pPr>
              <w:kinsoku w:val="0"/>
              <w:overflowPunct w:val="0"/>
              <w:adjustRightIn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危废暂存间</w:t>
            </w:r>
          </w:p>
        </w:tc>
        <w:tc>
          <w:tcPr>
            <w:tcW w:w="2841" w:type="dxa"/>
            <w:vAlign w:val="center"/>
          </w:tcPr>
          <w:p>
            <w:pPr>
              <w:kinsoku w:val="0"/>
              <w:overflowPunct w:val="0"/>
              <w:adjustRightIn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危险废物泄漏污染含水层</w:t>
            </w:r>
          </w:p>
        </w:tc>
        <w:tc>
          <w:tcPr>
            <w:tcW w:w="2841" w:type="dxa"/>
            <w:vAlign w:val="center"/>
          </w:tcPr>
          <w:p>
            <w:pPr>
              <w:kinsoku w:val="0"/>
              <w:overflowPunct w:val="0"/>
              <w:adjustRightIn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ascii="宋体" w:hAnsi="宋体" w:cs="宋体"/>
                <w:bCs/>
                <w:color w:val="000000" w:themeColor="text1"/>
                <w:kern w:val="0"/>
                <w:sz w:val="21"/>
                <w:szCs w:val="21"/>
              </w:rPr>
              <w:t>发生</w:t>
            </w:r>
            <w:r>
              <w:rPr>
                <w:bCs/>
                <w:color w:val="000000" w:themeColor="text1"/>
                <w:kern w:val="0"/>
                <w:sz w:val="21"/>
                <w:szCs w:val="21"/>
              </w:rPr>
              <w:t>“</w:t>
            </w:r>
            <w:r>
              <w:rPr>
                <w:rFonts w:hint="eastAsia" w:ascii="宋体" w:hAnsi="宋体" w:cs="宋体"/>
                <w:bCs/>
                <w:color w:val="000000" w:themeColor="text1"/>
                <w:kern w:val="0"/>
                <w:sz w:val="21"/>
                <w:szCs w:val="21"/>
              </w:rPr>
              <w:t>跑、冒、滴、漏</w:t>
            </w:r>
            <w:r>
              <w:rPr>
                <w:bCs/>
                <w:color w:val="000000" w:themeColor="text1"/>
                <w:kern w:val="0"/>
                <w:sz w:val="21"/>
                <w:szCs w:val="21"/>
              </w:rPr>
              <w:t>”</w:t>
            </w:r>
            <w:r>
              <w:rPr>
                <w:rFonts w:hint="eastAsia" w:ascii="宋体" w:hAnsi="宋体" w:cs="宋体"/>
                <w:bCs/>
                <w:color w:val="000000" w:themeColor="text1"/>
                <w:kern w:val="0"/>
                <w:sz w:val="21"/>
                <w:szCs w:val="21"/>
              </w:rPr>
              <w:t>的区域皆在可视范围内，可及时被发现并处理，不会任其渗漏污染地下水。</w:t>
            </w:r>
          </w:p>
        </w:tc>
      </w:tr>
    </w:tbl>
    <w:p>
      <w:pPr>
        <w:widowControl/>
        <w:ind w:firstLine="480"/>
        <w:rPr>
          <w:color w:val="000000" w:themeColor="text1"/>
        </w:rPr>
      </w:pPr>
      <w:r>
        <w:rPr>
          <w:rFonts w:hint="eastAsia" w:ascii="宋体" w:hAnsi="宋体" w:cs="宋体"/>
          <w:color w:val="000000" w:themeColor="text1"/>
          <w:kern w:val="0"/>
          <w:szCs w:val="24"/>
        </w:rPr>
        <w:t>由上表分析可知，生产车间内的生产设备、地面或明沟中的管网等虽然可能会发生跑、冒、滴、漏使污染物落到地表，但这些区域皆位于可视范围内，在企业制定严格的巡查和相关管理制度的前提下，可及时被发现并处理，对地下水造成污染的可能性亦较小。原矿堆场、铁精矿堆场、陶瓷压滤车间做好三防措施，避免渗漏污染地下水，正常情况下污染风险较小。</w:t>
      </w:r>
    </w:p>
    <w:p>
      <w:pPr>
        <w:widowControl/>
        <w:ind w:firstLine="482"/>
        <w:rPr>
          <w:color w:val="000000" w:themeColor="text1"/>
        </w:rPr>
      </w:pPr>
      <w:r>
        <w:rPr>
          <w:rFonts w:hint="eastAsia" w:ascii="宋体" w:hAnsi="宋体" w:cs="宋体"/>
          <w:b/>
          <w:bCs/>
          <w:color w:val="000000" w:themeColor="text1"/>
          <w:kern w:val="0"/>
          <w:szCs w:val="24"/>
        </w:rPr>
        <w:t xml:space="preserve">1、情景设定 </w:t>
      </w:r>
    </w:p>
    <w:p>
      <w:pPr>
        <w:widowControl/>
        <w:ind w:firstLine="480"/>
        <w:jc w:val="both"/>
        <w:rPr>
          <w:rFonts w:eastAsiaTheme="minorEastAsia"/>
          <w:b/>
          <w:color w:val="000000" w:themeColor="text1"/>
          <w:sz w:val="21"/>
          <w:szCs w:val="20"/>
        </w:rPr>
      </w:pPr>
      <w:r>
        <w:rPr>
          <w:color w:val="000000" w:themeColor="text1"/>
          <w:kern w:val="0"/>
          <w:szCs w:val="24"/>
        </w:rPr>
        <w:t>假定由于腐蚀或地质作用，尾矿沉淀池、精矿浓缩池底部出现防渗破损，发生连续渗漏现象。为从最不利角度考虑，了解污染源强尾矿沉淀池废水相关污染物浓度，2021年12月14日，建设单位委托云南长源检测技术有限公司对尾矿沉淀池废水中铜、锌、硒、砷、汞、镉、六价铬、铅、铁、锰、铝进行进行补充监测，但由于镉和铅检出方法的原因，其两者的检出下限均大于《地下水环境质量标准》（GB/T14848-2017）</w:t>
      </w:r>
      <w:r>
        <w:rPr>
          <w:rFonts w:hint="eastAsia" w:ascii="宋体" w:hAnsi="宋体" w:cs="宋体"/>
          <w:color w:val="000000" w:themeColor="text1"/>
          <w:kern w:val="0"/>
          <w:szCs w:val="24"/>
        </w:rPr>
        <w:t>Ⅲ</w:t>
      </w:r>
      <w:r>
        <w:rPr>
          <w:color w:val="000000" w:themeColor="text1"/>
          <w:kern w:val="0"/>
          <w:szCs w:val="24"/>
        </w:rPr>
        <w:t>类标准，故2022年1月23日委托了</w:t>
      </w:r>
      <w:r>
        <w:rPr>
          <w:bCs/>
          <w:color w:val="000000" w:themeColor="text1"/>
          <w:szCs w:val="24"/>
        </w:rPr>
        <w:t>云南环绿环境检测技术有限公司对镉和铅进行再次补充监测，</w:t>
      </w:r>
      <w:r>
        <w:rPr>
          <w:color w:val="000000" w:themeColor="text1"/>
          <w:kern w:val="0"/>
          <w:szCs w:val="24"/>
        </w:rPr>
        <w:t>检测结果（见附件4）</w:t>
      </w:r>
      <w:r>
        <w:rPr>
          <w:rFonts w:hint="eastAsia" w:ascii="宋体" w:hAnsi="宋体" w:cs="宋体"/>
          <w:color w:val="000000" w:themeColor="text1"/>
          <w:kern w:val="0"/>
          <w:szCs w:val="24"/>
        </w:rPr>
        <w:t>，选择其中不易降解且检测浓度较高的污染因子作为本次预测源强，如下表所示。</w:t>
      </w:r>
    </w:p>
    <w:p>
      <w:pPr>
        <w:widowControl/>
        <w:ind w:firstLine="0" w:firstLineChars="0"/>
        <w:jc w:val="center"/>
        <w:rPr>
          <w:rFonts w:eastAsiaTheme="minorEastAsia"/>
          <w:b/>
          <w:color w:val="000000" w:themeColor="text1"/>
          <w:sz w:val="21"/>
          <w:szCs w:val="20"/>
        </w:rPr>
      </w:pPr>
      <w:r>
        <w:rPr>
          <w:rFonts w:hint="eastAsia" w:eastAsiaTheme="minorEastAsia"/>
          <w:b/>
          <w:color w:val="000000" w:themeColor="text1"/>
          <w:sz w:val="21"/>
          <w:szCs w:val="20"/>
        </w:rPr>
        <w:t>表6.2-35尾矿沉淀池废水污染因子及污染指数</w:t>
      </w:r>
    </w:p>
    <w:tbl>
      <w:tblPr>
        <w:tblStyle w:val="62"/>
        <w:tblW w:w="851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5"/>
        <w:gridCol w:w="1069"/>
        <w:gridCol w:w="1265"/>
        <w:gridCol w:w="2006"/>
        <w:gridCol w:w="1380"/>
        <w:gridCol w:w="20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72" w:hRule="atLeast"/>
          <w:jc w:val="center"/>
        </w:trPr>
        <w:tc>
          <w:tcPr>
            <w:tcW w:w="74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序号</w:t>
            </w:r>
          </w:p>
        </w:tc>
        <w:tc>
          <w:tcPr>
            <w:tcW w:w="1069"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类别</w:t>
            </w:r>
          </w:p>
        </w:tc>
        <w:tc>
          <w:tcPr>
            <w:tcW w:w="126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浓度（mg/L）</w:t>
            </w:r>
          </w:p>
        </w:tc>
        <w:tc>
          <w:tcPr>
            <w:tcW w:w="2006"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《地下水环境质量标准》</w:t>
            </w:r>
          </w:p>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（GB/T14848-2017）三</w:t>
            </w:r>
            <w:r>
              <w:rPr>
                <w:rFonts w:hint="eastAsia" w:eastAsiaTheme="minorEastAsia"/>
                <w:bCs/>
                <w:color w:val="000000" w:themeColor="text1"/>
                <w:kern w:val="0"/>
                <w:sz w:val="21"/>
                <w:szCs w:val="21"/>
              </w:rPr>
              <w:t>类标</w:t>
            </w:r>
            <w:r>
              <w:rPr>
                <w:rFonts w:eastAsiaTheme="minorEastAsia"/>
                <w:bCs/>
                <w:color w:val="000000" w:themeColor="text1"/>
                <w:kern w:val="0"/>
                <w:sz w:val="21"/>
                <w:szCs w:val="21"/>
              </w:rPr>
              <w:t>准（mg/L）</w:t>
            </w:r>
          </w:p>
        </w:tc>
        <w:tc>
          <w:tcPr>
            <w:tcW w:w="1380"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污染指数</w:t>
            </w:r>
          </w:p>
        </w:tc>
        <w:tc>
          <w:tcPr>
            <w:tcW w:w="2054"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4" w:hRule="exact"/>
          <w:jc w:val="center"/>
        </w:trPr>
        <w:tc>
          <w:tcPr>
            <w:tcW w:w="74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1</w:t>
            </w:r>
          </w:p>
        </w:tc>
        <w:tc>
          <w:tcPr>
            <w:tcW w:w="1069"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铜</w:t>
            </w:r>
          </w:p>
        </w:tc>
        <w:tc>
          <w:tcPr>
            <w:tcW w:w="1265" w:type="dxa"/>
            <w:vAlign w:val="center"/>
          </w:tcPr>
          <w:p>
            <w:pPr>
              <w:kinsoku w:val="0"/>
              <w:overflowPunct w:val="0"/>
              <w:autoSpaceDE w:val="0"/>
              <w:autoSpaceDN w:val="0"/>
              <w:adjustRightInd w:val="0"/>
              <w:snapToGrid w:val="0"/>
              <w:spacing w:line="240" w:lineRule="auto"/>
              <w:ind w:firstLine="0" w:firstLineChars="0"/>
              <w:jc w:val="center"/>
              <w:rPr>
                <w:rFonts w:eastAsiaTheme="minorEastAsia"/>
                <w:bCs/>
                <w:color w:val="000000" w:themeColor="text1"/>
                <w:kern w:val="0"/>
                <w:sz w:val="21"/>
                <w:szCs w:val="21"/>
              </w:rPr>
            </w:pPr>
            <w:r>
              <w:rPr>
                <w:rFonts w:eastAsiaTheme="minorEastAsia"/>
                <w:bCs/>
                <w:color w:val="000000" w:themeColor="text1"/>
                <w:kern w:val="0"/>
                <w:sz w:val="21"/>
                <w:szCs w:val="21"/>
              </w:rPr>
              <w:t>0.05L</w:t>
            </w:r>
          </w:p>
        </w:tc>
        <w:tc>
          <w:tcPr>
            <w:tcW w:w="2006"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1.0</w:t>
            </w:r>
          </w:p>
        </w:tc>
        <w:tc>
          <w:tcPr>
            <w:tcW w:w="1380"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w:t>
            </w:r>
          </w:p>
        </w:tc>
        <w:tc>
          <w:tcPr>
            <w:tcW w:w="2054" w:type="dxa"/>
            <w:vMerge w:val="restart"/>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监测报告编号2021120308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74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2</w:t>
            </w:r>
          </w:p>
        </w:tc>
        <w:tc>
          <w:tcPr>
            <w:tcW w:w="1069"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锌</w:t>
            </w:r>
          </w:p>
        </w:tc>
        <w:tc>
          <w:tcPr>
            <w:tcW w:w="126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0.05L</w:t>
            </w:r>
          </w:p>
        </w:tc>
        <w:tc>
          <w:tcPr>
            <w:tcW w:w="2006"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1.0</w:t>
            </w:r>
          </w:p>
        </w:tc>
        <w:tc>
          <w:tcPr>
            <w:tcW w:w="1380"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w:t>
            </w:r>
          </w:p>
        </w:tc>
        <w:tc>
          <w:tcPr>
            <w:tcW w:w="2054" w:type="dxa"/>
            <w:vMerge w:val="continue"/>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74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3</w:t>
            </w:r>
          </w:p>
        </w:tc>
        <w:tc>
          <w:tcPr>
            <w:tcW w:w="1069"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硒</w:t>
            </w:r>
          </w:p>
        </w:tc>
        <w:tc>
          <w:tcPr>
            <w:tcW w:w="126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0.0002L</w:t>
            </w:r>
          </w:p>
        </w:tc>
        <w:tc>
          <w:tcPr>
            <w:tcW w:w="2006"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0.01</w:t>
            </w:r>
          </w:p>
        </w:tc>
        <w:tc>
          <w:tcPr>
            <w:tcW w:w="1380"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w:t>
            </w:r>
          </w:p>
        </w:tc>
        <w:tc>
          <w:tcPr>
            <w:tcW w:w="2054" w:type="dxa"/>
            <w:vMerge w:val="continue"/>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74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4</w:t>
            </w:r>
          </w:p>
        </w:tc>
        <w:tc>
          <w:tcPr>
            <w:tcW w:w="1069"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砷</w:t>
            </w:r>
          </w:p>
        </w:tc>
        <w:tc>
          <w:tcPr>
            <w:tcW w:w="126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0.0001L</w:t>
            </w:r>
          </w:p>
        </w:tc>
        <w:tc>
          <w:tcPr>
            <w:tcW w:w="2006"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0.01</w:t>
            </w:r>
          </w:p>
        </w:tc>
        <w:tc>
          <w:tcPr>
            <w:tcW w:w="1380"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w:t>
            </w:r>
          </w:p>
        </w:tc>
        <w:tc>
          <w:tcPr>
            <w:tcW w:w="2054" w:type="dxa"/>
            <w:vMerge w:val="continue"/>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74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5</w:t>
            </w:r>
          </w:p>
        </w:tc>
        <w:tc>
          <w:tcPr>
            <w:tcW w:w="1069"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汞</w:t>
            </w:r>
          </w:p>
        </w:tc>
        <w:tc>
          <w:tcPr>
            <w:tcW w:w="126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0.00005L</w:t>
            </w:r>
          </w:p>
        </w:tc>
        <w:tc>
          <w:tcPr>
            <w:tcW w:w="2006"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0.001</w:t>
            </w:r>
          </w:p>
        </w:tc>
        <w:tc>
          <w:tcPr>
            <w:tcW w:w="1380"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w:t>
            </w:r>
          </w:p>
        </w:tc>
        <w:tc>
          <w:tcPr>
            <w:tcW w:w="2054" w:type="dxa"/>
            <w:vMerge w:val="continue"/>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9" w:hRule="exact"/>
          <w:jc w:val="center"/>
        </w:trPr>
        <w:tc>
          <w:tcPr>
            <w:tcW w:w="74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6</w:t>
            </w:r>
          </w:p>
        </w:tc>
        <w:tc>
          <w:tcPr>
            <w:tcW w:w="1069"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镉</w:t>
            </w:r>
          </w:p>
        </w:tc>
        <w:tc>
          <w:tcPr>
            <w:tcW w:w="126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 xml:space="preserve"> 0.001L </w:t>
            </w:r>
          </w:p>
        </w:tc>
        <w:tc>
          <w:tcPr>
            <w:tcW w:w="2006"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0.005</w:t>
            </w:r>
          </w:p>
        </w:tc>
        <w:tc>
          <w:tcPr>
            <w:tcW w:w="1380"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w:t>
            </w:r>
          </w:p>
        </w:tc>
        <w:tc>
          <w:tcPr>
            <w:tcW w:w="2054"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color w:val="000000" w:themeColor="text1"/>
                <w:sz w:val="21"/>
                <w:szCs w:val="21"/>
              </w:rPr>
              <w:t>报告编号</w:t>
            </w:r>
            <w:r>
              <w:rPr>
                <w:rFonts w:hint="eastAsia"/>
                <w:bCs/>
                <w:color w:val="000000" w:themeColor="text1"/>
                <w:sz w:val="21"/>
                <w:szCs w:val="21"/>
              </w:rPr>
              <w:t xml:space="preserve">   HL20220121006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34" w:hRule="exact"/>
          <w:jc w:val="center"/>
        </w:trPr>
        <w:tc>
          <w:tcPr>
            <w:tcW w:w="74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7</w:t>
            </w:r>
          </w:p>
        </w:tc>
        <w:tc>
          <w:tcPr>
            <w:tcW w:w="1069"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六价铬</w:t>
            </w:r>
          </w:p>
        </w:tc>
        <w:tc>
          <w:tcPr>
            <w:tcW w:w="126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0.004L</w:t>
            </w:r>
          </w:p>
        </w:tc>
        <w:tc>
          <w:tcPr>
            <w:tcW w:w="2006"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0.05</w:t>
            </w:r>
          </w:p>
        </w:tc>
        <w:tc>
          <w:tcPr>
            <w:tcW w:w="1380"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w:t>
            </w:r>
          </w:p>
        </w:tc>
        <w:tc>
          <w:tcPr>
            <w:tcW w:w="2054"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监测报告编号2021120308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4" w:hRule="exact"/>
          <w:jc w:val="center"/>
        </w:trPr>
        <w:tc>
          <w:tcPr>
            <w:tcW w:w="74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8</w:t>
            </w:r>
          </w:p>
        </w:tc>
        <w:tc>
          <w:tcPr>
            <w:tcW w:w="1069"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铅</w:t>
            </w:r>
          </w:p>
        </w:tc>
        <w:tc>
          <w:tcPr>
            <w:tcW w:w="126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 xml:space="preserve"> 0.01L</w:t>
            </w:r>
          </w:p>
        </w:tc>
        <w:tc>
          <w:tcPr>
            <w:tcW w:w="2006"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0.01</w:t>
            </w:r>
          </w:p>
        </w:tc>
        <w:tc>
          <w:tcPr>
            <w:tcW w:w="1380"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w:t>
            </w:r>
          </w:p>
        </w:tc>
        <w:tc>
          <w:tcPr>
            <w:tcW w:w="2054"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color w:val="000000" w:themeColor="text1"/>
                <w:sz w:val="21"/>
                <w:szCs w:val="21"/>
              </w:rPr>
              <w:t>报告编号</w:t>
            </w:r>
            <w:r>
              <w:rPr>
                <w:rFonts w:hint="eastAsia"/>
                <w:bCs/>
                <w:color w:val="000000" w:themeColor="text1"/>
                <w:sz w:val="21"/>
                <w:szCs w:val="21"/>
              </w:rPr>
              <w:t xml:space="preserve">   HL20220121006</w:t>
            </w:r>
            <w:r>
              <w:rPr>
                <w:rFonts w:hint="eastAsia" w:eastAsiaTheme="minorEastAsia"/>
                <w:bCs/>
                <w:color w:val="000000" w:themeColor="text1"/>
                <w:kern w:val="0"/>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74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9</w:t>
            </w:r>
          </w:p>
        </w:tc>
        <w:tc>
          <w:tcPr>
            <w:tcW w:w="1069"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铁</w:t>
            </w:r>
          </w:p>
        </w:tc>
        <w:tc>
          <w:tcPr>
            <w:tcW w:w="126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0.15</w:t>
            </w:r>
          </w:p>
        </w:tc>
        <w:tc>
          <w:tcPr>
            <w:tcW w:w="2006"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0.3</w:t>
            </w:r>
          </w:p>
        </w:tc>
        <w:tc>
          <w:tcPr>
            <w:tcW w:w="1380"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0.5</w:t>
            </w:r>
          </w:p>
        </w:tc>
        <w:tc>
          <w:tcPr>
            <w:tcW w:w="2054" w:type="dxa"/>
            <w:vMerge w:val="restart"/>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监测报告编号2021120308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74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10</w:t>
            </w:r>
          </w:p>
        </w:tc>
        <w:tc>
          <w:tcPr>
            <w:tcW w:w="1069"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锰</w:t>
            </w:r>
          </w:p>
        </w:tc>
        <w:tc>
          <w:tcPr>
            <w:tcW w:w="126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0.25</w:t>
            </w:r>
          </w:p>
        </w:tc>
        <w:tc>
          <w:tcPr>
            <w:tcW w:w="2006"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0.1</w:t>
            </w:r>
          </w:p>
        </w:tc>
        <w:tc>
          <w:tcPr>
            <w:tcW w:w="1380"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2.5</w:t>
            </w:r>
          </w:p>
        </w:tc>
        <w:tc>
          <w:tcPr>
            <w:tcW w:w="2054" w:type="dxa"/>
            <w:vMerge w:val="continue"/>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74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11</w:t>
            </w:r>
          </w:p>
        </w:tc>
        <w:tc>
          <w:tcPr>
            <w:tcW w:w="1069"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eastAsiaTheme="minorEastAsia"/>
                <w:bCs/>
                <w:color w:val="000000" w:themeColor="text1"/>
                <w:kern w:val="0"/>
                <w:sz w:val="21"/>
                <w:szCs w:val="21"/>
              </w:rPr>
              <w:t>铝</w:t>
            </w:r>
          </w:p>
        </w:tc>
        <w:tc>
          <w:tcPr>
            <w:tcW w:w="1265"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0.012</w:t>
            </w:r>
          </w:p>
        </w:tc>
        <w:tc>
          <w:tcPr>
            <w:tcW w:w="2006"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0.2</w:t>
            </w:r>
          </w:p>
        </w:tc>
        <w:tc>
          <w:tcPr>
            <w:tcW w:w="1380" w:type="dxa"/>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r>
              <w:rPr>
                <w:rFonts w:hint="eastAsia" w:eastAsiaTheme="minorEastAsia"/>
                <w:bCs/>
                <w:color w:val="000000" w:themeColor="text1"/>
                <w:kern w:val="0"/>
                <w:sz w:val="21"/>
                <w:szCs w:val="21"/>
              </w:rPr>
              <w:t>0.06</w:t>
            </w:r>
          </w:p>
        </w:tc>
        <w:tc>
          <w:tcPr>
            <w:tcW w:w="2054" w:type="dxa"/>
            <w:vMerge w:val="continue"/>
            <w:vAlign w:val="center"/>
          </w:tcPr>
          <w:p>
            <w:pPr>
              <w:kinsoku w:val="0"/>
              <w:overflowPunct w:val="0"/>
              <w:autoSpaceDE w:val="0"/>
              <w:autoSpaceDN w:val="0"/>
              <w:adjustRightInd w:val="0"/>
              <w:snapToGrid w:val="0"/>
              <w:spacing w:line="240" w:lineRule="auto"/>
              <w:ind w:firstLine="0" w:firstLineChars="0"/>
              <w:jc w:val="center"/>
              <w:textAlignment w:val="baseline"/>
              <w:outlineLvl w:val="3"/>
              <w:rPr>
                <w:rFonts w:eastAsiaTheme="minorEastAsia"/>
                <w:bCs/>
                <w:color w:val="000000" w:themeColor="text1"/>
                <w:kern w:val="0"/>
                <w:sz w:val="21"/>
                <w:szCs w:val="21"/>
              </w:rPr>
            </w:pPr>
          </w:p>
        </w:tc>
      </w:tr>
    </w:tbl>
    <w:p>
      <w:pPr>
        <w:widowControl/>
        <w:ind w:firstLine="480"/>
        <w:rPr>
          <w:color w:val="000000" w:themeColor="text1"/>
        </w:rPr>
      </w:pPr>
      <w:r>
        <w:rPr>
          <w:rFonts w:hint="eastAsia" w:ascii="宋体" w:hAnsi="宋体" w:cs="宋体"/>
          <w:color w:val="000000" w:themeColor="text1"/>
          <w:kern w:val="0"/>
          <w:szCs w:val="24"/>
        </w:rPr>
        <w:t>结合类比，选择对地下水环境质量影响负荷（产生浓度与地下水Ⅲ类质量标准之比）相对较高的锰作为本次地下水环境影响评价因子。</w:t>
      </w:r>
    </w:p>
    <w:p>
      <w:pPr>
        <w:widowControl/>
        <w:ind w:firstLine="482"/>
        <w:jc w:val="both"/>
        <w:rPr>
          <w:rFonts w:ascii="宋体" w:hAnsi="宋体" w:cs="宋体"/>
          <w:b/>
          <w:bCs/>
          <w:color w:val="000000" w:themeColor="text1"/>
          <w:kern w:val="0"/>
          <w:szCs w:val="24"/>
        </w:rPr>
      </w:pPr>
      <w:r>
        <w:rPr>
          <w:rFonts w:hint="eastAsia" w:ascii="宋体" w:hAnsi="宋体" w:cs="宋体"/>
          <w:b/>
          <w:bCs/>
          <w:color w:val="000000" w:themeColor="text1"/>
          <w:kern w:val="0"/>
          <w:szCs w:val="24"/>
        </w:rPr>
        <w:t xml:space="preserve">2、预测源强 </w:t>
      </w:r>
    </w:p>
    <w:p>
      <w:pPr>
        <w:widowControl/>
        <w:ind w:firstLine="480"/>
        <w:jc w:val="both"/>
        <w:rPr>
          <w:color w:val="000000" w:themeColor="text1"/>
        </w:rPr>
      </w:pPr>
      <w:r>
        <w:rPr>
          <w:rFonts w:hint="eastAsia" w:ascii="宋体" w:hAnsi="宋体" w:cs="宋体"/>
          <w:color w:val="000000" w:themeColor="text1"/>
          <w:kern w:val="0"/>
          <w:szCs w:val="24"/>
        </w:rPr>
        <w:t>本项目地下水影响主要考虑的因素为尾矿沉淀池防渗层破损导致的渗漏对地下水可能造成的影响，因此将污染源视为连续稳定释放的点源。通过对污染源强的分析，筛选出具有代表性的污染因子进行正向推算，根据《环境影响评价技术导则 地下水环境》（</w:t>
      </w:r>
      <w:r>
        <w:rPr>
          <w:color w:val="000000" w:themeColor="text1"/>
          <w:kern w:val="0"/>
          <w:szCs w:val="24"/>
        </w:rPr>
        <w:t>HJ610-2016</w:t>
      </w:r>
      <w:r>
        <w:rPr>
          <w:rFonts w:hint="eastAsia" w:ascii="宋体" w:hAnsi="宋体" w:cs="宋体"/>
          <w:color w:val="000000" w:themeColor="text1"/>
          <w:kern w:val="0"/>
          <w:szCs w:val="24"/>
        </w:rPr>
        <w:t xml:space="preserve">）要求，地下水环境影响预测时段应选取可能产生地下水污染的关键时段，至少包括污染发生后 </w:t>
      </w:r>
      <w:r>
        <w:rPr>
          <w:color w:val="000000" w:themeColor="text1"/>
          <w:kern w:val="0"/>
          <w:szCs w:val="24"/>
        </w:rPr>
        <w:t>100d</w:t>
      </w:r>
      <w:r>
        <w:rPr>
          <w:rFonts w:hint="eastAsia" w:ascii="宋体" w:hAnsi="宋体" w:cs="宋体"/>
          <w:color w:val="000000" w:themeColor="text1"/>
          <w:kern w:val="0"/>
          <w:szCs w:val="24"/>
        </w:rPr>
        <w:t>、</w:t>
      </w:r>
      <w:r>
        <w:rPr>
          <w:color w:val="000000" w:themeColor="text1"/>
          <w:kern w:val="0"/>
          <w:szCs w:val="24"/>
        </w:rPr>
        <w:t>1000d</w:t>
      </w:r>
      <w:r>
        <w:rPr>
          <w:rFonts w:hint="eastAsia" w:ascii="宋体" w:hAnsi="宋体" w:cs="宋体"/>
          <w:color w:val="000000" w:themeColor="text1"/>
          <w:kern w:val="0"/>
          <w:szCs w:val="24"/>
        </w:rPr>
        <w:t xml:space="preserve">，服务年限或能反映特征因子迁移规律的其他重要的时间节点。因此模拟预测污染发生后 </w:t>
      </w:r>
      <w:r>
        <w:rPr>
          <w:color w:val="000000" w:themeColor="text1"/>
          <w:kern w:val="0"/>
          <w:szCs w:val="24"/>
        </w:rPr>
        <w:t>100d</w:t>
      </w:r>
      <w:r>
        <w:rPr>
          <w:rFonts w:hint="eastAsia" w:ascii="宋体" w:hAnsi="宋体" w:cs="宋体"/>
          <w:color w:val="000000" w:themeColor="text1"/>
          <w:kern w:val="0"/>
          <w:szCs w:val="24"/>
        </w:rPr>
        <w:t>、</w:t>
      </w:r>
      <w:r>
        <w:rPr>
          <w:color w:val="000000" w:themeColor="text1"/>
          <w:kern w:val="0"/>
          <w:szCs w:val="24"/>
        </w:rPr>
        <w:t>500d、1000d</w:t>
      </w:r>
      <w:r>
        <w:rPr>
          <w:rFonts w:hint="eastAsia" w:ascii="宋体" w:hAnsi="宋体" w:cs="宋体"/>
          <w:color w:val="000000" w:themeColor="text1"/>
          <w:kern w:val="0"/>
          <w:szCs w:val="24"/>
        </w:rPr>
        <w:t>、5</w:t>
      </w:r>
      <w:r>
        <w:rPr>
          <w:color w:val="000000" w:themeColor="text1"/>
          <w:kern w:val="0"/>
          <w:szCs w:val="24"/>
        </w:rPr>
        <w:t xml:space="preserve">000d </w:t>
      </w:r>
      <w:r>
        <w:rPr>
          <w:rFonts w:hint="eastAsia" w:ascii="宋体" w:hAnsi="宋体" w:cs="宋体"/>
          <w:color w:val="000000" w:themeColor="text1"/>
          <w:kern w:val="0"/>
          <w:szCs w:val="24"/>
        </w:rPr>
        <w:t>内地下水中污染物的迁移规律。</w:t>
      </w:r>
    </w:p>
    <w:p>
      <w:pPr>
        <w:ind w:firstLine="482"/>
        <w:rPr>
          <w:rFonts w:eastAsiaTheme="minorEastAsia"/>
          <w:b/>
          <w:bCs/>
          <w:color w:val="000000" w:themeColor="text1"/>
        </w:rPr>
      </w:pPr>
      <w:r>
        <w:rPr>
          <w:rFonts w:hint="eastAsia" w:eastAsiaTheme="minorEastAsia"/>
          <w:b/>
          <w:bCs/>
          <w:color w:val="000000" w:themeColor="text1"/>
        </w:rPr>
        <w:t xml:space="preserve">①预测模型 </w:t>
      </w:r>
    </w:p>
    <w:p>
      <w:pPr>
        <w:widowControl/>
        <w:ind w:firstLine="480"/>
        <w:rPr>
          <w:color w:val="000000" w:themeColor="text1"/>
        </w:rPr>
      </w:pPr>
      <w:r>
        <w:rPr>
          <w:rFonts w:hint="eastAsia" w:ascii="宋体" w:hAnsi="宋体" w:cs="宋体"/>
          <w:color w:val="000000" w:themeColor="text1"/>
          <w:kern w:val="0"/>
          <w:szCs w:val="24"/>
        </w:rPr>
        <w:t>对污染物的厂区潜水环境影响预测采用《环境影响评价技术导则 地下水环境》（</w:t>
      </w:r>
      <w:r>
        <w:rPr>
          <w:color w:val="000000" w:themeColor="text1"/>
          <w:kern w:val="0"/>
          <w:szCs w:val="24"/>
        </w:rPr>
        <w:t>HJ610-2016</w:t>
      </w:r>
      <w:r>
        <w:rPr>
          <w:rFonts w:hint="eastAsia" w:ascii="宋体" w:hAnsi="宋体" w:cs="宋体"/>
          <w:color w:val="000000" w:themeColor="text1"/>
          <w:kern w:val="0"/>
          <w:szCs w:val="24"/>
        </w:rPr>
        <w:t xml:space="preserve">）附录 </w:t>
      </w:r>
      <w:r>
        <w:rPr>
          <w:color w:val="000000" w:themeColor="text1"/>
          <w:kern w:val="0"/>
          <w:szCs w:val="24"/>
        </w:rPr>
        <w:t xml:space="preserve">D </w:t>
      </w:r>
      <w:r>
        <w:rPr>
          <w:rFonts w:hint="eastAsia" w:ascii="宋体" w:hAnsi="宋体" w:cs="宋体"/>
          <w:color w:val="000000" w:themeColor="text1"/>
          <w:kern w:val="0"/>
          <w:szCs w:val="24"/>
        </w:rPr>
        <w:t>推荐的一维稳定流动一维水动力弥散问题，概化条件为一维半无限长多孔介质主体，一端为定浓度边界。其解析解为：</w:t>
      </w:r>
    </w:p>
    <w:p>
      <w:pPr>
        <w:widowControl/>
        <w:ind w:firstLine="480"/>
        <w:rPr>
          <w:rFonts w:ascii="宋体" w:hAnsi="宋体" w:cs="宋体"/>
          <w:color w:val="000000" w:themeColor="text1"/>
          <w:kern w:val="0"/>
          <w:szCs w:val="24"/>
        </w:rPr>
      </w:pPr>
      <w:r>
        <w:rPr>
          <w:color w:val="000000" w:themeColor="text1"/>
          <w:szCs w:val="24"/>
        </w:rPr>
        <w:drawing>
          <wp:inline distT="0" distB="0" distL="0" distR="0">
            <wp:extent cx="3400425" cy="1152525"/>
            <wp:effectExtent l="0" t="0" r="9525" b="952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3400425" cy="1152525"/>
                    </a:xfrm>
                    <a:prstGeom prst="rect">
                      <a:avLst/>
                    </a:prstGeom>
                    <a:noFill/>
                    <a:ln>
                      <a:noFill/>
                    </a:ln>
                  </pic:spPr>
                </pic:pic>
              </a:graphicData>
            </a:graphic>
          </wp:inline>
        </w:drawing>
      </w:r>
    </w:p>
    <w:p>
      <w:pPr>
        <w:widowControl/>
        <w:ind w:firstLine="480"/>
        <w:rPr>
          <w:color w:val="000000" w:themeColor="text1"/>
        </w:rPr>
      </w:pPr>
      <w:r>
        <w:rPr>
          <w:rFonts w:hint="eastAsia" w:ascii="宋体" w:hAnsi="宋体" w:cs="宋体"/>
          <w:color w:val="000000" w:themeColor="text1"/>
          <w:kern w:val="0"/>
          <w:szCs w:val="24"/>
        </w:rPr>
        <w:t>式中：</w:t>
      </w:r>
      <w:r>
        <w:rPr>
          <w:color w:val="000000" w:themeColor="text1"/>
          <w:kern w:val="0"/>
          <w:szCs w:val="24"/>
        </w:rPr>
        <w:t>x—</w:t>
      </w:r>
      <w:r>
        <w:rPr>
          <w:rFonts w:hint="eastAsia" w:ascii="宋体" w:hAnsi="宋体" w:cs="宋体"/>
          <w:color w:val="000000" w:themeColor="text1"/>
          <w:kern w:val="0"/>
          <w:szCs w:val="24"/>
        </w:rPr>
        <w:t>预测点距污染源强的距离，</w:t>
      </w:r>
      <w:r>
        <w:rPr>
          <w:color w:val="000000" w:themeColor="text1"/>
          <w:kern w:val="0"/>
          <w:szCs w:val="24"/>
        </w:rPr>
        <w:t>m</w:t>
      </w:r>
      <w:r>
        <w:rPr>
          <w:rFonts w:hint="eastAsia" w:ascii="宋体" w:hAnsi="宋体" w:cs="宋体"/>
          <w:color w:val="000000" w:themeColor="text1"/>
          <w:kern w:val="0"/>
          <w:szCs w:val="24"/>
        </w:rPr>
        <w:t xml:space="preserve">； </w:t>
      </w:r>
    </w:p>
    <w:p>
      <w:pPr>
        <w:widowControl/>
        <w:ind w:firstLine="480"/>
        <w:rPr>
          <w:color w:val="000000" w:themeColor="text1"/>
        </w:rPr>
      </w:pPr>
      <w:r>
        <w:rPr>
          <w:color w:val="000000" w:themeColor="text1"/>
          <w:kern w:val="0"/>
          <w:szCs w:val="24"/>
        </w:rPr>
        <w:t>t—</w:t>
      </w:r>
      <w:r>
        <w:rPr>
          <w:rFonts w:hint="eastAsia" w:ascii="宋体" w:hAnsi="宋体" w:cs="宋体"/>
          <w:color w:val="000000" w:themeColor="text1"/>
          <w:kern w:val="0"/>
          <w:szCs w:val="24"/>
        </w:rPr>
        <w:t>预测时间，</w:t>
      </w:r>
      <w:r>
        <w:rPr>
          <w:color w:val="000000" w:themeColor="text1"/>
          <w:kern w:val="0"/>
          <w:szCs w:val="24"/>
        </w:rPr>
        <w:t>d</w:t>
      </w:r>
      <w:r>
        <w:rPr>
          <w:rFonts w:hint="eastAsia" w:ascii="宋体" w:hAnsi="宋体" w:cs="宋体"/>
          <w:color w:val="000000" w:themeColor="text1"/>
          <w:kern w:val="0"/>
          <w:szCs w:val="24"/>
        </w:rPr>
        <w:t xml:space="preserve">； </w:t>
      </w:r>
    </w:p>
    <w:p>
      <w:pPr>
        <w:widowControl/>
        <w:ind w:firstLine="480"/>
        <w:rPr>
          <w:color w:val="000000" w:themeColor="text1"/>
        </w:rPr>
      </w:pPr>
      <w:r>
        <w:rPr>
          <w:color w:val="000000" w:themeColor="text1"/>
          <w:kern w:val="0"/>
          <w:szCs w:val="24"/>
        </w:rPr>
        <w:t xml:space="preserve">C—t </w:t>
      </w:r>
      <w:r>
        <w:rPr>
          <w:rFonts w:hint="eastAsia" w:ascii="宋体" w:hAnsi="宋体" w:cs="宋体"/>
          <w:color w:val="000000" w:themeColor="text1"/>
          <w:kern w:val="0"/>
          <w:szCs w:val="24"/>
        </w:rPr>
        <w:t xml:space="preserve">时刻 </w:t>
      </w:r>
      <w:r>
        <w:rPr>
          <w:color w:val="000000" w:themeColor="text1"/>
          <w:kern w:val="0"/>
          <w:szCs w:val="24"/>
        </w:rPr>
        <w:t xml:space="preserve">x </w:t>
      </w:r>
      <w:r>
        <w:rPr>
          <w:rFonts w:hint="eastAsia" w:ascii="宋体" w:hAnsi="宋体" w:cs="宋体"/>
          <w:color w:val="000000" w:themeColor="text1"/>
          <w:kern w:val="0"/>
          <w:szCs w:val="24"/>
        </w:rPr>
        <w:t>处的污染物浓度，</w:t>
      </w:r>
      <w:r>
        <w:rPr>
          <w:color w:val="000000" w:themeColor="text1"/>
          <w:kern w:val="0"/>
          <w:szCs w:val="24"/>
        </w:rPr>
        <w:t>mg/L</w:t>
      </w:r>
      <w:r>
        <w:rPr>
          <w:rFonts w:hint="eastAsia" w:ascii="宋体" w:hAnsi="宋体" w:cs="宋体"/>
          <w:color w:val="000000" w:themeColor="text1"/>
          <w:kern w:val="0"/>
          <w:szCs w:val="24"/>
        </w:rPr>
        <w:t xml:space="preserve">； </w:t>
      </w:r>
    </w:p>
    <w:p>
      <w:pPr>
        <w:widowControl/>
        <w:ind w:firstLine="480"/>
        <w:rPr>
          <w:color w:val="000000" w:themeColor="text1"/>
        </w:rPr>
      </w:pPr>
      <w:r>
        <w:rPr>
          <w:color w:val="000000" w:themeColor="text1"/>
          <w:kern w:val="0"/>
          <w:szCs w:val="24"/>
        </w:rPr>
        <w:t>C</w:t>
      </w:r>
      <w:r>
        <w:rPr>
          <w:color w:val="000000" w:themeColor="text1"/>
          <w:kern w:val="0"/>
          <w:sz w:val="15"/>
          <w:szCs w:val="15"/>
        </w:rPr>
        <w:t>0</w:t>
      </w:r>
      <w:r>
        <w:rPr>
          <w:color w:val="000000" w:themeColor="text1"/>
          <w:kern w:val="0"/>
          <w:szCs w:val="24"/>
        </w:rPr>
        <w:t>—</w:t>
      </w:r>
      <w:r>
        <w:rPr>
          <w:rFonts w:hint="eastAsia" w:ascii="宋体" w:hAnsi="宋体" w:cs="宋体"/>
          <w:color w:val="000000" w:themeColor="text1"/>
          <w:kern w:val="0"/>
          <w:szCs w:val="24"/>
        </w:rPr>
        <w:t>地下水污染源强浓度，</w:t>
      </w:r>
      <w:r>
        <w:rPr>
          <w:color w:val="000000" w:themeColor="text1"/>
          <w:kern w:val="0"/>
          <w:szCs w:val="24"/>
        </w:rPr>
        <w:t>mg/L</w:t>
      </w:r>
      <w:r>
        <w:rPr>
          <w:rFonts w:hint="eastAsia"/>
          <w:color w:val="000000" w:themeColor="text1"/>
          <w:kern w:val="0"/>
          <w:szCs w:val="24"/>
        </w:rPr>
        <w:t>；</w:t>
      </w:r>
      <w:r>
        <w:rPr>
          <w:color w:val="000000" w:themeColor="text1"/>
          <w:kern w:val="0"/>
          <w:szCs w:val="24"/>
        </w:rPr>
        <w:t xml:space="preserve"> </w:t>
      </w:r>
    </w:p>
    <w:p>
      <w:pPr>
        <w:widowControl/>
        <w:ind w:firstLine="480"/>
        <w:rPr>
          <w:color w:val="000000" w:themeColor="text1"/>
        </w:rPr>
      </w:pPr>
      <w:r>
        <w:rPr>
          <w:color w:val="000000" w:themeColor="text1"/>
          <w:kern w:val="0"/>
          <w:szCs w:val="24"/>
        </w:rPr>
        <w:t>u—</w:t>
      </w:r>
      <w:r>
        <w:rPr>
          <w:rFonts w:hint="eastAsia" w:ascii="宋体" w:hAnsi="宋体" w:cs="宋体"/>
          <w:color w:val="000000" w:themeColor="text1"/>
          <w:kern w:val="0"/>
          <w:szCs w:val="24"/>
        </w:rPr>
        <w:t>水流速度，</w:t>
      </w:r>
      <w:r>
        <w:rPr>
          <w:color w:val="000000" w:themeColor="text1"/>
          <w:kern w:val="0"/>
          <w:szCs w:val="24"/>
        </w:rPr>
        <w:t>m/d</w:t>
      </w:r>
      <w:r>
        <w:rPr>
          <w:rFonts w:hint="eastAsia" w:ascii="宋体" w:hAnsi="宋体" w:cs="宋体"/>
          <w:color w:val="000000" w:themeColor="text1"/>
          <w:kern w:val="0"/>
          <w:szCs w:val="24"/>
        </w:rPr>
        <w:t xml:space="preserve">； </w:t>
      </w:r>
    </w:p>
    <w:p>
      <w:pPr>
        <w:widowControl/>
        <w:ind w:firstLine="480"/>
        <w:rPr>
          <w:color w:val="000000" w:themeColor="text1"/>
        </w:rPr>
      </w:pPr>
      <w:r>
        <w:rPr>
          <w:color w:val="000000" w:themeColor="text1"/>
          <w:kern w:val="0"/>
          <w:szCs w:val="24"/>
        </w:rPr>
        <w:t>D</w:t>
      </w:r>
      <w:r>
        <w:rPr>
          <w:color w:val="000000" w:themeColor="text1"/>
          <w:kern w:val="0"/>
          <w:sz w:val="15"/>
          <w:szCs w:val="15"/>
        </w:rPr>
        <w:t>L</w:t>
      </w:r>
      <w:r>
        <w:rPr>
          <w:color w:val="000000" w:themeColor="text1"/>
          <w:kern w:val="0"/>
          <w:szCs w:val="24"/>
        </w:rPr>
        <w:t>—</w:t>
      </w:r>
      <w:r>
        <w:rPr>
          <w:rFonts w:hint="eastAsia" w:ascii="宋体" w:hAnsi="宋体" w:cs="宋体"/>
          <w:color w:val="000000" w:themeColor="text1"/>
          <w:kern w:val="0"/>
          <w:szCs w:val="24"/>
        </w:rPr>
        <w:t>纵向弥撒系数，</w:t>
      </w:r>
      <w:r>
        <w:rPr>
          <w:color w:val="000000" w:themeColor="text1"/>
          <w:kern w:val="0"/>
          <w:szCs w:val="24"/>
        </w:rPr>
        <w:t>m</w:t>
      </w:r>
      <w:r>
        <w:rPr>
          <w:rFonts w:hint="eastAsia"/>
          <w:color w:val="000000" w:themeColor="text1"/>
          <w:kern w:val="0"/>
          <w:szCs w:val="24"/>
          <w:vertAlign w:val="superscript"/>
        </w:rPr>
        <w:t>2</w:t>
      </w:r>
      <w:r>
        <w:rPr>
          <w:color w:val="000000" w:themeColor="text1"/>
          <w:kern w:val="0"/>
          <w:szCs w:val="24"/>
        </w:rPr>
        <w:t>/d</w:t>
      </w:r>
      <w:r>
        <w:rPr>
          <w:rFonts w:hint="eastAsia"/>
          <w:color w:val="000000" w:themeColor="text1"/>
          <w:kern w:val="0"/>
          <w:szCs w:val="24"/>
        </w:rPr>
        <w:t>；</w:t>
      </w:r>
    </w:p>
    <w:p>
      <w:pPr>
        <w:widowControl/>
        <w:ind w:firstLine="480"/>
        <w:rPr>
          <w:color w:val="000000" w:themeColor="text1"/>
        </w:rPr>
      </w:pPr>
      <w:r>
        <w:rPr>
          <w:color w:val="000000" w:themeColor="text1"/>
          <w:kern w:val="0"/>
          <w:szCs w:val="24"/>
        </w:rPr>
        <w:t>erfc(</w:t>
      </w:r>
      <w:r>
        <w:rPr>
          <w:rFonts w:hint="eastAsia"/>
          <w:color w:val="000000" w:themeColor="text1"/>
          <w:kern w:val="0"/>
          <w:szCs w:val="24"/>
        </w:rPr>
        <w:t xml:space="preserve"> </w:t>
      </w:r>
      <w:r>
        <w:rPr>
          <w:color w:val="000000" w:themeColor="text1"/>
          <w:kern w:val="0"/>
          <w:szCs w:val="24"/>
        </w:rPr>
        <w:t>)—</w:t>
      </w:r>
      <w:r>
        <w:rPr>
          <w:rFonts w:hint="eastAsia" w:ascii="宋体" w:hAnsi="宋体" w:cs="宋体"/>
          <w:color w:val="000000" w:themeColor="text1"/>
          <w:kern w:val="0"/>
          <w:szCs w:val="24"/>
        </w:rPr>
        <w:t>余误差函数。</w:t>
      </w:r>
    </w:p>
    <w:p>
      <w:pPr>
        <w:ind w:firstLine="482"/>
        <w:rPr>
          <w:rFonts w:eastAsiaTheme="minorEastAsia"/>
          <w:b/>
          <w:bCs/>
          <w:color w:val="000000" w:themeColor="text1"/>
        </w:rPr>
      </w:pPr>
      <w:r>
        <w:rPr>
          <w:rFonts w:hint="eastAsia" w:eastAsiaTheme="minorEastAsia"/>
          <w:b/>
          <w:bCs/>
          <w:color w:val="000000" w:themeColor="text1"/>
        </w:rPr>
        <w:t>②参数取值</w:t>
      </w:r>
    </w:p>
    <w:p>
      <w:pPr>
        <w:widowControl/>
        <w:adjustRightInd w:val="0"/>
        <w:snapToGrid w:val="0"/>
        <w:ind w:firstLine="480"/>
        <w:rPr>
          <w:color w:val="000000" w:themeColor="text1"/>
          <w:szCs w:val="24"/>
        </w:rPr>
      </w:pPr>
      <w:r>
        <w:rPr>
          <w:rFonts w:hint="eastAsia"/>
          <w:color w:val="000000" w:themeColor="text1"/>
          <w:szCs w:val="24"/>
        </w:rPr>
        <w:t>A.</w:t>
      </w:r>
      <w:r>
        <w:rPr>
          <w:color w:val="000000" w:themeColor="text1"/>
          <w:szCs w:val="24"/>
        </w:rPr>
        <w:t>渗透系数K：根据《水文地质学基础》（王大纯等主编，地质出版社）中渗透系数经验值</w:t>
      </w:r>
      <w:r>
        <w:rPr>
          <w:rFonts w:hint="eastAsia"/>
          <w:color w:val="000000" w:themeColor="text1"/>
          <w:szCs w:val="24"/>
        </w:rPr>
        <w:t>，本项目距离大红山矿群较近，结合</w:t>
      </w:r>
      <w:r>
        <w:rPr>
          <w:rFonts w:eastAsiaTheme="minorEastAsia"/>
          <w:color w:val="000000" w:themeColor="text1"/>
        </w:rPr>
        <w:t>玉溪矿业有限公司大红山铜矿东部矿段详细勘察K=0.0011~0.0302m/d，</w:t>
      </w:r>
      <w:r>
        <w:rPr>
          <w:rFonts w:hint="eastAsia" w:eastAsiaTheme="minorEastAsia"/>
          <w:color w:val="000000" w:themeColor="text1"/>
        </w:rPr>
        <w:t>K以</w:t>
      </w:r>
      <w:r>
        <w:rPr>
          <w:rFonts w:eastAsiaTheme="minorEastAsia"/>
          <w:color w:val="000000" w:themeColor="text1"/>
        </w:rPr>
        <w:t>0.0302m/d</w:t>
      </w:r>
      <w:r>
        <w:rPr>
          <w:rFonts w:hint="eastAsia" w:eastAsiaTheme="minorEastAsia"/>
          <w:color w:val="000000" w:themeColor="text1"/>
        </w:rPr>
        <w:t>计。</w:t>
      </w:r>
    </w:p>
    <w:p>
      <w:pPr>
        <w:ind w:firstLine="480"/>
        <w:rPr>
          <w:color w:val="000000" w:themeColor="text1"/>
          <w:szCs w:val="24"/>
        </w:rPr>
      </w:pPr>
      <w:r>
        <w:rPr>
          <w:rFonts w:hint="eastAsia"/>
          <w:color w:val="000000" w:themeColor="text1"/>
          <w:szCs w:val="24"/>
        </w:rPr>
        <w:t>B.</w:t>
      </w:r>
      <w:r>
        <w:rPr>
          <w:color w:val="000000" w:themeColor="text1"/>
          <w:szCs w:val="24"/>
        </w:rPr>
        <w:t>有效孔隙度n：根据《环境影响评价技术方法》（环境保护部环境工程评估中心编），本次预测评价中取n=0.9；</w:t>
      </w:r>
    </w:p>
    <w:p>
      <w:pPr>
        <w:ind w:firstLine="480"/>
        <w:rPr>
          <w:color w:val="000000" w:themeColor="text1"/>
          <w:szCs w:val="24"/>
        </w:rPr>
      </w:pPr>
      <w:r>
        <w:rPr>
          <w:rFonts w:hint="eastAsia"/>
          <w:color w:val="000000" w:themeColor="text1"/>
          <w:szCs w:val="24"/>
        </w:rPr>
        <w:t>C.</w:t>
      </w:r>
      <w:r>
        <w:rPr>
          <w:color w:val="000000" w:themeColor="text1"/>
          <w:szCs w:val="24"/>
        </w:rPr>
        <w:t>地下水水力坡度I：地下水水力坡度为0.0</w:t>
      </w:r>
      <w:r>
        <w:rPr>
          <w:rFonts w:hint="eastAsia"/>
          <w:color w:val="000000" w:themeColor="text1"/>
          <w:szCs w:val="24"/>
        </w:rPr>
        <w:t>2</w:t>
      </w:r>
      <w:r>
        <w:rPr>
          <w:color w:val="000000" w:themeColor="text1"/>
          <w:szCs w:val="24"/>
        </w:rPr>
        <w:t>；</w:t>
      </w:r>
    </w:p>
    <w:p>
      <w:pPr>
        <w:widowControl/>
        <w:ind w:firstLine="480"/>
        <w:rPr>
          <w:color w:val="000000" w:themeColor="text1"/>
          <w:szCs w:val="24"/>
        </w:rPr>
      </w:pPr>
      <w:r>
        <w:rPr>
          <w:rFonts w:hint="eastAsia" w:ascii="宋体" w:hAnsi="宋体" w:cs="宋体"/>
          <w:color w:val="000000" w:themeColor="text1"/>
          <w:kern w:val="0"/>
          <w:szCs w:val="24"/>
        </w:rPr>
        <w:t xml:space="preserve">D.区域的土壤孔隙度平均值为 </w:t>
      </w:r>
      <w:r>
        <w:rPr>
          <w:color w:val="000000" w:themeColor="text1"/>
          <w:kern w:val="0"/>
          <w:szCs w:val="24"/>
        </w:rPr>
        <w:t>0.</w:t>
      </w:r>
      <w:r>
        <w:rPr>
          <w:rFonts w:hint="eastAsia"/>
          <w:color w:val="000000" w:themeColor="text1"/>
          <w:kern w:val="0"/>
          <w:szCs w:val="24"/>
        </w:rPr>
        <w:t>5</w:t>
      </w:r>
      <w:r>
        <w:rPr>
          <w:rFonts w:hint="eastAsia" w:ascii="宋体" w:hAnsi="宋体" w:cs="宋体"/>
          <w:color w:val="000000" w:themeColor="text1"/>
          <w:kern w:val="0"/>
          <w:szCs w:val="24"/>
        </w:rPr>
        <w:t>。</w:t>
      </w:r>
    </w:p>
    <w:p>
      <w:pPr>
        <w:ind w:firstLine="480"/>
        <w:rPr>
          <w:color w:val="000000" w:themeColor="text1"/>
          <w:szCs w:val="24"/>
        </w:rPr>
      </w:pPr>
      <w:r>
        <w:rPr>
          <w:rFonts w:hint="eastAsia"/>
          <w:color w:val="000000" w:themeColor="text1"/>
          <w:szCs w:val="24"/>
        </w:rPr>
        <w:t>E.弥散度的确定：</w:t>
      </w:r>
    </w:p>
    <w:p>
      <w:pPr>
        <w:widowControl/>
        <w:ind w:firstLine="480"/>
        <w:rPr>
          <w:b/>
          <w:bCs/>
          <w:color w:val="000000" w:themeColor="text1"/>
          <w:sz w:val="21"/>
          <w:szCs w:val="21"/>
        </w:rPr>
      </w:pPr>
      <w:r>
        <w:rPr>
          <w:rFonts w:hint="eastAsia" w:ascii="宋体" w:hAnsi="宋体" w:cs="宋体"/>
          <w:color w:val="000000" w:themeColor="text1"/>
          <w:kern w:val="0"/>
          <w:szCs w:val="24"/>
        </w:rPr>
        <w:t>含水层弥散度类比取值见下表：</w:t>
      </w:r>
    </w:p>
    <w:p>
      <w:pPr>
        <w:ind w:firstLine="0" w:firstLineChars="0"/>
        <w:jc w:val="center"/>
        <w:rPr>
          <w:b/>
          <w:bCs/>
          <w:color w:val="000000" w:themeColor="text1"/>
          <w:sz w:val="21"/>
          <w:szCs w:val="21"/>
        </w:rPr>
      </w:pPr>
      <w:r>
        <w:rPr>
          <w:rFonts w:hint="eastAsia"/>
          <w:b/>
          <w:bCs/>
          <w:color w:val="000000" w:themeColor="text1"/>
          <w:sz w:val="21"/>
          <w:szCs w:val="21"/>
        </w:rPr>
        <w:t>表6.2-36含水层弥散度类比取值表</w:t>
      </w:r>
    </w:p>
    <w:tbl>
      <w:tblPr>
        <w:tblStyle w:val="62"/>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粒径变化范围（mm）</w:t>
            </w:r>
          </w:p>
        </w:tc>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均匀系数</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指数（m）</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弥散度a（m）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0.4~0.7</w:t>
            </w:r>
          </w:p>
        </w:tc>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1.55</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1.09</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0.5~1.5</w:t>
            </w:r>
          </w:p>
        </w:tc>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1.85</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1.1</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5.78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1~2</w:t>
            </w:r>
          </w:p>
        </w:tc>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1.6</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1.1</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2~3</w:t>
            </w:r>
          </w:p>
        </w:tc>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1.3</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1.09</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5~7</w:t>
            </w:r>
          </w:p>
        </w:tc>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1.3</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1.09</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0.5~2</w:t>
            </w:r>
          </w:p>
        </w:tc>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1.08</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0.2~5</w:t>
            </w:r>
          </w:p>
        </w:tc>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5</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1.08</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3.11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0.1~10</w:t>
            </w:r>
          </w:p>
        </w:tc>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1.07</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0.05~20</w:t>
            </w:r>
          </w:p>
        </w:tc>
        <w:tc>
          <w:tcPr>
            <w:tcW w:w="2130"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20</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1.07</w:t>
            </w:r>
          </w:p>
        </w:tc>
        <w:tc>
          <w:tcPr>
            <w:tcW w:w="2131"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70.7</w:t>
            </w:r>
          </w:p>
        </w:tc>
      </w:tr>
    </w:tbl>
    <w:p>
      <w:pPr>
        <w:ind w:firstLine="480"/>
        <w:rPr>
          <w:color w:val="000000" w:themeColor="text1"/>
          <w:szCs w:val="24"/>
        </w:rPr>
      </w:pPr>
      <w:r>
        <w:rPr>
          <w:rFonts w:hint="eastAsia"/>
          <w:color w:val="000000" w:themeColor="text1"/>
          <w:szCs w:val="24"/>
        </w:rPr>
        <w:t>计算参数：</w:t>
      </w:r>
    </w:p>
    <w:p>
      <w:pPr>
        <w:widowControl/>
        <w:ind w:firstLine="480"/>
        <w:rPr>
          <w:color w:val="000000" w:themeColor="text1"/>
          <w:szCs w:val="24"/>
        </w:rPr>
      </w:pPr>
      <w:r>
        <w:rPr>
          <w:rFonts w:hint="eastAsia" w:ascii="宋体" w:hAnsi="宋体" w:cs="宋体"/>
          <w:color w:val="000000" w:themeColor="text1"/>
          <w:kern w:val="0"/>
          <w:szCs w:val="24"/>
        </w:rPr>
        <w:t xml:space="preserve">地下水实际流速和弥散系数的确定按下列方法取得： </w:t>
      </w:r>
    </w:p>
    <w:p>
      <w:pPr>
        <w:ind w:firstLine="480"/>
        <w:jc w:val="center"/>
        <w:rPr>
          <w:color w:val="000000" w:themeColor="text1"/>
          <w:szCs w:val="24"/>
        </w:rPr>
      </w:pPr>
      <w:r>
        <w:rPr>
          <w:color w:val="000000" w:themeColor="text1"/>
        </w:rPr>
        <w:drawing>
          <wp:inline distT="0" distB="0" distL="114300" distR="114300">
            <wp:extent cx="1247775" cy="1104900"/>
            <wp:effectExtent l="0" t="0" r="952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03" cstate="print"/>
                    <a:stretch>
                      <a:fillRect/>
                    </a:stretch>
                  </pic:blipFill>
                  <pic:spPr>
                    <a:xfrm>
                      <a:off x="0" y="0"/>
                      <a:ext cx="1247775" cy="1104900"/>
                    </a:xfrm>
                    <a:prstGeom prst="rect">
                      <a:avLst/>
                    </a:prstGeom>
                    <a:noFill/>
                    <a:ln>
                      <a:noFill/>
                    </a:ln>
                  </pic:spPr>
                </pic:pic>
              </a:graphicData>
            </a:graphic>
          </wp:inline>
        </w:drawing>
      </w:r>
    </w:p>
    <w:p>
      <w:pPr>
        <w:widowControl/>
        <w:ind w:firstLine="480"/>
        <w:rPr>
          <w:color w:val="000000" w:themeColor="text1"/>
        </w:rPr>
      </w:pPr>
      <w:r>
        <w:rPr>
          <w:rFonts w:hint="eastAsia" w:ascii="宋体" w:hAnsi="宋体" w:cs="宋体"/>
          <w:color w:val="000000" w:themeColor="text1"/>
          <w:kern w:val="0"/>
          <w:szCs w:val="24"/>
        </w:rPr>
        <w:t>其中：</w:t>
      </w:r>
      <w:r>
        <w:rPr>
          <w:color w:val="000000" w:themeColor="text1"/>
          <w:kern w:val="0"/>
          <w:szCs w:val="24"/>
        </w:rPr>
        <w:t>U—</w:t>
      </w:r>
      <w:r>
        <w:rPr>
          <w:rFonts w:hint="eastAsia" w:ascii="宋体" w:hAnsi="宋体" w:cs="宋体"/>
          <w:color w:val="000000" w:themeColor="text1"/>
          <w:kern w:val="0"/>
          <w:szCs w:val="24"/>
        </w:rPr>
        <w:t>地下水实际流速，</w:t>
      </w:r>
      <w:r>
        <w:rPr>
          <w:color w:val="000000" w:themeColor="text1"/>
          <w:kern w:val="0"/>
          <w:szCs w:val="24"/>
        </w:rPr>
        <w:t>m/d</w:t>
      </w:r>
      <w:r>
        <w:rPr>
          <w:rFonts w:hint="eastAsia" w:ascii="宋体" w:hAnsi="宋体" w:cs="宋体"/>
          <w:color w:val="000000" w:themeColor="text1"/>
          <w:kern w:val="0"/>
          <w:szCs w:val="24"/>
        </w:rPr>
        <w:t xml:space="preserve">； </w:t>
      </w:r>
    </w:p>
    <w:p>
      <w:pPr>
        <w:widowControl/>
        <w:ind w:firstLine="480"/>
        <w:rPr>
          <w:color w:val="000000" w:themeColor="text1"/>
        </w:rPr>
      </w:pPr>
      <w:r>
        <w:rPr>
          <w:color w:val="000000" w:themeColor="text1"/>
          <w:kern w:val="0"/>
          <w:szCs w:val="24"/>
        </w:rPr>
        <w:t>K—</w:t>
      </w:r>
      <w:r>
        <w:rPr>
          <w:rFonts w:hint="eastAsia" w:ascii="宋体" w:hAnsi="宋体" w:cs="宋体"/>
          <w:color w:val="000000" w:themeColor="text1"/>
          <w:kern w:val="0"/>
          <w:szCs w:val="24"/>
        </w:rPr>
        <w:t>渗透系数，</w:t>
      </w:r>
      <w:r>
        <w:rPr>
          <w:color w:val="000000" w:themeColor="text1"/>
          <w:kern w:val="0"/>
          <w:szCs w:val="24"/>
        </w:rPr>
        <w:t xml:space="preserve">m/d </w:t>
      </w:r>
    </w:p>
    <w:p>
      <w:pPr>
        <w:widowControl/>
        <w:ind w:firstLine="480"/>
        <w:rPr>
          <w:color w:val="000000" w:themeColor="text1"/>
        </w:rPr>
      </w:pPr>
      <w:r>
        <w:rPr>
          <w:color w:val="000000" w:themeColor="text1"/>
          <w:kern w:val="0"/>
          <w:szCs w:val="24"/>
        </w:rPr>
        <w:t>I—</w:t>
      </w:r>
      <w:r>
        <w:rPr>
          <w:rFonts w:hint="eastAsia" w:ascii="宋体" w:hAnsi="宋体" w:cs="宋体"/>
          <w:color w:val="000000" w:themeColor="text1"/>
          <w:kern w:val="0"/>
          <w:szCs w:val="24"/>
        </w:rPr>
        <w:t xml:space="preserve">水力坡度； </w:t>
      </w:r>
    </w:p>
    <w:p>
      <w:pPr>
        <w:widowControl/>
        <w:ind w:firstLine="480"/>
        <w:rPr>
          <w:color w:val="000000" w:themeColor="text1"/>
        </w:rPr>
      </w:pPr>
      <w:r>
        <w:rPr>
          <w:color w:val="000000" w:themeColor="text1"/>
          <w:kern w:val="0"/>
          <w:szCs w:val="24"/>
        </w:rPr>
        <w:t>n—</w:t>
      </w:r>
      <w:r>
        <w:rPr>
          <w:rFonts w:hint="eastAsia" w:ascii="宋体" w:hAnsi="宋体" w:cs="宋体"/>
          <w:color w:val="000000" w:themeColor="text1"/>
          <w:kern w:val="0"/>
          <w:szCs w:val="24"/>
        </w:rPr>
        <w:t>孔隙度；</w:t>
      </w:r>
    </w:p>
    <w:p>
      <w:pPr>
        <w:widowControl/>
        <w:ind w:firstLine="480"/>
        <w:rPr>
          <w:color w:val="000000" w:themeColor="text1"/>
        </w:rPr>
      </w:pPr>
      <w:r>
        <w:rPr>
          <w:color w:val="000000" w:themeColor="text1"/>
          <w:kern w:val="0"/>
          <w:szCs w:val="24"/>
        </w:rPr>
        <w:t>m—</w:t>
      </w:r>
      <w:r>
        <w:rPr>
          <w:rFonts w:hint="eastAsia" w:ascii="宋体" w:hAnsi="宋体" w:cs="宋体"/>
          <w:color w:val="000000" w:themeColor="text1"/>
          <w:kern w:val="0"/>
          <w:szCs w:val="24"/>
        </w:rPr>
        <w:t xml:space="preserve">指数； </w:t>
      </w:r>
    </w:p>
    <w:p>
      <w:pPr>
        <w:widowControl/>
        <w:ind w:firstLine="480"/>
        <w:rPr>
          <w:color w:val="000000" w:themeColor="text1"/>
        </w:rPr>
      </w:pPr>
      <w:r>
        <w:rPr>
          <w:color w:val="000000" w:themeColor="text1"/>
          <w:kern w:val="0"/>
          <w:szCs w:val="24"/>
        </w:rPr>
        <w:t>D</w:t>
      </w:r>
      <w:r>
        <w:rPr>
          <w:color w:val="000000" w:themeColor="text1"/>
          <w:kern w:val="0"/>
          <w:sz w:val="15"/>
          <w:szCs w:val="15"/>
        </w:rPr>
        <w:t>L</w:t>
      </w:r>
      <w:r>
        <w:rPr>
          <w:color w:val="000000" w:themeColor="text1"/>
          <w:kern w:val="0"/>
          <w:szCs w:val="24"/>
        </w:rPr>
        <w:t>—</w:t>
      </w:r>
      <w:r>
        <w:rPr>
          <w:rFonts w:hint="eastAsia" w:ascii="宋体" w:hAnsi="宋体" w:cs="宋体"/>
          <w:color w:val="000000" w:themeColor="text1"/>
          <w:kern w:val="0"/>
          <w:szCs w:val="24"/>
        </w:rPr>
        <w:t>纵向弥撒系数，</w:t>
      </w:r>
      <w:r>
        <w:rPr>
          <w:color w:val="000000" w:themeColor="text1"/>
          <w:kern w:val="0"/>
          <w:szCs w:val="24"/>
        </w:rPr>
        <w:t>m</w:t>
      </w:r>
      <w:r>
        <w:rPr>
          <w:rFonts w:hint="eastAsia"/>
          <w:color w:val="000000" w:themeColor="text1"/>
          <w:kern w:val="0"/>
          <w:szCs w:val="24"/>
          <w:vertAlign w:val="superscript"/>
        </w:rPr>
        <w:t>2</w:t>
      </w:r>
      <w:r>
        <w:rPr>
          <w:color w:val="000000" w:themeColor="text1"/>
          <w:kern w:val="0"/>
          <w:szCs w:val="24"/>
        </w:rPr>
        <w:t>/d</w:t>
      </w:r>
      <w:r>
        <w:rPr>
          <w:rFonts w:hint="eastAsia" w:ascii="宋体" w:hAnsi="宋体" w:cs="宋体"/>
          <w:color w:val="000000" w:themeColor="text1"/>
          <w:kern w:val="0"/>
          <w:szCs w:val="24"/>
        </w:rPr>
        <w:t xml:space="preserve">； </w:t>
      </w:r>
    </w:p>
    <w:p>
      <w:pPr>
        <w:widowControl/>
        <w:ind w:firstLine="480"/>
        <w:rPr>
          <w:color w:val="000000" w:themeColor="text1"/>
        </w:rPr>
      </w:pPr>
      <w:r>
        <w:rPr>
          <w:color w:val="000000" w:themeColor="text1"/>
          <w:kern w:val="0"/>
          <w:szCs w:val="24"/>
        </w:rPr>
        <w:t>D</w:t>
      </w:r>
      <w:r>
        <w:rPr>
          <w:color w:val="000000" w:themeColor="text1"/>
          <w:kern w:val="0"/>
          <w:sz w:val="15"/>
          <w:szCs w:val="15"/>
        </w:rPr>
        <w:t>T</w:t>
      </w:r>
      <w:r>
        <w:rPr>
          <w:color w:val="000000" w:themeColor="text1"/>
          <w:kern w:val="0"/>
          <w:szCs w:val="24"/>
        </w:rPr>
        <w:t>—</w:t>
      </w:r>
      <w:r>
        <w:rPr>
          <w:rFonts w:hint="eastAsia"/>
          <w:color w:val="000000" w:themeColor="text1"/>
          <w:kern w:val="0"/>
          <w:szCs w:val="24"/>
        </w:rPr>
        <w:t>横</w:t>
      </w:r>
      <w:r>
        <w:rPr>
          <w:rFonts w:hint="eastAsia" w:ascii="宋体" w:hAnsi="宋体" w:cs="宋体"/>
          <w:color w:val="000000" w:themeColor="text1"/>
          <w:kern w:val="0"/>
          <w:szCs w:val="24"/>
        </w:rPr>
        <w:t>向弥撒系数，</w:t>
      </w:r>
      <w:r>
        <w:rPr>
          <w:color w:val="000000" w:themeColor="text1"/>
          <w:kern w:val="0"/>
          <w:szCs w:val="24"/>
        </w:rPr>
        <w:t>m</w:t>
      </w:r>
      <w:r>
        <w:rPr>
          <w:rFonts w:hint="eastAsia"/>
          <w:color w:val="000000" w:themeColor="text1"/>
          <w:kern w:val="0"/>
          <w:szCs w:val="24"/>
          <w:vertAlign w:val="superscript"/>
        </w:rPr>
        <w:t>2</w:t>
      </w:r>
      <w:r>
        <w:rPr>
          <w:color w:val="000000" w:themeColor="text1"/>
          <w:kern w:val="0"/>
          <w:szCs w:val="24"/>
        </w:rPr>
        <w:t>/d</w:t>
      </w:r>
      <w:r>
        <w:rPr>
          <w:rFonts w:hint="eastAsia" w:ascii="宋体" w:hAnsi="宋体" w:cs="宋体"/>
          <w:color w:val="000000" w:themeColor="text1"/>
          <w:kern w:val="0"/>
          <w:szCs w:val="24"/>
        </w:rPr>
        <w:t xml:space="preserve">； </w:t>
      </w:r>
    </w:p>
    <w:p>
      <w:pPr>
        <w:widowControl/>
        <w:ind w:firstLine="560"/>
        <w:rPr>
          <w:color w:val="000000" w:themeColor="text1"/>
        </w:rPr>
      </w:pPr>
      <w:r>
        <w:rPr>
          <w:color w:val="000000" w:themeColor="text1"/>
          <w:kern w:val="0"/>
          <w:sz w:val="28"/>
          <w:szCs w:val="28"/>
        </w:rPr>
        <w:t>a</w:t>
      </w:r>
      <w:r>
        <w:rPr>
          <w:color w:val="000000" w:themeColor="text1"/>
          <w:kern w:val="0"/>
          <w:sz w:val="13"/>
          <w:szCs w:val="13"/>
        </w:rPr>
        <w:t>L</w:t>
      </w:r>
      <w:r>
        <w:rPr>
          <w:color w:val="000000" w:themeColor="text1"/>
          <w:kern w:val="0"/>
          <w:szCs w:val="24"/>
        </w:rPr>
        <w:t>—</w:t>
      </w:r>
      <w:r>
        <w:rPr>
          <w:rFonts w:hint="eastAsia" w:ascii="宋体" w:hAnsi="宋体" w:cs="宋体"/>
          <w:color w:val="000000" w:themeColor="text1"/>
          <w:kern w:val="0"/>
          <w:szCs w:val="24"/>
        </w:rPr>
        <w:t xml:space="preserve">纵向弥撒度； </w:t>
      </w:r>
    </w:p>
    <w:p>
      <w:pPr>
        <w:widowControl/>
        <w:ind w:firstLine="560"/>
        <w:rPr>
          <w:color w:val="000000" w:themeColor="text1"/>
        </w:rPr>
      </w:pPr>
      <w:r>
        <w:rPr>
          <w:color w:val="000000" w:themeColor="text1"/>
          <w:kern w:val="0"/>
          <w:sz w:val="28"/>
          <w:szCs w:val="28"/>
        </w:rPr>
        <w:t>a</w:t>
      </w:r>
      <w:r>
        <w:rPr>
          <w:color w:val="000000" w:themeColor="text1"/>
          <w:kern w:val="0"/>
          <w:sz w:val="13"/>
          <w:szCs w:val="13"/>
        </w:rPr>
        <w:t>T</w:t>
      </w:r>
      <w:r>
        <w:rPr>
          <w:color w:val="000000" w:themeColor="text1"/>
          <w:kern w:val="0"/>
          <w:szCs w:val="24"/>
        </w:rPr>
        <w:t>—</w:t>
      </w:r>
      <w:r>
        <w:rPr>
          <w:rFonts w:hint="eastAsia" w:ascii="宋体" w:hAnsi="宋体" w:cs="宋体"/>
          <w:color w:val="000000" w:themeColor="text1"/>
          <w:kern w:val="0"/>
          <w:szCs w:val="24"/>
        </w:rPr>
        <w:t>横向弥撒度；</w:t>
      </w:r>
    </w:p>
    <w:p>
      <w:pPr>
        <w:ind w:firstLine="480"/>
        <w:rPr>
          <w:b/>
          <w:bCs/>
          <w:color w:val="000000" w:themeColor="text1"/>
          <w:sz w:val="21"/>
          <w:szCs w:val="21"/>
        </w:rPr>
      </w:pPr>
      <w:r>
        <w:rPr>
          <w:rFonts w:hint="eastAsia"/>
          <w:color w:val="000000" w:themeColor="text1"/>
          <w:szCs w:val="24"/>
        </w:rPr>
        <w:t>计算结果见下表所示：</w:t>
      </w:r>
    </w:p>
    <w:p>
      <w:pPr>
        <w:ind w:firstLine="422"/>
        <w:jc w:val="center"/>
        <w:rPr>
          <w:b/>
          <w:bCs/>
          <w:color w:val="000000" w:themeColor="text1"/>
          <w:sz w:val="21"/>
          <w:szCs w:val="21"/>
        </w:rPr>
      </w:pPr>
      <w:r>
        <w:rPr>
          <w:rFonts w:hint="eastAsia"/>
          <w:b/>
          <w:bCs/>
          <w:color w:val="000000" w:themeColor="text1"/>
          <w:sz w:val="21"/>
          <w:szCs w:val="21"/>
        </w:rPr>
        <w:t>表6.2-37计算参数一览表</w:t>
      </w:r>
    </w:p>
    <w:tbl>
      <w:tblPr>
        <w:tblStyle w:val="6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水流速度U（m/d）</w:t>
            </w:r>
          </w:p>
        </w:tc>
        <w:tc>
          <w:tcPr>
            <w:tcW w:w="4261" w:type="dxa"/>
          </w:tcPr>
          <w:p>
            <w:pPr>
              <w:pStyle w:val="78"/>
              <w:spacing w:line="240" w:lineRule="auto"/>
              <w:ind w:firstLine="0" w:firstLineChars="0"/>
              <w:jc w:val="center"/>
              <w:rPr>
                <w:color w:val="000000" w:themeColor="text1"/>
                <w:sz w:val="21"/>
                <w:szCs w:val="21"/>
              </w:rPr>
            </w:pPr>
            <w:r>
              <w:rPr>
                <w:rFonts w:hint="eastAsia" w:ascii="宋体" w:hAnsi="宋体" w:cs="宋体"/>
                <w:color w:val="000000" w:themeColor="text1"/>
                <w:kern w:val="0"/>
                <w:sz w:val="21"/>
                <w:szCs w:val="21"/>
              </w:rPr>
              <w:t>纵向弥撒系数（</w:t>
            </w:r>
            <w:r>
              <w:rPr>
                <w:color w:val="000000" w:themeColor="text1"/>
                <w:kern w:val="0"/>
                <w:sz w:val="21"/>
                <w:szCs w:val="21"/>
              </w:rPr>
              <w:t>m</w:t>
            </w:r>
            <w:r>
              <w:rPr>
                <w:rFonts w:hint="eastAsia"/>
                <w:color w:val="000000" w:themeColor="text1"/>
                <w:kern w:val="0"/>
                <w:sz w:val="21"/>
                <w:szCs w:val="21"/>
                <w:vertAlign w:val="superscript"/>
              </w:rPr>
              <w:t>2</w:t>
            </w:r>
            <w:r>
              <w:rPr>
                <w:color w:val="000000" w:themeColor="text1"/>
                <w:kern w:val="0"/>
                <w:sz w:val="21"/>
                <w:szCs w:val="21"/>
              </w:rPr>
              <w:t>/d</w:t>
            </w:r>
            <w:r>
              <w:rPr>
                <w:rFonts w:hint="eastAsia" w:ascii="宋体" w:hAnsi="宋体" w:cs="宋体"/>
                <w:color w:val="000000" w:themeColor="text1"/>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61"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0.00067</w:t>
            </w:r>
          </w:p>
        </w:tc>
        <w:tc>
          <w:tcPr>
            <w:tcW w:w="4261" w:type="dxa"/>
          </w:tcPr>
          <w:p>
            <w:pPr>
              <w:pStyle w:val="78"/>
              <w:spacing w:line="240" w:lineRule="auto"/>
              <w:ind w:firstLine="0" w:firstLineChars="0"/>
              <w:jc w:val="center"/>
              <w:rPr>
                <w:color w:val="000000" w:themeColor="text1"/>
                <w:sz w:val="21"/>
                <w:szCs w:val="21"/>
              </w:rPr>
            </w:pPr>
            <w:r>
              <w:rPr>
                <w:rFonts w:hint="eastAsia"/>
                <w:color w:val="000000" w:themeColor="text1"/>
                <w:sz w:val="21"/>
                <w:szCs w:val="21"/>
              </w:rPr>
              <w:t>0.004</w:t>
            </w:r>
          </w:p>
        </w:tc>
      </w:tr>
    </w:tbl>
    <w:p>
      <w:pPr>
        <w:ind w:firstLine="482"/>
        <w:jc w:val="both"/>
        <w:rPr>
          <w:b/>
          <w:bCs/>
          <w:color w:val="000000" w:themeColor="text1"/>
          <w:szCs w:val="24"/>
        </w:rPr>
      </w:pPr>
      <w:r>
        <w:rPr>
          <w:rFonts w:hint="eastAsia"/>
          <w:b/>
          <w:bCs/>
          <w:color w:val="000000" w:themeColor="text1"/>
          <w:szCs w:val="24"/>
        </w:rPr>
        <w:t>3、预测结果</w:t>
      </w:r>
    </w:p>
    <w:p>
      <w:pPr>
        <w:ind w:firstLine="480"/>
        <w:jc w:val="both"/>
        <w:rPr>
          <w:b/>
          <w:bCs/>
          <w:color w:val="000000" w:themeColor="text1"/>
          <w:sz w:val="21"/>
          <w:szCs w:val="21"/>
        </w:rPr>
      </w:pPr>
      <w:r>
        <w:rPr>
          <w:rFonts w:hint="eastAsia"/>
          <w:color w:val="000000" w:themeColor="text1"/>
          <w:szCs w:val="24"/>
        </w:rPr>
        <w:t>（1）地下水预测结果如下所示：</w:t>
      </w:r>
    </w:p>
    <w:p>
      <w:pPr>
        <w:ind w:firstLine="422"/>
        <w:jc w:val="center"/>
        <w:rPr>
          <w:b/>
          <w:bCs/>
          <w:color w:val="000000" w:themeColor="text1"/>
          <w:sz w:val="21"/>
          <w:szCs w:val="21"/>
        </w:rPr>
      </w:pPr>
      <w:r>
        <w:rPr>
          <w:b/>
          <w:bCs/>
          <w:color w:val="000000" w:themeColor="text1"/>
          <w:sz w:val="21"/>
          <w:szCs w:val="21"/>
        </w:rPr>
        <w:t>表</w:t>
      </w:r>
      <w:r>
        <w:rPr>
          <w:rFonts w:hint="eastAsia"/>
          <w:b/>
          <w:bCs/>
          <w:color w:val="000000" w:themeColor="text1"/>
          <w:sz w:val="21"/>
          <w:szCs w:val="21"/>
        </w:rPr>
        <w:t>6.2-38锰</w:t>
      </w:r>
      <w:r>
        <w:rPr>
          <w:b/>
          <w:bCs/>
          <w:color w:val="000000" w:themeColor="text1"/>
          <w:sz w:val="21"/>
          <w:szCs w:val="21"/>
        </w:rPr>
        <w:t>浓度预测结果</w:t>
      </w:r>
      <w:r>
        <w:rPr>
          <w:rFonts w:hint="eastAsia"/>
          <w:b/>
          <w:bCs/>
          <w:color w:val="000000" w:themeColor="text1"/>
          <w:sz w:val="21"/>
          <w:szCs w:val="21"/>
        </w:rPr>
        <w:t xml:space="preserve"> 单位：</w:t>
      </w:r>
      <w:r>
        <w:rPr>
          <w:b/>
          <w:bCs/>
          <w:color w:val="000000" w:themeColor="text1"/>
          <w:sz w:val="21"/>
          <w:szCs w:val="21"/>
        </w:rPr>
        <w:t>mg/L</w:t>
      </w:r>
    </w:p>
    <w:tbl>
      <w:tblPr>
        <w:tblStyle w:val="62"/>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1701"/>
        <w:gridCol w:w="1704"/>
        <w:gridCol w:w="1704"/>
        <w:gridCol w:w="1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Merge w:val="restart"/>
            <w:vAlign w:val="center"/>
          </w:tcPr>
          <w:p>
            <w:pPr>
              <w:adjustRightInd w:val="0"/>
              <w:snapToGrid w:val="0"/>
              <w:spacing w:line="240" w:lineRule="auto"/>
              <w:ind w:firstLine="420"/>
              <w:jc w:val="center"/>
              <w:rPr>
                <w:color w:val="000000" w:themeColor="text1"/>
                <w:sz w:val="21"/>
                <w:szCs w:val="21"/>
              </w:rPr>
            </w:pPr>
            <w:r>
              <w:rPr>
                <w:color w:val="000000" w:themeColor="text1"/>
                <w:sz w:val="21"/>
                <w:szCs w:val="21"/>
              </w:rPr>
              <w:t>X（m）</w:t>
            </w:r>
          </w:p>
        </w:tc>
        <w:tc>
          <w:tcPr>
            <w:tcW w:w="6818" w:type="dxa"/>
            <w:gridSpan w:val="4"/>
            <w:vAlign w:val="center"/>
          </w:tcPr>
          <w:p>
            <w:pPr>
              <w:adjustRightInd w:val="0"/>
              <w:snapToGrid w:val="0"/>
              <w:spacing w:line="240" w:lineRule="auto"/>
              <w:ind w:firstLine="420"/>
              <w:jc w:val="center"/>
              <w:rPr>
                <w:color w:val="000000" w:themeColor="text1"/>
                <w:sz w:val="21"/>
                <w:szCs w:val="21"/>
              </w:rPr>
            </w:pPr>
            <w:r>
              <w:rPr>
                <w:rFonts w:hint="eastAsia"/>
                <w:color w:val="000000" w:themeColor="text1"/>
                <w:sz w:val="21"/>
                <w:szCs w:val="21"/>
              </w:rPr>
              <w:t>锰</w:t>
            </w:r>
            <w:r>
              <w:rPr>
                <w:color w:val="000000" w:themeColor="text1"/>
                <w:sz w:val="21"/>
                <w:szCs w:val="21"/>
              </w:rPr>
              <w:t>浓度值（mg/L）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trPr>
        <w:tc>
          <w:tcPr>
            <w:tcW w:w="1701" w:type="dxa"/>
            <w:vMerge w:val="continue"/>
            <w:vAlign w:val="center"/>
          </w:tcPr>
          <w:p>
            <w:pPr>
              <w:adjustRightInd w:val="0"/>
              <w:snapToGrid w:val="0"/>
              <w:spacing w:line="240" w:lineRule="auto"/>
              <w:ind w:firstLine="420"/>
              <w:jc w:val="center"/>
              <w:rPr>
                <w:color w:val="000000" w:themeColor="text1"/>
                <w:sz w:val="21"/>
                <w:szCs w:val="21"/>
              </w:rPr>
            </w:pP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泄漏事件100d</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泄漏事件500d</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泄漏事件1000d</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泄漏事件</w:t>
            </w:r>
            <w:r>
              <w:rPr>
                <w:rFonts w:hint="eastAsia"/>
                <w:color w:val="000000" w:themeColor="text1"/>
                <w:sz w:val="21"/>
                <w:szCs w:val="21"/>
              </w:rPr>
              <w:t>5</w:t>
            </w:r>
            <w:r>
              <w:rPr>
                <w:color w:val="000000" w:themeColor="text1"/>
                <w:sz w:val="21"/>
                <w:szCs w:val="21"/>
              </w:rPr>
              <w:t>000d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2.50×10</w:t>
            </w:r>
            <w:r>
              <w:rPr>
                <w:color w:val="000000" w:themeColor="text1"/>
                <w:sz w:val="21"/>
                <w:szCs w:val="21"/>
                <w:vertAlign w:val="superscript"/>
              </w:rPr>
              <w:t>-1</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2.5×10</w:t>
            </w:r>
            <w:r>
              <w:rPr>
                <w:color w:val="000000" w:themeColor="text1"/>
                <w:sz w:val="21"/>
                <w:szCs w:val="21"/>
                <w:vertAlign w:val="superscript"/>
              </w:rPr>
              <w:t>-1</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2.50×10</w:t>
            </w:r>
            <w:r>
              <w:rPr>
                <w:color w:val="000000" w:themeColor="text1"/>
                <w:sz w:val="21"/>
                <w:szCs w:val="21"/>
                <w:vertAlign w:val="superscript"/>
              </w:rPr>
              <w:t>-1</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2.50×10</w:t>
            </w:r>
            <w:r>
              <w:rPr>
                <w:color w:val="000000" w:themeColor="text1"/>
                <w:sz w:val="21"/>
                <w:szCs w:val="21"/>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7.15×10</w:t>
            </w:r>
            <w:r>
              <w:rPr>
                <w:color w:val="000000" w:themeColor="text1"/>
                <w:sz w:val="21"/>
                <w:szCs w:val="21"/>
                <w:vertAlign w:val="superscript"/>
              </w:rPr>
              <w:t>-2</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1.67×10</w:t>
            </w:r>
            <w:r>
              <w:rPr>
                <w:color w:val="000000" w:themeColor="text1"/>
                <w:sz w:val="21"/>
                <w:szCs w:val="21"/>
                <w:vertAlign w:val="superscript"/>
              </w:rPr>
              <w:t>-1</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1.95×10</w:t>
            </w:r>
            <w:r>
              <w:rPr>
                <w:color w:val="000000" w:themeColor="text1"/>
                <w:sz w:val="21"/>
                <w:szCs w:val="21"/>
                <w:vertAlign w:val="superscript"/>
              </w:rPr>
              <w:t>-1</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2.34×10</w:t>
            </w:r>
            <w:r>
              <w:rPr>
                <w:color w:val="000000" w:themeColor="text1"/>
                <w:sz w:val="21"/>
                <w:szCs w:val="21"/>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7.48×10</w:t>
            </w:r>
            <w:r>
              <w:rPr>
                <w:color w:val="000000" w:themeColor="text1"/>
                <w:sz w:val="21"/>
                <w:szCs w:val="21"/>
                <w:vertAlign w:val="superscript"/>
              </w:rPr>
              <w:t>-3</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9.31×10</w:t>
            </w:r>
            <w:r>
              <w:rPr>
                <w:color w:val="000000" w:themeColor="text1"/>
                <w:sz w:val="21"/>
                <w:szCs w:val="21"/>
                <w:vertAlign w:val="superscript"/>
              </w:rPr>
              <w:t>-2</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1.4×10</w:t>
            </w:r>
            <w:r>
              <w:rPr>
                <w:color w:val="000000" w:themeColor="text1"/>
                <w:sz w:val="21"/>
                <w:szCs w:val="21"/>
                <w:vertAlign w:val="superscript"/>
              </w:rPr>
              <w:t>-1</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2.16×10</w:t>
            </w:r>
            <w:r>
              <w:rPr>
                <w:color w:val="000000" w:themeColor="text1"/>
                <w:sz w:val="21"/>
                <w:szCs w:val="21"/>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3</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2.55×10</w:t>
            </w:r>
            <w:r>
              <w:rPr>
                <w:color w:val="000000" w:themeColor="text1"/>
                <w:sz w:val="21"/>
                <w:szCs w:val="21"/>
                <w:vertAlign w:val="superscript"/>
              </w:rPr>
              <w:t>-4</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4.26×10</w:t>
            </w:r>
            <w:r>
              <w:rPr>
                <w:color w:val="000000" w:themeColor="text1"/>
                <w:sz w:val="21"/>
                <w:szCs w:val="21"/>
                <w:vertAlign w:val="superscript"/>
              </w:rPr>
              <w:t>-2</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9.14×10</w:t>
            </w:r>
            <w:r>
              <w:rPr>
                <w:color w:val="000000" w:themeColor="text1"/>
                <w:sz w:val="21"/>
                <w:szCs w:val="21"/>
                <w:vertAlign w:val="superscript"/>
              </w:rPr>
              <w:t>-2</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1.96×10</w:t>
            </w:r>
            <w:r>
              <w:rPr>
                <w:color w:val="000000" w:themeColor="text1"/>
                <w:sz w:val="21"/>
                <w:szCs w:val="21"/>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2.7×10</w:t>
            </w:r>
            <w:r>
              <w:rPr>
                <w:color w:val="000000" w:themeColor="text1"/>
                <w:sz w:val="21"/>
                <w:szCs w:val="21"/>
                <w:vertAlign w:val="superscript"/>
              </w:rPr>
              <w:t>-6</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1.57×10</w:t>
            </w:r>
            <w:r>
              <w:rPr>
                <w:color w:val="000000" w:themeColor="text1"/>
                <w:sz w:val="21"/>
                <w:szCs w:val="21"/>
                <w:vertAlign w:val="superscript"/>
              </w:rPr>
              <w:t>-2</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5.4×10</w:t>
            </w:r>
            <w:r>
              <w:rPr>
                <w:color w:val="000000" w:themeColor="text1"/>
                <w:sz w:val="21"/>
                <w:szCs w:val="21"/>
                <w:vertAlign w:val="superscript"/>
              </w:rPr>
              <w:t>-2</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1.75×10</w:t>
            </w:r>
            <w:r>
              <w:rPr>
                <w:color w:val="000000" w:themeColor="text1"/>
                <w:sz w:val="21"/>
                <w:szCs w:val="21"/>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5</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8.62×10</w:t>
            </w:r>
            <w:r>
              <w:rPr>
                <w:color w:val="000000" w:themeColor="text1"/>
                <w:sz w:val="21"/>
                <w:szCs w:val="21"/>
                <w:vertAlign w:val="superscript"/>
              </w:rPr>
              <w:t>-9</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4.67×10</w:t>
            </w:r>
            <w:r>
              <w:rPr>
                <w:color w:val="000000" w:themeColor="text1"/>
                <w:sz w:val="21"/>
                <w:szCs w:val="21"/>
                <w:vertAlign w:val="superscript"/>
              </w:rPr>
              <w:t>-3</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2.87×10</w:t>
            </w:r>
            <w:r>
              <w:rPr>
                <w:color w:val="000000" w:themeColor="text1"/>
                <w:sz w:val="21"/>
                <w:szCs w:val="21"/>
                <w:vertAlign w:val="superscript"/>
              </w:rPr>
              <w:t>-2</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1.53×10</w:t>
            </w:r>
            <w:r>
              <w:rPr>
                <w:color w:val="000000" w:themeColor="text1"/>
                <w:sz w:val="21"/>
                <w:szCs w:val="21"/>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6</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8.16×10</w:t>
            </w:r>
            <w:r>
              <w:rPr>
                <w:color w:val="000000" w:themeColor="text1"/>
                <w:sz w:val="21"/>
                <w:szCs w:val="21"/>
                <w:vertAlign w:val="superscript"/>
              </w:rPr>
              <w:t>-12</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1.1×10</w:t>
            </w:r>
            <w:r>
              <w:rPr>
                <w:color w:val="000000" w:themeColor="text1"/>
                <w:sz w:val="21"/>
                <w:szCs w:val="21"/>
                <w:vertAlign w:val="superscript"/>
              </w:rPr>
              <w:t>-3</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1.37×10</w:t>
            </w:r>
            <w:r>
              <w:rPr>
                <w:color w:val="000000" w:themeColor="text1"/>
                <w:sz w:val="21"/>
                <w:szCs w:val="21"/>
                <w:vertAlign w:val="superscript"/>
              </w:rPr>
              <w:t>-2</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1.32×10</w:t>
            </w:r>
            <w:r>
              <w:rPr>
                <w:color w:val="000000" w:themeColor="text1"/>
                <w:sz w:val="21"/>
                <w:szCs w:val="21"/>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7</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2.43×10</w:t>
            </w:r>
            <w:r>
              <w:rPr>
                <w:color w:val="000000" w:themeColor="text1"/>
                <w:sz w:val="21"/>
                <w:szCs w:val="21"/>
                <w:vertAlign w:val="superscript"/>
              </w:rPr>
              <w:t>-15</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2.07×10</w:t>
            </w:r>
            <w:r>
              <w:rPr>
                <w:color w:val="000000" w:themeColor="text1"/>
                <w:sz w:val="21"/>
                <w:szCs w:val="21"/>
                <w:vertAlign w:val="superscript"/>
              </w:rPr>
              <w:t>-4</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5.85×10</w:t>
            </w:r>
            <w:r>
              <w:rPr>
                <w:color w:val="000000" w:themeColor="text1"/>
                <w:sz w:val="21"/>
                <w:szCs w:val="21"/>
                <w:vertAlign w:val="superscript"/>
              </w:rPr>
              <w:t>-3</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1.12×10</w:t>
            </w:r>
            <w:r>
              <w:rPr>
                <w:color w:val="000000" w:themeColor="text1"/>
                <w:sz w:val="21"/>
                <w:szCs w:val="21"/>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8</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3.06×10</w:t>
            </w:r>
            <w:r>
              <w:rPr>
                <w:color w:val="000000" w:themeColor="text1"/>
                <w:sz w:val="21"/>
                <w:szCs w:val="21"/>
                <w:vertAlign w:val="superscript"/>
              </w:rPr>
              <w:t>-5</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2.23×10</w:t>
            </w:r>
            <w:r>
              <w:rPr>
                <w:color w:val="000000" w:themeColor="text1"/>
                <w:sz w:val="21"/>
                <w:szCs w:val="21"/>
                <w:vertAlign w:val="superscript"/>
              </w:rPr>
              <w:t>-3</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9.25×10</w:t>
            </w:r>
            <w:r>
              <w:rPr>
                <w:color w:val="000000" w:themeColor="text1"/>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9</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3.57×10</w:t>
            </w:r>
            <w:r>
              <w:rPr>
                <w:color w:val="000000" w:themeColor="text1"/>
                <w:sz w:val="21"/>
                <w:szCs w:val="21"/>
                <w:vertAlign w:val="superscript"/>
              </w:rPr>
              <w:t>-6</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7.59×10</w:t>
            </w:r>
            <w:r>
              <w:rPr>
                <w:color w:val="000000" w:themeColor="text1"/>
                <w:sz w:val="21"/>
                <w:szCs w:val="21"/>
                <w:vertAlign w:val="superscript"/>
              </w:rPr>
              <w:t>-4</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7.52×10</w:t>
            </w:r>
            <w:r>
              <w:rPr>
                <w:color w:val="000000" w:themeColor="text1"/>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10</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3.27×10</w:t>
            </w:r>
            <w:r>
              <w:rPr>
                <w:color w:val="000000" w:themeColor="text1"/>
                <w:sz w:val="21"/>
                <w:szCs w:val="21"/>
                <w:vertAlign w:val="superscript"/>
              </w:rPr>
              <w:t>-7</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2.29×10</w:t>
            </w:r>
            <w:r>
              <w:rPr>
                <w:color w:val="000000" w:themeColor="text1"/>
                <w:sz w:val="21"/>
                <w:szCs w:val="21"/>
                <w:vertAlign w:val="superscript"/>
              </w:rPr>
              <w:t>-4</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5.98×10</w:t>
            </w:r>
            <w:r>
              <w:rPr>
                <w:color w:val="000000" w:themeColor="text1"/>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20</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2.08×10</w:t>
            </w:r>
            <w:r>
              <w:rPr>
                <w:color w:val="000000" w:themeColor="text1"/>
                <w:sz w:val="21"/>
                <w:szCs w:val="21"/>
                <w:vertAlign w:val="superscript"/>
              </w:rPr>
              <w:t>-12</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1.85×10</w:t>
            </w:r>
            <w:r>
              <w:rPr>
                <w:color w:val="000000" w:themeColor="text1"/>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30</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5.7×10</w:t>
            </w:r>
            <w:r>
              <w:rPr>
                <w:color w:val="000000" w:themeColor="text1"/>
                <w:sz w:val="21"/>
                <w:szCs w:val="21"/>
                <w:vertAlign w:val="superscript"/>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40</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1.59×10</w:t>
            </w:r>
            <w:r>
              <w:rPr>
                <w:color w:val="000000" w:themeColor="text1"/>
                <w:sz w:val="21"/>
                <w:szCs w:val="21"/>
                <w:vertAlign w:val="superscript"/>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50</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2.2×10</w:t>
            </w:r>
            <w:r>
              <w:rPr>
                <w:color w:val="000000" w:themeColor="text1"/>
                <w:sz w:val="21"/>
                <w:szCs w:val="21"/>
                <w:vertAlign w:val="superscript"/>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60</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70</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80</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90</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100</w:t>
            </w:r>
          </w:p>
        </w:tc>
        <w:tc>
          <w:tcPr>
            <w:tcW w:w="1701"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4"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c>
          <w:tcPr>
            <w:tcW w:w="1709"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0</w:t>
            </w:r>
          </w:p>
        </w:tc>
      </w:tr>
    </w:tbl>
    <w:p>
      <w:pPr>
        <w:ind w:firstLine="480"/>
        <w:jc w:val="center"/>
        <w:rPr>
          <w:b/>
          <w:bCs/>
          <w:color w:val="000000" w:themeColor="text1"/>
          <w:sz w:val="21"/>
          <w:szCs w:val="21"/>
        </w:rPr>
      </w:pPr>
      <w:r>
        <w:rPr>
          <w:color w:val="000000" w:themeColor="text1"/>
        </w:rPr>
        <w:drawing>
          <wp:inline distT="0" distB="0" distL="114300" distR="114300">
            <wp:extent cx="4572000" cy="2743200"/>
            <wp:effectExtent l="4445" t="4445" r="14605" b="14605"/>
            <wp:docPr id="2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pPr>
        <w:ind w:firstLine="422"/>
        <w:jc w:val="center"/>
        <w:rPr>
          <w:b/>
          <w:bCs/>
          <w:color w:val="000000" w:themeColor="text1"/>
          <w:sz w:val="21"/>
          <w:szCs w:val="21"/>
        </w:rPr>
      </w:pPr>
      <w:r>
        <w:rPr>
          <w:rFonts w:hint="eastAsia"/>
          <w:b/>
          <w:bCs/>
          <w:color w:val="000000" w:themeColor="text1"/>
          <w:sz w:val="21"/>
          <w:szCs w:val="21"/>
        </w:rPr>
        <w:t>图6.2-17 锰地下水运移计算结果图</w:t>
      </w:r>
    </w:p>
    <w:p>
      <w:pPr>
        <w:widowControl/>
        <w:ind w:firstLine="480"/>
        <w:rPr>
          <w:rFonts w:eastAsiaTheme="minorEastAsia"/>
          <w:b/>
          <w:color w:val="000000" w:themeColor="text1"/>
          <w:kern w:val="0"/>
          <w:szCs w:val="24"/>
        </w:rPr>
      </w:pPr>
      <w:r>
        <w:rPr>
          <w:color w:val="000000" w:themeColor="text1"/>
          <w:kern w:val="0"/>
          <w:szCs w:val="24"/>
        </w:rPr>
        <w:t>由上述预测结果可以看出，发生泄漏后，在连续泄漏的情形下，浓度逐渐向下游方向扩散，在不考虑降解、吸附等物理化学反应情况下，主要随水流扩散。根据预测结果，在设定情景下，100天时，</w:t>
      </w:r>
      <w:r>
        <w:rPr>
          <w:rFonts w:hint="eastAsia"/>
          <w:color w:val="000000" w:themeColor="text1"/>
          <w:kern w:val="0"/>
          <w:szCs w:val="24"/>
        </w:rPr>
        <w:t>锰</w:t>
      </w:r>
      <w:r>
        <w:rPr>
          <w:color w:val="000000" w:themeColor="text1"/>
          <w:kern w:val="0"/>
          <w:szCs w:val="24"/>
        </w:rPr>
        <w:t>预测超标距离为0m</w:t>
      </w:r>
      <w:r>
        <w:rPr>
          <w:rFonts w:hint="eastAsia"/>
          <w:color w:val="000000" w:themeColor="text1"/>
          <w:kern w:val="0"/>
          <w:szCs w:val="24"/>
        </w:rPr>
        <w:t>，</w:t>
      </w:r>
      <w:r>
        <w:rPr>
          <w:color w:val="000000" w:themeColor="text1"/>
          <w:kern w:val="0"/>
          <w:szCs w:val="24"/>
        </w:rPr>
        <w:t>影响距离为1m</w:t>
      </w:r>
      <w:r>
        <w:rPr>
          <w:rFonts w:hint="eastAsia"/>
          <w:color w:val="000000" w:themeColor="text1"/>
          <w:kern w:val="0"/>
          <w:szCs w:val="24"/>
        </w:rPr>
        <w:t>；</w:t>
      </w:r>
      <w:r>
        <w:rPr>
          <w:color w:val="000000" w:themeColor="text1"/>
          <w:kern w:val="0"/>
          <w:szCs w:val="24"/>
        </w:rPr>
        <w:t>500天时，预测超标距离为1m</w:t>
      </w:r>
      <w:r>
        <w:rPr>
          <w:rFonts w:hint="eastAsia"/>
          <w:color w:val="000000" w:themeColor="text1"/>
          <w:kern w:val="0"/>
          <w:szCs w:val="24"/>
        </w:rPr>
        <w:t>，</w:t>
      </w:r>
      <w:r>
        <w:rPr>
          <w:color w:val="000000" w:themeColor="text1"/>
          <w:kern w:val="0"/>
          <w:szCs w:val="24"/>
        </w:rPr>
        <w:t>影响距离为4m</w:t>
      </w:r>
      <w:r>
        <w:rPr>
          <w:rFonts w:hint="eastAsia"/>
          <w:color w:val="000000" w:themeColor="text1"/>
          <w:kern w:val="0"/>
          <w:szCs w:val="24"/>
        </w:rPr>
        <w:t>；</w:t>
      </w:r>
      <w:r>
        <w:rPr>
          <w:color w:val="000000" w:themeColor="text1"/>
          <w:kern w:val="0"/>
          <w:szCs w:val="24"/>
        </w:rPr>
        <w:t>1000天时，预测超标距离为2m</w:t>
      </w:r>
      <w:r>
        <w:rPr>
          <w:rFonts w:hint="eastAsia"/>
          <w:color w:val="000000" w:themeColor="text1"/>
          <w:kern w:val="0"/>
          <w:szCs w:val="24"/>
        </w:rPr>
        <w:t>，</w:t>
      </w:r>
      <w:r>
        <w:rPr>
          <w:color w:val="000000" w:themeColor="text1"/>
          <w:kern w:val="0"/>
          <w:szCs w:val="24"/>
        </w:rPr>
        <w:t>影响距离为6m</w:t>
      </w:r>
      <w:r>
        <w:rPr>
          <w:rFonts w:hint="eastAsia"/>
          <w:color w:val="000000" w:themeColor="text1"/>
          <w:kern w:val="0"/>
          <w:szCs w:val="24"/>
        </w:rPr>
        <w:t>；</w:t>
      </w:r>
      <w:r>
        <w:rPr>
          <w:color w:val="000000" w:themeColor="text1"/>
          <w:kern w:val="0"/>
          <w:szCs w:val="24"/>
        </w:rPr>
        <w:t>5000天时，预测超标距离为7m</w:t>
      </w:r>
      <w:r>
        <w:rPr>
          <w:rFonts w:hint="eastAsia"/>
          <w:color w:val="000000" w:themeColor="text1"/>
          <w:kern w:val="0"/>
          <w:szCs w:val="24"/>
        </w:rPr>
        <w:t>，</w:t>
      </w:r>
      <w:r>
        <w:rPr>
          <w:color w:val="000000" w:themeColor="text1"/>
          <w:kern w:val="0"/>
          <w:szCs w:val="24"/>
        </w:rPr>
        <w:t>影响距离为15m</w:t>
      </w:r>
      <w:r>
        <w:rPr>
          <w:rFonts w:hint="eastAsia"/>
          <w:color w:val="000000" w:themeColor="text1"/>
          <w:kern w:val="0"/>
          <w:szCs w:val="24"/>
        </w:rPr>
        <w:t>。</w:t>
      </w:r>
    </w:p>
    <w:p>
      <w:pPr>
        <w:widowControl/>
        <w:ind w:firstLine="480"/>
        <w:jc w:val="both"/>
        <w:rPr>
          <w:rFonts w:eastAsiaTheme="minorEastAsia"/>
          <w:b/>
          <w:color w:val="000000" w:themeColor="text1"/>
          <w:kern w:val="0"/>
          <w:szCs w:val="24"/>
        </w:rPr>
      </w:pPr>
      <w:r>
        <w:rPr>
          <w:color w:val="000000" w:themeColor="text1"/>
          <w:kern w:val="0"/>
          <w:szCs w:val="24"/>
        </w:rPr>
        <w:t>建设单位应做好日常管理及例行监测工作，避免发生泄漏事故。本项目对下游地下水环境影响是可接受的。</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6.2.3.8地下水污染防治措施</w:t>
      </w:r>
    </w:p>
    <w:p>
      <w:pPr>
        <w:snapToGrid w:val="0"/>
        <w:ind w:firstLine="480"/>
        <w:rPr>
          <w:bCs/>
          <w:color w:val="000000" w:themeColor="text1"/>
          <w:szCs w:val="24"/>
        </w:rPr>
      </w:pPr>
      <w:r>
        <w:rPr>
          <w:bCs/>
          <w:color w:val="000000" w:themeColor="text1"/>
          <w:szCs w:val="24"/>
        </w:rPr>
        <w:t>（1）源头控制措施</w:t>
      </w:r>
    </w:p>
    <w:p>
      <w:pPr>
        <w:snapToGrid w:val="0"/>
        <w:ind w:firstLine="480"/>
        <w:rPr>
          <w:rFonts w:hint="default" w:eastAsia="宋体"/>
          <w:bCs/>
          <w:color w:val="000000" w:themeColor="text1"/>
          <w:szCs w:val="24"/>
          <w:lang w:val="en-US" w:eastAsia="zh-CN"/>
        </w:rPr>
      </w:pPr>
      <w:r>
        <w:rPr>
          <w:bCs/>
          <w:color w:val="000000" w:themeColor="text1"/>
          <w:szCs w:val="24"/>
        </w:rPr>
        <w:t>①节约用水，减少选矿废水产生量，</w:t>
      </w:r>
      <w:r>
        <w:rPr>
          <w:rFonts w:hint="eastAsia"/>
          <w:bCs/>
          <w:color w:val="000000" w:themeColor="text1"/>
          <w:szCs w:val="24"/>
          <w:lang w:val="en-US" w:eastAsia="zh-CN"/>
        </w:rPr>
        <w:t>原有项目</w:t>
      </w:r>
      <w:r>
        <w:rPr>
          <w:bCs/>
          <w:color w:val="000000" w:themeColor="text1"/>
          <w:szCs w:val="24"/>
        </w:rPr>
        <w:t>尾矿浆排入尾矿沉淀池，上清液抽回至选厂选矿使用。</w:t>
      </w:r>
      <w:r>
        <w:rPr>
          <w:rFonts w:hint="eastAsia"/>
          <w:bCs/>
          <w:color w:val="000000" w:themeColor="text1"/>
          <w:szCs w:val="24"/>
          <w:lang w:val="en-US" w:eastAsia="zh-CN"/>
        </w:rPr>
        <w:t>现有尾矿废水随尾矿携带进入依托的浓密池；</w:t>
      </w:r>
    </w:p>
    <w:p>
      <w:pPr>
        <w:snapToGrid w:val="0"/>
        <w:ind w:firstLine="480"/>
        <w:rPr>
          <w:bCs/>
          <w:color w:val="000000" w:themeColor="text1"/>
          <w:szCs w:val="24"/>
        </w:rPr>
      </w:pPr>
      <w:r>
        <w:rPr>
          <w:bCs/>
          <w:color w:val="000000" w:themeColor="text1"/>
          <w:szCs w:val="24"/>
        </w:rPr>
        <w:t>②定期对尾矿管道、设备、尾矿浆沉淀池、精矿池构筑物进行巡检、保养、维修，及时发现可能引起事故的异常运行苗头，消除事故隐患，将污染物跑冒、滴漏降到最低限度。</w:t>
      </w:r>
    </w:p>
    <w:p>
      <w:pPr>
        <w:snapToGrid w:val="0"/>
        <w:ind w:firstLine="480"/>
        <w:rPr>
          <w:bCs/>
          <w:color w:val="000000" w:themeColor="text1"/>
          <w:szCs w:val="24"/>
        </w:rPr>
      </w:pPr>
      <w:r>
        <w:rPr>
          <w:bCs/>
          <w:color w:val="000000" w:themeColor="text1"/>
          <w:szCs w:val="24"/>
        </w:rPr>
        <w:t>项目污染区防渗分为重点污染区防渗、一般污染区防渗、简单防渗，分区防渗图详见附图9。</w:t>
      </w:r>
    </w:p>
    <w:p>
      <w:pPr>
        <w:snapToGrid w:val="0"/>
        <w:ind w:firstLine="480"/>
        <w:rPr>
          <w:bCs/>
          <w:color w:val="000000" w:themeColor="text1"/>
          <w:szCs w:val="24"/>
        </w:rPr>
      </w:pPr>
      <w:r>
        <w:rPr>
          <w:bCs/>
          <w:color w:val="000000" w:themeColor="text1"/>
          <w:szCs w:val="24"/>
        </w:rPr>
        <w:t>（2）分区防渗</w:t>
      </w:r>
    </w:p>
    <w:p>
      <w:pPr>
        <w:snapToGrid w:val="0"/>
        <w:ind w:firstLine="480"/>
        <w:rPr>
          <w:bCs/>
          <w:color w:val="000000" w:themeColor="text1"/>
          <w:szCs w:val="24"/>
        </w:rPr>
      </w:pPr>
      <w:r>
        <w:rPr>
          <w:bCs/>
          <w:color w:val="000000" w:themeColor="text1"/>
          <w:szCs w:val="24"/>
        </w:rPr>
        <w:t>1）重点污染区防渗措施</w:t>
      </w:r>
    </w:p>
    <w:p>
      <w:pPr>
        <w:snapToGrid w:val="0"/>
        <w:ind w:firstLine="480"/>
        <w:jc w:val="both"/>
        <w:rPr>
          <w:color w:val="000000" w:themeColor="text1"/>
          <w:szCs w:val="24"/>
        </w:rPr>
      </w:pPr>
      <w:r>
        <w:rPr>
          <w:color w:val="000000" w:themeColor="text1"/>
          <w:szCs w:val="24"/>
        </w:rPr>
        <w:t>①该项目重点污染区防渗措施为：</w:t>
      </w:r>
      <w:r>
        <w:rPr>
          <w:rFonts w:eastAsiaTheme="minorEastAsia"/>
          <w:color w:val="000000" w:themeColor="text1"/>
        </w:rPr>
        <w:t>对尾矿浆沉淀池和精矿池、事故池、危废暂存间进行重点防渗处理</w:t>
      </w:r>
      <w:r>
        <w:rPr>
          <w:color w:val="000000" w:themeColor="text1"/>
          <w:szCs w:val="24"/>
        </w:rPr>
        <w:t>，池子地面底部地基采取压实粘土+土工膜防渗，采用防渗钢筋混凝土进行建设（防渗要求：等效黏土防渗层Mb≥6m，渗透系数K≤10</w:t>
      </w:r>
      <w:r>
        <w:rPr>
          <w:color w:val="000000" w:themeColor="text1"/>
          <w:szCs w:val="24"/>
          <w:vertAlign w:val="superscript"/>
        </w:rPr>
        <w:t>-7</w:t>
      </w:r>
      <w:r>
        <w:rPr>
          <w:color w:val="000000" w:themeColor="text1"/>
          <w:szCs w:val="24"/>
        </w:rPr>
        <w:t>cm/s。危废暂存间地面做防渗，</w:t>
      </w:r>
      <w:r>
        <w:rPr>
          <w:rFonts w:hint="eastAsia"/>
          <w:color w:val="000000" w:themeColor="text1"/>
          <w:szCs w:val="24"/>
        </w:rPr>
        <w:t>防渗层为至少1m厚黏土层（渗透系数</w:t>
      </w:r>
      <w:r>
        <w:rPr>
          <w:color w:val="000000" w:themeColor="text1"/>
          <w:szCs w:val="24"/>
        </w:rPr>
        <w:t>K≤10</w:t>
      </w:r>
      <w:r>
        <w:rPr>
          <w:color w:val="000000" w:themeColor="text1"/>
          <w:szCs w:val="24"/>
          <w:vertAlign w:val="superscript"/>
        </w:rPr>
        <w:t>-7</w:t>
      </w:r>
      <w:r>
        <w:rPr>
          <w:color w:val="000000" w:themeColor="text1"/>
          <w:szCs w:val="24"/>
        </w:rPr>
        <w:t>cm/s</w:t>
      </w:r>
      <w:r>
        <w:rPr>
          <w:rFonts w:hint="eastAsia"/>
          <w:color w:val="000000" w:themeColor="text1"/>
          <w:szCs w:val="24"/>
        </w:rPr>
        <w:t>），或2mm厚高密度聚乙烯，或至少2mm厚的其他人工材料，渗透系数</w:t>
      </w:r>
      <w:r>
        <w:rPr>
          <w:color w:val="000000" w:themeColor="text1"/>
          <w:szCs w:val="24"/>
        </w:rPr>
        <w:t>K≤10</w:t>
      </w:r>
      <w:r>
        <w:rPr>
          <w:color w:val="000000" w:themeColor="text1"/>
          <w:szCs w:val="24"/>
          <w:vertAlign w:val="superscript"/>
        </w:rPr>
        <w:t>-</w:t>
      </w:r>
      <w:r>
        <w:rPr>
          <w:rFonts w:hint="eastAsia"/>
          <w:color w:val="000000" w:themeColor="text1"/>
          <w:szCs w:val="24"/>
          <w:vertAlign w:val="superscript"/>
        </w:rPr>
        <w:t>10</w:t>
      </w:r>
      <w:r>
        <w:rPr>
          <w:color w:val="000000" w:themeColor="text1"/>
          <w:szCs w:val="24"/>
        </w:rPr>
        <w:t>cm/s</w:t>
      </w:r>
      <w:r>
        <w:rPr>
          <w:rFonts w:hint="eastAsia"/>
          <w:color w:val="000000" w:themeColor="text1"/>
          <w:szCs w:val="24"/>
        </w:rPr>
        <w:t>。</w:t>
      </w:r>
    </w:p>
    <w:p>
      <w:pPr>
        <w:snapToGrid w:val="0"/>
        <w:ind w:firstLine="480"/>
        <w:rPr>
          <w:color w:val="000000" w:themeColor="text1"/>
          <w:szCs w:val="24"/>
        </w:rPr>
      </w:pPr>
      <w:r>
        <w:rPr>
          <w:color w:val="000000" w:themeColor="text1"/>
          <w:szCs w:val="24"/>
        </w:rPr>
        <w:t>②本项目尾矿输送管道用钢管，防止尾矿输送时发生泄漏，造成地下水污染。</w:t>
      </w:r>
    </w:p>
    <w:p>
      <w:pPr>
        <w:snapToGrid w:val="0"/>
        <w:ind w:firstLine="480"/>
        <w:rPr>
          <w:bCs/>
          <w:color w:val="000000" w:themeColor="text1"/>
          <w:szCs w:val="24"/>
        </w:rPr>
      </w:pPr>
      <w:r>
        <w:rPr>
          <w:bCs/>
          <w:color w:val="000000" w:themeColor="text1"/>
          <w:szCs w:val="24"/>
        </w:rPr>
        <w:t>2）一般污染区防渗措施</w:t>
      </w:r>
    </w:p>
    <w:p>
      <w:pPr>
        <w:snapToGrid w:val="0"/>
        <w:ind w:firstLine="480"/>
        <w:rPr>
          <w:color w:val="000000" w:themeColor="text1"/>
        </w:rPr>
      </w:pPr>
      <w:r>
        <w:rPr>
          <w:color w:val="000000" w:themeColor="text1"/>
          <w:szCs w:val="24"/>
        </w:rPr>
        <w:t>一般污染区防渗措施：生产车间、实验室、脱水及</w:t>
      </w:r>
      <w:r>
        <w:rPr>
          <w:rFonts w:hint="eastAsia"/>
          <w:color w:val="000000" w:themeColor="text1"/>
          <w:szCs w:val="24"/>
        </w:rPr>
        <w:t>精矿产品</w:t>
      </w:r>
      <w:r>
        <w:rPr>
          <w:color w:val="000000" w:themeColor="text1"/>
          <w:szCs w:val="24"/>
        </w:rPr>
        <w:t>区、</w:t>
      </w:r>
      <w:r>
        <w:rPr>
          <w:rFonts w:hint="eastAsia"/>
          <w:color w:val="000000" w:themeColor="text1"/>
          <w:szCs w:val="24"/>
        </w:rPr>
        <w:t>原料加工处理区</w:t>
      </w:r>
      <w:r>
        <w:rPr>
          <w:color w:val="000000" w:themeColor="text1"/>
          <w:szCs w:val="24"/>
        </w:rPr>
        <w:t>、化粪池地面</w:t>
      </w:r>
      <w:r>
        <w:rPr>
          <w:color w:val="000000" w:themeColor="text1"/>
        </w:rPr>
        <w:t>夯实黏土层</w:t>
      </w:r>
      <w:r>
        <w:rPr>
          <w:rFonts w:eastAsia="Times New Roman"/>
          <w:color w:val="000000" w:themeColor="text1"/>
        </w:rPr>
        <w:t>+</w:t>
      </w:r>
      <w:r>
        <w:rPr>
          <w:color w:val="000000" w:themeColor="text1"/>
        </w:rPr>
        <w:t>水池防渗混凝土建设（防渗要求：防渗层按等效黏土防渗层</w:t>
      </w:r>
      <w:r>
        <w:rPr>
          <w:rFonts w:eastAsia="Times New Roman"/>
          <w:color w:val="000000" w:themeColor="text1"/>
        </w:rPr>
        <w:t>Mb≥1.5m</w:t>
      </w:r>
      <w:r>
        <w:rPr>
          <w:color w:val="000000" w:themeColor="text1"/>
        </w:rPr>
        <w:t>，渗透系数</w:t>
      </w:r>
      <w:r>
        <w:rPr>
          <w:rFonts w:eastAsia="Times New Roman"/>
          <w:color w:val="000000" w:themeColor="text1"/>
        </w:rPr>
        <w:t>K≤10</w:t>
      </w:r>
      <w:r>
        <w:rPr>
          <w:rFonts w:eastAsia="Times New Roman"/>
          <w:color w:val="000000" w:themeColor="text1"/>
          <w:position w:val="8"/>
          <w:sz w:val="15"/>
          <w:szCs w:val="15"/>
        </w:rPr>
        <w:t>-7</w:t>
      </w:r>
      <w:r>
        <w:rPr>
          <w:rFonts w:eastAsia="Times New Roman"/>
          <w:color w:val="000000" w:themeColor="text1"/>
        </w:rPr>
        <w:t>cm/s</w:t>
      </w:r>
      <w:r>
        <w:rPr>
          <w:color w:val="000000" w:themeColor="text1"/>
        </w:rPr>
        <w:t>）。</w:t>
      </w:r>
    </w:p>
    <w:p>
      <w:pPr>
        <w:snapToGrid w:val="0"/>
        <w:ind w:firstLine="480"/>
        <w:rPr>
          <w:color w:val="000000" w:themeColor="text1"/>
          <w:szCs w:val="24"/>
        </w:rPr>
      </w:pPr>
      <w:r>
        <w:rPr>
          <w:color w:val="000000" w:themeColor="text1"/>
          <w:szCs w:val="24"/>
        </w:rPr>
        <w:t>3）简单防渗</w:t>
      </w:r>
    </w:p>
    <w:p>
      <w:pPr>
        <w:snapToGrid w:val="0"/>
        <w:ind w:firstLine="480"/>
        <w:rPr>
          <w:color w:val="000000" w:themeColor="text1"/>
          <w:szCs w:val="24"/>
        </w:rPr>
      </w:pPr>
      <w:r>
        <w:rPr>
          <w:color w:val="000000" w:themeColor="text1"/>
        </w:rPr>
        <w:t>场区除绿化用地外进行地面硬化处理。</w:t>
      </w:r>
    </w:p>
    <w:p>
      <w:pPr>
        <w:snapToGrid w:val="0"/>
        <w:ind w:firstLine="480"/>
        <w:rPr>
          <w:color w:val="000000" w:themeColor="text1"/>
          <w:szCs w:val="24"/>
        </w:rPr>
      </w:pPr>
      <w:r>
        <w:rPr>
          <w:color w:val="000000" w:themeColor="text1"/>
          <w:szCs w:val="24"/>
        </w:rPr>
        <w:t>由污染途径及对应措施分析可知，项目对可能产生地下水影响的各项途径均进行有效预防，在确保各项防渗措施得以落实，并加强维护和场区环境管理的前提下，可有效控制场区的废水污染物下渗现象，避免污染地下水。因此项目在严格按照环评要求的情况下不会对区域地下水环境产生明显影响。</w:t>
      </w:r>
    </w:p>
    <w:p>
      <w:pPr>
        <w:adjustRightInd w:val="0"/>
        <w:snapToGrid w:val="0"/>
        <w:ind w:firstLine="480"/>
        <w:rPr>
          <w:bCs/>
          <w:color w:val="000000" w:themeColor="text1"/>
          <w:szCs w:val="24"/>
        </w:rPr>
      </w:pPr>
      <w:r>
        <w:rPr>
          <w:rFonts w:hint="eastAsia"/>
          <w:bCs/>
          <w:color w:val="000000" w:themeColor="text1"/>
          <w:szCs w:val="24"/>
        </w:rPr>
        <w:t>根据现场踏勘，</w:t>
      </w:r>
      <w:r>
        <w:rPr>
          <w:color w:val="000000" w:themeColor="text1"/>
          <w:szCs w:val="24"/>
        </w:rPr>
        <w:t>本项目已建相关防渗措施如下表所示：</w:t>
      </w:r>
    </w:p>
    <w:p>
      <w:pPr>
        <w:autoSpaceDE w:val="0"/>
        <w:autoSpaceDN w:val="0"/>
        <w:adjustRightInd w:val="0"/>
        <w:ind w:firstLine="422"/>
        <w:jc w:val="center"/>
        <w:rPr>
          <w:b/>
          <w:color w:val="000000" w:themeColor="text1"/>
          <w:sz w:val="21"/>
          <w:szCs w:val="21"/>
        </w:rPr>
      </w:pPr>
      <w:r>
        <w:rPr>
          <w:rFonts w:hint="eastAsia"/>
          <w:b/>
          <w:color w:val="000000" w:themeColor="text1"/>
          <w:sz w:val="21"/>
          <w:szCs w:val="21"/>
        </w:rPr>
        <w:t>表6.2-39 已建相关防渗措施一览表</w:t>
      </w:r>
    </w:p>
    <w:tbl>
      <w:tblPr>
        <w:tblStyle w:val="62"/>
        <w:tblW w:w="85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5"/>
        <w:gridCol w:w="5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945" w:type="dxa"/>
            <w:vAlign w:val="center"/>
          </w:tcPr>
          <w:p>
            <w:pPr>
              <w:autoSpaceDE w:val="0"/>
              <w:autoSpaceDN w:val="0"/>
              <w:adjustRightInd w:val="0"/>
              <w:ind w:firstLine="0" w:firstLineChars="0"/>
              <w:jc w:val="center"/>
              <w:rPr>
                <w:bCs/>
                <w:color w:val="000000" w:themeColor="text1"/>
                <w:sz w:val="21"/>
                <w:szCs w:val="21"/>
              </w:rPr>
            </w:pPr>
            <w:r>
              <w:rPr>
                <w:rFonts w:hint="eastAsia"/>
                <w:bCs/>
                <w:color w:val="000000" w:themeColor="text1"/>
                <w:sz w:val="21"/>
                <w:szCs w:val="21"/>
              </w:rPr>
              <w:t>构筑物名称</w:t>
            </w:r>
          </w:p>
        </w:tc>
        <w:tc>
          <w:tcPr>
            <w:tcW w:w="5575" w:type="dxa"/>
            <w:vAlign w:val="center"/>
          </w:tcPr>
          <w:p>
            <w:pPr>
              <w:autoSpaceDE w:val="0"/>
              <w:autoSpaceDN w:val="0"/>
              <w:adjustRightInd w:val="0"/>
              <w:ind w:firstLine="0" w:firstLineChars="0"/>
              <w:jc w:val="center"/>
              <w:rPr>
                <w:bCs/>
                <w:color w:val="000000" w:themeColor="text1"/>
                <w:sz w:val="21"/>
                <w:szCs w:val="21"/>
              </w:rPr>
            </w:pPr>
            <w:r>
              <w:rPr>
                <w:rFonts w:hint="eastAsia"/>
                <w:bCs/>
                <w:color w:val="000000" w:themeColor="text1"/>
                <w:sz w:val="21"/>
                <w:szCs w:val="21"/>
              </w:rPr>
              <w:t>已做防渗措施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945" w:type="dxa"/>
            <w:vAlign w:val="center"/>
          </w:tcPr>
          <w:p>
            <w:pPr>
              <w:autoSpaceDE w:val="0"/>
              <w:autoSpaceDN w:val="0"/>
              <w:adjustRightInd w:val="0"/>
              <w:ind w:firstLine="0" w:firstLineChars="0"/>
              <w:jc w:val="center"/>
              <w:rPr>
                <w:bCs/>
                <w:color w:val="000000" w:themeColor="text1"/>
                <w:sz w:val="21"/>
                <w:szCs w:val="21"/>
              </w:rPr>
            </w:pPr>
            <w:r>
              <w:rPr>
                <w:rFonts w:hint="eastAsia"/>
                <w:bCs/>
                <w:color w:val="000000" w:themeColor="text1"/>
                <w:sz w:val="21"/>
                <w:szCs w:val="21"/>
              </w:rPr>
              <w:t>尾矿输送管</w:t>
            </w:r>
          </w:p>
        </w:tc>
        <w:tc>
          <w:tcPr>
            <w:tcW w:w="5575" w:type="dxa"/>
            <w:vAlign w:val="center"/>
          </w:tcPr>
          <w:p>
            <w:pPr>
              <w:autoSpaceDE w:val="0"/>
              <w:autoSpaceDN w:val="0"/>
              <w:adjustRightInd w:val="0"/>
              <w:ind w:firstLine="0" w:firstLineChars="0"/>
              <w:jc w:val="center"/>
              <w:rPr>
                <w:bCs/>
                <w:color w:val="000000" w:themeColor="text1"/>
                <w:sz w:val="21"/>
                <w:szCs w:val="21"/>
              </w:rPr>
            </w:pPr>
            <w:r>
              <w:rPr>
                <w:rFonts w:hint="eastAsia"/>
                <w:bCs/>
                <w:color w:val="000000" w:themeColor="text1"/>
                <w:sz w:val="21"/>
                <w:szCs w:val="21"/>
              </w:rPr>
              <w:t>采用钢管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945" w:type="dxa"/>
            <w:vAlign w:val="center"/>
          </w:tcPr>
          <w:p>
            <w:pPr>
              <w:autoSpaceDE w:val="0"/>
              <w:autoSpaceDN w:val="0"/>
              <w:adjustRightInd w:val="0"/>
              <w:ind w:firstLine="0" w:firstLineChars="0"/>
              <w:jc w:val="center"/>
              <w:rPr>
                <w:bCs/>
                <w:color w:val="000000" w:themeColor="text1"/>
                <w:sz w:val="21"/>
                <w:szCs w:val="21"/>
              </w:rPr>
            </w:pPr>
            <w:r>
              <w:rPr>
                <w:color w:val="000000" w:themeColor="text1"/>
                <w:sz w:val="21"/>
                <w:szCs w:val="21"/>
              </w:rPr>
              <w:t>生产车间</w:t>
            </w:r>
            <w:r>
              <w:rPr>
                <w:rFonts w:hint="eastAsia"/>
                <w:color w:val="000000" w:themeColor="text1"/>
                <w:sz w:val="21"/>
                <w:szCs w:val="21"/>
              </w:rPr>
              <w:t>、</w:t>
            </w:r>
            <w:r>
              <w:rPr>
                <w:color w:val="000000" w:themeColor="text1"/>
                <w:sz w:val="21"/>
                <w:szCs w:val="21"/>
              </w:rPr>
              <w:t>实验室</w:t>
            </w:r>
            <w:r>
              <w:rPr>
                <w:rFonts w:hint="eastAsia"/>
                <w:color w:val="000000" w:themeColor="text1"/>
                <w:sz w:val="21"/>
                <w:szCs w:val="21"/>
              </w:rPr>
              <w:t>、</w:t>
            </w:r>
            <w:r>
              <w:rPr>
                <w:color w:val="000000" w:themeColor="text1"/>
                <w:sz w:val="21"/>
                <w:szCs w:val="21"/>
              </w:rPr>
              <w:t>化粪池</w:t>
            </w:r>
          </w:p>
        </w:tc>
        <w:tc>
          <w:tcPr>
            <w:tcW w:w="5575" w:type="dxa"/>
            <w:vAlign w:val="center"/>
          </w:tcPr>
          <w:p>
            <w:pPr>
              <w:autoSpaceDE w:val="0"/>
              <w:autoSpaceDN w:val="0"/>
              <w:adjustRightInd w:val="0"/>
              <w:ind w:firstLine="0" w:firstLineChars="0"/>
              <w:jc w:val="center"/>
              <w:rPr>
                <w:bCs/>
                <w:color w:val="000000" w:themeColor="text1"/>
                <w:sz w:val="21"/>
                <w:szCs w:val="21"/>
              </w:rPr>
            </w:pPr>
            <w:r>
              <w:rPr>
                <w:color w:val="000000" w:themeColor="text1"/>
                <w:sz w:val="21"/>
                <w:szCs w:val="21"/>
              </w:rPr>
              <w:t>地面夯实黏土层</w:t>
            </w:r>
            <w:r>
              <w:rPr>
                <w:rFonts w:hint="eastAsia"/>
                <w:color w:val="000000" w:themeColor="text1"/>
                <w:sz w:val="21"/>
                <w:szCs w:val="21"/>
              </w:rPr>
              <w:t>+</w:t>
            </w:r>
            <w:r>
              <w:rPr>
                <w:rFonts w:hint="eastAsia"/>
                <w:bCs/>
                <w:color w:val="000000" w:themeColor="text1"/>
                <w:sz w:val="21"/>
                <w:szCs w:val="21"/>
              </w:rPr>
              <w:t>混凝土浇筑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945" w:type="dxa"/>
            <w:vAlign w:val="center"/>
          </w:tcPr>
          <w:p>
            <w:pPr>
              <w:autoSpaceDE w:val="0"/>
              <w:autoSpaceDN w:val="0"/>
              <w:adjustRightInd w:val="0"/>
              <w:ind w:firstLine="420"/>
              <w:jc w:val="center"/>
              <w:rPr>
                <w:bCs/>
                <w:color w:val="000000" w:themeColor="text1"/>
                <w:sz w:val="21"/>
                <w:szCs w:val="21"/>
              </w:rPr>
            </w:pPr>
            <w:r>
              <w:rPr>
                <w:rFonts w:hint="eastAsia"/>
                <w:bCs/>
                <w:color w:val="000000" w:themeColor="text1"/>
                <w:sz w:val="21"/>
                <w:szCs w:val="21"/>
              </w:rPr>
              <w:t>办公区、危废暂存间</w:t>
            </w:r>
          </w:p>
        </w:tc>
        <w:tc>
          <w:tcPr>
            <w:tcW w:w="5575" w:type="dxa"/>
            <w:vAlign w:val="center"/>
          </w:tcPr>
          <w:p>
            <w:pPr>
              <w:autoSpaceDE w:val="0"/>
              <w:autoSpaceDN w:val="0"/>
              <w:adjustRightInd w:val="0"/>
              <w:ind w:firstLine="420"/>
              <w:jc w:val="center"/>
              <w:rPr>
                <w:bCs/>
                <w:color w:val="000000" w:themeColor="text1"/>
                <w:sz w:val="21"/>
                <w:szCs w:val="21"/>
              </w:rPr>
            </w:pPr>
            <w:r>
              <w:rPr>
                <w:rFonts w:hint="eastAsia"/>
                <w:bCs/>
                <w:color w:val="000000" w:themeColor="text1"/>
                <w:sz w:val="21"/>
                <w:szCs w:val="21"/>
              </w:rPr>
              <w:t>地面硬化</w:t>
            </w:r>
          </w:p>
        </w:tc>
      </w:tr>
    </w:tbl>
    <w:p>
      <w:pPr>
        <w:autoSpaceDE w:val="0"/>
        <w:autoSpaceDN w:val="0"/>
        <w:adjustRightInd w:val="0"/>
        <w:ind w:firstLine="422"/>
        <w:jc w:val="center"/>
        <w:rPr>
          <w:b/>
          <w:color w:val="000000" w:themeColor="text1"/>
          <w:sz w:val="21"/>
          <w:szCs w:val="21"/>
        </w:rPr>
      </w:pPr>
      <w:r>
        <w:rPr>
          <w:rFonts w:hint="eastAsia"/>
          <w:b/>
          <w:color w:val="000000" w:themeColor="text1"/>
          <w:sz w:val="21"/>
          <w:szCs w:val="21"/>
        </w:rPr>
        <w:t>表6.2-40新增或以新带老措施一览表</w:t>
      </w:r>
    </w:p>
    <w:tbl>
      <w:tblPr>
        <w:tblStyle w:val="62"/>
        <w:tblW w:w="85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5"/>
        <w:gridCol w:w="5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jc w:val="center"/>
        </w:trPr>
        <w:tc>
          <w:tcPr>
            <w:tcW w:w="2945" w:type="dxa"/>
            <w:vAlign w:val="center"/>
          </w:tcPr>
          <w:p>
            <w:pPr>
              <w:autoSpaceDE w:val="0"/>
              <w:autoSpaceDN w:val="0"/>
              <w:adjustRightInd w:val="0"/>
              <w:spacing w:line="240" w:lineRule="auto"/>
              <w:ind w:firstLine="0" w:firstLineChars="0"/>
              <w:jc w:val="center"/>
              <w:rPr>
                <w:bCs/>
                <w:color w:val="000000" w:themeColor="text1"/>
                <w:sz w:val="21"/>
                <w:szCs w:val="21"/>
              </w:rPr>
            </w:pPr>
            <w:r>
              <w:rPr>
                <w:rFonts w:hint="eastAsia"/>
                <w:bCs/>
                <w:color w:val="000000" w:themeColor="text1"/>
                <w:sz w:val="21"/>
                <w:szCs w:val="21"/>
              </w:rPr>
              <w:t>构筑物名称</w:t>
            </w:r>
          </w:p>
        </w:tc>
        <w:tc>
          <w:tcPr>
            <w:tcW w:w="5575" w:type="dxa"/>
            <w:vAlign w:val="center"/>
          </w:tcPr>
          <w:p>
            <w:pPr>
              <w:autoSpaceDE w:val="0"/>
              <w:autoSpaceDN w:val="0"/>
              <w:adjustRightInd w:val="0"/>
              <w:spacing w:line="240" w:lineRule="auto"/>
              <w:ind w:firstLine="0" w:firstLineChars="0"/>
              <w:jc w:val="center"/>
              <w:rPr>
                <w:bCs/>
                <w:color w:val="000000" w:themeColor="text1"/>
                <w:sz w:val="21"/>
                <w:szCs w:val="21"/>
              </w:rPr>
            </w:pPr>
            <w:r>
              <w:rPr>
                <w:rFonts w:hint="eastAsia"/>
                <w:bCs/>
                <w:color w:val="000000" w:themeColor="text1"/>
                <w:sz w:val="21"/>
                <w:szCs w:val="21"/>
              </w:rPr>
              <w:t>防渗措施要求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945" w:type="dxa"/>
            <w:vAlign w:val="center"/>
          </w:tcPr>
          <w:p>
            <w:pPr>
              <w:autoSpaceDE w:val="0"/>
              <w:autoSpaceDN w:val="0"/>
              <w:adjustRightInd w:val="0"/>
              <w:spacing w:line="240" w:lineRule="auto"/>
              <w:ind w:firstLine="0" w:firstLineChars="0"/>
              <w:jc w:val="center"/>
              <w:rPr>
                <w:bCs/>
                <w:color w:val="000000" w:themeColor="text1"/>
                <w:sz w:val="21"/>
                <w:szCs w:val="21"/>
              </w:rPr>
            </w:pPr>
            <w:r>
              <w:rPr>
                <w:rFonts w:eastAsiaTheme="minorEastAsia"/>
                <w:color w:val="000000" w:themeColor="text1"/>
                <w:sz w:val="21"/>
                <w:szCs w:val="21"/>
              </w:rPr>
              <w:t>尾矿浆沉淀池</w:t>
            </w:r>
            <w:r>
              <w:rPr>
                <w:rFonts w:hint="eastAsia" w:eastAsiaTheme="minorEastAsia"/>
                <w:color w:val="000000" w:themeColor="text1"/>
                <w:sz w:val="21"/>
                <w:szCs w:val="21"/>
              </w:rPr>
              <w:t>、</w:t>
            </w:r>
            <w:r>
              <w:rPr>
                <w:rFonts w:hint="eastAsia"/>
                <w:bCs/>
                <w:color w:val="000000" w:themeColor="text1"/>
                <w:sz w:val="21"/>
                <w:szCs w:val="21"/>
              </w:rPr>
              <w:t xml:space="preserve"> </w:t>
            </w:r>
            <w:r>
              <w:rPr>
                <w:rFonts w:eastAsiaTheme="minorEastAsia"/>
                <w:color w:val="000000" w:themeColor="text1"/>
                <w:sz w:val="21"/>
                <w:szCs w:val="21"/>
              </w:rPr>
              <w:t>精矿池、事故池</w:t>
            </w:r>
          </w:p>
        </w:tc>
        <w:tc>
          <w:tcPr>
            <w:tcW w:w="5575" w:type="dxa"/>
            <w:vAlign w:val="center"/>
          </w:tcPr>
          <w:p>
            <w:pPr>
              <w:autoSpaceDE w:val="0"/>
              <w:autoSpaceDN w:val="0"/>
              <w:adjustRightInd w:val="0"/>
              <w:spacing w:line="240" w:lineRule="auto"/>
              <w:ind w:firstLine="0" w:firstLineChars="0"/>
              <w:jc w:val="center"/>
              <w:rPr>
                <w:bCs/>
                <w:color w:val="000000" w:themeColor="text1"/>
                <w:sz w:val="21"/>
                <w:szCs w:val="21"/>
              </w:rPr>
            </w:pPr>
            <w:r>
              <w:rPr>
                <w:rFonts w:hint="eastAsia"/>
                <w:bCs/>
                <w:color w:val="000000" w:themeColor="text1"/>
                <w:sz w:val="21"/>
                <w:szCs w:val="21"/>
              </w:rPr>
              <w:t>池子地面底部地基采取压实粘土+土工膜防渗，采用防渗钢筋混凝土进行建设（防渗要求：等效黏土防渗层Mb≥6m，渗透系数K≤10</w:t>
            </w:r>
            <w:r>
              <w:rPr>
                <w:rFonts w:hint="eastAsia"/>
                <w:bCs/>
                <w:color w:val="000000" w:themeColor="text1"/>
                <w:sz w:val="21"/>
                <w:szCs w:val="21"/>
                <w:vertAlign w:val="superscript"/>
              </w:rPr>
              <w:t>-7</w:t>
            </w:r>
            <w:r>
              <w:rPr>
                <w:rFonts w:hint="eastAsia"/>
                <w:bCs/>
                <w:color w:val="000000" w:themeColor="text1"/>
                <w:sz w:val="21"/>
                <w:szCs w:val="21"/>
              </w:rPr>
              <w:t xml:space="preserve">cm/s。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945" w:type="dxa"/>
            <w:vAlign w:val="center"/>
          </w:tcPr>
          <w:p>
            <w:pPr>
              <w:autoSpaceDE w:val="0"/>
              <w:autoSpaceDN w:val="0"/>
              <w:adjustRightInd w:val="0"/>
              <w:spacing w:line="240" w:lineRule="auto"/>
              <w:ind w:firstLine="0" w:firstLineChars="0"/>
              <w:jc w:val="center"/>
              <w:rPr>
                <w:bCs/>
                <w:color w:val="000000" w:themeColor="text1"/>
                <w:sz w:val="21"/>
                <w:szCs w:val="21"/>
              </w:rPr>
            </w:pPr>
            <w:r>
              <w:rPr>
                <w:rFonts w:hint="eastAsia"/>
                <w:color w:val="000000" w:themeColor="text1"/>
                <w:sz w:val="21"/>
                <w:szCs w:val="21"/>
              </w:rPr>
              <w:t xml:space="preserve">危废暂存间 </w:t>
            </w:r>
          </w:p>
        </w:tc>
        <w:tc>
          <w:tcPr>
            <w:tcW w:w="5575" w:type="dxa"/>
            <w:vAlign w:val="center"/>
          </w:tcPr>
          <w:p>
            <w:pPr>
              <w:autoSpaceDE w:val="0"/>
              <w:autoSpaceDN w:val="0"/>
              <w:adjustRightInd w:val="0"/>
              <w:spacing w:line="240" w:lineRule="auto"/>
              <w:ind w:firstLine="0" w:firstLineChars="0"/>
              <w:jc w:val="center"/>
              <w:rPr>
                <w:bCs/>
                <w:color w:val="000000" w:themeColor="text1"/>
                <w:sz w:val="21"/>
                <w:szCs w:val="21"/>
              </w:rPr>
            </w:pPr>
            <w:r>
              <w:rPr>
                <w:rFonts w:hint="eastAsia"/>
                <w:color w:val="000000" w:themeColor="text1"/>
                <w:sz w:val="21"/>
                <w:szCs w:val="21"/>
              </w:rPr>
              <w:t>防渗层为至少1m厚黏土层（渗透系数</w:t>
            </w:r>
            <w:r>
              <w:rPr>
                <w:color w:val="000000" w:themeColor="text1"/>
                <w:sz w:val="21"/>
                <w:szCs w:val="21"/>
              </w:rPr>
              <w:t>K≤10</w:t>
            </w:r>
            <w:r>
              <w:rPr>
                <w:color w:val="000000" w:themeColor="text1"/>
                <w:sz w:val="21"/>
                <w:szCs w:val="21"/>
                <w:vertAlign w:val="superscript"/>
              </w:rPr>
              <w:t>-7</w:t>
            </w:r>
            <w:r>
              <w:rPr>
                <w:color w:val="000000" w:themeColor="text1"/>
                <w:sz w:val="21"/>
                <w:szCs w:val="21"/>
              </w:rPr>
              <w:t>cm/s</w:t>
            </w:r>
            <w:r>
              <w:rPr>
                <w:rFonts w:hint="eastAsia"/>
                <w:color w:val="000000" w:themeColor="text1"/>
                <w:sz w:val="21"/>
                <w:szCs w:val="21"/>
              </w:rPr>
              <w:t>），或2mm厚高密度聚乙烯，或至少2mm厚的其他人工材料，渗透系数</w:t>
            </w:r>
            <w:r>
              <w:rPr>
                <w:color w:val="000000" w:themeColor="text1"/>
                <w:sz w:val="21"/>
                <w:szCs w:val="21"/>
              </w:rPr>
              <w:t>K≤10</w:t>
            </w:r>
            <w:r>
              <w:rPr>
                <w:color w:val="000000" w:themeColor="text1"/>
                <w:sz w:val="21"/>
                <w:szCs w:val="21"/>
                <w:vertAlign w:val="superscript"/>
              </w:rPr>
              <w:t>-</w:t>
            </w:r>
            <w:r>
              <w:rPr>
                <w:rFonts w:hint="eastAsia"/>
                <w:color w:val="000000" w:themeColor="text1"/>
                <w:sz w:val="21"/>
                <w:szCs w:val="21"/>
                <w:vertAlign w:val="superscript"/>
              </w:rPr>
              <w:t>10</w:t>
            </w:r>
            <w:r>
              <w:rPr>
                <w:color w:val="000000" w:themeColor="text1"/>
                <w:sz w:val="21"/>
                <w:szCs w:val="21"/>
              </w:rPr>
              <w:t>cm/s</w:t>
            </w:r>
            <w:r>
              <w:rPr>
                <w:rFonts w:hint="eastAsia"/>
                <w:color w:val="000000" w:themeColor="text1"/>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945" w:type="dxa"/>
            <w:vAlign w:val="center"/>
          </w:tcPr>
          <w:p>
            <w:pPr>
              <w:autoSpaceDE w:val="0"/>
              <w:autoSpaceDN w:val="0"/>
              <w:adjustRightInd w:val="0"/>
              <w:spacing w:line="240" w:lineRule="auto"/>
              <w:ind w:firstLine="420"/>
              <w:jc w:val="center"/>
              <w:rPr>
                <w:bCs/>
                <w:color w:val="000000" w:themeColor="text1"/>
                <w:sz w:val="21"/>
                <w:szCs w:val="21"/>
              </w:rPr>
            </w:pPr>
            <w:r>
              <w:rPr>
                <w:color w:val="000000" w:themeColor="text1"/>
                <w:sz w:val="21"/>
                <w:szCs w:val="21"/>
              </w:rPr>
              <w:t>脱水及</w:t>
            </w:r>
            <w:r>
              <w:rPr>
                <w:rFonts w:hint="eastAsia"/>
                <w:color w:val="000000" w:themeColor="text1"/>
                <w:sz w:val="21"/>
                <w:szCs w:val="21"/>
              </w:rPr>
              <w:t>精矿产品</w:t>
            </w:r>
            <w:r>
              <w:rPr>
                <w:color w:val="000000" w:themeColor="text1"/>
                <w:sz w:val="21"/>
                <w:szCs w:val="21"/>
              </w:rPr>
              <w:t>区</w:t>
            </w:r>
            <w:r>
              <w:rPr>
                <w:rFonts w:hint="eastAsia"/>
                <w:color w:val="000000" w:themeColor="text1"/>
                <w:sz w:val="21"/>
                <w:szCs w:val="21"/>
              </w:rPr>
              <w:t>、原料加工处理区</w:t>
            </w:r>
            <w:r>
              <w:rPr>
                <w:rFonts w:hint="eastAsia"/>
                <w:bCs/>
                <w:color w:val="000000" w:themeColor="text1"/>
                <w:sz w:val="21"/>
                <w:szCs w:val="21"/>
              </w:rPr>
              <w:t xml:space="preserve"> </w:t>
            </w:r>
          </w:p>
        </w:tc>
        <w:tc>
          <w:tcPr>
            <w:tcW w:w="5575" w:type="dxa"/>
            <w:vAlign w:val="center"/>
          </w:tcPr>
          <w:p>
            <w:pPr>
              <w:autoSpaceDE w:val="0"/>
              <w:autoSpaceDN w:val="0"/>
              <w:adjustRightInd w:val="0"/>
              <w:spacing w:line="240" w:lineRule="auto"/>
              <w:ind w:firstLine="420"/>
              <w:jc w:val="center"/>
              <w:rPr>
                <w:bCs/>
                <w:color w:val="000000" w:themeColor="text1"/>
                <w:sz w:val="21"/>
                <w:szCs w:val="21"/>
              </w:rPr>
            </w:pPr>
            <w:r>
              <w:rPr>
                <w:rFonts w:hint="eastAsia"/>
                <w:bCs/>
                <w:color w:val="000000" w:themeColor="text1"/>
                <w:sz w:val="21"/>
                <w:szCs w:val="21"/>
              </w:rPr>
              <w:t>地面夯实黏土层+水池防渗混凝土建设（防渗要求：防渗层按等效黏土防渗层Mb≥1.5m，渗透系数K≤10</w:t>
            </w:r>
            <w:r>
              <w:rPr>
                <w:rFonts w:hint="eastAsia"/>
                <w:bCs/>
                <w:color w:val="000000" w:themeColor="text1"/>
                <w:sz w:val="21"/>
                <w:szCs w:val="21"/>
                <w:vertAlign w:val="superscript"/>
              </w:rPr>
              <w:t>-7</w:t>
            </w:r>
            <w:r>
              <w:rPr>
                <w:rFonts w:hint="eastAsia"/>
                <w:bCs/>
                <w:color w:val="000000" w:themeColor="text1"/>
                <w:sz w:val="21"/>
                <w:szCs w:val="21"/>
              </w:rPr>
              <w:t xml:space="preserve">cm/s） </w:t>
            </w:r>
          </w:p>
        </w:tc>
      </w:tr>
    </w:tbl>
    <w:p>
      <w:pPr>
        <w:autoSpaceDE w:val="0"/>
        <w:autoSpaceDN w:val="0"/>
        <w:adjustRightInd w:val="0"/>
        <w:ind w:firstLine="480"/>
        <w:rPr>
          <w:bCs/>
          <w:color w:val="000000" w:themeColor="text1"/>
          <w:szCs w:val="24"/>
        </w:rPr>
      </w:pPr>
    </w:p>
    <w:p>
      <w:pPr>
        <w:autoSpaceDE w:val="0"/>
        <w:autoSpaceDN w:val="0"/>
        <w:adjustRightInd w:val="0"/>
        <w:ind w:firstLine="480"/>
        <w:rPr>
          <w:bCs/>
          <w:color w:val="000000" w:themeColor="text1"/>
          <w:szCs w:val="24"/>
        </w:rPr>
      </w:pPr>
      <w:r>
        <w:rPr>
          <w:bCs/>
          <w:color w:val="000000" w:themeColor="text1"/>
          <w:szCs w:val="24"/>
        </w:rPr>
        <w:t>（3）地下水跟踪监控井设置情况</w:t>
      </w:r>
    </w:p>
    <w:p>
      <w:pPr>
        <w:snapToGrid w:val="0"/>
        <w:ind w:firstLine="480"/>
        <w:rPr>
          <w:color w:val="000000" w:themeColor="text1"/>
          <w:szCs w:val="24"/>
        </w:rPr>
      </w:pPr>
      <w:r>
        <w:rPr>
          <w:color w:val="000000" w:themeColor="text1"/>
          <w:szCs w:val="24"/>
        </w:rPr>
        <w:t>为及时准确地掌握工程场地地下水环境质量状况和地下水体中污染物的动态变化，本工程应建立地下水长期监控系统，包括设置地下水污染监控井、建立完善的监测制度、配备检测仪器和设备，及时发现污染、及时控制。</w:t>
      </w:r>
    </w:p>
    <w:p>
      <w:pPr>
        <w:snapToGrid w:val="0"/>
        <w:ind w:firstLine="480"/>
        <w:rPr>
          <w:color w:val="000000" w:themeColor="text1"/>
          <w:szCs w:val="24"/>
        </w:rPr>
      </w:pPr>
      <w:r>
        <w:rPr>
          <w:color w:val="000000" w:themeColor="text1"/>
          <w:szCs w:val="24"/>
        </w:rPr>
        <w:t>参考《地下水环境监测技术规范》（HJ164-20</w:t>
      </w:r>
      <w:r>
        <w:rPr>
          <w:rFonts w:hint="eastAsia"/>
          <w:color w:val="000000" w:themeColor="text1"/>
          <w:szCs w:val="24"/>
        </w:rPr>
        <w:t>20</w:t>
      </w:r>
      <w:r>
        <w:rPr>
          <w:color w:val="000000" w:themeColor="text1"/>
          <w:szCs w:val="24"/>
        </w:rPr>
        <w:t>）等标准和规范，结合工程区含水层和地下水径流特征，考虑潜在污染源、环境保护目标等因素，布置地下水监测点。</w:t>
      </w:r>
    </w:p>
    <w:p>
      <w:pPr>
        <w:snapToGrid w:val="0"/>
        <w:ind w:firstLine="480"/>
        <w:rPr>
          <w:color w:val="000000" w:themeColor="text1"/>
          <w:szCs w:val="24"/>
        </w:rPr>
      </w:pPr>
      <w:r>
        <w:rPr>
          <w:color w:val="000000" w:themeColor="text1"/>
          <w:szCs w:val="24"/>
        </w:rPr>
        <w:t>①监测原则</w:t>
      </w:r>
    </w:p>
    <w:p>
      <w:pPr>
        <w:snapToGrid w:val="0"/>
        <w:ind w:firstLine="480"/>
        <w:rPr>
          <w:color w:val="000000" w:themeColor="text1"/>
          <w:szCs w:val="24"/>
        </w:rPr>
      </w:pPr>
      <w:r>
        <w:rPr>
          <w:color w:val="000000" w:themeColor="text1"/>
          <w:szCs w:val="24"/>
        </w:rPr>
        <w:t>重点污染防治区加密监测原则；以浅层地下水监测为主的原则；上、下游同步对比监测原则。监测项目参照《建设项目竣工环境保护验收技术规范》和潜在污染源特征污染因子确定，各监测井可依据监测目的不同适当增加和减少监测项目。</w:t>
      </w:r>
    </w:p>
    <w:p>
      <w:pPr>
        <w:snapToGrid w:val="0"/>
        <w:ind w:firstLine="480"/>
        <w:rPr>
          <w:color w:val="000000" w:themeColor="text1"/>
          <w:szCs w:val="24"/>
        </w:rPr>
      </w:pPr>
      <w:r>
        <w:rPr>
          <w:color w:val="000000" w:themeColor="text1"/>
          <w:szCs w:val="24"/>
        </w:rPr>
        <w:t>②监测井布置</w:t>
      </w:r>
    </w:p>
    <w:p>
      <w:pPr>
        <w:snapToGrid w:val="0"/>
        <w:ind w:firstLine="480"/>
        <w:rPr>
          <w:b/>
          <w:bCs/>
          <w:color w:val="000000" w:themeColor="text1"/>
          <w:sz w:val="21"/>
          <w:szCs w:val="21"/>
        </w:rPr>
      </w:pPr>
      <w:r>
        <w:rPr>
          <w:color w:val="000000" w:themeColor="text1"/>
          <w:szCs w:val="24"/>
        </w:rPr>
        <w:t>在厂区下游设置地下水监控井作为跟踪监测点，监测井布置情况如下表所示：</w:t>
      </w:r>
    </w:p>
    <w:p>
      <w:pPr>
        <w:tabs>
          <w:tab w:val="left" w:pos="3520"/>
        </w:tabs>
        <w:ind w:firstLine="422"/>
        <w:jc w:val="center"/>
        <w:rPr>
          <w:b/>
          <w:bCs/>
          <w:color w:val="000000" w:themeColor="text1"/>
          <w:sz w:val="9"/>
          <w:szCs w:val="9"/>
        </w:rPr>
      </w:pPr>
      <w:r>
        <w:rPr>
          <w:b/>
          <w:bCs/>
          <w:color w:val="000000" w:themeColor="text1"/>
          <w:sz w:val="21"/>
          <w:szCs w:val="21"/>
        </w:rPr>
        <w:t>表6.2-</w:t>
      </w:r>
      <w:r>
        <w:rPr>
          <w:rFonts w:hint="eastAsia"/>
          <w:b/>
          <w:bCs/>
          <w:color w:val="000000" w:themeColor="text1"/>
          <w:sz w:val="21"/>
          <w:szCs w:val="21"/>
        </w:rPr>
        <w:t>41</w:t>
      </w:r>
      <w:r>
        <w:rPr>
          <w:b/>
          <w:bCs/>
          <w:color w:val="000000" w:themeColor="text1"/>
          <w:sz w:val="21"/>
          <w:szCs w:val="21"/>
        </w:rPr>
        <w:t>场地地下水监测计划一览表</w:t>
      </w:r>
    </w:p>
    <w:tbl>
      <w:tblPr>
        <w:tblStyle w:val="61"/>
        <w:tblW w:w="10138" w:type="dxa"/>
        <w:jc w:val="center"/>
        <w:tblInd w:w="0" w:type="dxa"/>
        <w:tblLayout w:type="fixed"/>
        <w:tblCellMar>
          <w:top w:w="0" w:type="dxa"/>
          <w:left w:w="0" w:type="dxa"/>
          <w:bottom w:w="0" w:type="dxa"/>
          <w:right w:w="0" w:type="dxa"/>
        </w:tblCellMar>
      </w:tblPr>
      <w:tblGrid>
        <w:gridCol w:w="1383"/>
        <w:gridCol w:w="2431"/>
        <w:gridCol w:w="1198"/>
        <w:gridCol w:w="1399"/>
        <w:gridCol w:w="1399"/>
        <w:gridCol w:w="2328"/>
      </w:tblGrid>
      <w:tr>
        <w:tblPrEx>
          <w:tblLayout w:type="fixed"/>
        </w:tblPrEx>
        <w:trPr>
          <w:trHeight w:val="475" w:hRule="atLeast"/>
          <w:jc w:val="center"/>
        </w:trPr>
        <w:tc>
          <w:tcPr>
            <w:tcW w:w="1383" w:type="dxa"/>
            <w:tcBorders>
              <w:top w:val="single" w:color="000000" w:sz="4" w:space="0"/>
              <w:left w:val="single" w:color="000000" w:sz="4" w:space="0"/>
              <w:bottom w:val="single" w:color="auto"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地点</w:t>
            </w:r>
          </w:p>
        </w:tc>
        <w:tc>
          <w:tcPr>
            <w:tcW w:w="2431" w:type="dxa"/>
            <w:tcBorders>
              <w:top w:val="single" w:color="000000" w:sz="4" w:space="0"/>
              <w:left w:val="single" w:color="000000" w:sz="4" w:space="0"/>
              <w:bottom w:val="single" w:color="auto"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hint="eastAsia"/>
                <w:color w:val="000000" w:themeColor="text1"/>
                <w:sz w:val="21"/>
                <w:szCs w:val="21"/>
              </w:rPr>
              <w:t>坐标</w:t>
            </w:r>
          </w:p>
        </w:tc>
        <w:tc>
          <w:tcPr>
            <w:tcW w:w="1198" w:type="dxa"/>
            <w:tcBorders>
              <w:top w:val="single" w:color="000000" w:sz="4" w:space="0"/>
              <w:left w:val="single" w:color="000000" w:sz="4" w:space="0"/>
              <w:bottom w:val="single" w:color="auto"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hint="eastAsia"/>
                <w:color w:val="000000" w:themeColor="text1"/>
                <w:sz w:val="21"/>
                <w:szCs w:val="21"/>
              </w:rPr>
              <w:t>井深</w:t>
            </w:r>
          </w:p>
        </w:tc>
        <w:tc>
          <w:tcPr>
            <w:tcW w:w="1399" w:type="dxa"/>
            <w:tcBorders>
              <w:top w:val="single" w:color="000000" w:sz="4" w:space="0"/>
              <w:left w:val="single" w:color="000000" w:sz="4" w:space="0"/>
              <w:bottom w:val="single" w:color="auto"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rFonts w:hint="eastAsia"/>
                <w:color w:val="000000" w:themeColor="text1"/>
                <w:sz w:val="21"/>
                <w:szCs w:val="21"/>
              </w:rPr>
              <w:t>井结构</w:t>
            </w:r>
          </w:p>
        </w:tc>
        <w:tc>
          <w:tcPr>
            <w:tcW w:w="1399" w:type="dxa"/>
            <w:tcBorders>
              <w:top w:val="single" w:color="000000" w:sz="4" w:space="0"/>
              <w:left w:val="single" w:color="000000" w:sz="4" w:space="0"/>
              <w:bottom w:val="single" w:color="auto"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监测频率</w:t>
            </w:r>
          </w:p>
        </w:tc>
        <w:tc>
          <w:tcPr>
            <w:tcW w:w="2328" w:type="dxa"/>
            <w:tcBorders>
              <w:top w:val="single" w:color="000000" w:sz="4" w:space="0"/>
              <w:left w:val="single" w:color="000000" w:sz="4" w:space="0"/>
              <w:bottom w:val="single" w:color="auto"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监测项目</w:t>
            </w:r>
          </w:p>
        </w:tc>
      </w:tr>
      <w:tr>
        <w:tblPrEx>
          <w:tblLayout w:type="fixed"/>
          <w:tblCellMar>
            <w:top w:w="0" w:type="dxa"/>
            <w:left w:w="0" w:type="dxa"/>
            <w:bottom w:w="0" w:type="dxa"/>
            <w:right w:w="0" w:type="dxa"/>
          </w:tblCellMar>
        </w:tblPrEx>
        <w:trPr>
          <w:trHeight w:val="640" w:hRule="atLeast"/>
          <w:jc w:val="center"/>
        </w:trPr>
        <w:tc>
          <w:tcPr>
            <w:tcW w:w="1383" w:type="dxa"/>
            <w:vMerge w:val="restart"/>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hint="eastAsia" w:eastAsia="宋体"/>
                <w:color w:val="000000" w:themeColor="text1"/>
                <w:sz w:val="21"/>
                <w:szCs w:val="21"/>
                <w:lang w:eastAsia="zh-CN"/>
              </w:rPr>
            </w:pPr>
            <w:r>
              <w:rPr>
                <w:rFonts w:hint="eastAsia"/>
                <w:color w:val="000000" w:themeColor="text1"/>
                <w:sz w:val="21"/>
                <w:szCs w:val="21"/>
              </w:rPr>
              <w:t>东磨选厂</w:t>
            </w:r>
            <w:r>
              <w:rPr>
                <w:rFonts w:hint="eastAsia"/>
                <w:color w:val="000000" w:themeColor="text1"/>
                <w:sz w:val="21"/>
                <w:szCs w:val="21"/>
                <w:lang w:eastAsia="zh-CN"/>
              </w:rPr>
              <w:t>下游</w:t>
            </w:r>
          </w:p>
        </w:tc>
        <w:tc>
          <w:tcPr>
            <w:tcW w:w="2431"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both"/>
              <w:rPr>
                <w:color w:val="000000" w:themeColor="text1"/>
                <w:sz w:val="21"/>
                <w:szCs w:val="21"/>
              </w:rPr>
            </w:pPr>
            <w:r>
              <w:rPr>
                <w:rFonts w:hint="eastAsia"/>
                <w:color w:val="000000" w:themeColor="text1"/>
                <w:sz w:val="21"/>
                <w:szCs w:val="21"/>
              </w:rPr>
              <w:t>经度：E101</w:t>
            </w:r>
            <w:r>
              <w:rPr>
                <w:color w:val="000000" w:themeColor="text1"/>
                <w:sz w:val="21"/>
                <w:szCs w:val="21"/>
              </w:rPr>
              <w:t>°</w:t>
            </w:r>
            <w:r>
              <w:rPr>
                <w:rFonts w:hint="eastAsia"/>
                <w:color w:val="000000" w:themeColor="text1"/>
                <w:sz w:val="21"/>
                <w:szCs w:val="21"/>
              </w:rPr>
              <w:t>60</w:t>
            </w:r>
            <w:r>
              <w:rPr>
                <w:color w:val="000000" w:themeColor="text1"/>
                <w:sz w:val="21"/>
                <w:szCs w:val="21"/>
              </w:rPr>
              <w:t>ʹ</w:t>
            </w:r>
            <w:r>
              <w:rPr>
                <w:rFonts w:hint="eastAsia"/>
                <w:color w:val="000000" w:themeColor="text1"/>
                <w:sz w:val="21"/>
                <w:szCs w:val="21"/>
              </w:rPr>
              <w:t>20.466</w:t>
            </w:r>
            <w:r>
              <w:rPr>
                <w:color w:val="000000" w:themeColor="text1"/>
                <w:sz w:val="21"/>
                <w:szCs w:val="21"/>
              </w:rPr>
              <w:t>ʺ</w:t>
            </w:r>
          </w:p>
        </w:tc>
        <w:tc>
          <w:tcPr>
            <w:tcW w:w="1198" w:type="dxa"/>
            <w:vMerge w:val="restart"/>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rFonts w:hint="eastAsia"/>
                <w:color w:val="000000" w:themeColor="text1"/>
                <w:sz w:val="21"/>
                <w:szCs w:val="21"/>
              </w:rPr>
              <w:t>根据新凿井当时实际出水深度设置</w:t>
            </w:r>
          </w:p>
          <w:p>
            <w:pPr>
              <w:pStyle w:val="617"/>
              <w:spacing w:line="240" w:lineRule="auto"/>
              <w:ind w:firstLine="0" w:firstLineChars="0"/>
              <w:jc w:val="center"/>
              <w:rPr>
                <w:color w:val="000000" w:themeColor="text1"/>
                <w:sz w:val="21"/>
                <w:szCs w:val="21"/>
              </w:rPr>
            </w:pPr>
          </w:p>
        </w:tc>
        <w:tc>
          <w:tcPr>
            <w:tcW w:w="1399" w:type="dxa"/>
            <w:vMerge w:val="restart"/>
            <w:tcBorders>
              <w:top w:val="single" w:color="auto" w:sz="4" w:space="0"/>
              <w:left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rFonts w:hint="eastAsia"/>
                <w:color w:val="000000" w:themeColor="text1"/>
                <w:sz w:val="21"/>
                <w:szCs w:val="21"/>
              </w:rPr>
              <w:t>单管单层监测井</w:t>
            </w:r>
          </w:p>
        </w:tc>
        <w:tc>
          <w:tcPr>
            <w:tcW w:w="1399" w:type="dxa"/>
            <w:vMerge w:val="restart"/>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rFonts w:hint="eastAsia"/>
                <w:color w:val="000000" w:themeColor="text1"/>
                <w:sz w:val="21"/>
                <w:szCs w:val="21"/>
              </w:rPr>
              <w:t>1</w:t>
            </w:r>
            <w:r>
              <w:rPr>
                <w:color w:val="000000" w:themeColor="text1"/>
                <w:sz w:val="21"/>
                <w:szCs w:val="21"/>
              </w:rPr>
              <w:t>次</w:t>
            </w:r>
            <w:r>
              <w:rPr>
                <w:rFonts w:hint="eastAsia"/>
                <w:color w:val="000000" w:themeColor="text1"/>
                <w:sz w:val="21"/>
                <w:szCs w:val="21"/>
              </w:rPr>
              <w:t>/半年</w:t>
            </w:r>
          </w:p>
        </w:tc>
        <w:tc>
          <w:tcPr>
            <w:tcW w:w="2328" w:type="dxa"/>
            <w:vMerge w:val="restart"/>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rFonts w:eastAsiaTheme="minorEastAsia"/>
                <w:color w:val="000000" w:themeColor="text1"/>
                <w:sz w:val="21"/>
                <w:szCs w:val="21"/>
              </w:rPr>
            </w:pPr>
            <w:r>
              <w:rPr>
                <w:rFonts w:eastAsiaTheme="minorEastAsia"/>
                <w:color w:val="000000" w:themeColor="text1"/>
                <w:kern w:val="0"/>
                <w:sz w:val="21"/>
                <w:szCs w:val="21"/>
                <w:lang w:bidi="en-US"/>
              </w:rPr>
              <w:t>pH、SS、COD</w:t>
            </w:r>
            <w:r>
              <w:rPr>
                <w:rFonts w:eastAsiaTheme="minorEastAsia"/>
                <w:color w:val="000000" w:themeColor="text1"/>
                <w:kern w:val="0"/>
                <w:sz w:val="21"/>
                <w:szCs w:val="21"/>
                <w:vertAlign w:val="subscript"/>
                <w:lang w:bidi="en-US"/>
              </w:rPr>
              <w:t>Cr</w:t>
            </w:r>
            <w:r>
              <w:rPr>
                <w:rFonts w:eastAsiaTheme="minorEastAsia"/>
                <w:color w:val="000000" w:themeColor="text1"/>
                <w:kern w:val="0"/>
                <w:sz w:val="21"/>
                <w:szCs w:val="21"/>
                <w:lang w:bidi="en-US"/>
              </w:rPr>
              <w:t>、石油类、硫化物、氟化物、</w:t>
            </w:r>
            <w:r>
              <w:rPr>
                <w:rFonts w:eastAsiaTheme="minorEastAsia"/>
                <w:bCs/>
                <w:color w:val="000000" w:themeColor="text1"/>
                <w:kern w:val="0"/>
                <w:sz w:val="21"/>
                <w:szCs w:val="21"/>
              </w:rPr>
              <w:t>铜</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锌</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硒</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砷</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汞</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镉</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六价铬</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铅</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铁</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锰</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铝</w:t>
            </w:r>
            <w:r>
              <w:rPr>
                <w:rFonts w:hint="eastAsia" w:eastAsiaTheme="minorEastAsia"/>
                <w:color w:val="000000" w:themeColor="text1"/>
                <w:kern w:val="0"/>
                <w:sz w:val="21"/>
                <w:szCs w:val="21"/>
                <w:lang w:bidi="en-US"/>
              </w:rPr>
              <w:t xml:space="preserve"> </w:t>
            </w:r>
          </w:p>
        </w:tc>
      </w:tr>
      <w:tr>
        <w:tblPrEx>
          <w:tblLayout w:type="fixed"/>
          <w:tblCellMar>
            <w:top w:w="0" w:type="dxa"/>
            <w:left w:w="0" w:type="dxa"/>
            <w:bottom w:w="0" w:type="dxa"/>
            <w:right w:w="0" w:type="dxa"/>
          </w:tblCellMar>
        </w:tblPrEx>
        <w:trPr>
          <w:trHeight w:val="640" w:hRule="atLeast"/>
          <w:jc w:val="center"/>
        </w:trPr>
        <w:tc>
          <w:tcPr>
            <w:tcW w:w="1383" w:type="dxa"/>
            <w:vMerge w:val="continue"/>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p>
        </w:tc>
        <w:tc>
          <w:tcPr>
            <w:tcW w:w="2431"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both"/>
              <w:rPr>
                <w:color w:val="000000" w:themeColor="text1"/>
                <w:sz w:val="21"/>
                <w:szCs w:val="21"/>
              </w:rPr>
            </w:pPr>
            <w:r>
              <w:rPr>
                <w:rFonts w:hint="eastAsia"/>
                <w:color w:val="000000" w:themeColor="text1"/>
                <w:sz w:val="21"/>
                <w:szCs w:val="21"/>
              </w:rPr>
              <w:t>纬度：N24</w:t>
            </w:r>
            <w:r>
              <w:rPr>
                <w:color w:val="000000" w:themeColor="text1"/>
                <w:sz w:val="21"/>
                <w:szCs w:val="21"/>
              </w:rPr>
              <w:t>°</w:t>
            </w:r>
            <w:r>
              <w:rPr>
                <w:rFonts w:hint="eastAsia"/>
                <w:color w:val="000000" w:themeColor="text1"/>
                <w:sz w:val="21"/>
                <w:szCs w:val="21"/>
              </w:rPr>
              <w:t>07</w:t>
            </w:r>
            <w:r>
              <w:rPr>
                <w:color w:val="000000" w:themeColor="text1"/>
                <w:sz w:val="21"/>
                <w:szCs w:val="21"/>
              </w:rPr>
              <w:t>ʹ</w:t>
            </w:r>
            <w:r>
              <w:rPr>
                <w:rFonts w:hint="eastAsia"/>
                <w:color w:val="000000" w:themeColor="text1"/>
                <w:sz w:val="21"/>
                <w:szCs w:val="21"/>
              </w:rPr>
              <w:t>12.622</w:t>
            </w:r>
            <w:r>
              <w:rPr>
                <w:color w:val="000000" w:themeColor="text1"/>
                <w:sz w:val="21"/>
                <w:szCs w:val="21"/>
              </w:rPr>
              <w:t>ʺ</w:t>
            </w:r>
          </w:p>
        </w:tc>
        <w:tc>
          <w:tcPr>
            <w:tcW w:w="1198" w:type="dxa"/>
            <w:vMerge w:val="continue"/>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p>
        </w:tc>
        <w:tc>
          <w:tcPr>
            <w:tcW w:w="1399" w:type="dxa"/>
            <w:vMerge w:val="continue"/>
            <w:tcBorders>
              <w:left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p>
        </w:tc>
        <w:tc>
          <w:tcPr>
            <w:tcW w:w="1399" w:type="dxa"/>
            <w:vMerge w:val="continue"/>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p>
        </w:tc>
        <w:tc>
          <w:tcPr>
            <w:tcW w:w="2328" w:type="dxa"/>
            <w:vMerge w:val="continue"/>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p>
        </w:tc>
      </w:tr>
      <w:tr>
        <w:tblPrEx>
          <w:tblLayout w:type="fixed"/>
          <w:tblCellMar>
            <w:top w:w="0" w:type="dxa"/>
            <w:left w:w="0" w:type="dxa"/>
            <w:bottom w:w="0" w:type="dxa"/>
            <w:right w:w="0" w:type="dxa"/>
          </w:tblCellMar>
        </w:tblPrEx>
        <w:trPr>
          <w:trHeight w:val="581" w:hRule="atLeast"/>
          <w:jc w:val="center"/>
        </w:trPr>
        <w:tc>
          <w:tcPr>
            <w:tcW w:w="1383" w:type="dxa"/>
            <w:vMerge w:val="restart"/>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rFonts w:hint="eastAsia"/>
                <w:color w:val="000000" w:themeColor="text1"/>
                <w:sz w:val="21"/>
                <w:szCs w:val="21"/>
              </w:rPr>
              <w:t>辣子箐尾矿库下游</w:t>
            </w:r>
          </w:p>
        </w:tc>
        <w:tc>
          <w:tcPr>
            <w:tcW w:w="2431" w:type="dxa"/>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both"/>
              <w:rPr>
                <w:color w:val="000000" w:themeColor="text1"/>
                <w:sz w:val="21"/>
                <w:szCs w:val="21"/>
              </w:rPr>
            </w:pPr>
            <w:r>
              <w:rPr>
                <w:rFonts w:hint="eastAsia"/>
                <w:color w:val="000000" w:themeColor="text1"/>
                <w:sz w:val="21"/>
                <w:szCs w:val="21"/>
              </w:rPr>
              <w:t>经度：E101</w:t>
            </w:r>
            <w:r>
              <w:rPr>
                <w:color w:val="000000" w:themeColor="text1"/>
                <w:sz w:val="21"/>
                <w:szCs w:val="21"/>
              </w:rPr>
              <w:t>°</w:t>
            </w:r>
            <w:r>
              <w:rPr>
                <w:rFonts w:hint="eastAsia"/>
                <w:color w:val="000000" w:themeColor="text1"/>
                <w:sz w:val="21"/>
                <w:szCs w:val="21"/>
              </w:rPr>
              <w:t>60</w:t>
            </w:r>
            <w:r>
              <w:rPr>
                <w:color w:val="000000" w:themeColor="text1"/>
                <w:sz w:val="21"/>
                <w:szCs w:val="21"/>
              </w:rPr>
              <w:t>ʹ</w:t>
            </w:r>
            <w:r>
              <w:rPr>
                <w:rFonts w:hint="eastAsia"/>
                <w:color w:val="000000" w:themeColor="text1"/>
                <w:sz w:val="21"/>
                <w:szCs w:val="21"/>
              </w:rPr>
              <w:t>57.319</w:t>
            </w:r>
            <w:r>
              <w:rPr>
                <w:color w:val="000000" w:themeColor="text1"/>
                <w:sz w:val="21"/>
                <w:szCs w:val="21"/>
              </w:rPr>
              <w:t>ʺ</w:t>
            </w:r>
          </w:p>
        </w:tc>
        <w:tc>
          <w:tcPr>
            <w:tcW w:w="1198" w:type="dxa"/>
            <w:vMerge w:val="continue"/>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p>
        </w:tc>
        <w:tc>
          <w:tcPr>
            <w:tcW w:w="1399" w:type="dxa"/>
            <w:vMerge w:val="continue"/>
            <w:tcBorders>
              <w:left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p>
        </w:tc>
        <w:tc>
          <w:tcPr>
            <w:tcW w:w="1399" w:type="dxa"/>
            <w:vMerge w:val="restart"/>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r>
              <w:rPr>
                <w:rFonts w:hint="eastAsia"/>
                <w:color w:val="000000" w:themeColor="text1"/>
                <w:sz w:val="21"/>
                <w:szCs w:val="21"/>
              </w:rPr>
              <w:t>1</w:t>
            </w:r>
            <w:r>
              <w:rPr>
                <w:color w:val="000000" w:themeColor="text1"/>
                <w:sz w:val="21"/>
                <w:szCs w:val="21"/>
              </w:rPr>
              <w:t>次</w:t>
            </w:r>
            <w:r>
              <w:rPr>
                <w:rFonts w:hint="eastAsia"/>
                <w:color w:val="000000" w:themeColor="text1"/>
                <w:sz w:val="21"/>
                <w:szCs w:val="21"/>
              </w:rPr>
              <w:t>/半年</w:t>
            </w:r>
          </w:p>
        </w:tc>
        <w:tc>
          <w:tcPr>
            <w:tcW w:w="2328" w:type="dxa"/>
            <w:vMerge w:val="continue"/>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p>
        </w:tc>
      </w:tr>
      <w:tr>
        <w:tblPrEx>
          <w:tblLayout w:type="fixed"/>
          <w:tblCellMar>
            <w:top w:w="0" w:type="dxa"/>
            <w:left w:w="0" w:type="dxa"/>
            <w:bottom w:w="0" w:type="dxa"/>
            <w:right w:w="0" w:type="dxa"/>
          </w:tblCellMar>
        </w:tblPrEx>
        <w:trPr>
          <w:trHeight w:val="615" w:hRule="atLeast"/>
          <w:jc w:val="center"/>
        </w:trPr>
        <w:tc>
          <w:tcPr>
            <w:tcW w:w="1383" w:type="dxa"/>
            <w:vMerge w:val="continue"/>
            <w:tcBorders>
              <w:top w:val="single" w:color="auto" w:sz="4" w:space="0"/>
              <w:left w:val="single" w:color="auto" w:sz="4" w:space="0"/>
              <w:bottom w:val="single" w:color="auto" w:sz="4" w:space="0"/>
              <w:right w:val="single" w:color="000000" w:sz="4" w:space="0"/>
            </w:tcBorders>
            <w:vAlign w:val="center"/>
          </w:tcPr>
          <w:p>
            <w:pPr>
              <w:pStyle w:val="617"/>
              <w:spacing w:line="240" w:lineRule="auto"/>
              <w:ind w:firstLine="0" w:firstLineChars="0"/>
              <w:jc w:val="center"/>
              <w:rPr>
                <w:color w:val="000000" w:themeColor="text1"/>
                <w:sz w:val="21"/>
                <w:szCs w:val="21"/>
              </w:rPr>
            </w:pPr>
          </w:p>
        </w:tc>
        <w:tc>
          <w:tcPr>
            <w:tcW w:w="2431" w:type="dxa"/>
            <w:tcBorders>
              <w:top w:val="single" w:color="auto" w:sz="4" w:space="0"/>
              <w:left w:val="single" w:color="000000" w:sz="4" w:space="0"/>
              <w:bottom w:val="single" w:color="000000" w:sz="4" w:space="0"/>
              <w:right w:val="single" w:color="auto" w:sz="4" w:space="0"/>
            </w:tcBorders>
            <w:vAlign w:val="center"/>
          </w:tcPr>
          <w:p>
            <w:pPr>
              <w:pStyle w:val="617"/>
              <w:spacing w:line="240" w:lineRule="auto"/>
              <w:ind w:firstLine="0" w:firstLineChars="0"/>
              <w:jc w:val="both"/>
              <w:rPr>
                <w:color w:val="000000" w:themeColor="text1"/>
                <w:sz w:val="21"/>
                <w:szCs w:val="21"/>
              </w:rPr>
            </w:pPr>
            <w:r>
              <w:rPr>
                <w:rFonts w:hint="eastAsia"/>
                <w:color w:val="000000" w:themeColor="text1"/>
                <w:sz w:val="21"/>
                <w:szCs w:val="21"/>
              </w:rPr>
              <w:t>纬度：N24</w:t>
            </w:r>
            <w:r>
              <w:rPr>
                <w:color w:val="000000" w:themeColor="text1"/>
                <w:sz w:val="21"/>
                <w:szCs w:val="21"/>
              </w:rPr>
              <w:t>°</w:t>
            </w:r>
            <w:r>
              <w:rPr>
                <w:rFonts w:hint="eastAsia"/>
                <w:color w:val="000000" w:themeColor="text1"/>
                <w:sz w:val="21"/>
                <w:szCs w:val="21"/>
              </w:rPr>
              <w:t>06</w:t>
            </w:r>
            <w:r>
              <w:rPr>
                <w:color w:val="000000" w:themeColor="text1"/>
                <w:sz w:val="21"/>
                <w:szCs w:val="21"/>
              </w:rPr>
              <w:t>ʹ</w:t>
            </w:r>
            <w:r>
              <w:rPr>
                <w:rFonts w:hint="eastAsia"/>
                <w:color w:val="000000" w:themeColor="text1"/>
                <w:sz w:val="21"/>
                <w:szCs w:val="21"/>
              </w:rPr>
              <w:t>99.319</w:t>
            </w:r>
            <w:r>
              <w:rPr>
                <w:color w:val="000000" w:themeColor="text1"/>
                <w:sz w:val="21"/>
                <w:szCs w:val="21"/>
              </w:rPr>
              <w:t>ʺ</w:t>
            </w:r>
          </w:p>
        </w:tc>
        <w:tc>
          <w:tcPr>
            <w:tcW w:w="1198" w:type="dxa"/>
            <w:vMerge w:val="continue"/>
            <w:tcBorders>
              <w:top w:val="single" w:color="auto" w:sz="4" w:space="0"/>
              <w:left w:val="single" w:color="auto" w:sz="4" w:space="0"/>
              <w:bottom w:val="single" w:color="auto" w:sz="4" w:space="0"/>
              <w:right w:val="single" w:color="000000" w:sz="4" w:space="0"/>
            </w:tcBorders>
            <w:vAlign w:val="center"/>
          </w:tcPr>
          <w:p>
            <w:pPr>
              <w:pStyle w:val="617"/>
              <w:spacing w:line="240" w:lineRule="auto"/>
              <w:ind w:firstLine="0" w:firstLineChars="0"/>
              <w:jc w:val="center"/>
              <w:rPr>
                <w:color w:val="000000" w:themeColor="text1"/>
                <w:sz w:val="21"/>
                <w:szCs w:val="21"/>
              </w:rPr>
            </w:pPr>
          </w:p>
        </w:tc>
        <w:tc>
          <w:tcPr>
            <w:tcW w:w="1399" w:type="dxa"/>
            <w:vMerge w:val="continue"/>
            <w:tcBorders>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p>
        </w:tc>
        <w:tc>
          <w:tcPr>
            <w:tcW w:w="1399" w:type="dxa"/>
            <w:vMerge w:val="continue"/>
            <w:tcBorders>
              <w:top w:val="single" w:color="auto" w:sz="4" w:space="0"/>
              <w:left w:val="single" w:color="000000"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p>
        </w:tc>
        <w:tc>
          <w:tcPr>
            <w:tcW w:w="2328" w:type="dxa"/>
            <w:vMerge w:val="continue"/>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center"/>
              <w:rPr>
                <w:color w:val="000000" w:themeColor="text1"/>
                <w:sz w:val="21"/>
                <w:szCs w:val="21"/>
              </w:rPr>
            </w:pPr>
          </w:p>
        </w:tc>
      </w:tr>
      <w:tr>
        <w:tblPrEx>
          <w:tblLayout w:type="fixed"/>
          <w:tblCellMar>
            <w:top w:w="0" w:type="dxa"/>
            <w:left w:w="0" w:type="dxa"/>
            <w:bottom w:w="0" w:type="dxa"/>
            <w:right w:w="0" w:type="dxa"/>
          </w:tblCellMar>
        </w:tblPrEx>
        <w:trPr>
          <w:trHeight w:val="434" w:hRule="atLeast"/>
          <w:jc w:val="center"/>
        </w:trPr>
        <w:tc>
          <w:tcPr>
            <w:tcW w:w="10138" w:type="dxa"/>
            <w:gridSpan w:val="6"/>
            <w:tcBorders>
              <w:top w:val="single" w:color="auto" w:sz="4" w:space="0"/>
              <w:left w:val="single" w:color="auto" w:sz="4" w:space="0"/>
              <w:bottom w:val="single" w:color="auto" w:sz="4" w:space="0"/>
              <w:right w:val="single" w:color="auto" w:sz="4" w:space="0"/>
            </w:tcBorders>
            <w:vAlign w:val="center"/>
          </w:tcPr>
          <w:p>
            <w:pPr>
              <w:pStyle w:val="617"/>
              <w:spacing w:line="240" w:lineRule="auto"/>
              <w:ind w:firstLine="0" w:firstLineChars="0"/>
              <w:jc w:val="both"/>
              <w:rPr>
                <w:color w:val="000000" w:themeColor="text1"/>
                <w:sz w:val="21"/>
                <w:szCs w:val="21"/>
              </w:rPr>
            </w:pPr>
            <w:r>
              <w:rPr>
                <w:rFonts w:hint="eastAsia"/>
                <w:color w:val="000000" w:themeColor="text1"/>
                <w:sz w:val="21"/>
                <w:szCs w:val="21"/>
              </w:rPr>
              <w:t>注：监测井应按照《地下水环境监测技术规范》（HJ164-2020）设置。</w:t>
            </w:r>
          </w:p>
        </w:tc>
      </w:tr>
    </w:tbl>
    <w:p>
      <w:pPr>
        <w:ind w:firstLine="80"/>
        <w:rPr>
          <w:b/>
          <w:bCs/>
          <w:color w:val="000000" w:themeColor="text1"/>
          <w:sz w:val="4"/>
          <w:szCs w:val="4"/>
        </w:rPr>
      </w:pPr>
    </w:p>
    <w:p>
      <w:pPr>
        <w:snapToGrid w:val="0"/>
        <w:ind w:firstLine="480"/>
        <w:rPr>
          <w:color w:val="000000" w:themeColor="text1"/>
          <w:szCs w:val="24"/>
        </w:rPr>
      </w:pPr>
      <w:r>
        <w:rPr>
          <w:color w:val="000000" w:themeColor="text1"/>
          <w:szCs w:val="24"/>
        </w:rPr>
        <w:t>③监测数据管理</w:t>
      </w:r>
    </w:p>
    <w:p>
      <w:pPr>
        <w:snapToGrid w:val="0"/>
        <w:ind w:firstLine="480"/>
        <w:rPr>
          <w:color w:val="000000" w:themeColor="text1"/>
          <w:szCs w:val="24"/>
        </w:rPr>
      </w:pPr>
      <w:r>
        <w:rPr>
          <w:color w:val="000000" w:themeColor="text1"/>
          <w:szCs w:val="24"/>
        </w:rPr>
        <w:t>监测结果应按有关规定及时建立档案，并定期向生态环境部门汇报，对于常规监测数据应该进行公开。</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6.2.3.9小结</w:t>
      </w:r>
    </w:p>
    <w:p>
      <w:pPr>
        <w:ind w:firstLine="480"/>
        <w:rPr>
          <w:rFonts w:eastAsiaTheme="minorEastAsia"/>
          <w:color w:val="000000" w:themeColor="text1"/>
        </w:rPr>
      </w:pPr>
      <w:r>
        <w:rPr>
          <w:rFonts w:eastAsiaTheme="minorEastAsia"/>
          <w:color w:val="000000" w:themeColor="text1"/>
        </w:rPr>
        <w:t>项目选矿生产影响的地下水主要为第四系孔隙水含水层和舍资组砂岩弱裂隙含水层，根据现场调查地下水影响范围内无人开采该层裂隙水作为饮用水源，该层地下水自然排泄至困龙河和戛洒江。项目选矿废水沉淀处理后全部回用，</w:t>
      </w:r>
      <w:r>
        <w:rPr>
          <w:rFonts w:hint="eastAsia" w:eastAsiaTheme="minorEastAsia"/>
          <w:color w:val="000000" w:themeColor="text1"/>
          <w:lang w:val="en-US" w:eastAsia="zh-CN"/>
        </w:rPr>
        <w:t>尾矿废水随尾矿携带进入依托的浓密池，</w:t>
      </w:r>
      <w:r>
        <w:rPr>
          <w:rFonts w:eastAsiaTheme="minorEastAsia"/>
          <w:color w:val="000000" w:themeColor="text1"/>
        </w:rPr>
        <w:t>生产区地面、排水沟进行一般防渗处理。项目尾矿为Ⅰ类一般工业固废，浸出毒性实验浸出液污染物含量低，选矿废水污染物含量低，下渗水对地下水水质影响小，下渗废水随地下水短途排泄至戛洒江和困龙河，戛洒江和困龙河水量大，排至戛洒江和困龙河废水经过稀释之后对戛洒江和困龙河水质影响不大，附近最近村庄饮用水全部来自戛洒镇自来水厂供水，戛洒水厂取水点不在项目地下水影响范围内。综合分析项目生产对地下水影响不大。</w:t>
      </w:r>
    </w:p>
    <w:p>
      <w:pPr>
        <w:ind w:firstLine="480"/>
        <w:rPr>
          <w:rFonts w:eastAsiaTheme="minorEastAsia"/>
          <w:color w:val="000000" w:themeColor="text1"/>
        </w:rPr>
      </w:pPr>
      <w:r>
        <w:rPr>
          <w:rFonts w:eastAsiaTheme="minorEastAsia"/>
          <w:color w:val="000000" w:themeColor="text1"/>
        </w:rPr>
        <w:t>项目在以后生产过程中要加强管理，严防选矿废水跑冒滴漏；尾矿浆沉淀池开裂时要及时修补，防止废水大量下渗污染地下水，加强对项目所在地地下水监测，及时了解项目所在地地下水水质情况，降低地下水受污染的风险。</w:t>
      </w:r>
      <w:r>
        <w:rPr>
          <w:rFonts w:eastAsiaTheme="minorEastAsia"/>
          <w:color w:val="000000" w:themeColor="text1"/>
          <w:szCs w:val="24"/>
        </w:rPr>
        <w:t>对尾矿库设置地下水监控井，定期对尾矿库附件地下水进行监测，及时了解尾矿库地下水水质情况，掌握尾矿库是否发生泄漏，若发生泄漏要及时处理。</w:t>
      </w:r>
    </w:p>
    <w:p>
      <w:pPr>
        <w:pStyle w:val="6"/>
        <w:spacing w:beforeLines="0" w:afterLines="0"/>
        <w:rPr>
          <w:rFonts w:eastAsiaTheme="minorEastAsia"/>
          <w:color w:val="000000" w:themeColor="text1"/>
          <w:sz w:val="28"/>
          <w:szCs w:val="28"/>
        </w:rPr>
      </w:pPr>
      <w:bookmarkStart w:id="677" w:name="_Toc30588"/>
      <w:r>
        <w:rPr>
          <w:rFonts w:eastAsiaTheme="minorEastAsia"/>
          <w:color w:val="000000" w:themeColor="text1"/>
          <w:sz w:val="28"/>
          <w:szCs w:val="28"/>
        </w:rPr>
        <w:t>6.2.4噪声环境影响预测分析与评价</w:t>
      </w:r>
      <w:bookmarkEnd w:id="677"/>
    </w:p>
    <w:p>
      <w:pPr>
        <w:autoSpaceDE w:val="0"/>
        <w:autoSpaceDN w:val="0"/>
        <w:adjustRightInd w:val="0"/>
        <w:ind w:firstLine="482"/>
        <w:rPr>
          <w:rFonts w:eastAsiaTheme="minorEastAsia"/>
          <w:b/>
          <w:color w:val="000000" w:themeColor="text1"/>
        </w:rPr>
      </w:pPr>
      <w:r>
        <w:rPr>
          <w:rFonts w:eastAsiaTheme="minorEastAsia"/>
          <w:b/>
          <w:color w:val="000000" w:themeColor="text1"/>
        </w:rPr>
        <w:t>1、噪声源强</w:t>
      </w:r>
    </w:p>
    <w:p>
      <w:pPr>
        <w:ind w:firstLine="480"/>
        <w:rPr>
          <w:rFonts w:eastAsiaTheme="minorEastAsia"/>
          <w:color w:val="000000" w:themeColor="text1"/>
          <w:szCs w:val="24"/>
        </w:rPr>
      </w:pPr>
      <w:r>
        <w:rPr>
          <w:rFonts w:eastAsiaTheme="minorEastAsia"/>
          <w:color w:val="000000" w:themeColor="text1"/>
          <w:szCs w:val="24"/>
        </w:rPr>
        <w:t>本次技改新增噪声源强在80—95dB（A）。在采用减震、隔声处理措施后，噪声控制在80dB（A）以下，具体噪声源强详见工程分析。</w:t>
      </w:r>
    </w:p>
    <w:p>
      <w:pPr>
        <w:ind w:firstLine="480"/>
        <w:jc w:val="center"/>
        <w:rPr>
          <w:rFonts w:eastAsiaTheme="minorEastAsia"/>
          <w:color w:val="000000" w:themeColor="text1"/>
        </w:rPr>
      </w:pPr>
      <w:r>
        <w:rPr>
          <w:rFonts w:eastAsiaTheme="minorEastAsia"/>
          <w:color w:val="000000" w:themeColor="text1"/>
          <w:lang w:val="zh-CN"/>
        </w:rPr>
        <w:object>
          <v:shape id="_x0000_i1051" o:spt="75" type="#_x0000_t75" style="height:37.35pt;width:173.9pt;" o:ole="t" filled="f" o:preferrelative="t" stroked="f" coordsize="21600,21600">
            <v:path/>
            <v:fill on="f" focussize="0,0"/>
            <v:stroke on="f" joinstyle="miter"/>
            <v:imagedata r:id="rId106" o:title=""/>
            <o:lock v:ext="edit" aspectratio="t"/>
            <w10:wrap type="none"/>
            <w10:anchorlock/>
          </v:shape>
          <o:OLEObject Type="Embed" ProgID="Equation.3" ShapeID="_x0000_i1051" DrawAspect="Content" ObjectID="_1468075750" r:id="rId105">
            <o:LockedField>false</o:LockedField>
          </o:OLEObject>
        </w:object>
      </w:r>
    </w:p>
    <w:p>
      <w:pPr>
        <w:adjustRightInd w:val="0"/>
        <w:snapToGrid w:val="0"/>
        <w:ind w:firstLine="480"/>
        <w:rPr>
          <w:rFonts w:eastAsiaTheme="minorEastAsia"/>
          <w:color w:val="000000" w:themeColor="text1"/>
        </w:rPr>
      </w:pPr>
      <w:r>
        <w:rPr>
          <w:rFonts w:eastAsiaTheme="minorEastAsia"/>
          <w:color w:val="000000" w:themeColor="text1"/>
        </w:rPr>
        <w:t>式中：</w:t>
      </w:r>
      <w:r>
        <w:rPr>
          <w:rFonts w:eastAsiaTheme="minorEastAsia"/>
          <w:color w:val="000000" w:themeColor="text1"/>
        </w:rPr>
        <w:drawing>
          <wp:inline distT="0" distB="0" distL="0" distR="0">
            <wp:extent cx="532765" cy="275590"/>
            <wp:effectExtent l="0" t="0" r="635" b="1016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07" cstate="print"/>
                    <a:stretch>
                      <a:fillRect/>
                    </a:stretch>
                  </pic:blipFill>
                  <pic:spPr>
                    <a:xfrm>
                      <a:off x="0" y="0"/>
                      <a:ext cx="533333" cy="276190"/>
                    </a:xfrm>
                    <a:prstGeom prst="rect">
                      <a:avLst/>
                    </a:prstGeom>
                  </pic:spPr>
                </pic:pic>
              </a:graphicData>
            </a:graphic>
          </wp:inline>
        </w:drawing>
      </w:r>
      <w:r>
        <w:rPr>
          <w:rFonts w:eastAsiaTheme="minorEastAsia"/>
          <w:color w:val="000000" w:themeColor="text1"/>
        </w:rPr>
        <w:t>──点声源在预测点产生的声压级，dB(A)；</w:t>
      </w:r>
    </w:p>
    <w:p>
      <w:pPr>
        <w:adjustRightInd w:val="0"/>
        <w:snapToGrid w:val="0"/>
        <w:ind w:firstLine="960" w:firstLineChars="400"/>
        <w:rPr>
          <w:rFonts w:eastAsiaTheme="minorEastAsia"/>
          <w:color w:val="000000" w:themeColor="text1"/>
        </w:rPr>
      </w:pPr>
      <w:r>
        <w:rPr>
          <w:rFonts w:eastAsiaTheme="minorEastAsia"/>
          <w:color w:val="000000" w:themeColor="text1"/>
        </w:rPr>
        <w:drawing>
          <wp:inline distT="0" distB="0" distL="0" distR="0">
            <wp:extent cx="704215" cy="266065"/>
            <wp:effectExtent l="0" t="0" r="635" b="63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08" cstate="print"/>
                    <a:stretch>
                      <a:fillRect/>
                    </a:stretch>
                  </pic:blipFill>
                  <pic:spPr>
                    <a:xfrm>
                      <a:off x="0" y="0"/>
                      <a:ext cx="704762" cy="266667"/>
                    </a:xfrm>
                    <a:prstGeom prst="rect">
                      <a:avLst/>
                    </a:prstGeom>
                  </pic:spPr>
                </pic:pic>
              </a:graphicData>
            </a:graphic>
          </wp:inline>
        </w:drawing>
      </w:r>
      <w:r>
        <w:rPr>
          <w:rFonts w:eastAsiaTheme="minorEastAsia"/>
          <w:color w:val="000000" w:themeColor="text1"/>
        </w:rPr>
        <w:t>──参考位置</w:t>
      </w:r>
      <w:r>
        <w:rPr>
          <w:rFonts w:eastAsiaTheme="minorEastAsia"/>
          <w:color w:val="000000" w:themeColor="text1"/>
        </w:rPr>
        <w:drawing>
          <wp:inline distT="0" distB="0" distL="0" distR="0">
            <wp:extent cx="161290" cy="266065"/>
            <wp:effectExtent l="0" t="0" r="10160" b="63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09" cstate="print"/>
                    <a:stretch>
                      <a:fillRect/>
                    </a:stretch>
                  </pic:blipFill>
                  <pic:spPr>
                    <a:xfrm>
                      <a:off x="0" y="0"/>
                      <a:ext cx="161905" cy="266667"/>
                    </a:xfrm>
                    <a:prstGeom prst="rect">
                      <a:avLst/>
                    </a:prstGeom>
                  </pic:spPr>
                </pic:pic>
              </a:graphicData>
            </a:graphic>
          </wp:inline>
        </w:drawing>
      </w:r>
      <w:r>
        <w:rPr>
          <w:rFonts w:eastAsiaTheme="minorEastAsia"/>
          <w:color w:val="000000" w:themeColor="text1"/>
        </w:rPr>
        <w:t>处的的声压级，dB(A)；</w:t>
      </w:r>
    </w:p>
    <w:p>
      <w:pPr>
        <w:pStyle w:val="618"/>
        <w:adjustRightInd w:val="0"/>
        <w:snapToGrid w:val="0"/>
        <w:ind w:firstLine="960" w:firstLineChars="400"/>
        <w:rPr>
          <w:rFonts w:eastAsiaTheme="minorEastAsia"/>
          <w:color w:val="000000" w:themeColor="text1"/>
        </w:rPr>
      </w:pPr>
      <w:r>
        <w:rPr>
          <w:rFonts w:eastAsiaTheme="minorEastAsia"/>
          <w:color w:val="000000" w:themeColor="text1"/>
        </w:rPr>
        <w:t>r——预测点距声源距离，m；</w:t>
      </w:r>
    </w:p>
    <w:p>
      <w:pPr>
        <w:pStyle w:val="618"/>
        <w:adjustRightInd w:val="0"/>
        <w:snapToGrid w:val="0"/>
        <w:ind w:firstLine="960" w:firstLineChars="400"/>
        <w:rPr>
          <w:rFonts w:eastAsiaTheme="minorEastAsia"/>
          <w:color w:val="000000" w:themeColor="text1"/>
        </w:rPr>
      </w:pPr>
      <w:r>
        <w:rPr>
          <w:rFonts w:eastAsiaTheme="minorEastAsia"/>
          <w:color w:val="000000" w:themeColor="text1"/>
        </w:rPr>
        <w:t>r</w:t>
      </w:r>
      <w:r>
        <w:rPr>
          <w:rFonts w:eastAsiaTheme="minorEastAsia"/>
          <w:color w:val="000000" w:themeColor="text1"/>
          <w:vertAlign w:val="subscript"/>
        </w:rPr>
        <w:t>0</w:t>
      </w:r>
      <w:r>
        <w:rPr>
          <w:rFonts w:eastAsiaTheme="minorEastAsia"/>
          <w:color w:val="000000" w:themeColor="text1"/>
        </w:rPr>
        <w:t>──参考位置距声源的距离，m；</w:t>
      </w:r>
    </w:p>
    <w:p>
      <w:pPr>
        <w:ind w:firstLine="1200" w:firstLineChars="500"/>
        <w:rPr>
          <w:rFonts w:eastAsiaTheme="minorEastAsia"/>
          <w:color w:val="000000" w:themeColor="text1"/>
        </w:rPr>
      </w:pPr>
      <w:r>
        <w:rPr>
          <w:rFonts w:eastAsiaTheme="minorEastAsia"/>
          <w:color w:val="000000" w:themeColor="text1"/>
          <w:lang w:val="zh-CN"/>
        </w:rPr>
        <w:t>Δloct－各种因素引起的衰减量(包括声屏障、遮挡物、空气吸收、地面效应等引起的衰减量，其计算方法详见“导则”正文)。</w:t>
      </w:r>
    </w:p>
    <w:p>
      <w:pPr>
        <w:adjustRightInd w:val="0"/>
        <w:snapToGrid w:val="0"/>
        <w:ind w:firstLine="676" w:firstLineChars="282"/>
        <w:rPr>
          <w:rFonts w:eastAsiaTheme="minorEastAsia"/>
          <w:color w:val="000000" w:themeColor="text1"/>
        </w:rPr>
      </w:pPr>
      <w:r>
        <w:rPr>
          <w:rFonts w:eastAsiaTheme="minorEastAsia"/>
          <w:color w:val="000000" w:themeColor="text1"/>
        </w:rPr>
        <w:t>声压级合成模式：</w:t>
      </w:r>
    </w:p>
    <w:p>
      <w:pPr>
        <w:adjustRightInd w:val="0"/>
        <w:snapToGrid w:val="0"/>
        <w:ind w:firstLine="480"/>
        <w:jc w:val="center"/>
        <w:rPr>
          <w:rFonts w:eastAsiaTheme="minorEastAsia"/>
          <w:color w:val="000000" w:themeColor="text1"/>
        </w:rPr>
      </w:pPr>
      <w:r>
        <w:rPr>
          <w:rFonts w:eastAsiaTheme="minorEastAsia"/>
          <w:color w:val="000000" w:themeColor="text1"/>
        </w:rPr>
        <w:drawing>
          <wp:inline distT="0" distB="0" distL="0" distR="0">
            <wp:extent cx="2303780" cy="655320"/>
            <wp:effectExtent l="0" t="0" r="1270" b="1143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10" cstate="print"/>
                    <a:stretch>
                      <a:fillRect/>
                    </a:stretch>
                  </pic:blipFill>
                  <pic:spPr>
                    <a:xfrm>
                      <a:off x="0" y="0"/>
                      <a:ext cx="2303780" cy="655320"/>
                    </a:xfrm>
                    <a:prstGeom prst="rect">
                      <a:avLst/>
                    </a:prstGeom>
                  </pic:spPr>
                </pic:pic>
              </a:graphicData>
            </a:graphic>
          </wp:inline>
        </w:drawing>
      </w:r>
    </w:p>
    <w:p>
      <w:pPr>
        <w:adjustRightInd w:val="0"/>
        <w:snapToGrid w:val="0"/>
        <w:ind w:firstLine="676" w:firstLineChars="282"/>
        <w:rPr>
          <w:rFonts w:eastAsiaTheme="minorEastAsia"/>
          <w:color w:val="000000" w:themeColor="text1"/>
        </w:rPr>
      </w:pPr>
      <w:r>
        <w:rPr>
          <w:rFonts w:eastAsiaTheme="minorEastAsia"/>
          <w:color w:val="000000" w:themeColor="text1"/>
        </w:rPr>
        <w:t>式中：</w:t>
      </w:r>
      <w:r>
        <w:rPr>
          <w:rFonts w:eastAsiaTheme="minorEastAsia"/>
          <w:color w:val="000000" w:themeColor="text1"/>
          <w:szCs w:val="24"/>
        </w:rPr>
        <w:drawing>
          <wp:inline distT="0" distB="0" distL="0" distR="0">
            <wp:extent cx="504190" cy="418465"/>
            <wp:effectExtent l="0" t="0" r="10160" b="63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11" cstate="print"/>
                    <a:stretch>
                      <a:fillRect/>
                    </a:stretch>
                  </pic:blipFill>
                  <pic:spPr>
                    <a:xfrm>
                      <a:off x="0" y="0"/>
                      <a:ext cx="504762" cy="419048"/>
                    </a:xfrm>
                    <a:prstGeom prst="rect">
                      <a:avLst/>
                    </a:prstGeom>
                  </pic:spPr>
                </pic:pic>
              </a:graphicData>
            </a:graphic>
          </wp:inline>
        </w:drawing>
      </w:r>
      <w:r>
        <w:rPr>
          <w:rFonts w:eastAsiaTheme="minorEastAsia"/>
          <w:color w:val="000000" w:themeColor="text1"/>
        </w:rPr>
        <w:t>—预测点总声压级，dB（A）；</w:t>
      </w:r>
    </w:p>
    <w:p>
      <w:pPr>
        <w:adjustRightInd w:val="0"/>
        <w:snapToGrid w:val="0"/>
        <w:ind w:firstLine="1440" w:firstLineChars="600"/>
        <w:rPr>
          <w:rFonts w:eastAsiaTheme="minorEastAsia"/>
          <w:color w:val="000000" w:themeColor="text1"/>
        </w:rPr>
      </w:pPr>
      <w:r>
        <w:rPr>
          <w:rFonts w:eastAsiaTheme="minorEastAsia"/>
          <w:color w:val="000000" w:themeColor="text1"/>
          <w:szCs w:val="24"/>
        </w:rPr>
        <w:drawing>
          <wp:inline distT="0" distB="0" distL="0" distR="0">
            <wp:extent cx="370840" cy="408940"/>
            <wp:effectExtent l="0" t="0" r="10160" b="1016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12" cstate="print"/>
                    <a:stretch>
                      <a:fillRect/>
                    </a:stretch>
                  </pic:blipFill>
                  <pic:spPr>
                    <a:xfrm>
                      <a:off x="0" y="0"/>
                      <a:ext cx="371429" cy="409524"/>
                    </a:xfrm>
                    <a:prstGeom prst="rect">
                      <a:avLst/>
                    </a:prstGeom>
                  </pic:spPr>
                </pic:pic>
              </a:graphicData>
            </a:graphic>
          </wp:inline>
        </w:drawing>
      </w:r>
      <w:r>
        <w:rPr>
          <w:rFonts w:eastAsiaTheme="minorEastAsia"/>
          <w:color w:val="000000" w:themeColor="text1"/>
        </w:rPr>
        <w:t>—第i个点声源在预测点产生的A声压级，dB（A）；</w:t>
      </w:r>
    </w:p>
    <w:p>
      <w:pPr>
        <w:adjustRightInd w:val="0"/>
        <w:snapToGrid w:val="0"/>
        <w:ind w:firstLine="1440" w:firstLineChars="600"/>
        <w:rPr>
          <w:rFonts w:eastAsiaTheme="minorEastAsia"/>
          <w:color w:val="000000" w:themeColor="text1"/>
        </w:rPr>
      </w:pPr>
      <w:r>
        <w:rPr>
          <w:rFonts w:eastAsiaTheme="minorEastAsia"/>
          <w:color w:val="000000" w:themeColor="text1"/>
        </w:rPr>
        <w:t>N—声源个数。</w:t>
      </w:r>
    </w:p>
    <w:p>
      <w:pPr>
        <w:autoSpaceDE w:val="0"/>
        <w:autoSpaceDN w:val="0"/>
        <w:adjustRightInd w:val="0"/>
        <w:ind w:firstLine="482"/>
        <w:jc w:val="both"/>
        <w:rPr>
          <w:rFonts w:eastAsiaTheme="minorEastAsia"/>
          <w:b/>
          <w:color w:val="000000" w:themeColor="text1"/>
          <w:kern w:val="0"/>
          <w:szCs w:val="20"/>
        </w:rPr>
      </w:pPr>
      <w:bookmarkStart w:id="678" w:name="_Toc430201418"/>
      <w:bookmarkStart w:id="679" w:name="_Toc430953701"/>
      <w:bookmarkStart w:id="680" w:name="_Toc421915905"/>
      <w:bookmarkStart w:id="681" w:name="_Toc430953909"/>
      <w:bookmarkStart w:id="682" w:name="_Toc450603628"/>
      <w:bookmarkStart w:id="683" w:name="_Toc410033874"/>
      <w:r>
        <w:rPr>
          <w:rFonts w:eastAsiaTheme="minorEastAsia"/>
          <w:b/>
          <w:color w:val="000000" w:themeColor="text1"/>
          <w:kern w:val="0"/>
          <w:szCs w:val="20"/>
        </w:rPr>
        <w:t>3、预测结果及影响分析</w:t>
      </w:r>
      <w:bookmarkEnd w:id="678"/>
      <w:bookmarkEnd w:id="679"/>
      <w:bookmarkEnd w:id="680"/>
      <w:bookmarkEnd w:id="681"/>
      <w:bookmarkEnd w:id="682"/>
      <w:bookmarkEnd w:id="683"/>
    </w:p>
    <w:p>
      <w:pPr>
        <w:ind w:firstLine="480"/>
        <w:jc w:val="both"/>
        <w:rPr>
          <w:rFonts w:eastAsiaTheme="minorEastAsia"/>
          <w:color w:val="000000" w:themeColor="text1"/>
          <w:kern w:val="0"/>
          <w:szCs w:val="20"/>
        </w:rPr>
      </w:pPr>
      <w:r>
        <w:rPr>
          <w:rFonts w:eastAsiaTheme="minorEastAsia"/>
          <w:color w:val="000000" w:themeColor="text1"/>
          <w:kern w:val="0"/>
          <w:szCs w:val="20"/>
        </w:rPr>
        <w:t>（1）项目厂界噪声预测</w:t>
      </w:r>
    </w:p>
    <w:p>
      <w:pPr>
        <w:adjustRightInd w:val="0"/>
        <w:snapToGrid w:val="0"/>
        <w:ind w:firstLine="480"/>
        <w:jc w:val="both"/>
        <w:rPr>
          <w:rFonts w:eastAsiaTheme="minorEastAsia"/>
          <w:color w:val="000000" w:themeColor="text1"/>
          <w:kern w:val="0"/>
          <w:szCs w:val="20"/>
        </w:rPr>
      </w:pPr>
      <w:r>
        <w:rPr>
          <w:rFonts w:eastAsiaTheme="minorEastAsia"/>
          <w:color w:val="000000" w:themeColor="text1"/>
          <w:kern w:val="0"/>
          <w:szCs w:val="20"/>
        </w:rPr>
        <w:t>根据噪声产生点及平面布置可知，项目各噪声源与厂界的距离见表6.2-</w:t>
      </w:r>
      <w:r>
        <w:rPr>
          <w:rFonts w:hint="eastAsia" w:eastAsiaTheme="minorEastAsia"/>
          <w:color w:val="000000" w:themeColor="text1"/>
          <w:kern w:val="0"/>
          <w:szCs w:val="20"/>
        </w:rPr>
        <w:t>42</w:t>
      </w:r>
      <w:r>
        <w:rPr>
          <w:rFonts w:eastAsiaTheme="minorEastAsia"/>
          <w:color w:val="000000" w:themeColor="text1"/>
          <w:kern w:val="0"/>
          <w:szCs w:val="20"/>
        </w:rPr>
        <w:t>，厂界噪声预测结果见表6.2-</w:t>
      </w:r>
      <w:r>
        <w:rPr>
          <w:rFonts w:hint="eastAsia" w:eastAsiaTheme="minorEastAsia"/>
          <w:color w:val="000000" w:themeColor="text1"/>
          <w:kern w:val="0"/>
          <w:szCs w:val="20"/>
        </w:rPr>
        <w:t>43</w:t>
      </w:r>
      <w:r>
        <w:rPr>
          <w:rFonts w:eastAsiaTheme="minorEastAsia"/>
          <w:color w:val="000000" w:themeColor="text1"/>
          <w:kern w:val="0"/>
          <w:szCs w:val="20"/>
        </w:rPr>
        <w:t>。</w:t>
      </w:r>
    </w:p>
    <w:p>
      <w:pPr>
        <w:adjustRightInd w:val="0"/>
        <w:snapToGrid w:val="0"/>
        <w:ind w:firstLine="0" w:firstLineChars="0"/>
        <w:jc w:val="center"/>
        <w:rPr>
          <w:rFonts w:eastAsiaTheme="minorEastAsia"/>
          <w:b/>
          <w:color w:val="000000" w:themeColor="text1"/>
          <w:kern w:val="0"/>
          <w:sz w:val="21"/>
          <w:szCs w:val="20"/>
        </w:rPr>
      </w:pPr>
      <w:r>
        <w:rPr>
          <w:rFonts w:eastAsiaTheme="minorEastAsia"/>
          <w:b/>
          <w:color w:val="000000" w:themeColor="text1"/>
          <w:kern w:val="0"/>
          <w:sz w:val="21"/>
          <w:szCs w:val="20"/>
        </w:rPr>
        <w:t>表6.2-</w:t>
      </w:r>
      <w:r>
        <w:rPr>
          <w:rFonts w:hint="eastAsia" w:eastAsiaTheme="minorEastAsia"/>
          <w:b/>
          <w:color w:val="000000" w:themeColor="text1"/>
          <w:kern w:val="0"/>
          <w:sz w:val="21"/>
          <w:szCs w:val="20"/>
        </w:rPr>
        <w:t>42</w:t>
      </w:r>
      <w:r>
        <w:rPr>
          <w:rFonts w:eastAsiaTheme="minorEastAsia"/>
          <w:b/>
          <w:color w:val="000000" w:themeColor="text1"/>
          <w:kern w:val="0"/>
          <w:sz w:val="21"/>
          <w:szCs w:val="20"/>
        </w:rPr>
        <w:t>各噪声源源强与厂界距离一览表单位：m</w:t>
      </w:r>
    </w:p>
    <w:tbl>
      <w:tblPr>
        <w:tblStyle w:val="61"/>
        <w:tblW w:w="851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8"/>
        <w:gridCol w:w="1116"/>
        <w:gridCol w:w="1116"/>
        <w:gridCol w:w="1116"/>
        <w:gridCol w:w="912"/>
        <w:gridCol w:w="1015"/>
        <w:gridCol w:w="1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4" w:hRule="exact"/>
          <w:jc w:val="center"/>
        </w:trPr>
        <w:tc>
          <w:tcPr>
            <w:tcW w:w="2188" w:type="dxa"/>
            <w:vAlign w:val="center"/>
          </w:tcPr>
          <w:p>
            <w:pPr>
              <w:autoSpaceDE w:val="0"/>
              <w:autoSpaceDN w:val="0"/>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项目名称</w:t>
            </w:r>
          </w:p>
        </w:tc>
        <w:tc>
          <w:tcPr>
            <w:tcW w:w="1116" w:type="dxa"/>
            <w:vAlign w:val="center"/>
          </w:tcPr>
          <w:p>
            <w:pPr>
              <w:autoSpaceDE w:val="0"/>
              <w:autoSpaceDN w:val="0"/>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数量（台）</w:t>
            </w:r>
          </w:p>
        </w:tc>
        <w:tc>
          <w:tcPr>
            <w:tcW w:w="1116" w:type="dxa"/>
            <w:vAlign w:val="center"/>
          </w:tcPr>
          <w:p>
            <w:pPr>
              <w:autoSpaceDE w:val="0"/>
              <w:autoSpaceDN w:val="0"/>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降噪后同种设备叠加源强dB（A）</w:t>
            </w:r>
          </w:p>
        </w:tc>
        <w:tc>
          <w:tcPr>
            <w:tcW w:w="1116" w:type="dxa"/>
            <w:vAlign w:val="center"/>
          </w:tcPr>
          <w:p>
            <w:pPr>
              <w:autoSpaceDE w:val="0"/>
              <w:autoSpaceDN w:val="0"/>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东面厂界</w:t>
            </w:r>
          </w:p>
        </w:tc>
        <w:tc>
          <w:tcPr>
            <w:tcW w:w="912" w:type="dxa"/>
            <w:vAlign w:val="center"/>
          </w:tcPr>
          <w:p>
            <w:pPr>
              <w:autoSpaceDE w:val="0"/>
              <w:autoSpaceDN w:val="0"/>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西面厂界</w:t>
            </w:r>
          </w:p>
        </w:tc>
        <w:tc>
          <w:tcPr>
            <w:tcW w:w="1015" w:type="dxa"/>
            <w:vAlign w:val="center"/>
          </w:tcPr>
          <w:p>
            <w:pPr>
              <w:autoSpaceDE w:val="0"/>
              <w:autoSpaceDN w:val="0"/>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南面厂界</w:t>
            </w:r>
          </w:p>
        </w:tc>
        <w:tc>
          <w:tcPr>
            <w:tcW w:w="1056" w:type="dxa"/>
            <w:vAlign w:val="center"/>
          </w:tcPr>
          <w:p>
            <w:pPr>
              <w:autoSpaceDE w:val="0"/>
              <w:autoSpaceDN w:val="0"/>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北面厂界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2188"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立磨机</w:t>
            </w:r>
          </w:p>
        </w:tc>
        <w:tc>
          <w:tcPr>
            <w:tcW w:w="1116"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80</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100</w:t>
            </w:r>
          </w:p>
        </w:tc>
        <w:tc>
          <w:tcPr>
            <w:tcW w:w="912"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88</w:t>
            </w:r>
          </w:p>
        </w:tc>
        <w:tc>
          <w:tcPr>
            <w:tcW w:w="1015"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70</w:t>
            </w:r>
          </w:p>
        </w:tc>
        <w:tc>
          <w:tcPr>
            <w:tcW w:w="105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2188"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强</w:t>
            </w:r>
            <w:r>
              <w:rPr>
                <w:rFonts w:eastAsiaTheme="minorEastAsia"/>
                <w:bCs/>
                <w:iCs/>
                <w:color w:val="000000" w:themeColor="text1"/>
                <w:sz w:val="21"/>
                <w:szCs w:val="21"/>
              </w:rPr>
              <w:t>磁选机</w:t>
            </w:r>
          </w:p>
        </w:tc>
        <w:tc>
          <w:tcPr>
            <w:tcW w:w="1116"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5</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72</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83</w:t>
            </w:r>
          </w:p>
        </w:tc>
        <w:tc>
          <w:tcPr>
            <w:tcW w:w="912"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67</w:t>
            </w:r>
          </w:p>
        </w:tc>
        <w:tc>
          <w:tcPr>
            <w:tcW w:w="1015"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53</w:t>
            </w:r>
          </w:p>
        </w:tc>
        <w:tc>
          <w:tcPr>
            <w:tcW w:w="105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2188"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陶瓷过滤机</w:t>
            </w:r>
          </w:p>
        </w:tc>
        <w:tc>
          <w:tcPr>
            <w:tcW w:w="1116"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2</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69</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42</w:t>
            </w:r>
          </w:p>
        </w:tc>
        <w:tc>
          <w:tcPr>
            <w:tcW w:w="912"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144</w:t>
            </w:r>
          </w:p>
        </w:tc>
        <w:tc>
          <w:tcPr>
            <w:tcW w:w="1015"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66</w:t>
            </w:r>
          </w:p>
        </w:tc>
        <w:tc>
          <w:tcPr>
            <w:tcW w:w="105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2188"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lang w:val="en-GB"/>
              </w:rPr>
              <w:t>弱磁</w:t>
            </w:r>
            <w:r>
              <w:rPr>
                <w:rFonts w:eastAsiaTheme="minorEastAsia"/>
                <w:bCs/>
                <w:iCs/>
                <w:color w:val="000000" w:themeColor="text1"/>
                <w:sz w:val="21"/>
                <w:szCs w:val="21"/>
                <w:lang w:val="en-GB"/>
              </w:rPr>
              <w:t>选机</w:t>
            </w:r>
          </w:p>
        </w:tc>
        <w:tc>
          <w:tcPr>
            <w:tcW w:w="1116"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73</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50</w:t>
            </w:r>
          </w:p>
        </w:tc>
        <w:tc>
          <w:tcPr>
            <w:tcW w:w="912"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101</w:t>
            </w:r>
          </w:p>
        </w:tc>
        <w:tc>
          <w:tcPr>
            <w:tcW w:w="1015"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41</w:t>
            </w:r>
          </w:p>
        </w:tc>
        <w:tc>
          <w:tcPr>
            <w:tcW w:w="105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2188"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渣浆泵</w:t>
            </w:r>
          </w:p>
        </w:tc>
        <w:tc>
          <w:tcPr>
            <w:tcW w:w="1116"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2</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73</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45</w:t>
            </w:r>
          </w:p>
        </w:tc>
        <w:tc>
          <w:tcPr>
            <w:tcW w:w="912"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84</w:t>
            </w:r>
          </w:p>
        </w:tc>
        <w:tc>
          <w:tcPr>
            <w:tcW w:w="1015"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40</w:t>
            </w:r>
          </w:p>
        </w:tc>
        <w:tc>
          <w:tcPr>
            <w:tcW w:w="105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2188"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破碎机</w:t>
            </w:r>
          </w:p>
        </w:tc>
        <w:tc>
          <w:tcPr>
            <w:tcW w:w="1116"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4</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86</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98</w:t>
            </w:r>
          </w:p>
        </w:tc>
        <w:tc>
          <w:tcPr>
            <w:tcW w:w="912"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101</w:t>
            </w:r>
          </w:p>
        </w:tc>
        <w:tc>
          <w:tcPr>
            <w:tcW w:w="1015"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150</w:t>
            </w:r>
          </w:p>
        </w:tc>
        <w:tc>
          <w:tcPr>
            <w:tcW w:w="105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2188"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振动筛</w:t>
            </w:r>
          </w:p>
        </w:tc>
        <w:tc>
          <w:tcPr>
            <w:tcW w:w="1116"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3</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80</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80</w:t>
            </w:r>
          </w:p>
        </w:tc>
        <w:tc>
          <w:tcPr>
            <w:tcW w:w="912"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50</w:t>
            </w:r>
          </w:p>
        </w:tc>
        <w:tc>
          <w:tcPr>
            <w:tcW w:w="1015"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140</w:t>
            </w:r>
          </w:p>
        </w:tc>
        <w:tc>
          <w:tcPr>
            <w:tcW w:w="105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2188"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水平筛</w:t>
            </w:r>
          </w:p>
        </w:tc>
        <w:tc>
          <w:tcPr>
            <w:tcW w:w="1116"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1</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75</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73</w:t>
            </w:r>
          </w:p>
        </w:tc>
        <w:tc>
          <w:tcPr>
            <w:tcW w:w="912"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85</w:t>
            </w:r>
          </w:p>
        </w:tc>
        <w:tc>
          <w:tcPr>
            <w:tcW w:w="1015"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137</w:t>
            </w:r>
          </w:p>
        </w:tc>
        <w:tc>
          <w:tcPr>
            <w:tcW w:w="105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2188"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制砂机</w:t>
            </w:r>
          </w:p>
        </w:tc>
        <w:tc>
          <w:tcPr>
            <w:tcW w:w="1116"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80</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85</w:t>
            </w:r>
          </w:p>
        </w:tc>
        <w:tc>
          <w:tcPr>
            <w:tcW w:w="912"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74</w:t>
            </w:r>
          </w:p>
        </w:tc>
        <w:tc>
          <w:tcPr>
            <w:tcW w:w="1015"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132</w:t>
            </w:r>
          </w:p>
        </w:tc>
        <w:tc>
          <w:tcPr>
            <w:tcW w:w="105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2188"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斗轮洗砂机</w:t>
            </w:r>
          </w:p>
        </w:tc>
        <w:tc>
          <w:tcPr>
            <w:tcW w:w="1116"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1</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65</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45</w:t>
            </w:r>
          </w:p>
        </w:tc>
        <w:tc>
          <w:tcPr>
            <w:tcW w:w="912"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77</w:t>
            </w:r>
          </w:p>
        </w:tc>
        <w:tc>
          <w:tcPr>
            <w:tcW w:w="1015"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130</w:t>
            </w:r>
          </w:p>
        </w:tc>
        <w:tc>
          <w:tcPr>
            <w:tcW w:w="105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2188" w:type="dxa"/>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球磨机</w:t>
            </w:r>
          </w:p>
        </w:tc>
        <w:tc>
          <w:tcPr>
            <w:tcW w:w="1116"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6</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7</w:t>
            </w:r>
            <w:r>
              <w:rPr>
                <w:rFonts w:hint="eastAsia" w:eastAsiaTheme="minorEastAsia"/>
                <w:color w:val="000000" w:themeColor="text1"/>
                <w:kern w:val="0"/>
                <w:sz w:val="21"/>
                <w:szCs w:val="21"/>
              </w:rPr>
              <w:t>8</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93</w:t>
            </w:r>
          </w:p>
        </w:tc>
        <w:tc>
          <w:tcPr>
            <w:tcW w:w="912"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80</w:t>
            </w:r>
          </w:p>
        </w:tc>
        <w:tc>
          <w:tcPr>
            <w:tcW w:w="1015"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74</w:t>
            </w:r>
          </w:p>
        </w:tc>
        <w:tc>
          <w:tcPr>
            <w:tcW w:w="105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2188"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风机</w:t>
            </w:r>
          </w:p>
        </w:tc>
        <w:tc>
          <w:tcPr>
            <w:tcW w:w="1116" w:type="dxa"/>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4</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81</w:t>
            </w:r>
          </w:p>
        </w:tc>
        <w:tc>
          <w:tcPr>
            <w:tcW w:w="111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80</w:t>
            </w:r>
          </w:p>
        </w:tc>
        <w:tc>
          <w:tcPr>
            <w:tcW w:w="912"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88</w:t>
            </w:r>
          </w:p>
        </w:tc>
        <w:tc>
          <w:tcPr>
            <w:tcW w:w="1015"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130</w:t>
            </w:r>
          </w:p>
        </w:tc>
        <w:tc>
          <w:tcPr>
            <w:tcW w:w="1056" w:type="dxa"/>
            <w:vAlign w:val="center"/>
          </w:tcPr>
          <w:p>
            <w:pPr>
              <w:adjustRightInd w:val="0"/>
              <w:snapToGrid w:val="0"/>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50</w:t>
            </w:r>
          </w:p>
        </w:tc>
      </w:tr>
    </w:tbl>
    <w:p>
      <w:pPr>
        <w:adjustRightInd w:val="0"/>
        <w:snapToGrid w:val="0"/>
        <w:ind w:firstLine="0" w:firstLineChars="0"/>
        <w:jc w:val="center"/>
        <w:rPr>
          <w:rFonts w:eastAsiaTheme="minorEastAsia"/>
          <w:b/>
          <w:color w:val="000000" w:themeColor="text1"/>
          <w:kern w:val="0"/>
          <w:sz w:val="21"/>
          <w:szCs w:val="20"/>
        </w:rPr>
      </w:pPr>
      <w:r>
        <w:rPr>
          <w:rFonts w:eastAsiaTheme="minorEastAsia"/>
          <w:b/>
          <w:color w:val="000000" w:themeColor="text1"/>
          <w:kern w:val="0"/>
          <w:sz w:val="21"/>
          <w:szCs w:val="20"/>
        </w:rPr>
        <w:t>表6.2-</w:t>
      </w:r>
      <w:r>
        <w:rPr>
          <w:rFonts w:hint="eastAsia" w:eastAsiaTheme="minorEastAsia"/>
          <w:b/>
          <w:color w:val="000000" w:themeColor="text1"/>
          <w:kern w:val="0"/>
          <w:sz w:val="21"/>
          <w:szCs w:val="20"/>
        </w:rPr>
        <w:t>43</w:t>
      </w:r>
      <w:r>
        <w:rPr>
          <w:rFonts w:eastAsiaTheme="minorEastAsia"/>
          <w:b/>
          <w:color w:val="000000" w:themeColor="text1"/>
          <w:kern w:val="0"/>
          <w:sz w:val="21"/>
          <w:szCs w:val="20"/>
        </w:rPr>
        <w:t>厂界噪声贡献值预测结果一览表单位：dB（A）</w:t>
      </w:r>
    </w:p>
    <w:tbl>
      <w:tblPr>
        <w:tblStyle w:val="61"/>
        <w:tblW w:w="8446" w:type="dxa"/>
        <w:jc w:val="center"/>
        <w:tblInd w:w="0" w:type="dxa"/>
        <w:tblLayout w:type="fixed"/>
        <w:tblCellMar>
          <w:top w:w="0" w:type="dxa"/>
          <w:left w:w="108" w:type="dxa"/>
          <w:bottom w:w="0" w:type="dxa"/>
          <w:right w:w="108" w:type="dxa"/>
        </w:tblCellMar>
      </w:tblPr>
      <w:tblGrid>
        <w:gridCol w:w="822"/>
        <w:gridCol w:w="2106"/>
        <w:gridCol w:w="1393"/>
        <w:gridCol w:w="1392"/>
        <w:gridCol w:w="1393"/>
        <w:gridCol w:w="1340"/>
      </w:tblGrid>
      <w:tr>
        <w:tblPrEx>
          <w:tblLayout w:type="fixed"/>
          <w:tblCellMar>
            <w:top w:w="0" w:type="dxa"/>
            <w:left w:w="108" w:type="dxa"/>
            <w:bottom w:w="0" w:type="dxa"/>
            <w:right w:w="108" w:type="dxa"/>
          </w:tblCellMar>
        </w:tblPrEx>
        <w:trPr>
          <w:trHeight w:val="454" w:hRule="exact"/>
          <w:jc w:val="center"/>
        </w:trPr>
        <w:tc>
          <w:tcPr>
            <w:tcW w:w="2928" w:type="dxa"/>
            <w:gridSpan w:val="2"/>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预测点</w:t>
            </w:r>
          </w:p>
        </w:tc>
        <w:tc>
          <w:tcPr>
            <w:tcW w:w="1393" w:type="dxa"/>
            <w:tcBorders>
              <w:top w:val="single" w:color="auto" w:sz="8"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东侧厂界</w:t>
            </w:r>
          </w:p>
        </w:tc>
        <w:tc>
          <w:tcPr>
            <w:tcW w:w="1392" w:type="dxa"/>
            <w:tcBorders>
              <w:top w:val="single" w:color="auto" w:sz="8"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西侧厂界</w:t>
            </w:r>
          </w:p>
        </w:tc>
        <w:tc>
          <w:tcPr>
            <w:tcW w:w="1393" w:type="dxa"/>
            <w:tcBorders>
              <w:top w:val="single" w:color="auto" w:sz="8"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南侧厂界</w:t>
            </w:r>
          </w:p>
        </w:tc>
        <w:tc>
          <w:tcPr>
            <w:tcW w:w="1340" w:type="dxa"/>
            <w:tcBorders>
              <w:top w:val="single" w:color="auto" w:sz="8" w:space="0"/>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北侧厂界</w:t>
            </w:r>
          </w:p>
        </w:tc>
      </w:tr>
      <w:tr>
        <w:tblPrEx>
          <w:tblLayout w:type="fixed"/>
          <w:tblCellMar>
            <w:top w:w="0" w:type="dxa"/>
            <w:left w:w="108" w:type="dxa"/>
            <w:bottom w:w="0" w:type="dxa"/>
            <w:right w:w="108" w:type="dxa"/>
          </w:tblCellMar>
        </w:tblPrEx>
        <w:trPr>
          <w:trHeight w:val="454" w:hRule="exact"/>
          <w:jc w:val="center"/>
        </w:trPr>
        <w:tc>
          <w:tcPr>
            <w:tcW w:w="2928" w:type="dxa"/>
            <w:gridSpan w:val="2"/>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时段</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昼间、夜间</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昼间、夜间</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昼间、夜间</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昼间、夜间</w:t>
            </w:r>
          </w:p>
        </w:tc>
      </w:tr>
      <w:tr>
        <w:tblPrEx>
          <w:tblLayout w:type="fixed"/>
          <w:tblCellMar>
            <w:top w:w="0" w:type="dxa"/>
            <w:left w:w="108" w:type="dxa"/>
            <w:bottom w:w="0" w:type="dxa"/>
            <w:right w:w="108" w:type="dxa"/>
          </w:tblCellMar>
        </w:tblPrEx>
        <w:trPr>
          <w:trHeight w:val="454" w:hRule="exact"/>
          <w:jc w:val="center"/>
        </w:trPr>
        <w:tc>
          <w:tcPr>
            <w:tcW w:w="822" w:type="dxa"/>
            <w:vMerge w:val="restart"/>
            <w:tcBorders>
              <w:top w:val="nil"/>
              <w:left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贡献值</w:t>
            </w:r>
          </w:p>
        </w:tc>
        <w:tc>
          <w:tcPr>
            <w:tcW w:w="2106"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立磨机</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40</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41.1</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43</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41.6</w:t>
            </w:r>
          </w:p>
        </w:tc>
      </w:tr>
      <w:tr>
        <w:tblPrEx>
          <w:tblLayout w:type="fixed"/>
          <w:tblCellMar>
            <w:top w:w="0" w:type="dxa"/>
            <w:left w:w="108" w:type="dxa"/>
            <w:bottom w:w="0" w:type="dxa"/>
            <w:right w:w="108" w:type="dxa"/>
          </w:tblCellMar>
        </w:tblPrEx>
        <w:trPr>
          <w:trHeight w:val="509" w:hRule="exact"/>
          <w:jc w:val="center"/>
        </w:trPr>
        <w:tc>
          <w:tcPr>
            <w:tcW w:w="822" w:type="dxa"/>
            <w:vMerge w:val="continue"/>
            <w:tcBorders>
              <w:left w:val="single" w:color="auto" w:sz="8" w:space="0"/>
              <w:right w:val="single" w:color="auto" w:sz="8" w:space="0"/>
            </w:tcBorders>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磁选机</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33.6</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35.5</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37.5</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30.8</w:t>
            </w:r>
          </w:p>
        </w:tc>
      </w:tr>
      <w:tr>
        <w:tblPrEx>
          <w:tblLayout w:type="fixed"/>
          <w:tblCellMar>
            <w:top w:w="0" w:type="dxa"/>
            <w:left w:w="108" w:type="dxa"/>
            <w:bottom w:w="0" w:type="dxa"/>
            <w:right w:w="108" w:type="dxa"/>
          </w:tblCellMar>
        </w:tblPrEx>
        <w:trPr>
          <w:trHeight w:val="494" w:hRule="exact"/>
          <w:jc w:val="center"/>
        </w:trPr>
        <w:tc>
          <w:tcPr>
            <w:tcW w:w="822" w:type="dxa"/>
            <w:vMerge w:val="continue"/>
            <w:tcBorders>
              <w:left w:val="single" w:color="auto" w:sz="8" w:space="0"/>
              <w:right w:val="single" w:color="auto" w:sz="8" w:space="0"/>
            </w:tcBorders>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陶瓷过滤机</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36.5</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25.8</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32.6</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39.5</w:t>
            </w:r>
          </w:p>
        </w:tc>
      </w:tr>
      <w:tr>
        <w:tblPrEx>
          <w:tblLayout w:type="fixed"/>
          <w:tblCellMar>
            <w:top w:w="0" w:type="dxa"/>
            <w:left w:w="108" w:type="dxa"/>
            <w:bottom w:w="0" w:type="dxa"/>
            <w:right w:w="108" w:type="dxa"/>
          </w:tblCellMar>
        </w:tblPrEx>
        <w:trPr>
          <w:trHeight w:val="449" w:hRule="exact"/>
          <w:jc w:val="center"/>
        </w:trPr>
        <w:tc>
          <w:tcPr>
            <w:tcW w:w="822" w:type="dxa"/>
            <w:vMerge w:val="continue"/>
            <w:tcBorders>
              <w:left w:val="single" w:color="auto" w:sz="8" w:space="0"/>
              <w:right w:val="single" w:color="auto" w:sz="8" w:space="0"/>
            </w:tcBorders>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弱磁选机</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39</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32.9</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40.7</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28.7</w:t>
            </w:r>
          </w:p>
        </w:tc>
      </w:tr>
      <w:tr>
        <w:tblPrEx>
          <w:tblLayout w:type="fixed"/>
          <w:tblCellMar>
            <w:top w:w="0" w:type="dxa"/>
            <w:left w:w="108" w:type="dxa"/>
            <w:bottom w:w="0" w:type="dxa"/>
            <w:right w:w="108" w:type="dxa"/>
          </w:tblCellMar>
        </w:tblPrEx>
        <w:trPr>
          <w:trHeight w:val="454" w:hRule="exact"/>
          <w:jc w:val="center"/>
        </w:trPr>
        <w:tc>
          <w:tcPr>
            <w:tcW w:w="822" w:type="dxa"/>
            <w:vMerge w:val="continue"/>
            <w:tcBorders>
              <w:left w:val="single" w:color="auto" w:sz="8" w:space="0"/>
              <w:right w:val="single" w:color="auto" w:sz="8" w:space="0"/>
            </w:tcBorders>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渣浆泵</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40</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34.5</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40.9</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38.2</w:t>
            </w:r>
          </w:p>
        </w:tc>
      </w:tr>
      <w:tr>
        <w:tblPrEx>
          <w:tblLayout w:type="fixed"/>
          <w:tblCellMar>
            <w:top w:w="0" w:type="dxa"/>
            <w:left w:w="108" w:type="dxa"/>
            <w:bottom w:w="0" w:type="dxa"/>
            <w:right w:w="108" w:type="dxa"/>
          </w:tblCellMar>
        </w:tblPrEx>
        <w:trPr>
          <w:trHeight w:val="454" w:hRule="exact"/>
          <w:jc w:val="center"/>
        </w:trPr>
        <w:tc>
          <w:tcPr>
            <w:tcW w:w="822" w:type="dxa"/>
            <w:vMerge w:val="continue"/>
            <w:tcBorders>
              <w:left w:val="single" w:color="auto" w:sz="8" w:space="0"/>
              <w:right w:val="single" w:color="auto" w:sz="8" w:space="0"/>
            </w:tcBorders>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破碎机</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46.1</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45.9</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42.5</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47</w:t>
            </w:r>
          </w:p>
        </w:tc>
      </w:tr>
      <w:tr>
        <w:tblPrEx>
          <w:tblLayout w:type="fixed"/>
          <w:tblCellMar>
            <w:top w:w="0" w:type="dxa"/>
            <w:left w:w="108" w:type="dxa"/>
            <w:bottom w:w="0" w:type="dxa"/>
            <w:right w:w="108" w:type="dxa"/>
          </w:tblCellMar>
        </w:tblPrEx>
        <w:trPr>
          <w:trHeight w:val="454" w:hRule="exact"/>
          <w:jc w:val="center"/>
        </w:trPr>
        <w:tc>
          <w:tcPr>
            <w:tcW w:w="822" w:type="dxa"/>
            <w:vMerge w:val="continue"/>
            <w:tcBorders>
              <w:left w:val="single" w:color="auto" w:sz="8" w:space="0"/>
              <w:right w:val="single" w:color="auto" w:sz="8" w:space="0"/>
            </w:tcBorders>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rFonts w:eastAsiaTheme="minorEastAsia"/>
                <w:bCs/>
                <w:iCs/>
                <w:color w:val="000000" w:themeColor="text1"/>
                <w:sz w:val="21"/>
                <w:szCs w:val="21"/>
                <w:lang w:val="en-GB"/>
              </w:rPr>
            </w:pPr>
            <w:r>
              <w:rPr>
                <w:rFonts w:hint="eastAsia" w:eastAsiaTheme="minorEastAsia"/>
                <w:bCs/>
                <w:iCs/>
                <w:color w:val="000000" w:themeColor="text1"/>
                <w:sz w:val="21"/>
                <w:szCs w:val="21"/>
                <w:lang w:val="en-GB"/>
              </w:rPr>
              <w:t>振动筛</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41.9</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46</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37</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43.6</w:t>
            </w:r>
          </w:p>
        </w:tc>
      </w:tr>
      <w:tr>
        <w:tblPrEx>
          <w:tblLayout w:type="fixed"/>
          <w:tblCellMar>
            <w:top w:w="0" w:type="dxa"/>
            <w:left w:w="108" w:type="dxa"/>
            <w:bottom w:w="0" w:type="dxa"/>
            <w:right w:w="108" w:type="dxa"/>
          </w:tblCellMar>
        </w:tblPrEx>
        <w:trPr>
          <w:trHeight w:val="521" w:hRule="exact"/>
          <w:jc w:val="center"/>
        </w:trPr>
        <w:tc>
          <w:tcPr>
            <w:tcW w:w="822" w:type="dxa"/>
            <w:vMerge w:val="continue"/>
            <w:tcBorders>
              <w:left w:val="single" w:color="auto" w:sz="8" w:space="0"/>
              <w:right w:val="single" w:color="auto" w:sz="8" w:space="0"/>
            </w:tcBorders>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rFonts w:eastAsiaTheme="minorEastAsia"/>
                <w:bCs/>
                <w:iCs/>
                <w:color w:val="000000" w:themeColor="text1"/>
                <w:sz w:val="21"/>
                <w:szCs w:val="21"/>
                <w:lang w:val="en-GB"/>
              </w:rPr>
            </w:pPr>
            <w:r>
              <w:rPr>
                <w:rFonts w:hint="eastAsia" w:eastAsiaTheme="minorEastAsia"/>
                <w:bCs/>
                <w:iCs/>
                <w:color w:val="000000" w:themeColor="text1"/>
                <w:sz w:val="21"/>
                <w:szCs w:val="21"/>
                <w:lang w:val="en-GB"/>
              </w:rPr>
              <w:t>水平筛</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37.7</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36.4</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32.3</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42.1</w:t>
            </w:r>
          </w:p>
        </w:tc>
      </w:tr>
      <w:tr>
        <w:tblPrEx>
          <w:tblLayout w:type="fixed"/>
          <w:tblCellMar>
            <w:top w:w="0" w:type="dxa"/>
            <w:left w:w="108" w:type="dxa"/>
            <w:bottom w:w="0" w:type="dxa"/>
            <w:right w:w="108" w:type="dxa"/>
          </w:tblCellMar>
        </w:tblPrEx>
        <w:trPr>
          <w:trHeight w:val="454" w:hRule="exact"/>
          <w:jc w:val="center"/>
        </w:trPr>
        <w:tc>
          <w:tcPr>
            <w:tcW w:w="822" w:type="dxa"/>
            <w:vMerge w:val="continue"/>
            <w:tcBorders>
              <w:left w:val="single" w:color="auto" w:sz="8" w:space="0"/>
              <w:right w:val="single" w:color="auto" w:sz="8" w:space="0"/>
            </w:tcBorders>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制砂机</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41.4</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42.6</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37.6</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40.9</w:t>
            </w:r>
          </w:p>
        </w:tc>
      </w:tr>
      <w:tr>
        <w:tblPrEx>
          <w:tblLayout w:type="fixed"/>
          <w:tblCellMar>
            <w:top w:w="0" w:type="dxa"/>
            <w:left w:w="108" w:type="dxa"/>
            <w:bottom w:w="0" w:type="dxa"/>
            <w:right w:w="108" w:type="dxa"/>
          </w:tblCellMar>
        </w:tblPrEx>
        <w:trPr>
          <w:trHeight w:val="454" w:hRule="exact"/>
          <w:jc w:val="center"/>
        </w:trPr>
        <w:tc>
          <w:tcPr>
            <w:tcW w:w="822" w:type="dxa"/>
            <w:vMerge w:val="continue"/>
            <w:tcBorders>
              <w:left w:val="single" w:color="auto" w:sz="8" w:space="0"/>
              <w:right w:val="single" w:color="auto" w:sz="8" w:space="0"/>
            </w:tcBorders>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斗轮洗砂机</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31.9</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27.3</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22.7</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29.4</w:t>
            </w:r>
          </w:p>
        </w:tc>
      </w:tr>
      <w:tr>
        <w:tblPrEx>
          <w:tblLayout w:type="fixed"/>
          <w:tblCellMar>
            <w:top w:w="0" w:type="dxa"/>
            <w:left w:w="108" w:type="dxa"/>
            <w:bottom w:w="0" w:type="dxa"/>
            <w:right w:w="108" w:type="dxa"/>
          </w:tblCellMar>
        </w:tblPrEx>
        <w:trPr>
          <w:trHeight w:val="454" w:hRule="exact"/>
          <w:jc w:val="center"/>
        </w:trPr>
        <w:tc>
          <w:tcPr>
            <w:tcW w:w="822" w:type="dxa"/>
            <w:vMerge w:val="continue"/>
            <w:tcBorders>
              <w:left w:val="single" w:color="auto" w:sz="8" w:space="0"/>
              <w:right w:val="single" w:color="auto" w:sz="8" w:space="0"/>
            </w:tcBorders>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eastAsiaTheme="minorEastAsia"/>
                <w:bCs/>
                <w:iCs/>
                <w:color w:val="000000" w:themeColor="text1"/>
                <w:sz w:val="21"/>
                <w:szCs w:val="21"/>
              </w:rPr>
              <w:t>球磨机</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35.6</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36.9</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37.6</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34.5</w:t>
            </w:r>
          </w:p>
        </w:tc>
      </w:tr>
      <w:tr>
        <w:tblPrEx>
          <w:tblLayout w:type="fixed"/>
          <w:tblCellMar>
            <w:top w:w="0" w:type="dxa"/>
            <w:left w:w="108" w:type="dxa"/>
            <w:bottom w:w="0" w:type="dxa"/>
            <w:right w:w="108" w:type="dxa"/>
          </w:tblCellMar>
        </w:tblPrEx>
        <w:trPr>
          <w:trHeight w:val="454" w:hRule="exact"/>
          <w:jc w:val="center"/>
        </w:trPr>
        <w:tc>
          <w:tcPr>
            <w:tcW w:w="822" w:type="dxa"/>
            <w:vMerge w:val="continue"/>
            <w:tcBorders>
              <w:left w:val="single" w:color="auto" w:sz="8" w:space="0"/>
              <w:bottom w:val="single" w:color="000000" w:sz="8" w:space="0"/>
              <w:right w:val="single" w:color="auto" w:sz="8" w:space="0"/>
            </w:tcBorders>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nil"/>
              <w:left w:val="nil"/>
              <w:bottom w:val="single" w:color="auto" w:sz="8" w:space="0"/>
              <w:right w:val="single" w:color="auto" w:sz="8" w:space="0"/>
            </w:tcBorders>
            <w:shd w:val="clear" w:color="auto" w:fill="auto"/>
            <w:vAlign w:val="center"/>
          </w:tcPr>
          <w:p>
            <w:pPr>
              <w:spacing w:line="240" w:lineRule="auto"/>
              <w:ind w:firstLine="0" w:firstLineChars="0"/>
              <w:jc w:val="center"/>
              <w:rPr>
                <w:rFonts w:eastAsiaTheme="minorEastAsia"/>
                <w:bCs/>
                <w:iCs/>
                <w:color w:val="000000" w:themeColor="text1"/>
                <w:sz w:val="21"/>
                <w:szCs w:val="21"/>
              </w:rPr>
            </w:pPr>
            <w:r>
              <w:rPr>
                <w:rFonts w:hint="eastAsia" w:eastAsiaTheme="minorEastAsia"/>
                <w:bCs/>
                <w:iCs/>
                <w:color w:val="000000" w:themeColor="text1"/>
                <w:sz w:val="21"/>
                <w:szCs w:val="21"/>
              </w:rPr>
              <w:t>风机</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43</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42.1</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38.7</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47</w:t>
            </w:r>
          </w:p>
        </w:tc>
      </w:tr>
      <w:tr>
        <w:tblPrEx>
          <w:tblLayout w:type="fixed"/>
          <w:tblCellMar>
            <w:top w:w="0" w:type="dxa"/>
            <w:left w:w="108" w:type="dxa"/>
            <w:bottom w:w="0" w:type="dxa"/>
            <w:right w:w="108" w:type="dxa"/>
          </w:tblCellMar>
        </w:tblPrEx>
        <w:trPr>
          <w:trHeight w:val="454" w:hRule="exact"/>
          <w:jc w:val="center"/>
        </w:trPr>
        <w:tc>
          <w:tcPr>
            <w:tcW w:w="2928" w:type="dxa"/>
            <w:gridSpan w:val="2"/>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贡献值</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51</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51.6</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49.8</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52.7</w:t>
            </w:r>
          </w:p>
        </w:tc>
      </w:tr>
      <w:tr>
        <w:tblPrEx>
          <w:tblLayout w:type="fixed"/>
          <w:tblCellMar>
            <w:top w:w="0" w:type="dxa"/>
            <w:left w:w="108" w:type="dxa"/>
            <w:bottom w:w="0" w:type="dxa"/>
            <w:right w:w="108" w:type="dxa"/>
          </w:tblCellMar>
        </w:tblPrEx>
        <w:trPr>
          <w:trHeight w:val="454" w:hRule="exact"/>
          <w:jc w:val="center"/>
        </w:trPr>
        <w:tc>
          <w:tcPr>
            <w:tcW w:w="2928" w:type="dxa"/>
            <w:gridSpan w:val="2"/>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背景值（昼间）</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62</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64</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59</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63</w:t>
            </w:r>
          </w:p>
        </w:tc>
      </w:tr>
      <w:tr>
        <w:tblPrEx>
          <w:tblLayout w:type="fixed"/>
          <w:tblCellMar>
            <w:top w:w="0" w:type="dxa"/>
            <w:left w:w="108" w:type="dxa"/>
            <w:bottom w:w="0" w:type="dxa"/>
            <w:right w:w="108" w:type="dxa"/>
          </w:tblCellMar>
        </w:tblPrEx>
        <w:trPr>
          <w:trHeight w:val="454" w:hRule="exact"/>
          <w:jc w:val="center"/>
        </w:trPr>
        <w:tc>
          <w:tcPr>
            <w:tcW w:w="2928" w:type="dxa"/>
            <w:gridSpan w:val="2"/>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叠加值（昼间）</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62.4</w:t>
            </w:r>
          </w:p>
        </w:tc>
        <w:tc>
          <w:tcPr>
            <w:tcW w:w="1392" w:type="dxa"/>
            <w:tcBorders>
              <w:top w:val="nil"/>
              <w:left w:val="nil"/>
              <w:bottom w:val="single" w:color="auto" w:sz="8" w:space="0"/>
              <w:right w:val="single" w:color="auto" w:sz="8" w:space="0"/>
            </w:tcBorders>
            <w:shd w:val="clear" w:color="auto" w:fill="auto"/>
            <w:vAlign w:val="center"/>
          </w:tcPr>
          <w:p>
            <w:pPr>
              <w:pStyle w:val="75"/>
              <w:ind w:firstLine="412"/>
              <w:jc w:val="both"/>
              <w:rPr>
                <w:color w:val="000000" w:themeColor="text1"/>
                <w:sz w:val="21"/>
                <w:szCs w:val="21"/>
              </w:rPr>
            </w:pPr>
            <w:r>
              <w:rPr>
                <w:rFonts w:hint="eastAsia"/>
                <w:color w:val="000000" w:themeColor="text1"/>
                <w:sz w:val="21"/>
                <w:szCs w:val="21"/>
              </w:rPr>
              <w:t>64.2</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5.95</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63.5</w:t>
            </w:r>
          </w:p>
        </w:tc>
      </w:tr>
      <w:tr>
        <w:tblPrEx>
          <w:tblLayout w:type="fixed"/>
          <w:tblCellMar>
            <w:top w:w="0" w:type="dxa"/>
            <w:left w:w="108" w:type="dxa"/>
            <w:bottom w:w="0" w:type="dxa"/>
            <w:right w:w="108" w:type="dxa"/>
          </w:tblCellMar>
        </w:tblPrEx>
        <w:trPr>
          <w:trHeight w:val="454" w:hRule="exact"/>
          <w:jc w:val="center"/>
        </w:trPr>
        <w:tc>
          <w:tcPr>
            <w:tcW w:w="2928" w:type="dxa"/>
            <w:gridSpan w:val="2"/>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背景值（夜间）</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53</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52</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49</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51</w:t>
            </w:r>
          </w:p>
        </w:tc>
      </w:tr>
      <w:tr>
        <w:tblPrEx>
          <w:tblLayout w:type="fixed"/>
          <w:tblCellMar>
            <w:top w:w="0" w:type="dxa"/>
            <w:left w:w="108" w:type="dxa"/>
            <w:bottom w:w="0" w:type="dxa"/>
            <w:right w:w="108" w:type="dxa"/>
          </w:tblCellMar>
        </w:tblPrEx>
        <w:trPr>
          <w:trHeight w:val="454" w:hRule="exact"/>
          <w:jc w:val="center"/>
        </w:trPr>
        <w:tc>
          <w:tcPr>
            <w:tcW w:w="2928" w:type="dxa"/>
            <w:gridSpan w:val="2"/>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叠加值（夜间）</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55</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54.8</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52.4</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54.9</w:t>
            </w:r>
          </w:p>
        </w:tc>
      </w:tr>
      <w:tr>
        <w:tblPrEx>
          <w:tblLayout w:type="fixed"/>
          <w:tblCellMar>
            <w:top w:w="0" w:type="dxa"/>
            <w:left w:w="108" w:type="dxa"/>
            <w:bottom w:w="0" w:type="dxa"/>
            <w:right w:w="108" w:type="dxa"/>
          </w:tblCellMar>
        </w:tblPrEx>
        <w:trPr>
          <w:trHeight w:val="454" w:hRule="exact"/>
          <w:jc w:val="center"/>
        </w:trPr>
        <w:tc>
          <w:tcPr>
            <w:tcW w:w="822" w:type="dxa"/>
            <w:vMerge w:val="restart"/>
            <w:tcBorders>
              <w:top w:val="single" w:color="auto" w:sz="8" w:space="0"/>
              <w:left w:val="single" w:color="auto" w:sz="8" w:space="0"/>
              <w:right w:val="single" w:color="000000"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执行标准及达标情况</w:t>
            </w:r>
          </w:p>
        </w:tc>
        <w:tc>
          <w:tcPr>
            <w:tcW w:w="2106" w:type="dxa"/>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夜间标准</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55</w:t>
            </w:r>
          </w:p>
        </w:tc>
        <w:tc>
          <w:tcPr>
            <w:tcW w:w="1392"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55</w:t>
            </w:r>
          </w:p>
        </w:tc>
        <w:tc>
          <w:tcPr>
            <w:tcW w:w="1393"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55</w:t>
            </w:r>
          </w:p>
        </w:tc>
        <w:tc>
          <w:tcPr>
            <w:tcW w:w="1340" w:type="dxa"/>
            <w:tcBorders>
              <w:top w:val="nil"/>
              <w:left w:val="nil"/>
              <w:bottom w:val="single" w:color="auto" w:sz="8"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55</w:t>
            </w:r>
          </w:p>
        </w:tc>
      </w:tr>
      <w:tr>
        <w:tblPrEx>
          <w:tblLayout w:type="fixed"/>
          <w:tblCellMar>
            <w:top w:w="0" w:type="dxa"/>
            <w:left w:w="108" w:type="dxa"/>
            <w:bottom w:w="0" w:type="dxa"/>
            <w:right w:w="108" w:type="dxa"/>
          </w:tblCellMar>
        </w:tblPrEx>
        <w:trPr>
          <w:trHeight w:val="454" w:hRule="exact"/>
          <w:jc w:val="center"/>
        </w:trPr>
        <w:tc>
          <w:tcPr>
            <w:tcW w:w="822" w:type="dxa"/>
            <w:vMerge w:val="continue"/>
            <w:tcBorders>
              <w:left w:val="single" w:color="auto" w:sz="8" w:space="0"/>
              <w:right w:val="single" w:color="000000"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single" w:color="auto" w:sz="8" w:space="0"/>
              <w:left w:val="single" w:color="auto" w:sz="8" w:space="0"/>
              <w:bottom w:val="single" w:color="auto" w:sz="8" w:space="0"/>
              <w:right w:val="single" w:color="000000"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达标情况</w:t>
            </w:r>
          </w:p>
        </w:tc>
        <w:tc>
          <w:tcPr>
            <w:tcW w:w="1393" w:type="dxa"/>
            <w:tcBorders>
              <w:top w:val="nil"/>
              <w:left w:val="nil"/>
              <w:bottom w:val="single" w:color="auto" w:sz="4"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达标</w:t>
            </w:r>
          </w:p>
        </w:tc>
        <w:tc>
          <w:tcPr>
            <w:tcW w:w="1392" w:type="dxa"/>
            <w:tcBorders>
              <w:top w:val="nil"/>
              <w:left w:val="nil"/>
              <w:bottom w:val="single" w:color="auto" w:sz="4"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达标</w:t>
            </w:r>
          </w:p>
        </w:tc>
        <w:tc>
          <w:tcPr>
            <w:tcW w:w="1393" w:type="dxa"/>
            <w:tcBorders>
              <w:top w:val="nil"/>
              <w:left w:val="nil"/>
              <w:bottom w:val="single" w:color="auto" w:sz="4"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达标</w:t>
            </w:r>
          </w:p>
        </w:tc>
        <w:tc>
          <w:tcPr>
            <w:tcW w:w="1340" w:type="dxa"/>
            <w:tcBorders>
              <w:top w:val="nil"/>
              <w:left w:val="nil"/>
              <w:bottom w:val="single" w:color="auto" w:sz="4" w:space="0"/>
              <w:right w:val="single" w:color="auto"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达标</w:t>
            </w:r>
          </w:p>
        </w:tc>
      </w:tr>
      <w:tr>
        <w:tblPrEx>
          <w:tblLayout w:type="fixed"/>
          <w:tblCellMar>
            <w:top w:w="0" w:type="dxa"/>
            <w:left w:w="108" w:type="dxa"/>
            <w:bottom w:w="0" w:type="dxa"/>
            <w:right w:w="108" w:type="dxa"/>
          </w:tblCellMar>
        </w:tblPrEx>
        <w:trPr>
          <w:trHeight w:val="454" w:hRule="exact"/>
          <w:jc w:val="center"/>
        </w:trPr>
        <w:tc>
          <w:tcPr>
            <w:tcW w:w="822" w:type="dxa"/>
            <w:vMerge w:val="continue"/>
            <w:tcBorders>
              <w:left w:val="single" w:color="auto" w:sz="8" w:space="0"/>
              <w:right w:val="single" w:color="000000"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single" w:color="auto" w:sz="8" w:space="0"/>
              <w:left w:val="single" w:color="auto" w:sz="8" w:space="0"/>
              <w:bottom w:val="single" w:color="auto" w:sz="8" w:space="0"/>
              <w:right w:val="single" w:color="auto" w:sz="4"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昼间标准</w:t>
            </w:r>
          </w:p>
        </w:tc>
        <w:tc>
          <w:tcPr>
            <w:tcW w:w="13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65</w:t>
            </w:r>
          </w:p>
        </w:tc>
        <w:tc>
          <w:tcPr>
            <w:tcW w:w="13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65</w:t>
            </w:r>
          </w:p>
        </w:tc>
        <w:tc>
          <w:tcPr>
            <w:tcW w:w="13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65</w:t>
            </w:r>
          </w:p>
        </w:tc>
        <w:tc>
          <w:tcPr>
            <w:tcW w:w="134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65</w:t>
            </w:r>
          </w:p>
        </w:tc>
      </w:tr>
      <w:tr>
        <w:tblPrEx>
          <w:tblLayout w:type="fixed"/>
          <w:tblCellMar>
            <w:top w:w="0" w:type="dxa"/>
            <w:left w:w="108" w:type="dxa"/>
            <w:bottom w:w="0" w:type="dxa"/>
            <w:right w:w="108" w:type="dxa"/>
          </w:tblCellMar>
        </w:tblPrEx>
        <w:trPr>
          <w:trHeight w:val="454" w:hRule="exact"/>
          <w:jc w:val="center"/>
        </w:trPr>
        <w:tc>
          <w:tcPr>
            <w:tcW w:w="822" w:type="dxa"/>
            <w:vMerge w:val="continue"/>
            <w:tcBorders>
              <w:left w:val="single" w:color="auto" w:sz="8" w:space="0"/>
              <w:bottom w:val="single" w:color="auto" w:sz="8" w:space="0"/>
              <w:right w:val="single" w:color="000000" w:sz="8"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p>
        </w:tc>
        <w:tc>
          <w:tcPr>
            <w:tcW w:w="2106" w:type="dxa"/>
            <w:tcBorders>
              <w:top w:val="single" w:color="auto" w:sz="8" w:space="0"/>
              <w:left w:val="single" w:color="auto" w:sz="8" w:space="0"/>
              <w:bottom w:val="single" w:color="auto" w:sz="8" w:space="0"/>
              <w:right w:val="single" w:color="auto" w:sz="4"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达标情况</w:t>
            </w:r>
          </w:p>
        </w:tc>
        <w:tc>
          <w:tcPr>
            <w:tcW w:w="13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达标</w:t>
            </w:r>
          </w:p>
        </w:tc>
        <w:tc>
          <w:tcPr>
            <w:tcW w:w="139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达标</w:t>
            </w:r>
          </w:p>
        </w:tc>
        <w:tc>
          <w:tcPr>
            <w:tcW w:w="139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达标</w:t>
            </w:r>
          </w:p>
        </w:tc>
        <w:tc>
          <w:tcPr>
            <w:tcW w:w="134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firstLineChars="0"/>
              <w:jc w:val="center"/>
              <w:rPr>
                <w:rFonts w:eastAsiaTheme="minorEastAsia"/>
                <w:color w:val="000000" w:themeColor="text1"/>
                <w:kern w:val="0"/>
                <w:sz w:val="21"/>
                <w:szCs w:val="21"/>
              </w:rPr>
            </w:pPr>
            <w:r>
              <w:rPr>
                <w:rFonts w:eastAsiaTheme="minorEastAsia"/>
                <w:color w:val="000000" w:themeColor="text1"/>
                <w:kern w:val="0"/>
                <w:sz w:val="21"/>
                <w:szCs w:val="21"/>
              </w:rPr>
              <w:t>达标</w:t>
            </w:r>
          </w:p>
        </w:tc>
      </w:tr>
    </w:tbl>
    <w:p>
      <w:pPr>
        <w:ind w:firstLine="480"/>
        <w:jc w:val="both"/>
        <w:rPr>
          <w:rFonts w:eastAsiaTheme="minorEastAsia"/>
          <w:color w:val="000000" w:themeColor="text1"/>
          <w:kern w:val="0"/>
          <w:szCs w:val="20"/>
        </w:rPr>
      </w:pPr>
    </w:p>
    <w:p>
      <w:pPr>
        <w:ind w:firstLine="480"/>
        <w:jc w:val="both"/>
        <w:rPr>
          <w:rFonts w:eastAsiaTheme="minorEastAsia"/>
          <w:color w:val="000000" w:themeColor="text1"/>
          <w:kern w:val="0"/>
          <w:szCs w:val="20"/>
        </w:rPr>
      </w:pPr>
      <w:r>
        <w:rPr>
          <w:rFonts w:hint="eastAsia" w:eastAsiaTheme="minorEastAsia"/>
          <w:color w:val="000000" w:themeColor="text1"/>
          <w:kern w:val="0"/>
          <w:szCs w:val="20"/>
        </w:rPr>
        <w:drawing>
          <wp:inline distT="0" distB="0" distL="114300" distR="114300">
            <wp:extent cx="4994910" cy="3072130"/>
            <wp:effectExtent l="0" t="0" r="15240" b="13970"/>
            <wp:docPr id="18" name="图片 18" descr="平安白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平安白天"/>
                    <pic:cNvPicPr>
                      <a:picLocks noChangeAspect="1"/>
                    </pic:cNvPicPr>
                  </pic:nvPicPr>
                  <pic:blipFill>
                    <a:blip r:embed="rId113" cstate="print"/>
                    <a:srcRect t="6093" r="5240" b="2649"/>
                    <a:stretch>
                      <a:fillRect/>
                    </a:stretch>
                  </pic:blipFill>
                  <pic:spPr>
                    <a:xfrm>
                      <a:off x="0" y="0"/>
                      <a:ext cx="4994910" cy="3072130"/>
                    </a:xfrm>
                    <a:prstGeom prst="rect">
                      <a:avLst/>
                    </a:prstGeom>
                  </pic:spPr>
                </pic:pic>
              </a:graphicData>
            </a:graphic>
          </wp:inline>
        </w:drawing>
      </w:r>
    </w:p>
    <w:p>
      <w:pPr>
        <w:pStyle w:val="26"/>
        <w:ind w:firstLine="422"/>
        <w:jc w:val="center"/>
        <w:rPr>
          <w:rFonts w:eastAsia="宋体"/>
          <w:b/>
          <w:bCs/>
          <w:color w:val="000000" w:themeColor="text1"/>
          <w:sz w:val="21"/>
          <w:szCs w:val="21"/>
          <w:lang w:eastAsia="zh-CN"/>
        </w:rPr>
      </w:pPr>
      <w:r>
        <w:rPr>
          <w:rFonts w:eastAsia="宋体"/>
          <w:b/>
          <w:bCs/>
          <w:color w:val="000000" w:themeColor="text1"/>
          <w:sz w:val="21"/>
          <w:szCs w:val="21"/>
          <w:lang w:eastAsia="zh-CN"/>
        </w:rPr>
        <w:t>图6.2-</w:t>
      </w:r>
      <w:r>
        <w:rPr>
          <w:rFonts w:hint="eastAsia" w:eastAsia="宋体"/>
          <w:b/>
          <w:bCs/>
          <w:color w:val="000000" w:themeColor="text1"/>
          <w:sz w:val="21"/>
          <w:szCs w:val="21"/>
          <w:lang w:eastAsia="zh-CN"/>
        </w:rPr>
        <w:t>18</w:t>
      </w:r>
      <w:r>
        <w:rPr>
          <w:rFonts w:eastAsia="宋体"/>
          <w:b/>
          <w:bCs/>
          <w:color w:val="000000" w:themeColor="text1"/>
          <w:sz w:val="21"/>
          <w:szCs w:val="21"/>
          <w:lang w:eastAsia="zh-CN"/>
        </w:rPr>
        <w:t>技改项目昼间噪声预测图</w:t>
      </w:r>
    </w:p>
    <w:p>
      <w:pPr>
        <w:ind w:firstLine="480"/>
        <w:jc w:val="both"/>
        <w:rPr>
          <w:rFonts w:eastAsiaTheme="minorEastAsia"/>
          <w:color w:val="000000" w:themeColor="text1"/>
          <w:kern w:val="0"/>
          <w:szCs w:val="20"/>
        </w:rPr>
      </w:pPr>
      <w:r>
        <w:rPr>
          <w:rFonts w:hint="eastAsia" w:eastAsiaTheme="minorEastAsia"/>
          <w:color w:val="000000" w:themeColor="text1"/>
          <w:kern w:val="0"/>
          <w:szCs w:val="20"/>
        </w:rPr>
        <w:drawing>
          <wp:inline distT="0" distB="0" distL="114300" distR="114300">
            <wp:extent cx="5043805" cy="2989580"/>
            <wp:effectExtent l="0" t="0" r="4445" b="1270"/>
            <wp:docPr id="19" name="图片 19" descr="平安晚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平安晚上"/>
                    <pic:cNvPicPr>
                      <a:picLocks noChangeAspect="1"/>
                    </pic:cNvPicPr>
                  </pic:nvPicPr>
                  <pic:blipFill>
                    <a:blip r:embed="rId114" cstate="print"/>
                    <a:srcRect t="5442" r="4336" b="4147"/>
                    <a:stretch>
                      <a:fillRect/>
                    </a:stretch>
                  </pic:blipFill>
                  <pic:spPr>
                    <a:xfrm>
                      <a:off x="0" y="0"/>
                      <a:ext cx="5043805" cy="2989580"/>
                    </a:xfrm>
                    <a:prstGeom prst="rect">
                      <a:avLst/>
                    </a:prstGeom>
                  </pic:spPr>
                </pic:pic>
              </a:graphicData>
            </a:graphic>
          </wp:inline>
        </w:drawing>
      </w:r>
    </w:p>
    <w:p>
      <w:pPr>
        <w:pStyle w:val="26"/>
        <w:ind w:firstLine="422"/>
        <w:jc w:val="center"/>
        <w:rPr>
          <w:rFonts w:eastAsiaTheme="minorEastAsia"/>
          <w:color w:val="000000" w:themeColor="text1"/>
          <w:szCs w:val="20"/>
          <w:lang w:eastAsia="zh-CN"/>
        </w:rPr>
      </w:pPr>
      <w:r>
        <w:rPr>
          <w:rFonts w:eastAsia="宋体"/>
          <w:b/>
          <w:bCs/>
          <w:color w:val="000000" w:themeColor="text1"/>
          <w:sz w:val="21"/>
          <w:szCs w:val="21"/>
          <w:lang w:eastAsia="zh-CN"/>
        </w:rPr>
        <w:t>图6.2-</w:t>
      </w:r>
      <w:r>
        <w:rPr>
          <w:rFonts w:hint="eastAsia" w:eastAsia="宋体"/>
          <w:b/>
          <w:bCs/>
          <w:color w:val="000000" w:themeColor="text1"/>
          <w:sz w:val="21"/>
          <w:szCs w:val="21"/>
          <w:lang w:eastAsia="zh-CN"/>
        </w:rPr>
        <w:t>19</w:t>
      </w:r>
      <w:r>
        <w:rPr>
          <w:rFonts w:eastAsia="宋体"/>
          <w:b/>
          <w:bCs/>
          <w:color w:val="000000" w:themeColor="text1"/>
          <w:sz w:val="21"/>
          <w:szCs w:val="21"/>
          <w:lang w:eastAsia="zh-CN"/>
        </w:rPr>
        <w:t>技改项目夜间噪声预测图</w:t>
      </w:r>
    </w:p>
    <w:p>
      <w:pPr>
        <w:ind w:firstLine="480"/>
        <w:jc w:val="both"/>
        <w:rPr>
          <w:rFonts w:eastAsiaTheme="minorEastAsia"/>
          <w:color w:val="000000" w:themeColor="text1"/>
          <w:kern w:val="0"/>
          <w:szCs w:val="20"/>
        </w:rPr>
      </w:pPr>
      <w:r>
        <w:rPr>
          <w:rFonts w:eastAsiaTheme="minorEastAsia"/>
          <w:color w:val="000000" w:themeColor="text1"/>
          <w:kern w:val="0"/>
          <w:szCs w:val="20"/>
        </w:rPr>
        <w:t>从上</w:t>
      </w:r>
      <w:r>
        <w:rPr>
          <w:rStyle w:val="73"/>
          <w:rFonts w:eastAsiaTheme="minorEastAsia"/>
          <w:color w:val="000000" w:themeColor="text1"/>
          <w:sz w:val="24"/>
          <w:szCs w:val="24"/>
        </w:rPr>
        <w:t>表</w:t>
      </w:r>
      <w:r>
        <w:rPr>
          <w:rFonts w:eastAsiaTheme="minorEastAsia"/>
          <w:color w:val="000000" w:themeColor="text1"/>
          <w:kern w:val="0"/>
          <w:szCs w:val="20"/>
        </w:rPr>
        <w:t>可以看出，项目运营期</w:t>
      </w:r>
      <w:r>
        <w:rPr>
          <w:rFonts w:hint="eastAsia" w:eastAsiaTheme="minorEastAsia"/>
          <w:color w:val="000000" w:themeColor="text1"/>
          <w:kern w:val="0"/>
          <w:szCs w:val="20"/>
        </w:rPr>
        <w:t>生产</w:t>
      </w:r>
      <w:r>
        <w:rPr>
          <w:rFonts w:eastAsiaTheme="minorEastAsia"/>
          <w:color w:val="000000" w:themeColor="text1"/>
          <w:kern w:val="0"/>
          <w:szCs w:val="20"/>
        </w:rPr>
        <w:t>噪声对四面厂界的噪声叠加</w:t>
      </w:r>
      <w:r>
        <w:rPr>
          <w:rFonts w:hint="eastAsia" w:eastAsiaTheme="minorEastAsia"/>
          <w:color w:val="000000" w:themeColor="text1"/>
          <w:kern w:val="0"/>
          <w:szCs w:val="20"/>
        </w:rPr>
        <w:t>背景后</w:t>
      </w:r>
      <w:r>
        <w:rPr>
          <w:rFonts w:eastAsiaTheme="minorEastAsia"/>
          <w:color w:val="000000" w:themeColor="text1"/>
          <w:kern w:val="0"/>
          <w:szCs w:val="20"/>
        </w:rPr>
        <w:t>昼夜均可达到GB12348-2008《工业企业厂界环境噪声排放标准》3类标准要求。整个厂区北面和东面为山体阻隔，选厂附近1km内均无声环境敏感目标，项目产生的噪声对周围环境影响不大。</w:t>
      </w:r>
    </w:p>
    <w:p>
      <w:pPr>
        <w:autoSpaceDE w:val="0"/>
        <w:autoSpaceDN w:val="0"/>
        <w:adjustRightInd w:val="0"/>
        <w:ind w:firstLine="482"/>
        <w:jc w:val="both"/>
        <w:rPr>
          <w:rFonts w:eastAsiaTheme="minorEastAsia"/>
          <w:b/>
          <w:color w:val="000000" w:themeColor="text1"/>
          <w:kern w:val="0"/>
          <w:szCs w:val="20"/>
        </w:rPr>
      </w:pPr>
      <w:bookmarkStart w:id="684" w:name="_Toc421915906"/>
      <w:bookmarkStart w:id="685" w:name="_Toc430953702"/>
      <w:bookmarkStart w:id="686" w:name="_Toc430953910"/>
      <w:bookmarkStart w:id="687" w:name="_Toc430201419"/>
      <w:bookmarkStart w:id="688" w:name="_Toc410033875"/>
      <w:bookmarkStart w:id="689" w:name="_Toc450603629"/>
      <w:r>
        <w:rPr>
          <w:rFonts w:eastAsiaTheme="minorEastAsia"/>
          <w:b/>
          <w:color w:val="000000" w:themeColor="text1"/>
          <w:kern w:val="0"/>
          <w:szCs w:val="20"/>
        </w:rPr>
        <w:t>4、关心点噪声分析</w:t>
      </w:r>
      <w:bookmarkEnd w:id="684"/>
      <w:bookmarkEnd w:id="685"/>
      <w:bookmarkEnd w:id="686"/>
      <w:bookmarkEnd w:id="687"/>
      <w:bookmarkEnd w:id="688"/>
      <w:bookmarkEnd w:id="689"/>
    </w:p>
    <w:p>
      <w:pPr>
        <w:tabs>
          <w:tab w:val="center" w:pos="6979"/>
          <w:tab w:val="left" w:pos="10920"/>
        </w:tabs>
        <w:autoSpaceDE w:val="0"/>
        <w:autoSpaceDN w:val="0"/>
        <w:adjustRightInd w:val="0"/>
        <w:snapToGrid w:val="0"/>
        <w:ind w:firstLine="480"/>
        <w:jc w:val="both"/>
        <w:rPr>
          <w:rFonts w:eastAsiaTheme="minorEastAsia"/>
          <w:color w:val="000000" w:themeColor="text1"/>
          <w:kern w:val="0"/>
          <w:szCs w:val="20"/>
        </w:rPr>
      </w:pPr>
      <w:r>
        <w:rPr>
          <w:rFonts w:eastAsiaTheme="minorEastAsia"/>
          <w:color w:val="000000" w:themeColor="text1"/>
          <w:kern w:val="0"/>
          <w:szCs w:val="20"/>
        </w:rPr>
        <w:t>距离项目最近敏感点为四坡斗村，距离项目区1098m，根据《环境影响评价技术导则声环境》（HJ2.4-2009）要求，最近敏感点不在评价范围200m内。项目产生的噪声经过距离衰减后对四坡斗村无影响。</w:t>
      </w:r>
    </w:p>
    <w:p>
      <w:pPr>
        <w:autoSpaceDE w:val="0"/>
        <w:autoSpaceDN w:val="0"/>
        <w:adjustRightInd w:val="0"/>
        <w:ind w:firstLine="482"/>
        <w:jc w:val="both"/>
        <w:rPr>
          <w:rFonts w:eastAsiaTheme="minorEastAsia"/>
          <w:b/>
          <w:color w:val="000000" w:themeColor="text1"/>
          <w:kern w:val="0"/>
          <w:szCs w:val="20"/>
        </w:rPr>
      </w:pPr>
      <w:bookmarkStart w:id="690" w:name="_Toc421915907"/>
      <w:bookmarkStart w:id="691" w:name="_Toc430953703"/>
      <w:bookmarkStart w:id="692" w:name="_Toc410033876"/>
      <w:bookmarkStart w:id="693" w:name="_Toc430201420"/>
      <w:bookmarkStart w:id="694" w:name="_Toc430953911"/>
      <w:bookmarkStart w:id="695" w:name="_Toc450603630"/>
      <w:r>
        <w:rPr>
          <w:rFonts w:eastAsiaTheme="minorEastAsia"/>
          <w:b/>
          <w:color w:val="000000" w:themeColor="text1"/>
          <w:kern w:val="0"/>
          <w:szCs w:val="20"/>
        </w:rPr>
        <w:t>5、小结</w:t>
      </w:r>
      <w:bookmarkEnd w:id="690"/>
      <w:bookmarkEnd w:id="691"/>
      <w:bookmarkEnd w:id="692"/>
      <w:bookmarkEnd w:id="693"/>
      <w:bookmarkEnd w:id="694"/>
      <w:bookmarkEnd w:id="695"/>
    </w:p>
    <w:p>
      <w:pPr>
        <w:ind w:firstLine="480"/>
        <w:jc w:val="both"/>
        <w:rPr>
          <w:rFonts w:eastAsiaTheme="minorEastAsia"/>
          <w:color w:val="000000" w:themeColor="text1"/>
          <w:kern w:val="0"/>
          <w:szCs w:val="20"/>
        </w:rPr>
      </w:pPr>
      <w:r>
        <w:rPr>
          <w:rFonts w:eastAsiaTheme="minorEastAsia"/>
          <w:color w:val="000000" w:themeColor="text1"/>
          <w:kern w:val="0"/>
          <w:szCs w:val="20"/>
        </w:rPr>
        <w:t>1、厂界噪声预测结果表明，厂界四周噪声昼夜间均能达到《工业企业厂界环境噪声排放标准》（GB12348-2008）中3类标准，整个厂区北面和东面为山体阻隔，选厂附近1km内均无声环境敏感目标，项目产生的噪声对周围环境影响不大。</w:t>
      </w:r>
    </w:p>
    <w:p>
      <w:pPr>
        <w:ind w:firstLine="480"/>
        <w:jc w:val="both"/>
        <w:rPr>
          <w:rFonts w:eastAsiaTheme="minorEastAsia"/>
          <w:color w:val="000000" w:themeColor="text1"/>
          <w:kern w:val="0"/>
          <w:szCs w:val="20"/>
        </w:rPr>
      </w:pPr>
      <w:r>
        <w:rPr>
          <w:rFonts w:eastAsiaTheme="minorEastAsia"/>
          <w:color w:val="000000" w:themeColor="text1"/>
          <w:kern w:val="0"/>
          <w:szCs w:val="20"/>
        </w:rPr>
        <w:t>2、预测结果表明，本项目噪声源对周围声环境的影响不大。</w:t>
      </w:r>
    </w:p>
    <w:p>
      <w:pPr>
        <w:pStyle w:val="6"/>
        <w:spacing w:beforeLines="0" w:afterLines="0"/>
        <w:rPr>
          <w:rFonts w:eastAsiaTheme="minorEastAsia"/>
          <w:color w:val="000000" w:themeColor="text1"/>
          <w:sz w:val="28"/>
          <w:szCs w:val="28"/>
        </w:rPr>
      </w:pPr>
      <w:bookmarkStart w:id="696" w:name="_Toc13255"/>
      <w:r>
        <w:rPr>
          <w:rFonts w:eastAsiaTheme="minorEastAsia"/>
          <w:color w:val="000000" w:themeColor="text1"/>
          <w:sz w:val="28"/>
          <w:szCs w:val="28"/>
        </w:rPr>
        <w:t>6.2.5固体废物影响分析</w:t>
      </w:r>
      <w:bookmarkEnd w:id="696"/>
    </w:p>
    <w:p>
      <w:pPr>
        <w:autoSpaceDE w:val="0"/>
        <w:autoSpaceDN w:val="0"/>
        <w:adjustRightInd w:val="0"/>
        <w:ind w:firstLine="482"/>
        <w:rPr>
          <w:rFonts w:eastAsiaTheme="minorEastAsia"/>
          <w:b/>
          <w:color w:val="000000" w:themeColor="text1"/>
        </w:rPr>
      </w:pPr>
      <w:bookmarkStart w:id="697" w:name="_Toc430953705"/>
      <w:bookmarkStart w:id="698" w:name="_Toc421915909"/>
      <w:bookmarkStart w:id="699" w:name="_Toc430201422"/>
      <w:bookmarkStart w:id="700" w:name="_Toc410033878"/>
      <w:bookmarkStart w:id="701" w:name="_Toc450603632"/>
      <w:bookmarkStart w:id="702" w:name="_Toc430953913"/>
      <w:r>
        <w:rPr>
          <w:rFonts w:eastAsiaTheme="minorEastAsia"/>
          <w:b/>
          <w:color w:val="000000" w:themeColor="text1"/>
        </w:rPr>
        <w:t>1、固体废物的来源</w:t>
      </w:r>
      <w:bookmarkEnd w:id="697"/>
      <w:bookmarkEnd w:id="698"/>
      <w:bookmarkEnd w:id="699"/>
      <w:bookmarkEnd w:id="700"/>
      <w:bookmarkEnd w:id="701"/>
      <w:bookmarkEnd w:id="702"/>
    </w:p>
    <w:p>
      <w:pPr>
        <w:ind w:firstLine="480"/>
        <w:rPr>
          <w:rFonts w:eastAsiaTheme="minorEastAsia"/>
          <w:color w:val="000000" w:themeColor="text1"/>
        </w:rPr>
      </w:pPr>
      <w:r>
        <w:rPr>
          <w:rFonts w:eastAsiaTheme="minorEastAsia"/>
          <w:color w:val="000000" w:themeColor="text1"/>
        </w:rPr>
        <w:t>本项目运营期固体废物为一般固废和危险废物，产生量及排放速率见表6.2-</w:t>
      </w:r>
      <w:r>
        <w:rPr>
          <w:rFonts w:hint="eastAsia" w:eastAsiaTheme="minorEastAsia"/>
          <w:color w:val="000000" w:themeColor="text1"/>
        </w:rPr>
        <w:t>44</w:t>
      </w:r>
      <w:r>
        <w:rPr>
          <w:rFonts w:eastAsiaTheme="minorEastAsia"/>
          <w:color w:val="000000" w:themeColor="text1"/>
        </w:rPr>
        <w:t>。</w:t>
      </w:r>
    </w:p>
    <w:p>
      <w:pPr>
        <w:adjustRightInd w:val="0"/>
        <w:snapToGrid w:val="0"/>
        <w:ind w:firstLine="422"/>
        <w:jc w:val="center"/>
        <w:rPr>
          <w:rFonts w:eastAsiaTheme="minorEastAsia"/>
          <w:b/>
          <w:color w:val="000000" w:themeColor="text1"/>
          <w:sz w:val="21"/>
          <w:szCs w:val="21"/>
        </w:rPr>
      </w:pPr>
      <w:r>
        <w:rPr>
          <w:rFonts w:eastAsiaTheme="minorEastAsia"/>
          <w:b/>
          <w:color w:val="000000" w:themeColor="text1"/>
          <w:sz w:val="21"/>
          <w:szCs w:val="21"/>
        </w:rPr>
        <w:t>表6.2-</w:t>
      </w:r>
      <w:r>
        <w:rPr>
          <w:rFonts w:hint="eastAsia" w:eastAsiaTheme="minorEastAsia"/>
          <w:b/>
          <w:color w:val="000000" w:themeColor="text1"/>
          <w:sz w:val="21"/>
          <w:szCs w:val="21"/>
        </w:rPr>
        <w:t>44</w:t>
      </w:r>
      <w:r>
        <w:rPr>
          <w:rFonts w:eastAsiaTheme="minorEastAsia"/>
          <w:b/>
          <w:color w:val="000000" w:themeColor="text1"/>
          <w:sz w:val="21"/>
          <w:szCs w:val="21"/>
        </w:rPr>
        <w:t>固体废物产生量及排放量</w:t>
      </w:r>
    </w:p>
    <w:tbl>
      <w:tblPr>
        <w:tblStyle w:val="61"/>
        <w:tblW w:w="8362"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1446"/>
        <w:gridCol w:w="1417"/>
        <w:gridCol w:w="1134"/>
        <w:gridCol w:w="3134"/>
        <w:gridCol w:w="123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340" w:hRule="atLeast"/>
          <w:jc w:val="center"/>
        </w:trPr>
        <w:tc>
          <w:tcPr>
            <w:tcW w:w="1446"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固废项目</w:t>
            </w:r>
          </w:p>
        </w:tc>
        <w:tc>
          <w:tcPr>
            <w:tcW w:w="1417"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产生量(t/a)</w:t>
            </w:r>
          </w:p>
        </w:tc>
        <w:tc>
          <w:tcPr>
            <w:tcW w:w="1134"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固废性质</w:t>
            </w:r>
          </w:p>
        </w:tc>
        <w:tc>
          <w:tcPr>
            <w:tcW w:w="3134"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治理措施</w:t>
            </w:r>
          </w:p>
        </w:tc>
        <w:tc>
          <w:tcPr>
            <w:tcW w:w="1231"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排放量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544" w:hRule="atLeast"/>
          <w:jc w:val="center"/>
        </w:trPr>
        <w:tc>
          <w:tcPr>
            <w:tcW w:w="1446"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原选矿车间尾矿（</w:t>
            </w:r>
            <w:r>
              <w:rPr>
                <w:rFonts w:hint="eastAsia" w:eastAsiaTheme="minorEastAsia"/>
                <w:color w:val="000000" w:themeColor="text1"/>
                <w:sz w:val="21"/>
                <w:szCs w:val="21"/>
              </w:rPr>
              <w:t>湿</w:t>
            </w:r>
            <w:r>
              <w:rPr>
                <w:rFonts w:eastAsiaTheme="minorEastAsia"/>
                <w:color w:val="000000" w:themeColor="text1"/>
                <w:sz w:val="21"/>
                <w:szCs w:val="21"/>
              </w:rPr>
              <w:t>）</w:t>
            </w:r>
          </w:p>
        </w:tc>
        <w:tc>
          <w:tcPr>
            <w:tcW w:w="1417"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39446.31</w:t>
            </w:r>
          </w:p>
        </w:tc>
        <w:tc>
          <w:tcPr>
            <w:tcW w:w="1134" w:type="dxa"/>
            <w:vMerge w:val="restart"/>
            <w:tcBorders>
              <w:top w:val="single" w:color="auto" w:sz="6" w:space="0"/>
              <w:left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一般固废</w:t>
            </w:r>
          </w:p>
        </w:tc>
        <w:tc>
          <w:tcPr>
            <w:tcW w:w="3134"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尾矿通过管道接入原有辣子箐尾矿尾矿库中</w:t>
            </w:r>
          </w:p>
        </w:tc>
        <w:tc>
          <w:tcPr>
            <w:tcW w:w="1231" w:type="dxa"/>
            <w:vMerge w:val="restart"/>
            <w:tcBorders>
              <w:top w:val="single" w:color="auto" w:sz="6" w:space="0"/>
              <w:left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资源化、合理化利用，无排放。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544" w:hRule="atLeast"/>
          <w:jc w:val="center"/>
        </w:trPr>
        <w:tc>
          <w:tcPr>
            <w:tcW w:w="1446"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技改再选工段尾矿（</w:t>
            </w:r>
            <w:r>
              <w:rPr>
                <w:rFonts w:hint="eastAsia" w:eastAsiaTheme="minorEastAsia"/>
                <w:color w:val="000000" w:themeColor="text1"/>
                <w:sz w:val="21"/>
                <w:szCs w:val="21"/>
              </w:rPr>
              <w:t>湿</w:t>
            </w:r>
            <w:r>
              <w:rPr>
                <w:rFonts w:eastAsiaTheme="minorEastAsia"/>
                <w:color w:val="000000" w:themeColor="text1"/>
                <w:sz w:val="21"/>
                <w:szCs w:val="21"/>
              </w:rPr>
              <w:t>）</w:t>
            </w:r>
          </w:p>
        </w:tc>
        <w:tc>
          <w:tcPr>
            <w:tcW w:w="1417"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31874.126</w:t>
            </w:r>
          </w:p>
        </w:tc>
        <w:tc>
          <w:tcPr>
            <w:tcW w:w="1134" w:type="dxa"/>
            <w:vMerge w:val="continue"/>
            <w:tcBorders>
              <w:left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p>
        </w:tc>
        <w:tc>
          <w:tcPr>
            <w:tcW w:w="3134"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进入龙都尾矿库</w:t>
            </w:r>
          </w:p>
        </w:tc>
        <w:tc>
          <w:tcPr>
            <w:tcW w:w="1231" w:type="dxa"/>
            <w:vMerge w:val="continue"/>
            <w:tcBorders>
              <w:left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426" w:hRule="atLeast"/>
          <w:jc w:val="center"/>
        </w:trPr>
        <w:tc>
          <w:tcPr>
            <w:tcW w:w="1446"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生活垃圾</w:t>
            </w:r>
          </w:p>
        </w:tc>
        <w:tc>
          <w:tcPr>
            <w:tcW w:w="1417"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0.75</w:t>
            </w:r>
          </w:p>
        </w:tc>
        <w:tc>
          <w:tcPr>
            <w:tcW w:w="1134" w:type="dxa"/>
            <w:vMerge w:val="continue"/>
            <w:tcBorders>
              <w:left w:val="single" w:color="auto" w:sz="6" w:space="0"/>
              <w:right w:val="single" w:color="auto" w:sz="6" w:space="0"/>
            </w:tcBorders>
            <w:vAlign w:val="center"/>
          </w:tcPr>
          <w:p>
            <w:pPr>
              <w:widowControl/>
              <w:spacing w:line="240" w:lineRule="auto"/>
              <w:ind w:firstLine="420"/>
              <w:rPr>
                <w:rFonts w:eastAsiaTheme="minorEastAsia"/>
                <w:color w:val="000000" w:themeColor="text1"/>
                <w:sz w:val="21"/>
                <w:szCs w:val="21"/>
              </w:rPr>
            </w:pPr>
          </w:p>
        </w:tc>
        <w:tc>
          <w:tcPr>
            <w:tcW w:w="3134"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收集后由清运至戛洒镇环卫站指定地点处置</w:t>
            </w:r>
          </w:p>
        </w:tc>
        <w:tc>
          <w:tcPr>
            <w:tcW w:w="1231" w:type="dxa"/>
            <w:vMerge w:val="continue"/>
            <w:tcBorders>
              <w:left w:val="single" w:color="auto" w:sz="6" w:space="0"/>
              <w:right w:val="single" w:color="auto" w:sz="6" w:space="0"/>
            </w:tcBorders>
            <w:vAlign w:val="center"/>
          </w:tcPr>
          <w:p>
            <w:pPr>
              <w:widowControl/>
              <w:spacing w:line="240" w:lineRule="auto"/>
              <w:ind w:firstLine="420"/>
              <w:rPr>
                <w:rFonts w:eastAsiaTheme="minorEastAsia"/>
                <w:color w:val="000000" w:themeColor="text1"/>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426" w:hRule="atLeast"/>
          <w:jc w:val="center"/>
        </w:trPr>
        <w:tc>
          <w:tcPr>
            <w:tcW w:w="1446"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除尘器收尘灰</w:t>
            </w:r>
          </w:p>
        </w:tc>
        <w:tc>
          <w:tcPr>
            <w:tcW w:w="1417"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225.51</w:t>
            </w:r>
          </w:p>
        </w:tc>
        <w:tc>
          <w:tcPr>
            <w:tcW w:w="1134" w:type="dxa"/>
            <w:vMerge w:val="continue"/>
            <w:tcBorders>
              <w:left w:val="single" w:color="auto" w:sz="6" w:space="0"/>
              <w:right w:val="single" w:color="auto" w:sz="6" w:space="0"/>
            </w:tcBorders>
            <w:vAlign w:val="center"/>
          </w:tcPr>
          <w:p>
            <w:pPr>
              <w:widowControl/>
              <w:spacing w:line="240" w:lineRule="auto"/>
              <w:ind w:firstLine="420"/>
              <w:rPr>
                <w:rFonts w:eastAsiaTheme="minorEastAsia"/>
                <w:color w:val="000000" w:themeColor="text1"/>
                <w:sz w:val="21"/>
                <w:szCs w:val="21"/>
              </w:rPr>
            </w:pPr>
          </w:p>
        </w:tc>
        <w:tc>
          <w:tcPr>
            <w:tcW w:w="3134"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作为砂料产品外卖，不外排</w:t>
            </w:r>
          </w:p>
        </w:tc>
        <w:tc>
          <w:tcPr>
            <w:tcW w:w="1231" w:type="dxa"/>
            <w:vMerge w:val="continue"/>
            <w:tcBorders>
              <w:left w:val="single" w:color="auto" w:sz="6" w:space="0"/>
              <w:right w:val="single" w:color="auto" w:sz="6" w:space="0"/>
            </w:tcBorders>
            <w:vAlign w:val="center"/>
          </w:tcPr>
          <w:p>
            <w:pPr>
              <w:widowControl/>
              <w:spacing w:line="240" w:lineRule="auto"/>
              <w:ind w:firstLine="420"/>
              <w:rPr>
                <w:rFonts w:eastAsiaTheme="minorEastAsia"/>
                <w:color w:val="000000" w:themeColor="text1"/>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426" w:hRule="atLeast"/>
          <w:jc w:val="center"/>
        </w:trPr>
        <w:tc>
          <w:tcPr>
            <w:tcW w:w="1446"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废机油（900-214-08）</w:t>
            </w:r>
          </w:p>
        </w:tc>
        <w:tc>
          <w:tcPr>
            <w:tcW w:w="1417"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r>
              <w:rPr>
                <w:rFonts w:hint="eastAsia" w:eastAsiaTheme="minorEastAsia"/>
                <w:color w:val="000000" w:themeColor="text1"/>
                <w:sz w:val="21"/>
                <w:szCs w:val="21"/>
              </w:rPr>
              <w:t>5</w:t>
            </w:r>
            <w:r>
              <w:rPr>
                <w:rFonts w:eastAsiaTheme="minorEastAsia"/>
                <w:color w:val="000000" w:themeColor="text1"/>
                <w:sz w:val="21"/>
                <w:szCs w:val="21"/>
              </w:rPr>
              <w:t>（全厂）</w:t>
            </w:r>
          </w:p>
        </w:tc>
        <w:tc>
          <w:tcPr>
            <w:tcW w:w="1134" w:type="dxa"/>
            <w:tcBorders>
              <w:left w:val="single" w:color="auto" w:sz="6" w:space="0"/>
              <w:bottom w:val="single" w:color="auto" w:sz="6" w:space="0"/>
              <w:right w:val="single" w:color="auto" w:sz="6" w:space="0"/>
            </w:tcBorders>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危险废物</w:t>
            </w:r>
          </w:p>
        </w:tc>
        <w:tc>
          <w:tcPr>
            <w:tcW w:w="3134" w:type="dxa"/>
            <w:tcBorders>
              <w:top w:val="single" w:color="auto" w:sz="6" w:space="0"/>
              <w:left w:val="single" w:color="auto" w:sz="6" w:space="0"/>
              <w:bottom w:val="single" w:color="auto" w:sz="6" w:space="0"/>
              <w:right w:val="single" w:color="auto" w:sz="6"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暂存于原有项目危险废物暂存间内，委托有资质单位定期清运处置</w:t>
            </w:r>
          </w:p>
        </w:tc>
        <w:tc>
          <w:tcPr>
            <w:tcW w:w="1231" w:type="dxa"/>
            <w:vMerge w:val="continue"/>
            <w:tcBorders>
              <w:left w:val="single" w:color="auto" w:sz="6" w:space="0"/>
              <w:bottom w:val="single" w:color="auto" w:sz="6" w:space="0"/>
              <w:right w:val="single" w:color="auto" w:sz="6" w:space="0"/>
            </w:tcBorders>
            <w:vAlign w:val="center"/>
          </w:tcPr>
          <w:p>
            <w:pPr>
              <w:widowControl/>
              <w:spacing w:line="240" w:lineRule="auto"/>
              <w:ind w:firstLine="420"/>
              <w:rPr>
                <w:rFonts w:eastAsiaTheme="minorEastAsia"/>
                <w:color w:val="000000" w:themeColor="text1"/>
                <w:sz w:val="21"/>
                <w:szCs w:val="21"/>
              </w:rPr>
            </w:pPr>
          </w:p>
        </w:tc>
      </w:tr>
    </w:tbl>
    <w:p>
      <w:pPr>
        <w:autoSpaceDE w:val="0"/>
        <w:autoSpaceDN w:val="0"/>
        <w:adjustRightInd w:val="0"/>
        <w:ind w:firstLine="482"/>
        <w:rPr>
          <w:rFonts w:eastAsiaTheme="minorEastAsia"/>
          <w:color w:val="000000" w:themeColor="text1"/>
        </w:rPr>
      </w:pPr>
      <w:r>
        <w:rPr>
          <w:rFonts w:eastAsiaTheme="minorEastAsia"/>
          <w:b/>
          <w:color w:val="000000" w:themeColor="text1"/>
        </w:rPr>
        <w:t>2、尾矿固体废物影响分析</w:t>
      </w:r>
    </w:p>
    <w:p>
      <w:pPr>
        <w:ind w:firstLine="480"/>
        <w:rPr>
          <w:rFonts w:eastAsiaTheme="minorEastAsia"/>
          <w:color w:val="000000" w:themeColor="text1"/>
        </w:rPr>
      </w:pPr>
      <w:r>
        <w:rPr>
          <w:rFonts w:eastAsiaTheme="minorEastAsia"/>
          <w:color w:val="000000" w:themeColor="text1"/>
        </w:rPr>
        <w:t>（1）尾矿排放量及去向</w:t>
      </w:r>
    </w:p>
    <w:p>
      <w:pPr>
        <w:ind w:firstLine="480"/>
        <w:rPr>
          <w:rFonts w:eastAsiaTheme="minorEastAsia"/>
          <w:color w:val="000000" w:themeColor="text1"/>
        </w:rPr>
      </w:pPr>
      <w:r>
        <w:rPr>
          <w:rFonts w:eastAsiaTheme="minorEastAsia"/>
          <w:color w:val="000000" w:themeColor="text1"/>
        </w:rPr>
        <w:t>根据工程分析，技改后原选矿车间尾矿排放量约</w:t>
      </w:r>
      <w:r>
        <w:rPr>
          <w:rFonts w:hint="eastAsia" w:eastAsiaTheme="minorEastAsia"/>
          <w:color w:val="000000" w:themeColor="text1"/>
        </w:rPr>
        <w:t>2.2</w:t>
      </w:r>
      <w:r>
        <w:rPr>
          <w:rFonts w:eastAsiaTheme="minorEastAsia"/>
          <w:color w:val="000000" w:themeColor="text1"/>
        </w:rPr>
        <w:t>万m</w:t>
      </w:r>
      <w:r>
        <w:rPr>
          <w:rFonts w:eastAsiaTheme="minorEastAsia"/>
          <w:color w:val="000000" w:themeColor="text1"/>
          <w:vertAlign w:val="superscript"/>
        </w:rPr>
        <w:t>3</w:t>
      </w:r>
      <w:r>
        <w:rPr>
          <w:rFonts w:eastAsiaTheme="minorEastAsia"/>
          <w:color w:val="000000" w:themeColor="text1"/>
        </w:rPr>
        <w:t>/a，仍然进入辣子箐尾矿库，根据建设单位提供的资料，现有尾矿库剩余库容约</w:t>
      </w:r>
      <w:r>
        <w:rPr>
          <w:rFonts w:hint="eastAsia" w:eastAsiaTheme="minorEastAsia"/>
          <w:color w:val="000000" w:themeColor="text1"/>
        </w:rPr>
        <w:t>4</w:t>
      </w:r>
      <w:r>
        <w:rPr>
          <w:rFonts w:eastAsiaTheme="minorEastAsia"/>
          <w:color w:val="000000" w:themeColor="text1"/>
        </w:rPr>
        <w:t>万m</w:t>
      </w:r>
      <w:r>
        <w:rPr>
          <w:rFonts w:eastAsiaTheme="minorEastAsia"/>
          <w:color w:val="000000" w:themeColor="text1"/>
          <w:vertAlign w:val="superscript"/>
        </w:rPr>
        <w:t>3</w:t>
      </w:r>
      <w:r>
        <w:rPr>
          <w:rFonts w:eastAsiaTheme="minorEastAsia"/>
          <w:color w:val="000000" w:themeColor="text1"/>
        </w:rPr>
        <w:t>，还可以继续服务约</w:t>
      </w:r>
      <w:r>
        <w:rPr>
          <w:rFonts w:hint="eastAsia" w:eastAsiaTheme="minorEastAsia"/>
          <w:color w:val="000000" w:themeColor="text1"/>
        </w:rPr>
        <w:t>1.81</w:t>
      </w:r>
      <w:r>
        <w:rPr>
          <w:rFonts w:eastAsiaTheme="minorEastAsia"/>
          <w:color w:val="000000" w:themeColor="text1"/>
        </w:rPr>
        <w:t>年</w:t>
      </w:r>
      <w:r>
        <w:rPr>
          <w:rFonts w:hint="eastAsia" w:eastAsiaTheme="minorEastAsia"/>
          <w:color w:val="000000" w:themeColor="text1"/>
        </w:rPr>
        <w:t>，该尾矿库满后，企业要规划尾矿的处置去向和相关工程。</w:t>
      </w:r>
    </w:p>
    <w:p>
      <w:pPr>
        <w:pStyle w:val="26"/>
        <w:ind w:firstLine="480"/>
        <w:rPr>
          <w:rFonts w:eastAsiaTheme="minorEastAsia"/>
          <w:color w:val="000000" w:themeColor="text1"/>
          <w:lang w:eastAsia="zh-CN"/>
        </w:rPr>
      </w:pPr>
      <w:r>
        <w:rPr>
          <w:rFonts w:eastAsiaTheme="minorEastAsia"/>
          <w:color w:val="000000" w:themeColor="text1"/>
          <w:lang w:eastAsia="zh-CN"/>
        </w:rPr>
        <w:t>技改再选工段产生的尾矿量为</w:t>
      </w:r>
      <w:r>
        <w:rPr>
          <w:rFonts w:hint="eastAsia" w:eastAsiaTheme="minorEastAsia"/>
          <w:color w:val="000000" w:themeColor="text1"/>
          <w:lang w:eastAsia="zh-CN"/>
        </w:rPr>
        <w:t>31874.126</w:t>
      </w:r>
      <w:r>
        <w:rPr>
          <w:rFonts w:eastAsiaTheme="minorEastAsia"/>
          <w:color w:val="000000" w:themeColor="text1"/>
          <w:lang w:eastAsia="zh-CN"/>
        </w:rPr>
        <w:t>t/a，进入龙都尾矿库。</w:t>
      </w:r>
    </w:p>
    <w:p>
      <w:pPr>
        <w:ind w:firstLine="480"/>
        <w:rPr>
          <w:rFonts w:eastAsiaTheme="minorEastAsia"/>
          <w:color w:val="000000" w:themeColor="text1"/>
        </w:rPr>
      </w:pPr>
      <w:r>
        <w:rPr>
          <w:rFonts w:eastAsiaTheme="minorEastAsia"/>
          <w:color w:val="000000" w:themeColor="text1"/>
        </w:rPr>
        <w:t>（2）尾矿属性</w:t>
      </w:r>
    </w:p>
    <w:p>
      <w:pPr>
        <w:pStyle w:val="127"/>
        <w:rPr>
          <w:rFonts w:eastAsiaTheme="minorEastAsia"/>
          <w:color w:val="000000" w:themeColor="text1"/>
          <w:szCs w:val="24"/>
        </w:rPr>
      </w:pPr>
      <w:r>
        <w:rPr>
          <w:rFonts w:eastAsiaTheme="minorEastAsia"/>
          <w:color w:val="000000" w:themeColor="text1"/>
          <w:szCs w:val="24"/>
        </w:rPr>
        <w:t>根据2019年4月8日玉溪矿业有限公司编制的《玉溪矿业有限公司大红山龙都尾矿库突发环境事件风险评估报告》中，大红山铜选厂尾矿毒性浸出实验结果见下表所示。</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表6.2-</w:t>
      </w:r>
      <w:r>
        <w:rPr>
          <w:rFonts w:hint="eastAsia" w:eastAsiaTheme="minorEastAsia"/>
          <w:b/>
          <w:color w:val="000000" w:themeColor="text1"/>
          <w:sz w:val="21"/>
          <w:szCs w:val="20"/>
        </w:rPr>
        <w:t>45</w:t>
      </w:r>
      <w:r>
        <w:rPr>
          <w:rFonts w:eastAsiaTheme="minorEastAsia"/>
          <w:b/>
          <w:color w:val="000000" w:themeColor="text1"/>
          <w:sz w:val="21"/>
          <w:szCs w:val="20"/>
        </w:rPr>
        <w:t>大红山铜选厂尾矿浸出实验检测结果单位：mg/L</w:t>
      </w:r>
    </w:p>
    <w:tbl>
      <w:tblPr>
        <w:tblStyle w:val="61"/>
        <w:tblW w:w="852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8"/>
        <w:gridCol w:w="1704"/>
        <w:gridCol w:w="2090"/>
        <w:gridCol w:w="719"/>
        <w:gridCol w:w="2258"/>
        <w:gridCol w:w="9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33" w:hRule="exact"/>
          <w:tblHeader/>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编号项目</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尾矿渣（mg/L）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GB5085.3危险废物鉴别标准浸出液中危害成分浓度限值（mg/L）</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达标情况</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GB8978-1996《污水综合排放标准》一级标准</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Cu</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＜0.0044</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0.1</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Zn</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＜0.067</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Cd</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0.0013</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0.1</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Pb</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0.0187</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总Cr</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＜0.003</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Cr</w:t>
            </w:r>
            <w:r>
              <w:rPr>
                <w:rFonts w:eastAsiaTheme="minorEastAsia"/>
                <w:color w:val="000000" w:themeColor="text1"/>
                <w:sz w:val="21"/>
                <w:szCs w:val="21"/>
                <w:vertAlign w:val="superscript"/>
              </w:rPr>
              <w:t>+6</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Hg</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0.0001</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0.1</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Be</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＜0.0002</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0.02</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Ba</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0.028-0.033</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100</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Ni</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＜0.005</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Ag</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0.0091</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As</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0.00018-0.00036</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Se</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0.0010-0.0021</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0.1</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4" w:hRule="exact"/>
          <w:jc w:val="center"/>
        </w:trPr>
        <w:tc>
          <w:tcPr>
            <w:tcW w:w="848" w:type="dxa"/>
            <w:vAlign w:val="center"/>
          </w:tcPr>
          <w:p>
            <w:pPr>
              <w:pStyle w:val="610"/>
              <w:spacing w:line="240" w:lineRule="auto"/>
              <w:ind w:firstLine="0" w:firstLineChars="0"/>
              <w:jc w:val="both"/>
              <w:rPr>
                <w:rFonts w:eastAsiaTheme="minorEastAsia"/>
                <w:color w:val="000000" w:themeColor="text1"/>
                <w:sz w:val="21"/>
                <w:szCs w:val="21"/>
              </w:rPr>
            </w:pPr>
            <w:r>
              <w:rPr>
                <w:rFonts w:eastAsiaTheme="minorEastAsia"/>
                <w:color w:val="000000" w:themeColor="text1"/>
                <w:sz w:val="21"/>
                <w:szCs w:val="21"/>
              </w:rPr>
              <w:t>无机氟化物</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0.03-0.05</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100</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氰化物</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＜0.002</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pH</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8.24-8.45</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≤12.5或≥2</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6-9</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bl>
    <w:p>
      <w:pPr>
        <w:ind w:firstLine="480"/>
        <w:rPr>
          <w:rFonts w:eastAsiaTheme="minorEastAsia"/>
          <w:b/>
          <w:color w:val="000000" w:themeColor="text1"/>
          <w:sz w:val="21"/>
          <w:szCs w:val="20"/>
        </w:rPr>
      </w:pPr>
      <w:r>
        <w:rPr>
          <w:rFonts w:eastAsiaTheme="minorEastAsia"/>
          <w:color w:val="000000" w:themeColor="text1"/>
          <w:szCs w:val="24"/>
        </w:rPr>
        <w:t>由以上浸出实验结果可以看出，大红山铜选厂尾矿没有超出《危险废物鉴别标准》（GB5058.1-5058.7-2007）中浸出液中</w:t>
      </w:r>
      <w:r>
        <w:rPr>
          <w:rFonts w:hint="eastAsia" w:eastAsiaTheme="minorEastAsia"/>
          <w:color w:val="000000" w:themeColor="text1"/>
          <w:szCs w:val="24"/>
        </w:rPr>
        <w:t>控制因子</w:t>
      </w:r>
      <w:r>
        <w:rPr>
          <w:rFonts w:eastAsiaTheme="minorEastAsia"/>
          <w:color w:val="000000" w:themeColor="text1"/>
          <w:szCs w:val="24"/>
        </w:rPr>
        <w:t>浓度限值及《污水综合排放标准》中</w:t>
      </w:r>
      <w:r>
        <w:rPr>
          <w:rFonts w:hint="eastAsia" w:eastAsiaTheme="minorEastAsia"/>
          <w:color w:val="000000" w:themeColor="text1"/>
          <w:szCs w:val="24"/>
        </w:rPr>
        <w:t>一级标准</w:t>
      </w:r>
      <w:r>
        <w:rPr>
          <w:rFonts w:eastAsiaTheme="minorEastAsia"/>
          <w:color w:val="000000" w:themeColor="text1"/>
          <w:szCs w:val="24"/>
        </w:rPr>
        <w:t>允许排放浓度。因此大红山铜选厂产生的尾矿属于一般工业固体废物中的Ⅰ类固体废物。</w:t>
      </w: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表6.2-</w:t>
      </w:r>
      <w:r>
        <w:rPr>
          <w:rFonts w:hint="eastAsia" w:eastAsiaTheme="minorEastAsia"/>
          <w:b/>
          <w:color w:val="000000" w:themeColor="text1"/>
          <w:sz w:val="21"/>
          <w:szCs w:val="20"/>
        </w:rPr>
        <w:t>46</w:t>
      </w:r>
      <w:r>
        <w:rPr>
          <w:rFonts w:eastAsiaTheme="minorEastAsia"/>
          <w:b/>
          <w:color w:val="000000" w:themeColor="text1"/>
          <w:sz w:val="21"/>
          <w:szCs w:val="20"/>
        </w:rPr>
        <w:t>大红山铁选厂尾矿浸出实验检测结果单位：mg/L</w:t>
      </w:r>
    </w:p>
    <w:tbl>
      <w:tblPr>
        <w:tblStyle w:val="61"/>
        <w:tblW w:w="852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8"/>
        <w:gridCol w:w="1704"/>
        <w:gridCol w:w="2090"/>
        <w:gridCol w:w="719"/>
        <w:gridCol w:w="2258"/>
        <w:gridCol w:w="9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33" w:hRule="exact"/>
          <w:tblHeader/>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编号项目</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尾矿渣（mg/L）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GB5085.3危险废物鉴别标准浸出液中危害成分浓度限值（mg/L）</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达标情况</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GB8978-1996《污水综合排放标准》一级标准</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Cu</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0.002L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0.1</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Zn</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0.002L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Cd</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0.0013</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0.1</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Pb</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0.0047</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总Cr</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0.002L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Cr</w:t>
            </w:r>
            <w:r>
              <w:rPr>
                <w:rFonts w:eastAsiaTheme="minorEastAsia"/>
                <w:color w:val="000000" w:themeColor="text1"/>
                <w:sz w:val="21"/>
                <w:szCs w:val="21"/>
                <w:vertAlign w:val="superscript"/>
              </w:rPr>
              <w:t>+6</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0.004L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Hg</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0.0001L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0.1</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Be</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0.002L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0.02</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Ba</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0.21</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100</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Ni</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0.002L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Ag</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0.0001L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As</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0.0022</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Se</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0.0001L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0.1</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4" w:hRule="exact"/>
          <w:jc w:val="center"/>
        </w:trPr>
        <w:tc>
          <w:tcPr>
            <w:tcW w:w="848" w:type="dxa"/>
            <w:vAlign w:val="center"/>
          </w:tcPr>
          <w:p>
            <w:pPr>
              <w:pStyle w:val="610"/>
              <w:spacing w:line="240" w:lineRule="auto"/>
              <w:ind w:firstLine="0" w:firstLineChars="0"/>
              <w:jc w:val="both"/>
              <w:rPr>
                <w:rFonts w:eastAsiaTheme="minorEastAsia"/>
                <w:color w:val="000000" w:themeColor="text1"/>
                <w:sz w:val="21"/>
                <w:szCs w:val="21"/>
              </w:rPr>
            </w:pPr>
            <w:r>
              <w:rPr>
                <w:rFonts w:eastAsiaTheme="minorEastAsia"/>
                <w:color w:val="000000" w:themeColor="text1"/>
                <w:sz w:val="21"/>
                <w:szCs w:val="21"/>
              </w:rPr>
              <w:t>无机氟化物</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0.11</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100</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氰化物</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0.002L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pH</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8.1</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≤12.5或≥2</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6-9</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bl>
    <w:p>
      <w:pPr>
        <w:ind w:firstLine="480"/>
        <w:rPr>
          <w:rFonts w:eastAsiaTheme="minorEastAsia"/>
          <w:color w:val="000000" w:themeColor="text1"/>
          <w:szCs w:val="24"/>
        </w:rPr>
      </w:pPr>
      <w:r>
        <w:rPr>
          <w:rFonts w:eastAsiaTheme="minorEastAsia"/>
          <w:color w:val="000000" w:themeColor="text1"/>
          <w:szCs w:val="24"/>
        </w:rPr>
        <w:t>由以上浸出实验结果可以看出，大红山铁选厂尾矿没有超出《危险废物鉴别标准》（GB5058.1-5058.7-2007）中浸出液中</w:t>
      </w:r>
      <w:r>
        <w:rPr>
          <w:rFonts w:hint="eastAsia" w:eastAsiaTheme="minorEastAsia"/>
          <w:color w:val="000000" w:themeColor="text1"/>
          <w:szCs w:val="24"/>
        </w:rPr>
        <w:t>控制因子</w:t>
      </w:r>
      <w:r>
        <w:rPr>
          <w:rFonts w:eastAsiaTheme="minorEastAsia"/>
          <w:color w:val="000000" w:themeColor="text1"/>
          <w:szCs w:val="24"/>
        </w:rPr>
        <w:t>浓度限值及《污水综合排放标准》中</w:t>
      </w:r>
      <w:r>
        <w:rPr>
          <w:rFonts w:hint="eastAsia" w:eastAsiaTheme="minorEastAsia"/>
          <w:color w:val="000000" w:themeColor="text1"/>
          <w:szCs w:val="24"/>
        </w:rPr>
        <w:t>一级标准</w:t>
      </w:r>
      <w:r>
        <w:rPr>
          <w:rFonts w:eastAsiaTheme="minorEastAsia"/>
          <w:color w:val="000000" w:themeColor="text1"/>
          <w:szCs w:val="24"/>
        </w:rPr>
        <w:t>允许排放浓度。因此大红山选厂产生的尾矿属于一般工业固体废物中的Ⅰ类固体废物。</w:t>
      </w:r>
    </w:p>
    <w:p>
      <w:pPr>
        <w:ind w:firstLine="480"/>
        <w:rPr>
          <w:rFonts w:eastAsiaTheme="minorEastAsia"/>
          <w:b/>
          <w:color w:val="000000" w:themeColor="text1"/>
          <w:sz w:val="21"/>
          <w:szCs w:val="20"/>
        </w:rPr>
      </w:pPr>
      <w:r>
        <w:rPr>
          <w:rFonts w:eastAsiaTheme="minorEastAsia"/>
          <w:color w:val="000000" w:themeColor="text1"/>
          <w:szCs w:val="24"/>
        </w:rPr>
        <w:t>项目原矿石和三级精铁矿购自玉溪大红山矿业有限公司，选矿工艺与玉溪大红山矿业铁矿选矿工艺相近，本次评价建设单位取原有选矿生产线的尾矿，于2021年1月委托</w:t>
      </w:r>
      <w:r>
        <w:rPr>
          <w:bCs/>
          <w:color w:val="000000" w:themeColor="text1"/>
          <w:szCs w:val="24"/>
        </w:rPr>
        <w:t>云南环绿环境检测技术有限公司对尾矿进行浸出毒性检测，检测结果见下表所示：</w:t>
      </w:r>
    </w:p>
    <w:p>
      <w:pPr>
        <w:widowControl/>
        <w:ind w:firstLine="0" w:firstLineChars="0"/>
        <w:jc w:val="center"/>
        <w:rPr>
          <w:rFonts w:eastAsiaTheme="minorEastAsia"/>
          <w:b/>
          <w:color w:val="000000" w:themeColor="text1"/>
          <w:sz w:val="21"/>
          <w:szCs w:val="20"/>
        </w:rPr>
      </w:pPr>
    </w:p>
    <w:p>
      <w:pPr>
        <w:widowControl/>
        <w:ind w:firstLine="0" w:firstLineChars="0"/>
        <w:jc w:val="center"/>
        <w:rPr>
          <w:rFonts w:eastAsiaTheme="minorEastAsia"/>
          <w:b/>
          <w:color w:val="000000" w:themeColor="text1"/>
          <w:sz w:val="21"/>
          <w:szCs w:val="20"/>
        </w:rPr>
      </w:pPr>
    </w:p>
    <w:p>
      <w:pPr>
        <w:widowControl/>
        <w:ind w:firstLine="0" w:firstLineChars="0"/>
        <w:jc w:val="center"/>
        <w:rPr>
          <w:rFonts w:eastAsiaTheme="minorEastAsia"/>
          <w:b/>
          <w:color w:val="000000" w:themeColor="text1"/>
          <w:sz w:val="21"/>
          <w:szCs w:val="20"/>
        </w:rPr>
      </w:pPr>
      <w:r>
        <w:rPr>
          <w:rFonts w:eastAsiaTheme="minorEastAsia"/>
          <w:b/>
          <w:color w:val="000000" w:themeColor="text1"/>
          <w:sz w:val="21"/>
          <w:szCs w:val="20"/>
        </w:rPr>
        <w:t>表6.2-</w:t>
      </w:r>
      <w:r>
        <w:rPr>
          <w:rFonts w:hint="eastAsia" w:eastAsiaTheme="minorEastAsia"/>
          <w:b/>
          <w:color w:val="000000" w:themeColor="text1"/>
          <w:sz w:val="21"/>
          <w:szCs w:val="20"/>
        </w:rPr>
        <w:t>47</w:t>
      </w:r>
      <w:r>
        <w:rPr>
          <w:rFonts w:eastAsiaTheme="minorEastAsia"/>
          <w:b/>
          <w:color w:val="000000" w:themeColor="text1"/>
          <w:sz w:val="21"/>
          <w:szCs w:val="20"/>
        </w:rPr>
        <w:t>原有项目尾矿浸出实验检测结果单位：mg/L</w:t>
      </w:r>
    </w:p>
    <w:tbl>
      <w:tblPr>
        <w:tblStyle w:val="61"/>
        <w:tblW w:w="852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8"/>
        <w:gridCol w:w="1704"/>
        <w:gridCol w:w="2090"/>
        <w:gridCol w:w="719"/>
        <w:gridCol w:w="2258"/>
        <w:gridCol w:w="9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33" w:hRule="exact"/>
          <w:tblHeader/>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编号项目</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尾矿渣（mg/L）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GB5085.3危险废物鉴别标准浸出液中危害成分浓度限值（mg/L）</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达标情况</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GB8978-1996《污水综合排放标准》一级标准</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Cu</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0.01L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0.1</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Zn</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0.006L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Cd</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0.01L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0.1</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Pb</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0.05L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总Cr</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0.003L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Cr</w:t>
            </w:r>
            <w:r>
              <w:rPr>
                <w:rFonts w:eastAsiaTheme="minorEastAsia"/>
                <w:color w:val="000000" w:themeColor="text1"/>
                <w:sz w:val="21"/>
                <w:szCs w:val="21"/>
                <w:vertAlign w:val="superscript"/>
              </w:rPr>
              <w:t>+6</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0.004L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Hg</w:t>
            </w:r>
          </w:p>
        </w:tc>
        <w:tc>
          <w:tcPr>
            <w:tcW w:w="1704" w:type="dxa"/>
            <w:vAlign w:val="center"/>
          </w:tcPr>
          <w:p>
            <w:pPr>
              <w:pStyle w:val="610"/>
              <w:spacing w:line="240" w:lineRule="auto"/>
              <w:ind w:firstLine="0" w:firstLineChars="0"/>
              <w:rPr>
                <w:rFonts w:eastAsiaTheme="minorEastAsia"/>
                <w:color w:val="000000" w:themeColor="text1"/>
                <w:sz w:val="21"/>
                <w:szCs w:val="21"/>
              </w:rPr>
            </w:pPr>
            <w:r>
              <w:rPr>
                <w:color w:val="000000" w:themeColor="text1"/>
                <w:kern w:val="0"/>
                <w:szCs w:val="21"/>
              </w:rPr>
              <w:t>0.00005L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0.1</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Be</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0.005L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0.02</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Ba</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0.003L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100</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Ni</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0.01L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Ag</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0.003L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As</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0.0105</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Se</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0.0002L</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0.1</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4" w:hRule="exact"/>
          <w:jc w:val="center"/>
        </w:trPr>
        <w:tc>
          <w:tcPr>
            <w:tcW w:w="848" w:type="dxa"/>
            <w:vAlign w:val="center"/>
          </w:tcPr>
          <w:p>
            <w:pPr>
              <w:pStyle w:val="610"/>
              <w:spacing w:line="240" w:lineRule="auto"/>
              <w:ind w:firstLine="0" w:firstLineChars="0"/>
              <w:jc w:val="both"/>
              <w:rPr>
                <w:rFonts w:eastAsiaTheme="minorEastAsia"/>
                <w:color w:val="000000" w:themeColor="text1"/>
                <w:sz w:val="21"/>
                <w:szCs w:val="21"/>
              </w:rPr>
            </w:pPr>
            <w:r>
              <w:rPr>
                <w:rFonts w:eastAsiaTheme="minorEastAsia"/>
                <w:color w:val="000000" w:themeColor="text1"/>
                <w:sz w:val="21"/>
                <w:szCs w:val="21"/>
              </w:rPr>
              <w:t>无机氟化物</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15</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100</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10</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氰化物</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1.2</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5</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0.5</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84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pH</w:t>
            </w:r>
          </w:p>
        </w:tc>
        <w:tc>
          <w:tcPr>
            <w:tcW w:w="17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7.84</w:t>
            </w:r>
          </w:p>
        </w:tc>
        <w:tc>
          <w:tcPr>
            <w:tcW w:w="2090"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≤12.5或≥2</w:t>
            </w:r>
          </w:p>
        </w:tc>
        <w:tc>
          <w:tcPr>
            <w:tcW w:w="719"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c>
          <w:tcPr>
            <w:tcW w:w="2258"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6-9</w:t>
            </w:r>
          </w:p>
        </w:tc>
        <w:tc>
          <w:tcPr>
            <w:tcW w:w="904" w:type="dxa"/>
            <w:vAlign w:val="center"/>
          </w:tcPr>
          <w:p>
            <w:pPr>
              <w:pStyle w:val="61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达标</w:t>
            </w:r>
          </w:p>
        </w:tc>
      </w:tr>
    </w:tbl>
    <w:p>
      <w:pPr>
        <w:ind w:firstLine="480"/>
        <w:jc w:val="both"/>
        <w:rPr>
          <w:rFonts w:eastAsiaTheme="minorEastAsia"/>
          <w:color w:val="000000" w:themeColor="text1"/>
        </w:rPr>
      </w:pPr>
      <w:r>
        <w:rPr>
          <w:rFonts w:eastAsiaTheme="minorEastAsia"/>
          <w:color w:val="000000" w:themeColor="text1"/>
          <w:szCs w:val="24"/>
        </w:rPr>
        <w:t>由以上监测结果可以判断该项目尾矿不属于危险固废，属于一般工业固废的第I类固废。项目现有尾矿库位于选矿厂东南侧的辣子箐尾矿库，距离选厂500m，距离较近，便于尾矿输送，尾矿库周边不涉及其他敏感目标，选址符合</w:t>
      </w:r>
      <w:r>
        <w:rPr>
          <w:color w:val="000000" w:themeColor="text1"/>
          <w:szCs w:val="24"/>
        </w:rPr>
        <w:t>《一般工业固体废物贮存和填埋污染控制标准》（GB18599-2020）</w:t>
      </w:r>
      <w:r>
        <w:rPr>
          <w:rFonts w:eastAsiaTheme="minorEastAsia"/>
          <w:color w:val="000000" w:themeColor="text1"/>
        </w:rPr>
        <w:t>要求</w:t>
      </w:r>
      <w:r>
        <w:rPr>
          <w:rFonts w:eastAsiaTheme="minorEastAsia"/>
          <w:color w:val="000000" w:themeColor="text1"/>
          <w:szCs w:val="24"/>
        </w:rPr>
        <w:t>。项目现有尾矿库</w:t>
      </w:r>
      <w:r>
        <w:rPr>
          <w:rFonts w:eastAsiaTheme="minorEastAsia"/>
          <w:color w:val="000000" w:themeColor="text1"/>
        </w:rPr>
        <w:t>底部采用粘土层进行了防渗处理，周边建设了截排水沟，委托中国有色金属工业昆明勘察设计院研究院设计，由安宁市螳川水利建设工程有限公司施工，现有尾矿</w:t>
      </w:r>
      <w:r>
        <w:rPr>
          <w:rFonts w:eastAsiaTheme="minorEastAsia"/>
          <w:color w:val="000000" w:themeColor="text1"/>
          <w:szCs w:val="24"/>
        </w:rPr>
        <w:t>库</w:t>
      </w:r>
      <w:r>
        <w:rPr>
          <w:rStyle w:val="73"/>
          <w:rFonts w:hint="eastAsia"/>
          <w:color w:val="000000" w:themeColor="text1"/>
          <w:kern w:val="0"/>
          <w:sz w:val="24"/>
          <w:szCs w:val="24"/>
        </w:rPr>
        <w:t>的建设</w:t>
      </w:r>
      <w:r>
        <w:rPr>
          <w:rFonts w:eastAsiaTheme="minorEastAsia"/>
          <w:color w:val="000000" w:themeColor="text1"/>
          <w:szCs w:val="24"/>
        </w:rPr>
        <w:t>满足</w:t>
      </w:r>
      <w:r>
        <w:rPr>
          <w:color w:val="000000" w:themeColor="text1"/>
          <w:szCs w:val="24"/>
        </w:rPr>
        <w:t>《一般工业固体废物贮存和填埋污染控制标准》（GB18599-2020）</w:t>
      </w:r>
      <w:r>
        <w:rPr>
          <w:rFonts w:eastAsiaTheme="minorEastAsia"/>
          <w:color w:val="000000" w:themeColor="text1"/>
        </w:rPr>
        <w:t>中</w:t>
      </w:r>
      <w:r>
        <w:rPr>
          <w:rFonts w:eastAsiaTheme="minorEastAsia"/>
          <w:color w:val="000000" w:themeColor="text1"/>
          <w:szCs w:val="24"/>
        </w:rPr>
        <w:t>一般工业固废的第I类固废处置场</w:t>
      </w:r>
      <w:r>
        <w:rPr>
          <w:rFonts w:eastAsiaTheme="minorEastAsia"/>
          <w:color w:val="000000" w:themeColor="text1"/>
        </w:rPr>
        <w:t>要求。尾矿库剩余容积可以继续为原有选矿项目服务</w:t>
      </w:r>
      <w:r>
        <w:rPr>
          <w:rFonts w:hint="eastAsia" w:eastAsiaTheme="minorEastAsia"/>
          <w:color w:val="000000" w:themeColor="text1"/>
        </w:rPr>
        <w:t>约1.81</w:t>
      </w:r>
      <w:r>
        <w:rPr>
          <w:rFonts w:eastAsiaTheme="minorEastAsia"/>
          <w:color w:val="000000" w:themeColor="text1"/>
        </w:rPr>
        <w:t>年，尾矿运入尾矿库堆存，可以有效减少了对外环境的影响。</w:t>
      </w:r>
    </w:p>
    <w:p>
      <w:pPr>
        <w:ind w:firstLine="480"/>
        <w:rPr>
          <w:rFonts w:eastAsiaTheme="minorEastAsia"/>
          <w:color w:val="000000" w:themeColor="text1"/>
          <w:szCs w:val="24"/>
        </w:rPr>
      </w:pPr>
      <w:r>
        <w:rPr>
          <w:rFonts w:eastAsiaTheme="minorEastAsia"/>
          <w:color w:val="000000" w:themeColor="text1"/>
          <w:szCs w:val="24"/>
        </w:rPr>
        <w:t>根据设计资料，技改选矿项目产生的尾矿量为</w:t>
      </w:r>
      <w:r>
        <w:rPr>
          <w:rFonts w:hint="eastAsia" w:eastAsiaTheme="minorEastAsia"/>
          <w:color w:val="000000" w:themeColor="text1"/>
          <w:szCs w:val="24"/>
        </w:rPr>
        <w:t>31874.126</w:t>
      </w:r>
      <w:r>
        <w:rPr>
          <w:rFonts w:eastAsiaTheme="minorEastAsia"/>
          <w:color w:val="000000" w:themeColor="text1"/>
          <w:szCs w:val="24"/>
        </w:rPr>
        <w:t>t/a，技改项目不使用浮选工艺，相对于原有项目尾矿，仅尾矿粒径变小，技改项目外购的三级精铁矿均来自于大红山铁矿选矿厂，其尾矿属于一般工业固废的第I类固废。技改后升级再选铁精矿的尾矿经过新平县平安矿业开发有限公司已建设完成的《尾矿输送管道建设及尾矿库环境治理项目》中的管道及其它配套设施输入大红山龙都尾矿库。</w:t>
      </w:r>
    </w:p>
    <w:p>
      <w:pPr>
        <w:numPr>
          <w:ilvl w:val="0"/>
          <w:numId w:val="32"/>
        </w:numPr>
        <w:ind w:firstLine="480"/>
        <w:rPr>
          <w:rFonts w:eastAsiaTheme="minorEastAsia"/>
          <w:color w:val="000000" w:themeColor="text1"/>
        </w:rPr>
      </w:pPr>
      <w:r>
        <w:rPr>
          <w:rFonts w:eastAsiaTheme="minorEastAsia"/>
          <w:color w:val="000000" w:themeColor="text1"/>
        </w:rPr>
        <w:t>技改铁矿再选生产线尾矿的输入对大红山龙都尾矿库的影响</w:t>
      </w:r>
    </w:p>
    <w:p>
      <w:pPr>
        <w:pStyle w:val="51"/>
        <w:ind w:left="0" w:firstLine="480"/>
        <w:rPr>
          <w:smallCaps w:val="0"/>
          <w:color w:val="000000" w:themeColor="text1"/>
          <w:kern w:val="2"/>
          <w:sz w:val="24"/>
          <w:szCs w:val="22"/>
          <w:lang w:eastAsia="zh-CN" w:bidi="ar-SA"/>
        </w:rPr>
      </w:pPr>
      <w:r>
        <w:rPr>
          <w:smallCaps w:val="0"/>
          <w:color w:val="000000" w:themeColor="text1"/>
          <w:kern w:val="2"/>
          <w:sz w:val="24"/>
          <w:szCs w:val="22"/>
          <w:lang w:eastAsia="zh-CN" w:bidi="ar-SA"/>
        </w:rPr>
        <w:t>大红山龙都尾矿库初期坝于1997年7月建成，前期设置初期坝，初期坝采用堆石坝，坝高约30m，坝顶标高为550.0m，尾矿采用水力冲填方式堆积，在坝顶设分散放矿管向库内排放尾矿。初期坝库容堆满后，自初期坝顶采用上游法堆积子坝，1~36级子坝均由人工采取晾干后的尾矿人工堆筑形成。子坝高度1~32级均为2m。放矿是每级子坝在人工堆筑完成后采用钢管道将尾矿浆液输送至子坝坝顶附近，再将主管按照一定间距分接至多条分散软管，最后由人工挪移分散软管在坝顶的位置和控制软管的开闭，将尾矿均匀排放至库内沉积。尾矿浆液由子坝顶排至库内后，尾矿浆液在沉积滩上向上游库内流动，在流动过程中尾矿颗粒在库内沉积滩上随水力减弱不断沉淀，尾矿水在排洪井附近得到澄清，并由排洪井排至排洪隧道，排出库外，从而完成尾矿在沉积滩上的沉积过程。龙都尾矿库于1997年7月建成并投入运行，采用上游法堆坝工艺，至2011年7月已堆积至第36级子坝，坝顶高程为624m。从2011年7月起改用中线法堆坝，至今中线法子坝坝高已堆至676m。</w:t>
      </w:r>
    </w:p>
    <w:p>
      <w:pPr>
        <w:ind w:firstLine="480"/>
        <w:rPr>
          <w:color w:val="000000" w:themeColor="text1"/>
        </w:rPr>
      </w:pPr>
      <w:r>
        <w:rPr>
          <w:rFonts w:eastAsiaTheme="minorEastAsia"/>
          <w:color w:val="000000" w:themeColor="text1"/>
          <w:szCs w:val="24"/>
        </w:rPr>
        <w:t>根据2019年8月中国有色金属工业昆明勘察设计研究院有限公司编制的《大红山龙都尾矿库中前期尾矿堆坝稳定性分析岩土工程勘察报告》，龙都尾矿库</w:t>
      </w:r>
      <w:r>
        <w:rPr>
          <w:color w:val="000000" w:themeColor="text1"/>
        </w:rPr>
        <w:t>2011年7月开始实施中线法堆坝，先期在上游法36级子坝向上游方向约90m堆筑中线法子坝（沉砂尾矿和溢流尾矿的分隔坝），中线法子坝采用沉砂尾矿填筑，截至到2019年8月，龙都尾矿库坝顶高程为676m，子坝外坝坡坡度约26°，坡比约1:2，子坝堆筑良好，未见浸润带及渗水现象，外坡面基本保持完好。</w:t>
      </w:r>
    </w:p>
    <w:p>
      <w:pPr>
        <w:pStyle w:val="51"/>
        <w:ind w:left="0" w:firstLine="480"/>
        <w:rPr>
          <w:smallCaps w:val="0"/>
          <w:color w:val="000000" w:themeColor="text1"/>
          <w:kern w:val="2"/>
          <w:sz w:val="24"/>
          <w:szCs w:val="22"/>
          <w:lang w:eastAsia="zh-CN" w:bidi="ar-SA"/>
        </w:rPr>
      </w:pPr>
      <w:r>
        <w:rPr>
          <w:smallCaps w:val="0"/>
          <w:color w:val="000000" w:themeColor="text1"/>
          <w:kern w:val="2"/>
          <w:sz w:val="24"/>
          <w:szCs w:val="22"/>
          <w:lang w:eastAsia="zh-CN" w:bidi="ar-SA"/>
        </w:rPr>
        <w:t>影响尾矿堆积坝稳定性的因素很多，包括尾矿堆积体物理力学性质、尾矿库内水文地质条件、地表水、地震作用、坝坡形态、人为因素和其他外围影响因素。</w:t>
      </w:r>
    </w:p>
    <w:p>
      <w:pPr>
        <w:ind w:firstLine="480"/>
        <w:rPr>
          <w:rFonts w:eastAsiaTheme="minorEastAsia"/>
          <w:color w:val="000000" w:themeColor="text1"/>
        </w:rPr>
      </w:pPr>
      <w:r>
        <w:rPr>
          <w:rFonts w:eastAsiaTheme="minorEastAsia"/>
          <w:color w:val="000000" w:themeColor="text1"/>
          <w:szCs w:val="24"/>
        </w:rPr>
        <w:t>根据《新平县平安矿业开发有限公司尾矿排入龙都尾矿库合同》，项目尾矿排入龙都尾矿库的尾矿粒径要求为：100目以上占28.1%左右，200目以上占64%左右，本技改铁矿再选尾矿为100目以上325目以下占90%，满足</w:t>
      </w:r>
      <w:r>
        <w:rPr>
          <w:rFonts w:hint="eastAsia" w:eastAsiaTheme="minorEastAsia"/>
          <w:color w:val="000000" w:themeColor="text1"/>
          <w:szCs w:val="24"/>
        </w:rPr>
        <w:t>合同</w:t>
      </w:r>
      <w:r>
        <w:rPr>
          <w:rFonts w:eastAsiaTheme="minorEastAsia"/>
          <w:color w:val="000000" w:themeColor="text1"/>
          <w:szCs w:val="24"/>
        </w:rPr>
        <w:t>尾矿</w:t>
      </w:r>
      <w:r>
        <w:rPr>
          <w:rStyle w:val="73"/>
          <w:rFonts w:hint="eastAsia"/>
          <w:color w:val="000000" w:themeColor="text1"/>
          <w:kern w:val="0"/>
          <w:sz w:val="24"/>
          <w:szCs w:val="24"/>
        </w:rPr>
        <w:t>输</w:t>
      </w:r>
      <w:r>
        <w:rPr>
          <w:rFonts w:eastAsiaTheme="minorEastAsia"/>
          <w:color w:val="000000" w:themeColor="text1"/>
          <w:szCs w:val="24"/>
        </w:rPr>
        <w:t>入龙都尾矿库</w:t>
      </w:r>
      <w:r>
        <w:rPr>
          <w:rFonts w:hint="eastAsia" w:eastAsiaTheme="minorEastAsia"/>
          <w:color w:val="000000" w:themeColor="text1"/>
          <w:szCs w:val="24"/>
        </w:rPr>
        <w:t>的尾矿粒径</w:t>
      </w:r>
      <w:r>
        <w:rPr>
          <w:rFonts w:eastAsiaTheme="minorEastAsia"/>
          <w:color w:val="000000" w:themeColor="text1"/>
          <w:szCs w:val="24"/>
        </w:rPr>
        <w:t>要求。技改项目排入龙都尾矿库的量为</w:t>
      </w:r>
      <w:r>
        <w:rPr>
          <w:rFonts w:hint="eastAsia" w:eastAsiaTheme="minorEastAsia"/>
          <w:color w:val="000000" w:themeColor="text1"/>
          <w:szCs w:val="24"/>
        </w:rPr>
        <w:t>31874.126</w:t>
      </w:r>
      <w:r>
        <w:rPr>
          <w:rFonts w:eastAsiaTheme="minorEastAsia"/>
          <w:color w:val="000000" w:themeColor="text1"/>
          <w:szCs w:val="24"/>
        </w:rPr>
        <w:t>t/a，尾矿量较小，且不使用浮选工艺，对原龙都尾矿库的水质及坝体稳定性影响不大。</w:t>
      </w:r>
      <w:r>
        <w:rPr>
          <w:rFonts w:hint="eastAsia"/>
          <w:color w:val="000000" w:themeColor="text1"/>
        </w:rPr>
        <w:t>根据《新平县平安矿业开发有限公司尾矿排入龙都尾矿库合同》龙都尾矿库只接收采购大红山矿业有限公司矿石加工所产生的尾矿，建设单位承诺采购的矿石均为大红山矿业有限公司矿石，见附件11。</w:t>
      </w:r>
      <w:r>
        <w:rPr>
          <w:rFonts w:hint="eastAsia" w:eastAsiaTheme="minorEastAsia"/>
          <w:color w:val="000000" w:themeColor="text1"/>
          <w:szCs w:val="24"/>
        </w:rPr>
        <w:t>龙都尾矿库隶属玉溪大红山矿业有限公司，其环保责任主体是玉溪大红山矿业有限公司。</w:t>
      </w:r>
    </w:p>
    <w:p>
      <w:pPr>
        <w:ind w:firstLine="480"/>
        <w:rPr>
          <w:rFonts w:eastAsiaTheme="minorEastAsia"/>
          <w:color w:val="000000" w:themeColor="text1"/>
        </w:rPr>
      </w:pPr>
      <w:r>
        <w:rPr>
          <w:rFonts w:eastAsiaTheme="minorEastAsia"/>
          <w:color w:val="000000" w:themeColor="text1"/>
        </w:rPr>
        <w:t>（4）尾矿库服务期满固废影响分析</w:t>
      </w:r>
    </w:p>
    <w:p>
      <w:pPr>
        <w:pStyle w:val="127"/>
        <w:rPr>
          <w:rFonts w:eastAsiaTheme="minorEastAsia"/>
          <w:color w:val="000000" w:themeColor="text1"/>
        </w:rPr>
      </w:pPr>
      <w:r>
        <w:rPr>
          <w:rFonts w:eastAsiaTheme="minorEastAsia"/>
          <w:color w:val="000000" w:themeColor="text1"/>
        </w:rPr>
        <w:t>原有项目辣子箐尾矿库服务期满后，闭库期固体废弃物主要为闭库后尾矿库周边废弃建筑物、散落的尾矿渣。</w:t>
      </w:r>
    </w:p>
    <w:p>
      <w:pPr>
        <w:pStyle w:val="127"/>
        <w:rPr>
          <w:rFonts w:eastAsiaTheme="minorEastAsia"/>
          <w:color w:val="000000" w:themeColor="text1"/>
        </w:rPr>
      </w:pPr>
      <w:r>
        <w:rPr>
          <w:rFonts w:eastAsiaTheme="minorEastAsia"/>
          <w:color w:val="000000" w:themeColor="text1"/>
        </w:rPr>
        <w:t>对闭库时的废弃建筑物应统一拆除，建筑垃圾按照当地环卫部门要求进行处理。闭库时应对尾矿库周边散落尾矿渣及尾矿管内的尾矿渣进行清理排入尾矿库内。尾矿库闭库要求如下：</w:t>
      </w:r>
    </w:p>
    <w:p>
      <w:pPr>
        <w:pStyle w:val="127"/>
        <w:rPr>
          <w:rFonts w:eastAsiaTheme="minorEastAsia"/>
          <w:color w:val="000000" w:themeColor="text1"/>
        </w:rPr>
      </w:pPr>
      <w:r>
        <w:rPr>
          <w:rFonts w:eastAsiaTheme="minorEastAsia"/>
          <w:color w:val="000000" w:themeColor="text1"/>
        </w:rPr>
        <w:t>1）尾矿库应按《尾矿库闭库安全监督管理规定》进行闭库；</w:t>
      </w:r>
    </w:p>
    <w:p>
      <w:pPr>
        <w:pStyle w:val="127"/>
        <w:rPr>
          <w:rFonts w:eastAsiaTheme="minorEastAsia"/>
          <w:color w:val="000000" w:themeColor="text1"/>
        </w:rPr>
      </w:pPr>
      <w:r>
        <w:rPr>
          <w:rFonts w:eastAsiaTheme="minorEastAsia"/>
          <w:color w:val="000000" w:themeColor="text1"/>
        </w:rPr>
        <w:t>2）在尾矿库闭库前1年，委托具有相应资质的评价机构进行尾矿库安全评价；</w:t>
      </w:r>
    </w:p>
    <w:p>
      <w:pPr>
        <w:pStyle w:val="127"/>
        <w:rPr>
          <w:rFonts w:eastAsiaTheme="minorEastAsia"/>
          <w:color w:val="000000" w:themeColor="text1"/>
        </w:rPr>
      </w:pPr>
      <w:r>
        <w:rPr>
          <w:rFonts w:eastAsiaTheme="minorEastAsia"/>
          <w:color w:val="000000" w:themeColor="text1"/>
        </w:rPr>
        <w:t>3）在尾矿库闭库前1年，委托具有相应资质的设计单位进行尾矿库闭库设计；</w:t>
      </w:r>
    </w:p>
    <w:p>
      <w:pPr>
        <w:pStyle w:val="127"/>
        <w:rPr>
          <w:rFonts w:eastAsiaTheme="minorEastAsia"/>
          <w:color w:val="000000" w:themeColor="text1"/>
        </w:rPr>
      </w:pPr>
      <w:r>
        <w:rPr>
          <w:rFonts w:eastAsiaTheme="minorEastAsia"/>
          <w:color w:val="000000" w:themeColor="text1"/>
        </w:rPr>
        <w:t>4）按照《尾矿设施施工及验收规程》（YS5418-95）进行闭库验收。</w:t>
      </w:r>
    </w:p>
    <w:p>
      <w:pPr>
        <w:pStyle w:val="127"/>
        <w:rPr>
          <w:rFonts w:eastAsiaTheme="minorEastAsia"/>
          <w:color w:val="000000" w:themeColor="text1"/>
        </w:rPr>
      </w:pPr>
      <w:r>
        <w:rPr>
          <w:rFonts w:eastAsiaTheme="minorEastAsia"/>
          <w:color w:val="000000" w:themeColor="text1"/>
        </w:rPr>
        <w:t>5）闭库施工应严格按照《水土保持治理方案》及《土地复垦方案》中提出措施对尾矿库进行治理恢复。</w:t>
      </w:r>
    </w:p>
    <w:p>
      <w:pPr>
        <w:ind w:firstLine="480"/>
        <w:rPr>
          <w:rFonts w:eastAsiaTheme="minorEastAsia"/>
          <w:color w:val="000000" w:themeColor="text1"/>
        </w:rPr>
      </w:pPr>
      <w:r>
        <w:rPr>
          <w:rFonts w:eastAsiaTheme="minorEastAsia"/>
          <w:color w:val="000000" w:themeColor="text1"/>
        </w:rPr>
        <w:t>6）尾矿库周边警示标示及尾矿库观测点应予以保留。</w:t>
      </w:r>
    </w:p>
    <w:p>
      <w:pPr>
        <w:autoSpaceDE w:val="0"/>
        <w:autoSpaceDN w:val="0"/>
        <w:adjustRightInd w:val="0"/>
        <w:ind w:firstLine="482"/>
        <w:rPr>
          <w:rFonts w:eastAsiaTheme="minorEastAsia"/>
          <w:b/>
          <w:color w:val="000000" w:themeColor="text1"/>
        </w:rPr>
      </w:pPr>
      <w:r>
        <w:rPr>
          <w:rFonts w:eastAsiaTheme="minorEastAsia"/>
          <w:b/>
          <w:color w:val="000000" w:themeColor="text1"/>
        </w:rPr>
        <w:t>3、生活垃圾排放和处置影响分析</w:t>
      </w:r>
    </w:p>
    <w:p>
      <w:pPr>
        <w:ind w:firstLine="480"/>
        <w:rPr>
          <w:rFonts w:eastAsiaTheme="minorEastAsia"/>
          <w:color w:val="000000" w:themeColor="text1"/>
        </w:rPr>
      </w:pPr>
      <w:r>
        <w:rPr>
          <w:rFonts w:eastAsiaTheme="minorEastAsia"/>
          <w:color w:val="000000" w:themeColor="text1"/>
        </w:rPr>
        <w:t>技改新增劳动定员5人，技改后厂区合计劳动定员90人。生活垃圾产生量为45kg/d，约13.5t/a，生活办公区设置垃圾收集桶，统一收集送生活区垃圾收集房堆存，生活垃圾收集房设置有挡雨棚和收集池，收集池地面进行了硬化处理，防止生活垃圾堆放造成二次污染，后由建设单位清运至戛洒镇生活垃圾指定地点处理。</w:t>
      </w:r>
    </w:p>
    <w:p>
      <w:pPr>
        <w:autoSpaceDE w:val="0"/>
        <w:autoSpaceDN w:val="0"/>
        <w:adjustRightInd w:val="0"/>
        <w:ind w:firstLine="482"/>
        <w:rPr>
          <w:rFonts w:eastAsiaTheme="minorEastAsia"/>
          <w:b/>
          <w:color w:val="000000" w:themeColor="text1"/>
        </w:rPr>
      </w:pPr>
      <w:r>
        <w:rPr>
          <w:rFonts w:eastAsiaTheme="minorEastAsia"/>
          <w:b/>
          <w:color w:val="000000" w:themeColor="text1"/>
        </w:rPr>
        <w:t>4、小结</w:t>
      </w:r>
    </w:p>
    <w:p>
      <w:pPr>
        <w:ind w:firstLine="480"/>
        <w:rPr>
          <w:rFonts w:eastAsiaTheme="minorEastAsia"/>
          <w:color w:val="000000" w:themeColor="text1"/>
          <w:szCs w:val="24"/>
        </w:rPr>
      </w:pPr>
      <w:r>
        <w:rPr>
          <w:rFonts w:eastAsiaTheme="minorEastAsia"/>
          <w:color w:val="000000" w:themeColor="text1"/>
          <w:szCs w:val="24"/>
        </w:rPr>
        <w:t>（1）综上所述，技改完成后现有选矿车间产生的尾矿为一般工业固废的第I类固废，其处置方式维持现状，仍然排入现有辣子箐尾矿库堆存，技改</w:t>
      </w:r>
      <w:r>
        <w:rPr>
          <w:rFonts w:hint="eastAsia" w:eastAsiaTheme="minorEastAsia"/>
          <w:color w:val="000000" w:themeColor="text1"/>
          <w:szCs w:val="24"/>
        </w:rPr>
        <w:t>项目</w:t>
      </w:r>
      <w:r>
        <w:rPr>
          <w:rFonts w:eastAsiaTheme="minorEastAsia"/>
          <w:color w:val="000000" w:themeColor="text1"/>
          <w:szCs w:val="24"/>
        </w:rPr>
        <w:t>铁矿再选生产线的尾矿依托公司现有尾矿输送系统排入大红山龙都尾矿库。生活垃圾运往生活区垃圾房堆存，定期由清运至戛洒镇生活垃圾处置地点处置。</w:t>
      </w:r>
    </w:p>
    <w:p>
      <w:pPr>
        <w:ind w:firstLine="480"/>
        <w:rPr>
          <w:rFonts w:eastAsiaTheme="minorEastAsia"/>
          <w:color w:val="000000" w:themeColor="text1"/>
          <w:szCs w:val="24"/>
        </w:rPr>
      </w:pPr>
      <w:r>
        <w:rPr>
          <w:rFonts w:eastAsiaTheme="minorEastAsia"/>
          <w:color w:val="000000" w:themeColor="text1"/>
          <w:szCs w:val="24"/>
        </w:rPr>
        <w:t>（2）建设单位严格落实好本报告书提出的管理和处理措施，在固体废物产生、处置过程中加强管理，项目运营后产生的固体废物对环境影响较小。</w:t>
      </w:r>
    </w:p>
    <w:p>
      <w:pPr>
        <w:pStyle w:val="6"/>
        <w:spacing w:beforeLines="0" w:afterLines="0"/>
        <w:rPr>
          <w:rFonts w:eastAsiaTheme="minorEastAsia"/>
          <w:color w:val="000000" w:themeColor="text1"/>
          <w:sz w:val="28"/>
          <w:szCs w:val="28"/>
        </w:rPr>
      </w:pPr>
      <w:bookmarkStart w:id="703" w:name="_Toc24737"/>
      <w:r>
        <w:rPr>
          <w:rFonts w:eastAsiaTheme="minorEastAsia"/>
          <w:color w:val="000000" w:themeColor="text1"/>
          <w:sz w:val="28"/>
          <w:szCs w:val="28"/>
        </w:rPr>
        <w:t>6.2.6土壤环境影响分析</w:t>
      </w:r>
      <w:bookmarkEnd w:id="703"/>
    </w:p>
    <w:p>
      <w:pPr>
        <w:pStyle w:val="7"/>
        <w:adjustRightInd w:val="0"/>
        <w:snapToGrid w:val="0"/>
        <w:spacing w:before="0" w:after="0" w:line="360" w:lineRule="auto"/>
        <w:ind w:firstLine="0" w:firstLineChars="0"/>
        <w:rPr>
          <w:rFonts w:ascii="Times New Roman" w:hAnsi="Times New Roman" w:eastAsiaTheme="minorEastAsia"/>
          <w:color w:val="000000" w:themeColor="text1"/>
          <w:sz w:val="24"/>
          <w:szCs w:val="24"/>
        </w:rPr>
      </w:pPr>
      <w:r>
        <w:rPr>
          <w:rFonts w:ascii="Times New Roman" w:hAnsi="Times New Roman" w:eastAsiaTheme="minorEastAsia"/>
          <w:color w:val="000000" w:themeColor="text1"/>
          <w:sz w:val="24"/>
          <w:szCs w:val="24"/>
        </w:rPr>
        <w:t>6.2.6.1土壤环境概况</w:t>
      </w:r>
    </w:p>
    <w:p>
      <w:pPr>
        <w:ind w:firstLine="480"/>
        <w:rPr>
          <w:rFonts w:eastAsiaTheme="minorEastAsia"/>
          <w:color w:val="000000" w:themeColor="text1"/>
        </w:rPr>
      </w:pPr>
      <w:r>
        <w:rPr>
          <w:rFonts w:eastAsiaTheme="minorEastAsia"/>
          <w:color w:val="000000" w:themeColor="text1"/>
        </w:rPr>
        <w:t>戛洒镇由于地貌类型复杂和不同生物气候带的交错分布，以及母质和岩石的多样，导致全区域土壤类型多，在分布上以垂直地带性和地域性最为明显。主要土壤类型是赤红壤、红壤带、燥红土、水稻土。根据云南鑫田环境分析测试有限公司2019年07月16日对项目区占地范围内土壤的监测，项目范围内土壤的pH值在5.26~6.91，根据《环境影响评价技术导则土壤环境》（HJ964-2018）附录D中“土壤盐化、酸化、碱化分级标准”，项目区北侧的土壤呈轻度酸化，项目区西南侧和东侧属于无酸化或碱化。</w:t>
      </w:r>
    </w:p>
    <w:p>
      <w:pPr>
        <w:pStyle w:val="7"/>
        <w:adjustRightInd w:val="0"/>
        <w:snapToGrid w:val="0"/>
        <w:spacing w:before="0" w:after="0" w:line="360" w:lineRule="auto"/>
        <w:ind w:firstLine="0" w:firstLineChars="0"/>
        <w:rPr>
          <w:rFonts w:ascii="Times New Roman" w:hAnsi="Times New Roman" w:eastAsiaTheme="minorEastAsia"/>
          <w:color w:val="000000" w:themeColor="text1"/>
          <w:sz w:val="24"/>
          <w:szCs w:val="24"/>
        </w:rPr>
      </w:pPr>
      <w:r>
        <w:rPr>
          <w:rFonts w:ascii="Times New Roman" w:hAnsi="Times New Roman" w:eastAsiaTheme="minorEastAsia"/>
          <w:color w:val="000000" w:themeColor="text1"/>
          <w:sz w:val="24"/>
          <w:szCs w:val="24"/>
        </w:rPr>
        <w:t>6.2.6.2土地利用类型及污染途径</w:t>
      </w:r>
    </w:p>
    <w:p>
      <w:pPr>
        <w:ind w:firstLine="480"/>
        <w:rPr>
          <w:rFonts w:eastAsiaTheme="minorEastAsia"/>
          <w:color w:val="000000" w:themeColor="text1"/>
        </w:rPr>
      </w:pPr>
      <w:r>
        <w:rPr>
          <w:rFonts w:eastAsiaTheme="minorEastAsia"/>
          <w:color w:val="000000" w:themeColor="text1"/>
        </w:rPr>
        <w:t>项目在现有占地范围内新建，</w:t>
      </w:r>
      <w:r>
        <w:rPr>
          <w:rFonts w:hint="eastAsia" w:eastAsiaTheme="minorEastAsia"/>
          <w:color w:val="000000" w:themeColor="text1"/>
        </w:rPr>
        <w:t>不新增占地</w:t>
      </w:r>
      <w:r>
        <w:rPr>
          <w:rFonts w:eastAsiaTheme="minorEastAsia"/>
          <w:color w:val="000000" w:themeColor="text1"/>
        </w:rPr>
        <w:t>，本项目占地位置属于建设用地。项目生产过程选矿废水、洗砂废水泄漏可能导致土壤环境污染。</w:t>
      </w:r>
    </w:p>
    <w:p>
      <w:pPr>
        <w:pStyle w:val="7"/>
        <w:adjustRightInd w:val="0"/>
        <w:snapToGrid w:val="0"/>
        <w:spacing w:before="0" w:after="0" w:line="360" w:lineRule="auto"/>
        <w:ind w:firstLine="0" w:firstLineChars="0"/>
        <w:rPr>
          <w:rFonts w:ascii="Times New Roman" w:hAnsi="Times New Roman" w:eastAsiaTheme="minorEastAsia"/>
          <w:color w:val="000000" w:themeColor="text1"/>
          <w:sz w:val="24"/>
          <w:szCs w:val="24"/>
        </w:rPr>
      </w:pPr>
      <w:r>
        <w:rPr>
          <w:rFonts w:ascii="Times New Roman" w:hAnsi="Times New Roman" w:eastAsiaTheme="minorEastAsia"/>
          <w:color w:val="000000" w:themeColor="text1"/>
          <w:sz w:val="24"/>
          <w:szCs w:val="24"/>
        </w:rPr>
        <w:t>6.2.6.3土壤评价等级</w:t>
      </w:r>
    </w:p>
    <w:p>
      <w:pPr>
        <w:ind w:firstLine="480"/>
        <w:rPr>
          <w:rFonts w:eastAsiaTheme="minorEastAsia"/>
          <w:color w:val="000000" w:themeColor="text1"/>
        </w:rPr>
      </w:pPr>
      <w:r>
        <w:rPr>
          <w:rFonts w:eastAsiaTheme="minorEastAsia"/>
          <w:color w:val="000000" w:themeColor="text1"/>
        </w:rPr>
        <w:t>1.项目类型</w:t>
      </w:r>
    </w:p>
    <w:p>
      <w:pPr>
        <w:ind w:firstLine="480"/>
        <w:rPr>
          <w:rFonts w:eastAsiaTheme="minorEastAsia"/>
          <w:color w:val="000000" w:themeColor="text1"/>
          <w:szCs w:val="24"/>
        </w:rPr>
      </w:pPr>
      <w:r>
        <w:rPr>
          <w:rFonts w:eastAsiaTheme="minorEastAsia"/>
          <w:color w:val="000000" w:themeColor="text1"/>
          <w:szCs w:val="24"/>
        </w:rPr>
        <w:t>本项目为金属选</w:t>
      </w:r>
      <w:r>
        <w:rPr>
          <w:rFonts w:eastAsiaTheme="minorEastAsia"/>
          <w:color w:val="000000" w:themeColor="text1"/>
        </w:rPr>
        <w:t>矿业，其他类别项目</w:t>
      </w:r>
      <w:r>
        <w:rPr>
          <w:rFonts w:eastAsiaTheme="minorEastAsia"/>
          <w:color w:val="000000" w:themeColor="text1"/>
          <w:szCs w:val="24"/>
        </w:rPr>
        <w:t>，根据《环境影响评价技术导则土壤环境（试行）》（HJ964-2018），本项目属于污染影响型，按土壤环境影响评价项目类别，属于</w:t>
      </w:r>
      <w:r>
        <w:rPr>
          <w:rFonts w:eastAsiaTheme="minorEastAsia"/>
          <w:color w:val="000000" w:themeColor="text1"/>
          <w:szCs w:val="24"/>
        </w:rPr>
        <w:fldChar w:fldCharType="begin"/>
      </w:r>
      <w:r>
        <w:rPr>
          <w:rFonts w:eastAsiaTheme="minorEastAsia"/>
          <w:color w:val="000000" w:themeColor="text1"/>
          <w:szCs w:val="24"/>
        </w:rPr>
        <w:instrText xml:space="preserve"> = 3 \* ROMAN </w:instrText>
      </w:r>
      <w:r>
        <w:rPr>
          <w:rFonts w:eastAsiaTheme="minorEastAsia"/>
          <w:color w:val="000000" w:themeColor="text1"/>
          <w:szCs w:val="24"/>
        </w:rPr>
        <w:fldChar w:fldCharType="separate"/>
      </w:r>
      <w:r>
        <w:rPr>
          <w:rFonts w:eastAsiaTheme="minorEastAsia"/>
          <w:color w:val="000000" w:themeColor="text1"/>
          <w:szCs w:val="24"/>
        </w:rPr>
        <w:t>III</w:t>
      </w:r>
      <w:r>
        <w:rPr>
          <w:rFonts w:eastAsiaTheme="minorEastAsia"/>
          <w:color w:val="000000" w:themeColor="text1"/>
          <w:szCs w:val="24"/>
        </w:rPr>
        <w:fldChar w:fldCharType="end"/>
      </w:r>
      <w:r>
        <w:rPr>
          <w:rFonts w:eastAsiaTheme="minorEastAsia"/>
          <w:color w:val="000000" w:themeColor="text1"/>
          <w:szCs w:val="24"/>
        </w:rPr>
        <w:t>类建设项目。</w:t>
      </w:r>
    </w:p>
    <w:p>
      <w:pPr>
        <w:ind w:firstLine="480"/>
        <w:rPr>
          <w:rFonts w:eastAsiaTheme="minorEastAsia"/>
          <w:color w:val="000000" w:themeColor="text1"/>
        </w:rPr>
      </w:pPr>
      <w:r>
        <w:rPr>
          <w:rFonts w:eastAsiaTheme="minorEastAsia"/>
          <w:color w:val="000000" w:themeColor="text1"/>
        </w:rPr>
        <w:t>2.项目占地规模</w:t>
      </w:r>
    </w:p>
    <w:p>
      <w:pPr>
        <w:ind w:firstLine="480"/>
        <w:rPr>
          <w:rFonts w:eastAsiaTheme="minorEastAsia"/>
          <w:color w:val="000000" w:themeColor="text1"/>
        </w:rPr>
      </w:pPr>
      <w:r>
        <w:rPr>
          <w:rFonts w:eastAsiaTheme="minorEastAsia"/>
          <w:color w:val="000000" w:themeColor="text1"/>
        </w:rPr>
        <w:t>本项目永久占地面积约为15370m</w:t>
      </w:r>
      <w:r>
        <w:rPr>
          <w:rFonts w:eastAsiaTheme="minorEastAsia"/>
          <w:color w:val="000000" w:themeColor="text1"/>
          <w:vertAlign w:val="superscript"/>
        </w:rPr>
        <w:t>2</w:t>
      </w:r>
      <w:r>
        <w:rPr>
          <w:rFonts w:eastAsiaTheme="minorEastAsia"/>
          <w:color w:val="000000" w:themeColor="text1"/>
        </w:rPr>
        <w:t>，按《环境影响评价技术导则土壤环境（试行）》（HJ964-2018）划分，永久占地规模划分分别为大型（≥50hm</w:t>
      </w:r>
      <w:r>
        <w:rPr>
          <w:rFonts w:eastAsiaTheme="minorEastAsia"/>
          <w:color w:val="000000" w:themeColor="text1"/>
          <w:vertAlign w:val="superscript"/>
        </w:rPr>
        <w:t>2</w:t>
      </w:r>
      <w:r>
        <w:rPr>
          <w:rFonts w:eastAsiaTheme="minorEastAsia"/>
          <w:color w:val="000000" w:themeColor="text1"/>
        </w:rPr>
        <w:t>）、中型（5~50hm</w:t>
      </w:r>
      <w:r>
        <w:rPr>
          <w:rFonts w:eastAsiaTheme="minorEastAsia"/>
          <w:color w:val="000000" w:themeColor="text1"/>
          <w:vertAlign w:val="superscript"/>
        </w:rPr>
        <w:t>2</w:t>
      </w:r>
      <w:r>
        <w:rPr>
          <w:rFonts w:eastAsiaTheme="minorEastAsia"/>
          <w:color w:val="000000" w:themeColor="text1"/>
        </w:rPr>
        <w:t>）、小型（≤5hm</w:t>
      </w:r>
      <w:r>
        <w:rPr>
          <w:rFonts w:eastAsiaTheme="minorEastAsia"/>
          <w:color w:val="000000" w:themeColor="text1"/>
          <w:vertAlign w:val="superscript"/>
        </w:rPr>
        <w:t>2</w:t>
      </w:r>
      <w:r>
        <w:rPr>
          <w:rFonts w:eastAsiaTheme="minorEastAsia"/>
          <w:color w:val="000000" w:themeColor="text1"/>
        </w:rPr>
        <w:t>），因此本项目属于中型项目。</w:t>
      </w:r>
    </w:p>
    <w:p>
      <w:pPr>
        <w:ind w:firstLine="480"/>
        <w:rPr>
          <w:rFonts w:eastAsiaTheme="minorEastAsia"/>
          <w:color w:val="000000" w:themeColor="text1"/>
          <w:szCs w:val="24"/>
        </w:rPr>
      </w:pPr>
      <w:r>
        <w:rPr>
          <w:rFonts w:eastAsiaTheme="minorEastAsia"/>
          <w:color w:val="000000" w:themeColor="text1"/>
          <w:szCs w:val="24"/>
        </w:rPr>
        <w:t>3.项目的土壤敏感程度</w:t>
      </w:r>
    </w:p>
    <w:p>
      <w:pPr>
        <w:ind w:firstLine="480"/>
        <w:rPr>
          <w:rFonts w:eastAsiaTheme="minorEastAsia"/>
          <w:b/>
          <w:bCs/>
          <w:color w:val="000000" w:themeColor="text1"/>
          <w:sz w:val="21"/>
          <w:szCs w:val="21"/>
        </w:rPr>
      </w:pPr>
      <w:r>
        <w:rPr>
          <w:rFonts w:eastAsiaTheme="minorEastAsia"/>
          <w:color w:val="000000" w:themeColor="text1"/>
          <w:szCs w:val="24"/>
        </w:rPr>
        <w:t>根据《环境影响评价技术导则土壤环境（试行）》（HJ964-2018），土壤环境的敏感程度详见下表6.2-</w:t>
      </w:r>
      <w:r>
        <w:rPr>
          <w:rFonts w:hint="eastAsia" w:eastAsiaTheme="minorEastAsia"/>
          <w:color w:val="000000" w:themeColor="text1"/>
          <w:szCs w:val="24"/>
        </w:rPr>
        <w:t>48</w:t>
      </w:r>
      <w:r>
        <w:rPr>
          <w:rFonts w:eastAsiaTheme="minorEastAsia"/>
          <w:color w:val="000000" w:themeColor="text1"/>
          <w:szCs w:val="24"/>
        </w:rPr>
        <w:t>。</w:t>
      </w: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表6.2-</w:t>
      </w:r>
      <w:r>
        <w:rPr>
          <w:rFonts w:hint="eastAsia" w:eastAsiaTheme="minorEastAsia"/>
          <w:b/>
          <w:bCs/>
          <w:color w:val="000000" w:themeColor="text1"/>
          <w:sz w:val="21"/>
          <w:szCs w:val="21"/>
        </w:rPr>
        <w:t>48</w:t>
      </w:r>
      <w:r>
        <w:rPr>
          <w:rFonts w:eastAsiaTheme="minorEastAsia"/>
          <w:b/>
          <w:bCs/>
          <w:color w:val="000000" w:themeColor="text1"/>
          <w:sz w:val="21"/>
          <w:szCs w:val="21"/>
        </w:rPr>
        <w:t>土壤敏感程度分级一览表</w:t>
      </w:r>
    </w:p>
    <w:tbl>
      <w:tblPr>
        <w:tblStyle w:val="6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3"/>
        <w:gridCol w:w="64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2093"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敏感程度</w:t>
            </w:r>
          </w:p>
        </w:tc>
        <w:tc>
          <w:tcPr>
            <w:tcW w:w="64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rFonts w:eastAsiaTheme="minorEastAsia"/>
                <w:color w:val="000000" w:themeColor="text1"/>
                <w:sz w:val="21"/>
                <w:szCs w:val="21"/>
              </w:rPr>
            </w:pPr>
            <w:r>
              <w:rPr>
                <w:rFonts w:eastAsiaTheme="minorEastAsia"/>
                <w:color w:val="000000" w:themeColor="text1"/>
                <w:sz w:val="21"/>
                <w:szCs w:val="21"/>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2093"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敏感</w:t>
            </w:r>
          </w:p>
        </w:tc>
        <w:tc>
          <w:tcPr>
            <w:tcW w:w="64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rFonts w:eastAsiaTheme="minorEastAsia"/>
                <w:color w:val="000000" w:themeColor="text1"/>
                <w:sz w:val="21"/>
                <w:szCs w:val="21"/>
              </w:rPr>
            </w:pPr>
            <w:r>
              <w:rPr>
                <w:rFonts w:eastAsiaTheme="minorEastAsia"/>
                <w:color w:val="000000" w:themeColor="text1"/>
                <w:sz w:val="21"/>
                <w:szCs w:val="21"/>
              </w:rPr>
              <w:t>建设项目周边存在耕地、园地。牧草地、饮用水水源地或居民区、学校、医院、疗养院、养老院等土壤环境敏感目标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2093"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较敏感</w:t>
            </w:r>
          </w:p>
        </w:tc>
        <w:tc>
          <w:tcPr>
            <w:tcW w:w="64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rFonts w:eastAsiaTheme="minorEastAsia"/>
                <w:color w:val="000000" w:themeColor="text1"/>
                <w:sz w:val="21"/>
                <w:szCs w:val="21"/>
              </w:rPr>
            </w:pPr>
            <w:r>
              <w:rPr>
                <w:rFonts w:eastAsiaTheme="minorEastAsia"/>
                <w:color w:val="000000" w:themeColor="text1"/>
                <w:sz w:val="21"/>
                <w:szCs w:val="21"/>
              </w:rPr>
              <w:t>建设项目周边存在其他土壤环境敏感目标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rPr>
        <w:tc>
          <w:tcPr>
            <w:tcW w:w="2093" w:type="dxa"/>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不敏感</w:t>
            </w:r>
          </w:p>
        </w:tc>
        <w:tc>
          <w:tcPr>
            <w:tcW w:w="6429" w:type="dxa"/>
            <w:tcBorders>
              <w:top w:val="single" w:color="auto" w:sz="4" w:space="0"/>
              <w:left w:val="single" w:color="auto" w:sz="4" w:space="0"/>
              <w:bottom w:val="single" w:color="auto" w:sz="4" w:space="0"/>
              <w:right w:val="single" w:color="auto" w:sz="4" w:space="0"/>
            </w:tcBorders>
            <w:vAlign w:val="center"/>
          </w:tcPr>
          <w:p>
            <w:pPr>
              <w:spacing w:line="240" w:lineRule="auto"/>
              <w:ind w:firstLine="420"/>
              <w:jc w:val="center"/>
              <w:rPr>
                <w:rFonts w:eastAsiaTheme="minorEastAsia"/>
                <w:color w:val="000000" w:themeColor="text1"/>
                <w:sz w:val="21"/>
                <w:szCs w:val="21"/>
              </w:rPr>
            </w:pPr>
            <w:r>
              <w:rPr>
                <w:rFonts w:eastAsiaTheme="minorEastAsia"/>
                <w:color w:val="000000" w:themeColor="text1"/>
                <w:sz w:val="21"/>
                <w:szCs w:val="21"/>
              </w:rPr>
              <w:t>其他情况</w:t>
            </w:r>
          </w:p>
        </w:tc>
      </w:tr>
    </w:tbl>
    <w:p>
      <w:pPr>
        <w:ind w:firstLine="480"/>
        <w:rPr>
          <w:rFonts w:eastAsiaTheme="minorEastAsia"/>
          <w:color w:val="000000" w:themeColor="text1"/>
          <w:szCs w:val="24"/>
        </w:rPr>
      </w:pPr>
      <w:r>
        <w:rPr>
          <w:rFonts w:eastAsiaTheme="minorEastAsia"/>
          <w:color w:val="000000" w:themeColor="text1"/>
          <w:szCs w:val="24"/>
        </w:rPr>
        <w:t>根据对项目现场的踏勘，项目位于</w:t>
      </w:r>
      <w:r>
        <w:rPr>
          <w:rFonts w:eastAsiaTheme="minorEastAsia"/>
          <w:color w:val="000000" w:themeColor="text1"/>
        </w:rPr>
        <w:t>新平县戛洒镇戛</w:t>
      </w:r>
      <w:r>
        <w:rPr>
          <w:rFonts w:hint="eastAsia" w:eastAsiaTheme="minorEastAsia"/>
          <w:color w:val="000000" w:themeColor="text1"/>
        </w:rPr>
        <w:t>洒</w:t>
      </w:r>
      <w:r>
        <w:rPr>
          <w:rFonts w:eastAsiaTheme="minorEastAsia"/>
          <w:color w:val="000000" w:themeColor="text1"/>
        </w:rPr>
        <w:t>村委会东磨组</w:t>
      </w:r>
      <w:r>
        <w:rPr>
          <w:rFonts w:hint="eastAsia" w:eastAsiaTheme="minorEastAsia"/>
          <w:color w:val="000000" w:themeColor="text1"/>
        </w:rPr>
        <w:t>公戛路</w:t>
      </w:r>
      <w:r>
        <w:rPr>
          <w:rFonts w:eastAsiaTheme="minorEastAsia"/>
          <w:color w:val="000000" w:themeColor="text1"/>
        </w:rPr>
        <w:t>旁</w:t>
      </w:r>
      <w:r>
        <w:rPr>
          <w:rFonts w:eastAsiaTheme="minorEastAsia"/>
          <w:color w:val="000000" w:themeColor="text1"/>
          <w:szCs w:val="24"/>
        </w:rPr>
        <w:t>，项目区为新平工业园区，无耕地等其他环境敏感目标，因此，本项目土壤环境敏感程度为划分为不敏感。</w:t>
      </w:r>
    </w:p>
    <w:p>
      <w:pPr>
        <w:ind w:firstLine="480"/>
        <w:rPr>
          <w:rFonts w:eastAsiaTheme="minorEastAsia"/>
          <w:color w:val="000000" w:themeColor="text1"/>
          <w:szCs w:val="24"/>
        </w:rPr>
      </w:pPr>
      <w:r>
        <w:rPr>
          <w:rFonts w:eastAsiaTheme="minorEastAsia"/>
          <w:color w:val="000000" w:themeColor="text1"/>
          <w:szCs w:val="24"/>
        </w:rPr>
        <w:t>4.评价等级确定</w:t>
      </w:r>
    </w:p>
    <w:p>
      <w:pPr>
        <w:ind w:firstLine="480"/>
        <w:rPr>
          <w:rFonts w:eastAsiaTheme="minorEastAsia"/>
          <w:color w:val="000000" w:themeColor="text1"/>
          <w:szCs w:val="24"/>
        </w:rPr>
      </w:pPr>
      <w:r>
        <w:rPr>
          <w:rFonts w:eastAsiaTheme="minorEastAsia"/>
          <w:color w:val="000000" w:themeColor="text1"/>
          <w:szCs w:val="24"/>
        </w:rPr>
        <w:t>根据《环境影响评价技术导则土壤环境（试行）》（HJ964-2018），污染影响型评价工作等级划分表详见下表6.2-</w:t>
      </w:r>
      <w:r>
        <w:rPr>
          <w:rFonts w:hint="eastAsia" w:eastAsiaTheme="minorEastAsia"/>
          <w:color w:val="000000" w:themeColor="text1"/>
          <w:szCs w:val="24"/>
        </w:rPr>
        <w:t>49</w:t>
      </w:r>
      <w:r>
        <w:rPr>
          <w:rFonts w:eastAsiaTheme="minorEastAsia"/>
          <w:color w:val="000000" w:themeColor="text1"/>
          <w:szCs w:val="24"/>
        </w:rPr>
        <w:t>。</w:t>
      </w:r>
    </w:p>
    <w:p>
      <w:pPr>
        <w:adjustRightInd w:val="0"/>
        <w:snapToGrid w:val="0"/>
        <w:ind w:firstLine="422"/>
        <w:jc w:val="center"/>
        <w:rPr>
          <w:rFonts w:eastAsiaTheme="minorEastAsia"/>
          <w:b/>
          <w:bCs/>
          <w:color w:val="000000" w:themeColor="text1"/>
          <w:sz w:val="21"/>
          <w:szCs w:val="21"/>
        </w:rPr>
      </w:pPr>
      <w:r>
        <w:rPr>
          <w:rFonts w:eastAsiaTheme="minorEastAsia"/>
          <w:b/>
          <w:bCs/>
          <w:color w:val="000000" w:themeColor="text1"/>
          <w:sz w:val="21"/>
          <w:szCs w:val="21"/>
        </w:rPr>
        <w:t>表6.2-</w:t>
      </w:r>
      <w:r>
        <w:rPr>
          <w:rFonts w:hint="eastAsia" w:eastAsiaTheme="minorEastAsia"/>
          <w:b/>
          <w:bCs/>
          <w:color w:val="000000" w:themeColor="text1"/>
          <w:sz w:val="21"/>
          <w:szCs w:val="21"/>
        </w:rPr>
        <w:t>49</w:t>
      </w:r>
      <w:r>
        <w:rPr>
          <w:rFonts w:eastAsiaTheme="minorEastAsia"/>
          <w:b/>
          <w:bCs/>
          <w:color w:val="000000" w:themeColor="text1"/>
          <w:sz w:val="21"/>
          <w:szCs w:val="21"/>
        </w:rPr>
        <w:t>污染影响型评价工作等级划分表</w:t>
      </w:r>
    </w:p>
    <w:tbl>
      <w:tblPr>
        <w:tblStyle w:val="61"/>
        <w:tblW w:w="8625"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85"/>
        <w:gridCol w:w="694"/>
        <w:gridCol w:w="694"/>
        <w:gridCol w:w="694"/>
        <w:gridCol w:w="693"/>
        <w:gridCol w:w="693"/>
        <w:gridCol w:w="693"/>
        <w:gridCol w:w="693"/>
        <w:gridCol w:w="693"/>
        <w:gridCol w:w="6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385" w:type="dxa"/>
            <w:vMerge w:val="restart"/>
            <w:tcBorders>
              <w:top w:val="single" w:color="auto" w:sz="4" w:space="0"/>
              <w:left w:val="single" w:color="auto" w:sz="4" w:space="0"/>
              <w:bottom w:val="single" w:color="auto" w:sz="4" w:space="0"/>
              <w:right w:val="single" w:color="auto" w:sz="4" w:space="0"/>
            </w:tcBorders>
            <w:vAlign w:val="center"/>
          </w:tcPr>
          <w:p>
            <w:pPr>
              <w:ind w:firstLine="0" w:firstLineChars="0"/>
              <w:rPr>
                <w:rFonts w:eastAsiaTheme="minorEastAsia"/>
                <w:color w:val="000000" w:themeColor="text1"/>
                <w:sz w:val="21"/>
                <w:szCs w:val="21"/>
              </w:rPr>
            </w:pPr>
            <w:r>
              <w:rPr>
                <w:rFonts w:eastAsiaTheme="minorEastAsia"/>
                <w:color w:val="000000" w:themeColor="text1"/>
                <w:sz w:val="21"/>
                <w:szCs w:val="21"/>
              </w:rPr>
              <mc:AlternateContent>
                <mc:Choice Requires="wps">
                  <w:drawing>
                    <wp:anchor distT="0" distB="0" distL="114300" distR="114300" simplePos="0" relativeHeight="251672576" behindDoc="0" locked="0" layoutInCell="1" allowOverlap="1">
                      <wp:simplePos x="0" y="0"/>
                      <wp:positionH relativeFrom="column">
                        <wp:posOffset>567055</wp:posOffset>
                      </wp:positionH>
                      <wp:positionV relativeFrom="paragraph">
                        <wp:posOffset>9525</wp:posOffset>
                      </wp:positionV>
                      <wp:extent cx="883920" cy="565785"/>
                      <wp:effectExtent l="2540" t="3810" r="8890" b="20955"/>
                      <wp:wrapNone/>
                      <wp:docPr id="29" name="直接连接符 28"/>
                      <wp:cNvGraphicFramePr/>
                      <a:graphic xmlns:a="http://schemas.openxmlformats.org/drawingml/2006/main">
                        <a:graphicData uri="http://schemas.microsoft.com/office/word/2010/wordprocessingShape">
                          <wps:wsp>
                            <wps:cNvCnPr/>
                            <wps:spPr>
                              <a:xfrm>
                                <a:off x="0" y="0"/>
                                <a:ext cx="883920" cy="56578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直接连接符 28" o:spid="_x0000_s1026" o:spt="20" style="position:absolute;left:0pt;margin-left:44.65pt;margin-top:0.75pt;height:44.55pt;width:69.6pt;z-index:251672576;mso-width-relative:page;mso-height-relative:page;" filled="f" stroked="t" coordsize="21600,21600" o:gfxdata="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JnqJvDVAAAABwEA&#10;AA8AAAAAAAAAAQAgAAAAIgAAAGRycy9kb3ducmV2LnhtbFBLAQIUABQAAAAIAIdO4kAI7UPo5AEA&#10;AKoDAAAOAAAAAAAAAAEAIAAAACQBAABkcnMvZTJvRG9jLnhtbFBLBQYAAAAABgAGAFkBAAB6BQAA&#10;AAA=&#10;">
                      <v:fill on="f" focussize="0,0"/>
                      <v:stroke color="#000000" joinstyle="round"/>
                      <v:imagedata o:title=""/>
                      <o:lock v:ext="edit" aspectratio="f"/>
                    </v:line>
                  </w:pict>
                </mc:Fallback>
              </mc:AlternateContent>
            </w:r>
            <w:r>
              <w:rPr>
                <w:rFonts w:eastAsiaTheme="minorEastAsia"/>
                <w:color w:val="000000" w:themeColor="text1"/>
                <w:sz w:val="21"/>
                <w:szCs w:val="21"/>
              </w:rPr>
              <w:t>占地规模</w:t>
            </w:r>
          </w:p>
          <w:p>
            <w:pPr>
              <w:ind w:firstLine="0" w:firstLineChars="0"/>
              <w:rPr>
                <w:rFonts w:eastAsiaTheme="minorEastAsia"/>
                <w:color w:val="000000" w:themeColor="text1"/>
                <w:sz w:val="21"/>
                <w:szCs w:val="21"/>
              </w:rPr>
            </w:pPr>
            <w:r>
              <w:rPr>
                <w:rFonts w:eastAsiaTheme="minorEastAsia"/>
                <w:color w:val="000000" w:themeColor="text1"/>
                <w:sz w:val="21"/>
                <w:szCs w:val="21"/>
              </w:rPr>
              <w:t>评价工作等级</w:t>
            </w:r>
          </w:p>
          <w:p>
            <w:pPr>
              <w:ind w:firstLine="0" w:firstLineChars="0"/>
              <w:rPr>
                <w:rFonts w:eastAsiaTheme="minorEastAsia"/>
                <w:color w:val="000000" w:themeColor="text1"/>
                <w:sz w:val="21"/>
                <w:szCs w:val="21"/>
              </w:rPr>
            </w:pPr>
            <w:r>
              <w:rPr>
                <w:rFonts w:eastAsiaTheme="minorEastAsia"/>
                <w:color w:val="000000" w:themeColor="text1"/>
                <w:sz w:val="21"/>
                <w:szCs w:val="21"/>
              </w:rPr>
              <mc:AlternateContent>
                <mc:Choice Requires="wps">
                  <w:drawing>
                    <wp:anchor distT="0" distB="0" distL="114300" distR="114300" simplePos="0" relativeHeight="251673600" behindDoc="0" locked="0" layoutInCell="1" allowOverlap="1">
                      <wp:simplePos x="0" y="0"/>
                      <wp:positionH relativeFrom="column">
                        <wp:posOffset>-73025</wp:posOffset>
                      </wp:positionH>
                      <wp:positionV relativeFrom="paragraph">
                        <wp:posOffset>26670</wp:posOffset>
                      </wp:positionV>
                      <wp:extent cx="1518285" cy="300355"/>
                      <wp:effectExtent l="635" t="4445" r="5080" b="19050"/>
                      <wp:wrapNone/>
                      <wp:docPr id="30" name="直接连接符 29"/>
                      <wp:cNvGraphicFramePr/>
                      <a:graphic xmlns:a="http://schemas.openxmlformats.org/drawingml/2006/main">
                        <a:graphicData uri="http://schemas.microsoft.com/office/word/2010/wordprocessingShape">
                          <wps:wsp>
                            <wps:cNvCnPr/>
                            <wps:spPr>
                              <a:xfrm>
                                <a:off x="0" y="0"/>
                                <a:ext cx="1518285" cy="30035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直接连接符 29" o:spid="_x0000_s1026" o:spt="20" style="position:absolute;left:0pt;margin-left:-5.75pt;margin-top:2.1pt;height:23.65pt;width:119.55pt;z-index:251673600;mso-width-relative:page;mso-height-relative:page;" filled="f" stroked="t" coordsize="21600,21600" o:gfxdata="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esesU1gAAAAgB&#10;AAAPAAAAAAAAAAEAIAAAACIAAABkcnMvZG93bnJldi54bWxQSwECFAAUAAAACACHTuJAt6Ipb+QB&#10;AACrAwAADgAAAAAAAAABACAAAAAlAQAAZHJzL2Uyb0RvYy54bWxQSwUGAAAAAAYABgBZAQAAewUA&#10;AAAA&#10;">
                      <v:fill on="f" focussize="0,0"/>
                      <v:stroke color="#000000" joinstyle="round"/>
                      <v:imagedata o:title=""/>
                      <o:lock v:ext="edit" aspectratio="f"/>
                    </v:line>
                  </w:pict>
                </mc:Fallback>
              </mc:AlternateContent>
            </w:r>
          </w:p>
          <w:p>
            <w:pPr>
              <w:ind w:firstLine="0" w:firstLineChars="0"/>
              <w:rPr>
                <w:rFonts w:eastAsiaTheme="minorEastAsia"/>
                <w:color w:val="000000" w:themeColor="text1"/>
                <w:sz w:val="21"/>
                <w:szCs w:val="21"/>
              </w:rPr>
            </w:pPr>
            <w:r>
              <w:rPr>
                <w:rFonts w:eastAsiaTheme="minorEastAsia"/>
                <w:color w:val="000000" w:themeColor="text1"/>
                <w:sz w:val="21"/>
                <w:szCs w:val="21"/>
              </w:rPr>
              <w:t>敏感程度</w:t>
            </w:r>
          </w:p>
        </w:tc>
        <w:tc>
          <w:tcPr>
            <w:tcW w:w="2082" w:type="dxa"/>
            <w:gridSpan w:val="3"/>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fldChar w:fldCharType="begin"/>
            </w:r>
            <w:r>
              <w:rPr>
                <w:rFonts w:eastAsiaTheme="minorEastAsia"/>
                <w:color w:val="000000" w:themeColor="text1"/>
                <w:sz w:val="21"/>
                <w:szCs w:val="21"/>
              </w:rPr>
              <w:instrText xml:space="preserve"> = 1 \* ROMAN \* MERGEFORMAT </w:instrText>
            </w:r>
            <w:r>
              <w:rPr>
                <w:rFonts w:eastAsiaTheme="minorEastAsia"/>
                <w:color w:val="000000" w:themeColor="text1"/>
                <w:sz w:val="21"/>
                <w:szCs w:val="21"/>
              </w:rPr>
              <w:fldChar w:fldCharType="separate"/>
            </w:r>
            <w:r>
              <w:rPr>
                <w:rFonts w:eastAsiaTheme="minorEastAsia"/>
                <w:color w:val="000000" w:themeColor="text1"/>
                <w:sz w:val="21"/>
                <w:szCs w:val="21"/>
              </w:rPr>
              <w:t>I</w:t>
            </w:r>
            <w:r>
              <w:rPr>
                <w:rFonts w:eastAsiaTheme="minorEastAsia"/>
                <w:color w:val="000000" w:themeColor="text1"/>
                <w:sz w:val="21"/>
                <w:szCs w:val="21"/>
              </w:rPr>
              <w:fldChar w:fldCharType="end"/>
            </w:r>
            <w:r>
              <w:rPr>
                <w:rFonts w:eastAsiaTheme="minorEastAsia"/>
                <w:color w:val="000000" w:themeColor="text1"/>
                <w:sz w:val="21"/>
                <w:szCs w:val="21"/>
              </w:rPr>
              <w:t>类</w:t>
            </w:r>
          </w:p>
        </w:tc>
        <w:tc>
          <w:tcPr>
            <w:tcW w:w="2079" w:type="dxa"/>
            <w:gridSpan w:val="3"/>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fldChar w:fldCharType="begin"/>
            </w:r>
            <w:r>
              <w:rPr>
                <w:rFonts w:eastAsiaTheme="minorEastAsia"/>
                <w:color w:val="000000" w:themeColor="text1"/>
                <w:sz w:val="21"/>
                <w:szCs w:val="21"/>
              </w:rPr>
              <w:instrText xml:space="preserve"> = 2 \* ROMAN \* MERGEFORMAT </w:instrText>
            </w:r>
            <w:r>
              <w:rPr>
                <w:rFonts w:eastAsiaTheme="minorEastAsia"/>
                <w:color w:val="000000" w:themeColor="text1"/>
                <w:sz w:val="21"/>
                <w:szCs w:val="21"/>
              </w:rPr>
              <w:fldChar w:fldCharType="separate"/>
            </w:r>
            <w:r>
              <w:rPr>
                <w:rFonts w:eastAsiaTheme="minorEastAsia"/>
                <w:color w:val="000000" w:themeColor="text1"/>
                <w:sz w:val="21"/>
                <w:szCs w:val="21"/>
              </w:rPr>
              <w:t>II</w:t>
            </w:r>
            <w:r>
              <w:rPr>
                <w:rFonts w:eastAsiaTheme="minorEastAsia"/>
                <w:color w:val="000000" w:themeColor="text1"/>
                <w:sz w:val="21"/>
                <w:szCs w:val="21"/>
              </w:rPr>
              <w:fldChar w:fldCharType="end"/>
            </w:r>
            <w:r>
              <w:rPr>
                <w:rFonts w:eastAsiaTheme="minorEastAsia"/>
                <w:color w:val="000000" w:themeColor="text1"/>
                <w:sz w:val="21"/>
                <w:szCs w:val="21"/>
              </w:rPr>
              <w:t>类</w:t>
            </w:r>
          </w:p>
        </w:tc>
        <w:tc>
          <w:tcPr>
            <w:tcW w:w="2079" w:type="dxa"/>
            <w:gridSpan w:val="3"/>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fldChar w:fldCharType="begin"/>
            </w:r>
            <w:r>
              <w:rPr>
                <w:rFonts w:eastAsiaTheme="minorEastAsia"/>
                <w:color w:val="000000" w:themeColor="text1"/>
                <w:sz w:val="21"/>
                <w:szCs w:val="21"/>
              </w:rPr>
              <w:instrText xml:space="preserve"> = 3 \* ROMAN \* MERGEFORMAT </w:instrText>
            </w:r>
            <w:r>
              <w:rPr>
                <w:rFonts w:eastAsiaTheme="minorEastAsia"/>
                <w:color w:val="000000" w:themeColor="text1"/>
                <w:sz w:val="21"/>
                <w:szCs w:val="21"/>
              </w:rPr>
              <w:fldChar w:fldCharType="separate"/>
            </w:r>
            <w:r>
              <w:rPr>
                <w:rFonts w:eastAsiaTheme="minorEastAsia"/>
                <w:color w:val="000000" w:themeColor="text1"/>
                <w:sz w:val="21"/>
                <w:szCs w:val="21"/>
              </w:rPr>
              <w:t>III</w:t>
            </w:r>
            <w:r>
              <w:rPr>
                <w:rFonts w:eastAsiaTheme="minorEastAsia"/>
                <w:color w:val="000000" w:themeColor="text1"/>
                <w:sz w:val="21"/>
                <w:szCs w:val="21"/>
              </w:rPr>
              <w:fldChar w:fldCharType="end"/>
            </w:r>
            <w:r>
              <w:rPr>
                <w:rFonts w:eastAsiaTheme="minorEastAsia"/>
                <w:color w:val="000000" w:themeColor="text1"/>
                <w:sz w:val="21"/>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385" w:type="dxa"/>
            <w:vMerge w:val="continue"/>
            <w:tcBorders>
              <w:top w:val="single" w:color="auto" w:sz="4" w:space="0"/>
              <w:left w:val="single" w:color="auto" w:sz="4" w:space="0"/>
              <w:bottom w:val="single" w:color="auto" w:sz="4" w:space="0"/>
              <w:right w:val="single" w:color="auto" w:sz="4" w:space="0"/>
            </w:tcBorders>
            <w:vAlign w:val="center"/>
          </w:tcPr>
          <w:p>
            <w:pPr>
              <w:widowControl/>
              <w:ind w:firstLine="420"/>
              <w:rPr>
                <w:rFonts w:eastAsiaTheme="minorEastAsia"/>
                <w:color w:val="000000" w:themeColor="text1"/>
                <w:sz w:val="21"/>
                <w:szCs w:val="21"/>
              </w:rPr>
            </w:pPr>
          </w:p>
        </w:tc>
        <w:tc>
          <w:tcPr>
            <w:tcW w:w="69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大</w:t>
            </w:r>
          </w:p>
        </w:tc>
        <w:tc>
          <w:tcPr>
            <w:tcW w:w="69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中</w:t>
            </w:r>
          </w:p>
        </w:tc>
        <w:tc>
          <w:tcPr>
            <w:tcW w:w="69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小</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中</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小</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中</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38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敏感</w:t>
            </w:r>
          </w:p>
        </w:tc>
        <w:tc>
          <w:tcPr>
            <w:tcW w:w="69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69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69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38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较敏感</w:t>
            </w:r>
          </w:p>
        </w:tc>
        <w:tc>
          <w:tcPr>
            <w:tcW w:w="69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69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69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2385"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不敏感</w:t>
            </w:r>
          </w:p>
        </w:tc>
        <w:tc>
          <w:tcPr>
            <w:tcW w:w="69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一级</w:t>
            </w:r>
          </w:p>
        </w:tc>
        <w:tc>
          <w:tcPr>
            <w:tcW w:w="69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4"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二级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三级</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693" w:type="dxa"/>
            <w:tcBorders>
              <w:top w:val="single" w:color="auto" w:sz="4" w:space="0"/>
              <w:left w:val="single" w:color="auto" w:sz="4" w:space="0"/>
              <w:bottom w:val="single" w:color="auto" w:sz="4" w:space="0"/>
              <w:right w:val="single" w:color="auto" w:sz="4" w:space="0"/>
            </w:tcBorders>
            <w:vAlign w:val="center"/>
          </w:tcPr>
          <w:p>
            <w:pPr>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8625" w:type="dxa"/>
            <w:gridSpan w:val="10"/>
            <w:tcBorders>
              <w:top w:val="single" w:color="auto" w:sz="4" w:space="0"/>
              <w:left w:val="single" w:color="auto" w:sz="4" w:space="0"/>
              <w:bottom w:val="single" w:color="auto" w:sz="4" w:space="0"/>
              <w:right w:val="single" w:color="auto" w:sz="4" w:space="0"/>
            </w:tcBorders>
            <w:vAlign w:val="center"/>
          </w:tcPr>
          <w:p>
            <w:pPr>
              <w:ind w:firstLine="0" w:firstLineChars="0"/>
              <w:rPr>
                <w:rFonts w:eastAsiaTheme="minorEastAsia"/>
                <w:color w:val="000000" w:themeColor="text1"/>
                <w:sz w:val="21"/>
                <w:szCs w:val="21"/>
              </w:rPr>
            </w:pPr>
            <w:r>
              <w:rPr>
                <w:rFonts w:eastAsiaTheme="minorEastAsia"/>
                <w:color w:val="000000" w:themeColor="text1"/>
                <w:sz w:val="21"/>
                <w:szCs w:val="21"/>
              </w:rPr>
              <w:t>注：“—”表示可不开展土壤环境影响评价工作。</w:t>
            </w:r>
          </w:p>
        </w:tc>
      </w:tr>
    </w:tbl>
    <w:p>
      <w:pPr>
        <w:ind w:firstLine="480"/>
        <w:rPr>
          <w:rFonts w:eastAsiaTheme="minorEastAsia"/>
          <w:color w:val="000000" w:themeColor="text1"/>
          <w:szCs w:val="24"/>
        </w:rPr>
      </w:pPr>
      <w:r>
        <w:rPr>
          <w:rFonts w:eastAsiaTheme="minorEastAsia"/>
          <w:color w:val="000000" w:themeColor="text1"/>
          <w:szCs w:val="24"/>
        </w:rPr>
        <w:t>本项目占地面积为15370m</w:t>
      </w:r>
      <w:r>
        <w:rPr>
          <w:rFonts w:eastAsiaTheme="minorEastAsia"/>
          <w:color w:val="000000" w:themeColor="text1"/>
          <w:szCs w:val="24"/>
          <w:vertAlign w:val="superscript"/>
        </w:rPr>
        <w:t>2</w:t>
      </w:r>
      <w:r>
        <w:rPr>
          <w:rFonts w:eastAsiaTheme="minorEastAsia"/>
          <w:color w:val="000000" w:themeColor="text1"/>
          <w:szCs w:val="24"/>
        </w:rPr>
        <w:t>，为中型项目。根据《环境影响评价技术导则土壤环境（试行）》（HJ964-2018）表A.1，“</w:t>
      </w:r>
      <w:r>
        <w:rPr>
          <w:rFonts w:eastAsiaTheme="minorEastAsia"/>
          <w:color w:val="000000" w:themeColor="text1"/>
        </w:rPr>
        <w:t>采矿业，其他类别项目</w:t>
      </w:r>
      <w:r>
        <w:rPr>
          <w:rFonts w:eastAsiaTheme="minorEastAsia"/>
          <w:color w:val="000000" w:themeColor="text1"/>
          <w:szCs w:val="24"/>
        </w:rPr>
        <w:t>”为</w:t>
      </w:r>
      <w:r>
        <w:rPr>
          <w:rFonts w:eastAsiaTheme="minorEastAsia"/>
          <w:color w:val="000000" w:themeColor="text1"/>
          <w:szCs w:val="24"/>
        </w:rPr>
        <w:fldChar w:fldCharType="begin"/>
      </w:r>
      <w:r>
        <w:rPr>
          <w:rFonts w:eastAsiaTheme="minorEastAsia"/>
          <w:color w:val="000000" w:themeColor="text1"/>
          <w:szCs w:val="24"/>
        </w:rPr>
        <w:instrText xml:space="preserve"> = 3 \* ROMAN </w:instrText>
      </w:r>
      <w:r>
        <w:rPr>
          <w:rFonts w:eastAsiaTheme="minorEastAsia"/>
          <w:color w:val="000000" w:themeColor="text1"/>
          <w:szCs w:val="24"/>
        </w:rPr>
        <w:fldChar w:fldCharType="separate"/>
      </w:r>
      <w:r>
        <w:rPr>
          <w:rFonts w:eastAsiaTheme="minorEastAsia"/>
          <w:color w:val="000000" w:themeColor="text1"/>
          <w:szCs w:val="24"/>
        </w:rPr>
        <w:t>III</w:t>
      </w:r>
      <w:r>
        <w:rPr>
          <w:rFonts w:eastAsiaTheme="minorEastAsia"/>
          <w:color w:val="000000" w:themeColor="text1"/>
          <w:szCs w:val="24"/>
        </w:rPr>
        <w:fldChar w:fldCharType="end"/>
      </w:r>
      <w:r>
        <w:rPr>
          <w:rFonts w:eastAsiaTheme="minorEastAsia"/>
          <w:color w:val="000000" w:themeColor="text1"/>
          <w:szCs w:val="24"/>
        </w:rPr>
        <w:t>类项目，项目周边无环境敏感目标。根据导则，本项目可不开展土壤环境影响评价工作。</w:t>
      </w:r>
    </w:p>
    <w:p>
      <w:pPr>
        <w:snapToGrid w:val="0"/>
        <w:ind w:firstLine="480"/>
        <w:jc w:val="both"/>
        <w:rPr>
          <w:color w:val="000000" w:themeColor="text1"/>
          <w:szCs w:val="24"/>
        </w:rPr>
      </w:pPr>
      <w:bookmarkStart w:id="704" w:name="_Toc24208343"/>
      <w:r>
        <w:rPr>
          <w:rFonts w:hint="eastAsia"/>
          <w:color w:val="000000" w:themeColor="text1"/>
          <w:szCs w:val="24"/>
        </w:rPr>
        <w:t>但若本项目选矿尾矿、废机油等发生泄漏情况，可能会对周围土壤造成污染，故本环评根据污染途径按照分区防控要求提出防控措施及污染控制措施。</w:t>
      </w:r>
    </w:p>
    <w:p>
      <w:pPr>
        <w:snapToGrid w:val="0"/>
        <w:ind w:firstLine="480"/>
        <w:rPr>
          <w:bCs/>
          <w:color w:val="000000" w:themeColor="text1"/>
          <w:szCs w:val="24"/>
        </w:rPr>
      </w:pPr>
      <w:r>
        <w:rPr>
          <w:rFonts w:hint="eastAsia"/>
          <w:bCs/>
          <w:color w:val="000000" w:themeColor="text1"/>
          <w:szCs w:val="24"/>
        </w:rPr>
        <w:t>5.</w:t>
      </w:r>
      <w:r>
        <w:rPr>
          <w:bCs/>
          <w:color w:val="000000" w:themeColor="text1"/>
          <w:szCs w:val="24"/>
        </w:rPr>
        <w:t>分区防渗</w:t>
      </w:r>
    </w:p>
    <w:p>
      <w:pPr>
        <w:snapToGrid w:val="0"/>
        <w:ind w:firstLine="480"/>
        <w:rPr>
          <w:bCs/>
          <w:color w:val="000000" w:themeColor="text1"/>
          <w:szCs w:val="24"/>
        </w:rPr>
      </w:pPr>
      <w:r>
        <w:rPr>
          <w:rFonts w:hint="eastAsia"/>
          <w:bCs/>
          <w:color w:val="000000" w:themeColor="text1"/>
          <w:szCs w:val="24"/>
        </w:rPr>
        <w:t>（1）</w:t>
      </w:r>
      <w:r>
        <w:rPr>
          <w:bCs/>
          <w:color w:val="000000" w:themeColor="text1"/>
          <w:szCs w:val="24"/>
        </w:rPr>
        <w:t>重点污染区防渗措施</w:t>
      </w:r>
    </w:p>
    <w:p>
      <w:pPr>
        <w:snapToGrid w:val="0"/>
        <w:ind w:firstLine="480"/>
        <w:jc w:val="both"/>
        <w:rPr>
          <w:color w:val="000000" w:themeColor="text1"/>
          <w:szCs w:val="24"/>
        </w:rPr>
      </w:pPr>
      <w:r>
        <w:rPr>
          <w:color w:val="000000" w:themeColor="text1"/>
          <w:szCs w:val="24"/>
        </w:rPr>
        <w:t>①该项目重点污染区防渗措施为：</w:t>
      </w:r>
      <w:r>
        <w:rPr>
          <w:rFonts w:eastAsiaTheme="minorEastAsia"/>
          <w:color w:val="000000" w:themeColor="text1"/>
        </w:rPr>
        <w:t>对尾矿浆沉淀池和精矿池、事故池、危废暂存间进行重点防渗处理</w:t>
      </w:r>
      <w:r>
        <w:rPr>
          <w:color w:val="000000" w:themeColor="text1"/>
          <w:szCs w:val="24"/>
        </w:rPr>
        <w:t>，池子地面底部地基采取压实粘土+土工膜防渗，采用防渗钢筋混凝土进行建设（防渗要求：等效黏土防渗层Mb≥6m，渗透系数K≤10</w:t>
      </w:r>
      <w:r>
        <w:rPr>
          <w:color w:val="000000" w:themeColor="text1"/>
          <w:szCs w:val="24"/>
          <w:vertAlign w:val="superscript"/>
        </w:rPr>
        <w:t>-7</w:t>
      </w:r>
      <w:r>
        <w:rPr>
          <w:color w:val="000000" w:themeColor="text1"/>
          <w:szCs w:val="24"/>
        </w:rPr>
        <w:t>cm/s）。危废暂存间地面做防渗，</w:t>
      </w:r>
      <w:r>
        <w:rPr>
          <w:rFonts w:hint="eastAsia"/>
          <w:color w:val="000000" w:themeColor="text1"/>
          <w:szCs w:val="24"/>
        </w:rPr>
        <w:t>防渗层为至少1m厚黏土层（渗透系数</w:t>
      </w:r>
      <w:r>
        <w:rPr>
          <w:color w:val="000000" w:themeColor="text1"/>
          <w:szCs w:val="24"/>
        </w:rPr>
        <w:t>K≤10</w:t>
      </w:r>
      <w:r>
        <w:rPr>
          <w:color w:val="000000" w:themeColor="text1"/>
          <w:szCs w:val="24"/>
          <w:vertAlign w:val="superscript"/>
        </w:rPr>
        <w:t>-7</w:t>
      </w:r>
      <w:r>
        <w:rPr>
          <w:color w:val="000000" w:themeColor="text1"/>
          <w:szCs w:val="24"/>
        </w:rPr>
        <w:t>cm/s</w:t>
      </w:r>
      <w:r>
        <w:rPr>
          <w:rFonts w:hint="eastAsia"/>
          <w:color w:val="000000" w:themeColor="text1"/>
          <w:szCs w:val="24"/>
        </w:rPr>
        <w:t>，或2mm厚高密度聚乙烯，或至少2mm厚的其他人工材料，渗透系数</w:t>
      </w:r>
      <w:r>
        <w:rPr>
          <w:color w:val="000000" w:themeColor="text1"/>
          <w:szCs w:val="24"/>
        </w:rPr>
        <w:t>K≤10</w:t>
      </w:r>
      <w:r>
        <w:rPr>
          <w:color w:val="000000" w:themeColor="text1"/>
          <w:szCs w:val="24"/>
          <w:vertAlign w:val="superscript"/>
        </w:rPr>
        <w:t>-</w:t>
      </w:r>
      <w:r>
        <w:rPr>
          <w:rFonts w:hint="eastAsia"/>
          <w:color w:val="000000" w:themeColor="text1"/>
          <w:szCs w:val="24"/>
          <w:vertAlign w:val="superscript"/>
        </w:rPr>
        <w:t>10</w:t>
      </w:r>
      <w:r>
        <w:rPr>
          <w:color w:val="000000" w:themeColor="text1"/>
          <w:szCs w:val="24"/>
        </w:rPr>
        <w:t>cm/s</w:t>
      </w:r>
      <w:r>
        <w:rPr>
          <w:rFonts w:hint="eastAsia"/>
          <w:color w:val="000000" w:themeColor="text1"/>
          <w:szCs w:val="24"/>
        </w:rPr>
        <w:t>）。</w:t>
      </w:r>
    </w:p>
    <w:p>
      <w:pPr>
        <w:snapToGrid w:val="0"/>
        <w:ind w:firstLine="480"/>
        <w:rPr>
          <w:color w:val="000000" w:themeColor="text1"/>
          <w:szCs w:val="24"/>
        </w:rPr>
      </w:pPr>
      <w:r>
        <w:rPr>
          <w:color w:val="000000" w:themeColor="text1"/>
          <w:szCs w:val="24"/>
        </w:rPr>
        <w:t>②本项目尾矿输送管道用钢管，防止尾矿输送时发生泄漏，造成</w:t>
      </w:r>
      <w:r>
        <w:rPr>
          <w:rFonts w:hint="eastAsia"/>
          <w:color w:val="000000" w:themeColor="text1"/>
          <w:szCs w:val="24"/>
        </w:rPr>
        <w:t>土壤</w:t>
      </w:r>
      <w:r>
        <w:rPr>
          <w:color w:val="000000" w:themeColor="text1"/>
          <w:szCs w:val="24"/>
        </w:rPr>
        <w:t>污染。</w:t>
      </w:r>
    </w:p>
    <w:p>
      <w:pPr>
        <w:snapToGrid w:val="0"/>
        <w:ind w:firstLine="480"/>
        <w:rPr>
          <w:bCs/>
          <w:color w:val="000000" w:themeColor="text1"/>
          <w:szCs w:val="24"/>
        </w:rPr>
      </w:pPr>
      <w:r>
        <w:rPr>
          <w:rFonts w:hint="eastAsia"/>
          <w:bCs/>
          <w:color w:val="000000" w:themeColor="text1"/>
          <w:szCs w:val="24"/>
        </w:rPr>
        <w:t>（2）</w:t>
      </w:r>
      <w:r>
        <w:rPr>
          <w:bCs/>
          <w:color w:val="000000" w:themeColor="text1"/>
          <w:szCs w:val="24"/>
        </w:rPr>
        <w:t>一般污染区防渗措施</w:t>
      </w:r>
    </w:p>
    <w:p>
      <w:pPr>
        <w:snapToGrid w:val="0"/>
        <w:ind w:firstLine="480"/>
        <w:rPr>
          <w:color w:val="000000" w:themeColor="text1"/>
        </w:rPr>
      </w:pPr>
      <w:r>
        <w:rPr>
          <w:color w:val="000000" w:themeColor="text1"/>
          <w:szCs w:val="24"/>
        </w:rPr>
        <w:t>一般污染区防渗措施：生产车间、实验室、脱水及</w:t>
      </w:r>
      <w:r>
        <w:rPr>
          <w:rFonts w:hint="eastAsia"/>
          <w:color w:val="000000" w:themeColor="text1"/>
          <w:szCs w:val="24"/>
        </w:rPr>
        <w:t>精矿产品</w:t>
      </w:r>
      <w:r>
        <w:rPr>
          <w:color w:val="000000" w:themeColor="text1"/>
          <w:szCs w:val="24"/>
        </w:rPr>
        <w:t>区、</w:t>
      </w:r>
      <w:r>
        <w:rPr>
          <w:rFonts w:hint="eastAsia"/>
          <w:color w:val="000000" w:themeColor="text1"/>
          <w:szCs w:val="24"/>
        </w:rPr>
        <w:t>原料加工处理区</w:t>
      </w:r>
      <w:r>
        <w:rPr>
          <w:color w:val="000000" w:themeColor="text1"/>
          <w:szCs w:val="24"/>
        </w:rPr>
        <w:t>、化粪池地面</w:t>
      </w:r>
      <w:r>
        <w:rPr>
          <w:color w:val="000000" w:themeColor="text1"/>
        </w:rPr>
        <w:t>夯实黏土层</w:t>
      </w:r>
      <w:r>
        <w:rPr>
          <w:rFonts w:eastAsia="Times New Roman"/>
          <w:color w:val="000000" w:themeColor="text1"/>
        </w:rPr>
        <w:t>+</w:t>
      </w:r>
      <w:r>
        <w:rPr>
          <w:color w:val="000000" w:themeColor="text1"/>
        </w:rPr>
        <w:t>水池防渗混凝土建设（防渗要求：防渗层按等效黏土防渗层</w:t>
      </w:r>
      <w:r>
        <w:rPr>
          <w:rFonts w:eastAsia="Times New Roman"/>
          <w:color w:val="000000" w:themeColor="text1"/>
        </w:rPr>
        <w:t>Mb≥1.5m</w:t>
      </w:r>
      <w:r>
        <w:rPr>
          <w:color w:val="000000" w:themeColor="text1"/>
        </w:rPr>
        <w:t>，渗透系数</w:t>
      </w:r>
      <w:r>
        <w:rPr>
          <w:rFonts w:eastAsia="Times New Roman"/>
          <w:color w:val="000000" w:themeColor="text1"/>
        </w:rPr>
        <w:t>K≤10</w:t>
      </w:r>
      <w:r>
        <w:rPr>
          <w:rFonts w:eastAsia="Times New Roman"/>
          <w:color w:val="000000" w:themeColor="text1"/>
          <w:position w:val="8"/>
          <w:sz w:val="15"/>
          <w:szCs w:val="15"/>
        </w:rPr>
        <w:t>-7</w:t>
      </w:r>
      <w:r>
        <w:rPr>
          <w:rFonts w:eastAsia="Times New Roman"/>
          <w:color w:val="000000" w:themeColor="text1"/>
        </w:rPr>
        <w:t>cm/s</w:t>
      </w:r>
      <w:r>
        <w:rPr>
          <w:color w:val="000000" w:themeColor="text1"/>
        </w:rPr>
        <w:t>）。</w:t>
      </w:r>
    </w:p>
    <w:p>
      <w:pPr>
        <w:snapToGrid w:val="0"/>
        <w:ind w:firstLine="480"/>
        <w:rPr>
          <w:color w:val="000000" w:themeColor="text1"/>
          <w:szCs w:val="24"/>
        </w:rPr>
      </w:pPr>
      <w:r>
        <w:rPr>
          <w:rFonts w:hint="eastAsia"/>
          <w:color w:val="000000" w:themeColor="text1"/>
          <w:szCs w:val="24"/>
        </w:rPr>
        <w:t>（3）</w:t>
      </w:r>
      <w:r>
        <w:rPr>
          <w:color w:val="000000" w:themeColor="text1"/>
          <w:szCs w:val="24"/>
        </w:rPr>
        <w:t>简单防渗</w:t>
      </w:r>
    </w:p>
    <w:p>
      <w:pPr>
        <w:snapToGrid w:val="0"/>
        <w:ind w:firstLine="480"/>
        <w:rPr>
          <w:color w:val="000000" w:themeColor="text1"/>
          <w:szCs w:val="24"/>
        </w:rPr>
      </w:pPr>
      <w:r>
        <w:rPr>
          <w:color w:val="000000" w:themeColor="text1"/>
        </w:rPr>
        <w:t>场区除绿化用地外进行地面硬化处理。</w:t>
      </w:r>
    </w:p>
    <w:p>
      <w:pPr>
        <w:widowControl/>
        <w:ind w:firstLine="480"/>
        <w:rPr>
          <w:color w:val="000000" w:themeColor="text1"/>
          <w:kern w:val="0"/>
          <w:szCs w:val="24"/>
        </w:rPr>
      </w:pPr>
      <w:r>
        <w:rPr>
          <w:color w:val="000000" w:themeColor="text1"/>
          <w:kern w:val="0"/>
          <w:szCs w:val="24"/>
        </w:rPr>
        <w:t>通过上述措施，可大大减少污染物进入土壤的可能性，</w:t>
      </w:r>
      <w:r>
        <w:rPr>
          <w:rFonts w:hint="eastAsia"/>
          <w:color w:val="000000" w:themeColor="text1"/>
          <w:kern w:val="0"/>
          <w:szCs w:val="24"/>
        </w:rPr>
        <w:t>防止生产活动对土壤造成影响</w:t>
      </w:r>
      <w:r>
        <w:rPr>
          <w:color w:val="000000" w:themeColor="text1"/>
          <w:kern w:val="0"/>
          <w:szCs w:val="24"/>
        </w:rPr>
        <w:t>。</w:t>
      </w:r>
    </w:p>
    <w:p>
      <w:pPr>
        <w:pStyle w:val="2"/>
        <w:ind w:firstLine="480"/>
        <w:rPr>
          <w:rFonts w:ascii="Times New Roman" w:hAnsi="Times New Roman"/>
          <w:color w:val="000000" w:themeColor="text1"/>
          <w:lang w:eastAsia="zh-CN"/>
        </w:rPr>
      </w:pPr>
      <w:r>
        <w:rPr>
          <w:rFonts w:ascii="Times New Roman" w:hAnsi="Times New Roman"/>
          <w:color w:val="000000" w:themeColor="text1"/>
          <w:lang w:eastAsia="zh-CN"/>
        </w:rPr>
        <w:t>根据现场踏勘，项目已做防渗措施及需要完善的措施见表6.2-41和6.2-42所示。</w:t>
      </w:r>
    </w:p>
    <w:p>
      <w:pPr>
        <w:pStyle w:val="574"/>
        <w:spacing w:beforeLines="0" w:afterLines="0"/>
        <w:rPr>
          <w:rFonts w:eastAsiaTheme="minorEastAsia"/>
          <w:color w:val="000000" w:themeColor="text1"/>
          <w:sz w:val="30"/>
          <w:szCs w:val="30"/>
        </w:rPr>
      </w:pPr>
      <w:bookmarkStart w:id="705" w:name="_Toc28817"/>
      <w:r>
        <w:rPr>
          <w:rFonts w:eastAsiaTheme="minorEastAsia"/>
          <w:color w:val="000000" w:themeColor="text1"/>
          <w:sz w:val="30"/>
          <w:szCs w:val="30"/>
        </w:rPr>
        <w:t>6.3生态环境影响分析</w:t>
      </w:r>
      <w:bookmarkEnd w:id="704"/>
      <w:bookmarkEnd w:id="705"/>
    </w:p>
    <w:p>
      <w:pPr>
        <w:ind w:firstLine="480"/>
        <w:jc w:val="both"/>
        <w:rPr>
          <w:rFonts w:eastAsiaTheme="minorEastAsia"/>
          <w:color w:val="000000" w:themeColor="text1"/>
        </w:rPr>
      </w:pPr>
      <w:r>
        <w:rPr>
          <w:rFonts w:eastAsiaTheme="minorEastAsia"/>
          <w:color w:val="000000" w:themeColor="text1"/>
        </w:rPr>
        <w:t>项目技改位于现有厂区内，</w:t>
      </w:r>
      <w:r>
        <w:rPr>
          <w:rFonts w:hint="eastAsia" w:eastAsiaTheme="minorEastAsia"/>
          <w:color w:val="000000" w:themeColor="text1"/>
        </w:rPr>
        <w:t>不新增占地</w:t>
      </w:r>
      <w:r>
        <w:rPr>
          <w:rFonts w:eastAsiaTheme="minorEastAsia"/>
          <w:color w:val="000000" w:themeColor="text1"/>
        </w:rPr>
        <w:t>。土地利用现状为工业用地，无原生植被分布。该项目本次技改不会对区域生态环境、</w:t>
      </w:r>
      <w:r>
        <w:rPr>
          <w:rFonts w:eastAsiaTheme="minorEastAsia"/>
          <w:snapToGrid w:val="0"/>
          <w:color w:val="000000" w:themeColor="text1"/>
          <w:szCs w:val="24"/>
        </w:rPr>
        <w:t>土壤环境等</w:t>
      </w:r>
      <w:r>
        <w:rPr>
          <w:rFonts w:eastAsiaTheme="minorEastAsia"/>
          <w:color w:val="000000" w:themeColor="text1"/>
        </w:rPr>
        <w:t>造成明显不利影响。</w:t>
      </w:r>
    </w:p>
    <w:p>
      <w:pPr>
        <w:pStyle w:val="574"/>
        <w:spacing w:beforeLines="0" w:afterLines="0"/>
        <w:rPr>
          <w:rFonts w:eastAsiaTheme="minorEastAsia"/>
          <w:color w:val="000000" w:themeColor="text1"/>
          <w:sz w:val="30"/>
          <w:szCs w:val="30"/>
        </w:rPr>
      </w:pPr>
      <w:bookmarkStart w:id="706" w:name="_Toc2614"/>
      <w:r>
        <w:rPr>
          <w:rFonts w:eastAsiaTheme="minorEastAsia"/>
          <w:color w:val="000000" w:themeColor="text1"/>
          <w:sz w:val="30"/>
          <w:szCs w:val="30"/>
        </w:rPr>
        <w:t>6.4环境风险影响分析与评价</w:t>
      </w:r>
      <w:bookmarkEnd w:id="706"/>
    </w:p>
    <w:p>
      <w:pPr>
        <w:pStyle w:val="6"/>
        <w:spacing w:beforeLines="0" w:afterLines="0"/>
        <w:rPr>
          <w:rFonts w:eastAsiaTheme="minorEastAsia"/>
          <w:color w:val="000000" w:themeColor="text1"/>
          <w:sz w:val="28"/>
          <w:szCs w:val="28"/>
        </w:rPr>
      </w:pPr>
      <w:bookmarkStart w:id="707" w:name="_Toc384397095"/>
      <w:bookmarkStart w:id="708" w:name="_Toc469851519"/>
      <w:bookmarkStart w:id="709" w:name="_Toc31257"/>
      <w:r>
        <w:rPr>
          <w:rFonts w:eastAsiaTheme="minorEastAsia"/>
          <w:color w:val="000000" w:themeColor="text1"/>
          <w:sz w:val="28"/>
          <w:szCs w:val="28"/>
        </w:rPr>
        <w:t>6.4.1评价目的</w:t>
      </w:r>
      <w:bookmarkEnd w:id="707"/>
      <w:bookmarkEnd w:id="708"/>
      <w:bookmarkEnd w:id="709"/>
    </w:p>
    <w:p>
      <w:pPr>
        <w:ind w:firstLine="480"/>
        <w:rPr>
          <w:rFonts w:eastAsiaTheme="minorEastAsia"/>
          <w:color w:val="000000" w:themeColor="text1"/>
        </w:rPr>
      </w:pPr>
      <w:r>
        <w:rPr>
          <w:rFonts w:eastAsiaTheme="minorEastAsia"/>
          <w:color w:val="000000" w:themeColor="text1"/>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程度能够达到可接受水平。</w:t>
      </w:r>
    </w:p>
    <w:p>
      <w:pPr>
        <w:ind w:firstLine="480"/>
        <w:rPr>
          <w:rFonts w:eastAsiaTheme="minorEastAsia"/>
          <w:color w:val="000000" w:themeColor="text1"/>
        </w:rPr>
      </w:pPr>
      <w:r>
        <w:rPr>
          <w:rFonts w:eastAsiaTheme="minorEastAsia"/>
          <w:color w:val="000000" w:themeColor="text1"/>
        </w:rPr>
        <w:t>环境风险评价应把事故引起厂（场）界外人群的伤害、环境质量的恶化及对生态系统影响的预测和防护作为评价工作重点。由于环境风险评价关注点是事故对厂（场）界外环境的影响。</w:t>
      </w:r>
    </w:p>
    <w:p>
      <w:pPr>
        <w:pStyle w:val="51"/>
        <w:ind w:left="0" w:firstLine="480"/>
        <w:rPr>
          <w:color w:val="000000" w:themeColor="text1"/>
          <w:sz w:val="24"/>
          <w:szCs w:val="24"/>
          <w:lang w:eastAsia="zh-CN"/>
        </w:rPr>
      </w:pPr>
      <w:r>
        <w:rPr>
          <w:color w:val="000000" w:themeColor="text1"/>
          <w:sz w:val="24"/>
          <w:szCs w:val="24"/>
          <w:lang w:eastAsia="zh-CN"/>
        </w:rPr>
        <w:t>在</w:t>
      </w:r>
      <w:r>
        <w:rPr>
          <w:color w:val="000000" w:themeColor="text1"/>
          <w:kern w:val="2"/>
          <w:sz w:val="24"/>
          <w:szCs w:val="24"/>
          <w:lang w:eastAsia="zh-CN" w:bidi="ar-SA"/>
        </w:rPr>
        <w:t>新平县平安矿业开发有限公司收购</w:t>
      </w:r>
      <w:r>
        <w:rPr>
          <w:color w:val="000000" w:themeColor="text1"/>
          <w:sz w:val="24"/>
          <w:szCs w:val="24"/>
          <w:lang w:eastAsia="zh-CN"/>
        </w:rPr>
        <w:t>新平金凯工贸有限公司以前，新平金凯工贸有限公司于2018年8月委托煤炭科学技术研究院有限公司西南分公司编制了《新平金凯工贸有限公司辣子箐尾矿库突发环境事件风险评估报告》及《新平金凯工贸有限公司辣子箐尾矿库突发环境事件专项应急预案》，并于2018年11月21日在原新平县环保局备案，故本报告书中不再对辣子箐尾矿库环境风险着重分析。</w:t>
      </w:r>
    </w:p>
    <w:p>
      <w:pPr>
        <w:pStyle w:val="51"/>
        <w:ind w:left="0" w:firstLine="480"/>
        <w:rPr>
          <w:color w:val="000000" w:themeColor="text1"/>
          <w:sz w:val="24"/>
          <w:szCs w:val="24"/>
          <w:lang w:eastAsia="zh-CN"/>
        </w:rPr>
      </w:pPr>
      <w:r>
        <w:rPr>
          <w:color w:val="000000" w:themeColor="text1"/>
          <w:kern w:val="2"/>
          <w:sz w:val="24"/>
          <w:szCs w:val="24"/>
          <w:lang w:eastAsia="zh-CN" w:bidi="ar-SA"/>
        </w:rPr>
        <w:t>2016年9月，委托云南安科安全技术有限公司编制了《玉溪矿业有限公司大红山铜矿龙都尾矿库安全现状评价报告》，2019年5月24日玉溪矿业有限公司编制了《玉溪矿业有限公司大红山龙都尾矿库突发环境事件专项应急预案（第三版）》和《玉溪矿业有限公司大红山龙都尾矿库突发环境事件风险评估报告（第三版）》，故本报告也不对龙都尾矿库</w:t>
      </w:r>
      <w:r>
        <w:rPr>
          <w:color w:val="000000" w:themeColor="text1"/>
          <w:sz w:val="24"/>
          <w:szCs w:val="24"/>
          <w:lang w:eastAsia="zh-CN"/>
        </w:rPr>
        <w:t>环境风险着重分析。</w:t>
      </w:r>
    </w:p>
    <w:p>
      <w:pPr>
        <w:pStyle w:val="6"/>
        <w:spacing w:beforeLines="0" w:afterLines="0"/>
        <w:rPr>
          <w:rFonts w:eastAsiaTheme="minorEastAsia"/>
          <w:color w:val="000000" w:themeColor="text1"/>
          <w:sz w:val="28"/>
          <w:szCs w:val="28"/>
        </w:rPr>
      </w:pPr>
      <w:bookmarkStart w:id="710" w:name="_Toc26728"/>
      <w:bookmarkStart w:id="711" w:name="_Toc123100511"/>
      <w:bookmarkStart w:id="712" w:name="_Toc118463977"/>
      <w:bookmarkStart w:id="713" w:name="_Toc154675373"/>
      <w:bookmarkStart w:id="714" w:name="_Toc185396862"/>
      <w:bookmarkStart w:id="715" w:name="_Toc122959764"/>
      <w:bookmarkStart w:id="716" w:name="_Toc145306442"/>
      <w:bookmarkStart w:id="717" w:name="_Toc122959586"/>
      <w:bookmarkStart w:id="718" w:name="_Toc125817534"/>
      <w:bookmarkStart w:id="719" w:name="_Toc96277373"/>
      <w:bookmarkStart w:id="720" w:name="_Toc115682679"/>
      <w:bookmarkStart w:id="721" w:name="_Toc99990028"/>
      <w:bookmarkStart w:id="722" w:name="_Toc99124727"/>
      <w:bookmarkStart w:id="723" w:name="_Toc189245859"/>
      <w:bookmarkStart w:id="724" w:name="_Toc154675517"/>
      <w:bookmarkStart w:id="725" w:name="_Toc108431946"/>
      <w:bookmarkStart w:id="726" w:name="_Toc384397096"/>
      <w:bookmarkStart w:id="727" w:name="_Toc100396699"/>
      <w:bookmarkStart w:id="728" w:name="_Toc469851520"/>
      <w:bookmarkStart w:id="729" w:name="_Toc203355944"/>
      <w:bookmarkStart w:id="730" w:name="_Toc235852441"/>
      <w:bookmarkStart w:id="731" w:name="_Toc113098279"/>
      <w:bookmarkStart w:id="732" w:name="_Toc99989015"/>
      <w:bookmarkStart w:id="733" w:name="_Toc225703285"/>
      <w:bookmarkStart w:id="734" w:name="_Toc143935396"/>
      <w:bookmarkStart w:id="735" w:name="_Toc99989159"/>
      <w:bookmarkStart w:id="736" w:name="_Toc154600791"/>
      <w:bookmarkStart w:id="737" w:name="_Toc99949038"/>
      <w:bookmarkStart w:id="738" w:name="_Toc112133365"/>
      <w:bookmarkStart w:id="739" w:name="_Toc118513270"/>
      <w:bookmarkStart w:id="740" w:name="_Toc115682509"/>
      <w:bookmarkStart w:id="741" w:name="_Toc112438756"/>
      <w:r>
        <w:rPr>
          <w:rFonts w:eastAsiaTheme="minorEastAsia"/>
          <w:color w:val="000000" w:themeColor="text1"/>
          <w:sz w:val="28"/>
          <w:szCs w:val="28"/>
        </w:rPr>
        <w:t>6.4.2评价依据</w:t>
      </w:r>
      <w:bookmarkEnd w:id="710"/>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6.4.2.1环境风险调查</w:t>
      </w:r>
    </w:p>
    <w:p>
      <w:pPr>
        <w:autoSpaceDE w:val="0"/>
        <w:autoSpaceDN w:val="0"/>
        <w:adjustRightInd w:val="0"/>
        <w:ind w:firstLine="480"/>
        <w:rPr>
          <w:rFonts w:eastAsiaTheme="minorEastAsia"/>
          <w:bCs/>
          <w:color w:val="000000" w:themeColor="text1"/>
        </w:rPr>
      </w:pPr>
      <w:r>
        <w:rPr>
          <w:rFonts w:eastAsiaTheme="minorEastAsia"/>
          <w:bCs/>
          <w:color w:val="000000" w:themeColor="text1"/>
        </w:rPr>
        <w:t>从项目原料、产品分析可知，技改项目不使用危险化学药剂，无《危险化学品重大危险源辨识》（GB18218-2018）中规定的危险化学品。技改项目风险物质主要为选矿废水、废机油。</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6.4.2.2风险潜势初判及风险评价等级</w:t>
      </w:r>
    </w:p>
    <w:p>
      <w:pPr>
        <w:ind w:firstLine="480"/>
        <w:rPr>
          <w:color w:val="000000" w:themeColor="text1"/>
        </w:rPr>
      </w:pPr>
      <w:r>
        <w:rPr>
          <w:color w:val="000000" w:themeColor="text1"/>
        </w:rPr>
        <w:t>根据《建设项目环境风险评价技术导则》（HJ169-2018）环境风险潜势划分为Ⅰ、Ⅱ、Ⅲ、Ⅳ/Ⅳ+级。环境风险潜势划分依据见表6.4-1。</w:t>
      </w:r>
    </w:p>
    <w:p>
      <w:pPr>
        <w:ind w:firstLine="422"/>
        <w:jc w:val="center"/>
        <w:rPr>
          <w:b/>
          <w:bCs/>
          <w:color w:val="000000" w:themeColor="text1"/>
          <w:sz w:val="21"/>
          <w:szCs w:val="21"/>
        </w:rPr>
      </w:pPr>
      <w:r>
        <w:rPr>
          <w:b/>
          <w:bCs/>
          <w:color w:val="000000" w:themeColor="text1"/>
          <w:sz w:val="21"/>
          <w:szCs w:val="21"/>
        </w:rPr>
        <w:t>表6.4-1建设项目环境风险潜势划分表</w:t>
      </w:r>
    </w:p>
    <w:tbl>
      <w:tblPr>
        <w:tblStyle w:val="6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4"/>
        <w:gridCol w:w="1612"/>
        <w:gridCol w:w="1612"/>
        <w:gridCol w:w="1612"/>
        <w:gridCol w:w="1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74"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环境敏感程度（E）</w:t>
            </w:r>
          </w:p>
        </w:tc>
        <w:tc>
          <w:tcPr>
            <w:tcW w:w="6448" w:type="dxa"/>
            <w:gridSpan w:val="4"/>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74" w:type="dxa"/>
            <w:vMerge w:val="continue"/>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color w:val="000000" w:themeColor="text1"/>
                <w:sz w:val="21"/>
                <w:szCs w:val="21"/>
              </w:rPr>
            </w:pP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极高危害（P1）</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极高危害（P2）</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极高危害（P3）</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极高危害（P4）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7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环境高度敏感区（E1）</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Ⅳ+</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Ⅳ</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Ⅲ</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7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环境中度敏感区（E2）</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Ⅳ</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Ⅲ</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Ⅲ</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207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环境低度敏感区（E3）</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Ⅲ</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Ⅲ</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Ⅱ</w:t>
            </w:r>
          </w:p>
        </w:tc>
        <w:tc>
          <w:tcPr>
            <w:tcW w:w="1612"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8522" w:type="dxa"/>
            <w:gridSpan w:val="5"/>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firstLineChars="0"/>
              <w:rPr>
                <w:color w:val="000000" w:themeColor="text1"/>
                <w:sz w:val="21"/>
                <w:szCs w:val="21"/>
              </w:rPr>
            </w:pPr>
            <w:r>
              <w:rPr>
                <w:color w:val="000000" w:themeColor="text1"/>
                <w:sz w:val="21"/>
                <w:szCs w:val="21"/>
              </w:rPr>
              <w:t>注：Ⅳ+极高环境风险</w:t>
            </w:r>
          </w:p>
        </w:tc>
      </w:tr>
    </w:tbl>
    <w:p>
      <w:pPr>
        <w:ind w:firstLine="480"/>
        <w:rPr>
          <w:color w:val="000000" w:themeColor="text1"/>
        </w:rPr>
      </w:pPr>
      <w:r>
        <w:rPr>
          <w:color w:val="000000" w:themeColor="text1"/>
        </w:rPr>
        <w:t>（1）Q值判定</w:t>
      </w:r>
    </w:p>
    <w:p>
      <w:pPr>
        <w:ind w:firstLine="480"/>
        <w:rPr>
          <w:color w:val="000000" w:themeColor="text1"/>
        </w:rPr>
      </w:pPr>
      <w:r>
        <w:rPr>
          <w:color w:val="000000" w:themeColor="text1"/>
        </w:rPr>
        <w:t>根据《建设项目环境风险评价技术导则》（HJ169-2018）附录C，危险物质数量与临界量的比值（Q）如下：</w:t>
      </w:r>
    </w:p>
    <w:p>
      <w:pPr>
        <w:ind w:firstLine="480"/>
        <w:rPr>
          <w:color w:val="000000" w:themeColor="text1"/>
        </w:rPr>
      </w:pPr>
      <w:r>
        <w:rPr>
          <w:color w:val="000000" w:themeColor="text1"/>
        </w:rPr>
        <w:t>当只涉及一种危险物质时，计算该物质总量与临界量的比值，即为Q；</w:t>
      </w:r>
    </w:p>
    <w:p>
      <w:pPr>
        <w:ind w:firstLine="480"/>
        <w:rPr>
          <w:color w:val="000000" w:themeColor="text1"/>
        </w:rPr>
      </w:pPr>
      <w:r>
        <w:rPr>
          <w:color w:val="000000" w:themeColor="text1"/>
        </w:rPr>
        <w:t>当存在多种危险物质时，按照下列公示计算物质总量与临界量的比值（Q）；</w:t>
      </w:r>
    </w:p>
    <w:p>
      <w:pPr>
        <w:ind w:firstLine="480"/>
        <w:rPr>
          <w:color w:val="000000" w:themeColor="text1"/>
        </w:rPr>
      </w:pPr>
      <w:r>
        <w:rPr>
          <w:color w:val="000000" w:themeColor="text1"/>
        </w:rPr>
        <w:t>式中：q</w:t>
      </w:r>
      <w:r>
        <w:rPr>
          <w:color w:val="000000" w:themeColor="text1"/>
          <w:vertAlign w:val="subscript"/>
        </w:rPr>
        <w:t>1</w:t>
      </w:r>
      <w:r>
        <w:rPr>
          <w:color w:val="000000" w:themeColor="text1"/>
        </w:rPr>
        <w:t>、q</w:t>
      </w:r>
      <w:r>
        <w:rPr>
          <w:color w:val="000000" w:themeColor="text1"/>
          <w:vertAlign w:val="subscript"/>
        </w:rPr>
        <w:t>2</w:t>
      </w:r>
      <w:r>
        <w:rPr>
          <w:color w:val="000000" w:themeColor="text1"/>
        </w:rPr>
        <w:t>····qn—每种危险物质最大存在总量（t）。</w:t>
      </w:r>
    </w:p>
    <w:p>
      <w:pPr>
        <w:adjustRightInd w:val="0"/>
        <w:snapToGrid w:val="0"/>
        <w:ind w:firstLine="480"/>
        <w:rPr>
          <w:color w:val="000000" w:themeColor="text1"/>
        </w:rPr>
      </w:pPr>
      <w:r>
        <w:rPr>
          <w:color w:val="000000" w:themeColor="text1"/>
        </w:rPr>
        <w:t>Q</w:t>
      </w:r>
      <w:r>
        <w:rPr>
          <w:color w:val="000000" w:themeColor="text1"/>
          <w:vertAlign w:val="subscript"/>
        </w:rPr>
        <w:t>1</w:t>
      </w:r>
      <w:r>
        <w:rPr>
          <w:color w:val="000000" w:themeColor="text1"/>
        </w:rPr>
        <w:t>、Q</w:t>
      </w:r>
      <w:r>
        <w:rPr>
          <w:color w:val="000000" w:themeColor="text1"/>
          <w:vertAlign w:val="subscript"/>
        </w:rPr>
        <w:t>2</w:t>
      </w:r>
      <w:r>
        <w:rPr>
          <w:color w:val="000000" w:themeColor="text1"/>
        </w:rPr>
        <w:t>····Qn—每种物质的临界量（t）。</w:t>
      </w:r>
    </w:p>
    <w:p>
      <w:pPr>
        <w:adjustRightInd w:val="0"/>
        <w:snapToGrid w:val="0"/>
        <w:ind w:firstLine="480"/>
        <w:rPr>
          <w:color w:val="000000" w:themeColor="text1"/>
        </w:rPr>
      </w:pPr>
      <w:r>
        <w:rPr>
          <w:color w:val="000000" w:themeColor="text1"/>
        </w:rPr>
        <w:t>当Q＜1时，该项目环境风险潜势划为Ⅰ。</w:t>
      </w:r>
    </w:p>
    <w:p>
      <w:pPr>
        <w:ind w:firstLine="480"/>
        <w:rPr>
          <w:color w:val="000000" w:themeColor="text1"/>
        </w:rPr>
      </w:pPr>
      <w:r>
        <w:rPr>
          <w:color w:val="000000" w:themeColor="text1"/>
        </w:rPr>
        <w:t>当Q≥1时，将Q值划分为：（1）1≤Q＜10；（2）10≤Q＜100；（2）Q≥100。</w:t>
      </w:r>
    </w:p>
    <w:p>
      <w:pPr>
        <w:adjustRightInd w:val="0"/>
        <w:snapToGrid w:val="0"/>
        <w:ind w:firstLine="480"/>
        <w:rPr>
          <w:color w:val="000000" w:themeColor="text1"/>
        </w:rPr>
      </w:pPr>
      <w:r>
        <w:rPr>
          <w:color w:val="000000" w:themeColor="text1"/>
        </w:rPr>
        <w:t>本项目原辅材料和产品无有毒有害危险化学品等危险源项，危险物质主要涉及选矿废水和</w:t>
      </w:r>
      <w:r>
        <w:rPr>
          <w:rFonts w:hint="eastAsia"/>
          <w:color w:val="000000" w:themeColor="text1"/>
        </w:rPr>
        <w:t>废机油</w:t>
      </w:r>
      <w:r>
        <w:rPr>
          <w:color w:val="000000" w:themeColor="text1"/>
        </w:rPr>
        <w:t>，选矿废水无临界值，项目产生的</w:t>
      </w:r>
      <w:r>
        <w:rPr>
          <w:rFonts w:hint="eastAsia"/>
          <w:color w:val="000000" w:themeColor="text1"/>
        </w:rPr>
        <w:t>废机油</w:t>
      </w:r>
      <w:r>
        <w:rPr>
          <w:color w:val="000000" w:themeColor="text1"/>
        </w:rPr>
        <w:t>为油类物质，其临界量为2500t，项目最大储存量为0.2t。</w:t>
      </w:r>
    </w:p>
    <w:p>
      <w:pPr>
        <w:adjustRightInd w:val="0"/>
        <w:snapToGrid w:val="0"/>
        <w:ind w:firstLine="480"/>
        <w:rPr>
          <w:color w:val="000000" w:themeColor="text1"/>
        </w:rPr>
      </w:pPr>
      <w:r>
        <w:rPr>
          <w:color w:val="000000" w:themeColor="text1"/>
        </w:rPr>
        <w:t>本项目Q值核算如下：</w:t>
      </w:r>
    </w:p>
    <w:p>
      <w:pPr>
        <w:adjustRightInd w:val="0"/>
        <w:snapToGrid w:val="0"/>
        <w:ind w:firstLine="422"/>
        <w:jc w:val="center"/>
        <w:rPr>
          <w:b/>
          <w:bCs/>
          <w:color w:val="000000" w:themeColor="text1"/>
          <w:sz w:val="21"/>
          <w:szCs w:val="21"/>
        </w:rPr>
      </w:pPr>
      <w:r>
        <w:rPr>
          <w:b/>
          <w:bCs/>
          <w:color w:val="000000" w:themeColor="text1"/>
          <w:sz w:val="21"/>
          <w:szCs w:val="21"/>
        </w:rPr>
        <w:t>表6.4-2项目危险物质Q值核算表</w:t>
      </w:r>
    </w:p>
    <w:tbl>
      <w:tblPr>
        <w:tblStyle w:val="61"/>
        <w:tblW w:w="852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09"/>
        <w:gridCol w:w="2040"/>
        <w:gridCol w:w="2451"/>
        <w:gridCol w:w="1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3" w:hRule="atLeast"/>
          <w:jc w:val="center"/>
        </w:trPr>
        <w:tc>
          <w:tcPr>
            <w:tcW w:w="2809" w:type="dxa"/>
            <w:tcBorders>
              <w:top w:val="single" w:color="auto" w:sz="4" w:space="0"/>
              <w:left w:val="single" w:color="auto" w:sz="4" w:space="0"/>
              <w:bottom w:val="single" w:color="auto" w:sz="4" w:space="0"/>
              <w:right w:val="single" w:color="auto" w:sz="4" w:space="0"/>
            </w:tcBorders>
            <w:vAlign w:val="center"/>
          </w:tcPr>
          <w:p>
            <w:pPr>
              <w:adjustRightInd w:val="0"/>
              <w:snapToGrid w:val="0"/>
              <w:ind w:firstLine="0" w:firstLineChars="0"/>
              <w:jc w:val="center"/>
              <w:rPr>
                <w:color w:val="000000" w:themeColor="text1"/>
                <w:sz w:val="21"/>
                <w:szCs w:val="21"/>
              </w:rPr>
            </w:pPr>
            <w:r>
              <w:rPr>
                <w:color w:val="000000" w:themeColor="text1"/>
                <w:sz w:val="21"/>
                <w:szCs w:val="21"/>
              </w:rPr>
              <w:t>危险物质</w:t>
            </w:r>
          </w:p>
        </w:tc>
        <w:tc>
          <w:tcPr>
            <w:tcW w:w="2040" w:type="dxa"/>
            <w:tcBorders>
              <w:top w:val="single" w:color="auto" w:sz="4" w:space="0"/>
              <w:left w:val="single" w:color="auto" w:sz="4" w:space="0"/>
              <w:bottom w:val="single" w:color="auto" w:sz="4" w:space="0"/>
              <w:right w:val="single" w:color="auto" w:sz="4" w:space="0"/>
            </w:tcBorders>
            <w:vAlign w:val="center"/>
          </w:tcPr>
          <w:p>
            <w:pPr>
              <w:adjustRightInd w:val="0"/>
              <w:snapToGrid w:val="0"/>
              <w:ind w:firstLine="0" w:firstLineChars="0"/>
              <w:jc w:val="center"/>
              <w:rPr>
                <w:color w:val="000000" w:themeColor="text1"/>
                <w:sz w:val="21"/>
                <w:szCs w:val="21"/>
              </w:rPr>
            </w:pPr>
            <w:r>
              <w:rPr>
                <w:color w:val="000000" w:themeColor="text1"/>
                <w:sz w:val="21"/>
                <w:szCs w:val="21"/>
              </w:rPr>
              <w:t>最大储存量（t）</w:t>
            </w:r>
          </w:p>
        </w:tc>
        <w:tc>
          <w:tcPr>
            <w:tcW w:w="2451" w:type="dxa"/>
            <w:tcBorders>
              <w:top w:val="single" w:color="auto" w:sz="4" w:space="0"/>
              <w:left w:val="single" w:color="auto" w:sz="4" w:space="0"/>
              <w:bottom w:val="single" w:color="auto" w:sz="4" w:space="0"/>
              <w:right w:val="single" w:color="auto" w:sz="4" w:space="0"/>
            </w:tcBorders>
            <w:vAlign w:val="center"/>
          </w:tcPr>
          <w:p>
            <w:pPr>
              <w:adjustRightInd w:val="0"/>
              <w:snapToGrid w:val="0"/>
              <w:ind w:firstLine="0" w:firstLineChars="0"/>
              <w:jc w:val="center"/>
              <w:rPr>
                <w:color w:val="000000" w:themeColor="text1"/>
                <w:sz w:val="21"/>
                <w:szCs w:val="21"/>
              </w:rPr>
            </w:pPr>
            <w:r>
              <w:rPr>
                <w:color w:val="000000" w:themeColor="text1"/>
                <w:sz w:val="21"/>
                <w:szCs w:val="21"/>
              </w:rPr>
              <w:t>临界量（t）</w:t>
            </w:r>
          </w:p>
        </w:tc>
        <w:tc>
          <w:tcPr>
            <w:tcW w:w="1221" w:type="dxa"/>
            <w:tcBorders>
              <w:top w:val="single" w:color="auto" w:sz="4" w:space="0"/>
              <w:left w:val="single" w:color="auto" w:sz="4" w:space="0"/>
              <w:bottom w:val="single" w:color="auto" w:sz="4" w:space="0"/>
              <w:right w:val="single" w:color="auto" w:sz="4" w:space="0"/>
            </w:tcBorders>
            <w:vAlign w:val="center"/>
          </w:tcPr>
          <w:p>
            <w:pPr>
              <w:adjustRightInd w:val="0"/>
              <w:snapToGrid w:val="0"/>
              <w:ind w:firstLine="0" w:firstLineChars="0"/>
              <w:jc w:val="center"/>
              <w:rPr>
                <w:color w:val="000000" w:themeColor="text1"/>
                <w:sz w:val="21"/>
                <w:szCs w:val="21"/>
              </w:rPr>
            </w:pPr>
            <w:r>
              <w:rPr>
                <w:color w:val="000000" w:themeColor="text1"/>
                <w:sz w:val="21"/>
                <w:szCs w:val="21"/>
              </w:rPr>
              <w:t>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809" w:type="dxa"/>
            <w:tcBorders>
              <w:top w:val="single" w:color="auto" w:sz="4" w:space="0"/>
              <w:left w:val="single" w:color="auto" w:sz="4" w:space="0"/>
              <w:bottom w:val="single" w:color="auto" w:sz="4" w:space="0"/>
              <w:right w:val="single" w:color="auto" w:sz="4" w:space="0"/>
            </w:tcBorders>
            <w:vAlign w:val="center"/>
          </w:tcPr>
          <w:p>
            <w:pPr>
              <w:adjustRightInd w:val="0"/>
              <w:snapToGrid w:val="0"/>
              <w:ind w:firstLine="0" w:firstLineChars="0"/>
              <w:jc w:val="center"/>
              <w:rPr>
                <w:color w:val="000000" w:themeColor="text1"/>
                <w:sz w:val="21"/>
                <w:szCs w:val="21"/>
              </w:rPr>
            </w:pPr>
            <w:r>
              <w:rPr>
                <w:rFonts w:hint="eastAsia"/>
                <w:color w:val="000000" w:themeColor="text1"/>
                <w:sz w:val="21"/>
                <w:szCs w:val="21"/>
              </w:rPr>
              <w:t>废机油</w:t>
            </w:r>
          </w:p>
        </w:tc>
        <w:tc>
          <w:tcPr>
            <w:tcW w:w="2040" w:type="dxa"/>
            <w:tcBorders>
              <w:top w:val="single" w:color="auto" w:sz="4" w:space="0"/>
              <w:left w:val="single" w:color="auto" w:sz="4" w:space="0"/>
              <w:bottom w:val="single" w:color="auto" w:sz="4" w:space="0"/>
              <w:right w:val="single" w:color="auto" w:sz="4" w:space="0"/>
            </w:tcBorders>
            <w:vAlign w:val="center"/>
          </w:tcPr>
          <w:p>
            <w:pPr>
              <w:adjustRightInd w:val="0"/>
              <w:snapToGrid w:val="0"/>
              <w:ind w:firstLine="0" w:firstLineChars="0"/>
              <w:jc w:val="center"/>
              <w:rPr>
                <w:color w:val="000000" w:themeColor="text1"/>
                <w:sz w:val="21"/>
                <w:szCs w:val="21"/>
              </w:rPr>
            </w:pPr>
            <w:r>
              <w:rPr>
                <w:color w:val="000000" w:themeColor="text1"/>
                <w:sz w:val="21"/>
                <w:szCs w:val="21"/>
              </w:rPr>
              <w:t>0.2</w:t>
            </w:r>
          </w:p>
        </w:tc>
        <w:tc>
          <w:tcPr>
            <w:tcW w:w="2451" w:type="dxa"/>
            <w:tcBorders>
              <w:top w:val="single" w:color="auto" w:sz="4" w:space="0"/>
              <w:left w:val="single" w:color="auto" w:sz="4" w:space="0"/>
              <w:bottom w:val="single" w:color="auto" w:sz="4" w:space="0"/>
              <w:right w:val="single" w:color="auto" w:sz="4" w:space="0"/>
            </w:tcBorders>
            <w:vAlign w:val="center"/>
          </w:tcPr>
          <w:p>
            <w:pPr>
              <w:adjustRightInd w:val="0"/>
              <w:snapToGrid w:val="0"/>
              <w:ind w:firstLine="0" w:firstLineChars="0"/>
              <w:jc w:val="center"/>
              <w:rPr>
                <w:color w:val="000000" w:themeColor="text1"/>
                <w:sz w:val="21"/>
                <w:szCs w:val="21"/>
              </w:rPr>
            </w:pPr>
            <w:r>
              <w:rPr>
                <w:color w:val="000000" w:themeColor="text1"/>
                <w:sz w:val="21"/>
                <w:szCs w:val="21"/>
              </w:rPr>
              <w:t>2500</w:t>
            </w:r>
          </w:p>
        </w:tc>
        <w:tc>
          <w:tcPr>
            <w:tcW w:w="1221" w:type="dxa"/>
            <w:tcBorders>
              <w:top w:val="single" w:color="auto" w:sz="4" w:space="0"/>
              <w:left w:val="single" w:color="auto" w:sz="4" w:space="0"/>
              <w:bottom w:val="single" w:color="auto" w:sz="4" w:space="0"/>
              <w:right w:val="single" w:color="auto" w:sz="4" w:space="0"/>
            </w:tcBorders>
            <w:vAlign w:val="center"/>
          </w:tcPr>
          <w:p>
            <w:pPr>
              <w:adjustRightInd w:val="0"/>
              <w:snapToGrid w:val="0"/>
              <w:ind w:firstLine="0" w:firstLineChars="0"/>
              <w:jc w:val="center"/>
              <w:rPr>
                <w:color w:val="000000" w:themeColor="text1"/>
                <w:sz w:val="21"/>
                <w:szCs w:val="21"/>
              </w:rPr>
            </w:pPr>
            <w:r>
              <w:rPr>
                <w:color w:val="000000" w:themeColor="text1"/>
                <w:sz w:val="21"/>
                <w:szCs w:val="21"/>
              </w:rPr>
              <w:t>0.00008</w:t>
            </w:r>
          </w:p>
        </w:tc>
      </w:tr>
    </w:tbl>
    <w:p>
      <w:pPr>
        <w:ind w:firstLine="480"/>
        <w:rPr>
          <w:rFonts w:eastAsiaTheme="minorEastAsia"/>
          <w:b/>
          <w:color w:val="000000" w:themeColor="text1"/>
          <w:kern w:val="0"/>
          <w:szCs w:val="24"/>
        </w:rPr>
      </w:pPr>
      <w:r>
        <w:rPr>
          <w:color w:val="000000" w:themeColor="text1"/>
          <w:szCs w:val="24"/>
        </w:rPr>
        <w:t>根据以上表计算，本项目Q值为0.00008&lt;1，环境风险潜势，进行简单分析。同时不构成重大危险源。</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6.4.2.</w:t>
      </w:r>
      <w:r>
        <w:rPr>
          <w:rFonts w:hint="eastAsia" w:eastAsiaTheme="minorEastAsia"/>
          <w:b/>
          <w:color w:val="000000" w:themeColor="text1"/>
          <w:kern w:val="0"/>
          <w:szCs w:val="24"/>
        </w:rPr>
        <w:t>3</w:t>
      </w:r>
      <w:r>
        <w:rPr>
          <w:rFonts w:eastAsiaTheme="minorEastAsia"/>
          <w:b/>
          <w:color w:val="000000" w:themeColor="text1"/>
          <w:kern w:val="0"/>
          <w:szCs w:val="24"/>
        </w:rPr>
        <w:t>环境风险敏感目标调查</w:t>
      </w:r>
    </w:p>
    <w:p>
      <w:pPr>
        <w:ind w:firstLine="480"/>
        <w:rPr>
          <w:rFonts w:eastAsiaTheme="minorEastAsia"/>
          <w:color w:val="000000" w:themeColor="text1"/>
        </w:rPr>
      </w:pPr>
      <w:r>
        <w:rPr>
          <w:rFonts w:eastAsiaTheme="minorEastAsia"/>
          <w:color w:val="000000" w:themeColor="text1"/>
        </w:rPr>
        <w:t>本次评价根据《建设项目环境风险评价技术导则》（HJ169-2018），按照大气环境、地表水环境、地下水环境不同环境要素对环境敏感目标调查，具体如下表：</w:t>
      </w:r>
    </w:p>
    <w:p>
      <w:pPr>
        <w:ind w:firstLine="422"/>
        <w:jc w:val="center"/>
        <w:rPr>
          <w:b/>
          <w:color w:val="000000" w:themeColor="text1"/>
          <w:kern w:val="24"/>
          <w:sz w:val="21"/>
          <w:szCs w:val="21"/>
        </w:rPr>
      </w:pPr>
      <w:r>
        <w:rPr>
          <w:b/>
          <w:color w:val="000000" w:themeColor="text1"/>
          <w:kern w:val="24"/>
          <w:sz w:val="21"/>
          <w:szCs w:val="21"/>
        </w:rPr>
        <w:t>表6.4-3项目环境敏感特征表</w:t>
      </w:r>
    </w:p>
    <w:tbl>
      <w:tblPr>
        <w:tblStyle w:val="61"/>
        <w:tblW w:w="830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4"/>
        <w:gridCol w:w="736"/>
        <w:gridCol w:w="1107"/>
        <w:gridCol w:w="1053"/>
        <w:gridCol w:w="1028"/>
        <w:gridCol w:w="2078"/>
        <w:gridCol w:w="14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4" w:type="dxa"/>
            <w:vAlign w:val="center"/>
          </w:tcPr>
          <w:p>
            <w:pPr>
              <w:adjustRightInd w:val="0"/>
              <w:snapToGrid w:val="0"/>
              <w:spacing w:line="240" w:lineRule="auto"/>
              <w:ind w:firstLine="0" w:firstLineChars="0"/>
              <w:jc w:val="center"/>
              <w:rPr>
                <w:b/>
                <w:color w:val="000000" w:themeColor="text1"/>
                <w:kern w:val="24"/>
                <w:sz w:val="21"/>
                <w:szCs w:val="21"/>
              </w:rPr>
            </w:pPr>
            <w:r>
              <w:rPr>
                <w:b/>
                <w:color w:val="000000" w:themeColor="text1"/>
                <w:kern w:val="24"/>
                <w:sz w:val="21"/>
                <w:szCs w:val="21"/>
              </w:rPr>
              <w:t>类别</w:t>
            </w:r>
          </w:p>
        </w:tc>
        <w:tc>
          <w:tcPr>
            <w:tcW w:w="7448" w:type="dxa"/>
            <w:gridSpan w:val="6"/>
            <w:vAlign w:val="center"/>
          </w:tcPr>
          <w:p>
            <w:pPr>
              <w:adjustRightInd w:val="0"/>
              <w:snapToGrid w:val="0"/>
              <w:spacing w:line="240" w:lineRule="auto"/>
              <w:ind w:firstLine="0" w:firstLineChars="0"/>
              <w:jc w:val="center"/>
              <w:rPr>
                <w:b/>
                <w:color w:val="000000" w:themeColor="text1"/>
                <w:kern w:val="24"/>
                <w:sz w:val="21"/>
                <w:szCs w:val="21"/>
              </w:rPr>
            </w:pPr>
            <w:r>
              <w:rPr>
                <w:b/>
                <w:color w:val="000000" w:themeColor="text1"/>
                <w:kern w:val="24"/>
                <w:sz w:val="21"/>
                <w:szCs w:val="21"/>
              </w:rPr>
              <w:t>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91" w:hRule="atLeast"/>
          <w:jc w:val="center"/>
        </w:trPr>
        <w:tc>
          <w:tcPr>
            <w:tcW w:w="854" w:type="dxa"/>
            <w:vMerge w:val="restart"/>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环</w:t>
            </w:r>
          </w:p>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境</w:t>
            </w:r>
          </w:p>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空</w:t>
            </w:r>
          </w:p>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气</w:t>
            </w:r>
          </w:p>
        </w:tc>
        <w:tc>
          <w:tcPr>
            <w:tcW w:w="7448" w:type="dxa"/>
            <w:gridSpan w:val="6"/>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厂址周边</w:t>
            </w:r>
            <w:r>
              <w:rPr>
                <w:rFonts w:hint="eastAsia"/>
                <w:color w:val="000000" w:themeColor="text1"/>
                <w:kern w:val="24"/>
                <w:sz w:val="21"/>
                <w:szCs w:val="21"/>
              </w:rPr>
              <w:t>5</w:t>
            </w:r>
            <w:r>
              <w:rPr>
                <w:color w:val="000000" w:themeColor="text1"/>
                <w:kern w:val="24"/>
                <w:sz w:val="21"/>
                <w:szCs w:val="21"/>
              </w:rPr>
              <w:t>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序号</w:t>
            </w:r>
          </w:p>
        </w:tc>
        <w:tc>
          <w:tcPr>
            <w:tcW w:w="1107"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敏感目标</w:t>
            </w:r>
          </w:p>
        </w:tc>
        <w:tc>
          <w:tcPr>
            <w:tcW w:w="1053"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相对</w:t>
            </w:r>
          </w:p>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方位</w:t>
            </w:r>
          </w:p>
        </w:tc>
        <w:tc>
          <w:tcPr>
            <w:tcW w:w="102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距离</w:t>
            </w:r>
            <w:r>
              <w:rPr>
                <w:rFonts w:eastAsiaTheme="minorEastAsia"/>
                <w:color w:val="000000" w:themeColor="text1"/>
                <w:sz w:val="21"/>
                <w:szCs w:val="21"/>
              </w:rPr>
              <w:t>（m）</w:t>
            </w:r>
          </w:p>
        </w:tc>
        <w:tc>
          <w:tcPr>
            <w:tcW w:w="207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属性</w:t>
            </w:r>
          </w:p>
        </w:tc>
        <w:tc>
          <w:tcPr>
            <w:tcW w:w="144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人口数</w:t>
            </w:r>
            <w:r>
              <w:rPr>
                <w:rFonts w:eastAsiaTheme="minorEastAsia"/>
                <w:color w:val="000000" w:themeColor="text1"/>
                <w:sz w:val="21"/>
                <w:szCs w:val="21"/>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1</w:t>
            </w:r>
          </w:p>
        </w:tc>
        <w:tc>
          <w:tcPr>
            <w:tcW w:w="1107"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四坡斗村</w:t>
            </w:r>
          </w:p>
        </w:tc>
        <w:tc>
          <w:tcPr>
            <w:tcW w:w="1053"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东北</w:t>
            </w:r>
          </w:p>
        </w:tc>
        <w:tc>
          <w:tcPr>
            <w:tcW w:w="1028"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1098</w:t>
            </w:r>
          </w:p>
        </w:tc>
        <w:tc>
          <w:tcPr>
            <w:tcW w:w="207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sz w:val="21"/>
                <w:szCs w:val="21"/>
              </w:rPr>
              <w:t>居住区</w:t>
            </w:r>
          </w:p>
        </w:tc>
        <w:tc>
          <w:tcPr>
            <w:tcW w:w="1446"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2</w:t>
            </w:r>
          </w:p>
        </w:tc>
        <w:tc>
          <w:tcPr>
            <w:tcW w:w="1107"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大平掌</w:t>
            </w:r>
          </w:p>
        </w:tc>
        <w:tc>
          <w:tcPr>
            <w:tcW w:w="1053"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东北</w:t>
            </w:r>
          </w:p>
        </w:tc>
        <w:tc>
          <w:tcPr>
            <w:tcW w:w="1028"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1905</w:t>
            </w:r>
          </w:p>
        </w:tc>
        <w:tc>
          <w:tcPr>
            <w:tcW w:w="207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sz w:val="21"/>
                <w:szCs w:val="21"/>
              </w:rPr>
              <w:t>居住区</w:t>
            </w:r>
          </w:p>
        </w:tc>
        <w:tc>
          <w:tcPr>
            <w:tcW w:w="1446"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3</w:t>
            </w:r>
          </w:p>
        </w:tc>
        <w:tc>
          <w:tcPr>
            <w:tcW w:w="1107"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东磨村</w:t>
            </w:r>
          </w:p>
        </w:tc>
        <w:tc>
          <w:tcPr>
            <w:tcW w:w="1053"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西</w:t>
            </w:r>
          </w:p>
        </w:tc>
        <w:tc>
          <w:tcPr>
            <w:tcW w:w="1028"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1952</w:t>
            </w:r>
          </w:p>
        </w:tc>
        <w:tc>
          <w:tcPr>
            <w:tcW w:w="2078" w:type="dxa"/>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居住区</w:t>
            </w:r>
          </w:p>
        </w:tc>
        <w:tc>
          <w:tcPr>
            <w:tcW w:w="1446"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4</w:t>
            </w:r>
          </w:p>
        </w:tc>
        <w:tc>
          <w:tcPr>
            <w:tcW w:w="1107" w:type="dxa"/>
            <w:vAlign w:val="center"/>
          </w:tcPr>
          <w:p>
            <w:pPr>
              <w:widowControl/>
              <w:spacing w:line="240" w:lineRule="auto"/>
              <w:ind w:firstLine="0" w:firstLineChars="0"/>
              <w:jc w:val="center"/>
              <w:rPr>
                <w:rFonts w:eastAsiaTheme="minorEastAsia"/>
                <w:color w:val="000000" w:themeColor="text1"/>
                <w:sz w:val="21"/>
                <w:szCs w:val="21"/>
              </w:rPr>
            </w:pPr>
            <w:r>
              <w:rPr>
                <w:color w:val="000000" w:themeColor="text1"/>
                <w:sz w:val="21"/>
                <w:szCs w:val="21"/>
              </w:rPr>
              <w:t>白糯格</w:t>
            </w:r>
          </w:p>
        </w:tc>
        <w:tc>
          <w:tcPr>
            <w:tcW w:w="1053"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西北</w:t>
            </w:r>
          </w:p>
        </w:tc>
        <w:tc>
          <w:tcPr>
            <w:tcW w:w="1028"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2648</w:t>
            </w:r>
          </w:p>
        </w:tc>
        <w:tc>
          <w:tcPr>
            <w:tcW w:w="2078" w:type="dxa"/>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居住区</w:t>
            </w:r>
          </w:p>
        </w:tc>
        <w:tc>
          <w:tcPr>
            <w:tcW w:w="1446"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rFonts w:hint="eastAsia"/>
                <w:color w:val="000000" w:themeColor="text1"/>
                <w:kern w:val="24"/>
                <w:sz w:val="21"/>
                <w:szCs w:val="21"/>
              </w:rPr>
              <w:t>5</w:t>
            </w:r>
          </w:p>
        </w:tc>
        <w:tc>
          <w:tcPr>
            <w:tcW w:w="1107"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絮波斗</w:t>
            </w:r>
          </w:p>
        </w:tc>
        <w:tc>
          <w:tcPr>
            <w:tcW w:w="105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东南</w:t>
            </w:r>
          </w:p>
        </w:tc>
        <w:tc>
          <w:tcPr>
            <w:tcW w:w="1028"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2764</w:t>
            </w:r>
          </w:p>
        </w:tc>
        <w:tc>
          <w:tcPr>
            <w:tcW w:w="207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sz w:val="21"/>
                <w:szCs w:val="21"/>
              </w:rPr>
              <w:t>居住区</w:t>
            </w:r>
          </w:p>
        </w:tc>
        <w:tc>
          <w:tcPr>
            <w:tcW w:w="1446"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rFonts w:hint="eastAsia"/>
                <w:color w:val="000000" w:themeColor="text1"/>
                <w:kern w:val="24"/>
                <w:sz w:val="21"/>
                <w:szCs w:val="21"/>
              </w:rPr>
              <w:t>6</w:t>
            </w:r>
          </w:p>
        </w:tc>
        <w:tc>
          <w:tcPr>
            <w:tcW w:w="1107"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大红山</w:t>
            </w:r>
          </w:p>
        </w:tc>
        <w:tc>
          <w:tcPr>
            <w:tcW w:w="105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东北</w:t>
            </w:r>
          </w:p>
        </w:tc>
        <w:tc>
          <w:tcPr>
            <w:tcW w:w="1028"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2956</w:t>
            </w:r>
          </w:p>
        </w:tc>
        <w:tc>
          <w:tcPr>
            <w:tcW w:w="207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sz w:val="21"/>
                <w:szCs w:val="21"/>
              </w:rPr>
              <w:t>居住区</w:t>
            </w:r>
          </w:p>
        </w:tc>
        <w:tc>
          <w:tcPr>
            <w:tcW w:w="1446"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553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rFonts w:hint="eastAsia"/>
                <w:color w:val="000000" w:themeColor="text1"/>
                <w:kern w:val="24"/>
                <w:sz w:val="21"/>
                <w:szCs w:val="21"/>
              </w:rPr>
              <w:t>7</w:t>
            </w:r>
          </w:p>
        </w:tc>
        <w:tc>
          <w:tcPr>
            <w:tcW w:w="1107"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小红山</w:t>
            </w:r>
          </w:p>
        </w:tc>
        <w:tc>
          <w:tcPr>
            <w:tcW w:w="105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东北</w:t>
            </w:r>
          </w:p>
        </w:tc>
        <w:tc>
          <w:tcPr>
            <w:tcW w:w="1028"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2978</w:t>
            </w:r>
          </w:p>
        </w:tc>
        <w:tc>
          <w:tcPr>
            <w:tcW w:w="2078" w:type="dxa"/>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居住区</w:t>
            </w:r>
          </w:p>
        </w:tc>
        <w:tc>
          <w:tcPr>
            <w:tcW w:w="1446"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rFonts w:hint="eastAsia"/>
                <w:color w:val="000000" w:themeColor="text1"/>
                <w:kern w:val="24"/>
                <w:sz w:val="21"/>
                <w:szCs w:val="21"/>
              </w:rPr>
              <w:t>8</w:t>
            </w:r>
          </w:p>
        </w:tc>
        <w:tc>
          <w:tcPr>
            <w:tcW w:w="1107"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小河口</w:t>
            </w:r>
          </w:p>
        </w:tc>
        <w:tc>
          <w:tcPr>
            <w:tcW w:w="105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西北</w:t>
            </w:r>
          </w:p>
        </w:tc>
        <w:tc>
          <w:tcPr>
            <w:tcW w:w="1028"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3258</w:t>
            </w:r>
          </w:p>
        </w:tc>
        <w:tc>
          <w:tcPr>
            <w:tcW w:w="2078" w:type="dxa"/>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居住区</w:t>
            </w:r>
          </w:p>
        </w:tc>
        <w:tc>
          <w:tcPr>
            <w:tcW w:w="1446"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rFonts w:hint="eastAsia"/>
                <w:color w:val="000000" w:themeColor="text1"/>
                <w:kern w:val="24"/>
                <w:sz w:val="21"/>
                <w:szCs w:val="21"/>
              </w:rPr>
              <w:t>10</w:t>
            </w:r>
          </w:p>
        </w:tc>
        <w:tc>
          <w:tcPr>
            <w:tcW w:w="1107"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戛洒镇</w:t>
            </w:r>
          </w:p>
        </w:tc>
        <w:tc>
          <w:tcPr>
            <w:tcW w:w="105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西南</w:t>
            </w:r>
          </w:p>
        </w:tc>
        <w:tc>
          <w:tcPr>
            <w:tcW w:w="1028"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2823</w:t>
            </w:r>
          </w:p>
        </w:tc>
        <w:tc>
          <w:tcPr>
            <w:tcW w:w="2078" w:type="dxa"/>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居住区</w:t>
            </w:r>
          </w:p>
        </w:tc>
        <w:tc>
          <w:tcPr>
            <w:tcW w:w="1446"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3506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rFonts w:hint="eastAsia"/>
                <w:color w:val="000000" w:themeColor="text1"/>
                <w:kern w:val="24"/>
                <w:sz w:val="21"/>
                <w:szCs w:val="21"/>
              </w:rPr>
              <w:t>11</w:t>
            </w:r>
          </w:p>
        </w:tc>
        <w:tc>
          <w:tcPr>
            <w:tcW w:w="1107"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速都</w:t>
            </w:r>
          </w:p>
        </w:tc>
        <w:tc>
          <w:tcPr>
            <w:tcW w:w="105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西南</w:t>
            </w:r>
          </w:p>
        </w:tc>
        <w:tc>
          <w:tcPr>
            <w:tcW w:w="1028"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2949</w:t>
            </w:r>
          </w:p>
        </w:tc>
        <w:tc>
          <w:tcPr>
            <w:tcW w:w="2078" w:type="dxa"/>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居住区</w:t>
            </w:r>
          </w:p>
        </w:tc>
        <w:tc>
          <w:tcPr>
            <w:tcW w:w="1446"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rFonts w:hint="eastAsia"/>
                <w:color w:val="000000" w:themeColor="text1"/>
                <w:kern w:val="24"/>
                <w:sz w:val="21"/>
                <w:szCs w:val="21"/>
              </w:rPr>
              <w:t>12</w:t>
            </w:r>
          </w:p>
        </w:tc>
        <w:tc>
          <w:tcPr>
            <w:tcW w:w="1107"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曼秀</w:t>
            </w:r>
          </w:p>
        </w:tc>
        <w:tc>
          <w:tcPr>
            <w:tcW w:w="105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西南</w:t>
            </w:r>
          </w:p>
        </w:tc>
        <w:tc>
          <w:tcPr>
            <w:tcW w:w="1028"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2961</w:t>
            </w:r>
          </w:p>
        </w:tc>
        <w:tc>
          <w:tcPr>
            <w:tcW w:w="207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sz w:val="21"/>
                <w:szCs w:val="21"/>
              </w:rPr>
              <w:t>居住区</w:t>
            </w:r>
          </w:p>
        </w:tc>
        <w:tc>
          <w:tcPr>
            <w:tcW w:w="1446"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rFonts w:hint="eastAsia"/>
                <w:color w:val="000000" w:themeColor="text1"/>
                <w:kern w:val="24"/>
                <w:sz w:val="21"/>
                <w:szCs w:val="21"/>
              </w:rPr>
              <w:t>13</w:t>
            </w:r>
          </w:p>
        </w:tc>
        <w:tc>
          <w:tcPr>
            <w:tcW w:w="1107"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曼湾</w:t>
            </w:r>
          </w:p>
        </w:tc>
        <w:tc>
          <w:tcPr>
            <w:tcW w:w="1053"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西南</w:t>
            </w:r>
          </w:p>
        </w:tc>
        <w:tc>
          <w:tcPr>
            <w:tcW w:w="1028"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3036</w:t>
            </w:r>
          </w:p>
        </w:tc>
        <w:tc>
          <w:tcPr>
            <w:tcW w:w="207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sz w:val="21"/>
                <w:szCs w:val="21"/>
              </w:rPr>
              <w:t>居住区</w:t>
            </w:r>
          </w:p>
        </w:tc>
        <w:tc>
          <w:tcPr>
            <w:tcW w:w="1446" w:type="dxa"/>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6002" w:type="dxa"/>
            <w:gridSpan w:val="5"/>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厂址周边500m范围内人口数小计</w:t>
            </w:r>
          </w:p>
        </w:tc>
        <w:tc>
          <w:tcPr>
            <w:tcW w:w="144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6002" w:type="dxa"/>
            <w:gridSpan w:val="5"/>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厂址周边5km范围内人口数小计</w:t>
            </w:r>
          </w:p>
        </w:tc>
        <w:tc>
          <w:tcPr>
            <w:tcW w:w="144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约</w:t>
            </w:r>
            <w:r>
              <w:rPr>
                <w:rFonts w:hint="eastAsia"/>
                <w:color w:val="000000" w:themeColor="text1"/>
                <w:kern w:val="24"/>
                <w:sz w:val="21"/>
                <w:szCs w:val="21"/>
              </w:rPr>
              <w:t>7</w:t>
            </w:r>
            <w:r>
              <w:rPr>
                <w:color w:val="000000" w:themeColor="text1"/>
                <w:kern w:val="24"/>
                <w:sz w:val="21"/>
                <w:szCs w:val="21"/>
              </w:rPr>
              <w:t>000人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6002" w:type="dxa"/>
            <w:gridSpan w:val="5"/>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大气环境敏感程度E值</w:t>
            </w:r>
          </w:p>
        </w:tc>
        <w:tc>
          <w:tcPr>
            <w:tcW w:w="144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4" w:type="dxa"/>
            <w:vMerge w:val="restart"/>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地表水</w:t>
            </w:r>
          </w:p>
        </w:tc>
        <w:tc>
          <w:tcPr>
            <w:tcW w:w="7448" w:type="dxa"/>
            <w:gridSpan w:val="6"/>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受纳水体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4"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序号</w:t>
            </w:r>
          </w:p>
        </w:tc>
        <w:tc>
          <w:tcPr>
            <w:tcW w:w="1107"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受纳水体名称</w:t>
            </w:r>
          </w:p>
        </w:tc>
        <w:tc>
          <w:tcPr>
            <w:tcW w:w="2081" w:type="dxa"/>
            <w:gridSpan w:val="2"/>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排放点水域环境功能</w:t>
            </w:r>
          </w:p>
        </w:tc>
        <w:tc>
          <w:tcPr>
            <w:tcW w:w="3524" w:type="dxa"/>
            <w:gridSpan w:val="2"/>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24h内流经范围/km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1</w:t>
            </w:r>
          </w:p>
        </w:tc>
        <w:tc>
          <w:tcPr>
            <w:tcW w:w="1107"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困龙河</w:t>
            </w:r>
          </w:p>
        </w:tc>
        <w:tc>
          <w:tcPr>
            <w:tcW w:w="2081" w:type="dxa"/>
            <w:gridSpan w:val="2"/>
            <w:vAlign w:val="center"/>
          </w:tcPr>
          <w:p>
            <w:pPr>
              <w:adjustRightInd w:val="0"/>
              <w:snapToGrid w:val="0"/>
              <w:spacing w:line="240" w:lineRule="auto"/>
              <w:ind w:firstLine="0" w:firstLineChars="0"/>
              <w:jc w:val="center"/>
              <w:rPr>
                <w:color w:val="000000" w:themeColor="text1"/>
                <w:kern w:val="24"/>
                <w:sz w:val="21"/>
                <w:szCs w:val="21"/>
              </w:rPr>
            </w:pPr>
            <w:r>
              <w:rPr>
                <w:rFonts w:hint="eastAsia" w:ascii="方正仿宋_GBK" w:hAnsi="方正仿宋_GBK" w:eastAsia="方正仿宋_GBK" w:cs="方正仿宋_GBK"/>
                <w:color w:val="000000" w:themeColor="text1"/>
                <w:sz w:val="21"/>
                <w:szCs w:val="21"/>
              </w:rPr>
              <w:t>Ⅲ</w:t>
            </w:r>
            <w:r>
              <w:rPr>
                <w:color w:val="000000" w:themeColor="text1"/>
                <w:kern w:val="24"/>
                <w:sz w:val="21"/>
                <w:szCs w:val="21"/>
              </w:rPr>
              <w:t>类</w:t>
            </w:r>
          </w:p>
        </w:tc>
        <w:tc>
          <w:tcPr>
            <w:tcW w:w="3524" w:type="dxa"/>
            <w:gridSpan w:val="2"/>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2</w:t>
            </w:r>
          </w:p>
        </w:tc>
        <w:tc>
          <w:tcPr>
            <w:tcW w:w="1107" w:type="dxa"/>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戛洒江</w:t>
            </w:r>
          </w:p>
        </w:tc>
        <w:tc>
          <w:tcPr>
            <w:tcW w:w="2081" w:type="dxa"/>
            <w:gridSpan w:val="2"/>
            <w:vAlign w:val="center"/>
          </w:tcPr>
          <w:p>
            <w:pPr>
              <w:adjustRightInd w:val="0"/>
              <w:snapToGrid w:val="0"/>
              <w:spacing w:line="240" w:lineRule="auto"/>
              <w:ind w:firstLine="0" w:firstLineChars="0"/>
              <w:jc w:val="center"/>
              <w:rPr>
                <w:color w:val="000000" w:themeColor="text1"/>
                <w:kern w:val="24"/>
                <w:sz w:val="21"/>
                <w:szCs w:val="21"/>
              </w:rPr>
            </w:pPr>
            <w:r>
              <w:rPr>
                <w:rFonts w:hint="eastAsia" w:ascii="方正仿宋_GBK" w:hAnsi="方正仿宋_GBK" w:eastAsia="方正仿宋_GBK" w:cs="方正仿宋_GBK"/>
                <w:color w:val="000000" w:themeColor="text1"/>
                <w:kern w:val="24"/>
                <w:sz w:val="21"/>
                <w:szCs w:val="21"/>
              </w:rPr>
              <w:t>Ⅲ</w:t>
            </w:r>
            <w:r>
              <w:rPr>
                <w:color w:val="000000" w:themeColor="text1"/>
                <w:kern w:val="24"/>
                <w:sz w:val="21"/>
                <w:szCs w:val="21"/>
              </w:rPr>
              <w:t>类</w:t>
            </w:r>
          </w:p>
        </w:tc>
        <w:tc>
          <w:tcPr>
            <w:tcW w:w="3524" w:type="dxa"/>
            <w:gridSpan w:val="2"/>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448" w:type="dxa"/>
            <w:gridSpan w:val="6"/>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内陆水体排放点下游10km（近岸海域一个潮周期最大水平距离两倍）范围内敏感目标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序号</w:t>
            </w:r>
          </w:p>
        </w:tc>
        <w:tc>
          <w:tcPr>
            <w:tcW w:w="1107"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敏感目标名称</w:t>
            </w:r>
          </w:p>
        </w:tc>
        <w:tc>
          <w:tcPr>
            <w:tcW w:w="1053"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环境敏感特征</w:t>
            </w:r>
          </w:p>
        </w:tc>
        <w:tc>
          <w:tcPr>
            <w:tcW w:w="102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水质目标</w:t>
            </w:r>
          </w:p>
        </w:tc>
        <w:tc>
          <w:tcPr>
            <w:tcW w:w="3524" w:type="dxa"/>
            <w:gridSpan w:val="2"/>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与排放点距离/m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w:t>
            </w:r>
          </w:p>
        </w:tc>
        <w:tc>
          <w:tcPr>
            <w:tcW w:w="1107"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w:t>
            </w:r>
          </w:p>
        </w:tc>
        <w:tc>
          <w:tcPr>
            <w:tcW w:w="1053"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w:t>
            </w:r>
          </w:p>
        </w:tc>
        <w:tc>
          <w:tcPr>
            <w:tcW w:w="102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w:t>
            </w:r>
          </w:p>
        </w:tc>
        <w:tc>
          <w:tcPr>
            <w:tcW w:w="3524" w:type="dxa"/>
            <w:gridSpan w:val="2"/>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6002" w:type="dxa"/>
            <w:gridSpan w:val="5"/>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地表水环境敏感程度E值</w:t>
            </w:r>
          </w:p>
        </w:tc>
        <w:tc>
          <w:tcPr>
            <w:tcW w:w="144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4" w:type="dxa"/>
            <w:vMerge w:val="restart"/>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地下水</w:t>
            </w: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序号</w:t>
            </w:r>
          </w:p>
        </w:tc>
        <w:tc>
          <w:tcPr>
            <w:tcW w:w="1107"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环境敏感区名称</w:t>
            </w:r>
          </w:p>
        </w:tc>
        <w:tc>
          <w:tcPr>
            <w:tcW w:w="1053"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环境敏感特征</w:t>
            </w:r>
          </w:p>
        </w:tc>
        <w:tc>
          <w:tcPr>
            <w:tcW w:w="102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水质目标</w:t>
            </w:r>
          </w:p>
        </w:tc>
        <w:tc>
          <w:tcPr>
            <w:tcW w:w="207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包气带防污性能</w:t>
            </w:r>
          </w:p>
        </w:tc>
        <w:tc>
          <w:tcPr>
            <w:tcW w:w="144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与下游厂界距离/m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73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1</w:t>
            </w:r>
          </w:p>
        </w:tc>
        <w:tc>
          <w:tcPr>
            <w:tcW w:w="1107"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地下水出露点</w:t>
            </w:r>
          </w:p>
        </w:tc>
        <w:tc>
          <w:tcPr>
            <w:tcW w:w="1053"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G3</w:t>
            </w:r>
          </w:p>
        </w:tc>
        <w:tc>
          <w:tcPr>
            <w:tcW w:w="102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Ⅲ类</w:t>
            </w:r>
          </w:p>
        </w:tc>
        <w:tc>
          <w:tcPr>
            <w:tcW w:w="2078"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D2</w:t>
            </w:r>
          </w:p>
        </w:tc>
        <w:tc>
          <w:tcPr>
            <w:tcW w:w="144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54" w:type="dxa"/>
            <w:vMerge w:val="continue"/>
            <w:vAlign w:val="center"/>
          </w:tcPr>
          <w:p>
            <w:pPr>
              <w:adjustRightInd w:val="0"/>
              <w:snapToGrid w:val="0"/>
              <w:spacing w:line="240" w:lineRule="auto"/>
              <w:ind w:firstLine="0" w:firstLineChars="0"/>
              <w:jc w:val="center"/>
              <w:rPr>
                <w:color w:val="000000" w:themeColor="text1"/>
                <w:kern w:val="24"/>
                <w:sz w:val="21"/>
                <w:szCs w:val="21"/>
              </w:rPr>
            </w:pPr>
          </w:p>
        </w:tc>
        <w:tc>
          <w:tcPr>
            <w:tcW w:w="6002" w:type="dxa"/>
            <w:gridSpan w:val="5"/>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地下水环境敏感程度E值</w:t>
            </w:r>
          </w:p>
        </w:tc>
        <w:tc>
          <w:tcPr>
            <w:tcW w:w="1446" w:type="dxa"/>
            <w:vAlign w:val="center"/>
          </w:tcPr>
          <w:p>
            <w:pPr>
              <w:adjustRightInd w:val="0"/>
              <w:snapToGrid w:val="0"/>
              <w:spacing w:line="240" w:lineRule="auto"/>
              <w:ind w:firstLine="0" w:firstLineChars="0"/>
              <w:jc w:val="center"/>
              <w:rPr>
                <w:color w:val="000000" w:themeColor="text1"/>
                <w:kern w:val="24"/>
                <w:sz w:val="21"/>
                <w:szCs w:val="21"/>
              </w:rPr>
            </w:pPr>
            <w:r>
              <w:rPr>
                <w:color w:val="000000" w:themeColor="text1"/>
                <w:kern w:val="24"/>
                <w:sz w:val="21"/>
                <w:szCs w:val="21"/>
              </w:rPr>
              <w:t>E3</w:t>
            </w:r>
          </w:p>
        </w:tc>
      </w:tr>
    </w:tbl>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6.4.2.</w:t>
      </w:r>
      <w:r>
        <w:rPr>
          <w:rFonts w:hint="eastAsia" w:eastAsiaTheme="minorEastAsia"/>
          <w:b/>
          <w:color w:val="000000" w:themeColor="text1"/>
          <w:kern w:val="0"/>
          <w:szCs w:val="24"/>
        </w:rPr>
        <w:t>4</w:t>
      </w:r>
      <w:r>
        <w:rPr>
          <w:rFonts w:eastAsiaTheme="minorEastAsia"/>
          <w:b/>
          <w:color w:val="000000" w:themeColor="text1"/>
          <w:kern w:val="0"/>
          <w:szCs w:val="24"/>
        </w:rPr>
        <w:t>环境风险潜势初判</w:t>
      </w:r>
    </w:p>
    <w:p>
      <w:pPr>
        <w:ind w:firstLine="480"/>
        <w:rPr>
          <w:rFonts w:eastAsiaTheme="minorEastAsia"/>
          <w:color w:val="000000" w:themeColor="text1"/>
          <w:szCs w:val="24"/>
        </w:rPr>
      </w:pPr>
      <w:r>
        <w:rPr>
          <w:rFonts w:eastAsiaTheme="minorEastAsia"/>
          <w:color w:val="000000" w:themeColor="text1"/>
          <w:szCs w:val="24"/>
        </w:rPr>
        <w:t>根据本报告1.5章节中，判定本技改项目Q值为0，</w:t>
      </w:r>
      <w:r>
        <w:rPr>
          <w:rFonts w:eastAsiaTheme="minorEastAsia"/>
          <w:bCs/>
          <w:color w:val="000000" w:themeColor="text1"/>
          <w:szCs w:val="21"/>
        </w:rPr>
        <w:t>M值为0，</w:t>
      </w:r>
      <w:r>
        <w:rPr>
          <w:rFonts w:eastAsiaTheme="minorEastAsia"/>
          <w:color w:val="000000" w:themeColor="text1"/>
          <w:szCs w:val="24"/>
        </w:rPr>
        <w:t>大气环境E级判定为E3，地表水环境敏感程度分级为E3，地下水环境敏感程度分级为E3。</w:t>
      </w:r>
    </w:p>
    <w:p>
      <w:pPr>
        <w:pStyle w:val="6"/>
        <w:spacing w:beforeLines="0" w:afterLines="0"/>
        <w:rPr>
          <w:rFonts w:eastAsiaTheme="minorEastAsia"/>
          <w:color w:val="000000" w:themeColor="text1"/>
          <w:sz w:val="28"/>
          <w:szCs w:val="28"/>
        </w:rPr>
      </w:pPr>
      <w:bookmarkStart w:id="742" w:name="_Toc17986"/>
      <w:r>
        <w:rPr>
          <w:rFonts w:eastAsiaTheme="minorEastAsia"/>
          <w:color w:val="000000" w:themeColor="text1"/>
          <w:sz w:val="28"/>
          <w:szCs w:val="28"/>
        </w:rPr>
        <w:t>6.4.3环境风险识别</w:t>
      </w:r>
      <w:bookmarkEnd w:id="742"/>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6.4.3.1风险识别内容</w:t>
      </w:r>
    </w:p>
    <w:p>
      <w:pPr>
        <w:ind w:firstLine="480"/>
        <w:rPr>
          <w:rFonts w:eastAsiaTheme="minorEastAsia"/>
          <w:color w:val="000000" w:themeColor="text1"/>
          <w:szCs w:val="24"/>
        </w:rPr>
      </w:pPr>
      <w:r>
        <w:rPr>
          <w:rFonts w:eastAsiaTheme="minorEastAsia"/>
          <w:color w:val="000000" w:themeColor="text1"/>
          <w:szCs w:val="24"/>
        </w:rPr>
        <w:t>风险识别内容包括生产系统危险性识别和生产过程所涉及的物质危险性识别。</w:t>
      </w:r>
    </w:p>
    <w:p>
      <w:pPr>
        <w:ind w:firstLine="480"/>
        <w:rPr>
          <w:rFonts w:eastAsiaTheme="minorEastAsia"/>
          <w:color w:val="000000" w:themeColor="text1"/>
          <w:szCs w:val="24"/>
        </w:rPr>
      </w:pPr>
      <w:r>
        <w:rPr>
          <w:rFonts w:eastAsiaTheme="minorEastAsia"/>
          <w:color w:val="000000" w:themeColor="text1"/>
          <w:szCs w:val="24"/>
        </w:rPr>
        <w:t>1、生产系统危险性识别：主要生产装置、储运设施、公用工程和辅助生产设施等；</w:t>
      </w:r>
    </w:p>
    <w:p>
      <w:pPr>
        <w:ind w:firstLine="480"/>
        <w:rPr>
          <w:rFonts w:eastAsiaTheme="minorEastAsia"/>
          <w:color w:val="000000" w:themeColor="text1"/>
          <w:szCs w:val="24"/>
        </w:rPr>
      </w:pPr>
      <w:r>
        <w:rPr>
          <w:rFonts w:eastAsiaTheme="minorEastAsia"/>
          <w:color w:val="000000" w:themeColor="text1"/>
          <w:szCs w:val="24"/>
        </w:rPr>
        <w:t>2、物质危险性识别：主要原材料及辅助材料、燃料、中间产品、最终产品以及生产过程排放的“三废”污染物等。</w:t>
      </w:r>
    </w:p>
    <w:p>
      <w:pPr>
        <w:ind w:firstLine="480"/>
        <w:rPr>
          <w:rFonts w:eastAsiaTheme="minorEastAsia"/>
          <w:color w:val="000000" w:themeColor="text1"/>
          <w:szCs w:val="24"/>
        </w:rPr>
      </w:pPr>
      <w:r>
        <w:rPr>
          <w:rFonts w:eastAsiaTheme="minorEastAsia"/>
          <w:color w:val="000000" w:themeColor="text1"/>
          <w:szCs w:val="24"/>
        </w:rPr>
        <w:t>根据有毒有害物质发生起因，分为火灾、爆炸和泄漏三种类型。</w:t>
      </w:r>
    </w:p>
    <w:p>
      <w:pPr>
        <w:ind w:firstLine="480"/>
        <w:rPr>
          <w:rFonts w:eastAsiaTheme="minorEastAsia"/>
          <w:color w:val="000000" w:themeColor="text1"/>
          <w:szCs w:val="24"/>
        </w:rPr>
      </w:pPr>
      <w:r>
        <w:rPr>
          <w:rFonts w:eastAsiaTheme="minorEastAsia"/>
          <w:color w:val="000000" w:themeColor="text1"/>
          <w:szCs w:val="24"/>
        </w:rPr>
        <w:t>项目风险类型主要为生产过程中出现的物料泄漏及因此而造成的事故排放，不考虑自然灾害如地震、洪水、台风等引起的事故风险。具体如下：</w:t>
      </w:r>
    </w:p>
    <w:p>
      <w:pPr>
        <w:ind w:firstLine="480"/>
        <w:rPr>
          <w:rFonts w:eastAsiaTheme="minorEastAsia"/>
          <w:color w:val="000000" w:themeColor="text1"/>
          <w:szCs w:val="24"/>
        </w:rPr>
      </w:pPr>
      <w:r>
        <w:rPr>
          <w:rFonts w:eastAsiaTheme="minorEastAsia"/>
          <w:color w:val="000000" w:themeColor="text1"/>
          <w:szCs w:val="24"/>
        </w:rPr>
        <w:t>1、因生产装置故障或储运设施泄漏，造成生产废水的外排。</w:t>
      </w:r>
    </w:p>
    <w:p>
      <w:pPr>
        <w:ind w:firstLine="480"/>
        <w:rPr>
          <w:rFonts w:eastAsiaTheme="minorEastAsia"/>
          <w:color w:val="000000" w:themeColor="text1"/>
          <w:szCs w:val="24"/>
        </w:rPr>
      </w:pPr>
      <w:r>
        <w:rPr>
          <w:rFonts w:eastAsiaTheme="minorEastAsia"/>
          <w:color w:val="000000" w:themeColor="text1"/>
          <w:szCs w:val="24"/>
        </w:rPr>
        <w:t>2、因尾矿输送管道的泄漏造成尾矿及生产废水的外排。</w:t>
      </w:r>
    </w:p>
    <w:p>
      <w:pPr>
        <w:ind w:firstLine="480"/>
        <w:rPr>
          <w:rFonts w:eastAsiaTheme="minorEastAsia"/>
          <w:color w:val="000000" w:themeColor="text1"/>
          <w:szCs w:val="24"/>
        </w:rPr>
      </w:pPr>
      <w:r>
        <w:rPr>
          <w:rFonts w:eastAsiaTheme="minorEastAsia"/>
          <w:color w:val="000000" w:themeColor="text1"/>
          <w:szCs w:val="24"/>
        </w:rPr>
        <w:t>3、因消防管理措施不当，废机油泄漏等造成的火灾或污染地下水。</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6.4.3.2物质危险性识别内容</w:t>
      </w:r>
    </w:p>
    <w:p>
      <w:pPr>
        <w:ind w:firstLine="480"/>
        <w:rPr>
          <w:b/>
          <w:bCs/>
          <w:color w:val="000000" w:themeColor="text1"/>
          <w:sz w:val="21"/>
          <w:szCs w:val="21"/>
          <w:lang w:val="zh-CN"/>
        </w:rPr>
      </w:pPr>
      <w:r>
        <w:rPr>
          <w:rFonts w:eastAsiaTheme="minorEastAsia"/>
          <w:color w:val="000000" w:themeColor="text1"/>
          <w:szCs w:val="24"/>
        </w:rPr>
        <w:t>根据《建设项目环境风险评价技术导则》（HJ169-2018）附录B及《危险化学品重大危险源辨识》（GB18218-2018），本技改项目不涉及危险化学品。主要危险物质为废机油。</w:t>
      </w:r>
    </w:p>
    <w:p>
      <w:pPr>
        <w:ind w:firstLine="422"/>
        <w:jc w:val="center"/>
        <w:rPr>
          <w:b/>
          <w:bCs/>
          <w:color w:val="000000" w:themeColor="text1"/>
          <w:sz w:val="21"/>
          <w:szCs w:val="21"/>
        </w:rPr>
      </w:pPr>
      <w:r>
        <w:rPr>
          <w:b/>
          <w:bCs/>
          <w:color w:val="000000" w:themeColor="text1"/>
          <w:sz w:val="21"/>
          <w:szCs w:val="21"/>
          <w:lang w:val="zh-CN"/>
        </w:rPr>
        <w:t>表</w:t>
      </w:r>
      <w:r>
        <w:rPr>
          <w:b/>
          <w:bCs/>
          <w:color w:val="000000" w:themeColor="text1"/>
          <w:sz w:val="21"/>
          <w:szCs w:val="21"/>
        </w:rPr>
        <w:t>6.4-4风险物质储存情况一览表</w:t>
      </w:r>
    </w:p>
    <w:tbl>
      <w:tblPr>
        <w:tblStyle w:val="61"/>
        <w:tblW w:w="8747" w:type="dxa"/>
        <w:tblInd w:w="-77" w:type="dxa"/>
        <w:tblLayout w:type="fixed"/>
        <w:tblCellMar>
          <w:top w:w="0" w:type="dxa"/>
          <w:left w:w="0" w:type="dxa"/>
          <w:bottom w:w="0" w:type="dxa"/>
          <w:right w:w="0" w:type="dxa"/>
        </w:tblCellMar>
      </w:tblPr>
      <w:tblGrid>
        <w:gridCol w:w="1391"/>
        <w:gridCol w:w="912"/>
        <w:gridCol w:w="883"/>
        <w:gridCol w:w="1324"/>
        <w:gridCol w:w="1841"/>
        <w:gridCol w:w="979"/>
        <w:gridCol w:w="1417"/>
      </w:tblGrid>
      <w:tr>
        <w:tblPrEx>
          <w:tblLayout w:type="fixed"/>
          <w:tblCellMar>
            <w:top w:w="0" w:type="dxa"/>
            <w:left w:w="0" w:type="dxa"/>
            <w:bottom w:w="0" w:type="dxa"/>
            <w:right w:w="0" w:type="dxa"/>
          </w:tblCellMar>
        </w:tblPrEx>
        <w:trPr>
          <w:trHeight w:val="450" w:hRule="atLeast"/>
        </w:trPr>
        <w:tc>
          <w:tcPr>
            <w:tcW w:w="1391"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名称</w:t>
            </w:r>
          </w:p>
        </w:tc>
        <w:tc>
          <w:tcPr>
            <w:tcW w:w="912"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数量（个）</w:t>
            </w:r>
          </w:p>
        </w:tc>
        <w:tc>
          <w:tcPr>
            <w:tcW w:w="883"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规格</w:t>
            </w:r>
          </w:p>
        </w:tc>
        <w:tc>
          <w:tcPr>
            <w:tcW w:w="1324"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储存量（t）</w:t>
            </w:r>
          </w:p>
        </w:tc>
        <w:tc>
          <w:tcPr>
            <w:tcW w:w="1841"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结构形式</w:t>
            </w:r>
          </w:p>
        </w:tc>
        <w:tc>
          <w:tcPr>
            <w:tcW w:w="979"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形态</w:t>
            </w:r>
          </w:p>
        </w:tc>
        <w:tc>
          <w:tcPr>
            <w:tcW w:w="141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储存位置</w:t>
            </w:r>
          </w:p>
        </w:tc>
      </w:tr>
      <w:tr>
        <w:tblPrEx>
          <w:tblLayout w:type="fixed"/>
          <w:tblCellMar>
            <w:top w:w="0" w:type="dxa"/>
            <w:left w:w="0" w:type="dxa"/>
            <w:bottom w:w="0" w:type="dxa"/>
            <w:right w:w="0" w:type="dxa"/>
          </w:tblCellMar>
        </w:tblPrEx>
        <w:trPr>
          <w:trHeight w:val="459" w:hRule="atLeast"/>
        </w:trPr>
        <w:tc>
          <w:tcPr>
            <w:tcW w:w="1391"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废</w:t>
            </w:r>
            <w:r>
              <w:rPr>
                <w:rFonts w:hint="eastAsia"/>
                <w:color w:val="000000" w:themeColor="text1"/>
                <w:sz w:val="21"/>
                <w:szCs w:val="21"/>
              </w:rPr>
              <w:t>机</w:t>
            </w:r>
            <w:r>
              <w:rPr>
                <w:color w:val="000000" w:themeColor="text1"/>
                <w:sz w:val="21"/>
                <w:szCs w:val="21"/>
              </w:rPr>
              <w:t>油</w:t>
            </w:r>
          </w:p>
        </w:tc>
        <w:tc>
          <w:tcPr>
            <w:tcW w:w="912"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w:t>
            </w:r>
          </w:p>
        </w:tc>
        <w:tc>
          <w:tcPr>
            <w:tcW w:w="883"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w:t>
            </w:r>
          </w:p>
        </w:tc>
        <w:tc>
          <w:tcPr>
            <w:tcW w:w="1324"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0.2t</w:t>
            </w:r>
          </w:p>
        </w:tc>
        <w:tc>
          <w:tcPr>
            <w:tcW w:w="1841"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铁桶储存</w:t>
            </w:r>
          </w:p>
        </w:tc>
        <w:tc>
          <w:tcPr>
            <w:tcW w:w="979"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流体状</w:t>
            </w:r>
          </w:p>
        </w:tc>
        <w:tc>
          <w:tcPr>
            <w:tcW w:w="1417" w:type="dxa"/>
            <w:tcBorders>
              <w:top w:val="single" w:color="000000" w:sz="4" w:space="0"/>
              <w:left w:val="single" w:color="000000" w:sz="4" w:space="0"/>
              <w:bottom w:val="single" w:color="000000" w:sz="4" w:space="0"/>
              <w:right w:val="single" w:color="000000" w:sz="4" w:space="0"/>
            </w:tcBorders>
            <w:vAlign w:val="center"/>
          </w:tcPr>
          <w:p>
            <w:pPr>
              <w:pStyle w:val="617"/>
              <w:spacing w:line="240" w:lineRule="auto"/>
              <w:ind w:firstLine="0" w:firstLineChars="0"/>
              <w:jc w:val="center"/>
              <w:rPr>
                <w:color w:val="000000" w:themeColor="text1"/>
                <w:sz w:val="21"/>
                <w:szCs w:val="21"/>
              </w:rPr>
            </w:pPr>
            <w:r>
              <w:rPr>
                <w:color w:val="000000" w:themeColor="text1"/>
                <w:sz w:val="21"/>
                <w:szCs w:val="21"/>
              </w:rPr>
              <w:t>危废暂存间</w:t>
            </w:r>
          </w:p>
        </w:tc>
      </w:tr>
    </w:tbl>
    <w:p>
      <w:pPr>
        <w:ind w:firstLine="0" w:firstLineChars="0"/>
        <w:jc w:val="center"/>
        <w:rPr>
          <w:b/>
          <w:bCs/>
          <w:color w:val="000000" w:themeColor="text1"/>
          <w:sz w:val="21"/>
          <w:szCs w:val="21"/>
        </w:rPr>
      </w:pPr>
      <w:r>
        <w:rPr>
          <w:b/>
          <w:bCs/>
          <w:color w:val="000000" w:themeColor="text1"/>
          <w:sz w:val="21"/>
          <w:szCs w:val="21"/>
          <w:lang w:val="zh-CN"/>
        </w:rPr>
        <w:t>表</w:t>
      </w:r>
      <w:r>
        <w:rPr>
          <w:b/>
          <w:bCs/>
          <w:color w:val="000000" w:themeColor="text1"/>
          <w:sz w:val="21"/>
          <w:szCs w:val="21"/>
        </w:rPr>
        <w:t>6.4</w:t>
      </w:r>
      <w:r>
        <w:rPr>
          <w:b/>
          <w:bCs/>
          <w:color w:val="000000" w:themeColor="text1"/>
          <w:sz w:val="21"/>
          <w:szCs w:val="21"/>
          <w:lang w:val="zh-CN"/>
        </w:rPr>
        <w:t>-5</w:t>
      </w:r>
      <w:r>
        <w:rPr>
          <w:rFonts w:hint="eastAsia"/>
          <w:b/>
          <w:bCs/>
          <w:color w:val="000000" w:themeColor="text1"/>
          <w:sz w:val="21"/>
          <w:szCs w:val="21"/>
        </w:rPr>
        <w:t>废机油</w:t>
      </w:r>
      <w:r>
        <w:rPr>
          <w:b/>
          <w:bCs/>
          <w:color w:val="000000" w:themeColor="text1"/>
          <w:sz w:val="21"/>
          <w:szCs w:val="21"/>
        </w:rPr>
        <w:t>理化特性表</w:t>
      </w:r>
    </w:p>
    <w:tbl>
      <w:tblPr>
        <w:tblStyle w:val="61"/>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0"/>
        <w:gridCol w:w="1620"/>
        <w:gridCol w:w="2085"/>
        <w:gridCol w:w="1845"/>
        <w:gridCol w:w="22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restart"/>
            <w:vAlign w:val="center"/>
          </w:tcPr>
          <w:p>
            <w:pPr>
              <w:widowControl/>
              <w:spacing w:line="240" w:lineRule="auto"/>
              <w:ind w:firstLine="0" w:firstLineChars="0"/>
              <w:jc w:val="center"/>
              <w:rPr>
                <w:color w:val="000000" w:themeColor="text1"/>
                <w:sz w:val="21"/>
                <w:szCs w:val="21"/>
              </w:rPr>
            </w:pPr>
            <w:r>
              <w:rPr>
                <w:color w:val="000000" w:themeColor="text1"/>
                <w:sz w:val="21"/>
                <w:szCs w:val="21"/>
              </w:rPr>
              <w:t>标识</w:t>
            </w: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中文名</w:t>
            </w:r>
          </w:p>
        </w:tc>
        <w:tc>
          <w:tcPr>
            <w:tcW w:w="208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润滑油</w:t>
            </w:r>
          </w:p>
        </w:tc>
        <w:tc>
          <w:tcPr>
            <w:tcW w:w="184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英文名</w:t>
            </w:r>
          </w:p>
        </w:tc>
        <w:tc>
          <w:tcPr>
            <w:tcW w:w="223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Lubeoil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vAlign w:val="center"/>
          </w:tcPr>
          <w:p>
            <w:pPr>
              <w:widowControl/>
              <w:spacing w:line="240" w:lineRule="auto"/>
              <w:ind w:firstLine="0" w:firstLineChars="0"/>
              <w:jc w:val="center"/>
              <w:rPr>
                <w:color w:val="000000" w:themeColor="text1"/>
                <w:sz w:val="21"/>
                <w:szCs w:val="21"/>
              </w:rPr>
            </w:pP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危险性类别</w:t>
            </w:r>
          </w:p>
        </w:tc>
        <w:tc>
          <w:tcPr>
            <w:tcW w:w="208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c>
          <w:tcPr>
            <w:tcW w:w="184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比重</w:t>
            </w:r>
          </w:p>
        </w:tc>
        <w:tc>
          <w:tcPr>
            <w:tcW w:w="223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vAlign w:val="center"/>
          </w:tcPr>
          <w:p>
            <w:pPr>
              <w:widowControl/>
              <w:spacing w:line="240" w:lineRule="auto"/>
              <w:ind w:firstLine="0" w:firstLineChars="0"/>
              <w:jc w:val="center"/>
              <w:rPr>
                <w:color w:val="000000" w:themeColor="text1"/>
                <w:sz w:val="21"/>
                <w:szCs w:val="21"/>
              </w:rPr>
            </w:pP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燃烧热</w:t>
            </w:r>
          </w:p>
        </w:tc>
        <w:tc>
          <w:tcPr>
            <w:tcW w:w="208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c>
          <w:tcPr>
            <w:tcW w:w="184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外观与性状</w:t>
            </w:r>
          </w:p>
        </w:tc>
        <w:tc>
          <w:tcPr>
            <w:tcW w:w="223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淡黄色粘稠液体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vAlign w:val="center"/>
          </w:tcPr>
          <w:p>
            <w:pPr>
              <w:widowControl/>
              <w:spacing w:line="240" w:lineRule="auto"/>
              <w:ind w:firstLine="0" w:firstLineChars="0"/>
              <w:jc w:val="center"/>
              <w:rPr>
                <w:color w:val="000000" w:themeColor="text1"/>
                <w:sz w:val="21"/>
                <w:szCs w:val="21"/>
              </w:rPr>
            </w:pP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溶解性</w:t>
            </w:r>
          </w:p>
        </w:tc>
        <w:tc>
          <w:tcPr>
            <w:tcW w:w="6160" w:type="dxa"/>
            <w:gridSpan w:val="3"/>
            <w:vAlign w:val="center"/>
          </w:tcPr>
          <w:p>
            <w:pPr>
              <w:widowControl/>
              <w:spacing w:line="240" w:lineRule="auto"/>
              <w:ind w:firstLine="0" w:firstLineChars="0"/>
              <w:jc w:val="center"/>
              <w:rPr>
                <w:color w:val="000000" w:themeColor="text1"/>
                <w:sz w:val="21"/>
                <w:szCs w:val="21"/>
              </w:rPr>
            </w:pPr>
            <w:r>
              <w:rPr>
                <w:color w:val="000000" w:themeColor="text1"/>
                <w:sz w:val="21"/>
                <w:szCs w:val="21"/>
              </w:rPr>
              <w:t>溶于苯、乙醇、乙醚、氯仿、丙酮等多数有机溶剂。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vAlign w:val="center"/>
          </w:tcPr>
          <w:p>
            <w:pPr>
              <w:widowControl/>
              <w:spacing w:line="240" w:lineRule="auto"/>
              <w:ind w:firstLine="0" w:firstLineChars="0"/>
              <w:jc w:val="center"/>
              <w:rPr>
                <w:color w:val="000000" w:themeColor="text1"/>
                <w:sz w:val="21"/>
                <w:szCs w:val="21"/>
              </w:rPr>
            </w:pP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主要用途</w:t>
            </w:r>
          </w:p>
        </w:tc>
        <w:tc>
          <w:tcPr>
            <w:tcW w:w="6160" w:type="dxa"/>
            <w:gridSpan w:val="3"/>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restart"/>
            <w:vAlign w:val="center"/>
          </w:tcPr>
          <w:p>
            <w:pPr>
              <w:widowControl/>
              <w:spacing w:line="240" w:lineRule="auto"/>
              <w:ind w:firstLine="0" w:firstLineChars="0"/>
              <w:jc w:val="center"/>
              <w:rPr>
                <w:color w:val="000000" w:themeColor="text1"/>
                <w:sz w:val="21"/>
                <w:szCs w:val="21"/>
              </w:rPr>
            </w:pPr>
            <w:r>
              <w:rPr>
                <w:color w:val="000000" w:themeColor="text1"/>
                <w:sz w:val="21"/>
                <w:szCs w:val="21"/>
              </w:rPr>
              <w:t>稳定性和反应活性</w:t>
            </w: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稳定性</w:t>
            </w:r>
          </w:p>
        </w:tc>
        <w:tc>
          <w:tcPr>
            <w:tcW w:w="208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c>
          <w:tcPr>
            <w:tcW w:w="184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聚合危害</w:t>
            </w:r>
          </w:p>
        </w:tc>
        <w:tc>
          <w:tcPr>
            <w:tcW w:w="223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vAlign w:val="center"/>
          </w:tcPr>
          <w:p>
            <w:pPr>
              <w:widowControl/>
              <w:spacing w:line="240" w:lineRule="auto"/>
              <w:ind w:firstLine="0" w:firstLineChars="0"/>
              <w:jc w:val="center"/>
              <w:rPr>
                <w:color w:val="000000" w:themeColor="text1"/>
                <w:sz w:val="21"/>
                <w:szCs w:val="21"/>
              </w:rPr>
            </w:pP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禁配物</w:t>
            </w:r>
          </w:p>
        </w:tc>
        <w:tc>
          <w:tcPr>
            <w:tcW w:w="208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c>
          <w:tcPr>
            <w:tcW w:w="184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燃烧（分解）产物</w:t>
            </w:r>
          </w:p>
        </w:tc>
        <w:tc>
          <w:tcPr>
            <w:tcW w:w="223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一氧化碳、二氧化碳等有毒、有害气体。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restart"/>
            <w:vAlign w:val="center"/>
          </w:tcPr>
          <w:p>
            <w:pPr>
              <w:widowControl/>
              <w:spacing w:line="240" w:lineRule="auto"/>
              <w:ind w:firstLine="0" w:firstLineChars="0"/>
              <w:jc w:val="center"/>
              <w:rPr>
                <w:color w:val="000000" w:themeColor="text1"/>
                <w:sz w:val="21"/>
                <w:szCs w:val="21"/>
              </w:rPr>
            </w:pPr>
            <w:r>
              <w:rPr>
                <w:color w:val="000000" w:themeColor="text1"/>
                <w:sz w:val="21"/>
                <w:szCs w:val="21"/>
              </w:rPr>
              <w:t>危险性</w:t>
            </w: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燃烧性</w:t>
            </w:r>
          </w:p>
        </w:tc>
        <w:tc>
          <w:tcPr>
            <w:tcW w:w="208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可燃</w:t>
            </w:r>
          </w:p>
        </w:tc>
        <w:tc>
          <w:tcPr>
            <w:tcW w:w="184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爆炸危险</w:t>
            </w:r>
          </w:p>
        </w:tc>
        <w:tc>
          <w:tcPr>
            <w:tcW w:w="223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可燃液体，火灾危险性为丙B类；遇明火、高热可燃。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vAlign w:val="center"/>
          </w:tcPr>
          <w:p>
            <w:pPr>
              <w:widowControl/>
              <w:spacing w:line="240" w:lineRule="auto"/>
              <w:ind w:firstLine="0" w:firstLineChars="0"/>
              <w:jc w:val="center"/>
              <w:rPr>
                <w:color w:val="000000" w:themeColor="text1"/>
                <w:sz w:val="21"/>
                <w:szCs w:val="21"/>
              </w:rPr>
            </w:pP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侵入途径</w:t>
            </w:r>
          </w:p>
        </w:tc>
        <w:tc>
          <w:tcPr>
            <w:tcW w:w="208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c>
          <w:tcPr>
            <w:tcW w:w="1845"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c>
          <w:tcPr>
            <w:tcW w:w="223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vAlign w:val="center"/>
          </w:tcPr>
          <w:p>
            <w:pPr>
              <w:widowControl/>
              <w:spacing w:line="240" w:lineRule="auto"/>
              <w:ind w:firstLine="0" w:firstLineChars="0"/>
              <w:jc w:val="center"/>
              <w:rPr>
                <w:color w:val="000000" w:themeColor="text1"/>
                <w:sz w:val="21"/>
                <w:szCs w:val="21"/>
              </w:rPr>
            </w:pP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危险特性</w:t>
            </w:r>
          </w:p>
        </w:tc>
        <w:tc>
          <w:tcPr>
            <w:tcW w:w="6160" w:type="dxa"/>
            <w:gridSpan w:val="3"/>
            <w:vAlign w:val="center"/>
          </w:tcPr>
          <w:p>
            <w:pPr>
              <w:widowControl/>
              <w:spacing w:line="240" w:lineRule="auto"/>
              <w:ind w:firstLine="0" w:firstLineChars="0"/>
              <w:jc w:val="center"/>
              <w:rPr>
                <w:color w:val="000000" w:themeColor="text1"/>
                <w:sz w:val="21"/>
                <w:szCs w:val="21"/>
              </w:rPr>
            </w:pPr>
            <w:r>
              <w:rPr>
                <w:color w:val="000000" w:themeColor="text1"/>
                <w:sz w:val="21"/>
                <w:szCs w:val="21"/>
              </w:rPr>
              <w:t>遇明火、高热可燃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restart"/>
            <w:vAlign w:val="center"/>
          </w:tcPr>
          <w:p>
            <w:pPr>
              <w:widowControl/>
              <w:spacing w:line="240" w:lineRule="auto"/>
              <w:ind w:firstLine="0" w:firstLineChars="0"/>
              <w:jc w:val="center"/>
              <w:rPr>
                <w:color w:val="000000" w:themeColor="text1"/>
                <w:sz w:val="21"/>
                <w:szCs w:val="21"/>
              </w:rPr>
            </w:pPr>
            <w:r>
              <w:rPr>
                <w:color w:val="000000" w:themeColor="text1"/>
                <w:sz w:val="21"/>
                <w:szCs w:val="21"/>
              </w:rPr>
              <w:t>消防措施</w:t>
            </w: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灭火方法</w:t>
            </w:r>
          </w:p>
        </w:tc>
        <w:tc>
          <w:tcPr>
            <w:tcW w:w="6160" w:type="dxa"/>
            <w:gridSpan w:val="3"/>
            <w:vAlign w:val="center"/>
          </w:tcPr>
          <w:p>
            <w:pPr>
              <w:widowControl/>
              <w:spacing w:line="240" w:lineRule="auto"/>
              <w:ind w:firstLine="0" w:firstLineChars="0"/>
              <w:rPr>
                <w:color w:val="000000" w:themeColor="text1"/>
                <w:sz w:val="21"/>
                <w:szCs w:val="21"/>
              </w:rPr>
            </w:pPr>
            <w:r>
              <w:rPr>
                <w:color w:val="000000" w:themeColor="text1"/>
                <w:sz w:val="21"/>
                <w:szCs w:val="21"/>
              </w:rPr>
              <w:t>消防人员必须穿全身消防服，佩戴空气呼吸器，在上风向灭火。</w:t>
            </w:r>
          </w:p>
          <w:p>
            <w:pPr>
              <w:widowControl/>
              <w:spacing w:line="240" w:lineRule="auto"/>
              <w:ind w:firstLine="0" w:firstLineChars="0"/>
              <w:rPr>
                <w:color w:val="000000" w:themeColor="text1"/>
                <w:sz w:val="21"/>
                <w:szCs w:val="21"/>
              </w:rPr>
            </w:pPr>
            <w:r>
              <w:rPr>
                <w:color w:val="000000" w:themeColor="text1"/>
                <w:sz w:val="21"/>
                <w:szCs w:val="21"/>
              </w:rPr>
              <w:t>喷水冷却燃烧罐和临近罐，直至灭火结朿。处在火场中的储罐发生异常变化或发出异常声音，须马上撤离。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vAlign w:val="center"/>
          </w:tcPr>
          <w:p>
            <w:pPr>
              <w:widowControl/>
              <w:spacing w:line="240" w:lineRule="auto"/>
              <w:ind w:firstLine="0" w:firstLineChars="0"/>
              <w:jc w:val="center"/>
              <w:rPr>
                <w:color w:val="000000" w:themeColor="text1"/>
                <w:sz w:val="21"/>
                <w:szCs w:val="21"/>
              </w:rPr>
            </w:pP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灭火剂</w:t>
            </w:r>
          </w:p>
        </w:tc>
        <w:tc>
          <w:tcPr>
            <w:tcW w:w="6160" w:type="dxa"/>
            <w:gridSpan w:val="3"/>
            <w:vAlign w:val="center"/>
          </w:tcPr>
          <w:p>
            <w:pPr>
              <w:widowControl/>
              <w:spacing w:line="240" w:lineRule="auto"/>
              <w:ind w:firstLine="0" w:firstLineChars="0"/>
              <w:rPr>
                <w:color w:val="000000" w:themeColor="text1"/>
                <w:sz w:val="21"/>
                <w:szCs w:val="21"/>
              </w:rPr>
            </w:pPr>
            <w:r>
              <w:rPr>
                <w:color w:val="000000" w:themeColor="text1"/>
                <w:sz w:val="21"/>
                <w:szCs w:val="21"/>
              </w:rPr>
              <w:t>泡沫、干粉、二氧化碳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restart"/>
            <w:vAlign w:val="center"/>
          </w:tcPr>
          <w:p>
            <w:pPr>
              <w:widowControl/>
              <w:spacing w:line="240" w:lineRule="auto"/>
              <w:ind w:firstLine="0" w:firstLineChars="0"/>
              <w:jc w:val="center"/>
              <w:rPr>
                <w:color w:val="000000" w:themeColor="text1"/>
                <w:sz w:val="21"/>
                <w:szCs w:val="21"/>
              </w:rPr>
            </w:pPr>
            <w:r>
              <w:rPr>
                <w:color w:val="000000" w:themeColor="text1"/>
                <w:sz w:val="21"/>
                <w:szCs w:val="21"/>
              </w:rPr>
              <w:t>急救措施</w:t>
            </w: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皮肤接触</w:t>
            </w:r>
          </w:p>
        </w:tc>
        <w:tc>
          <w:tcPr>
            <w:tcW w:w="6160" w:type="dxa"/>
            <w:gridSpan w:val="3"/>
            <w:vAlign w:val="center"/>
          </w:tcPr>
          <w:p>
            <w:pPr>
              <w:widowControl/>
              <w:spacing w:line="240" w:lineRule="auto"/>
              <w:ind w:firstLine="0" w:firstLineChars="0"/>
              <w:rPr>
                <w:color w:val="000000" w:themeColor="text1"/>
                <w:sz w:val="21"/>
                <w:szCs w:val="21"/>
              </w:rPr>
            </w:pPr>
            <w:r>
              <w:rPr>
                <w:color w:val="000000" w:themeColor="text1"/>
                <w:sz w:val="21"/>
                <w:szCs w:val="21"/>
              </w:rPr>
              <w:t>立即脱去污染的衣着，用大量流动清水冲洗至少15分钟。就医。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vAlign w:val="center"/>
          </w:tcPr>
          <w:p>
            <w:pPr>
              <w:widowControl/>
              <w:spacing w:line="240" w:lineRule="auto"/>
              <w:ind w:firstLine="0" w:firstLineChars="0"/>
              <w:jc w:val="center"/>
              <w:rPr>
                <w:color w:val="000000" w:themeColor="text1"/>
                <w:sz w:val="21"/>
                <w:szCs w:val="21"/>
              </w:rPr>
            </w:pP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眼睛接触</w:t>
            </w:r>
          </w:p>
        </w:tc>
        <w:tc>
          <w:tcPr>
            <w:tcW w:w="6160" w:type="dxa"/>
            <w:gridSpan w:val="3"/>
            <w:vAlign w:val="center"/>
          </w:tcPr>
          <w:p>
            <w:pPr>
              <w:widowControl/>
              <w:spacing w:line="240" w:lineRule="auto"/>
              <w:ind w:firstLine="0" w:firstLineChars="0"/>
              <w:rPr>
                <w:color w:val="000000" w:themeColor="text1"/>
                <w:sz w:val="21"/>
                <w:szCs w:val="21"/>
              </w:rPr>
            </w:pPr>
            <w:r>
              <w:rPr>
                <w:color w:val="000000" w:themeColor="text1"/>
                <w:sz w:val="21"/>
                <w:szCs w:val="21"/>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Merge w:val="continue"/>
            <w:vAlign w:val="center"/>
          </w:tcPr>
          <w:p>
            <w:pPr>
              <w:widowControl/>
              <w:spacing w:line="240" w:lineRule="auto"/>
              <w:ind w:firstLine="0" w:firstLineChars="0"/>
              <w:jc w:val="center"/>
              <w:rPr>
                <w:color w:val="000000" w:themeColor="text1"/>
                <w:sz w:val="21"/>
                <w:szCs w:val="21"/>
              </w:rPr>
            </w:pP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吸入</w:t>
            </w:r>
          </w:p>
        </w:tc>
        <w:tc>
          <w:tcPr>
            <w:tcW w:w="6160" w:type="dxa"/>
            <w:gridSpan w:val="3"/>
            <w:vAlign w:val="center"/>
          </w:tcPr>
          <w:p>
            <w:pPr>
              <w:widowControl/>
              <w:spacing w:line="240" w:lineRule="auto"/>
              <w:ind w:firstLine="0" w:firstLineChars="0"/>
              <w:rPr>
                <w:color w:val="000000" w:themeColor="text1"/>
                <w:sz w:val="21"/>
                <w:szCs w:val="21"/>
              </w:rPr>
            </w:pPr>
            <w:r>
              <w:rPr>
                <w:color w:val="000000" w:themeColor="text1"/>
                <w:sz w:val="21"/>
                <w:szCs w:val="21"/>
              </w:rPr>
              <w:t>迅速脱离现场至空气新鲜处。保持呼吸道通畅。如呼吸困难，给输氧。如呼吸停止，立即进行人工呼吸。就医。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7" w:hRule="atLeast"/>
        </w:trPr>
        <w:tc>
          <w:tcPr>
            <w:tcW w:w="940" w:type="dxa"/>
            <w:vMerge w:val="continue"/>
            <w:vAlign w:val="center"/>
          </w:tcPr>
          <w:p>
            <w:pPr>
              <w:widowControl/>
              <w:spacing w:line="240" w:lineRule="auto"/>
              <w:ind w:firstLine="0" w:firstLineChars="0"/>
              <w:jc w:val="center"/>
              <w:rPr>
                <w:color w:val="000000" w:themeColor="text1"/>
                <w:sz w:val="21"/>
                <w:szCs w:val="21"/>
              </w:rPr>
            </w:pPr>
          </w:p>
        </w:tc>
        <w:tc>
          <w:tcPr>
            <w:tcW w:w="162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食入</w:t>
            </w:r>
          </w:p>
        </w:tc>
        <w:tc>
          <w:tcPr>
            <w:tcW w:w="6160" w:type="dxa"/>
            <w:gridSpan w:val="3"/>
            <w:vAlign w:val="center"/>
          </w:tcPr>
          <w:p>
            <w:pPr>
              <w:widowControl/>
              <w:spacing w:line="240" w:lineRule="auto"/>
              <w:ind w:firstLine="0" w:firstLineChars="0"/>
              <w:rPr>
                <w:color w:val="000000" w:themeColor="text1"/>
                <w:sz w:val="21"/>
                <w:szCs w:val="21"/>
              </w:rPr>
            </w:pPr>
            <w:r>
              <w:rPr>
                <w:color w:val="000000" w:themeColor="text1"/>
                <w:sz w:val="21"/>
                <w:szCs w:val="21"/>
              </w:rPr>
              <w:t>用水漱口，给饮牛奶或蛋清。就医。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1" w:hRule="atLeast"/>
        </w:trPr>
        <w:tc>
          <w:tcPr>
            <w:tcW w:w="94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危害</w:t>
            </w:r>
          </w:p>
        </w:tc>
        <w:tc>
          <w:tcPr>
            <w:tcW w:w="7780" w:type="dxa"/>
            <w:gridSpan w:val="4"/>
            <w:vAlign w:val="center"/>
          </w:tcPr>
          <w:p>
            <w:pPr>
              <w:widowControl/>
              <w:spacing w:line="240" w:lineRule="auto"/>
              <w:ind w:firstLine="0" w:firstLineChars="0"/>
              <w:rPr>
                <w:color w:val="000000" w:themeColor="text1"/>
                <w:sz w:val="21"/>
                <w:szCs w:val="21"/>
              </w:rPr>
            </w:pPr>
            <w:r>
              <w:rPr>
                <w:color w:val="000000" w:themeColor="text1"/>
                <w:sz w:val="21"/>
                <w:szCs w:val="21"/>
              </w:rPr>
              <w:t>评多石油产品对人体都有害，接触皮肤如不及时清洗干净，则可能轻者引起皮炎、疙瘩，重者发生皮疹或皮瘤。误入口内或吸入体内，轻者发生肠胃病或肺炎，重者可能导致癌症，因而极应注意不要把石油弄到食品上，不要弄进呼吸道里，也不要弄到满身是油或满地是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急救</w:t>
            </w:r>
          </w:p>
        </w:tc>
        <w:tc>
          <w:tcPr>
            <w:tcW w:w="7780" w:type="dxa"/>
            <w:gridSpan w:val="4"/>
            <w:vAlign w:val="center"/>
          </w:tcPr>
          <w:p>
            <w:pPr>
              <w:widowControl/>
              <w:spacing w:line="240" w:lineRule="auto"/>
              <w:ind w:firstLine="0" w:firstLineChars="0"/>
              <w:rPr>
                <w:color w:val="000000" w:themeColor="text1"/>
                <w:sz w:val="21"/>
                <w:szCs w:val="21"/>
              </w:rPr>
            </w:pPr>
            <w:r>
              <w:rPr>
                <w:color w:val="000000" w:themeColor="text1"/>
                <w:sz w:val="21"/>
                <w:szCs w:val="21"/>
              </w:rPr>
              <w:t>吸入中毒者立即脱离中毒现场，对症处理。皮肤接触后立即用肥皂水和大量清水冲洗。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防护</w:t>
            </w:r>
          </w:p>
        </w:tc>
        <w:tc>
          <w:tcPr>
            <w:tcW w:w="7780" w:type="dxa"/>
            <w:gridSpan w:val="4"/>
            <w:vAlign w:val="center"/>
          </w:tcPr>
          <w:p>
            <w:pPr>
              <w:widowControl/>
              <w:spacing w:line="240" w:lineRule="auto"/>
              <w:ind w:firstLine="0" w:firstLineChars="0"/>
              <w:rPr>
                <w:color w:val="000000" w:themeColor="text1"/>
                <w:sz w:val="21"/>
                <w:szCs w:val="21"/>
              </w:rPr>
            </w:pPr>
            <w:r>
              <w:rPr>
                <w:color w:val="000000" w:themeColor="text1"/>
                <w:sz w:val="21"/>
                <w:szCs w:val="21"/>
              </w:rPr>
              <w:t>工程控制：密闭操作。其他防护：工作场所禁止烟火。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泄漏</w:t>
            </w:r>
          </w:p>
        </w:tc>
        <w:tc>
          <w:tcPr>
            <w:tcW w:w="7780" w:type="dxa"/>
            <w:gridSpan w:val="4"/>
            <w:vAlign w:val="center"/>
          </w:tcPr>
          <w:p>
            <w:pPr>
              <w:widowControl/>
              <w:spacing w:line="240" w:lineRule="auto"/>
              <w:ind w:firstLine="0" w:firstLineChars="0"/>
              <w:jc w:val="both"/>
              <w:rPr>
                <w:color w:val="000000" w:themeColor="text1"/>
                <w:sz w:val="21"/>
                <w:szCs w:val="21"/>
              </w:rPr>
            </w:pPr>
            <w:r>
              <w:rPr>
                <w:color w:val="000000" w:themeColor="text1"/>
                <w:sz w:val="21"/>
                <w:szCs w:val="21"/>
              </w:rPr>
              <w:t>根据液体流动影响区域定警戒区，无关人员从侧风、上风向撤离至安全区消除所用点火源。应急人员应采取关闭阀门或堵漏等措施切断泄漏源。如果储罐或槽车发生泄漏，可通过倒罐转移尚未泄漏的液体。构筑围堤或挖坑收容泄漏物，防止流入河流、下水道、排洪沟等地方。用泡沫覆盖泄漏物，减少挥发。收容的泄漏物用防爆泵转移到槽车或专用收集器内。残夜用沙土或其他不燃物吸收，也可以在保证安全的情况下就地焚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40" w:type="dxa"/>
            <w:vAlign w:val="center"/>
          </w:tcPr>
          <w:p>
            <w:pPr>
              <w:widowControl/>
              <w:spacing w:line="240" w:lineRule="auto"/>
              <w:ind w:firstLine="0" w:firstLineChars="0"/>
              <w:jc w:val="center"/>
              <w:rPr>
                <w:color w:val="000000" w:themeColor="text1"/>
                <w:sz w:val="21"/>
                <w:szCs w:val="21"/>
              </w:rPr>
            </w:pPr>
            <w:r>
              <w:rPr>
                <w:color w:val="000000" w:themeColor="text1"/>
                <w:sz w:val="21"/>
                <w:szCs w:val="21"/>
              </w:rPr>
              <w:t>储存运输</w:t>
            </w:r>
          </w:p>
        </w:tc>
        <w:tc>
          <w:tcPr>
            <w:tcW w:w="7780" w:type="dxa"/>
            <w:gridSpan w:val="4"/>
            <w:vAlign w:val="center"/>
          </w:tcPr>
          <w:p>
            <w:pPr>
              <w:widowControl/>
              <w:spacing w:line="240" w:lineRule="auto"/>
              <w:ind w:firstLine="0" w:firstLineChars="0"/>
              <w:jc w:val="both"/>
              <w:rPr>
                <w:color w:val="000000" w:themeColor="text1"/>
                <w:sz w:val="21"/>
                <w:szCs w:val="21"/>
              </w:rPr>
            </w:pPr>
            <w:r>
              <w:rPr>
                <w:color w:val="000000" w:themeColor="text1"/>
                <w:sz w:val="21"/>
                <w:szCs w:val="21"/>
              </w:rPr>
              <w:t>储存运输用油罐、油罐车、油船、铁桶、塑料桶等盛装，盛装时切不可装满，要留出必要的安全空间。储存于阴凉、通风处。远离火种、热源。罐储时要有防火技术</w:t>
            </w:r>
          </w:p>
          <w:p>
            <w:pPr>
              <w:widowControl/>
              <w:spacing w:line="240" w:lineRule="auto"/>
              <w:ind w:firstLine="0" w:firstLineChars="0"/>
              <w:jc w:val="both"/>
              <w:rPr>
                <w:color w:val="000000" w:themeColor="text1"/>
                <w:sz w:val="21"/>
                <w:szCs w:val="21"/>
              </w:rPr>
            </w:pPr>
            <w:r>
              <w:rPr>
                <w:color w:val="000000" w:themeColor="text1"/>
                <w:sz w:val="21"/>
                <w:szCs w:val="21"/>
              </w:rPr>
              <w:t>措施。</w:t>
            </w:r>
          </w:p>
        </w:tc>
      </w:tr>
    </w:tbl>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6.4.3.3生产设施风险识别</w:t>
      </w:r>
    </w:p>
    <w:p>
      <w:pPr>
        <w:pStyle w:val="624"/>
        <w:ind w:firstLine="480"/>
        <w:rPr>
          <w:rFonts w:eastAsiaTheme="minorEastAsia"/>
          <w:color w:val="000000" w:themeColor="text1"/>
          <w:sz w:val="24"/>
          <w:lang w:eastAsia="zh-CN"/>
        </w:rPr>
      </w:pPr>
      <w:r>
        <w:rPr>
          <w:rFonts w:eastAsiaTheme="minorEastAsia"/>
          <w:color w:val="000000" w:themeColor="text1"/>
          <w:sz w:val="24"/>
          <w:lang w:eastAsia="zh-CN"/>
        </w:rPr>
        <w:t>生产系统危险性识别：主要生产装置、储运设施、公用工程和辅助生产设施等。</w:t>
      </w:r>
    </w:p>
    <w:p>
      <w:pPr>
        <w:pStyle w:val="624"/>
        <w:ind w:firstLine="480"/>
        <w:rPr>
          <w:rFonts w:eastAsiaTheme="minorEastAsia"/>
          <w:color w:val="000000" w:themeColor="text1"/>
          <w:sz w:val="24"/>
          <w:lang w:eastAsia="zh-CN"/>
        </w:rPr>
      </w:pPr>
      <w:r>
        <w:rPr>
          <w:rFonts w:eastAsiaTheme="minorEastAsia"/>
          <w:color w:val="000000" w:themeColor="text1"/>
          <w:sz w:val="24"/>
          <w:lang w:val="en-US" w:eastAsia="zh-CN"/>
        </w:rPr>
        <w:t>1、</w:t>
      </w:r>
      <w:r>
        <w:rPr>
          <w:rFonts w:eastAsiaTheme="minorEastAsia"/>
          <w:color w:val="000000" w:themeColor="text1"/>
          <w:sz w:val="24"/>
          <w:lang w:eastAsia="zh-CN"/>
        </w:rPr>
        <w:t>生产过程</w:t>
      </w:r>
    </w:p>
    <w:p>
      <w:pPr>
        <w:pStyle w:val="624"/>
        <w:ind w:firstLine="480"/>
        <w:rPr>
          <w:rFonts w:eastAsiaTheme="minorEastAsia"/>
          <w:color w:val="000000" w:themeColor="text1"/>
          <w:sz w:val="24"/>
          <w:lang w:val="en-US" w:eastAsia="zh-CN"/>
        </w:rPr>
      </w:pPr>
      <w:r>
        <w:rPr>
          <w:rFonts w:eastAsiaTheme="minorEastAsia"/>
          <w:color w:val="000000" w:themeColor="text1"/>
          <w:sz w:val="24"/>
          <w:lang w:val="en-US" w:eastAsia="zh-CN"/>
        </w:rPr>
        <w:t>生产过程潜在的环境风险见下表。</w:t>
      </w:r>
    </w:p>
    <w:p>
      <w:pPr>
        <w:ind w:firstLine="0" w:firstLineChars="0"/>
        <w:jc w:val="center"/>
        <w:rPr>
          <w:rFonts w:eastAsiaTheme="minorEastAsia"/>
          <w:b/>
          <w:color w:val="000000" w:themeColor="text1"/>
          <w:sz w:val="21"/>
          <w:szCs w:val="21"/>
        </w:rPr>
      </w:pPr>
      <w:r>
        <w:rPr>
          <w:rFonts w:eastAsiaTheme="minorEastAsia"/>
          <w:b/>
          <w:color w:val="000000" w:themeColor="text1"/>
          <w:sz w:val="21"/>
          <w:szCs w:val="21"/>
        </w:rPr>
        <w:t>表6.4-6生产中潜在环境风险因素分析</w:t>
      </w:r>
    </w:p>
    <w:tbl>
      <w:tblPr>
        <w:tblStyle w:val="61"/>
        <w:tblW w:w="895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5"/>
        <w:gridCol w:w="1403"/>
        <w:gridCol w:w="3914"/>
        <w:gridCol w:w="1544"/>
        <w:gridCol w:w="15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blHeader/>
          <w:jc w:val="center"/>
        </w:trPr>
        <w:tc>
          <w:tcPr>
            <w:tcW w:w="535"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序号</w:t>
            </w:r>
          </w:p>
        </w:tc>
        <w:tc>
          <w:tcPr>
            <w:tcW w:w="1403"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风险类别</w:t>
            </w:r>
          </w:p>
        </w:tc>
        <w:tc>
          <w:tcPr>
            <w:tcW w:w="3914"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发生原因</w:t>
            </w:r>
          </w:p>
        </w:tc>
        <w:tc>
          <w:tcPr>
            <w:tcW w:w="1544"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环境风险源</w:t>
            </w:r>
          </w:p>
        </w:tc>
        <w:tc>
          <w:tcPr>
            <w:tcW w:w="1555"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概率与环境危害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45" w:hRule="atLeast"/>
          <w:jc w:val="center"/>
        </w:trPr>
        <w:tc>
          <w:tcPr>
            <w:tcW w:w="535"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1403"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废水事故排放</w:t>
            </w:r>
          </w:p>
        </w:tc>
        <w:tc>
          <w:tcPr>
            <w:tcW w:w="3914" w:type="dxa"/>
            <w:vAlign w:val="center"/>
          </w:tcPr>
          <w:p>
            <w:pPr>
              <w:adjustRightInd w:val="0"/>
              <w:snapToGrid w:val="0"/>
              <w:spacing w:line="240" w:lineRule="auto"/>
              <w:ind w:firstLine="0" w:firstLineChars="0"/>
              <w:rPr>
                <w:rFonts w:eastAsiaTheme="minorEastAsia"/>
                <w:color w:val="000000" w:themeColor="text1"/>
                <w:sz w:val="21"/>
                <w:szCs w:val="21"/>
              </w:rPr>
            </w:pPr>
            <w:r>
              <w:rPr>
                <w:rFonts w:hint="eastAsia" w:eastAsiaTheme="minorEastAsia"/>
                <w:color w:val="000000" w:themeColor="text1"/>
                <w:sz w:val="21"/>
                <w:szCs w:val="21"/>
              </w:rPr>
              <w:t>尾矿沉淀池</w:t>
            </w:r>
            <w:r>
              <w:rPr>
                <w:rFonts w:eastAsiaTheme="minorEastAsia"/>
                <w:color w:val="000000" w:themeColor="text1"/>
                <w:sz w:val="21"/>
                <w:szCs w:val="21"/>
              </w:rPr>
              <w:t>故障造成未经处理的工艺废水泄漏</w:t>
            </w:r>
          </w:p>
        </w:tc>
        <w:tc>
          <w:tcPr>
            <w:tcW w:w="1544"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尾矿浆沉淀池</w:t>
            </w:r>
          </w:p>
        </w:tc>
        <w:tc>
          <w:tcPr>
            <w:tcW w:w="1555"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发生概率较小，环境危害严重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3" w:hRule="atLeast"/>
          <w:jc w:val="center"/>
        </w:trPr>
        <w:tc>
          <w:tcPr>
            <w:tcW w:w="535"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1403"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生产设备设施泄漏</w:t>
            </w:r>
          </w:p>
        </w:tc>
        <w:tc>
          <w:tcPr>
            <w:tcW w:w="3914" w:type="dxa"/>
            <w:vAlign w:val="center"/>
          </w:tcPr>
          <w:p>
            <w:pPr>
              <w:adjustRightInd w:val="0"/>
              <w:snapToGrid w:val="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操作原因：违章操作、误操作</w:t>
            </w:r>
          </w:p>
          <w:p>
            <w:pPr>
              <w:adjustRightInd w:val="0"/>
              <w:snapToGrid w:val="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设备原因：设备损坏未及时维修，管道、阀门腐蚀损坏泄漏</w:t>
            </w:r>
          </w:p>
        </w:tc>
        <w:tc>
          <w:tcPr>
            <w:tcW w:w="1544" w:type="dxa"/>
            <w:vAlign w:val="center"/>
          </w:tcPr>
          <w:p>
            <w:pPr>
              <w:adjustRightInd w:val="0"/>
              <w:snapToGrid w:val="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尾矿输送系统</w:t>
            </w:r>
          </w:p>
        </w:tc>
        <w:tc>
          <w:tcPr>
            <w:tcW w:w="1555" w:type="dxa"/>
            <w:vAlign w:val="center"/>
          </w:tcPr>
          <w:p>
            <w:pPr>
              <w:adjustRightInd w:val="0"/>
              <w:snapToGrid w:val="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发生概率极小，环境危害严重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5" w:hRule="atLeast"/>
          <w:jc w:val="center"/>
        </w:trPr>
        <w:tc>
          <w:tcPr>
            <w:tcW w:w="535"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1403"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输送设施泄漏</w:t>
            </w:r>
          </w:p>
        </w:tc>
        <w:tc>
          <w:tcPr>
            <w:tcW w:w="3914" w:type="dxa"/>
            <w:vAlign w:val="center"/>
          </w:tcPr>
          <w:p>
            <w:pPr>
              <w:adjustRightInd w:val="0"/>
              <w:snapToGrid w:val="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误操作，违反操作规程，设施老化，质量问题等</w:t>
            </w:r>
          </w:p>
        </w:tc>
        <w:tc>
          <w:tcPr>
            <w:tcW w:w="1544" w:type="dxa"/>
            <w:vAlign w:val="center"/>
          </w:tcPr>
          <w:p>
            <w:pPr>
              <w:adjustRightInd w:val="0"/>
              <w:snapToGrid w:val="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输送管道及阀门、泵、储仓等设施</w:t>
            </w:r>
          </w:p>
        </w:tc>
        <w:tc>
          <w:tcPr>
            <w:tcW w:w="1555" w:type="dxa"/>
            <w:vAlign w:val="center"/>
          </w:tcPr>
          <w:p>
            <w:pPr>
              <w:adjustRightInd w:val="0"/>
              <w:snapToGrid w:val="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发生概率小，环境危害不大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5" w:hRule="atLeast"/>
          <w:jc w:val="center"/>
        </w:trPr>
        <w:tc>
          <w:tcPr>
            <w:tcW w:w="535"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w:t>
            </w:r>
          </w:p>
        </w:tc>
        <w:tc>
          <w:tcPr>
            <w:tcW w:w="1403"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火灾</w:t>
            </w:r>
          </w:p>
        </w:tc>
        <w:tc>
          <w:tcPr>
            <w:tcW w:w="3914" w:type="dxa"/>
            <w:vAlign w:val="center"/>
          </w:tcPr>
          <w:p>
            <w:pPr>
              <w:adjustRightInd w:val="0"/>
              <w:snapToGrid w:val="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违章操作、误操作</w:t>
            </w:r>
          </w:p>
        </w:tc>
        <w:tc>
          <w:tcPr>
            <w:tcW w:w="1544"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配电房</w:t>
            </w:r>
          </w:p>
        </w:tc>
        <w:tc>
          <w:tcPr>
            <w:tcW w:w="1555" w:type="dxa"/>
            <w:vAlign w:val="center"/>
          </w:tcPr>
          <w:p>
            <w:pPr>
              <w:adjustRightInd w:val="0"/>
              <w:snapToGrid w:val="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发生概率低，环境危害较大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5" w:hRule="atLeast"/>
          <w:jc w:val="center"/>
        </w:trPr>
        <w:tc>
          <w:tcPr>
            <w:tcW w:w="535"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5</w:t>
            </w:r>
          </w:p>
        </w:tc>
        <w:tc>
          <w:tcPr>
            <w:tcW w:w="1403"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color w:val="000000" w:themeColor="text1"/>
                <w:sz w:val="21"/>
                <w:szCs w:val="21"/>
              </w:rPr>
              <w:t>泄漏、火灾</w:t>
            </w:r>
          </w:p>
        </w:tc>
        <w:tc>
          <w:tcPr>
            <w:tcW w:w="3914" w:type="dxa"/>
            <w:vAlign w:val="center"/>
          </w:tcPr>
          <w:p>
            <w:pPr>
              <w:adjustRightInd w:val="0"/>
              <w:snapToGrid w:val="0"/>
              <w:spacing w:line="240" w:lineRule="auto"/>
              <w:ind w:firstLine="0" w:firstLineChars="0"/>
              <w:rPr>
                <w:rFonts w:eastAsiaTheme="minorEastAsia"/>
                <w:color w:val="000000" w:themeColor="text1"/>
                <w:sz w:val="21"/>
                <w:szCs w:val="21"/>
              </w:rPr>
            </w:pPr>
            <w:r>
              <w:rPr>
                <w:color w:val="000000" w:themeColor="text1"/>
                <w:sz w:val="21"/>
                <w:szCs w:val="21"/>
              </w:rPr>
              <w:t>1、操作人员违规操作，环保意识缺乏2、防渗、防漏措施不到位</w:t>
            </w:r>
          </w:p>
        </w:tc>
        <w:tc>
          <w:tcPr>
            <w:tcW w:w="1544" w:type="dxa"/>
            <w:vAlign w:val="center"/>
          </w:tcPr>
          <w:p>
            <w:pPr>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废机油</w:t>
            </w:r>
          </w:p>
        </w:tc>
        <w:tc>
          <w:tcPr>
            <w:tcW w:w="1555" w:type="dxa"/>
            <w:vAlign w:val="center"/>
          </w:tcPr>
          <w:p>
            <w:pPr>
              <w:adjustRightInd w:val="0"/>
              <w:snapToGrid w:val="0"/>
              <w:spacing w:line="240" w:lineRule="auto"/>
              <w:ind w:firstLine="0" w:firstLineChars="0"/>
              <w:rPr>
                <w:rFonts w:eastAsiaTheme="minorEastAsia"/>
                <w:color w:val="000000" w:themeColor="text1"/>
                <w:sz w:val="21"/>
                <w:szCs w:val="21"/>
              </w:rPr>
            </w:pPr>
            <w:r>
              <w:rPr>
                <w:rFonts w:eastAsiaTheme="minorEastAsia"/>
                <w:color w:val="000000" w:themeColor="text1"/>
                <w:sz w:val="21"/>
                <w:szCs w:val="21"/>
              </w:rPr>
              <w:t>发生概率低，</w:t>
            </w:r>
            <w:r>
              <w:rPr>
                <w:color w:val="000000" w:themeColor="text1"/>
                <w:sz w:val="21"/>
                <w:szCs w:val="21"/>
              </w:rPr>
              <w:t>污染地表水、地下水、土壤环境</w:t>
            </w:r>
          </w:p>
        </w:tc>
      </w:tr>
    </w:tbl>
    <w:p>
      <w:pPr>
        <w:pStyle w:val="624"/>
        <w:ind w:firstLine="480"/>
        <w:rPr>
          <w:rFonts w:eastAsiaTheme="minorEastAsia"/>
          <w:color w:val="000000" w:themeColor="text1"/>
          <w:sz w:val="24"/>
          <w:lang w:val="en-US" w:eastAsia="zh-CN"/>
        </w:rPr>
      </w:pPr>
    </w:p>
    <w:p>
      <w:pPr>
        <w:pStyle w:val="624"/>
        <w:ind w:firstLine="480"/>
        <w:rPr>
          <w:rFonts w:eastAsiaTheme="minorEastAsia"/>
          <w:color w:val="000000" w:themeColor="text1"/>
          <w:sz w:val="24"/>
          <w:lang w:eastAsia="zh-CN"/>
        </w:rPr>
      </w:pPr>
      <w:r>
        <w:rPr>
          <w:rFonts w:eastAsiaTheme="minorEastAsia"/>
          <w:color w:val="000000" w:themeColor="text1"/>
          <w:sz w:val="24"/>
          <w:lang w:val="en-US" w:eastAsia="zh-CN"/>
        </w:rPr>
        <w:t>2、</w:t>
      </w:r>
      <w:r>
        <w:rPr>
          <w:rFonts w:eastAsiaTheme="minorEastAsia"/>
          <w:color w:val="000000" w:themeColor="text1"/>
          <w:sz w:val="24"/>
          <w:lang w:eastAsia="zh-CN"/>
        </w:rPr>
        <w:t>公用工程</w:t>
      </w:r>
    </w:p>
    <w:p>
      <w:pPr>
        <w:pStyle w:val="624"/>
        <w:ind w:firstLine="480"/>
        <w:rPr>
          <w:rFonts w:eastAsiaTheme="minorEastAsia"/>
          <w:color w:val="000000" w:themeColor="text1"/>
          <w:sz w:val="24"/>
          <w:lang w:eastAsia="zh-CN"/>
        </w:rPr>
      </w:pPr>
      <w:r>
        <w:rPr>
          <w:rFonts w:eastAsiaTheme="minorEastAsia"/>
          <w:color w:val="000000" w:themeColor="text1"/>
          <w:sz w:val="24"/>
          <w:lang w:eastAsia="zh-CN"/>
        </w:rPr>
        <w:t>变配电系统的主要危险性是火灾、爆炸和电气伤害。</w:t>
      </w:r>
    </w:p>
    <w:p>
      <w:pPr>
        <w:pStyle w:val="624"/>
        <w:ind w:firstLine="480"/>
        <w:rPr>
          <w:rFonts w:eastAsiaTheme="minorEastAsia"/>
          <w:color w:val="000000" w:themeColor="text1"/>
          <w:sz w:val="24"/>
          <w:lang w:eastAsia="zh-CN"/>
        </w:rPr>
      </w:pPr>
      <w:r>
        <w:rPr>
          <w:rFonts w:eastAsiaTheme="minorEastAsia"/>
          <w:color w:val="000000" w:themeColor="text1"/>
          <w:sz w:val="24"/>
          <w:lang w:eastAsia="zh-CN"/>
        </w:rPr>
        <w:t>变压器、高、低压开关柜等配电装置，在严重过热和故障情况下，容易引起火灾。变压器内存有一定的变压器油。变压器油为可燃液体，受高温易分解，遇明火能燃烧。变、配电装置在运行中有时会出现短路、闪络或因内、外部故障产生高温，使变压器油迅速气化，使设备内部压力急剧升高，甚至造成外壳爆裂。</w:t>
      </w:r>
    </w:p>
    <w:p>
      <w:pPr>
        <w:pStyle w:val="624"/>
        <w:ind w:firstLine="480"/>
        <w:rPr>
          <w:rFonts w:eastAsiaTheme="minorEastAsia"/>
          <w:color w:val="000000" w:themeColor="text1"/>
          <w:sz w:val="24"/>
          <w:lang w:eastAsia="zh-CN"/>
        </w:rPr>
      </w:pPr>
      <w:r>
        <w:rPr>
          <w:rFonts w:eastAsiaTheme="minorEastAsia"/>
          <w:color w:val="000000" w:themeColor="text1"/>
          <w:sz w:val="24"/>
          <w:lang w:eastAsia="zh-CN"/>
        </w:rPr>
        <w:t>电缆火灾，因超负荷过热或短路引起电缆起火并蔓延。</w:t>
      </w:r>
    </w:p>
    <w:p>
      <w:pPr>
        <w:pStyle w:val="624"/>
        <w:ind w:firstLine="480"/>
        <w:rPr>
          <w:rFonts w:eastAsiaTheme="minorEastAsia"/>
          <w:color w:val="000000" w:themeColor="text1"/>
          <w:sz w:val="24"/>
          <w:lang w:eastAsia="zh-CN"/>
        </w:rPr>
      </w:pPr>
      <w:r>
        <w:rPr>
          <w:rFonts w:eastAsiaTheme="minorEastAsia"/>
          <w:color w:val="000000" w:themeColor="text1"/>
          <w:sz w:val="24"/>
          <w:lang w:eastAsia="zh-CN"/>
        </w:rPr>
        <w:t>企业用电设备较多，操作人员面较广，因电气线路或电气设备安装不当或保养不善等将引起电气设备各绝缘性能降低，有可能造成人身触电事故。特别在检修时，会因安全组织措施或安全技术措施不完备而造成触电事故。高压线断落地面可能造成跨步电压触电事故。</w:t>
      </w:r>
    </w:p>
    <w:p>
      <w:pPr>
        <w:pStyle w:val="624"/>
        <w:ind w:firstLine="480"/>
        <w:rPr>
          <w:rFonts w:eastAsiaTheme="minorEastAsia"/>
          <w:color w:val="000000" w:themeColor="text1"/>
          <w:sz w:val="24"/>
          <w:lang w:eastAsia="zh-CN"/>
        </w:rPr>
      </w:pPr>
      <w:r>
        <w:rPr>
          <w:rFonts w:eastAsiaTheme="minorEastAsia"/>
          <w:color w:val="000000" w:themeColor="text1"/>
          <w:sz w:val="24"/>
          <w:lang w:eastAsia="zh-CN"/>
        </w:rPr>
        <w:t>变配电系统防雷保护失效可能遭受雷击，继而引发火灾、爆炸、设备损坏、人员触电伤害等事故。</w:t>
      </w:r>
    </w:p>
    <w:p>
      <w:pPr>
        <w:pStyle w:val="624"/>
        <w:ind w:firstLine="480"/>
        <w:rPr>
          <w:rFonts w:eastAsiaTheme="minorEastAsia"/>
          <w:color w:val="000000" w:themeColor="text1"/>
          <w:sz w:val="24"/>
          <w:lang w:eastAsia="zh-CN"/>
        </w:rPr>
      </w:pPr>
      <w:r>
        <w:rPr>
          <w:rFonts w:eastAsiaTheme="minorEastAsia"/>
          <w:color w:val="000000" w:themeColor="text1"/>
          <w:sz w:val="24"/>
          <w:lang w:eastAsia="zh-CN"/>
        </w:rPr>
        <w:t>分析结果：变配电系统的主要危险性是火灾、爆炸和电气伤害。</w:t>
      </w:r>
    </w:p>
    <w:p>
      <w:pPr>
        <w:pStyle w:val="624"/>
        <w:ind w:firstLine="480"/>
        <w:rPr>
          <w:rFonts w:eastAsiaTheme="minorEastAsia"/>
          <w:color w:val="000000" w:themeColor="text1"/>
          <w:sz w:val="24"/>
          <w:lang w:eastAsia="zh-CN"/>
        </w:rPr>
      </w:pPr>
      <w:r>
        <w:rPr>
          <w:rFonts w:eastAsiaTheme="minorEastAsia"/>
          <w:color w:val="000000" w:themeColor="text1"/>
          <w:sz w:val="24"/>
          <w:lang w:val="en-US" w:eastAsia="zh-CN"/>
        </w:rPr>
        <w:t>3、</w:t>
      </w:r>
      <w:r>
        <w:rPr>
          <w:rFonts w:eastAsiaTheme="minorEastAsia"/>
          <w:color w:val="000000" w:themeColor="text1"/>
          <w:sz w:val="24"/>
          <w:lang w:eastAsia="zh-CN"/>
        </w:rPr>
        <w:t>环保设施风险</w:t>
      </w:r>
    </w:p>
    <w:p>
      <w:pPr>
        <w:pStyle w:val="624"/>
        <w:ind w:firstLine="480"/>
        <w:rPr>
          <w:rFonts w:eastAsiaTheme="minorEastAsia"/>
          <w:color w:val="000000" w:themeColor="text1"/>
          <w:sz w:val="24"/>
          <w:lang w:eastAsia="zh-CN"/>
        </w:rPr>
      </w:pPr>
      <w:r>
        <w:rPr>
          <w:rFonts w:eastAsiaTheme="minorEastAsia"/>
          <w:color w:val="000000" w:themeColor="text1"/>
          <w:sz w:val="24"/>
          <w:lang w:eastAsia="zh-CN"/>
        </w:rPr>
        <w:t>项目生产过程生产废水回水设施发生故障，</w:t>
      </w:r>
      <w:r>
        <w:rPr>
          <w:rFonts w:eastAsiaTheme="minorEastAsia"/>
          <w:color w:val="000000" w:themeColor="text1"/>
          <w:sz w:val="24"/>
          <w:lang w:val="en-US" w:eastAsia="zh-CN"/>
        </w:rPr>
        <w:t>选矿废水</w:t>
      </w:r>
      <w:r>
        <w:rPr>
          <w:rFonts w:eastAsiaTheme="minorEastAsia"/>
          <w:color w:val="000000" w:themeColor="text1"/>
          <w:sz w:val="24"/>
          <w:lang w:eastAsia="zh-CN"/>
        </w:rPr>
        <w:t>直接排入地表水中，将造成周围地表水污染。危废暂存间防渗、防漏措施不到位，废机油发生泄漏污染地下水或管理不当造成火灾。</w:t>
      </w:r>
    </w:p>
    <w:p>
      <w:pPr>
        <w:pStyle w:val="624"/>
        <w:ind w:firstLine="480"/>
        <w:rPr>
          <w:rFonts w:eastAsiaTheme="minorEastAsia"/>
          <w:color w:val="000000" w:themeColor="text1"/>
          <w:sz w:val="24"/>
          <w:lang w:eastAsia="zh-CN"/>
        </w:rPr>
      </w:pPr>
      <w:r>
        <w:rPr>
          <w:rFonts w:eastAsiaTheme="minorEastAsia"/>
          <w:color w:val="000000" w:themeColor="text1"/>
          <w:sz w:val="24"/>
          <w:lang w:val="en-US" w:eastAsia="zh-CN"/>
        </w:rPr>
        <w:t>4、</w:t>
      </w:r>
      <w:r>
        <w:rPr>
          <w:rFonts w:eastAsiaTheme="minorEastAsia"/>
          <w:color w:val="000000" w:themeColor="text1"/>
          <w:sz w:val="24"/>
          <w:lang w:eastAsia="zh-CN"/>
        </w:rPr>
        <w:t>风险识别结论</w:t>
      </w:r>
    </w:p>
    <w:p>
      <w:pPr>
        <w:pStyle w:val="624"/>
        <w:ind w:firstLine="480"/>
        <w:rPr>
          <w:rFonts w:eastAsiaTheme="minorEastAsia"/>
          <w:color w:val="000000" w:themeColor="text1"/>
          <w:sz w:val="24"/>
          <w:lang w:eastAsia="zh-CN"/>
        </w:rPr>
      </w:pPr>
      <w:r>
        <w:rPr>
          <w:rFonts w:eastAsiaTheme="minorEastAsia"/>
          <w:color w:val="000000" w:themeColor="text1"/>
          <w:sz w:val="24"/>
          <w:lang w:eastAsia="zh-CN"/>
        </w:rPr>
        <w:t>由此，本项目存在的环境风险有：</w:t>
      </w:r>
    </w:p>
    <w:p>
      <w:pPr>
        <w:pStyle w:val="624"/>
        <w:numPr>
          <w:ilvl w:val="0"/>
          <w:numId w:val="34"/>
        </w:numPr>
        <w:ind w:firstLine="480"/>
        <w:rPr>
          <w:rFonts w:eastAsiaTheme="minorEastAsia"/>
          <w:color w:val="000000" w:themeColor="text1"/>
          <w:sz w:val="24"/>
          <w:lang w:eastAsia="zh-CN"/>
        </w:rPr>
      </w:pPr>
      <w:r>
        <w:rPr>
          <w:rFonts w:eastAsiaTheme="minorEastAsia"/>
          <w:color w:val="000000" w:themeColor="text1"/>
          <w:sz w:val="24"/>
          <w:lang w:eastAsia="zh-CN"/>
        </w:rPr>
        <w:t>尾矿输送管道发生泄漏；</w:t>
      </w:r>
    </w:p>
    <w:p>
      <w:pPr>
        <w:pStyle w:val="624"/>
        <w:numPr>
          <w:ilvl w:val="0"/>
          <w:numId w:val="34"/>
        </w:numPr>
        <w:ind w:firstLine="480"/>
        <w:rPr>
          <w:rFonts w:eastAsiaTheme="minorEastAsia"/>
          <w:color w:val="000000" w:themeColor="text1"/>
          <w:sz w:val="24"/>
          <w:lang w:eastAsia="zh-CN"/>
        </w:rPr>
      </w:pPr>
      <w:r>
        <w:rPr>
          <w:rFonts w:eastAsiaTheme="minorEastAsia"/>
          <w:color w:val="000000" w:themeColor="text1"/>
          <w:sz w:val="24"/>
          <w:lang w:eastAsia="zh-CN"/>
        </w:rPr>
        <w:t>危废暂存间防渗、防漏措施不到位，废机油发生泄漏污染地下水或管理不当造成火灾；</w:t>
      </w:r>
    </w:p>
    <w:p>
      <w:pPr>
        <w:pStyle w:val="624"/>
        <w:numPr>
          <w:ilvl w:val="0"/>
          <w:numId w:val="34"/>
        </w:numPr>
        <w:ind w:firstLine="480"/>
        <w:rPr>
          <w:rFonts w:eastAsiaTheme="minorEastAsia"/>
          <w:color w:val="000000" w:themeColor="text1"/>
          <w:sz w:val="24"/>
          <w:lang w:eastAsia="zh-CN"/>
        </w:rPr>
      </w:pPr>
      <w:r>
        <w:rPr>
          <w:rFonts w:eastAsiaTheme="minorEastAsia"/>
          <w:color w:val="000000" w:themeColor="text1"/>
          <w:sz w:val="24"/>
          <w:lang w:eastAsia="zh-CN"/>
        </w:rPr>
        <w:t>废水处理装置发生故障、废水事故排放。</w:t>
      </w:r>
    </w:p>
    <w:p>
      <w:pPr>
        <w:pStyle w:val="6"/>
        <w:spacing w:beforeLines="0" w:afterLines="0"/>
        <w:rPr>
          <w:rFonts w:eastAsiaTheme="minorEastAsia"/>
          <w:color w:val="000000" w:themeColor="text1"/>
          <w:sz w:val="28"/>
          <w:szCs w:val="28"/>
        </w:rPr>
      </w:pPr>
      <w:bookmarkStart w:id="743" w:name="_Toc19029"/>
      <w:r>
        <w:rPr>
          <w:rFonts w:eastAsiaTheme="minorEastAsia"/>
          <w:color w:val="000000" w:themeColor="text1"/>
          <w:sz w:val="28"/>
          <w:szCs w:val="28"/>
        </w:rPr>
        <w:t>6.4.4重大危险源识别</w:t>
      </w:r>
      <w:bookmarkEnd w:id="743"/>
    </w:p>
    <w:p>
      <w:pPr>
        <w:widowControl/>
        <w:ind w:firstLine="480"/>
        <w:jc w:val="both"/>
        <w:rPr>
          <w:rFonts w:eastAsiaTheme="minorEastAsia"/>
          <w:color w:val="000000" w:themeColor="text1"/>
          <w:kern w:val="0"/>
          <w:szCs w:val="24"/>
        </w:rPr>
      </w:pPr>
      <w:r>
        <w:rPr>
          <w:rFonts w:eastAsiaTheme="minorEastAsia"/>
          <w:color w:val="000000" w:themeColor="text1"/>
          <w:kern w:val="0"/>
          <w:szCs w:val="24"/>
        </w:rPr>
        <w:t>从项目原料、半成品、产品分析可知，技改项目不使用药剂，无《危险化学品重大危险源辨识》（GB18218-2018）中规定的危险化学品。因此，该项目危险化学品不涉及重大危险源。</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6.4.4.1大气环境风险分析</w:t>
      </w:r>
    </w:p>
    <w:p>
      <w:pPr>
        <w:ind w:firstLine="480"/>
        <w:rPr>
          <w:rFonts w:eastAsiaTheme="minorEastAsia"/>
          <w:color w:val="000000" w:themeColor="text1"/>
        </w:rPr>
      </w:pPr>
      <w:r>
        <w:rPr>
          <w:rFonts w:eastAsiaTheme="minorEastAsia"/>
          <w:color w:val="000000" w:themeColor="text1"/>
          <w:szCs w:val="24"/>
        </w:rPr>
        <w:t>根据判定，本项目</w:t>
      </w:r>
      <w:r>
        <w:rPr>
          <w:rFonts w:hint="eastAsia" w:eastAsiaTheme="minorEastAsia"/>
          <w:color w:val="000000" w:themeColor="text1"/>
          <w:szCs w:val="24"/>
        </w:rPr>
        <w:t>产生的大气污染物主要为</w:t>
      </w:r>
      <w:r>
        <w:rPr>
          <w:rFonts w:eastAsiaTheme="minorEastAsia"/>
          <w:color w:val="000000" w:themeColor="text1"/>
          <w:szCs w:val="24"/>
        </w:rPr>
        <w:t>颗粒物。</w:t>
      </w:r>
      <w:r>
        <w:rPr>
          <w:rFonts w:eastAsiaTheme="minorEastAsia"/>
          <w:color w:val="000000" w:themeColor="text1"/>
        </w:rPr>
        <w:t>项目产生颗粒物过程主要为物料装卸、运输过程、破碎、筛分及制砂等工序，企业严格按照环评要求通过采取洒水降尘、集气罩加布袋除尘、产尘点密闭等措施</w:t>
      </w:r>
      <w:r>
        <w:rPr>
          <w:rFonts w:hint="eastAsia" w:eastAsiaTheme="minorEastAsia"/>
          <w:color w:val="000000" w:themeColor="text1"/>
        </w:rPr>
        <w:t>后</w:t>
      </w:r>
      <w:r>
        <w:rPr>
          <w:rFonts w:eastAsiaTheme="minorEastAsia"/>
          <w:color w:val="000000" w:themeColor="text1"/>
        </w:rPr>
        <w:t>对大气影响较小，大气环境风险较小。</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6.4.4.2地表水环境风险分析</w:t>
      </w:r>
    </w:p>
    <w:p>
      <w:pPr>
        <w:pStyle w:val="624"/>
        <w:ind w:firstLine="480"/>
        <w:rPr>
          <w:rFonts w:eastAsiaTheme="minorEastAsia"/>
          <w:color w:val="000000" w:themeColor="text1"/>
          <w:sz w:val="24"/>
          <w:lang w:eastAsia="zh-CN"/>
        </w:rPr>
      </w:pPr>
      <w:r>
        <w:rPr>
          <w:rFonts w:eastAsiaTheme="minorEastAsia"/>
          <w:color w:val="000000" w:themeColor="text1"/>
          <w:sz w:val="24"/>
          <w:lang w:eastAsia="zh-CN"/>
        </w:rPr>
        <w:t>根据判定，本项目地表水环境风险评价等级为三级，根据导则规定，三级评价可不做预测。本项目涉及地表水环境风险</w:t>
      </w:r>
      <w:r>
        <w:rPr>
          <w:rFonts w:hint="eastAsia" w:eastAsiaTheme="minorEastAsia"/>
          <w:color w:val="000000" w:themeColor="text1"/>
          <w:sz w:val="24"/>
          <w:lang w:eastAsia="zh-CN"/>
        </w:rPr>
        <w:t>的装置</w:t>
      </w:r>
      <w:r>
        <w:rPr>
          <w:rFonts w:eastAsiaTheme="minorEastAsia"/>
          <w:color w:val="000000" w:themeColor="text1"/>
          <w:sz w:val="24"/>
          <w:lang w:eastAsia="zh-CN"/>
        </w:rPr>
        <w:t>主要为生产废水</w:t>
      </w:r>
      <w:r>
        <w:rPr>
          <w:rStyle w:val="73"/>
          <w:rFonts w:hint="eastAsia"/>
          <w:color w:val="000000" w:themeColor="text1"/>
          <w:sz w:val="24"/>
          <w:szCs w:val="24"/>
          <w:lang w:val="en-US" w:eastAsia="zh-CN" w:bidi="ar-SA"/>
        </w:rPr>
        <w:t>处理及</w:t>
      </w:r>
      <w:r>
        <w:rPr>
          <w:rFonts w:eastAsiaTheme="minorEastAsia"/>
          <w:color w:val="000000" w:themeColor="text1"/>
          <w:sz w:val="24"/>
          <w:lang w:eastAsia="zh-CN"/>
        </w:rPr>
        <w:t>回水设施故障，导致废水外排污染周边地表水。</w:t>
      </w:r>
    </w:p>
    <w:p>
      <w:pPr>
        <w:pStyle w:val="624"/>
        <w:ind w:firstLine="480"/>
        <w:rPr>
          <w:rFonts w:eastAsiaTheme="minorEastAsia"/>
          <w:color w:val="000000" w:themeColor="text1"/>
          <w:sz w:val="24"/>
          <w:lang w:val="en-US" w:eastAsia="zh-CN"/>
        </w:rPr>
      </w:pPr>
      <w:r>
        <w:rPr>
          <w:rFonts w:eastAsiaTheme="minorEastAsia"/>
          <w:color w:val="000000" w:themeColor="text1"/>
          <w:sz w:val="24"/>
          <w:lang w:eastAsia="zh-CN"/>
        </w:rPr>
        <w:t>生产废水事故排放，会对项目周边</w:t>
      </w:r>
      <w:r>
        <w:rPr>
          <w:rFonts w:eastAsiaTheme="minorEastAsia"/>
          <w:color w:val="000000" w:themeColor="text1"/>
          <w:sz w:val="24"/>
          <w:lang w:val="en-US" w:eastAsia="zh-CN"/>
        </w:rPr>
        <w:t>困龙</w:t>
      </w:r>
      <w:r>
        <w:rPr>
          <w:rFonts w:eastAsiaTheme="minorEastAsia"/>
          <w:color w:val="000000" w:themeColor="text1"/>
          <w:sz w:val="24"/>
          <w:lang w:eastAsia="zh-CN"/>
        </w:rPr>
        <w:t>河地表水造成一定的环境污染，项目在</w:t>
      </w:r>
      <w:r>
        <w:rPr>
          <w:rFonts w:eastAsiaTheme="minorEastAsia"/>
          <w:color w:val="000000" w:themeColor="text1"/>
          <w:sz w:val="24"/>
          <w:lang w:val="en-US" w:eastAsia="zh-CN"/>
        </w:rPr>
        <w:t>尾矿浆沉淀池旁</w:t>
      </w:r>
      <w:r>
        <w:rPr>
          <w:rFonts w:eastAsiaTheme="minorEastAsia"/>
          <w:color w:val="000000" w:themeColor="text1"/>
          <w:sz w:val="24"/>
          <w:lang w:eastAsia="zh-CN"/>
        </w:rPr>
        <w:t>设置事故池，保障收集事故下的排水，根据企业的应急预案，在30min能够完成对事故的处理处置。通过调查国内同类型企业的事故，尾矿水的事故排放会对下游水体造成一定范围的影响，但周边居民不从</w:t>
      </w:r>
      <w:r>
        <w:rPr>
          <w:rFonts w:eastAsiaTheme="minorEastAsia"/>
          <w:color w:val="000000" w:themeColor="text1"/>
          <w:sz w:val="24"/>
          <w:lang w:val="en-US" w:eastAsia="zh-CN"/>
        </w:rPr>
        <w:t>困龙</w:t>
      </w:r>
      <w:r>
        <w:rPr>
          <w:rFonts w:eastAsiaTheme="minorEastAsia"/>
          <w:color w:val="000000" w:themeColor="text1"/>
          <w:sz w:val="24"/>
          <w:lang w:eastAsia="zh-CN"/>
        </w:rPr>
        <w:t>河中取水饮用，故尾矿水潜在环境风险属于可接受水平。</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6.4.4.3地下水环境风险分析</w:t>
      </w:r>
    </w:p>
    <w:p>
      <w:pPr>
        <w:pStyle w:val="624"/>
        <w:ind w:firstLine="480"/>
        <w:jc w:val="both"/>
        <w:rPr>
          <w:rFonts w:eastAsiaTheme="minorEastAsia"/>
          <w:color w:val="000000" w:themeColor="text1"/>
          <w:sz w:val="24"/>
          <w:lang w:eastAsia="zh-CN"/>
        </w:rPr>
      </w:pPr>
      <w:r>
        <w:rPr>
          <w:rFonts w:eastAsiaTheme="minorEastAsia"/>
          <w:color w:val="000000" w:themeColor="text1"/>
          <w:sz w:val="24"/>
          <w:lang w:eastAsia="zh-CN"/>
        </w:rPr>
        <w:t>根据判定，本项目地下水环境风险评价等级为三级，进行定性分析，现针对项目废水回水池防渗层破裂、废机油泄漏等对地下水环境影响进行分析。</w:t>
      </w:r>
    </w:p>
    <w:p>
      <w:pPr>
        <w:pStyle w:val="624"/>
        <w:ind w:firstLine="480"/>
        <w:jc w:val="both"/>
        <w:rPr>
          <w:rFonts w:eastAsiaTheme="minorEastAsia"/>
          <w:color w:val="000000" w:themeColor="text1"/>
          <w:sz w:val="24"/>
          <w:lang w:eastAsia="zh-CN"/>
        </w:rPr>
      </w:pPr>
      <w:r>
        <w:rPr>
          <w:rFonts w:hint="eastAsia" w:eastAsiaTheme="minorEastAsia"/>
          <w:color w:val="000000" w:themeColor="text1"/>
          <w:sz w:val="24"/>
          <w:lang w:eastAsia="zh-CN"/>
        </w:rPr>
        <w:t>废机油</w:t>
      </w:r>
      <w:r>
        <w:rPr>
          <w:rFonts w:eastAsiaTheme="minorEastAsia"/>
          <w:color w:val="000000" w:themeColor="text1"/>
          <w:sz w:val="24"/>
          <w:lang w:eastAsia="zh-CN"/>
        </w:rPr>
        <w:t>的泄漏或渗漏会造成地下水、地表水的污染，地下水一旦遭到机油的污染，将使地下水产生严重异味，渗漏必然穿过较厚的土层，使土壤层中吸附有大量的机油，土壤层吸附的机油不仅会造成植物生物的死亡，而且土壤层吸附的机油还会随着地表水的下渗对土壤层的冲刷补充到地下水。一旦进入地表河流，将造成地表河流的污染，首先将造成地表河流的景观破坏，产生严重的刺鼻性气味；其次造成水中溶解氧浓度降低，逐渐形成死水，致使水中生物死亡。</w:t>
      </w:r>
    </w:p>
    <w:p>
      <w:pPr>
        <w:pStyle w:val="624"/>
        <w:ind w:firstLine="480"/>
        <w:jc w:val="both"/>
        <w:rPr>
          <w:rFonts w:eastAsiaTheme="minorEastAsia"/>
          <w:color w:val="000000" w:themeColor="text1"/>
          <w:sz w:val="24"/>
          <w:lang w:eastAsia="zh-CN"/>
        </w:rPr>
      </w:pPr>
      <w:r>
        <w:rPr>
          <w:rFonts w:eastAsiaTheme="minorEastAsia"/>
          <w:color w:val="000000" w:themeColor="text1"/>
          <w:sz w:val="24"/>
          <w:lang w:eastAsia="zh-CN"/>
        </w:rPr>
        <w:t>机油几乎为有机化合物，其闪点低，燃点也低，极易燃烧，其中完全燃烧时产生二氧化碳，不完全燃烧时产生CO。CO对人的主要危害就是引起组织缺氧，导致急性或者慢性中毒甚至有死亡的威胁，此外，还可能造成听力与视力的损害，CO2对环境影响主要为温室效应。</w:t>
      </w:r>
    </w:p>
    <w:p>
      <w:pPr>
        <w:pStyle w:val="624"/>
        <w:ind w:firstLine="480"/>
        <w:jc w:val="both"/>
        <w:rPr>
          <w:rFonts w:eastAsiaTheme="minorEastAsia"/>
          <w:color w:val="000000" w:themeColor="text1"/>
          <w:sz w:val="24"/>
          <w:lang w:eastAsia="zh-CN"/>
        </w:rPr>
      </w:pPr>
      <w:r>
        <w:rPr>
          <w:rFonts w:eastAsiaTheme="minorEastAsia"/>
          <w:color w:val="000000" w:themeColor="text1"/>
          <w:sz w:val="24"/>
          <w:lang w:eastAsia="zh-CN"/>
        </w:rPr>
        <w:t>本项目</w:t>
      </w:r>
      <w:r>
        <w:rPr>
          <w:rFonts w:hint="eastAsia" w:eastAsiaTheme="minorEastAsia"/>
          <w:color w:val="000000" w:themeColor="text1"/>
          <w:sz w:val="24"/>
          <w:lang w:eastAsia="zh-CN"/>
        </w:rPr>
        <w:t>废机油</w:t>
      </w:r>
      <w:r>
        <w:rPr>
          <w:rFonts w:eastAsiaTheme="minorEastAsia"/>
          <w:color w:val="000000" w:themeColor="text1"/>
          <w:sz w:val="24"/>
          <w:lang w:eastAsia="zh-CN"/>
        </w:rPr>
        <w:t>最大存在量仅为0.</w:t>
      </w:r>
      <w:r>
        <w:rPr>
          <w:rFonts w:eastAsiaTheme="minorEastAsia"/>
          <w:color w:val="000000" w:themeColor="text1"/>
          <w:sz w:val="24"/>
          <w:lang w:val="en-US" w:eastAsia="zh-CN"/>
        </w:rPr>
        <w:t>2</w:t>
      </w:r>
      <w:r>
        <w:rPr>
          <w:rFonts w:eastAsiaTheme="minorEastAsia"/>
          <w:color w:val="000000" w:themeColor="text1"/>
          <w:sz w:val="24"/>
          <w:lang w:eastAsia="zh-CN"/>
        </w:rPr>
        <w:t>t，出现火灾、爆炸事故概率极小，排放CO、CO</w:t>
      </w:r>
      <w:r>
        <w:rPr>
          <w:rFonts w:eastAsiaTheme="minorEastAsia"/>
          <w:color w:val="000000" w:themeColor="text1"/>
          <w:sz w:val="24"/>
          <w:vertAlign w:val="subscript"/>
          <w:lang w:eastAsia="zh-CN"/>
        </w:rPr>
        <w:t>2</w:t>
      </w:r>
      <w:r>
        <w:rPr>
          <w:rFonts w:eastAsiaTheme="minorEastAsia"/>
          <w:color w:val="000000" w:themeColor="text1"/>
          <w:sz w:val="24"/>
          <w:lang w:eastAsia="zh-CN"/>
        </w:rPr>
        <w:t>经大气稀释、扩散后对周边大气环境影响不大。危废暂存间地面进行硬化，并按危险废物暂存技术要求进行防渗，渗漏风险较小。</w:t>
      </w:r>
    </w:p>
    <w:p>
      <w:pPr>
        <w:pStyle w:val="624"/>
        <w:ind w:firstLine="480"/>
        <w:jc w:val="both"/>
        <w:rPr>
          <w:rFonts w:eastAsiaTheme="minorEastAsia"/>
          <w:color w:val="000000" w:themeColor="text1"/>
          <w:sz w:val="24"/>
          <w:lang w:eastAsia="zh-CN"/>
        </w:rPr>
      </w:pPr>
      <w:r>
        <w:rPr>
          <w:rFonts w:eastAsiaTheme="minorEastAsia"/>
          <w:color w:val="000000" w:themeColor="text1"/>
          <w:sz w:val="24"/>
          <w:lang w:eastAsia="zh-CN"/>
        </w:rPr>
        <w:t>根据现场调查，距离项目最近的</w:t>
      </w:r>
      <w:r>
        <w:rPr>
          <w:rFonts w:eastAsiaTheme="minorEastAsia"/>
          <w:color w:val="000000" w:themeColor="text1"/>
          <w:sz w:val="24"/>
          <w:lang w:val="en-US" w:eastAsia="zh-CN"/>
        </w:rPr>
        <w:t>四坡斗村饮水来源为城镇自来水，不饮用地下水</w:t>
      </w:r>
      <w:r>
        <w:rPr>
          <w:rFonts w:eastAsiaTheme="minorEastAsia"/>
          <w:color w:val="000000" w:themeColor="text1"/>
          <w:sz w:val="24"/>
          <w:lang w:eastAsia="zh-CN"/>
        </w:rPr>
        <w:t>。因此本项目的建设对周围村庄的饮用水影响不大。</w:t>
      </w:r>
    </w:p>
    <w:p>
      <w:pPr>
        <w:pStyle w:val="6"/>
        <w:spacing w:beforeLines="0" w:afterLines="0"/>
        <w:rPr>
          <w:rFonts w:eastAsiaTheme="minorEastAsia"/>
          <w:color w:val="000000" w:themeColor="text1"/>
          <w:sz w:val="28"/>
          <w:szCs w:val="28"/>
        </w:rPr>
      </w:pPr>
      <w:bookmarkStart w:id="744" w:name="_Toc23913"/>
      <w:r>
        <w:rPr>
          <w:rFonts w:eastAsiaTheme="minorEastAsia"/>
          <w:color w:val="000000" w:themeColor="text1"/>
          <w:sz w:val="28"/>
          <w:szCs w:val="28"/>
        </w:rPr>
        <w:t>6.4.5环境风险防范措施及应急要求</w:t>
      </w:r>
      <w:bookmarkEnd w:id="744"/>
    </w:p>
    <w:p>
      <w:pPr>
        <w:pStyle w:val="624"/>
        <w:ind w:firstLine="480"/>
        <w:rPr>
          <w:rFonts w:eastAsiaTheme="minorEastAsia"/>
          <w:color w:val="000000" w:themeColor="text1"/>
          <w:sz w:val="24"/>
          <w:lang w:val="en-US" w:eastAsia="zh-CN"/>
        </w:rPr>
      </w:pPr>
      <w:r>
        <w:rPr>
          <w:rFonts w:eastAsiaTheme="minorEastAsia"/>
          <w:color w:val="000000" w:themeColor="text1"/>
          <w:sz w:val="24"/>
          <w:lang w:val="en-US" w:eastAsia="zh-CN"/>
        </w:rPr>
        <w:t>根据建设项目环境风险分析的结果，对建设项目进行风险管理，采取有关的风险防范措施以降低事故的发生概率，建立事故应急预案以减轻事故的危害后果，尽最大可能地降低项目的环境风险。</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6.4.5.1风险防范措施</w:t>
      </w:r>
    </w:p>
    <w:p>
      <w:pPr>
        <w:adjustRightInd w:val="0"/>
        <w:snapToGrid w:val="0"/>
        <w:ind w:firstLine="480"/>
        <w:rPr>
          <w:rFonts w:eastAsiaTheme="minorEastAsia"/>
          <w:color w:val="000000" w:themeColor="text1"/>
        </w:rPr>
      </w:pPr>
      <w:r>
        <w:rPr>
          <w:rFonts w:eastAsiaTheme="minorEastAsia"/>
          <w:color w:val="000000" w:themeColor="text1"/>
        </w:rPr>
        <w:t>风险事故产生后对环境危害严重，因此在环境风险评价中，事故防范措施极其重要，为减轻事故危害后果、频率和影响，进一步降低风险水平，应加强风险防范措施。</w:t>
      </w:r>
      <w:r>
        <w:rPr>
          <w:rFonts w:hint="eastAsia" w:eastAsiaTheme="minorEastAsia"/>
          <w:color w:val="000000" w:themeColor="text1"/>
        </w:rPr>
        <w:t>项目地下水及土壤已采取措施及需要完善措施见表6.2-41和6.2-42，其余风险防范措施具体要求见下所述：</w:t>
      </w:r>
    </w:p>
    <w:p>
      <w:pPr>
        <w:adjustRightInd w:val="0"/>
        <w:ind w:firstLine="480"/>
        <w:jc w:val="both"/>
        <w:rPr>
          <w:color w:val="000000" w:themeColor="text1"/>
        </w:rPr>
      </w:pPr>
      <w:r>
        <w:rPr>
          <w:rFonts w:eastAsiaTheme="minorEastAsia"/>
          <w:color w:val="000000" w:themeColor="text1"/>
        </w:rPr>
        <w:t>1、</w:t>
      </w:r>
      <w:r>
        <w:rPr>
          <w:rFonts w:hint="eastAsia" w:eastAsiaTheme="minorEastAsia"/>
          <w:color w:val="000000" w:themeColor="text1"/>
        </w:rPr>
        <w:t>废机油</w:t>
      </w:r>
      <w:r>
        <w:rPr>
          <w:color w:val="000000" w:themeColor="text1"/>
        </w:rPr>
        <w:t>在储存过程中，根据《危险废物贮存污染控制标准》（GB18597-2001）</w:t>
      </w:r>
      <w:r>
        <w:rPr>
          <w:rFonts w:hint="eastAsia"/>
          <w:color w:val="000000" w:themeColor="text1"/>
        </w:rPr>
        <w:t>及其修改单（环境保护部公告2013年第36号）（2013年修订）</w:t>
      </w:r>
      <w:r>
        <w:rPr>
          <w:color w:val="000000" w:themeColor="text1"/>
        </w:rPr>
        <w:t>中的相关内容，工程采取以下措施：</w:t>
      </w:r>
    </w:p>
    <w:p>
      <w:pPr>
        <w:adjustRightInd w:val="0"/>
        <w:ind w:firstLine="480"/>
        <w:jc w:val="both"/>
        <w:rPr>
          <w:color w:val="000000" w:themeColor="text1"/>
        </w:rPr>
      </w:pPr>
      <w:r>
        <w:rPr>
          <w:color w:val="000000" w:themeColor="text1"/>
        </w:rPr>
        <w:t>（1）按照危险废物贮存污染控制指标要求，各种危险废物采用专用的容器存放，收集后置于危废间内，防止风吹雨淋和日晒。危废间设立危险废物警示标志，由专人进行管理，严格落实危险固废转移台账管理，做到每一笔危险固废的去向都有台账记录，包括厂区内部的和行政管理部门的。</w:t>
      </w:r>
    </w:p>
    <w:p>
      <w:pPr>
        <w:adjustRightInd w:val="0"/>
        <w:ind w:firstLine="480"/>
        <w:jc w:val="both"/>
        <w:rPr>
          <w:color w:val="000000" w:themeColor="text1"/>
        </w:rPr>
      </w:pPr>
      <w:r>
        <w:rPr>
          <w:color w:val="000000" w:themeColor="text1"/>
        </w:rPr>
        <w:t>（2）危险废物暂存场所设置堵截泄漏的裙脚，地面进行防渗处理，危废暂存场所危废暂存间地面做防渗，防渗层为至少1m厚粘土层（渗透系数≤10</w:t>
      </w:r>
      <w:r>
        <w:rPr>
          <w:color w:val="000000" w:themeColor="text1"/>
          <w:vertAlign w:val="superscript"/>
        </w:rPr>
        <w:t>-7</w:t>
      </w:r>
      <w:r>
        <w:rPr>
          <w:color w:val="000000" w:themeColor="text1"/>
        </w:rPr>
        <w:t>cm/s），或2mm厚高密度聚乙烯，或至少2mm厚的其它人工材料，渗透系数≤10</w:t>
      </w:r>
      <w:r>
        <w:rPr>
          <w:color w:val="000000" w:themeColor="text1"/>
          <w:vertAlign w:val="superscript"/>
        </w:rPr>
        <w:t>-10</w:t>
      </w:r>
      <w:r>
        <w:rPr>
          <w:color w:val="000000" w:themeColor="text1"/>
        </w:rPr>
        <w:t>cm/s。</w:t>
      </w:r>
    </w:p>
    <w:p>
      <w:pPr>
        <w:adjustRightInd w:val="0"/>
        <w:ind w:firstLine="480"/>
        <w:jc w:val="both"/>
        <w:rPr>
          <w:color w:val="000000" w:themeColor="text1"/>
        </w:rPr>
      </w:pPr>
      <w:r>
        <w:rPr>
          <w:color w:val="000000" w:themeColor="text1"/>
        </w:rPr>
        <w:t>（3）对装有危废的容器进行定期检查，容器泄漏损坏时必须立即处理，并将危废装入完好容器内。同时危险废物储存区设置警示标牌。</w:t>
      </w:r>
    </w:p>
    <w:p>
      <w:pPr>
        <w:adjustRightInd w:val="0"/>
        <w:ind w:firstLine="480"/>
        <w:jc w:val="both"/>
        <w:rPr>
          <w:rFonts w:eastAsiaTheme="minorEastAsia"/>
          <w:color w:val="000000" w:themeColor="text1"/>
        </w:rPr>
      </w:pPr>
      <w:r>
        <w:rPr>
          <w:color w:val="000000" w:themeColor="text1"/>
        </w:rPr>
        <w:t>（4）所有包装袋、桶必须贴上危险废物标签，危险废物标签上文字字体为黑体、底色为醒目的桔黄色，稳妥贴附在包装袋、桶适当位置，使其清晰易读。危险废物标签要提供下列说明：“危险废物”字样、危险废物产生单位名称、联系人、联系电话、主要化学成分或商品名称、危险类别、安全措施等。</w:t>
      </w:r>
    </w:p>
    <w:p>
      <w:pPr>
        <w:ind w:firstLine="480"/>
        <w:rPr>
          <w:rFonts w:eastAsiaTheme="minorEastAsia"/>
          <w:color w:val="000000" w:themeColor="text1"/>
        </w:rPr>
      </w:pPr>
      <w:r>
        <w:rPr>
          <w:rFonts w:eastAsiaTheme="minorEastAsia"/>
          <w:color w:val="000000" w:themeColor="text1"/>
        </w:rPr>
        <w:t>2、定期检查</w:t>
      </w:r>
      <w:r>
        <w:rPr>
          <w:rFonts w:eastAsiaTheme="minorEastAsia"/>
          <w:color w:val="000000" w:themeColor="text1"/>
          <w:szCs w:val="24"/>
        </w:rPr>
        <w:t>水处理构筑物、</w:t>
      </w:r>
      <w:r>
        <w:rPr>
          <w:rStyle w:val="73"/>
          <w:rFonts w:hint="eastAsia"/>
          <w:color w:val="000000" w:themeColor="text1"/>
          <w:kern w:val="0"/>
          <w:sz w:val="24"/>
          <w:szCs w:val="24"/>
        </w:rPr>
        <w:t>尾矿及废水输送管线</w:t>
      </w:r>
      <w:r>
        <w:rPr>
          <w:rFonts w:eastAsiaTheme="minorEastAsia"/>
          <w:color w:val="000000" w:themeColor="text1"/>
          <w:szCs w:val="24"/>
        </w:rPr>
        <w:t>、</w:t>
      </w:r>
      <w:r>
        <w:rPr>
          <w:rFonts w:eastAsiaTheme="minorEastAsia"/>
          <w:color w:val="000000" w:themeColor="text1"/>
        </w:rPr>
        <w:t>回水设施等，主要检查构筑物有无变形、移位、损毁、淤堵，排水能力是否满足要求等，如发生上述情况应组织人员立即修复。</w:t>
      </w:r>
    </w:p>
    <w:p>
      <w:pPr>
        <w:ind w:firstLine="480"/>
        <w:rPr>
          <w:rFonts w:eastAsiaTheme="minorEastAsia"/>
          <w:color w:val="000000" w:themeColor="text1"/>
        </w:rPr>
      </w:pPr>
      <w:r>
        <w:rPr>
          <w:rFonts w:eastAsiaTheme="minorEastAsia"/>
          <w:color w:val="000000" w:themeColor="text1"/>
        </w:rPr>
        <w:t>3、定期检查尾矿库坝体位移、裂缝、滑坡：坝体出现滑坡时，应查明滑坡位置、范围和形态以及滑坡的动态趋势；坝体出现裂缝时，应查明裂缝的长度、宽度、深度、走向、形态和成因，判定危害程度；要求坝的位移量变化应均衡，无突变现象，且应逐年减小。当位移量变化出现突变或有增大趋势时，应查明原因，妥善处理。</w:t>
      </w:r>
    </w:p>
    <w:p>
      <w:pPr>
        <w:ind w:firstLine="480"/>
        <w:rPr>
          <w:rFonts w:eastAsiaTheme="minorEastAsia"/>
          <w:color w:val="000000" w:themeColor="text1"/>
        </w:rPr>
      </w:pPr>
      <w:r>
        <w:rPr>
          <w:rFonts w:eastAsiaTheme="minorEastAsia"/>
          <w:color w:val="000000" w:themeColor="text1"/>
        </w:rPr>
        <w:t>4、明确防汛安全生产责任制，建立值班、巡查等各项制度；尾矿库设专人小组负责管理，在久雨、暴雨季节，加强巡查，严防坝体渗漏污染和溢坝溃坝事故发生。</w:t>
      </w:r>
    </w:p>
    <w:p>
      <w:pPr>
        <w:ind w:firstLine="480"/>
        <w:rPr>
          <w:rFonts w:eastAsiaTheme="minorEastAsia"/>
          <w:color w:val="000000" w:themeColor="text1"/>
        </w:rPr>
      </w:pPr>
      <w:r>
        <w:rPr>
          <w:rFonts w:eastAsiaTheme="minorEastAsia"/>
          <w:color w:val="000000" w:themeColor="text1"/>
        </w:rPr>
        <w:t>5、在该项目发生环境风险事故时，应及时通知当地生态环境主管部门。在企业应急预案处理过程中应及时与当地应急预案联动，告知周边企业及敏感点人群，防止二次污染，降低环境风险带来的危害，同时立即当地应急监测预案。</w:t>
      </w:r>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eastAsiaTheme="minorEastAsia"/>
          <w:b/>
          <w:color w:val="000000" w:themeColor="text1"/>
          <w:kern w:val="0"/>
          <w:szCs w:val="24"/>
        </w:rPr>
        <w:t>6.4.5.2事故应急预案</w:t>
      </w:r>
    </w:p>
    <w:p>
      <w:pPr>
        <w:pStyle w:val="51"/>
        <w:ind w:left="0" w:firstLine="480"/>
        <w:rPr>
          <w:color w:val="000000" w:themeColor="text1"/>
          <w:sz w:val="24"/>
          <w:szCs w:val="24"/>
          <w:lang w:eastAsia="zh-CN"/>
        </w:rPr>
      </w:pPr>
      <w:r>
        <w:rPr>
          <w:color w:val="000000" w:themeColor="text1"/>
          <w:sz w:val="24"/>
          <w:szCs w:val="24"/>
          <w:lang w:eastAsia="zh-CN"/>
        </w:rPr>
        <w:t>对生产运行中事故隐患和后果的认识，评价要求通过安全措施的配备和落实，最大可能地降低事故风险性，建设单位必须完全落实和完善事故预防措施，以及确定详尽的事故应急预案。按照国家安全生产监督管理总局（安监总厅应急〔2011〕113号文）、企业事业单位突发环境事件应急预案备案管理办法（试行）环发〔2015〕4号以及《建设项目环境保护事中事后监督管理办法（试行）》(环发〔2015〕163号)要求编制环境风险应急预案。</w:t>
      </w:r>
    </w:p>
    <w:p>
      <w:pPr>
        <w:pStyle w:val="51"/>
        <w:ind w:left="0" w:firstLine="480"/>
        <w:rPr>
          <w:color w:val="000000" w:themeColor="text1"/>
          <w:sz w:val="24"/>
          <w:szCs w:val="24"/>
          <w:lang w:eastAsia="zh-CN"/>
        </w:rPr>
      </w:pPr>
      <w:r>
        <w:rPr>
          <w:color w:val="000000" w:themeColor="text1"/>
          <w:sz w:val="24"/>
          <w:szCs w:val="24"/>
          <w:lang w:eastAsia="zh-CN"/>
        </w:rPr>
        <w:t>1.应急预案的目的</w:t>
      </w:r>
    </w:p>
    <w:p>
      <w:pPr>
        <w:pStyle w:val="51"/>
        <w:ind w:left="0" w:firstLine="480"/>
        <w:rPr>
          <w:color w:val="000000" w:themeColor="text1"/>
          <w:sz w:val="24"/>
          <w:szCs w:val="24"/>
          <w:lang w:eastAsia="zh-CN"/>
        </w:rPr>
      </w:pPr>
      <w:r>
        <w:rPr>
          <w:color w:val="000000" w:themeColor="text1"/>
          <w:sz w:val="24"/>
          <w:szCs w:val="24"/>
          <w:lang w:eastAsia="zh-CN"/>
        </w:rPr>
        <w:t>制定风险事故应急预案的目的是为了在发生风险事故时，能以最快的速度发挥最大的效能，有序的实施救援，尽快控制事态的发展，降低事故造成的危害，减少事故造成的损失。</w:t>
      </w:r>
    </w:p>
    <w:p>
      <w:pPr>
        <w:pStyle w:val="51"/>
        <w:ind w:left="0" w:firstLine="480"/>
        <w:rPr>
          <w:color w:val="000000" w:themeColor="text1"/>
          <w:sz w:val="24"/>
          <w:szCs w:val="24"/>
          <w:lang w:eastAsia="zh-CN"/>
        </w:rPr>
      </w:pPr>
      <w:r>
        <w:rPr>
          <w:color w:val="000000" w:themeColor="text1"/>
          <w:sz w:val="24"/>
          <w:szCs w:val="24"/>
          <w:lang w:eastAsia="zh-CN"/>
        </w:rPr>
        <w:t>2.应急预案的基本要求</w:t>
      </w:r>
    </w:p>
    <w:p>
      <w:pPr>
        <w:pStyle w:val="51"/>
        <w:ind w:left="0" w:firstLine="480"/>
        <w:rPr>
          <w:color w:val="000000" w:themeColor="text1"/>
          <w:sz w:val="24"/>
          <w:szCs w:val="24"/>
          <w:lang w:eastAsia="zh-CN"/>
        </w:rPr>
      </w:pPr>
      <w:r>
        <w:rPr>
          <w:color w:val="000000" w:themeColor="text1"/>
          <w:sz w:val="24"/>
          <w:szCs w:val="24"/>
          <w:lang w:eastAsia="zh-CN"/>
        </w:rPr>
        <w:t>风险事故应急预案的基本要求包括：科学性、实用性和权威性。风险事故的应急救援工作是一项科学性很强的工作，必须开展科学分析和论证，制定严密、统一、完整的应急预案；应急预案应符合项目的客观情况，具有实用、简单、易掌握等特性，便于实施；对事故处置过程中职责、权限、任务、工作标准、奖励与处罚等做出明确规定，使之成为企业的一项制度，确保其权威性。</w:t>
      </w:r>
    </w:p>
    <w:p>
      <w:pPr>
        <w:pStyle w:val="51"/>
        <w:ind w:left="0" w:firstLine="480"/>
        <w:rPr>
          <w:color w:val="000000" w:themeColor="text1"/>
          <w:sz w:val="24"/>
          <w:szCs w:val="24"/>
          <w:lang w:eastAsia="zh-CN"/>
        </w:rPr>
      </w:pPr>
      <w:r>
        <w:rPr>
          <w:color w:val="000000" w:themeColor="text1"/>
          <w:sz w:val="24"/>
          <w:szCs w:val="24"/>
          <w:lang w:eastAsia="zh-CN"/>
        </w:rPr>
        <w:t>为加强环境管理，防止突发性污染事故的发生，建设单位须制定完善的应急预案。预案可按照以下形式：</w:t>
      </w:r>
    </w:p>
    <w:p>
      <w:pPr>
        <w:pStyle w:val="51"/>
        <w:ind w:left="0" w:firstLine="480"/>
        <w:rPr>
          <w:color w:val="000000" w:themeColor="text1"/>
          <w:sz w:val="24"/>
          <w:szCs w:val="24"/>
          <w:lang w:eastAsia="zh-CN"/>
        </w:rPr>
      </w:pPr>
      <w:bookmarkStart w:id="745" w:name="_Toc485489004"/>
      <w:bookmarkStart w:id="746" w:name="_Toc482356258"/>
      <w:bookmarkStart w:id="747" w:name="_Toc456147081"/>
      <w:bookmarkStart w:id="748" w:name="_Toc447198998"/>
      <w:bookmarkStart w:id="749" w:name="_Toc457845607"/>
      <w:bookmarkStart w:id="750" w:name="_Toc458247695"/>
      <w:bookmarkStart w:id="751" w:name="_Toc486273711"/>
      <w:r>
        <w:rPr>
          <w:color w:val="000000" w:themeColor="text1"/>
          <w:sz w:val="24"/>
          <w:szCs w:val="24"/>
          <w:lang w:eastAsia="zh-CN"/>
        </w:rPr>
        <w:t>（1）指挥机构和职责</w:t>
      </w:r>
      <w:bookmarkEnd w:id="745"/>
      <w:bookmarkEnd w:id="746"/>
      <w:bookmarkEnd w:id="747"/>
      <w:bookmarkEnd w:id="748"/>
      <w:bookmarkEnd w:id="749"/>
      <w:bookmarkEnd w:id="750"/>
      <w:bookmarkEnd w:id="751"/>
    </w:p>
    <w:p>
      <w:pPr>
        <w:pStyle w:val="51"/>
        <w:ind w:left="0" w:firstLine="480"/>
        <w:rPr>
          <w:color w:val="000000" w:themeColor="text1"/>
          <w:sz w:val="24"/>
          <w:szCs w:val="24"/>
          <w:lang w:eastAsia="zh-CN"/>
        </w:rPr>
      </w:pPr>
      <w:r>
        <w:rPr>
          <w:color w:val="000000" w:themeColor="text1"/>
          <w:sz w:val="24"/>
          <w:szCs w:val="24"/>
          <w:lang w:eastAsia="zh-CN"/>
        </w:rPr>
        <w:t>公司应成立环境突发事件应急救援指挥领导小组，由总经理或相关人员担任组长，分管副总经理或者其它人员及综合管理部等成员担任成员，下设应急救援办公室，日常工作由安全环保部负责。</w:t>
      </w:r>
    </w:p>
    <w:p>
      <w:pPr>
        <w:pStyle w:val="51"/>
        <w:ind w:left="0" w:firstLine="480"/>
        <w:rPr>
          <w:color w:val="000000" w:themeColor="text1"/>
          <w:sz w:val="24"/>
          <w:szCs w:val="24"/>
          <w:lang w:eastAsia="zh-CN"/>
        </w:rPr>
      </w:pPr>
      <w:r>
        <w:rPr>
          <w:color w:val="000000" w:themeColor="text1"/>
          <w:sz w:val="24"/>
          <w:szCs w:val="24"/>
          <w:lang w:eastAsia="zh-CN"/>
        </w:rPr>
        <w:t>领导小组人员分工：</w:t>
      </w:r>
    </w:p>
    <w:p>
      <w:pPr>
        <w:pStyle w:val="51"/>
        <w:ind w:left="0" w:firstLine="480"/>
        <w:rPr>
          <w:color w:val="000000" w:themeColor="text1"/>
          <w:sz w:val="24"/>
          <w:szCs w:val="24"/>
          <w:lang w:eastAsia="zh-CN"/>
        </w:rPr>
      </w:pPr>
      <w:r>
        <w:rPr>
          <w:color w:val="000000" w:themeColor="text1"/>
          <w:sz w:val="24"/>
          <w:szCs w:val="24"/>
          <w:lang w:eastAsia="zh-CN"/>
        </w:rPr>
        <w:t>总指挥（组长）：负责组织应急救援全面指挥工作；</w:t>
      </w:r>
    </w:p>
    <w:p>
      <w:pPr>
        <w:pStyle w:val="51"/>
        <w:ind w:left="0" w:firstLine="480"/>
        <w:rPr>
          <w:color w:val="000000" w:themeColor="text1"/>
          <w:sz w:val="24"/>
          <w:szCs w:val="24"/>
          <w:lang w:eastAsia="zh-CN"/>
        </w:rPr>
      </w:pPr>
      <w:r>
        <w:rPr>
          <w:color w:val="000000" w:themeColor="text1"/>
          <w:sz w:val="24"/>
          <w:szCs w:val="24"/>
          <w:lang w:eastAsia="zh-CN"/>
        </w:rPr>
        <w:t>副总指挥（副组长）：协助总指挥负责应急救援的具体指挥工作。</w:t>
      </w:r>
    </w:p>
    <w:p>
      <w:pPr>
        <w:ind w:firstLine="480"/>
        <w:rPr>
          <w:rFonts w:eastAsiaTheme="minorEastAsia"/>
          <w:color w:val="000000" w:themeColor="text1"/>
        </w:rPr>
      </w:pPr>
      <w:r>
        <w:rPr>
          <w:rFonts w:eastAsiaTheme="minorEastAsia"/>
          <w:color w:val="000000" w:themeColor="text1"/>
          <w:szCs w:val="24"/>
        </w:rPr>
        <w:t>综合管理部负责人（主要成员）：协助总指挥（副总指挥）指挥好事故报警、</w:t>
      </w:r>
      <w:r>
        <w:rPr>
          <w:rFonts w:eastAsiaTheme="minorEastAsia"/>
          <w:color w:val="000000" w:themeColor="text1"/>
        </w:rPr>
        <w:t>警戒、治安保卫、疏散、道路管制、情况通报及事故处置工作，同时负责工程抢险、抢修工作的现场指挥。</w:t>
      </w:r>
    </w:p>
    <w:p>
      <w:pPr>
        <w:ind w:firstLine="480"/>
        <w:rPr>
          <w:rFonts w:eastAsiaTheme="minorEastAsia"/>
          <w:color w:val="000000" w:themeColor="text1"/>
        </w:rPr>
      </w:pPr>
      <w:r>
        <w:rPr>
          <w:rFonts w:eastAsiaTheme="minorEastAsia"/>
          <w:color w:val="000000" w:themeColor="text1"/>
        </w:rPr>
        <w:t>公司负责人（主要成员）：负责救援有关必需品等救援物资的供应工作。</w:t>
      </w:r>
    </w:p>
    <w:p>
      <w:pPr>
        <w:ind w:firstLine="480"/>
        <w:rPr>
          <w:rFonts w:eastAsiaTheme="minorEastAsia"/>
          <w:color w:val="000000" w:themeColor="text1"/>
        </w:rPr>
      </w:pPr>
      <w:r>
        <w:rPr>
          <w:rFonts w:eastAsiaTheme="minorEastAsia"/>
          <w:color w:val="000000" w:themeColor="text1"/>
        </w:rPr>
        <w:t>财务部负责人（主要成员）：负责事故救援所需资金的落实。</w:t>
      </w:r>
    </w:p>
    <w:p>
      <w:pPr>
        <w:ind w:firstLine="480"/>
        <w:rPr>
          <w:rFonts w:eastAsiaTheme="minorEastAsia"/>
          <w:color w:val="000000" w:themeColor="text1"/>
        </w:rPr>
      </w:pPr>
      <w:r>
        <w:rPr>
          <w:rFonts w:eastAsiaTheme="minorEastAsia"/>
          <w:color w:val="000000" w:themeColor="text1"/>
        </w:rPr>
        <w:t>同时公司应成立生产车间应急领导小组，其职责是：</w:t>
      </w:r>
    </w:p>
    <w:p>
      <w:pPr>
        <w:ind w:firstLine="480"/>
        <w:rPr>
          <w:rFonts w:eastAsiaTheme="minorEastAsia"/>
          <w:color w:val="000000" w:themeColor="text1"/>
        </w:rPr>
      </w:pPr>
      <w:r>
        <w:rPr>
          <w:rFonts w:eastAsiaTheme="minorEastAsia"/>
          <w:color w:val="000000" w:themeColor="text1"/>
        </w:rPr>
        <w:t>①协助应急救援人员对事故现场的应急处理；</w:t>
      </w:r>
    </w:p>
    <w:p>
      <w:pPr>
        <w:ind w:firstLine="480"/>
        <w:rPr>
          <w:rFonts w:eastAsiaTheme="minorEastAsia"/>
          <w:color w:val="000000" w:themeColor="text1"/>
        </w:rPr>
      </w:pPr>
      <w:r>
        <w:rPr>
          <w:rFonts w:eastAsiaTheme="minorEastAsia"/>
          <w:color w:val="000000" w:themeColor="text1"/>
        </w:rPr>
        <w:t>②对本车间防护、消防器材、急救物资的检查与维护，防止因无用或失效等原因酿成以外。</w:t>
      </w:r>
    </w:p>
    <w:p>
      <w:pPr>
        <w:ind w:firstLine="480"/>
        <w:rPr>
          <w:rFonts w:eastAsiaTheme="minorEastAsia"/>
          <w:color w:val="000000" w:themeColor="text1"/>
        </w:rPr>
      </w:pPr>
      <w:r>
        <w:rPr>
          <w:rFonts w:eastAsiaTheme="minorEastAsia"/>
          <w:color w:val="000000" w:themeColor="text1"/>
        </w:rPr>
        <w:t>③熟悉工艺流程和设备、危险物品的性能，掌握应急处理方法。</w:t>
      </w:r>
    </w:p>
    <w:p>
      <w:pPr>
        <w:ind w:firstLine="480"/>
        <w:rPr>
          <w:rFonts w:eastAsiaTheme="minorEastAsia"/>
          <w:color w:val="000000" w:themeColor="text1"/>
        </w:rPr>
      </w:pPr>
      <w:bookmarkStart w:id="752" w:name="_Toc447198999"/>
      <w:bookmarkStart w:id="753" w:name="_Toc457845608"/>
      <w:bookmarkStart w:id="754" w:name="_Toc482356259"/>
      <w:bookmarkStart w:id="755" w:name="_Toc486273712"/>
      <w:bookmarkStart w:id="756" w:name="_Toc458247696"/>
      <w:bookmarkStart w:id="757" w:name="_Toc456147082"/>
      <w:bookmarkStart w:id="758" w:name="_Toc485489005"/>
      <w:r>
        <w:rPr>
          <w:rFonts w:eastAsiaTheme="minorEastAsia"/>
          <w:color w:val="000000" w:themeColor="text1"/>
        </w:rPr>
        <w:t>（2）环境事件分级</w:t>
      </w:r>
      <w:bookmarkEnd w:id="752"/>
      <w:bookmarkEnd w:id="753"/>
      <w:bookmarkEnd w:id="754"/>
      <w:bookmarkEnd w:id="755"/>
      <w:bookmarkEnd w:id="756"/>
      <w:bookmarkEnd w:id="757"/>
      <w:bookmarkEnd w:id="758"/>
    </w:p>
    <w:p>
      <w:pPr>
        <w:ind w:firstLine="480"/>
        <w:rPr>
          <w:rFonts w:eastAsiaTheme="minorEastAsia"/>
          <w:color w:val="000000" w:themeColor="text1"/>
        </w:rPr>
      </w:pPr>
      <w:r>
        <w:rPr>
          <w:rFonts w:eastAsiaTheme="minorEastAsia"/>
          <w:color w:val="000000" w:themeColor="text1"/>
        </w:rPr>
        <w:t>根据可能的事故后果的影响范围、地点及应急方式，公司紧急事故分为如下四个级别：</w:t>
      </w:r>
    </w:p>
    <w:p>
      <w:pPr>
        <w:ind w:firstLine="480"/>
        <w:rPr>
          <w:rFonts w:eastAsiaTheme="minorEastAsia"/>
          <w:color w:val="000000" w:themeColor="text1"/>
        </w:rPr>
      </w:pPr>
      <w:r>
        <w:rPr>
          <w:rFonts w:eastAsiaTheme="minorEastAsia"/>
          <w:color w:val="000000" w:themeColor="text1"/>
        </w:rPr>
        <w:t>Ⅰ级（装置级）紧急事故</w:t>
      </w:r>
    </w:p>
    <w:p>
      <w:pPr>
        <w:ind w:firstLine="480"/>
        <w:rPr>
          <w:rFonts w:eastAsiaTheme="minorEastAsia"/>
          <w:color w:val="000000" w:themeColor="text1"/>
        </w:rPr>
      </w:pPr>
      <w:r>
        <w:rPr>
          <w:rFonts w:eastAsiaTheme="minorEastAsia"/>
          <w:color w:val="000000" w:themeColor="text1"/>
        </w:rPr>
        <w:t>此类事故的影响局限在公司内部一个装置的界区之内，并且可被现场的操作者遏制和控制在该区域内。这可能需要投入整个公司的力量来控制，但其影响不会扩大到社区。</w:t>
      </w:r>
    </w:p>
    <w:p>
      <w:pPr>
        <w:ind w:firstLine="480"/>
        <w:rPr>
          <w:rFonts w:eastAsiaTheme="minorEastAsia"/>
          <w:color w:val="000000" w:themeColor="text1"/>
        </w:rPr>
      </w:pPr>
      <w:r>
        <w:rPr>
          <w:rFonts w:eastAsiaTheme="minorEastAsia"/>
          <w:color w:val="000000" w:themeColor="text1"/>
        </w:rPr>
        <w:t>Ⅱ级（公司级）紧急事故</w:t>
      </w:r>
    </w:p>
    <w:p>
      <w:pPr>
        <w:ind w:firstLine="480"/>
        <w:rPr>
          <w:rFonts w:eastAsiaTheme="minorEastAsia"/>
          <w:color w:val="000000" w:themeColor="text1"/>
        </w:rPr>
      </w:pPr>
      <w:r>
        <w:rPr>
          <w:rFonts w:eastAsiaTheme="minorEastAsia"/>
          <w:color w:val="000000" w:themeColor="text1"/>
        </w:rPr>
        <w:t>此类事故的影响可波及公司内部其他装置或公用设施、但不会对公司区域以外的社区造成影响，并且能被公司的力量所控制。</w:t>
      </w:r>
    </w:p>
    <w:p>
      <w:pPr>
        <w:ind w:firstLine="480"/>
        <w:rPr>
          <w:rFonts w:eastAsiaTheme="minorEastAsia"/>
          <w:color w:val="000000" w:themeColor="text1"/>
        </w:rPr>
      </w:pPr>
      <w:r>
        <w:rPr>
          <w:rFonts w:eastAsiaTheme="minorEastAsia"/>
          <w:color w:val="000000" w:themeColor="text1"/>
        </w:rPr>
        <w:t>Ⅲ级（社区级）紧急事故</w:t>
      </w:r>
    </w:p>
    <w:p>
      <w:pPr>
        <w:ind w:firstLine="480"/>
        <w:rPr>
          <w:rFonts w:eastAsiaTheme="minorEastAsia"/>
          <w:color w:val="000000" w:themeColor="text1"/>
        </w:rPr>
      </w:pPr>
      <w:r>
        <w:rPr>
          <w:rFonts w:eastAsiaTheme="minorEastAsia"/>
          <w:color w:val="000000" w:themeColor="text1"/>
        </w:rPr>
        <w:t>此类事故所能造成的影响可波及附近的社会区域，但能被外部所在区域控制。</w:t>
      </w:r>
    </w:p>
    <w:p>
      <w:pPr>
        <w:ind w:firstLine="480"/>
        <w:rPr>
          <w:rFonts w:eastAsiaTheme="minorEastAsia"/>
          <w:color w:val="000000" w:themeColor="text1"/>
        </w:rPr>
      </w:pPr>
      <w:r>
        <w:rPr>
          <w:rFonts w:eastAsiaTheme="minorEastAsia"/>
          <w:color w:val="000000" w:themeColor="text1"/>
        </w:rPr>
        <w:t>Ⅳ级（地区/市级紧急事故）</w:t>
      </w:r>
    </w:p>
    <w:p>
      <w:pPr>
        <w:ind w:firstLine="480"/>
        <w:rPr>
          <w:rFonts w:eastAsiaTheme="minorEastAsia"/>
          <w:color w:val="000000" w:themeColor="text1"/>
        </w:rPr>
      </w:pPr>
      <w:r>
        <w:rPr>
          <w:rFonts w:eastAsiaTheme="minorEastAsia"/>
          <w:color w:val="000000" w:themeColor="text1"/>
        </w:rPr>
        <w:t>此类事故影响范围大，后果严重、事故很难控制、后果难以预料，需要动用地区或市级力量。</w:t>
      </w:r>
    </w:p>
    <w:p>
      <w:pPr>
        <w:ind w:firstLine="480"/>
        <w:rPr>
          <w:rFonts w:eastAsiaTheme="minorEastAsia"/>
          <w:color w:val="000000" w:themeColor="text1"/>
        </w:rPr>
      </w:pPr>
      <w:r>
        <w:rPr>
          <w:rFonts w:eastAsiaTheme="minorEastAsia"/>
          <w:color w:val="000000" w:themeColor="text1"/>
        </w:rPr>
        <w:t>根据生产工艺及原辅料性质，可能发生Ⅰ级（装置级）和Ⅱ级（公司级）紧急事故，影响范围局限于公司内部；一旦发生较为严重的危险固废的泄漏，并导致严重的火灾事故，对周边环境、财产、人身安全造成影响，事故将扩大为Ⅲ级（社区、地方）。</w:t>
      </w:r>
    </w:p>
    <w:p>
      <w:pPr>
        <w:pStyle w:val="51"/>
        <w:ind w:left="0" w:firstLine="480"/>
        <w:rPr>
          <w:color w:val="000000" w:themeColor="text1"/>
          <w:sz w:val="24"/>
          <w:szCs w:val="24"/>
          <w:lang w:eastAsia="zh-CN"/>
        </w:rPr>
      </w:pPr>
      <w:r>
        <w:rPr>
          <w:color w:val="000000" w:themeColor="text1"/>
          <w:sz w:val="24"/>
          <w:szCs w:val="24"/>
          <w:lang w:eastAsia="zh-CN"/>
        </w:rPr>
        <w:t>紧急事故</w:t>
      </w:r>
      <w:r>
        <w:rPr>
          <w:rFonts w:hint="eastAsia"/>
          <w:color w:val="000000" w:themeColor="text1"/>
          <w:sz w:val="24"/>
          <w:szCs w:val="24"/>
          <w:lang w:eastAsia="zh-CN"/>
        </w:rPr>
        <w:t>：</w:t>
      </w:r>
      <w:r>
        <w:rPr>
          <w:color w:val="000000" w:themeColor="text1"/>
          <w:sz w:val="24"/>
          <w:szCs w:val="24"/>
          <w:lang w:eastAsia="zh-CN"/>
        </w:rPr>
        <w:t>当发生废水泄漏严重、控制不当并且导致大面积水体污染，事故将扩大为Ⅳ级（地区/市级）紧急事故。</w:t>
      </w:r>
    </w:p>
    <w:p>
      <w:pPr>
        <w:pStyle w:val="51"/>
        <w:ind w:left="0" w:firstLine="480"/>
        <w:rPr>
          <w:color w:val="000000" w:themeColor="text1"/>
          <w:sz w:val="24"/>
          <w:szCs w:val="24"/>
          <w:lang w:eastAsia="zh-CN"/>
        </w:rPr>
      </w:pPr>
      <w:bookmarkStart w:id="759" w:name="_Toc485489006"/>
      <w:bookmarkStart w:id="760" w:name="_Toc486273713"/>
      <w:bookmarkStart w:id="761" w:name="_Toc447199000"/>
      <w:bookmarkStart w:id="762" w:name="_Toc456147083"/>
      <w:bookmarkStart w:id="763" w:name="_Toc482356260"/>
      <w:bookmarkStart w:id="764" w:name="_Toc458247697"/>
      <w:bookmarkStart w:id="765" w:name="_Toc457845609"/>
      <w:r>
        <w:rPr>
          <w:color w:val="000000" w:themeColor="text1"/>
          <w:sz w:val="24"/>
          <w:szCs w:val="24"/>
          <w:lang w:eastAsia="zh-CN"/>
        </w:rPr>
        <w:t>（3）应急响应</w:t>
      </w:r>
      <w:bookmarkEnd w:id="759"/>
      <w:bookmarkEnd w:id="760"/>
      <w:bookmarkEnd w:id="761"/>
      <w:bookmarkEnd w:id="762"/>
      <w:bookmarkEnd w:id="763"/>
      <w:bookmarkEnd w:id="764"/>
      <w:bookmarkEnd w:id="765"/>
    </w:p>
    <w:p>
      <w:pPr>
        <w:pStyle w:val="51"/>
        <w:ind w:left="0" w:firstLine="480"/>
        <w:rPr>
          <w:color w:val="000000" w:themeColor="text1"/>
          <w:sz w:val="24"/>
          <w:szCs w:val="24"/>
          <w:lang w:eastAsia="zh-CN"/>
        </w:rPr>
      </w:pPr>
      <w:r>
        <w:rPr>
          <w:color w:val="000000" w:themeColor="text1"/>
          <w:sz w:val="24"/>
          <w:szCs w:val="24"/>
          <w:lang w:eastAsia="zh-CN"/>
        </w:rPr>
        <w:t>①事故汇报</w:t>
      </w:r>
    </w:p>
    <w:p>
      <w:pPr>
        <w:pStyle w:val="51"/>
        <w:ind w:left="0" w:firstLine="480"/>
        <w:rPr>
          <w:color w:val="000000" w:themeColor="text1"/>
          <w:sz w:val="24"/>
          <w:szCs w:val="24"/>
          <w:lang w:eastAsia="zh-CN"/>
        </w:rPr>
      </w:pPr>
      <w:r>
        <w:rPr>
          <w:color w:val="000000" w:themeColor="text1"/>
          <w:sz w:val="24"/>
          <w:szCs w:val="24"/>
          <w:lang w:eastAsia="zh-CN"/>
        </w:rPr>
        <w:t>事故发生后，事故当事人或发现人，应立即向班长和车间（装置）管理人员报告，由班长和有关管理人员向有关部门报告。</w:t>
      </w:r>
    </w:p>
    <w:p>
      <w:pPr>
        <w:pStyle w:val="51"/>
        <w:ind w:left="0" w:firstLine="480"/>
        <w:rPr>
          <w:color w:val="000000" w:themeColor="text1"/>
          <w:sz w:val="24"/>
          <w:szCs w:val="24"/>
          <w:lang w:eastAsia="zh-CN"/>
        </w:rPr>
      </w:pPr>
      <w:r>
        <w:rPr>
          <w:color w:val="000000" w:themeColor="text1"/>
          <w:sz w:val="24"/>
          <w:szCs w:val="24"/>
          <w:lang w:eastAsia="zh-CN"/>
        </w:rPr>
        <w:t>公司主管领导接到上报事故汇报后，应立即向新平县政府汇报，并报告玉溪市生态环境局新平分局。</w:t>
      </w:r>
    </w:p>
    <w:p>
      <w:pPr>
        <w:pStyle w:val="51"/>
        <w:ind w:left="0" w:firstLine="480"/>
        <w:rPr>
          <w:color w:val="000000" w:themeColor="text1"/>
          <w:sz w:val="24"/>
          <w:szCs w:val="24"/>
          <w:lang w:eastAsia="zh-CN"/>
        </w:rPr>
      </w:pPr>
      <w:r>
        <w:rPr>
          <w:color w:val="000000" w:themeColor="text1"/>
          <w:sz w:val="24"/>
          <w:szCs w:val="24"/>
          <w:lang w:eastAsia="zh-CN"/>
        </w:rPr>
        <w:t>②现场处理</w:t>
      </w:r>
    </w:p>
    <w:p>
      <w:pPr>
        <w:pStyle w:val="51"/>
        <w:ind w:left="0" w:firstLine="480"/>
        <w:rPr>
          <w:color w:val="000000" w:themeColor="text1"/>
          <w:sz w:val="24"/>
          <w:szCs w:val="24"/>
          <w:lang w:eastAsia="zh-CN"/>
        </w:rPr>
      </w:pPr>
      <w:r>
        <w:rPr>
          <w:color w:val="000000" w:themeColor="text1"/>
          <w:sz w:val="24"/>
          <w:szCs w:val="24"/>
          <w:lang w:eastAsia="zh-CN"/>
        </w:rPr>
        <w:t>发生事故后，当班班长和车间管理人员应立即组织抢救，并通知相关人员。必要时停止一切生产，防止事故蔓延扩大，尽一切可能减少损失。</w:t>
      </w:r>
    </w:p>
    <w:p>
      <w:pPr>
        <w:pStyle w:val="51"/>
        <w:ind w:left="0" w:firstLine="480"/>
        <w:rPr>
          <w:color w:val="000000" w:themeColor="text1"/>
          <w:sz w:val="24"/>
          <w:szCs w:val="24"/>
          <w:lang w:eastAsia="zh-CN"/>
        </w:rPr>
      </w:pPr>
      <w:r>
        <w:rPr>
          <w:color w:val="000000" w:themeColor="text1"/>
          <w:sz w:val="24"/>
          <w:szCs w:val="24"/>
          <w:lang w:eastAsia="zh-CN"/>
        </w:rPr>
        <w:t>在现场的最高管理人员为事故的现场总指挥直至被上级或消防部门接管，现场总指挥负责根据事故现场的具体情况决定：紧急救护、切断物料、装置停车、请求外部援助、与外界保持联系、疏散撤离现场人员、实行局部交通管制、保护事故现场等。</w:t>
      </w:r>
    </w:p>
    <w:p>
      <w:pPr>
        <w:pStyle w:val="51"/>
        <w:ind w:left="0" w:firstLine="480"/>
        <w:rPr>
          <w:color w:val="000000" w:themeColor="text1"/>
          <w:sz w:val="24"/>
          <w:szCs w:val="24"/>
          <w:lang w:eastAsia="zh-CN"/>
        </w:rPr>
      </w:pPr>
      <w:r>
        <w:rPr>
          <w:color w:val="000000" w:themeColor="text1"/>
          <w:sz w:val="24"/>
          <w:szCs w:val="24"/>
          <w:lang w:eastAsia="zh-CN"/>
        </w:rPr>
        <w:t>所有人员都应无条件听从现场总指挥的指挥安排。</w:t>
      </w:r>
    </w:p>
    <w:p>
      <w:pPr>
        <w:pStyle w:val="51"/>
        <w:ind w:left="0" w:firstLine="480"/>
        <w:rPr>
          <w:color w:val="000000" w:themeColor="text1"/>
          <w:sz w:val="24"/>
          <w:szCs w:val="24"/>
          <w:lang w:eastAsia="zh-CN"/>
        </w:rPr>
      </w:pPr>
      <w:bookmarkStart w:id="766" w:name="_Toc457845610"/>
      <w:bookmarkStart w:id="767" w:name="_Toc482356261"/>
      <w:bookmarkStart w:id="768" w:name="_Toc486273714"/>
      <w:bookmarkStart w:id="769" w:name="_Toc485489007"/>
      <w:bookmarkStart w:id="770" w:name="_Toc456147084"/>
      <w:bookmarkStart w:id="771" w:name="_Toc447199001"/>
      <w:bookmarkStart w:id="772" w:name="_Toc458247698"/>
      <w:r>
        <w:rPr>
          <w:color w:val="000000" w:themeColor="text1"/>
          <w:sz w:val="24"/>
          <w:szCs w:val="24"/>
          <w:lang w:eastAsia="zh-CN"/>
        </w:rPr>
        <w:t>（4）应急演练</w:t>
      </w:r>
      <w:bookmarkEnd w:id="766"/>
      <w:bookmarkEnd w:id="767"/>
      <w:bookmarkEnd w:id="768"/>
      <w:bookmarkEnd w:id="769"/>
      <w:bookmarkEnd w:id="770"/>
      <w:bookmarkEnd w:id="771"/>
      <w:bookmarkEnd w:id="772"/>
    </w:p>
    <w:p>
      <w:pPr>
        <w:pStyle w:val="51"/>
        <w:ind w:left="0" w:firstLine="480"/>
        <w:rPr>
          <w:color w:val="000000" w:themeColor="text1"/>
          <w:sz w:val="24"/>
          <w:szCs w:val="24"/>
          <w:lang w:eastAsia="zh-CN"/>
        </w:rPr>
      </w:pPr>
      <w:r>
        <w:rPr>
          <w:color w:val="000000" w:themeColor="text1"/>
          <w:sz w:val="24"/>
          <w:szCs w:val="24"/>
          <w:lang w:eastAsia="zh-CN"/>
        </w:rPr>
        <w:t>公司建成后应立即建立有完善的管理制度，内容涵盖生产、供应、销售、安全、环保各方面，通过完善的制度保障应急救援行动的有效启动和实施。</w:t>
      </w:r>
    </w:p>
    <w:p>
      <w:pPr>
        <w:pStyle w:val="51"/>
        <w:widowControl w:val="0"/>
        <w:ind w:left="0" w:firstLine="480"/>
        <w:rPr>
          <w:color w:val="000000" w:themeColor="text1"/>
          <w:sz w:val="24"/>
          <w:szCs w:val="24"/>
          <w:lang w:eastAsia="zh-CN"/>
        </w:rPr>
      </w:pPr>
      <w:r>
        <w:rPr>
          <w:color w:val="000000" w:themeColor="text1"/>
          <w:sz w:val="24"/>
          <w:szCs w:val="24"/>
          <w:lang w:eastAsia="zh-CN"/>
        </w:rPr>
        <w:t>公司应切实落实环境风险应急预案要求，定期（至少每年一次）组织、安排开展环境应急演练，用以检验应急救援方案、锻炼队伍。日常工作中，建立24小时值班制度，定期召开工作会议，及时掌握安全生产和应急救援情况，研究、布置下阶段任务。</w:t>
      </w:r>
    </w:p>
    <w:p>
      <w:pPr>
        <w:pStyle w:val="51"/>
        <w:ind w:left="0" w:firstLine="480"/>
        <w:rPr>
          <w:color w:val="000000" w:themeColor="text1"/>
          <w:sz w:val="24"/>
          <w:szCs w:val="24"/>
          <w:lang w:eastAsia="zh-CN"/>
        </w:rPr>
      </w:pPr>
      <w:r>
        <w:rPr>
          <w:color w:val="000000" w:themeColor="text1"/>
          <w:sz w:val="24"/>
          <w:szCs w:val="24"/>
          <w:lang w:eastAsia="zh-CN"/>
        </w:rPr>
        <w:t>3.应急组织机构设置及职责</w:t>
      </w:r>
    </w:p>
    <w:p>
      <w:pPr>
        <w:pStyle w:val="51"/>
        <w:ind w:left="0" w:firstLine="480"/>
        <w:rPr>
          <w:color w:val="000000" w:themeColor="text1"/>
          <w:sz w:val="24"/>
          <w:szCs w:val="24"/>
          <w:lang w:eastAsia="zh-CN"/>
        </w:rPr>
      </w:pPr>
      <w:r>
        <w:rPr>
          <w:color w:val="000000" w:themeColor="text1"/>
          <w:sz w:val="24"/>
          <w:szCs w:val="24"/>
          <w:lang w:eastAsia="zh-CN"/>
        </w:rPr>
        <w:t>针对可能存在的环境风险，拟建项目应当设立事故状态下的应急救援领导小组。应急救援领导小组是公司为预防和处置各类突发事故的常设机构，其主要职责有：</w:t>
      </w:r>
    </w:p>
    <w:p>
      <w:pPr>
        <w:pStyle w:val="51"/>
        <w:ind w:left="0" w:firstLine="480"/>
        <w:rPr>
          <w:color w:val="000000" w:themeColor="text1"/>
          <w:sz w:val="24"/>
          <w:szCs w:val="24"/>
          <w:lang w:eastAsia="zh-CN"/>
        </w:rPr>
      </w:pPr>
      <w:r>
        <w:rPr>
          <w:color w:val="000000" w:themeColor="text1"/>
          <w:sz w:val="24"/>
          <w:szCs w:val="24"/>
          <w:lang w:eastAsia="zh-CN"/>
        </w:rPr>
        <w:t>（1）编制和修改事故应急救援预案。</w:t>
      </w:r>
    </w:p>
    <w:p>
      <w:pPr>
        <w:pStyle w:val="51"/>
        <w:ind w:left="0" w:firstLine="480"/>
        <w:rPr>
          <w:color w:val="000000" w:themeColor="text1"/>
          <w:sz w:val="24"/>
          <w:szCs w:val="24"/>
          <w:lang w:eastAsia="zh-CN"/>
        </w:rPr>
      </w:pPr>
      <w:r>
        <w:rPr>
          <w:color w:val="000000" w:themeColor="text1"/>
          <w:sz w:val="24"/>
          <w:szCs w:val="24"/>
          <w:lang w:eastAsia="zh-CN"/>
        </w:rPr>
        <w:t>（2）组建应急救援队伍并组织实施训练和演习。</w:t>
      </w:r>
    </w:p>
    <w:p>
      <w:pPr>
        <w:pStyle w:val="51"/>
        <w:ind w:left="0" w:firstLine="480"/>
        <w:rPr>
          <w:color w:val="000000" w:themeColor="text1"/>
          <w:sz w:val="24"/>
          <w:szCs w:val="24"/>
          <w:lang w:eastAsia="zh-CN"/>
        </w:rPr>
      </w:pPr>
      <w:r>
        <w:rPr>
          <w:color w:val="000000" w:themeColor="text1"/>
          <w:sz w:val="24"/>
          <w:szCs w:val="24"/>
          <w:lang w:eastAsia="zh-CN"/>
        </w:rPr>
        <w:t>（3）检查各项安全工作的实施情况。</w:t>
      </w:r>
    </w:p>
    <w:p>
      <w:pPr>
        <w:pStyle w:val="51"/>
        <w:ind w:left="0" w:firstLine="480"/>
        <w:rPr>
          <w:color w:val="000000" w:themeColor="text1"/>
          <w:sz w:val="24"/>
          <w:szCs w:val="24"/>
          <w:lang w:eastAsia="zh-CN"/>
        </w:rPr>
      </w:pPr>
      <w:r>
        <w:rPr>
          <w:color w:val="000000" w:themeColor="text1"/>
          <w:sz w:val="24"/>
          <w:szCs w:val="24"/>
          <w:lang w:eastAsia="zh-CN"/>
        </w:rPr>
        <w:t>（4）检查督促做好重大事故的预防措施和应急救援的各项准备工作。</w:t>
      </w:r>
    </w:p>
    <w:p>
      <w:pPr>
        <w:pStyle w:val="51"/>
        <w:ind w:left="0" w:firstLine="480"/>
        <w:rPr>
          <w:color w:val="000000" w:themeColor="text1"/>
          <w:sz w:val="24"/>
          <w:szCs w:val="24"/>
          <w:lang w:eastAsia="zh-CN"/>
        </w:rPr>
      </w:pPr>
      <w:r>
        <w:rPr>
          <w:color w:val="000000" w:themeColor="text1"/>
          <w:sz w:val="24"/>
          <w:szCs w:val="24"/>
          <w:lang w:eastAsia="zh-CN"/>
        </w:rPr>
        <w:t>（5）在应急救援行动中发布和解除各项命令。</w:t>
      </w:r>
    </w:p>
    <w:p>
      <w:pPr>
        <w:pStyle w:val="51"/>
        <w:ind w:left="0" w:firstLine="480"/>
        <w:rPr>
          <w:color w:val="000000" w:themeColor="text1"/>
          <w:sz w:val="24"/>
          <w:szCs w:val="24"/>
          <w:lang w:eastAsia="zh-CN"/>
        </w:rPr>
      </w:pPr>
      <w:r>
        <w:rPr>
          <w:color w:val="000000" w:themeColor="text1"/>
          <w:sz w:val="24"/>
          <w:szCs w:val="24"/>
          <w:lang w:eastAsia="zh-CN"/>
        </w:rPr>
        <w:t>（6）负责向上级和政府有关部门报告及向友邻单位、周边居民通报事故情况。</w:t>
      </w:r>
    </w:p>
    <w:p>
      <w:pPr>
        <w:pStyle w:val="51"/>
        <w:ind w:left="0" w:firstLine="480"/>
        <w:rPr>
          <w:color w:val="000000" w:themeColor="text1"/>
          <w:sz w:val="24"/>
          <w:szCs w:val="24"/>
          <w:lang w:eastAsia="zh-CN"/>
        </w:rPr>
      </w:pPr>
      <w:r>
        <w:rPr>
          <w:color w:val="000000" w:themeColor="text1"/>
          <w:sz w:val="24"/>
          <w:szCs w:val="24"/>
          <w:lang w:eastAsia="zh-CN"/>
        </w:rPr>
        <w:t>（7）负责组织调查事故发生的原因、妥善处理事故并总结经验教训。</w:t>
      </w:r>
    </w:p>
    <w:p>
      <w:pPr>
        <w:pStyle w:val="51"/>
        <w:ind w:left="0" w:firstLine="480"/>
        <w:rPr>
          <w:color w:val="000000" w:themeColor="text1"/>
          <w:sz w:val="24"/>
          <w:szCs w:val="24"/>
          <w:lang w:eastAsia="zh-CN"/>
        </w:rPr>
      </w:pPr>
      <w:r>
        <w:rPr>
          <w:color w:val="000000" w:themeColor="text1"/>
          <w:sz w:val="24"/>
          <w:szCs w:val="24"/>
          <w:lang w:eastAsia="zh-CN"/>
        </w:rPr>
        <w:t>4.应急处置计划</w:t>
      </w:r>
    </w:p>
    <w:p>
      <w:pPr>
        <w:pStyle w:val="51"/>
        <w:ind w:left="0" w:firstLine="480"/>
        <w:rPr>
          <w:color w:val="000000" w:themeColor="text1"/>
          <w:sz w:val="24"/>
          <w:szCs w:val="24"/>
          <w:lang w:eastAsia="zh-CN"/>
        </w:rPr>
      </w:pPr>
      <w:r>
        <w:rPr>
          <w:color w:val="000000" w:themeColor="text1"/>
          <w:sz w:val="24"/>
          <w:szCs w:val="24"/>
          <w:lang w:eastAsia="zh-CN"/>
        </w:rPr>
        <w:t>必须在平时拟定事故应急预案，以应对可能发生的应急危害事故，一旦发生事故，即可以在有充分准备的情况下，对事故进行紧急处理。</w:t>
      </w:r>
    </w:p>
    <w:p>
      <w:pPr>
        <w:pStyle w:val="51"/>
        <w:ind w:left="0" w:firstLine="480"/>
        <w:rPr>
          <w:color w:val="000000" w:themeColor="text1"/>
          <w:sz w:val="24"/>
          <w:szCs w:val="24"/>
          <w:lang w:eastAsia="zh-CN"/>
        </w:rPr>
      </w:pPr>
      <w:r>
        <w:rPr>
          <w:color w:val="000000" w:themeColor="text1"/>
          <w:sz w:val="24"/>
          <w:szCs w:val="24"/>
          <w:lang w:eastAsia="zh-CN"/>
        </w:rPr>
        <w:t>风险事故的应急计划包括应急状态分类、应急计划区和事故等级水平、应急防护、应急医学处理等。因此，风险事故应急计划应当包括以下内容。</w:t>
      </w:r>
    </w:p>
    <w:p>
      <w:pPr>
        <w:pStyle w:val="51"/>
        <w:ind w:left="0" w:firstLine="422"/>
        <w:jc w:val="center"/>
        <w:rPr>
          <w:b/>
          <w:bCs/>
          <w:color w:val="000000" w:themeColor="text1"/>
          <w:lang w:eastAsia="zh-CN"/>
        </w:rPr>
      </w:pPr>
      <w:r>
        <w:rPr>
          <w:b/>
          <w:bCs/>
          <w:color w:val="000000" w:themeColor="text1"/>
          <w:lang w:eastAsia="zh-CN"/>
        </w:rPr>
        <w:t>表6.4-7应急预案内容</w:t>
      </w:r>
    </w:p>
    <w:tbl>
      <w:tblPr>
        <w:tblStyle w:val="61"/>
        <w:tblW w:w="831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0"/>
        <w:gridCol w:w="1546"/>
        <w:gridCol w:w="61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序号</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项目</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内容及要求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1</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总则</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rPr>
                <w:color w:val="000000" w:themeColor="text1"/>
                <w:lang w:eastAsia="zh-CN"/>
              </w:rPr>
            </w:pPr>
            <w:r>
              <w:rPr>
                <w:color w:val="000000" w:themeColor="text1"/>
                <w:lang w:eastAsia="zh-CN"/>
              </w:rPr>
              <w:t>明确编制目的、编制依据、适用范围、工作原则等。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2</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危险源概况</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rPr>
                <w:color w:val="000000" w:themeColor="text1"/>
                <w:lang w:eastAsia="zh-CN"/>
              </w:rPr>
            </w:pPr>
            <w:r>
              <w:rPr>
                <w:color w:val="000000" w:themeColor="text1"/>
                <w:lang w:eastAsia="zh-CN"/>
              </w:rPr>
              <w:t>环境风险源基本情况、周边环境状况及环境保护目标调查结果。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3</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应急计划区</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rPr>
                <w:color w:val="000000" w:themeColor="text1"/>
                <w:lang w:eastAsia="zh-CN"/>
              </w:rPr>
            </w:pPr>
            <w:r>
              <w:rPr>
                <w:color w:val="000000" w:themeColor="text1"/>
                <w:lang w:eastAsia="zh-CN"/>
              </w:rPr>
              <w:t>危险目标：各生产区、储存区、环境保护目标等。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4</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组织机构及职责</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rPr>
                <w:color w:val="000000" w:themeColor="text1"/>
                <w:lang w:eastAsia="zh-CN"/>
              </w:rPr>
            </w:pPr>
            <w:r>
              <w:rPr>
                <w:color w:val="000000" w:themeColor="text1"/>
                <w:lang w:eastAsia="zh-CN"/>
              </w:rPr>
              <w:t>依据企业的规模大小和突发环境事件危害程度的级别，设置分级应急救援的组织机构。并明确各组及人员职责。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5</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预防与预警</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rPr>
                <w:color w:val="000000" w:themeColor="text1"/>
                <w:lang w:eastAsia="zh-CN"/>
              </w:rPr>
            </w:pPr>
            <w:r>
              <w:rPr>
                <w:color w:val="000000" w:themeColor="text1"/>
                <w:lang w:eastAsia="zh-CN"/>
              </w:rPr>
              <w:t>明确事件预警的条件、方式、方法。报警、通讯联络方式等。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6</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信息报告与通报</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rPr>
                <w:color w:val="000000" w:themeColor="text1"/>
                <w:lang w:eastAsia="zh-CN"/>
              </w:rPr>
            </w:pPr>
            <w:r>
              <w:rPr>
                <w:color w:val="000000" w:themeColor="text1"/>
                <w:lang w:eastAsia="zh-CN"/>
              </w:rPr>
              <w:t>明确信息报告时限和发布的程序、内容和方式。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7</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应急响应与措施</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rPr>
                <w:color w:val="000000" w:themeColor="text1"/>
                <w:lang w:eastAsia="zh-CN"/>
              </w:rPr>
            </w:pPr>
            <w:r>
              <w:rPr>
                <w:color w:val="000000" w:themeColor="text1"/>
                <w:lang w:eastAsia="zh-CN"/>
              </w:rPr>
              <w:t>规定预案的级别和相应的分级响应程序，明确应急措施、应急监测相关内容、应急终止响应条件等，并考虑与区域应急预案的衔接。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8</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应急救援保障</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rPr>
                <w:color w:val="000000" w:themeColor="text1"/>
                <w:lang w:eastAsia="zh-CN"/>
              </w:rPr>
            </w:pPr>
            <w:r>
              <w:rPr>
                <w:color w:val="000000" w:themeColor="text1"/>
                <w:lang w:eastAsia="zh-CN"/>
              </w:rPr>
              <w:t>应急设施、设备与器材等生产装置：</w:t>
            </w:r>
          </w:p>
          <w:p>
            <w:pPr>
              <w:pStyle w:val="51"/>
              <w:ind w:left="0" w:firstLine="0" w:firstLineChars="0"/>
              <w:rPr>
                <w:color w:val="000000" w:themeColor="text1"/>
                <w:lang w:eastAsia="zh-CN"/>
              </w:rPr>
            </w:pPr>
            <w:r>
              <w:rPr>
                <w:color w:val="000000" w:themeColor="text1"/>
                <w:lang w:eastAsia="zh-CN"/>
              </w:rPr>
              <w:t>（1）防火灾、爆炸事故应急设施、设备与材料，主要为消防器材</w:t>
            </w:r>
          </w:p>
          <w:p>
            <w:pPr>
              <w:pStyle w:val="51"/>
              <w:ind w:left="0" w:firstLine="0" w:firstLineChars="0"/>
              <w:rPr>
                <w:color w:val="000000" w:themeColor="text1"/>
                <w:lang w:eastAsia="zh-CN"/>
              </w:rPr>
            </w:pPr>
            <w:r>
              <w:rPr>
                <w:color w:val="000000" w:themeColor="text1"/>
                <w:lang w:eastAsia="zh-CN"/>
              </w:rPr>
              <w:t>（2）防有毒有害物质外溢、扩散、主要靠吸收吸附材料</w:t>
            </w:r>
          </w:p>
          <w:p>
            <w:pPr>
              <w:pStyle w:val="51"/>
              <w:ind w:left="0" w:firstLine="0" w:firstLineChars="0"/>
              <w:rPr>
                <w:color w:val="000000" w:themeColor="text1"/>
                <w:lang w:eastAsia="zh-CN"/>
              </w:rPr>
            </w:pPr>
            <w:r>
              <w:rPr>
                <w:color w:val="000000" w:themeColor="text1"/>
                <w:lang w:eastAsia="zh-CN"/>
              </w:rPr>
              <w:t>（3）防火灾、爆炸事故应急设施、设备与材料，主要为消防器材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9</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后期处置</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rPr>
                <w:color w:val="000000" w:themeColor="text1"/>
                <w:lang w:eastAsia="zh-CN"/>
              </w:rPr>
            </w:pPr>
            <w:r>
              <w:rPr>
                <w:color w:val="000000" w:themeColor="text1"/>
                <w:lang w:eastAsia="zh-CN"/>
              </w:rPr>
              <w:t>明确受灾人员的安置及损失赔偿。组织专家对突发环境事件中长期环境影响进行评估，明确修复方案。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10</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应急培训和演练</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rPr>
                <w:color w:val="000000" w:themeColor="text1"/>
                <w:lang w:eastAsia="zh-CN"/>
              </w:rPr>
            </w:pPr>
            <w:r>
              <w:rPr>
                <w:color w:val="000000" w:themeColor="text1"/>
                <w:lang w:eastAsia="zh-CN"/>
              </w:rPr>
              <w:t>对选厂及临近地区开展公众教育、培训和发布有关信息。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11</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奖惩</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rPr>
                <w:color w:val="000000" w:themeColor="text1"/>
                <w:lang w:eastAsia="zh-CN"/>
              </w:rPr>
            </w:pPr>
            <w:r>
              <w:rPr>
                <w:color w:val="000000" w:themeColor="text1"/>
                <w:lang w:eastAsia="zh-CN"/>
              </w:rPr>
              <w:t>明确突发环境事件应急救援工作中奖励和处罚的条件和内容。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12</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保障措施</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rPr>
                <w:color w:val="000000" w:themeColor="text1"/>
                <w:lang w:eastAsia="zh-CN"/>
              </w:rPr>
            </w:pPr>
            <w:r>
              <w:rPr>
                <w:color w:val="000000" w:themeColor="text1"/>
                <w:lang w:eastAsia="zh-CN"/>
              </w:rPr>
              <w:t>明确应急专项经费、应急救援需要使用的应急物资及装备、应急队伍的组成、通信与信息保障等内容。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40" w:hRule="atLeast"/>
        </w:trPr>
        <w:tc>
          <w:tcPr>
            <w:tcW w:w="66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13</w:t>
            </w:r>
          </w:p>
        </w:tc>
        <w:tc>
          <w:tcPr>
            <w:tcW w:w="1546"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jc w:val="center"/>
              <w:rPr>
                <w:color w:val="000000" w:themeColor="text1"/>
                <w:lang w:eastAsia="zh-CN"/>
              </w:rPr>
            </w:pPr>
            <w:r>
              <w:rPr>
                <w:color w:val="000000" w:themeColor="text1"/>
                <w:lang w:eastAsia="zh-CN"/>
              </w:rPr>
              <w:t>附件</w:t>
            </w:r>
          </w:p>
        </w:tc>
        <w:tc>
          <w:tcPr>
            <w:tcW w:w="6110" w:type="dxa"/>
            <w:tcBorders>
              <w:top w:val="single" w:color="000000" w:sz="4" w:space="0"/>
              <w:left w:val="single" w:color="000000" w:sz="4" w:space="0"/>
              <w:bottom w:val="single" w:color="000000" w:sz="4" w:space="0"/>
              <w:right w:val="single" w:color="000000" w:sz="4" w:space="0"/>
            </w:tcBorders>
            <w:vAlign w:val="center"/>
          </w:tcPr>
          <w:p>
            <w:pPr>
              <w:pStyle w:val="51"/>
              <w:ind w:left="0" w:firstLine="0" w:firstLineChars="0"/>
              <w:rPr>
                <w:color w:val="000000" w:themeColor="text1"/>
                <w:lang w:eastAsia="zh-CN"/>
              </w:rPr>
            </w:pPr>
            <w:r>
              <w:rPr>
                <w:color w:val="000000" w:themeColor="text1"/>
                <w:lang w:eastAsia="zh-CN"/>
              </w:rPr>
              <w:t>与应急事故有关的多种附件材料的准备和形成。</w:t>
            </w:r>
          </w:p>
        </w:tc>
      </w:tr>
    </w:tbl>
    <w:p>
      <w:pPr>
        <w:pStyle w:val="6"/>
        <w:spacing w:beforeLines="0" w:afterLines="0"/>
        <w:rPr>
          <w:rFonts w:eastAsiaTheme="minorEastAsia"/>
          <w:color w:val="000000" w:themeColor="text1"/>
          <w:sz w:val="28"/>
          <w:szCs w:val="28"/>
        </w:rPr>
      </w:pPr>
      <w:bookmarkStart w:id="773" w:name="_Toc7602"/>
      <w:r>
        <w:rPr>
          <w:rFonts w:eastAsiaTheme="minorEastAsia"/>
          <w:color w:val="000000" w:themeColor="text1"/>
          <w:sz w:val="28"/>
          <w:szCs w:val="28"/>
        </w:rPr>
        <w:t>6.4.6结论</w:t>
      </w:r>
      <w:bookmarkEnd w:id="773"/>
    </w:p>
    <w:p>
      <w:pPr>
        <w:ind w:firstLine="480"/>
        <w:rPr>
          <w:rFonts w:eastAsiaTheme="minorEastAsia"/>
          <w:color w:val="000000" w:themeColor="text1"/>
        </w:rPr>
      </w:pPr>
      <w:r>
        <w:rPr>
          <w:rFonts w:eastAsiaTheme="minorEastAsia"/>
          <w:color w:val="000000" w:themeColor="text1"/>
          <w:szCs w:val="24"/>
        </w:rPr>
        <w:t>本项目发生大的泄漏事故概率较小。本项目主要风险物质为生产废水和废机油。根据生产工艺及装置情况分析，结合同类行业污染事故情况的调查，并分析项目主体和公用辅助工程，可能存在事故风险有：泄漏、火灾等。通过分析，本项目事故排放对周围环境影响不大。为了防范事故和减少危害，要从建设、生产、储运等各个方面积极采取防护措施，这是确保安全的根本保障。建设单位需编制应急预案报当地生态环境局备案，开展针对性应急预案演练。当出现事故时，要采取紧急的工程应急措施，如有必要，要采取社会应急措施，以控制事故和减少对环境造成的危害</w:t>
      </w:r>
      <w:r>
        <w:rPr>
          <w:rFonts w:eastAsiaTheme="minorEastAsia"/>
          <w:color w:val="000000" w:themeColor="text1"/>
        </w:rPr>
        <w:t>。</w:t>
      </w:r>
      <w:bookmarkStart w:id="774" w:name="_Toc430953743"/>
      <w:bookmarkStart w:id="775" w:name="_Toc430201460"/>
      <w:bookmarkStart w:id="776" w:name="_Toc449368534"/>
      <w:bookmarkStart w:id="777" w:name="_Toc421915947"/>
      <w:bookmarkStart w:id="778" w:name="_Toc430953951"/>
      <w:bookmarkStart w:id="779" w:name="_Toc450603666"/>
      <w:bookmarkStart w:id="780" w:name="_Toc410033916"/>
    </w:p>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74"/>
    <w:bookmarkEnd w:id="775"/>
    <w:bookmarkEnd w:id="776"/>
    <w:bookmarkEnd w:id="777"/>
    <w:bookmarkEnd w:id="778"/>
    <w:bookmarkEnd w:id="779"/>
    <w:bookmarkEnd w:id="780"/>
    <w:p>
      <w:pPr>
        <w:pStyle w:val="78"/>
        <w:ind w:firstLine="480"/>
        <w:rPr>
          <w:color w:val="000000" w:themeColor="text1"/>
        </w:rPr>
      </w:pPr>
    </w:p>
    <w:bookmarkEnd w:id="558"/>
    <w:p>
      <w:pPr>
        <w:keepNext/>
        <w:widowControl/>
        <w:ind w:firstLine="0" w:firstLineChars="0"/>
        <w:outlineLvl w:val="0"/>
        <w:rPr>
          <w:rFonts w:eastAsiaTheme="minorEastAsia"/>
          <w:b/>
          <w:bCs/>
          <w:color w:val="000000" w:themeColor="text1"/>
          <w:kern w:val="32"/>
          <w:sz w:val="32"/>
          <w:szCs w:val="32"/>
          <w:lang w:bidi="en-US"/>
        </w:rPr>
        <w:sectPr>
          <w:pgSz w:w="11906" w:h="16838"/>
          <w:pgMar w:top="1440" w:right="1800" w:bottom="1440" w:left="1800" w:header="851" w:footer="992" w:gutter="0"/>
          <w:pgNumType w:fmt="numberInDash"/>
          <w:cols w:space="720" w:num="1"/>
          <w:docGrid w:type="lines" w:linePitch="312" w:charSpace="0"/>
        </w:sectPr>
      </w:pPr>
      <w:bookmarkStart w:id="781" w:name="_Toc319504041"/>
      <w:bookmarkStart w:id="782" w:name="_Toc465156890"/>
    </w:p>
    <w:p>
      <w:pPr>
        <w:keepNext/>
        <w:widowControl/>
        <w:ind w:firstLine="0" w:firstLineChars="0"/>
        <w:outlineLvl w:val="0"/>
        <w:rPr>
          <w:rFonts w:eastAsiaTheme="minorEastAsia"/>
          <w:b/>
          <w:bCs/>
          <w:color w:val="000000" w:themeColor="text1"/>
          <w:kern w:val="32"/>
          <w:sz w:val="32"/>
          <w:szCs w:val="32"/>
          <w:lang w:bidi="en-US"/>
        </w:rPr>
      </w:pPr>
      <w:bookmarkStart w:id="783" w:name="_Toc10751"/>
      <w:r>
        <w:rPr>
          <w:rFonts w:eastAsiaTheme="minorEastAsia"/>
          <w:b/>
          <w:bCs/>
          <w:color w:val="000000" w:themeColor="text1"/>
          <w:kern w:val="32"/>
          <w:sz w:val="32"/>
          <w:szCs w:val="32"/>
          <w:lang w:bidi="en-US"/>
        </w:rPr>
        <w:t>7环境保护措施</w:t>
      </w:r>
      <w:bookmarkEnd w:id="781"/>
      <w:r>
        <w:rPr>
          <w:rFonts w:eastAsiaTheme="minorEastAsia"/>
          <w:b/>
          <w:bCs/>
          <w:color w:val="000000" w:themeColor="text1"/>
          <w:kern w:val="32"/>
          <w:sz w:val="32"/>
          <w:szCs w:val="32"/>
          <w:lang w:bidi="en-US"/>
        </w:rPr>
        <w:t>及可行性分析</w:t>
      </w:r>
      <w:bookmarkEnd w:id="782"/>
      <w:bookmarkEnd w:id="783"/>
    </w:p>
    <w:p>
      <w:pPr>
        <w:pStyle w:val="574"/>
        <w:spacing w:beforeLines="0" w:afterLines="0"/>
        <w:rPr>
          <w:rFonts w:eastAsiaTheme="minorEastAsia"/>
          <w:color w:val="000000" w:themeColor="text1"/>
          <w:sz w:val="30"/>
          <w:szCs w:val="30"/>
        </w:rPr>
      </w:pPr>
      <w:bookmarkStart w:id="784" w:name="_Toc430953955"/>
      <w:bookmarkStart w:id="785" w:name="_Toc450603670"/>
      <w:bookmarkStart w:id="786" w:name="_Toc430201464"/>
      <w:bookmarkStart w:id="787" w:name="_Toc430953747"/>
      <w:bookmarkStart w:id="788" w:name="_Toc24208346"/>
      <w:bookmarkStart w:id="789" w:name="_Toc410033920"/>
      <w:bookmarkStart w:id="790" w:name="_Toc421915951"/>
      <w:bookmarkStart w:id="791" w:name="_Toc12431"/>
      <w:bookmarkStart w:id="792" w:name="_Toc465156892"/>
      <w:r>
        <w:rPr>
          <w:rFonts w:eastAsiaTheme="minorEastAsia"/>
          <w:color w:val="000000" w:themeColor="text1"/>
          <w:sz w:val="30"/>
          <w:szCs w:val="30"/>
        </w:rPr>
        <w:t>7.1施工期污染防治措施</w:t>
      </w:r>
      <w:bookmarkEnd w:id="784"/>
      <w:bookmarkEnd w:id="785"/>
      <w:bookmarkEnd w:id="786"/>
      <w:bookmarkEnd w:id="787"/>
      <w:bookmarkEnd w:id="788"/>
      <w:bookmarkEnd w:id="789"/>
      <w:bookmarkEnd w:id="790"/>
      <w:r>
        <w:rPr>
          <w:rFonts w:eastAsiaTheme="minorEastAsia"/>
          <w:color w:val="000000" w:themeColor="text1"/>
          <w:sz w:val="30"/>
          <w:szCs w:val="30"/>
        </w:rPr>
        <w:t>及可行性分析</w:t>
      </w:r>
      <w:bookmarkEnd w:id="791"/>
    </w:p>
    <w:p>
      <w:pPr>
        <w:pStyle w:val="6"/>
        <w:adjustRightInd w:val="0"/>
        <w:snapToGrid w:val="0"/>
        <w:spacing w:beforeLines="0" w:afterLines="0"/>
        <w:rPr>
          <w:rFonts w:eastAsiaTheme="minorEastAsia"/>
          <w:color w:val="000000" w:themeColor="text1"/>
          <w:sz w:val="28"/>
          <w:szCs w:val="28"/>
        </w:rPr>
      </w:pPr>
      <w:bookmarkStart w:id="793" w:name="_Toc430953748"/>
      <w:bookmarkStart w:id="794" w:name="_Toc430953956"/>
      <w:bookmarkStart w:id="795" w:name="_Toc430201465"/>
      <w:bookmarkStart w:id="796" w:name="_Toc450603671"/>
      <w:bookmarkStart w:id="797" w:name="_Toc8616"/>
      <w:r>
        <w:rPr>
          <w:rFonts w:eastAsiaTheme="minorEastAsia"/>
          <w:color w:val="000000" w:themeColor="text1"/>
          <w:sz w:val="28"/>
          <w:szCs w:val="28"/>
        </w:rPr>
        <w:t>7.1.1施工废气污染防治措施</w:t>
      </w:r>
      <w:bookmarkEnd w:id="793"/>
      <w:bookmarkEnd w:id="794"/>
      <w:bookmarkEnd w:id="795"/>
      <w:bookmarkEnd w:id="796"/>
      <w:r>
        <w:rPr>
          <w:rFonts w:eastAsiaTheme="minorEastAsia"/>
          <w:color w:val="000000" w:themeColor="text1"/>
          <w:sz w:val="28"/>
          <w:szCs w:val="28"/>
        </w:rPr>
        <w:t>及可行性分析</w:t>
      </w:r>
      <w:bookmarkEnd w:id="797"/>
    </w:p>
    <w:p>
      <w:pPr>
        <w:ind w:firstLine="480"/>
        <w:rPr>
          <w:rFonts w:eastAsiaTheme="minorEastAsia"/>
          <w:color w:val="000000" w:themeColor="text1"/>
        </w:rPr>
      </w:pPr>
      <w:r>
        <w:rPr>
          <w:rFonts w:eastAsiaTheme="minorEastAsia"/>
          <w:color w:val="000000" w:themeColor="text1"/>
        </w:rPr>
        <w:t>（一）污染防治措施</w:t>
      </w:r>
    </w:p>
    <w:p>
      <w:pPr>
        <w:adjustRightInd w:val="0"/>
        <w:snapToGrid w:val="0"/>
        <w:ind w:firstLine="480"/>
        <w:rPr>
          <w:color w:val="000000" w:themeColor="text1"/>
        </w:rPr>
      </w:pPr>
      <w:r>
        <w:rPr>
          <w:color w:val="000000" w:themeColor="text1"/>
        </w:rPr>
        <w:t>1、施工现场硬质围挡应连续设置，一般不低于1.8m，做到坚固、平稳、整洁、美观。在建工程外立面应用安全网实现全封闭围护。</w:t>
      </w:r>
    </w:p>
    <w:p>
      <w:pPr>
        <w:adjustRightInd w:val="0"/>
        <w:snapToGrid w:val="0"/>
        <w:ind w:firstLine="480"/>
        <w:rPr>
          <w:color w:val="000000" w:themeColor="text1"/>
        </w:rPr>
      </w:pPr>
      <w:r>
        <w:rPr>
          <w:color w:val="000000" w:themeColor="text1"/>
        </w:rPr>
        <w:t>2、主要通道、进出道路、材料加工区及办公生活区地面进行硬化处理。</w:t>
      </w:r>
    </w:p>
    <w:p>
      <w:pPr>
        <w:adjustRightInd w:val="0"/>
        <w:snapToGrid w:val="0"/>
        <w:ind w:firstLine="480"/>
        <w:rPr>
          <w:color w:val="000000" w:themeColor="text1"/>
        </w:rPr>
      </w:pPr>
      <w:r>
        <w:rPr>
          <w:color w:val="000000" w:themeColor="text1"/>
        </w:rPr>
        <w:t>3、施工现场内裸露的场地和集中堆放的土方应采取覆盖、固化或绿化等防尘措施。易产生扬尘的物料要篷盖。</w:t>
      </w:r>
    </w:p>
    <w:p>
      <w:pPr>
        <w:adjustRightInd w:val="0"/>
        <w:snapToGrid w:val="0"/>
        <w:ind w:firstLine="480"/>
        <w:rPr>
          <w:color w:val="000000" w:themeColor="text1"/>
        </w:rPr>
      </w:pPr>
      <w:r>
        <w:rPr>
          <w:color w:val="000000" w:themeColor="text1"/>
        </w:rPr>
        <w:t>4、施工现场设专人负责卫生保洁，每天上午、下午各进行二次洒水降尘，遇到干旱和大风天气时，应增加洒水降尘次数，确保无浮土扬尘。开挖、回填等土方作业时，要辅以洒水压尘等措施。工程竣工后，施工现场的临设、围挡、垃圾等必须及时清理完毕，清理时必须采取有效的降尘措施。</w:t>
      </w:r>
    </w:p>
    <w:p>
      <w:pPr>
        <w:adjustRightInd w:val="0"/>
        <w:snapToGrid w:val="0"/>
        <w:ind w:firstLine="480"/>
        <w:rPr>
          <w:color w:val="000000" w:themeColor="text1"/>
        </w:rPr>
      </w:pPr>
      <w:r>
        <w:rPr>
          <w:color w:val="000000" w:themeColor="text1"/>
        </w:rPr>
        <w:t>5、易产生扬尘的建筑材料、渣土应采取密闭搬运、存储或采用防尘布苫盖等防尘措施。严禁熔融沥青、焚烧垃圾等有毒有害物质。建筑物内施工垃圾清运，应采用器具或管道运输，严禁凌空抛掷。生活垃圾应存放在密封式垃圾站，并及时清运出场。同时，禁止无牌无证车辆进入施工现场。</w:t>
      </w:r>
    </w:p>
    <w:p>
      <w:pPr>
        <w:adjustRightInd w:val="0"/>
        <w:snapToGrid w:val="0"/>
        <w:ind w:firstLine="480"/>
        <w:rPr>
          <w:color w:val="000000" w:themeColor="text1"/>
        </w:rPr>
      </w:pPr>
      <w:r>
        <w:rPr>
          <w:color w:val="000000" w:themeColor="text1"/>
        </w:rPr>
        <w:t>6、施工现场出入口处设置自动车辆冲洗装置和沉淀池，运输车辆底盘和车轮冲洗干净后方可驶离施工现场。</w:t>
      </w:r>
    </w:p>
    <w:p>
      <w:pPr>
        <w:pStyle w:val="2"/>
        <w:adjustRightInd w:val="0"/>
        <w:snapToGrid w:val="0"/>
        <w:ind w:firstLine="480"/>
        <w:rPr>
          <w:rFonts w:ascii="Times New Roman" w:hAnsi="Times New Roman"/>
          <w:color w:val="000000" w:themeColor="text1"/>
          <w:lang w:eastAsia="zh-CN"/>
        </w:rPr>
      </w:pPr>
      <w:r>
        <w:rPr>
          <w:rFonts w:ascii="Times New Roman" w:hAnsi="Times New Roman"/>
          <w:color w:val="000000" w:themeColor="text1"/>
          <w:lang w:eastAsia="zh-CN"/>
        </w:rPr>
        <w:t>7、加强施工机械和运输车辆的维修保养，选用符合国家污染物排放标准的施工机械和运输车辆。</w:t>
      </w:r>
    </w:p>
    <w:p>
      <w:pPr>
        <w:ind w:firstLine="480"/>
        <w:rPr>
          <w:rFonts w:eastAsiaTheme="minorEastAsia"/>
          <w:color w:val="000000" w:themeColor="text1"/>
        </w:rPr>
      </w:pPr>
      <w:r>
        <w:rPr>
          <w:rFonts w:eastAsiaTheme="minorEastAsia"/>
          <w:color w:val="000000" w:themeColor="text1"/>
        </w:rPr>
        <w:t>（二）可行性分析</w:t>
      </w:r>
    </w:p>
    <w:p>
      <w:pPr>
        <w:adjustRightInd w:val="0"/>
        <w:snapToGrid w:val="0"/>
        <w:ind w:firstLine="480"/>
        <w:rPr>
          <w:rFonts w:eastAsiaTheme="minorEastAsia"/>
          <w:color w:val="000000" w:themeColor="text1"/>
        </w:rPr>
      </w:pPr>
      <w:r>
        <w:rPr>
          <w:color w:val="000000" w:themeColor="text1"/>
        </w:rPr>
        <w:t>施工期的废气治理措施主要在于环保管理上的投入，且根据目前其他施工项目的废气污染控制经验，以上措施简单有效，经济可行。</w:t>
      </w:r>
    </w:p>
    <w:p>
      <w:pPr>
        <w:pStyle w:val="6"/>
        <w:adjustRightInd w:val="0"/>
        <w:snapToGrid w:val="0"/>
        <w:spacing w:beforeLines="0" w:afterLines="0"/>
        <w:rPr>
          <w:rFonts w:eastAsiaTheme="minorEastAsia"/>
          <w:color w:val="000000" w:themeColor="text1"/>
          <w:sz w:val="28"/>
          <w:szCs w:val="28"/>
        </w:rPr>
      </w:pPr>
      <w:bookmarkStart w:id="798" w:name="_Toc450603672"/>
      <w:bookmarkStart w:id="799" w:name="_Toc27252"/>
      <w:r>
        <w:rPr>
          <w:rFonts w:eastAsiaTheme="minorEastAsia"/>
          <w:color w:val="000000" w:themeColor="text1"/>
          <w:sz w:val="28"/>
          <w:szCs w:val="28"/>
        </w:rPr>
        <w:t>7.1.2施工期地表水防治措施</w:t>
      </w:r>
      <w:bookmarkEnd w:id="798"/>
      <w:r>
        <w:rPr>
          <w:rFonts w:eastAsiaTheme="minorEastAsia"/>
          <w:color w:val="000000" w:themeColor="text1"/>
          <w:sz w:val="28"/>
          <w:szCs w:val="28"/>
        </w:rPr>
        <w:t>及可行性分析</w:t>
      </w:r>
      <w:bookmarkEnd w:id="799"/>
    </w:p>
    <w:p>
      <w:pPr>
        <w:ind w:firstLine="480"/>
        <w:rPr>
          <w:rFonts w:eastAsiaTheme="minorEastAsia"/>
          <w:color w:val="000000" w:themeColor="text1"/>
          <w:lang w:val="zh-TW"/>
        </w:rPr>
      </w:pPr>
      <w:r>
        <w:rPr>
          <w:rFonts w:eastAsiaTheme="minorEastAsia"/>
          <w:color w:val="000000" w:themeColor="text1"/>
        </w:rPr>
        <w:t>（一）污染防治措施</w:t>
      </w:r>
    </w:p>
    <w:p>
      <w:pPr>
        <w:ind w:firstLine="480"/>
        <w:rPr>
          <w:rFonts w:eastAsiaTheme="minorEastAsia"/>
          <w:color w:val="000000" w:themeColor="text1"/>
          <w:szCs w:val="24"/>
          <w:lang w:val="zh-TW" w:eastAsia="zh-TW"/>
        </w:rPr>
      </w:pPr>
      <w:r>
        <w:rPr>
          <w:rFonts w:eastAsiaTheme="minorEastAsia"/>
          <w:color w:val="000000" w:themeColor="text1"/>
          <w:szCs w:val="24"/>
          <w:lang w:val="zh-TW"/>
        </w:rPr>
        <w:t>1、</w:t>
      </w:r>
      <w:r>
        <w:rPr>
          <w:rFonts w:eastAsiaTheme="minorEastAsia"/>
          <w:color w:val="000000" w:themeColor="text1"/>
          <w:szCs w:val="24"/>
          <w:lang w:val="zh-TW" w:eastAsia="zh-TW"/>
        </w:rPr>
        <w:t>施工场地设置沉淀池对施工废水进行沉淀处理，施工废水经沉淀处理后回用洒水</w:t>
      </w:r>
      <w:r>
        <w:rPr>
          <w:rFonts w:eastAsiaTheme="minorEastAsia"/>
          <w:color w:val="000000" w:themeColor="text1"/>
          <w:szCs w:val="24"/>
        </w:rPr>
        <w:t>施工</w:t>
      </w:r>
      <w:r>
        <w:rPr>
          <w:rFonts w:eastAsiaTheme="minorEastAsia"/>
          <w:color w:val="000000" w:themeColor="text1"/>
          <w:szCs w:val="24"/>
          <w:lang w:val="zh-TW" w:eastAsia="zh-TW"/>
        </w:rPr>
        <w:t>等，不外排；</w:t>
      </w:r>
    </w:p>
    <w:p>
      <w:pPr>
        <w:ind w:firstLine="480"/>
        <w:rPr>
          <w:rFonts w:eastAsiaTheme="minorEastAsia"/>
          <w:color w:val="000000" w:themeColor="text1"/>
          <w:szCs w:val="24"/>
          <w:lang w:val="zh-TW" w:eastAsia="zh-TW"/>
        </w:rPr>
      </w:pPr>
      <w:r>
        <w:rPr>
          <w:rFonts w:eastAsiaTheme="minorEastAsia"/>
          <w:color w:val="000000" w:themeColor="text1"/>
          <w:szCs w:val="24"/>
          <w:lang w:val="zh-TW"/>
        </w:rPr>
        <w:t>2、</w:t>
      </w:r>
      <w:r>
        <w:rPr>
          <w:rFonts w:eastAsiaTheme="minorEastAsia"/>
          <w:color w:val="000000" w:themeColor="text1"/>
          <w:szCs w:val="24"/>
          <w:lang w:val="zh-TW" w:eastAsia="zh-TW"/>
        </w:rPr>
        <w:t>设置连续、通畅的排水设施和沉淀设施，防止泥浆污水、废水外流或堵塞下水道和河道；</w:t>
      </w:r>
    </w:p>
    <w:p>
      <w:pPr>
        <w:ind w:firstLine="480"/>
        <w:rPr>
          <w:rFonts w:eastAsiaTheme="minorEastAsia"/>
          <w:color w:val="000000" w:themeColor="text1"/>
          <w:szCs w:val="24"/>
        </w:rPr>
      </w:pPr>
      <w:r>
        <w:rPr>
          <w:rFonts w:eastAsiaTheme="minorEastAsia"/>
          <w:color w:val="000000" w:themeColor="text1"/>
          <w:szCs w:val="24"/>
        </w:rPr>
        <w:t xml:space="preserve">3、施工期生活污水依托原有项目化粪池处理，定期委托周边农民清掏 </w:t>
      </w:r>
      <w:r>
        <w:rPr>
          <w:rFonts w:hint="eastAsia" w:eastAsiaTheme="minorEastAsia"/>
          <w:color w:val="000000" w:themeColor="text1"/>
          <w:szCs w:val="24"/>
        </w:rPr>
        <w:t>；</w:t>
      </w:r>
    </w:p>
    <w:p>
      <w:pPr>
        <w:ind w:firstLine="480"/>
        <w:rPr>
          <w:rStyle w:val="73"/>
          <w:color w:val="000000" w:themeColor="text1"/>
          <w:kern w:val="0"/>
        </w:rPr>
      </w:pPr>
      <w:r>
        <w:rPr>
          <w:rFonts w:eastAsiaTheme="minorEastAsia"/>
          <w:color w:val="000000" w:themeColor="text1"/>
          <w:szCs w:val="24"/>
        </w:rPr>
        <w:t>4</w:t>
      </w:r>
      <w:r>
        <w:rPr>
          <w:rFonts w:eastAsiaTheme="minorEastAsia"/>
          <w:color w:val="000000" w:themeColor="text1"/>
          <w:szCs w:val="24"/>
          <w:lang w:val="zh-TW"/>
        </w:rPr>
        <w:t>、</w:t>
      </w:r>
      <w:r>
        <w:rPr>
          <w:rFonts w:eastAsiaTheme="minorEastAsia"/>
          <w:color w:val="000000" w:themeColor="text1"/>
          <w:szCs w:val="24"/>
          <w:lang w:val="zh-TW" w:eastAsia="zh-TW"/>
        </w:rPr>
        <w:t>合理安排工期，避免在雨天进行土方作业；</w:t>
      </w:r>
    </w:p>
    <w:p>
      <w:pPr>
        <w:pStyle w:val="2"/>
        <w:ind w:firstLine="480"/>
        <w:rPr>
          <w:rFonts w:ascii="Times New Roman" w:hAnsi="Times New Roman"/>
          <w:color w:val="000000" w:themeColor="text1"/>
          <w:lang w:val="zh-TW" w:eastAsia="zh-TW"/>
        </w:rPr>
      </w:pPr>
      <w:r>
        <w:rPr>
          <w:rFonts w:ascii="Times New Roman" w:hAnsi="Times New Roman"/>
          <w:color w:val="000000" w:themeColor="text1"/>
          <w:lang w:eastAsia="zh-CN"/>
        </w:rPr>
        <w:t>5、</w:t>
      </w:r>
      <w:r>
        <w:rPr>
          <w:rFonts w:ascii="Times New Roman" w:hAnsi="Times New Roman"/>
          <w:color w:val="000000" w:themeColor="text1"/>
          <w:lang w:val="zh-TW" w:eastAsia="zh-TW"/>
        </w:rPr>
        <w:t>施工场地雨天降雨冲刷水通过设置沉淀池沉淀处理后用于晴天场地洒水降尘</w:t>
      </w:r>
      <w:r>
        <w:rPr>
          <w:rFonts w:hint="eastAsia" w:ascii="Times New Roman" w:hAnsi="Times New Roman"/>
          <w:color w:val="000000" w:themeColor="text1"/>
          <w:lang w:val="zh-TW" w:eastAsia="zh-CN"/>
        </w:rPr>
        <w:t>，用不完的部分通过沉淀后外排</w:t>
      </w:r>
      <w:r>
        <w:rPr>
          <w:rFonts w:ascii="Times New Roman" w:hAnsi="Times New Roman"/>
          <w:color w:val="000000" w:themeColor="text1"/>
          <w:lang w:val="zh-TW" w:eastAsia="zh-TW"/>
        </w:rPr>
        <w:t>。</w:t>
      </w:r>
    </w:p>
    <w:p>
      <w:pPr>
        <w:ind w:firstLine="480"/>
        <w:rPr>
          <w:rFonts w:eastAsiaTheme="minorEastAsia"/>
          <w:color w:val="000000" w:themeColor="text1"/>
          <w:szCs w:val="24"/>
          <w:lang w:val="zh-TW" w:eastAsia="zh-TW"/>
        </w:rPr>
      </w:pPr>
      <w:r>
        <w:rPr>
          <w:rFonts w:eastAsiaTheme="minorEastAsia"/>
          <w:color w:val="000000" w:themeColor="text1"/>
          <w:szCs w:val="24"/>
        </w:rPr>
        <w:t>6</w:t>
      </w:r>
      <w:r>
        <w:rPr>
          <w:rFonts w:eastAsiaTheme="minorEastAsia"/>
          <w:color w:val="000000" w:themeColor="text1"/>
          <w:szCs w:val="24"/>
          <w:lang w:val="zh-TW"/>
        </w:rPr>
        <w:t>、</w:t>
      </w:r>
      <w:r>
        <w:rPr>
          <w:rFonts w:eastAsiaTheme="minorEastAsia"/>
          <w:color w:val="000000" w:themeColor="text1"/>
          <w:szCs w:val="24"/>
          <w:lang w:val="zh-TW" w:eastAsia="zh-TW"/>
        </w:rPr>
        <w:t>雨天对粉状物料堆放场所和临时堆渣场进行必要的遮蔽，减少雨水冲刷；</w:t>
      </w:r>
    </w:p>
    <w:p>
      <w:pPr>
        <w:ind w:firstLine="480"/>
        <w:rPr>
          <w:rFonts w:eastAsiaTheme="minorEastAsia"/>
          <w:color w:val="000000" w:themeColor="text1"/>
          <w:szCs w:val="24"/>
          <w:lang w:val="zh-TW" w:eastAsia="zh-TW"/>
        </w:rPr>
      </w:pPr>
      <w:r>
        <w:rPr>
          <w:rFonts w:eastAsiaTheme="minorEastAsia"/>
          <w:color w:val="000000" w:themeColor="text1"/>
          <w:szCs w:val="24"/>
        </w:rPr>
        <w:t>7</w:t>
      </w:r>
      <w:r>
        <w:rPr>
          <w:rFonts w:eastAsiaTheme="minorEastAsia"/>
          <w:color w:val="000000" w:themeColor="text1"/>
          <w:szCs w:val="24"/>
          <w:lang w:val="zh-TW"/>
        </w:rPr>
        <w:t>、</w:t>
      </w:r>
      <w:r>
        <w:rPr>
          <w:rFonts w:eastAsiaTheme="minorEastAsia"/>
          <w:color w:val="000000" w:themeColor="text1"/>
          <w:szCs w:val="24"/>
          <w:lang w:val="zh-TW" w:eastAsia="zh-TW"/>
        </w:rPr>
        <w:t>项目应加强管理，做好机械的日常维修保养，杜绝跑、冒、滴、漏现象；另外，雨天应对各类机械进行遮盖防雨。</w:t>
      </w:r>
    </w:p>
    <w:p>
      <w:pPr>
        <w:ind w:firstLine="480"/>
        <w:rPr>
          <w:rFonts w:eastAsiaTheme="minorEastAsia"/>
          <w:color w:val="000000" w:themeColor="text1"/>
        </w:rPr>
      </w:pPr>
      <w:r>
        <w:rPr>
          <w:rFonts w:eastAsiaTheme="minorEastAsia"/>
          <w:color w:val="000000" w:themeColor="text1"/>
        </w:rPr>
        <w:t>（二）可行性分析</w:t>
      </w:r>
    </w:p>
    <w:p>
      <w:pPr>
        <w:adjustRightInd w:val="0"/>
        <w:snapToGrid w:val="0"/>
        <w:ind w:firstLine="480"/>
        <w:rPr>
          <w:color w:val="000000" w:themeColor="text1"/>
        </w:rPr>
      </w:pPr>
      <w:r>
        <w:rPr>
          <w:color w:val="000000" w:themeColor="text1"/>
        </w:rPr>
        <w:t>根据类似工程及实践经验，采取上述废水污染防治措施，即能节约用水，又能避免废水乱排污染环境，措施简单有效，经济可行。</w:t>
      </w:r>
    </w:p>
    <w:p>
      <w:pPr>
        <w:pStyle w:val="6"/>
        <w:adjustRightInd w:val="0"/>
        <w:snapToGrid w:val="0"/>
        <w:spacing w:beforeLines="0" w:afterLines="0"/>
        <w:rPr>
          <w:rFonts w:eastAsiaTheme="minorEastAsia"/>
          <w:color w:val="000000" w:themeColor="text1"/>
          <w:sz w:val="28"/>
          <w:szCs w:val="28"/>
        </w:rPr>
      </w:pPr>
      <w:bookmarkStart w:id="800" w:name="_Toc450603673"/>
      <w:bookmarkStart w:id="801" w:name="_Toc430953749"/>
      <w:bookmarkStart w:id="802" w:name="_Toc430953957"/>
      <w:bookmarkStart w:id="803" w:name="_Toc430201466"/>
      <w:bookmarkStart w:id="804" w:name="_Toc31863"/>
      <w:r>
        <w:rPr>
          <w:rFonts w:eastAsiaTheme="minorEastAsia"/>
          <w:color w:val="000000" w:themeColor="text1"/>
          <w:sz w:val="28"/>
          <w:szCs w:val="28"/>
        </w:rPr>
        <w:t>7.1.3施工噪声污染防治措施</w:t>
      </w:r>
      <w:bookmarkEnd w:id="800"/>
      <w:bookmarkEnd w:id="801"/>
      <w:bookmarkEnd w:id="802"/>
      <w:bookmarkEnd w:id="803"/>
      <w:r>
        <w:rPr>
          <w:rFonts w:eastAsiaTheme="minorEastAsia"/>
          <w:color w:val="000000" w:themeColor="text1"/>
          <w:sz w:val="28"/>
          <w:szCs w:val="28"/>
        </w:rPr>
        <w:t>及可行性分析</w:t>
      </w:r>
      <w:bookmarkEnd w:id="804"/>
    </w:p>
    <w:p>
      <w:pPr>
        <w:ind w:firstLine="480"/>
        <w:rPr>
          <w:rFonts w:eastAsiaTheme="minorEastAsia"/>
          <w:color w:val="000000" w:themeColor="text1"/>
          <w:lang w:val="zh-TW"/>
        </w:rPr>
      </w:pPr>
      <w:r>
        <w:rPr>
          <w:rFonts w:eastAsiaTheme="minorEastAsia"/>
          <w:color w:val="000000" w:themeColor="text1"/>
        </w:rPr>
        <w:t>（一）污染防治措施</w:t>
      </w:r>
    </w:p>
    <w:p>
      <w:pPr>
        <w:ind w:firstLine="480"/>
        <w:rPr>
          <w:rFonts w:eastAsiaTheme="minorEastAsia"/>
          <w:color w:val="000000" w:themeColor="text1"/>
          <w:szCs w:val="24"/>
          <w:lang w:val="zh-TW" w:eastAsia="zh-TW"/>
        </w:rPr>
      </w:pPr>
      <w:r>
        <w:rPr>
          <w:rFonts w:eastAsiaTheme="minorEastAsia"/>
          <w:color w:val="000000" w:themeColor="text1"/>
          <w:szCs w:val="24"/>
          <w:lang w:val="zh-TW"/>
        </w:rPr>
        <w:t>1、</w:t>
      </w:r>
      <w:r>
        <w:rPr>
          <w:rFonts w:eastAsiaTheme="minorEastAsia"/>
          <w:color w:val="000000" w:themeColor="text1"/>
          <w:szCs w:val="24"/>
          <w:lang w:val="zh-TW" w:eastAsia="zh-TW"/>
        </w:rPr>
        <w:t>合理安排施工时间。</w:t>
      </w:r>
    </w:p>
    <w:p>
      <w:pPr>
        <w:ind w:firstLine="480"/>
        <w:rPr>
          <w:rFonts w:eastAsiaTheme="minorEastAsia"/>
          <w:color w:val="000000" w:themeColor="text1"/>
          <w:szCs w:val="24"/>
          <w:lang w:val="zh-TW" w:eastAsia="zh-TW"/>
        </w:rPr>
      </w:pPr>
      <w:r>
        <w:rPr>
          <w:rFonts w:eastAsiaTheme="minorEastAsia"/>
          <w:color w:val="000000" w:themeColor="text1"/>
          <w:szCs w:val="24"/>
          <w:lang w:val="zh-TW"/>
        </w:rPr>
        <w:t>2、</w:t>
      </w:r>
      <w:r>
        <w:rPr>
          <w:rFonts w:eastAsiaTheme="minorEastAsia"/>
          <w:color w:val="000000" w:themeColor="text1"/>
          <w:szCs w:val="24"/>
          <w:lang w:val="zh-TW" w:eastAsia="zh-TW"/>
        </w:rPr>
        <w:t>符合施工需要的前提下，尽可能选取噪声低、振动小、能耗小的先进设备。加强对施工机械的维护保养，避免由于设备性能差而使机械噪声增大的现象发生。</w:t>
      </w:r>
    </w:p>
    <w:p>
      <w:pPr>
        <w:ind w:firstLine="480"/>
        <w:rPr>
          <w:rFonts w:eastAsiaTheme="minorEastAsia"/>
          <w:color w:val="000000" w:themeColor="text1"/>
          <w:szCs w:val="24"/>
          <w:lang w:val="zh-TW" w:eastAsia="zh-TW"/>
        </w:rPr>
      </w:pPr>
      <w:r>
        <w:rPr>
          <w:rFonts w:eastAsiaTheme="minorEastAsia"/>
          <w:color w:val="000000" w:themeColor="text1"/>
          <w:szCs w:val="24"/>
          <w:lang w:val="zh-TW"/>
        </w:rPr>
        <w:t>3、</w:t>
      </w:r>
      <w:r>
        <w:rPr>
          <w:rFonts w:eastAsiaTheme="minorEastAsia"/>
          <w:color w:val="000000" w:themeColor="text1"/>
          <w:szCs w:val="24"/>
        </w:rPr>
        <w:t>运</w:t>
      </w:r>
      <w:r>
        <w:rPr>
          <w:rFonts w:eastAsiaTheme="minorEastAsia"/>
          <w:color w:val="000000" w:themeColor="text1"/>
          <w:szCs w:val="24"/>
          <w:lang w:val="zh-TW" w:eastAsia="zh-TW"/>
        </w:rPr>
        <w:t>输车辆经集中居民区等敏感目标时采取减速、禁鸣措施。</w:t>
      </w:r>
    </w:p>
    <w:p>
      <w:pPr>
        <w:ind w:firstLine="480"/>
        <w:rPr>
          <w:rFonts w:eastAsiaTheme="minorEastAsia"/>
          <w:color w:val="000000" w:themeColor="text1"/>
          <w:szCs w:val="24"/>
          <w:lang w:val="zh-TW" w:eastAsia="zh-TW"/>
        </w:rPr>
      </w:pPr>
      <w:r>
        <w:rPr>
          <w:rFonts w:eastAsiaTheme="minorEastAsia"/>
          <w:color w:val="000000" w:themeColor="text1"/>
          <w:szCs w:val="24"/>
          <w:lang w:val="en-GB"/>
        </w:rPr>
        <w:t>4、</w:t>
      </w:r>
      <w:r>
        <w:rPr>
          <w:rFonts w:eastAsiaTheme="minorEastAsia"/>
          <w:color w:val="000000" w:themeColor="text1"/>
          <w:szCs w:val="24"/>
          <w:lang w:val="zh-TW" w:eastAsia="zh-TW"/>
        </w:rPr>
        <w:t>车辆及时进行维修及保养，限制车辆超载。</w:t>
      </w:r>
    </w:p>
    <w:p>
      <w:pPr>
        <w:ind w:firstLine="480"/>
        <w:rPr>
          <w:rFonts w:eastAsiaTheme="minorEastAsia"/>
          <w:color w:val="000000" w:themeColor="text1"/>
        </w:rPr>
      </w:pPr>
      <w:r>
        <w:rPr>
          <w:rFonts w:eastAsiaTheme="minorEastAsia"/>
          <w:color w:val="000000" w:themeColor="text1"/>
        </w:rPr>
        <w:t>（二）可行性分析</w:t>
      </w:r>
    </w:p>
    <w:p>
      <w:pPr>
        <w:pStyle w:val="2"/>
        <w:widowControl w:val="0"/>
        <w:ind w:firstLine="480"/>
        <w:rPr>
          <w:rFonts w:ascii="Times New Roman" w:hAnsi="Times New Roman"/>
          <w:color w:val="000000" w:themeColor="text1"/>
          <w:lang w:eastAsia="zh-CN"/>
        </w:rPr>
      </w:pPr>
      <w:r>
        <w:rPr>
          <w:rFonts w:ascii="Times New Roman" w:hAnsi="Times New Roman"/>
          <w:color w:val="000000" w:themeColor="text1"/>
          <w:lang w:eastAsia="zh-CN"/>
        </w:rPr>
        <w:t>综上所述，由于施工期影响为短期影响，施工结束后即可终止，因此本项目采取的防治措施简单有效，经济可行。</w:t>
      </w:r>
    </w:p>
    <w:p>
      <w:pPr>
        <w:pStyle w:val="6"/>
        <w:adjustRightInd w:val="0"/>
        <w:snapToGrid w:val="0"/>
        <w:spacing w:beforeLines="0" w:afterLines="0"/>
        <w:rPr>
          <w:rFonts w:eastAsiaTheme="minorEastAsia"/>
          <w:color w:val="000000" w:themeColor="text1"/>
          <w:sz w:val="28"/>
          <w:szCs w:val="28"/>
        </w:rPr>
      </w:pPr>
      <w:bookmarkStart w:id="805" w:name="_Toc430953958"/>
      <w:bookmarkStart w:id="806" w:name="_Toc450603674"/>
      <w:bookmarkStart w:id="807" w:name="_Toc430201467"/>
      <w:bookmarkStart w:id="808" w:name="_Toc430953750"/>
      <w:bookmarkStart w:id="809" w:name="_Toc32555"/>
      <w:r>
        <w:rPr>
          <w:rFonts w:eastAsiaTheme="minorEastAsia"/>
          <w:color w:val="000000" w:themeColor="text1"/>
          <w:sz w:val="28"/>
          <w:szCs w:val="28"/>
        </w:rPr>
        <w:t>7.1.4施工固废的处置措施</w:t>
      </w:r>
      <w:bookmarkEnd w:id="805"/>
      <w:bookmarkEnd w:id="806"/>
      <w:bookmarkEnd w:id="807"/>
      <w:bookmarkEnd w:id="808"/>
      <w:r>
        <w:rPr>
          <w:rFonts w:eastAsiaTheme="minorEastAsia"/>
          <w:color w:val="000000" w:themeColor="text1"/>
          <w:sz w:val="28"/>
          <w:szCs w:val="28"/>
        </w:rPr>
        <w:t>及可行性分析</w:t>
      </w:r>
      <w:bookmarkEnd w:id="809"/>
    </w:p>
    <w:p>
      <w:pPr>
        <w:ind w:firstLine="480"/>
        <w:rPr>
          <w:rFonts w:eastAsiaTheme="minorEastAsia"/>
          <w:color w:val="000000" w:themeColor="text1"/>
        </w:rPr>
      </w:pPr>
      <w:r>
        <w:rPr>
          <w:rFonts w:eastAsiaTheme="minorEastAsia"/>
          <w:color w:val="000000" w:themeColor="text1"/>
        </w:rPr>
        <w:t>（一）污染防治措施</w:t>
      </w:r>
    </w:p>
    <w:p>
      <w:pPr>
        <w:ind w:firstLine="480"/>
        <w:rPr>
          <w:rFonts w:eastAsiaTheme="minorEastAsia"/>
          <w:color w:val="000000" w:themeColor="text1"/>
        </w:rPr>
      </w:pPr>
      <w:r>
        <w:rPr>
          <w:rFonts w:eastAsiaTheme="minorEastAsia"/>
          <w:color w:val="000000" w:themeColor="text1"/>
        </w:rPr>
        <w:t>1、施工期建筑垃圾分类集中堆放，可回收将其回收利用，不可回收的统一收集运至住建部门指定地方处置。</w:t>
      </w:r>
    </w:p>
    <w:p>
      <w:pPr>
        <w:pStyle w:val="2"/>
        <w:ind w:firstLine="480"/>
        <w:rPr>
          <w:rFonts w:ascii="Times New Roman" w:hAnsi="Times New Roman" w:eastAsiaTheme="minorEastAsia"/>
          <w:color w:val="000000" w:themeColor="text1"/>
          <w:lang w:eastAsia="zh-CN"/>
        </w:rPr>
      </w:pPr>
      <w:r>
        <w:rPr>
          <w:rFonts w:ascii="Times New Roman" w:hAnsi="Times New Roman" w:eastAsiaTheme="minorEastAsia"/>
          <w:color w:val="000000" w:themeColor="text1"/>
          <w:lang w:eastAsia="zh-CN"/>
        </w:rPr>
        <w:t>2、少量开挖土石方用于厂区低凹处回填。</w:t>
      </w:r>
    </w:p>
    <w:p>
      <w:pPr>
        <w:ind w:firstLine="480"/>
        <w:rPr>
          <w:rFonts w:eastAsiaTheme="minorEastAsia"/>
          <w:color w:val="000000" w:themeColor="text1"/>
        </w:rPr>
      </w:pPr>
      <w:r>
        <w:rPr>
          <w:rFonts w:hint="eastAsia" w:eastAsiaTheme="minorEastAsia"/>
          <w:color w:val="000000" w:themeColor="text1"/>
        </w:rPr>
        <w:t>3</w:t>
      </w:r>
      <w:r>
        <w:rPr>
          <w:rFonts w:eastAsiaTheme="minorEastAsia"/>
          <w:color w:val="000000" w:themeColor="text1"/>
        </w:rPr>
        <w:t>、施工人员生活垃圾收集后与原有项目员工生活垃圾一同清运处理。</w:t>
      </w:r>
    </w:p>
    <w:p>
      <w:pPr>
        <w:ind w:firstLine="480"/>
        <w:rPr>
          <w:rFonts w:eastAsiaTheme="minorEastAsia"/>
          <w:color w:val="000000" w:themeColor="text1"/>
        </w:rPr>
      </w:pPr>
      <w:r>
        <w:rPr>
          <w:rFonts w:eastAsiaTheme="minorEastAsia"/>
          <w:color w:val="000000" w:themeColor="text1"/>
        </w:rPr>
        <w:t>（二）可行性分析</w:t>
      </w:r>
    </w:p>
    <w:p>
      <w:pPr>
        <w:pStyle w:val="2"/>
        <w:widowControl w:val="0"/>
        <w:ind w:firstLine="480"/>
        <w:rPr>
          <w:rFonts w:ascii="Times New Roman" w:hAnsi="Times New Roman"/>
          <w:color w:val="000000" w:themeColor="text1"/>
          <w:lang w:eastAsia="zh-CN"/>
        </w:rPr>
      </w:pPr>
      <w:r>
        <w:rPr>
          <w:rFonts w:ascii="Times New Roman" w:hAnsi="Times New Roman"/>
          <w:color w:val="000000" w:themeColor="text1"/>
          <w:lang w:eastAsia="zh-CN"/>
        </w:rPr>
        <w:t>综上所述，由于施工期产生的固废均能合理处置，施工结束后即可终止，施工期固废不会对周围声环境产生大的长期的不利影响。</w:t>
      </w:r>
    </w:p>
    <w:p>
      <w:pPr>
        <w:pStyle w:val="6"/>
        <w:adjustRightInd w:val="0"/>
        <w:snapToGrid w:val="0"/>
        <w:spacing w:beforeLines="0" w:afterLines="0"/>
        <w:rPr>
          <w:rFonts w:eastAsiaTheme="minorEastAsia"/>
          <w:color w:val="000000" w:themeColor="text1"/>
          <w:sz w:val="28"/>
          <w:szCs w:val="28"/>
        </w:rPr>
      </w:pPr>
      <w:bookmarkStart w:id="810" w:name="_Toc450603675"/>
      <w:bookmarkStart w:id="811" w:name="_Toc4875"/>
      <w:r>
        <w:rPr>
          <w:rFonts w:eastAsiaTheme="minorEastAsia"/>
          <w:color w:val="000000" w:themeColor="text1"/>
          <w:sz w:val="28"/>
          <w:szCs w:val="28"/>
        </w:rPr>
        <w:t>7.1.5生态影响防治措施</w:t>
      </w:r>
      <w:bookmarkEnd w:id="810"/>
      <w:r>
        <w:rPr>
          <w:rFonts w:eastAsiaTheme="minorEastAsia"/>
          <w:color w:val="000000" w:themeColor="text1"/>
          <w:sz w:val="28"/>
          <w:szCs w:val="28"/>
        </w:rPr>
        <w:t>及可行性分析</w:t>
      </w:r>
      <w:bookmarkEnd w:id="811"/>
    </w:p>
    <w:p>
      <w:pPr>
        <w:ind w:firstLine="480"/>
        <w:rPr>
          <w:rFonts w:eastAsiaTheme="minorEastAsia"/>
          <w:color w:val="000000" w:themeColor="text1"/>
        </w:rPr>
      </w:pPr>
      <w:r>
        <w:rPr>
          <w:rFonts w:eastAsiaTheme="minorEastAsia"/>
          <w:color w:val="000000" w:themeColor="text1"/>
        </w:rPr>
        <w:t>（一）污染防治措施</w:t>
      </w:r>
    </w:p>
    <w:p>
      <w:pPr>
        <w:ind w:firstLine="480"/>
        <w:rPr>
          <w:rFonts w:eastAsiaTheme="minorEastAsia"/>
          <w:color w:val="000000" w:themeColor="text1"/>
        </w:rPr>
      </w:pPr>
      <w:r>
        <w:rPr>
          <w:rFonts w:eastAsiaTheme="minorEastAsia"/>
          <w:color w:val="000000" w:themeColor="text1"/>
        </w:rPr>
        <w:t>1、合理安排施工程序，易造成水土流失的施工尽量避开雨季</w:t>
      </w:r>
      <w:r>
        <w:rPr>
          <w:rFonts w:hint="eastAsia" w:eastAsiaTheme="minorEastAsia"/>
          <w:color w:val="000000" w:themeColor="text1"/>
        </w:rPr>
        <w:t>，避免不了雨天施工时，利用塑料防水布覆盖开挖土方，减少水土流失情况</w:t>
      </w:r>
      <w:r>
        <w:rPr>
          <w:rFonts w:eastAsiaTheme="minorEastAsia"/>
          <w:color w:val="000000" w:themeColor="text1"/>
        </w:rPr>
        <w:t>；</w:t>
      </w:r>
    </w:p>
    <w:p>
      <w:pPr>
        <w:ind w:firstLine="480"/>
        <w:rPr>
          <w:rFonts w:eastAsiaTheme="minorEastAsia"/>
          <w:color w:val="000000" w:themeColor="text1"/>
        </w:rPr>
      </w:pPr>
      <w:r>
        <w:rPr>
          <w:rFonts w:eastAsiaTheme="minorEastAsia"/>
          <w:color w:val="000000" w:themeColor="text1"/>
        </w:rPr>
        <w:t>2、加快施工进度，缩短施工时间。</w:t>
      </w:r>
    </w:p>
    <w:p>
      <w:pPr>
        <w:ind w:firstLine="480"/>
        <w:rPr>
          <w:rFonts w:eastAsiaTheme="minorEastAsia"/>
          <w:color w:val="000000" w:themeColor="text1"/>
        </w:rPr>
      </w:pPr>
      <w:r>
        <w:rPr>
          <w:rFonts w:eastAsiaTheme="minorEastAsia"/>
          <w:color w:val="000000" w:themeColor="text1"/>
        </w:rPr>
        <w:t>（二）可行性分析</w:t>
      </w:r>
    </w:p>
    <w:p>
      <w:pPr>
        <w:pStyle w:val="2"/>
        <w:widowControl w:val="0"/>
        <w:ind w:firstLine="480"/>
        <w:rPr>
          <w:rFonts w:ascii="Times New Roman" w:hAnsi="Times New Roman"/>
          <w:color w:val="000000" w:themeColor="text1"/>
          <w:lang w:eastAsia="zh-CN"/>
        </w:rPr>
      </w:pPr>
      <w:r>
        <w:rPr>
          <w:rFonts w:ascii="Times New Roman" w:hAnsi="Times New Roman"/>
          <w:color w:val="000000" w:themeColor="text1"/>
          <w:szCs w:val="24"/>
          <w:lang w:eastAsia="zh-CN"/>
        </w:rPr>
        <w:t>施工期对生态造成的影响，在施工期的结束后对裸露场地进行绿化，减少由于施工对生态环境造成的影响，措施简单有效，经济可行。</w:t>
      </w:r>
    </w:p>
    <w:p>
      <w:pPr>
        <w:pStyle w:val="574"/>
        <w:spacing w:beforeLines="0" w:afterLines="0"/>
        <w:rPr>
          <w:rFonts w:eastAsiaTheme="minorEastAsia"/>
          <w:color w:val="000000" w:themeColor="text1"/>
          <w:sz w:val="30"/>
          <w:szCs w:val="30"/>
        </w:rPr>
      </w:pPr>
      <w:bookmarkStart w:id="812" w:name="_Toc430201468"/>
      <w:bookmarkStart w:id="813" w:name="_Toc24208347"/>
      <w:bookmarkStart w:id="814" w:name="_Toc430953751"/>
      <w:bookmarkStart w:id="815" w:name="_Toc430953959"/>
      <w:bookmarkStart w:id="816" w:name="_Toc450603677"/>
      <w:bookmarkStart w:id="817" w:name="_Toc421915952"/>
      <w:bookmarkStart w:id="818" w:name="_Toc410033921"/>
      <w:bookmarkStart w:id="819" w:name="_Toc28901"/>
      <w:r>
        <w:rPr>
          <w:rFonts w:eastAsiaTheme="minorEastAsia"/>
          <w:color w:val="000000" w:themeColor="text1"/>
          <w:sz w:val="30"/>
          <w:szCs w:val="30"/>
        </w:rPr>
        <w:t>7.2运营期污染防治措施</w:t>
      </w:r>
      <w:bookmarkEnd w:id="812"/>
      <w:bookmarkEnd w:id="813"/>
      <w:bookmarkEnd w:id="814"/>
      <w:bookmarkEnd w:id="815"/>
      <w:bookmarkEnd w:id="816"/>
      <w:bookmarkEnd w:id="817"/>
      <w:bookmarkEnd w:id="818"/>
      <w:r>
        <w:rPr>
          <w:rFonts w:eastAsiaTheme="minorEastAsia"/>
          <w:color w:val="000000" w:themeColor="text1"/>
          <w:sz w:val="30"/>
          <w:szCs w:val="30"/>
        </w:rPr>
        <w:t>及可行性分析</w:t>
      </w:r>
      <w:bookmarkEnd w:id="819"/>
    </w:p>
    <w:p>
      <w:pPr>
        <w:pStyle w:val="6"/>
        <w:adjustRightInd w:val="0"/>
        <w:snapToGrid w:val="0"/>
        <w:spacing w:beforeLines="0" w:afterLines="0"/>
        <w:rPr>
          <w:rFonts w:eastAsiaTheme="minorEastAsia"/>
          <w:color w:val="000000" w:themeColor="text1"/>
          <w:sz w:val="28"/>
          <w:szCs w:val="28"/>
        </w:rPr>
      </w:pPr>
      <w:bookmarkStart w:id="820" w:name="_Toc450603678"/>
      <w:bookmarkStart w:id="821" w:name="_Toc663"/>
      <w:r>
        <w:rPr>
          <w:rFonts w:eastAsiaTheme="minorEastAsia"/>
          <w:color w:val="000000" w:themeColor="text1"/>
          <w:sz w:val="28"/>
          <w:szCs w:val="28"/>
        </w:rPr>
        <w:t>7.2.1废气污染防治措施</w:t>
      </w:r>
      <w:bookmarkEnd w:id="820"/>
      <w:r>
        <w:rPr>
          <w:rFonts w:eastAsiaTheme="minorEastAsia"/>
          <w:color w:val="000000" w:themeColor="text1"/>
          <w:sz w:val="28"/>
          <w:szCs w:val="28"/>
        </w:rPr>
        <w:t>及可行性分析</w:t>
      </w:r>
      <w:bookmarkEnd w:id="821"/>
    </w:p>
    <w:p>
      <w:pPr>
        <w:ind w:firstLine="480"/>
        <w:rPr>
          <w:rFonts w:eastAsiaTheme="minorEastAsia"/>
          <w:color w:val="000000" w:themeColor="text1"/>
        </w:rPr>
      </w:pPr>
      <w:r>
        <w:rPr>
          <w:rFonts w:eastAsiaTheme="minorEastAsia"/>
          <w:color w:val="000000" w:themeColor="text1"/>
        </w:rPr>
        <w:t>（一）污染防治措施</w:t>
      </w:r>
    </w:p>
    <w:p>
      <w:pPr>
        <w:numPr>
          <w:ilvl w:val="0"/>
          <w:numId w:val="35"/>
        </w:numPr>
        <w:adjustRightInd w:val="0"/>
        <w:snapToGrid w:val="0"/>
        <w:ind w:firstLine="480"/>
        <w:rPr>
          <w:rFonts w:eastAsiaTheme="minorEastAsia"/>
          <w:bCs/>
          <w:color w:val="000000" w:themeColor="text1"/>
          <w:szCs w:val="24"/>
        </w:rPr>
      </w:pPr>
      <w:r>
        <w:rPr>
          <w:rFonts w:hint="eastAsia" w:eastAsiaTheme="minorEastAsia"/>
          <w:bCs/>
          <w:color w:val="000000" w:themeColor="text1"/>
          <w:szCs w:val="24"/>
        </w:rPr>
        <w:t>对原料加工区场地进行浇筑硬化；</w:t>
      </w:r>
    </w:p>
    <w:p>
      <w:pPr>
        <w:numPr>
          <w:ilvl w:val="0"/>
          <w:numId w:val="35"/>
        </w:numPr>
        <w:adjustRightInd w:val="0"/>
        <w:snapToGrid w:val="0"/>
        <w:ind w:firstLine="480"/>
        <w:rPr>
          <w:rFonts w:eastAsiaTheme="minorEastAsia"/>
          <w:bCs/>
          <w:color w:val="000000" w:themeColor="text1"/>
          <w:szCs w:val="24"/>
        </w:rPr>
      </w:pPr>
      <w:r>
        <w:rPr>
          <w:rFonts w:eastAsiaTheme="minorEastAsia"/>
          <w:color w:val="000000" w:themeColor="text1"/>
          <w:kern w:val="24"/>
          <w:szCs w:val="24"/>
        </w:rPr>
        <w:t>给料口</w:t>
      </w:r>
      <w:r>
        <w:rPr>
          <w:rFonts w:eastAsiaTheme="minorEastAsia"/>
          <w:bCs/>
          <w:color w:val="000000" w:themeColor="text1"/>
          <w:szCs w:val="24"/>
        </w:rPr>
        <w:t>喷淋降尘，给料口除上部给料处，四周</w:t>
      </w:r>
      <w:r>
        <w:rPr>
          <w:rFonts w:hint="eastAsia" w:eastAsiaTheme="minorEastAsia"/>
          <w:bCs/>
          <w:color w:val="000000" w:themeColor="text1"/>
          <w:szCs w:val="24"/>
        </w:rPr>
        <w:t>密闭</w:t>
      </w:r>
      <w:r>
        <w:rPr>
          <w:rFonts w:eastAsiaTheme="minorEastAsia"/>
          <w:bCs/>
          <w:color w:val="000000" w:themeColor="text1"/>
          <w:szCs w:val="24"/>
        </w:rPr>
        <w:t>；</w:t>
      </w:r>
    </w:p>
    <w:p>
      <w:pPr>
        <w:pStyle w:val="78"/>
        <w:numPr>
          <w:ilvl w:val="0"/>
          <w:numId w:val="35"/>
        </w:numPr>
        <w:adjustRightInd w:val="0"/>
        <w:snapToGrid w:val="0"/>
        <w:ind w:firstLine="480"/>
        <w:rPr>
          <w:color w:val="000000" w:themeColor="text1"/>
          <w:szCs w:val="24"/>
        </w:rPr>
      </w:pPr>
      <w:r>
        <w:rPr>
          <w:rFonts w:eastAsiaTheme="minorEastAsia"/>
          <w:color w:val="000000" w:themeColor="text1"/>
          <w:kern w:val="24"/>
          <w:szCs w:val="24"/>
        </w:rPr>
        <w:t>原矿石堆场设置堆棚形式，三面围挡+遮雨棚；</w:t>
      </w:r>
    </w:p>
    <w:p>
      <w:pPr>
        <w:pStyle w:val="78"/>
        <w:numPr>
          <w:ilvl w:val="0"/>
          <w:numId w:val="35"/>
        </w:numPr>
        <w:adjustRightInd w:val="0"/>
        <w:snapToGrid w:val="0"/>
        <w:ind w:firstLine="480"/>
        <w:rPr>
          <w:color w:val="000000" w:themeColor="text1"/>
          <w:szCs w:val="24"/>
        </w:rPr>
      </w:pPr>
      <w:r>
        <w:rPr>
          <w:rFonts w:eastAsiaTheme="minorEastAsia"/>
          <w:color w:val="000000" w:themeColor="text1"/>
          <w:kern w:val="24"/>
          <w:szCs w:val="24"/>
        </w:rPr>
        <w:t>低品位原矿堆场</w:t>
      </w:r>
      <w:r>
        <w:rPr>
          <w:rStyle w:val="73"/>
          <w:rFonts w:hint="eastAsia"/>
          <w:color w:val="000000" w:themeColor="text1"/>
          <w:kern w:val="0"/>
        </w:rPr>
        <w:t>、</w:t>
      </w:r>
      <w:r>
        <w:rPr>
          <w:rStyle w:val="73"/>
          <w:rFonts w:hint="eastAsia"/>
          <w:color w:val="000000" w:themeColor="text1"/>
          <w:kern w:val="0"/>
          <w:sz w:val="24"/>
          <w:szCs w:val="24"/>
        </w:rPr>
        <w:t>精矿堆场</w:t>
      </w:r>
      <w:r>
        <w:rPr>
          <w:rFonts w:eastAsiaTheme="minorEastAsia"/>
          <w:color w:val="000000" w:themeColor="text1"/>
          <w:kern w:val="24"/>
          <w:szCs w:val="24"/>
        </w:rPr>
        <w:t>设置堆棚形式，三面围挡+遮雨棚，堆棚设置喷淋装置</w:t>
      </w:r>
      <w:r>
        <w:rPr>
          <w:rFonts w:hint="eastAsia" w:eastAsiaTheme="minorEastAsia"/>
          <w:color w:val="000000" w:themeColor="text1"/>
          <w:kern w:val="24"/>
          <w:szCs w:val="24"/>
        </w:rPr>
        <w:t>，三级精矿放置在三级精矿池内</w:t>
      </w:r>
      <w:r>
        <w:rPr>
          <w:rFonts w:eastAsiaTheme="minorEastAsia"/>
          <w:color w:val="000000" w:themeColor="text1"/>
          <w:kern w:val="24"/>
          <w:szCs w:val="24"/>
        </w:rPr>
        <w:t>；</w:t>
      </w:r>
    </w:p>
    <w:p>
      <w:pPr>
        <w:pStyle w:val="78"/>
        <w:numPr>
          <w:ilvl w:val="0"/>
          <w:numId w:val="35"/>
        </w:numPr>
        <w:adjustRightInd w:val="0"/>
        <w:snapToGrid w:val="0"/>
        <w:ind w:firstLine="480"/>
        <w:rPr>
          <w:color w:val="000000" w:themeColor="text1"/>
          <w:szCs w:val="24"/>
        </w:rPr>
      </w:pPr>
      <w:r>
        <w:rPr>
          <w:rFonts w:eastAsiaTheme="minorEastAsia"/>
          <w:color w:val="000000" w:themeColor="text1"/>
          <w:kern w:val="24"/>
          <w:szCs w:val="24"/>
        </w:rPr>
        <w:t>公分石和瓜子石堆场设置堆棚形式，三面围挡+遮雨棚；</w:t>
      </w:r>
    </w:p>
    <w:p>
      <w:pPr>
        <w:pStyle w:val="78"/>
        <w:numPr>
          <w:ilvl w:val="0"/>
          <w:numId w:val="35"/>
        </w:numPr>
        <w:adjustRightInd w:val="0"/>
        <w:snapToGrid w:val="0"/>
        <w:ind w:firstLine="480"/>
        <w:rPr>
          <w:color w:val="000000" w:themeColor="text1"/>
          <w:szCs w:val="24"/>
        </w:rPr>
      </w:pPr>
      <w:r>
        <w:rPr>
          <w:rFonts w:eastAsiaTheme="minorEastAsia"/>
          <w:color w:val="000000" w:themeColor="text1"/>
          <w:kern w:val="24"/>
          <w:szCs w:val="24"/>
        </w:rPr>
        <w:t>机制砂堆场设施堆棚形式，三面围挡+遮雨棚，堆棚设置喷淋装置；</w:t>
      </w:r>
    </w:p>
    <w:p>
      <w:pPr>
        <w:pStyle w:val="78"/>
        <w:numPr>
          <w:ilvl w:val="0"/>
          <w:numId w:val="35"/>
        </w:numPr>
        <w:adjustRightInd w:val="0"/>
        <w:snapToGrid w:val="0"/>
        <w:ind w:firstLine="480"/>
        <w:rPr>
          <w:color w:val="000000" w:themeColor="text1"/>
          <w:szCs w:val="24"/>
        </w:rPr>
      </w:pPr>
      <w:r>
        <w:rPr>
          <w:rFonts w:eastAsiaTheme="minorEastAsia"/>
          <w:color w:val="000000" w:themeColor="text1"/>
          <w:kern w:val="24"/>
          <w:szCs w:val="24"/>
        </w:rPr>
        <w:t>送皮带廊道</w:t>
      </w:r>
      <w:r>
        <w:rPr>
          <w:rFonts w:hint="eastAsia" w:eastAsiaTheme="minorEastAsia"/>
          <w:color w:val="000000" w:themeColor="text1"/>
          <w:kern w:val="24"/>
          <w:szCs w:val="24"/>
        </w:rPr>
        <w:t>廊道进行</w:t>
      </w:r>
      <w:r>
        <w:rPr>
          <w:rFonts w:eastAsiaTheme="minorEastAsia"/>
          <w:color w:val="000000" w:themeColor="text1"/>
          <w:kern w:val="24"/>
          <w:szCs w:val="24"/>
        </w:rPr>
        <w:t>密闭，落料处降低落料高度，运输道路定期洒水降尘；</w:t>
      </w:r>
    </w:p>
    <w:p>
      <w:pPr>
        <w:pStyle w:val="78"/>
        <w:numPr>
          <w:ilvl w:val="0"/>
          <w:numId w:val="35"/>
        </w:numPr>
        <w:adjustRightInd w:val="0"/>
        <w:snapToGrid w:val="0"/>
        <w:ind w:firstLine="480"/>
        <w:rPr>
          <w:color w:val="000000" w:themeColor="text1"/>
          <w:szCs w:val="24"/>
        </w:rPr>
      </w:pPr>
      <w:r>
        <w:rPr>
          <w:rFonts w:eastAsiaTheme="minorEastAsia"/>
          <w:color w:val="000000" w:themeColor="text1"/>
          <w:kern w:val="24"/>
          <w:szCs w:val="24"/>
        </w:rPr>
        <w:t>原料和产品</w:t>
      </w:r>
      <w:r>
        <w:rPr>
          <w:rFonts w:hint="eastAsia" w:eastAsiaTheme="minorEastAsia"/>
          <w:color w:val="000000" w:themeColor="text1"/>
          <w:kern w:val="24"/>
          <w:szCs w:val="24"/>
        </w:rPr>
        <w:t>和副产品</w:t>
      </w:r>
      <w:r>
        <w:rPr>
          <w:rFonts w:eastAsiaTheme="minorEastAsia"/>
          <w:color w:val="000000" w:themeColor="text1"/>
          <w:kern w:val="24"/>
          <w:szCs w:val="24"/>
        </w:rPr>
        <w:t>装卸采用雾炮喷雾降尘；</w:t>
      </w:r>
    </w:p>
    <w:p>
      <w:pPr>
        <w:pStyle w:val="78"/>
        <w:ind w:firstLine="480"/>
        <w:rPr>
          <w:rFonts w:eastAsiaTheme="minorEastAsia"/>
          <w:color w:val="000000" w:themeColor="text1"/>
          <w:kern w:val="24"/>
          <w:szCs w:val="24"/>
        </w:rPr>
      </w:pPr>
      <w:r>
        <w:rPr>
          <w:rFonts w:hint="eastAsia"/>
          <w:color w:val="000000" w:themeColor="text1"/>
        </w:rPr>
        <w:t>9</w:t>
      </w:r>
      <w:r>
        <w:rPr>
          <w:color w:val="000000" w:themeColor="text1"/>
        </w:rPr>
        <w:t>、</w:t>
      </w:r>
      <w:r>
        <w:rPr>
          <w:rFonts w:hint="eastAsia" w:eastAsiaTheme="minorEastAsia"/>
          <w:color w:val="000000" w:themeColor="text1"/>
          <w:kern w:val="24"/>
          <w:szCs w:val="24"/>
        </w:rPr>
        <w:t>2</w:t>
      </w:r>
      <w:r>
        <w:rPr>
          <w:rFonts w:eastAsiaTheme="minorEastAsia"/>
          <w:color w:val="000000" w:themeColor="text1"/>
          <w:kern w:val="24"/>
          <w:szCs w:val="24"/>
        </w:rPr>
        <w:t>台</w:t>
      </w:r>
      <w:r>
        <w:rPr>
          <w:rFonts w:hint="eastAsia" w:eastAsiaTheme="minorEastAsia"/>
          <w:color w:val="000000" w:themeColor="text1"/>
          <w:kern w:val="24"/>
          <w:szCs w:val="24"/>
        </w:rPr>
        <w:t>鄂式破碎机</w:t>
      </w:r>
      <w:r>
        <w:rPr>
          <w:rFonts w:eastAsiaTheme="minorEastAsia"/>
          <w:color w:val="000000" w:themeColor="text1"/>
          <w:kern w:val="24"/>
          <w:szCs w:val="24"/>
        </w:rPr>
        <w:t>和2台圆锥破碎机设置集气罩共用一个布袋除尘器及1根15m的排气筒（</w:t>
      </w:r>
      <w:r>
        <w:rPr>
          <w:rFonts w:hint="eastAsia" w:eastAsiaTheme="minorEastAsia"/>
          <w:color w:val="000000" w:themeColor="text1"/>
          <w:kern w:val="24"/>
          <w:szCs w:val="24"/>
        </w:rPr>
        <w:t>DA001</w:t>
      </w:r>
      <w:r>
        <w:rPr>
          <w:rFonts w:eastAsiaTheme="minorEastAsia"/>
          <w:color w:val="000000" w:themeColor="text1"/>
          <w:kern w:val="24"/>
          <w:szCs w:val="24"/>
        </w:rPr>
        <w:t>）；</w:t>
      </w:r>
      <w:r>
        <w:rPr>
          <w:rFonts w:hint="eastAsia" w:eastAsiaTheme="minorEastAsia"/>
          <w:color w:val="000000" w:themeColor="text1"/>
          <w:kern w:val="24"/>
          <w:szCs w:val="24"/>
        </w:rPr>
        <w:t>3台振动筛、1台水平筛、1台制砂机、1台辊压机上方分别</w:t>
      </w:r>
      <w:r>
        <w:rPr>
          <w:rFonts w:eastAsiaTheme="minorEastAsia"/>
          <w:color w:val="000000" w:themeColor="text1"/>
          <w:kern w:val="24"/>
          <w:szCs w:val="24"/>
        </w:rPr>
        <w:t>设置集气罩，</w:t>
      </w:r>
      <w:r>
        <w:rPr>
          <w:rFonts w:hint="eastAsia" w:eastAsiaTheme="minorEastAsia"/>
          <w:color w:val="000000" w:themeColor="text1"/>
          <w:kern w:val="24"/>
          <w:szCs w:val="24"/>
        </w:rPr>
        <w:t>并引至同</w:t>
      </w:r>
      <w:r>
        <w:rPr>
          <w:rFonts w:eastAsiaTheme="minorEastAsia"/>
          <w:color w:val="000000" w:themeColor="text1"/>
          <w:kern w:val="24"/>
          <w:szCs w:val="24"/>
        </w:rPr>
        <w:t>一个布袋除尘器</w:t>
      </w:r>
      <w:r>
        <w:rPr>
          <w:rFonts w:hint="eastAsia" w:eastAsiaTheme="minorEastAsia"/>
          <w:color w:val="000000" w:themeColor="text1"/>
          <w:kern w:val="24"/>
          <w:szCs w:val="24"/>
        </w:rPr>
        <w:t>处理后经</w:t>
      </w:r>
      <w:r>
        <w:rPr>
          <w:rFonts w:eastAsiaTheme="minorEastAsia"/>
          <w:color w:val="000000" w:themeColor="text1"/>
          <w:kern w:val="24"/>
          <w:szCs w:val="24"/>
        </w:rPr>
        <w:t>1根15m的排气筒（</w:t>
      </w:r>
      <w:r>
        <w:rPr>
          <w:rFonts w:hint="eastAsia" w:eastAsiaTheme="minorEastAsia"/>
          <w:color w:val="000000" w:themeColor="text1"/>
          <w:kern w:val="24"/>
          <w:szCs w:val="24"/>
        </w:rPr>
        <w:t>DA002</w:t>
      </w:r>
      <w:r>
        <w:rPr>
          <w:rFonts w:eastAsiaTheme="minorEastAsia"/>
          <w:color w:val="000000" w:themeColor="text1"/>
          <w:kern w:val="24"/>
          <w:szCs w:val="24"/>
        </w:rPr>
        <w:t>），粉尘经处理后达标排放；</w:t>
      </w:r>
    </w:p>
    <w:p>
      <w:pPr>
        <w:ind w:firstLine="480"/>
        <w:rPr>
          <w:color w:val="000000" w:themeColor="text1"/>
        </w:rPr>
      </w:pPr>
      <w:r>
        <w:rPr>
          <w:rFonts w:hint="eastAsia"/>
          <w:color w:val="000000" w:themeColor="text1"/>
        </w:rPr>
        <w:t>10、非正常工况下，</w:t>
      </w:r>
      <w:r>
        <w:rPr>
          <w:rFonts w:hint="eastAsia" w:eastAsiaTheme="minorEastAsia"/>
          <w:color w:val="000000" w:themeColor="text1"/>
        </w:rPr>
        <w:t>若布袋除尘器出现布袋破损，就会出现颗粒物超标现象，故在日常管理中，加强设备的巡检，若发现布袋破损现象，立即停止生产，并更换布袋，确保颗粒物达标排放。</w:t>
      </w:r>
    </w:p>
    <w:p>
      <w:pPr>
        <w:ind w:firstLine="480"/>
        <w:rPr>
          <w:rFonts w:eastAsiaTheme="minorEastAsia"/>
          <w:color w:val="000000" w:themeColor="text1"/>
        </w:rPr>
      </w:pPr>
      <w:r>
        <w:rPr>
          <w:rFonts w:eastAsiaTheme="minorEastAsia"/>
          <w:color w:val="000000" w:themeColor="text1"/>
        </w:rPr>
        <w:t>（二）可行性分析</w:t>
      </w:r>
    </w:p>
    <w:p>
      <w:pPr>
        <w:pStyle w:val="78"/>
        <w:adjustRightInd w:val="0"/>
        <w:snapToGrid w:val="0"/>
        <w:ind w:firstLine="468"/>
        <w:rPr>
          <w:color w:val="000000" w:themeColor="text1"/>
          <w:szCs w:val="24"/>
        </w:rPr>
      </w:pPr>
      <w:r>
        <w:rPr>
          <w:color w:val="000000" w:themeColor="text1"/>
          <w:spacing w:val="-3"/>
          <w:szCs w:val="24"/>
        </w:rPr>
        <w:t>以上粉尘防治措施是常用和成熟的处理工艺，物料堆场设置堆棚，采用</w:t>
      </w:r>
      <w:r>
        <w:rPr>
          <w:rFonts w:eastAsiaTheme="minorEastAsia"/>
          <w:color w:val="000000" w:themeColor="text1"/>
          <w:kern w:val="24"/>
          <w:szCs w:val="24"/>
        </w:rPr>
        <w:t>三面围挡+遮雨棚形式，有利于控制扬尘的逸散，对于粒径较细小的机制砂和低品位矿，还设置了喷淋装置，能进一步抑制扬尘的产生，减少扬尘排放量，</w:t>
      </w:r>
      <w:r>
        <w:rPr>
          <w:rFonts w:hint="eastAsia" w:eastAsiaTheme="minorEastAsia"/>
          <w:color w:val="000000" w:themeColor="text1"/>
          <w:kern w:val="24"/>
          <w:szCs w:val="24"/>
        </w:rPr>
        <w:t>成品</w:t>
      </w:r>
      <w:r>
        <w:rPr>
          <w:rFonts w:eastAsiaTheme="minorEastAsia"/>
          <w:color w:val="000000" w:themeColor="text1"/>
          <w:kern w:val="24"/>
          <w:szCs w:val="24"/>
        </w:rPr>
        <w:t>装卸过程用雾炮机对装卸时喷雾降尘，输送</w:t>
      </w:r>
      <w:r>
        <w:rPr>
          <w:rStyle w:val="73"/>
          <w:rFonts w:hint="eastAsia"/>
          <w:color w:val="000000" w:themeColor="text1"/>
          <w:kern w:val="0"/>
          <w:sz w:val="24"/>
          <w:szCs w:val="24"/>
        </w:rPr>
        <w:t>廊道进行</w:t>
      </w:r>
      <w:r>
        <w:rPr>
          <w:rFonts w:eastAsiaTheme="minorEastAsia"/>
          <w:color w:val="000000" w:themeColor="text1"/>
          <w:kern w:val="24"/>
          <w:szCs w:val="24"/>
        </w:rPr>
        <w:t>密闭，能减少物料输送</w:t>
      </w:r>
      <w:r>
        <w:rPr>
          <w:rFonts w:hint="eastAsia" w:eastAsiaTheme="minorEastAsia"/>
          <w:color w:val="000000" w:themeColor="text1"/>
          <w:kern w:val="24"/>
          <w:szCs w:val="24"/>
        </w:rPr>
        <w:t>、装载</w:t>
      </w:r>
      <w:r>
        <w:rPr>
          <w:rFonts w:eastAsiaTheme="minorEastAsia"/>
          <w:color w:val="000000" w:themeColor="text1"/>
          <w:kern w:val="24"/>
          <w:szCs w:val="24"/>
        </w:rPr>
        <w:t>过程中</w:t>
      </w:r>
      <w:r>
        <w:rPr>
          <w:rFonts w:hint="eastAsia" w:eastAsiaTheme="minorEastAsia"/>
          <w:color w:val="000000" w:themeColor="text1"/>
          <w:kern w:val="24"/>
          <w:szCs w:val="24"/>
        </w:rPr>
        <w:t>粉尘的排放量</w:t>
      </w:r>
      <w:r>
        <w:rPr>
          <w:rFonts w:eastAsiaTheme="minorEastAsia"/>
          <w:color w:val="000000" w:themeColor="text1"/>
          <w:kern w:val="24"/>
          <w:szCs w:val="24"/>
        </w:rPr>
        <w:t>，破碎机、筛分机、制砂机等加工设备布置集中，各自设置集气罩，</w:t>
      </w:r>
      <w:r>
        <w:rPr>
          <w:rFonts w:hint="eastAsia" w:eastAsiaTheme="minorEastAsia"/>
          <w:color w:val="000000" w:themeColor="text1"/>
          <w:kern w:val="24"/>
          <w:szCs w:val="24"/>
        </w:rPr>
        <w:t>2</w:t>
      </w:r>
      <w:r>
        <w:rPr>
          <w:rFonts w:eastAsiaTheme="minorEastAsia"/>
          <w:color w:val="000000" w:themeColor="text1"/>
          <w:kern w:val="24"/>
          <w:szCs w:val="24"/>
        </w:rPr>
        <w:t>台</w:t>
      </w:r>
      <w:r>
        <w:rPr>
          <w:rFonts w:hint="eastAsia" w:eastAsiaTheme="minorEastAsia"/>
          <w:color w:val="000000" w:themeColor="text1"/>
          <w:kern w:val="24"/>
          <w:szCs w:val="24"/>
        </w:rPr>
        <w:t>鄂式破碎机</w:t>
      </w:r>
      <w:r>
        <w:rPr>
          <w:rFonts w:eastAsiaTheme="minorEastAsia"/>
          <w:color w:val="000000" w:themeColor="text1"/>
          <w:kern w:val="24"/>
          <w:szCs w:val="24"/>
        </w:rPr>
        <w:t>和2台圆锥破碎机共用一台布袋除尘器和同一根排气筒，</w:t>
      </w:r>
      <w:r>
        <w:rPr>
          <w:rFonts w:hint="eastAsia" w:eastAsiaTheme="minorEastAsia"/>
          <w:color w:val="000000" w:themeColor="text1"/>
          <w:kern w:val="24"/>
          <w:szCs w:val="24"/>
        </w:rPr>
        <w:t>3台振动筛、1台水平筛、1台制砂机、1台辊压机</w:t>
      </w:r>
      <w:r>
        <w:rPr>
          <w:rFonts w:eastAsiaTheme="minorEastAsia"/>
          <w:color w:val="000000" w:themeColor="text1"/>
          <w:kern w:val="24"/>
          <w:szCs w:val="24"/>
        </w:rPr>
        <w:t>共用一台布袋除尘器和同一根排气筒，能降低污染防治费用，而且布袋易于管理和更换，造价不高</w:t>
      </w:r>
      <w:r>
        <w:rPr>
          <w:rFonts w:hint="eastAsia" w:eastAsiaTheme="minorEastAsia"/>
          <w:color w:val="000000" w:themeColor="text1"/>
          <w:kern w:val="24"/>
          <w:szCs w:val="24"/>
        </w:rPr>
        <w:t>。由于国家未发布过选矿行业的</w:t>
      </w:r>
      <w:r>
        <w:rPr>
          <w:rFonts w:hint="eastAsia"/>
          <w:bCs/>
          <w:color w:val="000000" w:themeColor="text1"/>
          <w:szCs w:val="24"/>
        </w:rPr>
        <w:t>排污许可证申请与核发技术规范，原料处理粉尘污染防治措施的可行性类比《排污许可证申请与核发技术规范 陶瓷砖瓦业》，</w:t>
      </w:r>
      <w:r>
        <w:rPr>
          <w:rFonts w:hint="eastAsia" w:eastAsiaTheme="minorEastAsia"/>
          <w:color w:val="000000" w:themeColor="text1"/>
          <w:kern w:val="24"/>
          <w:szCs w:val="24"/>
        </w:rPr>
        <w:t>以上污染治理措施均为</w:t>
      </w:r>
      <w:r>
        <w:rPr>
          <w:rFonts w:hint="eastAsia"/>
          <w:bCs/>
          <w:color w:val="000000" w:themeColor="text1"/>
          <w:szCs w:val="24"/>
        </w:rPr>
        <w:t>《排污许可证申请与核发技术规范 陶瓷砖瓦业》中推荐的可行技术，</w:t>
      </w:r>
      <w:r>
        <w:rPr>
          <w:rFonts w:eastAsiaTheme="minorEastAsia"/>
          <w:color w:val="000000" w:themeColor="text1"/>
          <w:kern w:val="24"/>
          <w:szCs w:val="24"/>
        </w:rPr>
        <w:t>以上污染防治措施经济、合理可行。</w:t>
      </w:r>
    </w:p>
    <w:p>
      <w:pPr>
        <w:pStyle w:val="6"/>
        <w:adjustRightInd w:val="0"/>
        <w:snapToGrid w:val="0"/>
        <w:spacing w:beforeLines="0" w:afterLines="0"/>
        <w:rPr>
          <w:rFonts w:eastAsiaTheme="minorEastAsia"/>
          <w:color w:val="000000" w:themeColor="text1"/>
          <w:sz w:val="28"/>
          <w:szCs w:val="28"/>
        </w:rPr>
      </w:pPr>
      <w:bookmarkStart w:id="822" w:name="_Toc9389"/>
      <w:r>
        <w:rPr>
          <w:rFonts w:eastAsiaTheme="minorEastAsia"/>
          <w:color w:val="000000" w:themeColor="text1"/>
          <w:sz w:val="28"/>
          <w:szCs w:val="28"/>
        </w:rPr>
        <w:t>7.2.2废水污染防治措施及可行性分析</w:t>
      </w:r>
      <w:bookmarkEnd w:id="822"/>
    </w:p>
    <w:p>
      <w:pPr>
        <w:ind w:firstLine="480"/>
        <w:rPr>
          <w:rFonts w:eastAsiaTheme="minorEastAsia"/>
          <w:color w:val="000000" w:themeColor="text1"/>
        </w:rPr>
      </w:pPr>
      <w:r>
        <w:rPr>
          <w:rFonts w:eastAsiaTheme="minorEastAsia"/>
          <w:color w:val="000000" w:themeColor="text1"/>
        </w:rPr>
        <w:t>（一）污染防治措施</w:t>
      </w:r>
    </w:p>
    <w:p>
      <w:pPr>
        <w:ind w:firstLine="480"/>
        <w:rPr>
          <w:rFonts w:eastAsiaTheme="minorEastAsia"/>
          <w:color w:val="000000" w:themeColor="text1"/>
          <w:szCs w:val="24"/>
        </w:rPr>
      </w:pPr>
      <w:r>
        <w:rPr>
          <w:rFonts w:eastAsiaTheme="minorEastAsia"/>
          <w:color w:val="000000" w:themeColor="text1"/>
          <w:szCs w:val="24"/>
        </w:rPr>
        <w:t>1、</w:t>
      </w:r>
      <w:r>
        <w:rPr>
          <w:rFonts w:hint="eastAsia" w:eastAsiaTheme="minorEastAsia"/>
          <w:color w:val="000000" w:themeColor="text1"/>
          <w:kern w:val="24"/>
          <w:szCs w:val="24"/>
        </w:rPr>
        <w:t>生产区</w:t>
      </w:r>
      <w:r>
        <w:rPr>
          <w:rFonts w:eastAsiaTheme="minorEastAsia"/>
          <w:color w:val="000000" w:themeColor="text1"/>
          <w:kern w:val="24"/>
          <w:szCs w:val="24"/>
        </w:rPr>
        <w:t>设置</w:t>
      </w:r>
      <w:r>
        <w:rPr>
          <w:rFonts w:hint="eastAsia" w:eastAsiaTheme="minorEastAsia"/>
          <w:color w:val="000000" w:themeColor="text1"/>
          <w:kern w:val="24"/>
          <w:szCs w:val="24"/>
        </w:rPr>
        <w:t>初期</w:t>
      </w:r>
      <w:r>
        <w:rPr>
          <w:rFonts w:eastAsiaTheme="minorEastAsia"/>
          <w:color w:val="000000" w:themeColor="text1"/>
          <w:kern w:val="24"/>
          <w:szCs w:val="24"/>
        </w:rPr>
        <w:t>雨水收集池</w:t>
      </w:r>
      <w:r>
        <w:rPr>
          <w:rFonts w:hint="eastAsia" w:eastAsiaTheme="minorEastAsia"/>
          <w:color w:val="000000" w:themeColor="text1"/>
          <w:kern w:val="24"/>
          <w:szCs w:val="24"/>
        </w:rPr>
        <w:t>1个，容积为200m</w:t>
      </w:r>
      <w:r>
        <w:rPr>
          <w:rFonts w:hint="eastAsia" w:eastAsiaTheme="minorEastAsia"/>
          <w:color w:val="000000" w:themeColor="text1"/>
          <w:kern w:val="24"/>
          <w:szCs w:val="24"/>
          <w:vertAlign w:val="superscript"/>
        </w:rPr>
        <w:t>3</w:t>
      </w:r>
      <w:r>
        <w:rPr>
          <w:rFonts w:hint="eastAsia" w:eastAsiaTheme="minorEastAsia"/>
          <w:color w:val="000000" w:themeColor="text1"/>
          <w:kern w:val="24"/>
          <w:szCs w:val="24"/>
        </w:rPr>
        <w:t>，设置雨水沟250m，初期雨水收集后用于项目选矿。</w:t>
      </w:r>
    </w:p>
    <w:p>
      <w:pPr>
        <w:ind w:firstLine="480"/>
        <w:rPr>
          <w:rFonts w:eastAsiaTheme="minorEastAsia"/>
          <w:color w:val="000000" w:themeColor="text1"/>
          <w:szCs w:val="24"/>
        </w:rPr>
      </w:pPr>
      <w:r>
        <w:rPr>
          <w:rFonts w:hint="eastAsia" w:eastAsiaTheme="minorEastAsia"/>
          <w:color w:val="000000" w:themeColor="text1"/>
          <w:szCs w:val="24"/>
        </w:rPr>
        <w:t>2、</w:t>
      </w:r>
      <w:r>
        <w:rPr>
          <w:rFonts w:eastAsiaTheme="minorEastAsia"/>
          <w:color w:val="000000" w:themeColor="text1"/>
          <w:szCs w:val="24"/>
        </w:rPr>
        <w:t>生活</w:t>
      </w:r>
      <w:r>
        <w:rPr>
          <w:rFonts w:hint="eastAsia" w:eastAsiaTheme="minorEastAsia"/>
          <w:color w:val="000000" w:themeColor="text1"/>
          <w:szCs w:val="24"/>
        </w:rPr>
        <w:t>污</w:t>
      </w:r>
      <w:r>
        <w:rPr>
          <w:rFonts w:eastAsiaTheme="minorEastAsia"/>
          <w:color w:val="000000" w:themeColor="text1"/>
          <w:szCs w:val="24"/>
        </w:rPr>
        <w:t>水经一套15m</w:t>
      </w:r>
      <w:r>
        <w:rPr>
          <w:rFonts w:eastAsiaTheme="minorEastAsia"/>
          <w:color w:val="000000" w:themeColor="text1"/>
          <w:szCs w:val="24"/>
          <w:vertAlign w:val="superscript"/>
        </w:rPr>
        <w:t>3</w:t>
      </w:r>
      <w:r>
        <w:rPr>
          <w:rFonts w:eastAsiaTheme="minorEastAsia"/>
          <w:color w:val="000000" w:themeColor="text1"/>
          <w:szCs w:val="24"/>
        </w:rPr>
        <w:t>/d的一体化污水处理设施处理</w:t>
      </w:r>
      <w:r>
        <w:rPr>
          <w:rFonts w:eastAsiaTheme="minorEastAsia"/>
          <w:bCs/>
          <w:color w:val="000000" w:themeColor="text1"/>
        </w:rPr>
        <w:t>达到</w:t>
      </w:r>
      <w:r>
        <w:rPr>
          <w:rFonts w:eastAsiaTheme="minorEastAsia"/>
          <w:color w:val="000000" w:themeColor="text1"/>
        </w:rPr>
        <w:t>《城市污水再生利用城市杂用水水质》（GB/T/18920-20</w:t>
      </w:r>
      <w:r>
        <w:rPr>
          <w:rFonts w:hint="eastAsia" w:eastAsiaTheme="minorEastAsia"/>
          <w:color w:val="000000" w:themeColor="text1"/>
        </w:rPr>
        <w:t>20</w:t>
      </w:r>
      <w:r>
        <w:rPr>
          <w:rFonts w:eastAsiaTheme="minorEastAsia"/>
          <w:color w:val="000000" w:themeColor="text1"/>
        </w:rPr>
        <w:t>）标准绿化标准限值回用于厂区绿化，生活污水不外排，设置1个50m</w:t>
      </w:r>
      <w:r>
        <w:rPr>
          <w:rFonts w:eastAsiaTheme="minorEastAsia"/>
          <w:color w:val="000000" w:themeColor="text1"/>
          <w:vertAlign w:val="superscript"/>
        </w:rPr>
        <w:t>3</w:t>
      </w:r>
      <w:r>
        <w:rPr>
          <w:rFonts w:eastAsiaTheme="minorEastAsia"/>
          <w:color w:val="000000" w:themeColor="text1"/>
        </w:rPr>
        <w:t>的中水收集池用于储存中水</w:t>
      </w:r>
      <w:r>
        <w:rPr>
          <w:rFonts w:hint="eastAsia" w:eastAsiaTheme="minorEastAsia"/>
          <w:color w:val="000000" w:themeColor="text1"/>
        </w:rPr>
        <w:t>，用于非雨季期绿化</w:t>
      </w:r>
      <w:r>
        <w:rPr>
          <w:rFonts w:eastAsiaTheme="minorEastAsia"/>
          <w:color w:val="000000" w:themeColor="text1"/>
        </w:rPr>
        <w:t>。</w:t>
      </w:r>
    </w:p>
    <w:p>
      <w:pPr>
        <w:ind w:firstLine="480"/>
        <w:rPr>
          <w:rFonts w:eastAsiaTheme="minorEastAsia"/>
          <w:color w:val="000000" w:themeColor="text1"/>
        </w:rPr>
      </w:pPr>
      <w:r>
        <w:rPr>
          <w:rFonts w:hint="eastAsia" w:eastAsiaTheme="minorEastAsia"/>
          <w:color w:val="000000" w:themeColor="text1"/>
          <w:szCs w:val="24"/>
        </w:rPr>
        <w:t>3</w:t>
      </w:r>
      <w:r>
        <w:rPr>
          <w:rFonts w:eastAsiaTheme="minorEastAsia"/>
          <w:color w:val="000000" w:themeColor="text1"/>
          <w:szCs w:val="24"/>
        </w:rPr>
        <w:t>、原有项目选矿废水经尾矿浆沉淀池沉淀后用于生产循环使用，原有选矿生产线</w:t>
      </w:r>
      <w:r>
        <w:rPr>
          <w:rFonts w:eastAsiaTheme="minorEastAsia"/>
          <w:bCs/>
          <w:color w:val="000000" w:themeColor="text1"/>
        </w:rPr>
        <w:t>尾矿库回水方式为库内回水和坝下回水相结合，回水收集于尾矿库沉淀池中由泵提升至尾矿库</w:t>
      </w:r>
      <w:r>
        <w:rPr>
          <w:rFonts w:eastAsiaTheme="minorEastAsia"/>
          <w:color w:val="000000" w:themeColor="text1"/>
        </w:rPr>
        <w:t>高位回水池再回用于生产，生产废水不外排。</w:t>
      </w:r>
    </w:p>
    <w:p>
      <w:pPr>
        <w:ind w:firstLine="480"/>
        <w:rPr>
          <w:rFonts w:eastAsiaTheme="minorEastAsia"/>
          <w:color w:val="000000" w:themeColor="text1"/>
        </w:rPr>
      </w:pPr>
      <w:r>
        <w:rPr>
          <w:rFonts w:hint="eastAsia" w:eastAsiaTheme="minorEastAsia"/>
          <w:color w:val="000000" w:themeColor="text1"/>
          <w:szCs w:val="24"/>
        </w:rPr>
        <w:t>4</w:t>
      </w:r>
      <w:r>
        <w:rPr>
          <w:rFonts w:eastAsiaTheme="minorEastAsia"/>
          <w:color w:val="000000" w:themeColor="text1"/>
          <w:szCs w:val="24"/>
        </w:rPr>
        <w:t>、原有项目在非正常情况下，</w:t>
      </w:r>
      <w:r>
        <w:rPr>
          <w:rFonts w:eastAsiaTheme="minorEastAsia"/>
          <w:color w:val="000000" w:themeColor="text1"/>
        </w:rPr>
        <w:t>若选厂发生尾矿输送泵、管道、回水设施等发生故障，立即停止生产，并将事故废水</w:t>
      </w:r>
      <w:r>
        <w:rPr>
          <w:rFonts w:hint="eastAsia" w:eastAsiaTheme="minorEastAsia"/>
          <w:color w:val="000000" w:themeColor="text1"/>
        </w:rPr>
        <w:t>、尾矿</w:t>
      </w:r>
      <w:r>
        <w:rPr>
          <w:rFonts w:eastAsiaTheme="minorEastAsia"/>
          <w:color w:val="000000" w:themeColor="text1"/>
        </w:rPr>
        <w:t>引至应急事故池</w:t>
      </w:r>
      <w:r>
        <w:rPr>
          <w:rFonts w:hint="eastAsia" w:eastAsiaTheme="minorEastAsia"/>
          <w:color w:val="000000" w:themeColor="text1"/>
        </w:rPr>
        <w:t>（1#）</w:t>
      </w:r>
      <w:r>
        <w:rPr>
          <w:rFonts w:eastAsiaTheme="minorEastAsia"/>
          <w:color w:val="000000" w:themeColor="text1"/>
        </w:rPr>
        <w:t>，待相关设施检修完成后，再将事故废水处理后循环使用，</w:t>
      </w:r>
      <w:r>
        <w:rPr>
          <w:rFonts w:eastAsiaTheme="minorEastAsia"/>
          <w:color w:val="000000" w:themeColor="text1"/>
          <w:kern w:val="0"/>
          <w:lang w:bidi="en-US"/>
        </w:rPr>
        <w:t>不外排</w:t>
      </w:r>
      <w:r>
        <w:rPr>
          <w:rFonts w:hint="eastAsia" w:eastAsiaTheme="minorEastAsia"/>
          <w:color w:val="000000" w:themeColor="text1"/>
          <w:kern w:val="0"/>
          <w:lang w:bidi="en-US"/>
        </w:rPr>
        <w:t>；在选矿区最低处设置1个40m</w:t>
      </w:r>
      <w:r>
        <w:rPr>
          <w:rFonts w:hint="eastAsia" w:eastAsiaTheme="minorEastAsia"/>
          <w:color w:val="000000" w:themeColor="text1"/>
          <w:kern w:val="0"/>
          <w:vertAlign w:val="superscript"/>
          <w:lang w:bidi="en-US"/>
        </w:rPr>
        <w:t>3</w:t>
      </w:r>
      <w:r>
        <w:rPr>
          <w:rFonts w:hint="eastAsia" w:eastAsiaTheme="minorEastAsia"/>
          <w:color w:val="000000" w:themeColor="text1"/>
          <w:kern w:val="0"/>
          <w:lang w:bidi="en-US"/>
        </w:rPr>
        <w:t>的事故应急池（2#），用来收集选矿设备发生破裂时泄漏出的矿浆；</w:t>
      </w:r>
      <w:r>
        <w:rPr>
          <w:rFonts w:eastAsiaTheme="minorEastAsia"/>
          <w:color w:val="000000" w:themeColor="text1"/>
        </w:rPr>
        <w:t>尾矿库旁设置一个30m</w:t>
      </w:r>
      <w:r>
        <w:rPr>
          <w:rFonts w:eastAsiaTheme="minorEastAsia"/>
          <w:color w:val="000000" w:themeColor="text1"/>
          <w:vertAlign w:val="superscript"/>
        </w:rPr>
        <w:t>3</w:t>
      </w:r>
      <w:r>
        <w:rPr>
          <w:rFonts w:eastAsiaTheme="minorEastAsia"/>
          <w:color w:val="000000" w:themeColor="text1"/>
        </w:rPr>
        <w:t>的回水池，坝下设置了一个15m</w:t>
      </w:r>
      <w:r>
        <w:rPr>
          <w:rFonts w:eastAsiaTheme="minorEastAsia"/>
          <w:color w:val="000000" w:themeColor="text1"/>
          <w:vertAlign w:val="superscript"/>
        </w:rPr>
        <w:t>3</w:t>
      </w:r>
      <w:r>
        <w:rPr>
          <w:rFonts w:eastAsiaTheme="minorEastAsia"/>
          <w:color w:val="000000" w:themeColor="text1"/>
        </w:rPr>
        <w:t>的沉淀池，</w:t>
      </w:r>
      <w:r>
        <w:rPr>
          <w:rFonts w:eastAsiaTheme="minorEastAsia"/>
          <w:color w:val="000000" w:themeColor="text1"/>
          <w:kern w:val="0"/>
          <w:lang w:bidi="en-US"/>
        </w:rPr>
        <w:t>若尾矿库发生</w:t>
      </w:r>
      <w:r>
        <w:rPr>
          <w:rFonts w:eastAsiaTheme="minorEastAsia"/>
          <w:color w:val="000000" w:themeColor="text1"/>
        </w:rPr>
        <w:t>泄漏或破裂，应立即停产，减少进入尾矿库的尾矿量，将泄漏废水引至沉淀池，并对发生故障的设施立即抢修。</w:t>
      </w:r>
    </w:p>
    <w:p>
      <w:pPr>
        <w:pStyle w:val="78"/>
        <w:ind w:firstLine="480"/>
        <w:rPr>
          <w:rFonts w:eastAsiaTheme="minorEastAsia"/>
          <w:color w:val="000000" w:themeColor="text1"/>
        </w:rPr>
      </w:pPr>
      <w:r>
        <w:rPr>
          <w:rFonts w:hint="eastAsia" w:eastAsiaTheme="minorEastAsia"/>
          <w:color w:val="000000" w:themeColor="text1"/>
        </w:rPr>
        <w:t>5</w:t>
      </w:r>
      <w:r>
        <w:rPr>
          <w:rFonts w:eastAsiaTheme="minorEastAsia"/>
          <w:color w:val="000000" w:themeColor="text1"/>
        </w:rPr>
        <w:t>、技改项目洗砂泥浆进入</w:t>
      </w:r>
      <w:r>
        <w:rPr>
          <w:rFonts w:hint="eastAsia" w:eastAsiaTheme="minorEastAsia"/>
          <w:color w:val="000000" w:themeColor="text1"/>
        </w:rPr>
        <w:t>原有项目</w:t>
      </w:r>
      <w:r>
        <w:rPr>
          <w:rFonts w:eastAsiaTheme="minorEastAsia"/>
          <w:color w:val="000000" w:themeColor="text1"/>
        </w:rPr>
        <w:t>磁选机，技改选矿生产线产生的选矿废水通过进入尾矿沉淀池，澄清水抽至选矿</w:t>
      </w:r>
      <w:r>
        <w:rPr>
          <w:rFonts w:hint="eastAsia" w:eastAsiaTheme="minorEastAsia"/>
          <w:color w:val="000000" w:themeColor="text1"/>
        </w:rPr>
        <w:t>工序</w:t>
      </w:r>
      <w:r>
        <w:rPr>
          <w:rFonts w:eastAsiaTheme="minorEastAsia"/>
          <w:color w:val="000000" w:themeColor="text1"/>
        </w:rPr>
        <w:t>上使用</w:t>
      </w:r>
      <w:r>
        <w:rPr>
          <w:rFonts w:hint="eastAsia" w:eastAsiaTheme="minorEastAsia"/>
          <w:color w:val="000000" w:themeColor="text1"/>
          <w:lang w:eastAsia="zh-CN"/>
        </w:rPr>
        <w:t>，</w:t>
      </w:r>
      <w:r>
        <w:rPr>
          <w:rFonts w:hint="eastAsia" w:eastAsiaTheme="minorEastAsia"/>
          <w:color w:val="000000" w:themeColor="text1"/>
          <w:lang w:val="en-US" w:eastAsia="zh-CN"/>
        </w:rPr>
        <w:t>尾矿废水随尾矿携带进入依托的浓密池</w:t>
      </w:r>
      <w:r>
        <w:rPr>
          <w:rFonts w:eastAsiaTheme="minorEastAsia"/>
          <w:color w:val="000000" w:themeColor="text1"/>
        </w:rPr>
        <w:t>。</w:t>
      </w:r>
    </w:p>
    <w:p>
      <w:pPr>
        <w:ind w:firstLine="480"/>
        <w:rPr>
          <w:rFonts w:eastAsiaTheme="minorEastAsia"/>
          <w:color w:val="000000" w:themeColor="text1"/>
        </w:rPr>
      </w:pPr>
      <w:r>
        <w:rPr>
          <w:rFonts w:eastAsiaTheme="minorEastAsia"/>
          <w:color w:val="000000" w:themeColor="text1"/>
        </w:rPr>
        <w:t>（二）可行性分析</w:t>
      </w:r>
    </w:p>
    <w:p>
      <w:pPr>
        <w:pStyle w:val="78"/>
        <w:ind w:firstLine="480"/>
        <w:rPr>
          <w:rFonts w:eastAsiaTheme="minorEastAsia"/>
          <w:color w:val="000000" w:themeColor="text1"/>
        </w:rPr>
      </w:pPr>
      <w:r>
        <w:rPr>
          <w:rFonts w:eastAsiaTheme="minorEastAsia"/>
          <w:color w:val="000000" w:themeColor="text1"/>
        </w:rPr>
        <w:t>技改生产线尾矿进入本厂区内的尾矿浆沉淀池沉淀后，沉淀池内的上清液经抽取至选矿生产线使用，陶瓷机压滤水</w:t>
      </w:r>
      <w:r>
        <w:rPr>
          <w:rFonts w:hint="eastAsia" w:eastAsiaTheme="minorEastAsia"/>
          <w:color w:val="000000" w:themeColor="text1"/>
        </w:rPr>
        <w:t>及清洗废水</w:t>
      </w:r>
      <w:r>
        <w:rPr>
          <w:rFonts w:eastAsiaTheme="minorEastAsia"/>
          <w:color w:val="000000" w:themeColor="text1"/>
        </w:rPr>
        <w:t>进入尾矿浆沉淀池沉淀，上清液返回选矿生产线使用，原料加工处理站的洗沙废水用于选矿生产线，一方面对洗沙泥浆中少量的矿进一步回收，一部分可以实现洗沙废水不外排。生活污水处理达标可行性分析如下所示：</w:t>
      </w:r>
    </w:p>
    <w:p>
      <w:pPr>
        <w:pStyle w:val="78"/>
        <w:ind w:firstLine="422"/>
        <w:jc w:val="center"/>
        <w:rPr>
          <w:b/>
          <w:bCs/>
          <w:color w:val="000000" w:themeColor="text1"/>
        </w:rPr>
      </w:pPr>
      <w:r>
        <w:rPr>
          <w:b/>
          <w:bCs/>
          <w:color w:val="000000" w:themeColor="text1"/>
          <w:sz w:val="21"/>
          <w:szCs w:val="21"/>
        </w:rPr>
        <w:t>表7.2-1生活污水一体化处理设施处理情况</w:t>
      </w:r>
    </w:p>
    <w:tbl>
      <w:tblPr>
        <w:tblStyle w:val="61"/>
        <w:tblW w:w="8757" w:type="dxa"/>
        <w:jc w:val="center"/>
        <w:tblInd w:w="0" w:type="dxa"/>
        <w:tblLayout w:type="fixed"/>
        <w:tblCellMar>
          <w:top w:w="0" w:type="dxa"/>
          <w:left w:w="108" w:type="dxa"/>
          <w:bottom w:w="0" w:type="dxa"/>
          <w:right w:w="108" w:type="dxa"/>
        </w:tblCellMar>
      </w:tblPr>
      <w:tblGrid>
        <w:gridCol w:w="1662"/>
        <w:gridCol w:w="1717"/>
        <w:gridCol w:w="1449"/>
        <w:gridCol w:w="1335"/>
        <w:gridCol w:w="1278"/>
        <w:gridCol w:w="1316"/>
      </w:tblGrid>
      <w:tr>
        <w:tblPrEx>
          <w:tblLayout w:type="fixed"/>
          <w:tblCellMar>
            <w:top w:w="0" w:type="dxa"/>
            <w:left w:w="108" w:type="dxa"/>
            <w:bottom w:w="0" w:type="dxa"/>
            <w:right w:w="108" w:type="dxa"/>
          </w:tblCellMar>
        </w:tblPrEx>
        <w:trPr>
          <w:trHeight w:val="478" w:hRule="atLeast"/>
          <w:jc w:val="center"/>
        </w:trPr>
        <w:tc>
          <w:tcPr>
            <w:tcW w:w="1662" w:type="dxa"/>
            <w:tcBorders>
              <w:top w:val="single" w:color="auto" w:sz="8" w:space="0"/>
              <w:left w:val="single" w:color="auto" w:sz="8" w:space="0"/>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处理单元</w:t>
            </w:r>
          </w:p>
        </w:tc>
        <w:tc>
          <w:tcPr>
            <w:tcW w:w="1717" w:type="dxa"/>
            <w:tcBorders>
              <w:top w:val="single" w:color="auto" w:sz="8" w:space="0"/>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指标</w:t>
            </w:r>
          </w:p>
        </w:tc>
        <w:tc>
          <w:tcPr>
            <w:tcW w:w="1449" w:type="dxa"/>
            <w:tcBorders>
              <w:top w:val="single" w:color="auto" w:sz="8" w:space="0"/>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CODcr</w:t>
            </w:r>
          </w:p>
        </w:tc>
        <w:tc>
          <w:tcPr>
            <w:tcW w:w="1335" w:type="dxa"/>
            <w:tcBorders>
              <w:top w:val="single" w:color="auto" w:sz="8" w:space="0"/>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BOD</w:t>
            </w:r>
            <w:r>
              <w:rPr>
                <w:color w:val="000000" w:themeColor="text1"/>
                <w:sz w:val="21"/>
                <w:szCs w:val="21"/>
                <w:vertAlign w:val="subscript"/>
              </w:rPr>
              <w:t>5</w:t>
            </w:r>
          </w:p>
        </w:tc>
        <w:tc>
          <w:tcPr>
            <w:tcW w:w="1278" w:type="dxa"/>
            <w:tcBorders>
              <w:top w:val="single" w:color="auto" w:sz="8" w:space="0"/>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SS</w:t>
            </w:r>
          </w:p>
        </w:tc>
        <w:tc>
          <w:tcPr>
            <w:tcW w:w="1316" w:type="dxa"/>
            <w:tcBorders>
              <w:top w:val="single" w:color="auto" w:sz="8" w:space="0"/>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NH</w:t>
            </w:r>
            <w:r>
              <w:rPr>
                <w:color w:val="000000" w:themeColor="text1"/>
                <w:sz w:val="21"/>
                <w:szCs w:val="21"/>
                <w:vertAlign w:val="subscript"/>
              </w:rPr>
              <w:t>3</w:t>
            </w:r>
            <w:r>
              <w:rPr>
                <w:color w:val="000000" w:themeColor="text1"/>
                <w:sz w:val="21"/>
                <w:szCs w:val="21"/>
              </w:rPr>
              <w:t>-N</w:t>
            </w:r>
          </w:p>
        </w:tc>
      </w:tr>
      <w:tr>
        <w:tblPrEx>
          <w:tblLayout w:type="fixed"/>
          <w:tblCellMar>
            <w:top w:w="0" w:type="dxa"/>
            <w:left w:w="108" w:type="dxa"/>
            <w:bottom w:w="0" w:type="dxa"/>
            <w:right w:w="108" w:type="dxa"/>
          </w:tblCellMar>
        </w:tblPrEx>
        <w:trPr>
          <w:trHeight w:val="468" w:hRule="atLeast"/>
          <w:jc w:val="center"/>
        </w:trPr>
        <w:tc>
          <w:tcPr>
            <w:tcW w:w="1662"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化粪池</w:t>
            </w:r>
          </w:p>
        </w:tc>
        <w:tc>
          <w:tcPr>
            <w:tcW w:w="17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进水（mg/L）</w:t>
            </w:r>
          </w:p>
        </w:tc>
        <w:tc>
          <w:tcPr>
            <w:tcW w:w="1449"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bCs/>
                <w:color w:val="000000" w:themeColor="text1"/>
                <w:sz w:val="21"/>
                <w:szCs w:val="21"/>
              </w:rPr>
            </w:pPr>
            <w:r>
              <w:rPr>
                <w:bCs/>
                <w:color w:val="000000" w:themeColor="text1"/>
                <w:sz w:val="21"/>
                <w:szCs w:val="21"/>
              </w:rPr>
              <w:t>280</w:t>
            </w:r>
          </w:p>
        </w:tc>
        <w:tc>
          <w:tcPr>
            <w:tcW w:w="1335"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bCs/>
                <w:color w:val="000000" w:themeColor="text1"/>
                <w:sz w:val="21"/>
                <w:szCs w:val="21"/>
              </w:rPr>
            </w:pPr>
            <w:r>
              <w:rPr>
                <w:bCs/>
                <w:color w:val="000000" w:themeColor="text1"/>
                <w:sz w:val="21"/>
                <w:szCs w:val="21"/>
              </w:rPr>
              <w:t>130</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bCs/>
                <w:color w:val="000000" w:themeColor="text1"/>
                <w:sz w:val="21"/>
                <w:szCs w:val="21"/>
              </w:rPr>
            </w:pPr>
            <w:r>
              <w:rPr>
                <w:bCs/>
                <w:color w:val="000000" w:themeColor="text1"/>
                <w:sz w:val="21"/>
                <w:szCs w:val="21"/>
              </w:rPr>
              <w:t>325</w:t>
            </w:r>
          </w:p>
        </w:tc>
        <w:tc>
          <w:tcPr>
            <w:tcW w:w="1316"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bCs/>
                <w:color w:val="000000" w:themeColor="text1"/>
                <w:sz w:val="21"/>
                <w:szCs w:val="21"/>
              </w:rPr>
            </w:pPr>
            <w:r>
              <w:rPr>
                <w:bCs/>
                <w:color w:val="000000" w:themeColor="text1"/>
                <w:sz w:val="21"/>
                <w:szCs w:val="21"/>
              </w:rPr>
              <w:t>30</w:t>
            </w:r>
          </w:p>
        </w:tc>
      </w:tr>
      <w:tr>
        <w:tblPrEx>
          <w:tblLayout w:type="fixed"/>
          <w:tblCellMar>
            <w:top w:w="0" w:type="dxa"/>
            <w:left w:w="108" w:type="dxa"/>
            <w:bottom w:w="0" w:type="dxa"/>
            <w:right w:w="108" w:type="dxa"/>
          </w:tblCellMar>
        </w:tblPrEx>
        <w:trPr>
          <w:trHeight w:val="468" w:hRule="atLeast"/>
          <w:jc w:val="center"/>
        </w:trPr>
        <w:tc>
          <w:tcPr>
            <w:tcW w:w="1662" w:type="dxa"/>
            <w:vMerge w:val="continue"/>
            <w:tcBorders>
              <w:top w:val="single" w:color="auto" w:sz="4" w:space="0"/>
              <w:left w:val="single" w:color="auto" w:sz="4" w:space="0"/>
              <w:bottom w:val="single" w:color="000000" w:sz="8" w:space="0"/>
              <w:right w:val="single" w:color="auto" w:sz="8" w:space="0"/>
            </w:tcBorders>
            <w:vAlign w:val="center"/>
          </w:tcPr>
          <w:p>
            <w:pPr>
              <w:widowControl/>
              <w:spacing w:line="240" w:lineRule="auto"/>
              <w:ind w:firstLine="0" w:firstLineChars="0"/>
              <w:jc w:val="center"/>
              <w:rPr>
                <w:color w:val="000000" w:themeColor="text1"/>
                <w:sz w:val="21"/>
                <w:szCs w:val="21"/>
              </w:rPr>
            </w:pPr>
          </w:p>
        </w:tc>
        <w:tc>
          <w:tcPr>
            <w:tcW w:w="1717" w:type="dxa"/>
            <w:tcBorders>
              <w:top w:val="single" w:color="auto" w:sz="4" w:space="0"/>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出水（mg/L）</w:t>
            </w:r>
          </w:p>
        </w:tc>
        <w:tc>
          <w:tcPr>
            <w:tcW w:w="1449" w:type="dxa"/>
            <w:tcBorders>
              <w:top w:val="single" w:color="auto" w:sz="4" w:space="0"/>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266</w:t>
            </w:r>
          </w:p>
        </w:tc>
        <w:tc>
          <w:tcPr>
            <w:tcW w:w="1335" w:type="dxa"/>
            <w:tcBorders>
              <w:top w:val="single" w:color="auto" w:sz="4" w:space="0"/>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123.5</w:t>
            </w:r>
          </w:p>
        </w:tc>
        <w:tc>
          <w:tcPr>
            <w:tcW w:w="1278" w:type="dxa"/>
            <w:tcBorders>
              <w:top w:val="single" w:color="auto" w:sz="4" w:space="0"/>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227.5</w:t>
            </w:r>
          </w:p>
        </w:tc>
        <w:tc>
          <w:tcPr>
            <w:tcW w:w="1316" w:type="dxa"/>
            <w:tcBorders>
              <w:top w:val="single" w:color="auto" w:sz="4" w:space="0"/>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29.4</w:t>
            </w:r>
          </w:p>
        </w:tc>
      </w:tr>
      <w:tr>
        <w:tblPrEx>
          <w:tblLayout w:type="fixed"/>
          <w:tblCellMar>
            <w:top w:w="0" w:type="dxa"/>
            <w:left w:w="108" w:type="dxa"/>
            <w:bottom w:w="0" w:type="dxa"/>
            <w:right w:w="108" w:type="dxa"/>
          </w:tblCellMar>
        </w:tblPrEx>
        <w:trPr>
          <w:trHeight w:val="478" w:hRule="atLeast"/>
          <w:jc w:val="center"/>
        </w:trPr>
        <w:tc>
          <w:tcPr>
            <w:tcW w:w="1662" w:type="dxa"/>
            <w:vMerge w:val="continue"/>
            <w:tcBorders>
              <w:top w:val="nil"/>
              <w:left w:val="single" w:color="auto" w:sz="4" w:space="0"/>
              <w:bottom w:val="single" w:color="000000" w:sz="8" w:space="0"/>
              <w:right w:val="single" w:color="auto" w:sz="8" w:space="0"/>
            </w:tcBorders>
            <w:vAlign w:val="center"/>
          </w:tcPr>
          <w:p>
            <w:pPr>
              <w:widowControl/>
              <w:spacing w:line="240" w:lineRule="auto"/>
              <w:ind w:firstLine="0" w:firstLineChars="0"/>
              <w:jc w:val="center"/>
              <w:rPr>
                <w:color w:val="000000" w:themeColor="text1"/>
                <w:sz w:val="21"/>
                <w:szCs w:val="21"/>
              </w:rPr>
            </w:pPr>
          </w:p>
        </w:tc>
        <w:tc>
          <w:tcPr>
            <w:tcW w:w="1717"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去除率</w:t>
            </w:r>
          </w:p>
        </w:tc>
        <w:tc>
          <w:tcPr>
            <w:tcW w:w="1449"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5%</w:t>
            </w:r>
          </w:p>
        </w:tc>
        <w:tc>
          <w:tcPr>
            <w:tcW w:w="1335"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5%</w:t>
            </w:r>
          </w:p>
        </w:tc>
        <w:tc>
          <w:tcPr>
            <w:tcW w:w="1278"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30%</w:t>
            </w:r>
          </w:p>
        </w:tc>
        <w:tc>
          <w:tcPr>
            <w:tcW w:w="1316"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2%</w:t>
            </w:r>
          </w:p>
        </w:tc>
      </w:tr>
      <w:tr>
        <w:tblPrEx>
          <w:tblLayout w:type="fixed"/>
          <w:tblCellMar>
            <w:top w:w="0" w:type="dxa"/>
            <w:left w:w="108" w:type="dxa"/>
            <w:bottom w:w="0" w:type="dxa"/>
            <w:right w:w="108" w:type="dxa"/>
          </w:tblCellMar>
        </w:tblPrEx>
        <w:trPr>
          <w:trHeight w:val="478" w:hRule="atLeast"/>
          <w:jc w:val="center"/>
        </w:trPr>
        <w:tc>
          <w:tcPr>
            <w:tcW w:w="1662" w:type="dxa"/>
            <w:vMerge w:val="restart"/>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调节池</w:t>
            </w:r>
          </w:p>
        </w:tc>
        <w:tc>
          <w:tcPr>
            <w:tcW w:w="1717"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进水（mg/L）</w:t>
            </w:r>
          </w:p>
        </w:tc>
        <w:tc>
          <w:tcPr>
            <w:tcW w:w="1449"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266</w:t>
            </w:r>
          </w:p>
        </w:tc>
        <w:tc>
          <w:tcPr>
            <w:tcW w:w="1335"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123.5</w:t>
            </w:r>
          </w:p>
        </w:tc>
        <w:tc>
          <w:tcPr>
            <w:tcW w:w="1278"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227.5</w:t>
            </w:r>
          </w:p>
        </w:tc>
        <w:tc>
          <w:tcPr>
            <w:tcW w:w="1316"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29.4</w:t>
            </w:r>
          </w:p>
        </w:tc>
      </w:tr>
      <w:tr>
        <w:tblPrEx>
          <w:tblLayout w:type="fixed"/>
          <w:tblCellMar>
            <w:top w:w="0" w:type="dxa"/>
            <w:left w:w="108" w:type="dxa"/>
            <w:bottom w:w="0" w:type="dxa"/>
            <w:right w:w="108" w:type="dxa"/>
          </w:tblCellMar>
        </w:tblPrEx>
        <w:trPr>
          <w:trHeight w:val="478" w:hRule="atLeast"/>
          <w:jc w:val="center"/>
        </w:trPr>
        <w:tc>
          <w:tcPr>
            <w:tcW w:w="1662"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color w:val="000000" w:themeColor="text1"/>
                <w:sz w:val="21"/>
                <w:szCs w:val="21"/>
              </w:rPr>
            </w:pPr>
          </w:p>
        </w:tc>
        <w:tc>
          <w:tcPr>
            <w:tcW w:w="1717"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出水（mg/L）</w:t>
            </w:r>
          </w:p>
        </w:tc>
        <w:tc>
          <w:tcPr>
            <w:tcW w:w="1449"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212.8</w:t>
            </w:r>
          </w:p>
        </w:tc>
        <w:tc>
          <w:tcPr>
            <w:tcW w:w="1335"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98.8</w:t>
            </w:r>
          </w:p>
        </w:tc>
        <w:tc>
          <w:tcPr>
            <w:tcW w:w="1278"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182</w:t>
            </w:r>
          </w:p>
        </w:tc>
        <w:tc>
          <w:tcPr>
            <w:tcW w:w="1316"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27.93</w:t>
            </w:r>
          </w:p>
        </w:tc>
      </w:tr>
      <w:tr>
        <w:tblPrEx>
          <w:tblLayout w:type="fixed"/>
          <w:tblCellMar>
            <w:top w:w="0" w:type="dxa"/>
            <w:left w:w="108" w:type="dxa"/>
            <w:bottom w:w="0" w:type="dxa"/>
            <w:right w:w="108" w:type="dxa"/>
          </w:tblCellMar>
        </w:tblPrEx>
        <w:trPr>
          <w:trHeight w:val="478" w:hRule="atLeast"/>
          <w:jc w:val="center"/>
        </w:trPr>
        <w:tc>
          <w:tcPr>
            <w:tcW w:w="1662"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color w:val="000000" w:themeColor="text1"/>
                <w:sz w:val="21"/>
                <w:szCs w:val="21"/>
              </w:rPr>
            </w:pPr>
          </w:p>
        </w:tc>
        <w:tc>
          <w:tcPr>
            <w:tcW w:w="1717"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去除率</w:t>
            </w:r>
          </w:p>
        </w:tc>
        <w:tc>
          <w:tcPr>
            <w:tcW w:w="1449" w:type="dxa"/>
            <w:tcBorders>
              <w:top w:val="nil"/>
              <w:left w:val="nil"/>
              <w:bottom w:val="single" w:color="auto" w:sz="8" w:space="0"/>
              <w:right w:val="single" w:color="auto" w:sz="8" w:space="0"/>
            </w:tcBorders>
            <w:vAlign w:val="center"/>
          </w:tcPr>
          <w:p>
            <w:pPr>
              <w:widowControl/>
              <w:ind w:firstLine="0" w:firstLineChars="0"/>
              <w:jc w:val="center"/>
              <w:rPr>
                <w:color w:val="000000" w:themeColor="text1"/>
                <w:sz w:val="21"/>
                <w:szCs w:val="21"/>
              </w:rPr>
            </w:pPr>
            <w:r>
              <w:rPr>
                <w:color w:val="000000" w:themeColor="text1"/>
                <w:sz w:val="21"/>
                <w:szCs w:val="21"/>
              </w:rPr>
              <w:t>20%</w:t>
            </w:r>
          </w:p>
        </w:tc>
        <w:tc>
          <w:tcPr>
            <w:tcW w:w="1335" w:type="dxa"/>
            <w:tcBorders>
              <w:top w:val="nil"/>
              <w:left w:val="nil"/>
              <w:bottom w:val="single" w:color="auto" w:sz="8" w:space="0"/>
              <w:right w:val="single" w:color="auto" w:sz="8" w:space="0"/>
            </w:tcBorders>
            <w:vAlign w:val="center"/>
          </w:tcPr>
          <w:p>
            <w:pPr>
              <w:widowControl/>
              <w:ind w:firstLine="0" w:firstLineChars="0"/>
              <w:jc w:val="center"/>
              <w:rPr>
                <w:color w:val="000000" w:themeColor="text1"/>
                <w:sz w:val="21"/>
                <w:szCs w:val="21"/>
              </w:rPr>
            </w:pPr>
            <w:r>
              <w:rPr>
                <w:color w:val="000000" w:themeColor="text1"/>
                <w:sz w:val="21"/>
                <w:szCs w:val="21"/>
              </w:rPr>
              <w:t>20%</w:t>
            </w:r>
          </w:p>
        </w:tc>
        <w:tc>
          <w:tcPr>
            <w:tcW w:w="1278" w:type="dxa"/>
            <w:tcBorders>
              <w:top w:val="nil"/>
              <w:left w:val="nil"/>
              <w:bottom w:val="single" w:color="auto" w:sz="8" w:space="0"/>
              <w:right w:val="single" w:color="auto" w:sz="8" w:space="0"/>
            </w:tcBorders>
            <w:vAlign w:val="center"/>
          </w:tcPr>
          <w:p>
            <w:pPr>
              <w:widowControl/>
              <w:ind w:firstLine="0" w:firstLineChars="0"/>
              <w:jc w:val="center"/>
              <w:rPr>
                <w:color w:val="000000" w:themeColor="text1"/>
                <w:sz w:val="21"/>
                <w:szCs w:val="21"/>
              </w:rPr>
            </w:pPr>
            <w:r>
              <w:rPr>
                <w:color w:val="000000" w:themeColor="text1"/>
                <w:sz w:val="21"/>
                <w:szCs w:val="21"/>
              </w:rPr>
              <w:t>20%</w:t>
            </w:r>
          </w:p>
        </w:tc>
        <w:tc>
          <w:tcPr>
            <w:tcW w:w="1316" w:type="dxa"/>
            <w:tcBorders>
              <w:top w:val="nil"/>
              <w:left w:val="nil"/>
              <w:bottom w:val="single" w:color="auto" w:sz="8" w:space="0"/>
              <w:right w:val="single" w:color="auto" w:sz="8" w:space="0"/>
            </w:tcBorders>
            <w:vAlign w:val="center"/>
          </w:tcPr>
          <w:p>
            <w:pPr>
              <w:widowControl/>
              <w:ind w:firstLine="0" w:firstLineChars="0"/>
              <w:jc w:val="center"/>
              <w:rPr>
                <w:color w:val="000000" w:themeColor="text1"/>
                <w:sz w:val="21"/>
                <w:szCs w:val="21"/>
              </w:rPr>
            </w:pPr>
            <w:r>
              <w:rPr>
                <w:color w:val="000000" w:themeColor="text1"/>
                <w:sz w:val="21"/>
                <w:szCs w:val="21"/>
              </w:rPr>
              <w:t>5%</w:t>
            </w:r>
          </w:p>
        </w:tc>
      </w:tr>
      <w:tr>
        <w:tblPrEx>
          <w:tblLayout w:type="fixed"/>
          <w:tblCellMar>
            <w:top w:w="0" w:type="dxa"/>
            <w:left w:w="108" w:type="dxa"/>
            <w:bottom w:w="0" w:type="dxa"/>
            <w:right w:w="108" w:type="dxa"/>
          </w:tblCellMar>
        </w:tblPrEx>
        <w:trPr>
          <w:trHeight w:val="478" w:hRule="atLeast"/>
          <w:jc w:val="center"/>
        </w:trPr>
        <w:tc>
          <w:tcPr>
            <w:tcW w:w="1662" w:type="dxa"/>
            <w:vMerge w:val="restart"/>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厌氧水解</w:t>
            </w:r>
          </w:p>
        </w:tc>
        <w:tc>
          <w:tcPr>
            <w:tcW w:w="1717"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进水（mg/L）</w:t>
            </w:r>
          </w:p>
        </w:tc>
        <w:tc>
          <w:tcPr>
            <w:tcW w:w="1449"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212.8</w:t>
            </w:r>
          </w:p>
        </w:tc>
        <w:tc>
          <w:tcPr>
            <w:tcW w:w="1335"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98.8</w:t>
            </w:r>
          </w:p>
        </w:tc>
        <w:tc>
          <w:tcPr>
            <w:tcW w:w="1278"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182</w:t>
            </w:r>
          </w:p>
        </w:tc>
        <w:tc>
          <w:tcPr>
            <w:tcW w:w="1316"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27.93</w:t>
            </w:r>
          </w:p>
        </w:tc>
      </w:tr>
      <w:tr>
        <w:tblPrEx>
          <w:tblLayout w:type="fixed"/>
          <w:tblCellMar>
            <w:top w:w="0" w:type="dxa"/>
            <w:left w:w="108" w:type="dxa"/>
            <w:bottom w:w="0" w:type="dxa"/>
            <w:right w:w="108" w:type="dxa"/>
          </w:tblCellMar>
        </w:tblPrEx>
        <w:trPr>
          <w:trHeight w:val="478" w:hRule="atLeast"/>
          <w:jc w:val="center"/>
        </w:trPr>
        <w:tc>
          <w:tcPr>
            <w:tcW w:w="1662" w:type="dxa"/>
            <w:vMerge w:val="continue"/>
            <w:tcBorders>
              <w:top w:val="nil"/>
              <w:left w:val="single" w:color="auto" w:sz="8" w:space="0"/>
              <w:bottom w:val="single" w:color="000000" w:sz="8" w:space="0"/>
              <w:right w:val="single" w:color="auto" w:sz="8" w:space="0"/>
            </w:tcBorders>
            <w:vAlign w:val="center"/>
          </w:tcPr>
          <w:p>
            <w:pPr>
              <w:widowControl/>
              <w:spacing w:line="240" w:lineRule="auto"/>
              <w:ind w:firstLine="0" w:firstLineChars="0"/>
              <w:jc w:val="center"/>
              <w:rPr>
                <w:color w:val="000000" w:themeColor="text1"/>
                <w:sz w:val="21"/>
                <w:szCs w:val="21"/>
              </w:rPr>
            </w:pPr>
          </w:p>
        </w:tc>
        <w:tc>
          <w:tcPr>
            <w:tcW w:w="1717"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出水（mg/L）</w:t>
            </w:r>
          </w:p>
        </w:tc>
        <w:tc>
          <w:tcPr>
            <w:tcW w:w="1449"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63.84</w:t>
            </w:r>
          </w:p>
        </w:tc>
        <w:tc>
          <w:tcPr>
            <w:tcW w:w="1335"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29.64</w:t>
            </w:r>
          </w:p>
        </w:tc>
        <w:tc>
          <w:tcPr>
            <w:tcW w:w="1278"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163.8</w:t>
            </w:r>
          </w:p>
        </w:tc>
        <w:tc>
          <w:tcPr>
            <w:tcW w:w="1316" w:type="dxa"/>
            <w:tcBorders>
              <w:top w:val="nil"/>
              <w:left w:val="nil"/>
              <w:bottom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6.98</w:t>
            </w:r>
          </w:p>
        </w:tc>
      </w:tr>
      <w:tr>
        <w:tblPrEx>
          <w:tblLayout w:type="fixed"/>
          <w:tblCellMar>
            <w:top w:w="0" w:type="dxa"/>
            <w:left w:w="108" w:type="dxa"/>
            <w:bottom w:w="0" w:type="dxa"/>
            <w:right w:w="108" w:type="dxa"/>
          </w:tblCellMar>
        </w:tblPrEx>
        <w:trPr>
          <w:trHeight w:val="498" w:hRule="atLeast"/>
          <w:jc w:val="center"/>
        </w:trPr>
        <w:tc>
          <w:tcPr>
            <w:tcW w:w="1662" w:type="dxa"/>
            <w:vMerge w:val="continue"/>
            <w:tcBorders>
              <w:top w:val="nil"/>
              <w:left w:val="single" w:color="auto" w:sz="8" w:space="0"/>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p>
        </w:tc>
        <w:tc>
          <w:tcPr>
            <w:tcW w:w="1717"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去除率</w:t>
            </w:r>
          </w:p>
        </w:tc>
        <w:tc>
          <w:tcPr>
            <w:tcW w:w="1449"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70</w:t>
            </w:r>
            <w:r>
              <w:rPr>
                <w:color w:val="000000" w:themeColor="text1"/>
                <w:sz w:val="21"/>
                <w:szCs w:val="21"/>
              </w:rPr>
              <w:t>%</w:t>
            </w:r>
          </w:p>
        </w:tc>
        <w:tc>
          <w:tcPr>
            <w:tcW w:w="1335"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70</w:t>
            </w:r>
            <w:r>
              <w:rPr>
                <w:color w:val="000000" w:themeColor="text1"/>
                <w:sz w:val="21"/>
                <w:szCs w:val="21"/>
              </w:rPr>
              <w:t>%</w:t>
            </w:r>
          </w:p>
        </w:tc>
        <w:tc>
          <w:tcPr>
            <w:tcW w:w="1278"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10%</w:t>
            </w:r>
          </w:p>
        </w:tc>
        <w:tc>
          <w:tcPr>
            <w:tcW w:w="1316"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75</w:t>
            </w:r>
            <w:r>
              <w:rPr>
                <w:color w:val="000000" w:themeColor="text1"/>
                <w:sz w:val="21"/>
                <w:szCs w:val="21"/>
              </w:rPr>
              <w:t>%</w:t>
            </w:r>
          </w:p>
        </w:tc>
      </w:tr>
      <w:tr>
        <w:tblPrEx>
          <w:tblLayout w:type="fixed"/>
          <w:tblCellMar>
            <w:top w:w="0" w:type="dxa"/>
            <w:left w:w="108" w:type="dxa"/>
            <w:bottom w:w="0" w:type="dxa"/>
            <w:right w:w="108" w:type="dxa"/>
          </w:tblCellMar>
        </w:tblPrEx>
        <w:trPr>
          <w:trHeight w:val="498" w:hRule="atLeast"/>
          <w:jc w:val="center"/>
        </w:trPr>
        <w:tc>
          <w:tcPr>
            <w:tcW w:w="1662" w:type="dxa"/>
            <w:vMerge w:val="restart"/>
            <w:tcBorders>
              <w:top w:val="nil"/>
              <w:left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接触氧化</w:t>
            </w:r>
          </w:p>
        </w:tc>
        <w:tc>
          <w:tcPr>
            <w:tcW w:w="1717"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进水（mg/L）</w:t>
            </w:r>
          </w:p>
        </w:tc>
        <w:tc>
          <w:tcPr>
            <w:tcW w:w="1449"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63.84</w:t>
            </w:r>
          </w:p>
        </w:tc>
        <w:tc>
          <w:tcPr>
            <w:tcW w:w="1335"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29.64</w:t>
            </w:r>
          </w:p>
        </w:tc>
        <w:tc>
          <w:tcPr>
            <w:tcW w:w="1278"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163.8</w:t>
            </w:r>
          </w:p>
        </w:tc>
        <w:tc>
          <w:tcPr>
            <w:tcW w:w="1316"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6.98</w:t>
            </w:r>
          </w:p>
        </w:tc>
      </w:tr>
      <w:tr>
        <w:tblPrEx>
          <w:tblLayout w:type="fixed"/>
          <w:tblCellMar>
            <w:top w:w="0" w:type="dxa"/>
            <w:left w:w="108" w:type="dxa"/>
            <w:bottom w:w="0" w:type="dxa"/>
            <w:right w:w="108" w:type="dxa"/>
          </w:tblCellMar>
        </w:tblPrEx>
        <w:trPr>
          <w:trHeight w:val="498" w:hRule="atLeast"/>
          <w:jc w:val="center"/>
        </w:trPr>
        <w:tc>
          <w:tcPr>
            <w:tcW w:w="1662" w:type="dxa"/>
            <w:vMerge w:val="continue"/>
            <w:tcBorders>
              <w:left w:val="single" w:color="auto" w:sz="8" w:space="0"/>
              <w:right w:val="single" w:color="auto" w:sz="8" w:space="0"/>
            </w:tcBorders>
            <w:vAlign w:val="center"/>
          </w:tcPr>
          <w:p>
            <w:pPr>
              <w:widowControl/>
              <w:spacing w:line="240" w:lineRule="auto"/>
              <w:ind w:firstLine="0" w:firstLineChars="0"/>
              <w:jc w:val="center"/>
              <w:rPr>
                <w:color w:val="000000" w:themeColor="text1"/>
                <w:sz w:val="21"/>
                <w:szCs w:val="21"/>
              </w:rPr>
            </w:pPr>
          </w:p>
        </w:tc>
        <w:tc>
          <w:tcPr>
            <w:tcW w:w="1717"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出水（mg/L）</w:t>
            </w:r>
          </w:p>
        </w:tc>
        <w:tc>
          <w:tcPr>
            <w:tcW w:w="1449"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15.96</w:t>
            </w:r>
          </w:p>
        </w:tc>
        <w:tc>
          <w:tcPr>
            <w:tcW w:w="1335"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8.892</w:t>
            </w:r>
          </w:p>
        </w:tc>
        <w:tc>
          <w:tcPr>
            <w:tcW w:w="1278"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147.42</w:t>
            </w:r>
          </w:p>
        </w:tc>
        <w:tc>
          <w:tcPr>
            <w:tcW w:w="1316"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1.745</w:t>
            </w:r>
          </w:p>
        </w:tc>
      </w:tr>
      <w:tr>
        <w:tblPrEx>
          <w:tblLayout w:type="fixed"/>
          <w:tblCellMar>
            <w:top w:w="0" w:type="dxa"/>
            <w:left w:w="108" w:type="dxa"/>
            <w:bottom w:w="0" w:type="dxa"/>
            <w:right w:w="108" w:type="dxa"/>
          </w:tblCellMar>
        </w:tblPrEx>
        <w:trPr>
          <w:trHeight w:val="498" w:hRule="atLeast"/>
          <w:jc w:val="center"/>
        </w:trPr>
        <w:tc>
          <w:tcPr>
            <w:tcW w:w="1662" w:type="dxa"/>
            <w:vMerge w:val="continue"/>
            <w:tcBorders>
              <w:left w:val="single" w:color="auto" w:sz="8" w:space="0"/>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p>
        </w:tc>
        <w:tc>
          <w:tcPr>
            <w:tcW w:w="1717"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去除率</w:t>
            </w:r>
          </w:p>
        </w:tc>
        <w:tc>
          <w:tcPr>
            <w:tcW w:w="1449"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75</w:t>
            </w:r>
            <w:r>
              <w:rPr>
                <w:color w:val="000000" w:themeColor="text1"/>
                <w:sz w:val="21"/>
                <w:szCs w:val="21"/>
              </w:rPr>
              <w:t>%</w:t>
            </w:r>
          </w:p>
        </w:tc>
        <w:tc>
          <w:tcPr>
            <w:tcW w:w="1335"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70</w:t>
            </w:r>
            <w:r>
              <w:rPr>
                <w:color w:val="000000" w:themeColor="text1"/>
                <w:sz w:val="21"/>
                <w:szCs w:val="21"/>
              </w:rPr>
              <w:t>%</w:t>
            </w:r>
          </w:p>
        </w:tc>
        <w:tc>
          <w:tcPr>
            <w:tcW w:w="1278"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10%</w:t>
            </w:r>
          </w:p>
        </w:tc>
        <w:tc>
          <w:tcPr>
            <w:tcW w:w="1316" w:type="dxa"/>
            <w:tcBorders>
              <w:top w:val="nil"/>
              <w:left w:val="nil"/>
              <w:bottom w:val="single" w:color="auto" w:sz="4" w:space="0"/>
              <w:right w:val="single" w:color="auto" w:sz="8"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75</w:t>
            </w:r>
            <w:r>
              <w:rPr>
                <w:color w:val="000000" w:themeColor="text1"/>
                <w:sz w:val="21"/>
                <w:szCs w:val="21"/>
              </w:rPr>
              <w:t>%</w:t>
            </w:r>
          </w:p>
        </w:tc>
      </w:tr>
      <w:tr>
        <w:tblPrEx>
          <w:tblLayout w:type="fixed"/>
          <w:tblCellMar>
            <w:top w:w="0" w:type="dxa"/>
            <w:left w:w="108" w:type="dxa"/>
            <w:bottom w:w="0" w:type="dxa"/>
            <w:right w:w="108" w:type="dxa"/>
          </w:tblCellMar>
        </w:tblPrEx>
        <w:trPr>
          <w:trHeight w:val="498" w:hRule="atLeast"/>
          <w:jc w:val="center"/>
        </w:trPr>
        <w:tc>
          <w:tcPr>
            <w:tcW w:w="1662" w:type="dxa"/>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沉淀池</w:t>
            </w:r>
          </w:p>
        </w:tc>
        <w:tc>
          <w:tcPr>
            <w:tcW w:w="17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进水（mg/L）</w:t>
            </w:r>
          </w:p>
        </w:tc>
        <w:tc>
          <w:tcPr>
            <w:tcW w:w="1449"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15.96</w:t>
            </w:r>
          </w:p>
        </w:tc>
        <w:tc>
          <w:tcPr>
            <w:tcW w:w="1335"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8.892</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147.42</w:t>
            </w:r>
          </w:p>
        </w:tc>
        <w:tc>
          <w:tcPr>
            <w:tcW w:w="1316"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1.745</w:t>
            </w:r>
          </w:p>
        </w:tc>
      </w:tr>
      <w:tr>
        <w:tblPrEx>
          <w:tblLayout w:type="fixed"/>
          <w:tblCellMar>
            <w:top w:w="0" w:type="dxa"/>
            <w:left w:w="108" w:type="dxa"/>
            <w:bottom w:w="0" w:type="dxa"/>
            <w:right w:w="108" w:type="dxa"/>
          </w:tblCellMar>
        </w:tblPrEx>
        <w:trPr>
          <w:trHeight w:val="498" w:hRule="atLeast"/>
          <w:jc w:val="center"/>
        </w:trPr>
        <w:tc>
          <w:tcPr>
            <w:tcW w:w="166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p>
        </w:tc>
        <w:tc>
          <w:tcPr>
            <w:tcW w:w="17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出水（mg/L）</w:t>
            </w:r>
          </w:p>
        </w:tc>
        <w:tc>
          <w:tcPr>
            <w:tcW w:w="1449"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15.96</w:t>
            </w:r>
          </w:p>
        </w:tc>
        <w:tc>
          <w:tcPr>
            <w:tcW w:w="1335"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8.892</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94.35</w:t>
            </w:r>
          </w:p>
        </w:tc>
        <w:tc>
          <w:tcPr>
            <w:tcW w:w="1316"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1.745</w:t>
            </w:r>
          </w:p>
        </w:tc>
      </w:tr>
      <w:tr>
        <w:tblPrEx>
          <w:tblLayout w:type="fixed"/>
          <w:tblCellMar>
            <w:top w:w="0" w:type="dxa"/>
            <w:left w:w="108" w:type="dxa"/>
            <w:bottom w:w="0" w:type="dxa"/>
            <w:right w:w="108" w:type="dxa"/>
          </w:tblCellMar>
        </w:tblPrEx>
        <w:trPr>
          <w:trHeight w:val="498" w:hRule="atLeast"/>
          <w:jc w:val="center"/>
        </w:trPr>
        <w:tc>
          <w:tcPr>
            <w:tcW w:w="166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p>
        </w:tc>
        <w:tc>
          <w:tcPr>
            <w:tcW w:w="17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去除率</w:t>
            </w:r>
          </w:p>
        </w:tc>
        <w:tc>
          <w:tcPr>
            <w:tcW w:w="1449"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c>
          <w:tcPr>
            <w:tcW w:w="1335"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36%</w:t>
            </w:r>
          </w:p>
        </w:tc>
        <w:tc>
          <w:tcPr>
            <w:tcW w:w="1316"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r>
      <w:tr>
        <w:tblPrEx>
          <w:tblLayout w:type="fixed"/>
          <w:tblCellMar>
            <w:top w:w="0" w:type="dxa"/>
            <w:left w:w="108" w:type="dxa"/>
            <w:bottom w:w="0" w:type="dxa"/>
            <w:right w:w="108" w:type="dxa"/>
          </w:tblCellMar>
        </w:tblPrEx>
        <w:trPr>
          <w:trHeight w:val="498" w:hRule="atLeast"/>
          <w:jc w:val="center"/>
        </w:trPr>
        <w:tc>
          <w:tcPr>
            <w:tcW w:w="166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《城市污水再生利用城市杂用水水质标准》（GB/T18920-2020</w:t>
            </w:r>
            <w:r>
              <w:rPr>
                <w:rFonts w:hint="eastAsia"/>
                <w:color w:val="000000" w:themeColor="text1"/>
                <w:sz w:val="21"/>
                <w:szCs w:val="21"/>
              </w:rPr>
              <w:t>)</w:t>
            </w:r>
          </w:p>
        </w:tc>
        <w:tc>
          <w:tcPr>
            <w:tcW w:w="17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c>
          <w:tcPr>
            <w:tcW w:w="1449"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c>
          <w:tcPr>
            <w:tcW w:w="1335"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10</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w:t>
            </w:r>
          </w:p>
        </w:tc>
        <w:tc>
          <w:tcPr>
            <w:tcW w:w="1316"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8</w:t>
            </w:r>
          </w:p>
        </w:tc>
      </w:tr>
      <w:tr>
        <w:tblPrEx>
          <w:tblLayout w:type="fixed"/>
          <w:tblCellMar>
            <w:top w:w="0" w:type="dxa"/>
            <w:left w:w="108" w:type="dxa"/>
            <w:bottom w:w="0" w:type="dxa"/>
            <w:right w:w="108" w:type="dxa"/>
          </w:tblCellMar>
        </w:tblPrEx>
        <w:trPr>
          <w:trHeight w:val="498" w:hRule="atLeast"/>
          <w:jc w:val="center"/>
        </w:trPr>
        <w:tc>
          <w:tcPr>
            <w:tcW w:w="1662"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达标性</w:t>
            </w:r>
          </w:p>
        </w:tc>
        <w:tc>
          <w:tcPr>
            <w:tcW w:w="1717"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w:t>
            </w:r>
          </w:p>
        </w:tc>
        <w:tc>
          <w:tcPr>
            <w:tcW w:w="1449"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达标</w:t>
            </w:r>
          </w:p>
        </w:tc>
        <w:tc>
          <w:tcPr>
            <w:tcW w:w="1335"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达标</w:t>
            </w:r>
          </w:p>
        </w:tc>
        <w:tc>
          <w:tcPr>
            <w:tcW w:w="127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达标</w:t>
            </w:r>
          </w:p>
        </w:tc>
        <w:tc>
          <w:tcPr>
            <w:tcW w:w="1316"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color w:val="000000" w:themeColor="text1"/>
                <w:sz w:val="21"/>
                <w:szCs w:val="21"/>
              </w:rPr>
            </w:pPr>
            <w:r>
              <w:rPr>
                <w:color w:val="000000" w:themeColor="text1"/>
                <w:sz w:val="21"/>
                <w:szCs w:val="21"/>
              </w:rPr>
              <w:t>达标</w:t>
            </w:r>
          </w:p>
        </w:tc>
      </w:tr>
    </w:tbl>
    <w:p>
      <w:pPr>
        <w:adjustRightInd w:val="0"/>
        <w:snapToGrid w:val="0"/>
        <w:ind w:firstLine="480"/>
        <w:rPr>
          <w:color w:val="000000" w:themeColor="text1"/>
        </w:rPr>
      </w:pPr>
      <w:r>
        <w:rPr>
          <w:color w:val="000000" w:themeColor="text1"/>
        </w:rPr>
        <w:t>项目污废水及雨污分流总投资为11万元，废水处理措施投资不大，均在可接受的范围内，生产过程中能有效降低废水的排放量，在保护环境的同时为企业节省生产成本。</w:t>
      </w:r>
    </w:p>
    <w:p>
      <w:pPr>
        <w:adjustRightInd w:val="0"/>
        <w:snapToGrid w:val="0"/>
        <w:ind w:firstLine="480"/>
        <w:rPr>
          <w:rFonts w:eastAsiaTheme="minorEastAsia"/>
          <w:color w:val="000000" w:themeColor="text1"/>
        </w:rPr>
      </w:pPr>
      <w:r>
        <w:rPr>
          <w:color w:val="000000" w:themeColor="text1"/>
        </w:rPr>
        <w:t>综上，</w:t>
      </w:r>
      <w:r>
        <w:rPr>
          <w:rFonts w:hint="eastAsia"/>
          <w:color w:val="000000" w:themeColor="text1"/>
        </w:rPr>
        <w:t>根据类比其他行业排污许可证核发技术规范中生活污水污染治理的可行技术为普通活性污泥法、A/O法、接触氧化法、MBR法，本项目采用接触氧化法，为可行性技术，</w:t>
      </w:r>
      <w:r>
        <w:rPr>
          <w:color w:val="000000" w:themeColor="text1"/>
        </w:rPr>
        <w:t>项目废水不外排是合理可行的。</w:t>
      </w:r>
    </w:p>
    <w:p>
      <w:pPr>
        <w:pStyle w:val="6"/>
        <w:adjustRightInd w:val="0"/>
        <w:snapToGrid w:val="0"/>
        <w:spacing w:beforeLines="0" w:afterLines="0"/>
        <w:rPr>
          <w:rFonts w:eastAsiaTheme="minorEastAsia"/>
          <w:color w:val="000000" w:themeColor="text1"/>
          <w:sz w:val="28"/>
          <w:szCs w:val="28"/>
        </w:rPr>
      </w:pPr>
      <w:bookmarkStart w:id="823" w:name="_Toc465156893"/>
      <w:bookmarkStart w:id="824" w:name="_Toc28185"/>
      <w:r>
        <w:rPr>
          <w:rFonts w:eastAsiaTheme="minorEastAsia"/>
          <w:color w:val="000000" w:themeColor="text1"/>
          <w:sz w:val="28"/>
          <w:szCs w:val="28"/>
        </w:rPr>
        <w:t>7.2.3地下水污染防治措施</w:t>
      </w:r>
      <w:bookmarkEnd w:id="823"/>
      <w:r>
        <w:rPr>
          <w:rFonts w:eastAsiaTheme="minorEastAsia"/>
          <w:color w:val="000000" w:themeColor="text1"/>
          <w:sz w:val="28"/>
          <w:szCs w:val="28"/>
        </w:rPr>
        <w:t>及可行性分析</w:t>
      </w:r>
      <w:bookmarkEnd w:id="824"/>
    </w:p>
    <w:p>
      <w:pPr>
        <w:ind w:firstLine="480"/>
        <w:rPr>
          <w:rFonts w:eastAsiaTheme="minorEastAsia"/>
          <w:color w:val="000000" w:themeColor="text1"/>
        </w:rPr>
      </w:pPr>
      <w:r>
        <w:rPr>
          <w:color w:val="000000" w:themeColor="text1"/>
        </w:rPr>
        <w:t>（一）污染防治措施</w:t>
      </w:r>
    </w:p>
    <w:p>
      <w:pPr>
        <w:ind w:firstLine="480"/>
        <w:rPr>
          <w:rFonts w:eastAsiaTheme="minorEastAsia"/>
          <w:color w:val="000000" w:themeColor="text1"/>
          <w:szCs w:val="24"/>
        </w:rPr>
      </w:pPr>
      <w:r>
        <w:rPr>
          <w:rFonts w:eastAsiaTheme="minorEastAsia"/>
          <w:color w:val="000000" w:themeColor="text1"/>
        </w:rPr>
        <w:t>为了防止选矿废水下渗，生产区地面</w:t>
      </w:r>
      <w:r>
        <w:rPr>
          <w:rStyle w:val="73"/>
          <w:rFonts w:hint="eastAsia"/>
          <w:color w:val="000000" w:themeColor="text1"/>
          <w:kern w:val="0"/>
          <w:sz w:val="24"/>
          <w:szCs w:val="24"/>
        </w:rPr>
        <w:t>应</w:t>
      </w:r>
      <w:r>
        <w:rPr>
          <w:rFonts w:eastAsiaTheme="minorEastAsia"/>
          <w:color w:val="000000" w:themeColor="text1"/>
        </w:rPr>
        <w:t>进行混凝土硬化处理，选矿生产区采用彩钢厂房，减少雨水对物料的冲刷，</w:t>
      </w:r>
      <w:r>
        <w:rPr>
          <w:rFonts w:hint="eastAsia" w:eastAsiaTheme="minorEastAsia"/>
          <w:color w:val="000000" w:themeColor="text1"/>
        </w:rPr>
        <w:t>应</w:t>
      </w:r>
      <w:r>
        <w:rPr>
          <w:rFonts w:eastAsiaTheme="minorEastAsia"/>
          <w:color w:val="000000" w:themeColor="text1"/>
        </w:rPr>
        <w:t>对精矿池、危废暂存间和尾矿浆沉淀池进行重点防渗处理；对厂区车间地面等进行一般防渗处理；</w:t>
      </w:r>
      <w:r>
        <w:rPr>
          <w:rFonts w:hint="eastAsia" w:eastAsiaTheme="minorEastAsia"/>
          <w:color w:val="000000" w:themeColor="text1"/>
        </w:rPr>
        <w:t>同时实施</w:t>
      </w:r>
      <w:r>
        <w:rPr>
          <w:rFonts w:eastAsiaTheme="minorEastAsia"/>
          <w:color w:val="000000" w:themeColor="text1"/>
          <w:szCs w:val="24"/>
        </w:rPr>
        <w:t>以新带老要求</w:t>
      </w:r>
      <w:r>
        <w:rPr>
          <w:rFonts w:hint="eastAsia" w:eastAsiaTheme="minorEastAsia"/>
          <w:color w:val="000000" w:themeColor="text1"/>
          <w:szCs w:val="24"/>
        </w:rPr>
        <w:t>措施，</w:t>
      </w:r>
      <w:r>
        <w:rPr>
          <w:rFonts w:eastAsiaTheme="minorEastAsia"/>
          <w:color w:val="000000" w:themeColor="text1"/>
          <w:szCs w:val="24"/>
        </w:rPr>
        <w:t>建设单位完善选矿生产区排水沟，并采用混凝土对排水沟进行防渗处理，尽可能的收集磁选和浮选生产区跑冒滴漏废水，减少跑冒滴漏废水下渗。对精矿池旁边的空地进行混凝土硬化处理，防</w:t>
      </w:r>
      <w:r>
        <w:rPr>
          <w:rFonts w:hint="eastAsia" w:eastAsiaTheme="minorEastAsia"/>
          <w:color w:val="000000" w:themeColor="text1"/>
          <w:szCs w:val="24"/>
        </w:rPr>
        <w:t>止</w:t>
      </w:r>
      <w:r>
        <w:rPr>
          <w:rFonts w:eastAsiaTheme="minorEastAsia"/>
          <w:color w:val="000000" w:themeColor="text1"/>
          <w:szCs w:val="24"/>
        </w:rPr>
        <w:t>跑冒滴漏废水大量下渗，对尾矿库设置地下水监控井，定期对尾矿库附件地下水进行监测，及时了解尾矿库地下水水质情况，掌握尾矿库是否发生泄漏，若发生泄漏要及时处理。</w:t>
      </w:r>
    </w:p>
    <w:p>
      <w:pPr>
        <w:pStyle w:val="51"/>
        <w:ind w:left="0" w:firstLine="480"/>
        <w:rPr>
          <w:color w:val="000000" w:themeColor="text1"/>
          <w:sz w:val="24"/>
          <w:szCs w:val="24"/>
          <w:lang w:eastAsia="zh-CN"/>
        </w:rPr>
      </w:pPr>
      <w:r>
        <w:rPr>
          <w:color w:val="000000" w:themeColor="text1"/>
          <w:sz w:val="24"/>
          <w:szCs w:val="24"/>
          <w:lang w:eastAsia="zh-CN"/>
        </w:rPr>
        <w:t>地下水分区防渗措施见下所述。</w:t>
      </w:r>
    </w:p>
    <w:p>
      <w:pPr>
        <w:snapToGrid w:val="0"/>
        <w:ind w:firstLine="480"/>
        <w:rPr>
          <w:bCs/>
          <w:color w:val="000000" w:themeColor="text1"/>
          <w:szCs w:val="24"/>
        </w:rPr>
      </w:pPr>
      <w:r>
        <w:rPr>
          <w:bCs/>
          <w:color w:val="000000" w:themeColor="text1"/>
          <w:szCs w:val="24"/>
        </w:rPr>
        <w:t>（1）源头控制措施</w:t>
      </w:r>
    </w:p>
    <w:p>
      <w:pPr>
        <w:snapToGrid w:val="0"/>
        <w:ind w:firstLine="480"/>
        <w:rPr>
          <w:bCs/>
          <w:color w:val="000000" w:themeColor="text1"/>
          <w:szCs w:val="24"/>
        </w:rPr>
      </w:pPr>
      <w:r>
        <w:rPr>
          <w:bCs/>
          <w:color w:val="000000" w:themeColor="text1"/>
          <w:szCs w:val="24"/>
        </w:rPr>
        <w:t>①节约用水，减少选矿废水产生量，</w:t>
      </w:r>
      <w:r>
        <w:rPr>
          <w:rFonts w:hint="eastAsia"/>
          <w:bCs/>
          <w:color w:val="000000" w:themeColor="text1"/>
          <w:szCs w:val="24"/>
        </w:rPr>
        <w:t>现有项目</w:t>
      </w:r>
      <w:r>
        <w:rPr>
          <w:bCs/>
          <w:color w:val="000000" w:themeColor="text1"/>
          <w:szCs w:val="24"/>
        </w:rPr>
        <w:t>尾矿浆排入尾矿沉淀池</w:t>
      </w:r>
      <w:r>
        <w:rPr>
          <w:rFonts w:hint="eastAsia"/>
          <w:bCs/>
          <w:color w:val="000000" w:themeColor="text1"/>
          <w:szCs w:val="24"/>
        </w:rPr>
        <w:t>沉淀</w:t>
      </w:r>
      <w:r>
        <w:rPr>
          <w:bCs/>
          <w:color w:val="000000" w:themeColor="text1"/>
          <w:szCs w:val="24"/>
        </w:rPr>
        <w:t>，上清液抽回至选厂选矿使用。</w:t>
      </w:r>
    </w:p>
    <w:p>
      <w:pPr>
        <w:snapToGrid w:val="0"/>
        <w:ind w:firstLine="480"/>
        <w:rPr>
          <w:bCs/>
          <w:color w:val="000000" w:themeColor="text1"/>
          <w:szCs w:val="24"/>
        </w:rPr>
      </w:pPr>
      <w:r>
        <w:rPr>
          <w:bCs/>
          <w:color w:val="000000" w:themeColor="text1"/>
          <w:szCs w:val="24"/>
        </w:rPr>
        <w:t>②定期对尾矿管道、设备、尾矿浆沉淀池、精矿池</w:t>
      </w:r>
      <w:r>
        <w:rPr>
          <w:rFonts w:hint="eastAsia"/>
          <w:bCs/>
          <w:color w:val="000000" w:themeColor="text1"/>
          <w:szCs w:val="24"/>
        </w:rPr>
        <w:t>等</w:t>
      </w:r>
      <w:r>
        <w:rPr>
          <w:bCs/>
          <w:color w:val="000000" w:themeColor="text1"/>
          <w:szCs w:val="24"/>
        </w:rPr>
        <w:t>构筑物进行巡检、保养、维修，及时发现可能引起事故的异常运行苗头，消除事故隐患，将污染物跑冒、滴漏降到最低限度。</w:t>
      </w:r>
    </w:p>
    <w:p>
      <w:pPr>
        <w:snapToGrid w:val="0"/>
        <w:ind w:firstLine="480"/>
        <w:rPr>
          <w:bCs/>
          <w:color w:val="000000" w:themeColor="text1"/>
          <w:szCs w:val="24"/>
        </w:rPr>
      </w:pPr>
      <w:r>
        <w:rPr>
          <w:bCs/>
          <w:color w:val="000000" w:themeColor="text1"/>
          <w:szCs w:val="24"/>
        </w:rPr>
        <w:t>项目污染区防渗分为重点污染区防渗、一般污染区防渗、简单防渗，分区防渗图详见附图9。</w:t>
      </w:r>
    </w:p>
    <w:p>
      <w:pPr>
        <w:snapToGrid w:val="0"/>
        <w:ind w:firstLine="480"/>
        <w:rPr>
          <w:bCs/>
          <w:color w:val="000000" w:themeColor="text1"/>
          <w:szCs w:val="24"/>
        </w:rPr>
      </w:pPr>
      <w:r>
        <w:rPr>
          <w:bCs/>
          <w:color w:val="000000" w:themeColor="text1"/>
          <w:szCs w:val="24"/>
        </w:rPr>
        <w:t>（2）分区防渗</w:t>
      </w:r>
    </w:p>
    <w:p>
      <w:pPr>
        <w:snapToGrid w:val="0"/>
        <w:ind w:firstLine="480"/>
        <w:rPr>
          <w:bCs/>
          <w:color w:val="000000" w:themeColor="text1"/>
          <w:szCs w:val="24"/>
        </w:rPr>
      </w:pPr>
      <w:r>
        <w:rPr>
          <w:bCs/>
          <w:color w:val="000000" w:themeColor="text1"/>
          <w:szCs w:val="24"/>
        </w:rPr>
        <w:t>1）重点污染区防渗措施</w:t>
      </w:r>
    </w:p>
    <w:p>
      <w:pPr>
        <w:snapToGrid w:val="0"/>
        <w:ind w:firstLine="480"/>
        <w:rPr>
          <w:color w:val="000000" w:themeColor="text1"/>
          <w:szCs w:val="24"/>
        </w:rPr>
      </w:pPr>
      <w:r>
        <w:rPr>
          <w:color w:val="000000" w:themeColor="text1"/>
          <w:szCs w:val="24"/>
        </w:rPr>
        <w:t>①该项目重点污染区防渗措施为：</w:t>
      </w:r>
      <w:r>
        <w:rPr>
          <w:rFonts w:eastAsiaTheme="minorEastAsia"/>
          <w:color w:val="000000" w:themeColor="text1"/>
        </w:rPr>
        <w:t>对尾矿浆沉淀池和精矿池、事故池、危废暂存间进行重点防渗处理</w:t>
      </w:r>
      <w:r>
        <w:rPr>
          <w:color w:val="000000" w:themeColor="text1"/>
          <w:szCs w:val="24"/>
        </w:rPr>
        <w:t>，池子地面底部地基采取压实粘土+土工膜防渗，采用防渗钢筋混凝土进行建设（防渗要求：等效黏土防渗层Mb≥6m，渗透系数K≤10</w:t>
      </w:r>
      <w:r>
        <w:rPr>
          <w:color w:val="000000" w:themeColor="text1"/>
          <w:szCs w:val="24"/>
          <w:vertAlign w:val="superscript"/>
        </w:rPr>
        <w:t>-7</w:t>
      </w:r>
      <w:r>
        <w:rPr>
          <w:color w:val="000000" w:themeColor="text1"/>
          <w:szCs w:val="24"/>
        </w:rPr>
        <w:t>cm/s）。</w:t>
      </w:r>
    </w:p>
    <w:p>
      <w:pPr>
        <w:snapToGrid w:val="0"/>
        <w:ind w:firstLine="480"/>
        <w:rPr>
          <w:color w:val="000000" w:themeColor="text1"/>
          <w:szCs w:val="24"/>
        </w:rPr>
      </w:pPr>
      <w:r>
        <w:rPr>
          <w:color w:val="000000" w:themeColor="text1"/>
          <w:szCs w:val="24"/>
        </w:rPr>
        <w:t>②本项目尾矿输送管道用钢管，防止尾矿输送时发生泄漏，造成地下水污染。</w:t>
      </w:r>
    </w:p>
    <w:p>
      <w:pPr>
        <w:snapToGrid w:val="0"/>
        <w:ind w:firstLine="480"/>
        <w:rPr>
          <w:bCs/>
          <w:color w:val="000000" w:themeColor="text1"/>
          <w:szCs w:val="24"/>
        </w:rPr>
      </w:pPr>
      <w:r>
        <w:rPr>
          <w:bCs/>
          <w:color w:val="000000" w:themeColor="text1"/>
          <w:szCs w:val="24"/>
        </w:rPr>
        <w:t>2）一般污染区防渗措施</w:t>
      </w:r>
    </w:p>
    <w:p>
      <w:pPr>
        <w:snapToGrid w:val="0"/>
        <w:ind w:firstLine="480"/>
        <w:rPr>
          <w:color w:val="000000" w:themeColor="text1"/>
        </w:rPr>
      </w:pPr>
      <w:r>
        <w:rPr>
          <w:color w:val="000000" w:themeColor="text1"/>
          <w:szCs w:val="24"/>
        </w:rPr>
        <w:t>一般污染区防渗措施：生产车间、实验室、脱水及</w:t>
      </w:r>
      <w:r>
        <w:rPr>
          <w:rFonts w:hint="eastAsia"/>
          <w:color w:val="000000" w:themeColor="text1"/>
          <w:szCs w:val="24"/>
        </w:rPr>
        <w:t>精矿产品</w:t>
      </w:r>
      <w:r>
        <w:rPr>
          <w:color w:val="000000" w:themeColor="text1"/>
          <w:szCs w:val="24"/>
        </w:rPr>
        <w:t>区、原料加工车间、化粪池地面</w:t>
      </w:r>
      <w:r>
        <w:rPr>
          <w:color w:val="000000" w:themeColor="text1"/>
        </w:rPr>
        <w:t>夯实黏土层</w:t>
      </w:r>
      <w:r>
        <w:rPr>
          <w:rFonts w:eastAsia="Times New Roman"/>
          <w:color w:val="000000" w:themeColor="text1"/>
        </w:rPr>
        <w:t>+</w:t>
      </w:r>
      <w:r>
        <w:rPr>
          <w:color w:val="000000" w:themeColor="text1"/>
        </w:rPr>
        <w:t>水池防渗混凝土建设（防渗要求：防渗层按等效黏土防渗层</w:t>
      </w:r>
      <w:r>
        <w:rPr>
          <w:rFonts w:eastAsia="Times New Roman"/>
          <w:color w:val="000000" w:themeColor="text1"/>
        </w:rPr>
        <w:t>Mb≥1.5m</w:t>
      </w:r>
      <w:r>
        <w:rPr>
          <w:color w:val="000000" w:themeColor="text1"/>
        </w:rPr>
        <w:t>，渗透系数</w:t>
      </w:r>
      <w:r>
        <w:rPr>
          <w:rFonts w:eastAsia="Times New Roman"/>
          <w:color w:val="000000" w:themeColor="text1"/>
        </w:rPr>
        <w:t>K≤10</w:t>
      </w:r>
      <w:r>
        <w:rPr>
          <w:rFonts w:eastAsia="Times New Roman"/>
          <w:color w:val="000000" w:themeColor="text1"/>
          <w:position w:val="8"/>
          <w:sz w:val="15"/>
          <w:szCs w:val="15"/>
        </w:rPr>
        <w:t>-7</w:t>
      </w:r>
      <w:r>
        <w:rPr>
          <w:rFonts w:eastAsia="Times New Roman"/>
          <w:color w:val="000000" w:themeColor="text1"/>
        </w:rPr>
        <w:t>cm/s</w:t>
      </w:r>
      <w:r>
        <w:rPr>
          <w:color w:val="000000" w:themeColor="text1"/>
        </w:rPr>
        <w:t>要求）。</w:t>
      </w:r>
    </w:p>
    <w:p>
      <w:pPr>
        <w:snapToGrid w:val="0"/>
        <w:ind w:firstLine="480"/>
        <w:rPr>
          <w:color w:val="000000" w:themeColor="text1"/>
          <w:szCs w:val="24"/>
        </w:rPr>
      </w:pPr>
      <w:r>
        <w:rPr>
          <w:color w:val="000000" w:themeColor="text1"/>
          <w:szCs w:val="24"/>
        </w:rPr>
        <w:t>3）简单防渗</w:t>
      </w:r>
    </w:p>
    <w:p>
      <w:pPr>
        <w:snapToGrid w:val="0"/>
        <w:ind w:firstLine="480"/>
        <w:rPr>
          <w:color w:val="000000" w:themeColor="text1"/>
          <w:szCs w:val="24"/>
        </w:rPr>
      </w:pPr>
      <w:r>
        <w:rPr>
          <w:color w:val="000000" w:themeColor="text1"/>
        </w:rPr>
        <w:t>场区除绿化用地外进行地面硬化处理。</w:t>
      </w:r>
    </w:p>
    <w:p>
      <w:pPr>
        <w:snapToGrid w:val="0"/>
        <w:ind w:firstLine="480"/>
        <w:rPr>
          <w:rFonts w:eastAsiaTheme="minorEastAsia"/>
          <w:color w:val="000000" w:themeColor="text1"/>
        </w:rPr>
      </w:pPr>
      <w:r>
        <w:rPr>
          <w:color w:val="000000" w:themeColor="text1"/>
          <w:szCs w:val="24"/>
        </w:rPr>
        <w:t>由污染途径及对应措施分析可知，项目对可能产生地下水影响的各项途径均进行有效预防，在确保各项防渗措施得以落实，并加强维护和场区环境管理的前提下，可有效控制场区的废水污染物下渗现象，避免污染地下水。</w:t>
      </w:r>
    </w:p>
    <w:p>
      <w:pPr>
        <w:adjustRightInd w:val="0"/>
        <w:snapToGrid w:val="0"/>
        <w:ind w:firstLine="480"/>
        <w:jc w:val="both"/>
        <w:rPr>
          <w:color w:val="000000" w:themeColor="text1"/>
        </w:rPr>
      </w:pPr>
      <w:r>
        <w:rPr>
          <w:rFonts w:hint="eastAsia"/>
          <w:color w:val="000000" w:themeColor="text1"/>
        </w:rPr>
        <w:t>根据现场踏勘情况，项目土壤已采取措施及需要完善措施见表6.2-41和6.2-42所示。</w:t>
      </w:r>
    </w:p>
    <w:p>
      <w:pPr>
        <w:adjustRightInd w:val="0"/>
        <w:snapToGrid w:val="0"/>
        <w:ind w:firstLine="480"/>
        <w:rPr>
          <w:color w:val="000000" w:themeColor="text1"/>
        </w:rPr>
      </w:pPr>
      <w:r>
        <w:rPr>
          <w:color w:val="000000" w:themeColor="text1"/>
        </w:rPr>
        <w:t>（二）可行性分析</w:t>
      </w:r>
    </w:p>
    <w:p>
      <w:pPr>
        <w:pStyle w:val="26"/>
        <w:adjustRightInd w:val="0"/>
        <w:snapToGrid w:val="0"/>
        <w:spacing w:after="0"/>
        <w:ind w:firstLine="480"/>
        <w:rPr>
          <w:rFonts w:eastAsiaTheme="minorEastAsia"/>
          <w:color w:val="000000" w:themeColor="text1"/>
          <w:sz w:val="28"/>
          <w:szCs w:val="28"/>
          <w:lang w:eastAsia="zh-CN"/>
        </w:rPr>
      </w:pPr>
      <w:r>
        <w:rPr>
          <w:rFonts w:eastAsia="宋体"/>
          <w:color w:val="000000" w:themeColor="text1"/>
          <w:lang w:eastAsia="zh-CN"/>
        </w:rPr>
        <w:t>项目针对不同防渗区要求进行分区防渗，</w:t>
      </w:r>
      <w:r>
        <w:rPr>
          <w:rFonts w:eastAsia="宋体"/>
          <w:color w:val="000000" w:themeColor="text1"/>
          <w:spacing w:val="-3"/>
          <w:lang w:eastAsia="zh-CN"/>
        </w:rPr>
        <w:t>各项防渗措施技术成熟、操作简便、效果好，能</w:t>
      </w:r>
      <w:r>
        <w:rPr>
          <w:rFonts w:eastAsia="宋体"/>
          <w:color w:val="000000" w:themeColor="text1"/>
          <w:lang w:eastAsia="zh-CN"/>
        </w:rPr>
        <w:t>满足地下水污染防治的需要，在技术上是可行的。</w:t>
      </w:r>
    </w:p>
    <w:p>
      <w:pPr>
        <w:pStyle w:val="6"/>
        <w:adjustRightInd w:val="0"/>
        <w:snapToGrid w:val="0"/>
        <w:spacing w:beforeLines="0" w:afterLines="0"/>
        <w:rPr>
          <w:rFonts w:eastAsiaTheme="minorEastAsia"/>
          <w:color w:val="000000" w:themeColor="text1"/>
          <w:sz w:val="28"/>
          <w:szCs w:val="28"/>
        </w:rPr>
      </w:pPr>
      <w:bookmarkStart w:id="825" w:name="_Toc9022"/>
      <w:r>
        <w:rPr>
          <w:rFonts w:eastAsiaTheme="minorEastAsia"/>
          <w:color w:val="000000" w:themeColor="text1"/>
          <w:sz w:val="28"/>
          <w:szCs w:val="28"/>
        </w:rPr>
        <w:t>7.2.4噪声污染防治措施及可行性分析</w:t>
      </w:r>
      <w:bookmarkEnd w:id="825"/>
    </w:p>
    <w:p>
      <w:pPr>
        <w:ind w:firstLine="480"/>
        <w:rPr>
          <w:rFonts w:eastAsiaTheme="minorEastAsia"/>
          <w:color w:val="000000" w:themeColor="text1"/>
        </w:rPr>
      </w:pPr>
      <w:r>
        <w:rPr>
          <w:rFonts w:eastAsiaTheme="minorEastAsia"/>
          <w:color w:val="000000" w:themeColor="text1"/>
        </w:rPr>
        <w:t>（一）污染防治措施</w:t>
      </w:r>
    </w:p>
    <w:p>
      <w:pPr>
        <w:ind w:firstLine="480"/>
        <w:rPr>
          <w:rFonts w:eastAsiaTheme="minorEastAsia"/>
          <w:color w:val="000000" w:themeColor="text1"/>
          <w:szCs w:val="24"/>
        </w:rPr>
      </w:pPr>
      <w:r>
        <w:rPr>
          <w:rFonts w:eastAsiaTheme="minorEastAsia"/>
          <w:color w:val="000000" w:themeColor="text1"/>
          <w:szCs w:val="24"/>
        </w:rPr>
        <w:t>项目建成后，全厂主要噪声源为立磨机、磁选机等</w:t>
      </w:r>
      <w:r>
        <w:rPr>
          <w:rStyle w:val="73"/>
          <w:rFonts w:hint="eastAsia"/>
          <w:color w:val="000000" w:themeColor="text1"/>
          <w:kern w:val="0"/>
        </w:rPr>
        <w:t>，</w:t>
      </w:r>
      <w:r>
        <w:rPr>
          <w:rFonts w:eastAsiaTheme="minorEastAsia"/>
          <w:color w:val="000000" w:themeColor="text1"/>
          <w:szCs w:val="24"/>
        </w:rPr>
        <w:t>其源强约为80~95dB(A)。除采取低噪声设备，对设备管道与基础、支架之间采用柔性连接，生产厂房隔音等降噪措施外，还应在总图布置上采取将高噪声设备布置在厂房中央，采用“闹静分开”合理布局的设置原则，尽量将高噪声源远离噪声敏感区域或厂界，减小对厂界噪声的影响。这些噪声控制措施可保证对厂界噪声的影响在可接受的范围内。</w:t>
      </w:r>
    </w:p>
    <w:p>
      <w:pPr>
        <w:ind w:firstLine="480"/>
        <w:rPr>
          <w:rFonts w:eastAsiaTheme="minorEastAsia"/>
          <w:color w:val="000000" w:themeColor="text1"/>
          <w:szCs w:val="24"/>
        </w:rPr>
      </w:pPr>
      <w:r>
        <w:rPr>
          <w:rFonts w:eastAsiaTheme="minorEastAsia"/>
          <w:color w:val="000000" w:themeColor="text1"/>
          <w:szCs w:val="24"/>
        </w:rPr>
        <w:t>本项目拟采取的具体噪声防治措施如下：</w:t>
      </w:r>
    </w:p>
    <w:p>
      <w:pPr>
        <w:ind w:firstLine="480"/>
        <w:rPr>
          <w:rFonts w:eastAsiaTheme="minorEastAsia"/>
          <w:color w:val="000000" w:themeColor="text1"/>
          <w:szCs w:val="24"/>
        </w:rPr>
      </w:pPr>
      <w:r>
        <w:rPr>
          <w:rFonts w:eastAsiaTheme="minorEastAsia"/>
          <w:color w:val="000000" w:themeColor="text1"/>
          <w:szCs w:val="24"/>
        </w:rPr>
        <w:t>1、从声源上控制，风机等设备选择低噪声和符合国家噪声标准的设备；</w:t>
      </w:r>
    </w:p>
    <w:p>
      <w:pPr>
        <w:ind w:firstLine="480"/>
        <w:rPr>
          <w:rFonts w:eastAsiaTheme="minorEastAsia"/>
          <w:color w:val="000000" w:themeColor="text1"/>
          <w:szCs w:val="24"/>
        </w:rPr>
      </w:pPr>
      <w:r>
        <w:rPr>
          <w:rFonts w:eastAsiaTheme="minorEastAsia"/>
          <w:color w:val="000000" w:themeColor="text1"/>
          <w:szCs w:val="24"/>
        </w:rPr>
        <w:t>2、合理布局：将新增高噪声设备尽量布置在车间中间，通过距离衰减减轻噪声对周围环境的影响；</w:t>
      </w:r>
    </w:p>
    <w:p>
      <w:pPr>
        <w:ind w:firstLine="480"/>
        <w:jc w:val="both"/>
        <w:rPr>
          <w:rFonts w:eastAsiaTheme="minorEastAsia"/>
          <w:color w:val="000000" w:themeColor="text1"/>
          <w:szCs w:val="24"/>
        </w:rPr>
      </w:pPr>
      <w:r>
        <w:rPr>
          <w:rFonts w:eastAsiaTheme="minorEastAsia"/>
          <w:color w:val="000000" w:themeColor="text1"/>
          <w:szCs w:val="24"/>
        </w:rPr>
        <w:t>3、加强管理：平时加强对各噪声设备的保养、检修与润滑，保证设备良好运转，减轻运行噪声强度；对各类噪声源采取上述噪声防治措施后，可降低噪声源强15dB（A）。</w:t>
      </w:r>
    </w:p>
    <w:p>
      <w:pPr>
        <w:ind w:firstLine="480"/>
        <w:rPr>
          <w:rFonts w:eastAsiaTheme="minorEastAsia"/>
          <w:color w:val="000000" w:themeColor="text1"/>
        </w:rPr>
      </w:pPr>
      <w:r>
        <w:rPr>
          <w:rFonts w:eastAsiaTheme="minorEastAsia"/>
          <w:color w:val="000000" w:themeColor="text1"/>
        </w:rPr>
        <w:t>（二）可行性分析</w:t>
      </w:r>
    </w:p>
    <w:p>
      <w:pPr>
        <w:ind w:firstLine="480"/>
        <w:jc w:val="both"/>
        <w:rPr>
          <w:rFonts w:eastAsiaTheme="minorEastAsia"/>
          <w:color w:val="000000" w:themeColor="text1"/>
          <w:sz w:val="28"/>
          <w:szCs w:val="28"/>
        </w:rPr>
      </w:pPr>
      <w:r>
        <w:rPr>
          <w:rFonts w:eastAsiaTheme="minorEastAsia"/>
          <w:color w:val="000000" w:themeColor="text1"/>
          <w:szCs w:val="24"/>
        </w:rPr>
        <w:t>经预测，采取以上处理措施</w:t>
      </w:r>
      <w:r>
        <w:rPr>
          <w:rFonts w:hint="eastAsia" w:eastAsiaTheme="minorEastAsia"/>
          <w:color w:val="000000" w:themeColor="text1"/>
          <w:szCs w:val="24"/>
        </w:rPr>
        <w:t>，项目生产噪声在厂界的贡献值叠加背景值后</w:t>
      </w:r>
      <w:r>
        <w:rPr>
          <w:rFonts w:eastAsiaTheme="minorEastAsia"/>
          <w:color w:val="000000" w:themeColor="text1"/>
          <w:szCs w:val="24"/>
        </w:rPr>
        <w:t>昼夜满足《工业企业厂界环境噪声排放标准》（GB3096-2008）中3类标准，</w:t>
      </w:r>
      <w:r>
        <w:rPr>
          <w:rFonts w:eastAsiaTheme="minorEastAsia"/>
          <w:color w:val="000000" w:themeColor="text1"/>
          <w:kern w:val="0"/>
          <w:szCs w:val="20"/>
        </w:rPr>
        <w:t>整个厂区北面和东面为山体阻隔，选厂附近1km内均无声环境敏感目标，项目产生的噪声对周围环境影响不大，</w:t>
      </w:r>
      <w:r>
        <w:rPr>
          <w:color w:val="000000" w:themeColor="text1"/>
          <w:spacing w:val="-3"/>
        </w:rPr>
        <w:t>项目采取的噪声防治措施使用范围广、简单易行。在技术及经济方面是可行的。</w:t>
      </w:r>
      <w:bookmarkStart w:id="826" w:name="_Toc465156895"/>
    </w:p>
    <w:p>
      <w:pPr>
        <w:pStyle w:val="6"/>
        <w:adjustRightInd w:val="0"/>
        <w:snapToGrid w:val="0"/>
        <w:spacing w:beforeLines="0" w:afterLines="0"/>
        <w:rPr>
          <w:rFonts w:eastAsiaTheme="minorEastAsia"/>
          <w:color w:val="000000" w:themeColor="text1"/>
          <w:sz w:val="28"/>
          <w:szCs w:val="28"/>
        </w:rPr>
      </w:pPr>
      <w:bookmarkStart w:id="827" w:name="_Toc11846"/>
      <w:r>
        <w:rPr>
          <w:rFonts w:eastAsiaTheme="minorEastAsia"/>
          <w:color w:val="000000" w:themeColor="text1"/>
          <w:sz w:val="28"/>
          <w:szCs w:val="28"/>
        </w:rPr>
        <w:t>7.2.5固体废物处理处置措施</w:t>
      </w:r>
      <w:bookmarkEnd w:id="826"/>
      <w:r>
        <w:rPr>
          <w:rFonts w:eastAsiaTheme="minorEastAsia"/>
          <w:color w:val="000000" w:themeColor="text1"/>
          <w:sz w:val="28"/>
          <w:szCs w:val="28"/>
        </w:rPr>
        <w:t>及效果及可行性分析</w:t>
      </w:r>
      <w:bookmarkEnd w:id="827"/>
    </w:p>
    <w:p>
      <w:pPr>
        <w:ind w:firstLine="480"/>
        <w:rPr>
          <w:rFonts w:eastAsiaTheme="minorEastAsia"/>
          <w:color w:val="000000" w:themeColor="text1"/>
        </w:rPr>
      </w:pPr>
      <w:r>
        <w:rPr>
          <w:rFonts w:eastAsiaTheme="minorEastAsia"/>
          <w:color w:val="000000" w:themeColor="text1"/>
        </w:rPr>
        <w:t>（一）污染防治措施</w:t>
      </w:r>
    </w:p>
    <w:p>
      <w:pPr>
        <w:ind w:firstLine="480"/>
        <w:rPr>
          <w:rFonts w:eastAsiaTheme="minorEastAsia"/>
          <w:color w:val="000000" w:themeColor="text1"/>
        </w:rPr>
      </w:pPr>
      <w:r>
        <w:rPr>
          <w:rFonts w:eastAsiaTheme="minorEastAsia"/>
          <w:color w:val="000000" w:themeColor="text1"/>
        </w:rPr>
        <w:t>该项目产生的固废主要有尾矿、生活垃圾、废机油、收尘灰等。</w:t>
      </w:r>
    </w:p>
    <w:p>
      <w:pPr>
        <w:ind w:firstLine="480"/>
        <w:rPr>
          <w:rFonts w:eastAsiaTheme="minorEastAsia"/>
          <w:color w:val="000000" w:themeColor="text1"/>
        </w:rPr>
      </w:pPr>
      <w:r>
        <w:rPr>
          <w:rFonts w:eastAsiaTheme="minorEastAsia"/>
          <w:color w:val="000000" w:themeColor="text1"/>
        </w:rPr>
        <w:t>1、尾矿</w:t>
      </w:r>
    </w:p>
    <w:p>
      <w:pPr>
        <w:ind w:firstLine="480"/>
        <w:rPr>
          <w:rFonts w:eastAsiaTheme="minorEastAsia"/>
          <w:color w:val="000000" w:themeColor="text1"/>
        </w:rPr>
      </w:pPr>
      <w:r>
        <w:rPr>
          <w:rFonts w:eastAsiaTheme="minorEastAsia"/>
          <w:color w:val="000000" w:themeColor="text1"/>
        </w:rPr>
        <w:t>技改铁精矿再选过程所排尾矿</w:t>
      </w:r>
      <w:r>
        <w:rPr>
          <w:rFonts w:eastAsiaTheme="minorEastAsia"/>
          <w:bCs/>
          <w:color w:val="000000" w:themeColor="text1"/>
        </w:rPr>
        <w:t>经平安公司已建设的尾矿管道输送至龙都尾矿库，现有选矿车间所排尾矿的处置方式和去向维持现状，仍然</w:t>
      </w:r>
      <w:r>
        <w:rPr>
          <w:rFonts w:eastAsiaTheme="minorEastAsia"/>
          <w:color w:val="000000" w:themeColor="text1"/>
        </w:rPr>
        <w:t>进入辣子箐尾矿库。</w:t>
      </w:r>
    </w:p>
    <w:p>
      <w:pPr>
        <w:ind w:firstLine="480"/>
        <w:rPr>
          <w:rFonts w:eastAsiaTheme="minorEastAsia"/>
          <w:color w:val="000000" w:themeColor="text1"/>
        </w:rPr>
      </w:pPr>
      <w:r>
        <w:rPr>
          <w:rFonts w:eastAsiaTheme="minorEastAsia"/>
          <w:color w:val="000000" w:themeColor="text1"/>
        </w:rPr>
        <w:t>2、生活垃圾</w:t>
      </w:r>
    </w:p>
    <w:p>
      <w:pPr>
        <w:ind w:firstLine="480"/>
        <w:rPr>
          <w:rFonts w:eastAsiaTheme="minorEastAsia"/>
          <w:color w:val="000000" w:themeColor="text1"/>
        </w:rPr>
      </w:pPr>
      <w:r>
        <w:rPr>
          <w:rFonts w:eastAsiaTheme="minorEastAsia"/>
          <w:color w:val="000000" w:themeColor="text1"/>
        </w:rPr>
        <w:t>生活办公区设置垃圾收集桶，统一收集运至戛洒镇生活垃圾指</w:t>
      </w:r>
      <w:r>
        <w:rPr>
          <w:rFonts w:hint="eastAsia" w:eastAsiaTheme="minorEastAsia"/>
          <w:color w:val="000000" w:themeColor="text1"/>
        </w:rPr>
        <w:t>处置地点处置</w:t>
      </w:r>
      <w:r>
        <w:rPr>
          <w:rFonts w:eastAsiaTheme="minorEastAsia"/>
          <w:color w:val="000000" w:themeColor="text1"/>
        </w:rPr>
        <w:t>定。</w:t>
      </w:r>
    </w:p>
    <w:p>
      <w:pPr>
        <w:ind w:firstLine="480"/>
        <w:rPr>
          <w:rFonts w:eastAsiaTheme="minorEastAsia"/>
          <w:color w:val="000000" w:themeColor="text1"/>
          <w:szCs w:val="24"/>
        </w:rPr>
      </w:pPr>
      <w:r>
        <w:rPr>
          <w:rFonts w:eastAsiaTheme="minorEastAsia"/>
          <w:color w:val="000000" w:themeColor="text1"/>
          <w:szCs w:val="24"/>
        </w:rPr>
        <w:t>3、废机油</w:t>
      </w:r>
    </w:p>
    <w:p>
      <w:pPr>
        <w:adjustRightInd w:val="0"/>
        <w:snapToGrid w:val="0"/>
        <w:ind w:firstLine="480"/>
        <w:rPr>
          <w:rFonts w:eastAsiaTheme="minorEastAsia"/>
          <w:color w:val="000000" w:themeColor="text1"/>
          <w:szCs w:val="24"/>
        </w:rPr>
      </w:pPr>
      <w:r>
        <w:rPr>
          <w:rFonts w:eastAsiaTheme="minorEastAsia"/>
          <w:color w:val="000000" w:themeColor="text1"/>
          <w:szCs w:val="24"/>
        </w:rPr>
        <w:t>废机油按规范暂存危险废物暂存间，定期委托具有危废处置资质的单位进行处置。厂区内的危险废物暂存间不能满足环保要求，本次技改对危险废物暂存间进行整改，</w:t>
      </w:r>
      <w:r>
        <w:rPr>
          <w:color w:val="000000" w:themeColor="text1"/>
          <w:szCs w:val="24"/>
        </w:rPr>
        <w:t>规范建设危废暂存间，</w:t>
      </w:r>
      <w:r>
        <w:rPr>
          <w:bCs/>
          <w:color w:val="000000" w:themeColor="text1"/>
        </w:rPr>
        <w:t>要求：</w:t>
      </w:r>
      <w:r>
        <w:rPr>
          <w:rFonts w:hint="eastAsia"/>
          <w:bCs/>
          <w:color w:val="000000" w:themeColor="text1"/>
        </w:rPr>
        <w:t>“</w:t>
      </w:r>
      <w:r>
        <w:rPr>
          <w:bCs/>
          <w:color w:val="000000" w:themeColor="text1"/>
        </w:rPr>
        <w:t>6.2.1</w:t>
      </w:r>
      <w:r>
        <w:rPr>
          <w:color w:val="000000" w:themeColor="text1"/>
          <w:kern w:val="0"/>
          <w:szCs w:val="24"/>
          <w:shd w:val="clear" w:color="auto" w:fill="FFFFFF"/>
        </w:rPr>
        <w:t>地面与裙脚要用坚固、防渗的材料建造；</w:t>
      </w:r>
      <w:r>
        <w:rPr>
          <w:bCs/>
          <w:color w:val="000000" w:themeColor="text1"/>
        </w:rPr>
        <w:t>6.2.2必须有泄漏液体收集装置；6.2.5应设计堵截泄漏的裙脚，6.3.1</w:t>
      </w:r>
      <w:r>
        <w:rPr>
          <w:color w:val="000000" w:themeColor="text1"/>
          <w:kern w:val="0"/>
          <w:szCs w:val="24"/>
          <w:shd w:val="clear" w:color="auto" w:fill="FFFFFF"/>
        </w:rPr>
        <w:t>基础必须防渗，防渗层为至少1米厚粘土层（渗透系数≤10</w:t>
      </w:r>
      <w:r>
        <w:rPr>
          <w:color w:val="000000" w:themeColor="text1"/>
          <w:kern w:val="0"/>
          <w:szCs w:val="24"/>
          <w:shd w:val="clear" w:color="auto" w:fill="FFFFFF"/>
          <w:vertAlign w:val="superscript"/>
        </w:rPr>
        <w:t>-7</w:t>
      </w:r>
      <w:r>
        <w:rPr>
          <w:color w:val="000000" w:themeColor="text1"/>
          <w:kern w:val="0"/>
          <w:szCs w:val="24"/>
          <w:shd w:val="clear" w:color="auto" w:fill="FFFFFF"/>
        </w:rPr>
        <w:t>厘米/秒），或2毫米厚高密度聚乙烯，或至少2毫米厚的其它人工材料，渗透系数≤10</w:t>
      </w:r>
      <w:r>
        <w:rPr>
          <w:color w:val="000000" w:themeColor="text1"/>
          <w:kern w:val="0"/>
          <w:szCs w:val="24"/>
          <w:shd w:val="clear" w:color="auto" w:fill="FFFFFF"/>
          <w:vertAlign w:val="superscript"/>
        </w:rPr>
        <w:t>-10</w:t>
      </w:r>
      <w:r>
        <w:rPr>
          <w:color w:val="000000" w:themeColor="text1"/>
          <w:kern w:val="0"/>
          <w:szCs w:val="24"/>
          <w:shd w:val="clear" w:color="auto" w:fill="FFFFFF"/>
        </w:rPr>
        <w:t>厘米/秒</w:t>
      </w:r>
      <w:r>
        <w:rPr>
          <w:rFonts w:hint="eastAsia"/>
          <w:color w:val="000000" w:themeColor="text1"/>
          <w:kern w:val="0"/>
          <w:szCs w:val="24"/>
          <w:shd w:val="clear" w:color="auto" w:fill="FFFFFF"/>
        </w:rPr>
        <w:t>”</w:t>
      </w:r>
      <w:r>
        <w:rPr>
          <w:color w:val="000000" w:themeColor="text1"/>
          <w:kern w:val="0"/>
          <w:szCs w:val="24"/>
          <w:shd w:val="clear" w:color="auto" w:fill="FFFFFF"/>
        </w:rPr>
        <w:t>。</w:t>
      </w:r>
      <w:r>
        <w:rPr>
          <w:bCs/>
          <w:color w:val="000000" w:themeColor="text1"/>
        </w:rPr>
        <w:t>本次评价要求盛装容器上张贴标识，</w:t>
      </w:r>
      <w:r>
        <w:rPr>
          <w:rFonts w:eastAsiaTheme="minorEastAsia"/>
          <w:color w:val="000000" w:themeColor="text1"/>
        </w:rPr>
        <w:t>并设置围堰、泄漏液体导流沟和收集池。</w:t>
      </w:r>
      <w:r>
        <w:rPr>
          <w:bCs/>
          <w:color w:val="000000" w:themeColor="text1"/>
        </w:rPr>
        <w:t>贮存危险废物不得超过一年。并制定危险废物管理计划，严格执行危废转移联单制度，建立危险废物管理台账，相关台账应保存3年以上，以备相关管理部门检查。</w:t>
      </w:r>
    </w:p>
    <w:p>
      <w:pPr>
        <w:ind w:firstLine="480"/>
        <w:rPr>
          <w:color w:val="000000" w:themeColor="text1"/>
          <w:szCs w:val="24"/>
        </w:rPr>
      </w:pPr>
      <w:r>
        <w:rPr>
          <w:rFonts w:hint="eastAsia"/>
          <w:color w:val="000000" w:themeColor="text1"/>
          <w:szCs w:val="24"/>
        </w:rPr>
        <w:t>4、</w:t>
      </w:r>
      <w:r>
        <w:rPr>
          <w:color w:val="000000" w:themeColor="text1"/>
          <w:szCs w:val="24"/>
        </w:rPr>
        <w:t>收尘灰</w:t>
      </w:r>
    </w:p>
    <w:p>
      <w:pPr>
        <w:ind w:left="480" w:leftChars="200" w:firstLine="0" w:firstLineChars="0"/>
        <w:rPr>
          <w:rFonts w:eastAsiaTheme="minorEastAsia"/>
          <w:color w:val="000000" w:themeColor="text1"/>
          <w:szCs w:val="24"/>
        </w:rPr>
      </w:pPr>
      <w:r>
        <w:rPr>
          <w:color w:val="000000" w:themeColor="text1"/>
          <w:szCs w:val="24"/>
        </w:rPr>
        <w:t>通过收集后作为砂料产品外卖。</w:t>
      </w:r>
    </w:p>
    <w:p>
      <w:pPr>
        <w:ind w:firstLine="480"/>
        <w:rPr>
          <w:rFonts w:eastAsiaTheme="minorEastAsia"/>
          <w:color w:val="000000" w:themeColor="text1"/>
        </w:rPr>
      </w:pPr>
      <w:r>
        <w:rPr>
          <w:rFonts w:eastAsiaTheme="minorEastAsia"/>
          <w:color w:val="000000" w:themeColor="text1"/>
        </w:rPr>
        <w:t>（二）可行性分析</w:t>
      </w:r>
    </w:p>
    <w:p>
      <w:pPr>
        <w:ind w:firstLine="480"/>
        <w:rPr>
          <w:rFonts w:eastAsiaTheme="minorEastAsia"/>
          <w:color w:val="000000" w:themeColor="text1"/>
        </w:rPr>
      </w:pPr>
      <w:r>
        <w:rPr>
          <w:rFonts w:eastAsiaTheme="minorEastAsia"/>
          <w:color w:val="000000" w:themeColor="text1"/>
        </w:rPr>
        <w:t>技改项目利用三级精铁矿</w:t>
      </w:r>
      <w:r>
        <w:rPr>
          <w:color w:val="000000" w:themeColor="text1"/>
        </w:rPr>
        <w:t>再选以提高矿石品位，</w:t>
      </w:r>
      <w:r>
        <w:rPr>
          <w:rFonts w:eastAsiaTheme="minorEastAsia"/>
          <w:color w:val="000000" w:themeColor="text1"/>
        </w:rPr>
        <w:t>生产过程中不进行pH调节，技改工艺不增加浮选工段，不需要使用到浮选剂，选矿后尾矿只是铁的品位发生变化，尾矿属性未发生变化，</w:t>
      </w:r>
      <w:r>
        <w:rPr>
          <w:color w:val="000000" w:themeColor="text1"/>
        </w:rPr>
        <w:t>为</w:t>
      </w:r>
      <w:r>
        <w:rPr>
          <w:rFonts w:eastAsiaTheme="minorEastAsia"/>
          <w:bCs/>
          <w:color w:val="000000" w:themeColor="text1"/>
        </w:rPr>
        <w:t>Ⅰ类一般工业固废，龙都尾矿库设计为Ⅰ类一般工业固废储存地点，技改铁矿再选尾矿进龙都尾矿库是合理可行的。</w:t>
      </w:r>
      <w:r>
        <w:rPr>
          <w:rFonts w:eastAsiaTheme="minorEastAsia"/>
          <w:color w:val="000000" w:themeColor="text1"/>
        </w:rPr>
        <w:t>各类固废处置措施均合理可行，各类固废均能100%得到妥善处置。</w:t>
      </w:r>
    </w:p>
    <w:p>
      <w:pPr>
        <w:pStyle w:val="6"/>
        <w:adjustRightInd w:val="0"/>
        <w:snapToGrid w:val="0"/>
        <w:spacing w:beforeLines="0" w:afterLines="0"/>
        <w:rPr>
          <w:rFonts w:eastAsiaTheme="minorEastAsia"/>
          <w:color w:val="000000" w:themeColor="text1"/>
          <w:sz w:val="28"/>
          <w:szCs w:val="28"/>
        </w:rPr>
      </w:pPr>
      <w:bookmarkStart w:id="828" w:name="_Toc18518106"/>
      <w:bookmarkStart w:id="829" w:name="_Toc12725"/>
      <w:r>
        <w:rPr>
          <w:rFonts w:eastAsiaTheme="minorEastAsia"/>
          <w:color w:val="000000" w:themeColor="text1"/>
          <w:sz w:val="28"/>
          <w:szCs w:val="28"/>
        </w:rPr>
        <w:t>7.2.6土壤污染防治措施</w:t>
      </w:r>
      <w:bookmarkEnd w:id="828"/>
      <w:r>
        <w:rPr>
          <w:rFonts w:eastAsiaTheme="minorEastAsia"/>
          <w:color w:val="000000" w:themeColor="text1"/>
          <w:sz w:val="28"/>
          <w:szCs w:val="28"/>
        </w:rPr>
        <w:t>及可行性分析</w:t>
      </w:r>
      <w:bookmarkEnd w:id="829"/>
    </w:p>
    <w:p>
      <w:pPr>
        <w:pStyle w:val="51"/>
        <w:ind w:left="0" w:firstLine="480"/>
        <w:rPr>
          <w:color w:val="000000" w:themeColor="text1"/>
          <w:sz w:val="24"/>
          <w:szCs w:val="24"/>
          <w:lang w:eastAsia="zh-CN"/>
        </w:rPr>
      </w:pPr>
      <w:r>
        <w:rPr>
          <w:color w:val="000000" w:themeColor="text1"/>
          <w:sz w:val="24"/>
          <w:szCs w:val="24"/>
          <w:lang w:eastAsia="zh-CN"/>
        </w:rPr>
        <w:t>1、源头控制</w:t>
      </w:r>
    </w:p>
    <w:p>
      <w:pPr>
        <w:pStyle w:val="51"/>
        <w:ind w:left="0" w:firstLine="480"/>
        <w:rPr>
          <w:color w:val="000000" w:themeColor="text1"/>
          <w:sz w:val="24"/>
          <w:szCs w:val="24"/>
          <w:lang w:eastAsia="zh-CN"/>
        </w:rPr>
      </w:pPr>
      <w:r>
        <w:rPr>
          <w:color w:val="000000" w:themeColor="text1"/>
          <w:sz w:val="24"/>
          <w:szCs w:val="24"/>
          <w:lang w:eastAsia="zh-CN"/>
        </w:rPr>
        <w:t>（1）在危险物质存储及使用区域采取防渗措施，尾矿浆沉淀池和精矿池、事故池、危废暂存间严格进行防渗。</w:t>
      </w:r>
    </w:p>
    <w:p>
      <w:pPr>
        <w:pStyle w:val="51"/>
        <w:ind w:left="0" w:firstLine="480"/>
        <w:rPr>
          <w:color w:val="000000" w:themeColor="text1"/>
          <w:sz w:val="24"/>
          <w:szCs w:val="24"/>
          <w:lang w:eastAsia="zh-CN"/>
        </w:rPr>
      </w:pPr>
      <w:r>
        <w:rPr>
          <w:color w:val="000000" w:themeColor="text1"/>
          <w:sz w:val="24"/>
          <w:szCs w:val="24"/>
          <w:lang w:eastAsia="zh-CN"/>
        </w:rPr>
        <w:t>2、过程防控措施</w:t>
      </w:r>
    </w:p>
    <w:p>
      <w:pPr>
        <w:pStyle w:val="51"/>
        <w:ind w:left="0" w:firstLine="480"/>
        <w:rPr>
          <w:color w:val="000000" w:themeColor="text1"/>
          <w:sz w:val="24"/>
          <w:szCs w:val="24"/>
          <w:lang w:eastAsia="zh-CN"/>
        </w:rPr>
      </w:pPr>
      <w:r>
        <w:rPr>
          <w:color w:val="000000" w:themeColor="text1"/>
          <w:sz w:val="24"/>
          <w:szCs w:val="24"/>
          <w:lang w:eastAsia="zh-CN"/>
        </w:rPr>
        <w:t>（1）加强危险物质在场内储存的管理措施；</w:t>
      </w:r>
    </w:p>
    <w:p>
      <w:pPr>
        <w:pStyle w:val="51"/>
        <w:ind w:left="0" w:firstLine="480"/>
        <w:rPr>
          <w:color w:val="000000" w:themeColor="text1"/>
          <w:sz w:val="24"/>
          <w:szCs w:val="24"/>
          <w:lang w:eastAsia="zh-CN"/>
        </w:rPr>
      </w:pPr>
      <w:r>
        <w:rPr>
          <w:color w:val="000000" w:themeColor="text1"/>
          <w:sz w:val="24"/>
          <w:szCs w:val="24"/>
          <w:lang w:eastAsia="zh-CN"/>
        </w:rPr>
        <w:t>（2）设置对事故状态下泄漏的物料和生产废水进行收集与储存的事故储存设施。</w:t>
      </w:r>
    </w:p>
    <w:p>
      <w:pPr>
        <w:pStyle w:val="51"/>
        <w:ind w:left="0" w:firstLine="480"/>
        <w:rPr>
          <w:color w:val="000000" w:themeColor="text1"/>
          <w:sz w:val="24"/>
          <w:szCs w:val="24"/>
          <w:lang w:eastAsia="zh-CN"/>
        </w:rPr>
      </w:pPr>
      <w:r>
        <w:rPr>
          <w:color w:val="000000" w:themeColor="text1"/>
          <w:sz w:val="24"/>
          <w:szCs w:val="24"/>
          <w:lang w:eastAsia="zh-CN"/>
        </w:rPr>
        <w:t>（3）加强环保设施管理，确保废水回用设施正常运行，杜绝事故排放及跑冒滴漏情况。</w:t>
      </w:r>
    </w:p>
    <w:p>
      <w:pPr>
        <w:adjustRightInd w:val="0"/>
        <w:snapToGrid w:val="0"/>
        <w:ind w:firstLine="480"/>
        <w:rPr>
          <w:rFonts w:eastAsiaTheme="minorEastAsia"/>
          <w:color w:val="000000" w:themeColor="text1"/>
          <w:sz w:val="28"/>
          <w:szCs w:val="28"/>
        </w:rPr>
      </w:pPr>
      <w:r>
        <w:rPr>
          <w:rFonts w:hint="eastAsia" w:eastAsiaTheme="minorEastAsia"/>
          <w:color w:val="000000" w:themeColor="text1"/>
        </w:rPr>
        <w:t>项目土壤防渗已采取措施及需要完善措施见表6.2-41和6.2-42所述。</w:t>
      </w:r>
    </w:p>
    <w:p>
      <w:pPr>
        <w:pStyle w:val="6"/>
        <w:adjustRightInd w:val="0"/>
        <w:snapToGrid w:val="0"/>
        <w:spacing w:beforeLines="0" w:afterLines="0"/>
        <w:rPr>
          <w:rFonts w:eastAsiaTheme="minorEastAsia"/>
          <w:color w:val="000000" w:themeColor="text1"/>
          <w:sz w:val="28"/>
          <w:szCs w:val="28"/>
        </w:rPr>
      </w:pPr>
      <w:bookmarkStart w:id="830" w:name="_Toc2238"/>
      <w:r>
        <w:rPr>
          <w:rFonts w:eastAsiaTheme="minorEastAsia"/>
          <w:color w:val="000000" w:themeColor="text1"/>
          <w:sz w:val="28"/>
          <w:szCs w:val="28"/>
        </w:rPr>
        <w:t>7.2.7环境风险防范措施及可行性分析</w:t>
      </w:r>
      <w:bookmarkEnd w:id="830"/>
    </w:p>
    <w:p>
      <w:pPr>
        <w:ind w:firstLine="480"/>
        <w:rPr>
          <w:rFonts w:eastAsiaTheme="minorEastAsia"/>
          <w:color w:val="000000" w:themeColor="text1"/>
        </w:rPr>
      </w:pPr>
      <w:r>
        <w:rPr>
          <w:rFonts w:eastAsiaTheme="minorEastAsia"/>
          <w:color w:val="000000" w:themeColor="text1"/>
        </w:rPr>
        <w:t>（一）污染防治措施</w:t>
      </w:r>
    </w:p>
    <w:p>
      <w:pPr>
        <w:adjustRightInd w:val="0"/>
        <w:ind w:firstLine="480"/>
        <w:jc w:val="both"/>
        <w:rPr>
          <w:rFonts w:eastAsiaTheme="minorEastAsia"/>
          <w:color w:val="000000" w:themeColor="text1"/>
        </w:rPr>
      </w:pPr>
      <w:r>
        <w:rPr>
          <w:rFonts w:hint="eastAsia" w:eastAsiaTheme="minorEastAsia"/>
          <w:color w:val="000000" w:themeColor="text1"/>
        </w:rPr>
        <w:t>项目地下水及土壤已采取措施及需要完善措施见表6.2-41和6.2-42所述，其余风险防范措施具体要求见下所述：</w:t>
      </w:r>
    </w:p>
    <w:p>
      <w:pPr>
        <w:adjustRightInd w:val="0"/>
        <w:ind w:firstLine="480"/>
        <w:jc w:val="both"/>
        <w:rPr>
          <w:color w:val="000000" w:themeColor="text1"/>
        </w:rPr>
      </w:pPr>
      <w:r>
        <w:rPr>
          <w:rFonts w:eastAsiaTheme="minorEastAsia"/>
          <w:color w:val="000000" w:themeColor="text1"/>
        </w:rPr>
        <w:t>1、</w:t>
      </w:r>
      <w:r>
        <w:rPr>
          <w:rFonts w:hint="eastAsia" w:eastAsiaTheme="minorEastAsia"/>
          <w:color w:val="000000" w:themeColor="text1"/>
        </w:rPr>
        <w:t>废机油</w:t>
      </w:r>
      <w:r>
        <w:rPr>
          <w:color w:val="000000" w:themeColor="text1"/>
        </w:rPr>
        <w:t>在储存过程中，根据《危险废物贮存污染控制标准》（GB18597-2001）中的相关内容，工程采取以下措施：</w:t>
      </w:r>
    </w:p>
    <w:p>
      <w:pPr>
        <w:adjustRightInd w:val="0"/>
        <w:ind w:firstLine="480"/>
        <w:jc w:val="both"/>
        <w:rPr>
          <w:color w:val="000000" w:themeColor="text1"/>
        </w:rPr>
      </w:pPr>
      <w:r>
        <w:rPr>
          <w:color w:val="000000" w:themeColor="text1"/>
        </w:rPr>
        <w:t>（1）按照危险废物贮存污染控制指标要求，各种危险废物采用专用的容器存放，收集后置于危废间内，防止风吹雨淋和日晒。危废间设立危险废物警示标志，由专人进行管理，严格落实危险固废转移台账管理，做到每一笔危险固废的去向都有台账记录，包括厂区内部的和行政管理部门的。</w:t>
      </w:r>
    </w:p>
    <w:p>
      <w:pPr>
        <w:adjustRightInd w:val="0"/>
        <w:ind w:firstLine="480"/>
        <w:jc w:val="both"/>
        <w:rPr>
          <w:color w:val="000000" w:themeColor="text1"/>
        </w:rPr>
      </w:pPr>
      <w:r>
        <w:rPr>
          <w:color w:val="000000" w:themeColor="text1"/>
        </w:rPr>
        <w:t>（2）危险废物暂存场所设置堵截泄漏的裙脚，地面进行防渗处理，危废暂存场所危废暂存间地面做防渗，防渗层为至少1m厚粘土层（渗透系数≤10</w:t>
      </w:r>
      <w:r>
        <w:rPr>
          <w:color w:val="000000" w:themeColor="text1"/>
          <w:vertAlign w:val="superscript"/>
        </w:rPr>
        <w:t>-7</w:t>
      </w:r>
      <w:r>
        <w:rPr>
          <w:color w:val="000000" w:themeColor="text1"/>
        </w:rPr>
        <w:t>cm/s），或2mm厚高密度聚乙烯，或至少2mm厚的其它人工材料，渗透系数≤10</w:t>
      </w:r>
      <w:r>
        <w:rPr>
          <w:color w:val="000000" w:themeColor="text1"/>
          <w:vertAlign w:val="superscript"/>
        </w:rPr>
        <w:t>-10</w:t>
      </w:r>
      <w:r>
        <w:rPr>
          <w:color w:val="000000" w:themeColor="text1"/>
        </w:rPr>
        <w:t>cm/s。</w:t>
      </w:r>
    </w:p>
    <w:p>
      <w:pPr>
        <w:adjustRightInd w:val="0"/>
        <w:ind w:firstLine="480"/>
        <w:jc w:val="both"/>
        <w:rPr>
          <w:color w:val="000000" w:themeColor="text1"/>
        </w:rPr>
      </w:pPr>
      <w:r>
        <w:rPr>
          <w:color w:val="000000" w:themeColor="text1"/>
        </w:rPr>
        <w:t>（3）对装有危废的容器进行定期检查，容器泄漏损坏时必须立即处理，并将危废装入完好容器内。同时危险废物储存区设置警示标牌。</w:t>
      </w:r>
    </w:p>
    <w:p>
      <w:pPr>
        <w:adjustRightInd w:val="0"/>
        <w:ind w:firstLine="480"/>
        <w:jc w:val="both"/>
        <w:rPr>
          <w:rFonts w:eastAsiaTheme="minorEastAsia"/>
          <w:color w:val="000000" w:themeColor="text1"/>
        </w:rPr>
      </w:pPr>
      <w:r>
        <w:rPr>
          <w:color w:val="000000" w:themeColor="text1"/>
        </w:rPr>
        <w:t>（4）所有包装袋、桶必须贴上危险废物标签，危险废物标签上文字字体为黑体、底色为醒目的桔黄色，稳妥贴附在包装袋、桶适当位置，使其清晰易读。危险废物标签要提供下列说明：“危险废物”字样、危险废物产生单位名称、联系人、联系电话、主要化学成分或商品名称、危险类别、安全措施等。</w:t>
      </w:r>
    </w:p>
    <w:p>
      <w:pPr>
        <w:ind w:firstLine="480"/>
        <w:rPr>
          <w:rFonts w:eastAsiaTheme="minorEastAsia"/>
          <w:color w:val="000000" w:themeColor="text1"/>
        </w:rPr>
      </w:pPr>
      <w:r>
        <w:rPr>
          <w:rFonts w:eastAsiaTheme="minorEastAsia"/>
          <w:color w:val="000000" w:themeColor="text1"/>
        </w:rPr>
        <w:t>2、定期检查水处理构筑物、</w:t>
      </w:r>
      <w:r>
        <w:rPr>
          <w:rFonts w:hint="eastAsia" w:eastAsiaTheme="minorEastAsia"/>
          <w:color w:val="000000" w:themeColor="text1"/>
        </w:rPr>
        <w:t>尾矿及选矿废水</w:t>
      </w:r>
      <w:r>
        <w:rPr>
          <w:rFonts w:eastAsiaTheme="minorEastAsia"/>
          <w:color w:val="000000" w:themeColor="text1"/>
        </w:rPr>
        <w:t>输送管线、回水设施等，主要检查构筑物有无变形、移位、损毁、淤堵，排水能力是否满足要求等，如发生上述情况应组织人员立即修复。</w:t>
      </w:r>
    </w:p>
    <w:p>
      <w:pPr>
        <w:ind w:firstLine="480"/>
        <w:rPr>
          <w:rFonts w:eastAsiaTheme="minorEastAsia"/>
          <w:color w:val="000000" w:themeColor="text1"/>
        </w:rPr>
      </w:pPr>
      <w:r>
        <w:rPr>
          <w:rFonts w:eastAsiaTheme="minorEastAsia"/>
          <w:color w:val="000000" w:themeColor="text1"/>
        </w:rPr>
        <w:t>3、定期检查尾矿库坝体位移、裂缝、滑坡：坝体出现滑坡时，应查明滑坡位置、范围和形态以及滑坡的动态趋势；坝体出现裂缝时，应查明裂缝的长度、宽度、深度、走向、形态和成因，判定危害程度；要求坝的位移量变化应均衡，无突变现象，且应逐年减小。当位移量变化出现突变或有增大趋势时，应查明原因，妥善处理。</w:t>
      </w:r>
    </w:p>
    <w:p>
      <w:pPr>
        <w:ind w:firstLine="480"/>
        <w:rPr>
          <w:rFonts w:eastAsiaTheme="minorEastAsia"/>
          <w:color w:val="000000" w:themeColor="text1"/>
        </w:rPr>
      </w:pPr>
      <w:r>
        <w:rPr>
          <w:rFonts w:eastAsiaTheme="minorEastAsia"/>
          <w:color w:val="000000" w:themeColor="text1"/>
        </w:rPr>
        <w:t>4、明确防汛安全生产责任制，建立值班、巡查和等各项制度；尾矿库设专人小组负责管理，在久雨、暴雨季节，加强巡查，严防坝体渗漏污染和溢坝溃坝事故发生。</w:t>
      </w:r>
    </w:p>
    <w:p>
      <w:pPr>
        <w:adjustRightInd w:val="0"/>
        <w:snapToGrid w:val="0"/>
        <w:ind w:firstLine="480"/>
        <w:rPr>
          <w:rFonts w:eastAsiaTheme="minorEastAsia"/>
          <w:color w:val="000000" w:themeColor="text1"/>
        </w:rPr>
      </w:pPr>
      <w:r>
        <w:rPr>
          <w:rFonts w:eastAsiaTheme="minorEastAsia"/>
          <w:color w:val="000000" w:themeColor="text1"/>
        </w:rPr>
        <w:t>5、在该项目发生环境风险事故时，应及时通知当地生态环境主管部门。在企业应急预案处理过程中应及时与当地应急预案联动，告知周边企业及敏感点人群，防止二次污染，降低环境风险带来的危害，同时立即当地应急监测预案。</w:t>
      </w:r>
    </w:p>
    <w:p>
      <w:pPr>
        <w:ind w:firstLine="480"/>
        <w:rPr>
          <w:rFonts w:eastAsiaTheme="minorEastAsia"/>
          <w:color w:val="000000" w:themeColor="text1"/>
        </w:rPr>
      </w:pPr>
      <w:r>
        <w:rPr>
          <w:rFonts w:eastAsiaTheme="minorEastAsia"/>
          <w:color w:val="000000" w:themeColor="text1"/>
        </w:rPr>
        <w:t>（二）可行性分析</w:t>
      </w:r>
    </w:p>
    <w:p>
      <w:pPr>
        <w:pStyle w:val="78"/>
        <w:adjustRightInd w:val="0"/>
        <w:snapToGrid w:val="0"/>
        <w:ind w:firstLine="480"/>
        <w:rPr>
          <w:color w:val="000000" w:themeColor="text1"/>
        </w:rPr>
      </w:pPr>
      <w:r>
        <w:rPr>
          <w:rFonts w:eastAsiaTheme="minorEastAsia"/>
          <w:color w:val="000000" w:themeColor="text1"/>
          <w:szCs w:val="24"/>
        </w:rPr>
        <w:t>以上风险防范措施主要针对预防厂区内环境风险事故，措施均较简单，易于操作，有一定的针对性，投资较少，比较合理可行。</w:t>
      </w:r>
    </w:p>
    <w:p>
      <w:pPr>
        <w:pStyle w:val="78"/>
        <w:adjustRightInd w:val="0"/>
        <w:snapToGrid w:val="0"/>
        <w:ind w:firstLine="0" w:firstLineChars="0"/>
        <w:rPr>
          <w:color w:val="000000" w:themeColor="text1"/>
        </w:rPr>
        <w:sectPr>
          <w:pgSz w:w="11906" w:h="16838"/>
          <w:pgMar w:top="1440" w:right="1800" w:bottom="1440" w:left="1800" w:header="851" w:footer="992" w:gutter="0"/>
          <w:pgNumType w:fmt="numberInDash"/>
          <w:cols w:space="720" w:num="1"/>
          <w:docGrid w:type="lines" w:linePitch="312" w:charSpace="0"/>
        </w:sectPr>
      </w:pPr>
    </w:p>
    <w:bookmarkEnd w:id="792"/>
    <w:p>
      <w:pPr>
        <w:keepNext/>
        <w:widowControl/>
        <w:ind w:firstLine="0" w:firstLineChars="0"/>
        <w:outlineLvl w:val="0"/>
        <w:rPr>
          <w:rFonts w:eastAsiaTheme="minorEastAsia"/>
          <w:b/>
          <w:bCs/>
          <w:color w:val="000000" w:themeColor="text1"/>
          <w:kern w:val="32"/>
          <w:sz w:val="32"/>
          <w:szCs w:val="32"/>
          <w:lang w:bidi="en-US"/>
        </w:rPr>
      </w:pPr>
      <w:bookmarkStart w:id="831" w:name="_Toc24403"/>
      <w:r>
        <w:rPr>
          <w:rFonts w:eastAsiaTheme="minorEastAsia"/>
          <w:b/>
          <w:bCs/>
          <w:color w:val="000000" w:themeColor="text1"/>
          <w:kern w:val="32"/>
          <w:sz w:val="32"/>
          <w:szCs w:val="32"/>
          <w:lang w:bidi="en-US"/>
        </w:rPr>
        <w:t>8环境经济损益分析</w:t>
      </w:r>
      <w:bookmarkEnd w:id="831"/>
    </w:p>
    <w:p>
      <w:pPr>
        <w:adjustRightInd w:val="0"/>
        <w:snapToGrid w:val="0"/>
        <w:ind w:firstLine="480"/>
        <w:jc w:val="both"/>
        <w:rPr>
          <w:color w:val="000000" w:themeColor="text1"/>
        </w:rPr>
      </w:pPr>
      <w:r>
        <w:rPr>
          <w:rFonts w:eastAsiaTheme="minorEastAsia"/>
          <w:color w:val="000000" w:themeColor="text1"/>
        </w:rPr>
        <w:t>环境影响经济损益分析主要是衡量项目的环保投资所能收到的环境效益和经济、社会效益，达到三者之间的统一，这样才能符合可持续发展的要求，实现经济的持续发展和环境质量的不断改善。</w:t>
      </w:r>
    </w:p>
    <w:p>
      <w:pPr>
        <w:pStyle w:val="574"/>
        <w:spacing w:beforeLines="0" w:afterLines="0"/>
        <w:rPr>
          <w:rFonts w:eastAsiaTheme="minorEastAsia"/>
          <w:color w:val="000000" w:themeColor="text1"/>
          <w:sz w:val="30"/>
          <w:szCs w:val="30"/>
        </w:rPr>
      </w:pPr>
      <w:bookmarkStart w:id="832" w:name="_Toc26149"/>
      <w:r>
        <w:rPr>
          <w:rFonts w:eastAsiaTheme="minorEastAsia"/>
          <w:color w:val="000000" w:themeColor="text1"/>
          <w:sz w:val="30"/>
          <w:szCs w:val="30"/>
        </w:rPr>
        <w:t>8.1经济效益</w:t>
      </w:r>
      <w:bookmarkEnd w:id="832"/>
    </w:p>
    <w:p>
      <w:pPr>
        <w:adjustRightInd w:val="0"/>
        <w:snapToGrid w:val="0"/>
        <w:ind w:firstLine="480"/>
        <w:rPr>
          <w:rFonts w:eastAsiaTheme="minorEastAsia"/>
          <w:color w:val="000000" w:themeColor="text1"/>
        </w:rPr>
      </w:pPr>
      <w:r>
        <w:rPr>
          <w:rFonts w:eastAsiaTheme="minorEastAsia"/>
          <w:color w:val="000000" w:themeColor="text1"/>
        </w:rPr>
        <w:t>该项目总投资800万元，根据可研报告，投资利润率28.6%，全部投资静态回收期为3.5年（税后），项目财务评价指标好，盈利能力好，投资回收有保障，具有较好直接经济效益。项目盈亏平衡点低，抗风险能力强，各项指标高于行业指标。</w:t>
      </w:r>
    </w:p>
    <w:p>
      <w:pPr>
        <w:adjustRightInd w:val="0"/>
        <w:snapToGrid w:val="0"/>
        <w:ind w:firstLine="480"/>
        <w:rPr>
          <w:rFonts w:eastAsiaTheme="minorEastAsia"/>
          <w:color w:val="000000" w:themeColor="text1"/>
        </w:rPr>
      </w:pPr>
      <w:r>
        <w:rPr>
          <w:rFonts w:eastAsiaTheme="minorEastAsia"/>
          <w:color w:val="000000" w:themeColor="text1"/>
        </w:rPr>
        <w:t>项目主要技术经济指标见表8.1-1。</w:t>
      </w:r>
    </w:p>
    <w:p>
      <w:pPr>
        <w:pStyle w:val="51"/>
        <w:adjustRightInd w:val="0"/>
        <w:snapToGrid w:val="0"/>
        <w:ind w:left="0" w:firstLine="422"/>
        <w:jc w:val="center"/>
        <w:rPr>
          <w:b/>
          <w:bCs/>
          <w:color w:val="000000" w:themeColor="text1"/>
          <w:lang w:eastAsia="zh-CN"/>
        </w:rPr>
      </w:pPr>
      <w:r>
        <w:rPr>
          <w:b/>
          <w:bCs/>
          <w:color w:val="000000" w:themeColor="text1"/>
          <w:lang w:eastAsia="zh-CN"/>
        </w:rPr>
        <w:t>表8.1-1项目经济效益一览表</w:t>
      </w:r>
    </w:p>
    <w:tbl>
      <w:tblPr>
        <w:tblStyle w:val="61"/>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3"/>
        <w:gridCol w:w="3170"/>
        <w:gridCol w:w="945"/>
        <w:gridCol w:w="1083"/>
        <w:gridCol w:w="24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序号</w:t>
            </w:r>
          </w:p>
        </w:tc>
        <w:tc>
          <w:tcPr>
            <w:tcW w:w="3170" w:type="dxa"/>
            <w:shd w:val="clear" w:color="auto" w:fill="auto"/>
            <w:vAlign w:val="center"/>
          </w:tcPr>
          <w:p>
            <w:pPr>
              <w:widowControl/>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指标名称</w:t>
            </w:r>
          </w:p>
        </w:tc>
        <w:tc>
          <w:tcPr>
            <w:tcW w:w="945" w:type="dxa"/>
            <w:shd w:val="clear" w:color="auto" w:fill="auto"/>
            <w:vAlign w:val="center"/>
          </w:tcPr>
          <w:p>
            <w:pPr>
              <w:widowControl/>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单位</w:t>
            </w:r>
          </w:p>
        </w:tc>
        <w:tc>
          <w:tcPr>
            <w:tcW w:w="1083" w:type="dxa"/>
            <w:shd w:val="clear" w:color="auto" w:fill="auto"/>
            <w:vAlign w:val="center"/>
          </w:tcPr>
          <w:p>
            <w:pPr>
              <w:widowControl/>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数量</w:t>
            </w:r>
          </w:p>
        </w:tc>
        <w:tc>
          <w:tcPr>
            <w:tcW w:w="2487" w:type="dxa"/>
            <w:shd w:val="clear" w:color="auto" w:fill="auto"/>
            <w:vAlign w:val="center"/>
          </w:tcPr>
          <w:p>
            <w:pPr>
              <w:widowControl/>
              <w:adjustRightInd w:val="0"/>
              <w:snapToGrid w:val="0"/>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一</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产量</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万t/a</w:t>
            </w:r>
          </w:p>
        </w:tc>
        <w:tc>
          <w:tcPr>
            <w:tcW w:w="108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二</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主要原料</w:t>
            </w:r>
          </w:p>
        </w:tc>
        <w:tc>
          <w:tcPr>
            <w:tcW w:w="945" w:type="dxa"/>
            <w:shd w:val="clear" w:color="auto" w:fill="auto"/>
            <w:vAlign w:val="center"/>
          </w:tcPr>
          <w:p>
            <w:pPr>
              <w:widowControl/>
              <w:spacing w:line="240" w:lineRule="auto"/>
              <w:ind w:firstLine="0" w:firstLineChars="0"/>
              <w:jc w:val="center"/>
              <w:rPr>
                <w:color w:val="000000" w:themeColor="text1"/>
                <w:sz w:val="21"/>
                <w:szCs w:val="21"/>
              </w:rPr>
            </w:pPr>
            <w:r>
              <w:rPr>
                <w:rFonts w:eastAsiaTheme="minorEastAsia"/>
                <w:color w:val="000000" w:themeColor="text1"/>
                <w:sz w:val="21"/>
                <w:szCs w:val="21"/>
              </w:rPr>
              <w:t>吨</w:t>
            </w:r>
            <w:r>
              <w:rPr>
                <w:rStyle w:val="73"/>
                <w:color w:val="000000" w:themeColor="text1"/>
                <w:kern w:val="0"/>
              </w:rPr>
              <w:t>/a</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22</w:t>
            </w:r>
            <w:r>
              <w:rPr>
                <w:rFonts w:eastAsiaTheme="minorEastAsia"/>
                <w:color w:val="000000" w:themeColor="text1"/>
                <w:sz w:val="21"/>
                <w:szCs w:val="21"/>
              </w:rPr>
              <w:t>0000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原矿石</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万t/a</w:t>
            </w:r>
            <w:r>
              <w:rPr>
                <w:rFonts w:hint="eastAsia" w:eastAsiaTheme="minorEastAsia"/>
                <w:color w:val="000000" w:themeColor="text1"/>
                <w:sz w:val="21"/>
                <w:szCs w:val="21"/>
              </w:rPr>
              <w:t xml:space="preserve"> </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15</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外购三级精铁矿</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万t/a</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7</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三</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年工作日</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天</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四</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全厂总人数</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人</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90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其中：现有人数</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人</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85</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其中：技改项目新增人数</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人</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5</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五</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公用动力消耗</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电</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万度/a</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432</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水</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万m</w:t>
            </w:r>
            <w:r>
              <w:rPr>
                <w:rFonts w:eastAsiaTheme="minorEastAsia"/>
                <w:color w:val="000000" w:themeColor="text1"/>
                <w:sz w:val="21"/>
                <w:szCs w:val="21"/>
                <w:vertAlign w:val="superscript"/>
              </w:rPr>
              <w:t>3</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5.76</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六</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设计面积数据</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项目总占地面积</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m</w:t>
            </w:r>
            <w:r>
              <w:rPr>
                <w:rFonts w:eastAsiaTheme="minorEastAsia"/>
                <w:color w:val="000000" w:themeColor="text1"/>
                <w:sz w:val="21"/>
                <w:szCs w:val="21"/>
                <w:vertAlign w:val="superscript"/>
              </w:rPr>
              <w:t>2</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15370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建筑面积</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m</w:t>
            </w:r>
            <w:r>
              <w:rPr>
                <w:rFonts w:eastAsiaTheme="minorEastAsia"/>
                <w:color w:val="000000" w:themeColor="text1"/>
                <w:sz w:val="21"/>
                <w:szCs w:val="21"/>
                <w:vertAlign w:val="superscript"/>
              </w:rPr>
              <w:t>2</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900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3</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建筑系数</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60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4</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绿化系数</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七</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工程项目总投资</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固定资产投资</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八</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产年销售收入（不含税）</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8000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九</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成本与费用</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7000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年总成本（不含税）</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年经营成本</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十</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年利润总额</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2000</w:t>
            </w: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exact"/>
          <w:jc w:val="center"/>
        </w:trPr>
        <w:tc>
          <w:tcPr>
            <w:tcW w:w="843"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十一</w:t>
            </w:r>
          </w:p>
        </w:tc>
        <w:tc>
          <w:tcPr>
            <w:tcW w:w="3170"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销售税金</w:t>
            </w:r>
          </w:p>
        </w:tc>
        <w:tc>
          <w:tcPr>
            <w:tcW w:w="945"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万元</w:t>
            </w:r>
          </w:p>
        </w:tc>
        <w:tc>
          <w:tcPr>
            <w:tcW w:w="1083" w:type="dxa"/>
            <w:shd w:val="clear" w:color="auto" w:fill="auto"/>
            <w:vAlign w:val="center"/>
          </w:tcPr>
          <w:p>
            <w:pPr>
              <w:spacing w:line="240" w:lineRule="auto"/>
              <w:ind w:firstLine="0" w:firstLineChars="0"/>
              <w:jc w:val="center"/>
              <w:rPr>
                <w:rFonts w:eastAsiaTheme="minorEastAsia"/>
                <w:color w:val="000000" w:themeColor="text1"/>
                <w:sz w:val="21"/>
                <w:szCs w:val="21"/>
              </w:rPr>
            </w:pPr>
          </w:p>
        </w:tc>
        <w:tc>
          <w:tcPr>
            <w:tcW w:w="2487" w:type="dxa"/>
            <w:shd w:val="clear" w:color="auto" w:fill="auto"/>
            <w:vAlign w:val="center"/>
          </w:tcPr>
          <w:p>
            <w:pPr>
              <w:widowControl/>
              <w:spacing w:line="240" w:lineRule="auto"/>
              <w:ind w:firstLine="0" w:firstLineChars="0"/>
              <w:jc w:val="center"/>
              <w:rPr>
                <w:rFonts w:eastAsiaTheme="minorEastAsia"/>
                <w:color w:val="000000" w:themeColor="text1"/>
                <w:sz w:val="21"/>
                <w:szCs w:val="21"/>
              </w:rPr>
            </w:pPr>
          </w:p>
        </w:tc>
      </w:tr>
    </w:tbl>
    <w:p>
      <w:pPr>
        <w:pStyle w:val="574"/>
        <w:spacing w:beforeLines="0" w:afterLines="0"/>
        <w:rPr>
          <w:rFonts w:eastAsiaTheme="minorEastAsia"/>
          <w:color w:val="000000" w:themeColor="text1"/>
          <w:sz w:val="30"/>
          <w:szCs w:val="30"/>
        </w:rPr>
      </w:pPr>
      <w:bookmarkStart w:id="833" w:name="_Toc21810"/>
      <w:r>
        <w:rPr>
          <w:rFonts w:eastAsiaTheme="minorEastAsia"/>
          <w:color w:val="000000" w:themeColor="text1"/>
          <w:sz w:val="30"/>
          <w:szCs w:val="30"/>
        </w:rPr>
        <w:t>8.2环境经济效益分析</w:t>
      </w:r>
      <w:bookmarkEnd w:id="833"/>
    </w:p>
    <w:p>
      <w:pPr>
        <w:pStyle w:val="6"/>
        <w:spacing w:beforeLines="0" w:afterLines="0"/>
        <w:rPr>
          <w:rFonts w:eastAsiaTheme="minorEastAsia"/>
          <w:color w:val="000000" w:themeColor="text1"/>
          <w:sz w:val="28"/>
          <w:szCs w:val="28"/>
        </w:rPr>
      </w:pPr>
      <w:bookmarkStart w:id="834" w:name="_Toc21490"/>
      <w:r>
        <w:rPr>
          <w:rFonts w:eastAsiaTheme="minorEastAsia"/>
          <w:color w:val="000000" w:themeColor="text1"/>
          <w:sz w:val="28"/>
          <w:szCs w:val="28"/>
        </w:rPr>
        <w:t>8.2.1环保投资</w:t>
      </w:r>
      <w:bookmarkEnd w:id="834"/>
    </w:p>
    <w:p>
      <w:pPr>
        <w:ind w:firstLine="480"/>
        <w:rPr>
          <w:rFonts w:eastAsiaTheme="minorEastAsia"/>
          <w:color w:val="000000" w:themeColor="text1"/>
        </w:rPr>
      </w:pPr>
      <w:r>
        <w:rPr>
          <w:rFonts w:eastAsiaTheme="minorEastAsia"/>
          <w:color w:val="000000" w:themeColor="text1"/>
        </w:rPr>
        <w:t>技改项目总投资800万元，其中环保措施总投资139.5万元，占总投资的17.44%。</w:t>
      </w:r>
    </w:p>
    <w:p>
      <w:pPr>
        <w:ind w:firstLine="0" w:firstLineChars="0"/>
        <w:jc w:val="center"/>
        <w:rPr>
          <w:rFonts w:eastAsiaTheme="minorEastAsia"/>
          <w:b/>
          <w:color w:val="000000" w:themeColor="text1"/>
          <w:sz w:val="21"/>
          <w:szCs w:val="21"/>
        </w:rPr>
      </w:pPr>
      <w:r>
        <w:rPr>
          <w:rFonts w:eastAsiaTheme="minorEastAsia"/>
          <w:b/>
          <w:color w:val="000000" w:themeColor="text1"/>
          <w:sz w:val="21"/>
          <w:szCs w:val="21"/>
        </w:rPr>
        <w:t>表8.2-1环保措施投资估算</w:t>
      </w:r>
    </w:p>
    <w:tbl>
      <w:tblPr>
        <w:tblStyle w:val="61"/>
        <w:tblW w:w="851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84"/>
        <w:gridCol w:w="918"/>
        <w:gridCol w:w="1682"/>
        <w:gridCol w:w="2835"/>
        <w:gridCol w:w="960"/>
        <w:gridCol w:w="820"/>
        <w:gridCol w:w="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1402" w:type="dxa"/>
            <w:gridSpan w:val="2"/>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项目</w:t>
            </w: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污染物</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处理措施</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数量</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环保投资</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restart"/>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施</w:t>
            </w:r>
          </w:p>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工</w:t>
            </w:r>
          </w:p>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期</w:t>
            </w:r>
          </w:p>
        </w:tc>
        <w:tc>
          <w:tcPr>
            <w:tcW w:w="918"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废气</w:t>
            </w: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扬尘</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洒水降尘系统</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2</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废水</w:t>
            </w: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施工期废水</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沉淀池</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1个</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1</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固废</w:t>
            </w: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建筑垃圾、生活垃圾</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建筑垃圾合理清运处置，生活垃圾收集桶</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1</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噪声</w:t>
            </w: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施工噪声</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使用低噪声设备</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1</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restart"/>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运</w:t>
            </w:r>
          </w:p>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营</w:t>
            </w:r>
          </w:p>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期</w:t>
            </w:r>
          </w:p>
        </w:tc>
        <w:tc>
          <w:tcPr>
            <w:tcW w:w="918" w:type="dxa"/>
            <w:vMerge w:val="restart"/>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废气</w:t>
            </w: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颗粒物</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kern w:val="24"/>
                <w:sz w:val="21"/>
                <w:szCs w:val="21"/>
              </w:rPr>
              <w:t>给料口</w:t>
            </w:r>
            <w:r>
              <w:rPr>
                <w:rFonts w:eastAsiaTheme="minorEastAsia"/>
                <w:bCs/>
                <w:color w:val="000000" w:themeColor="text1"/>
                <w:sz w:val="21"/>
                <w:szCs w:val="21"/>
              </w:rPr>
              <w:t>喷淋降尘，给料口除上部给料处，四周</w:t>
            </w:r>
            <w:r>
              <w:rPr>
                <w:rFonts w:hint="eastAsia" w:eastAsiaTheme="minorEastAsia"/>
                <w:bCs/>
                <w:color w:val="000000" w:themeColor="text1"/>
                <w:sz w:val="21"/>
                <w:szCs w:val="21"/>
              </w:rPr>
              <w:t>密闭</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0.5</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918"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颗粒物</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kern w:val="24"/>
                <w:sz w:val="21"/>
                <w:szCs w:val="21"/>
              </w:rPr>
              <w:t>原矿石堆场设置堆棚形式，三面围挡+遮雨棚</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20</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918"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颗粒物</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kern w:val="24"/>
                <w:sz w:val="21"/>
                <w:szCs w:val="21"/>
              </w:rPr>
              <w:t>低品位原矿堆场</w:t>
            </w:r>
            <w:r>
              <w:rPr>
                <w:rFonts w:hint="eastAsia" w:eastAsiaTheme="minorEastAsia"/>
                <w:color w:val="000000" w:themeColor="text1"/>
                <w:kern w:val="24"/>
                <w:sz w:val="21"/>
                <w:szCs w:val="21"/>
              </w:rPr>
              <w:t>、精矿堆场</w:t>
            </w:r>
            <w:r>
              <w:rPr>
                <w:rFonts w:eastAsiaTheme="minorEastAsia"/>
                <w:color w:val="000000" w:themeColor="text1"/>
                <w:kern w:val="24"/>
                <w:sz w:val="21"/>
                <w:szCs w:val="21"/>
              </w:rPr>
              <w:t>设置堆棚形式，三面围挡+遮雨棚，堆棚设置喷淋装置</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8</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918"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颗粒物</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kern w:val="24"/>
                <w:sz w:val="21"/>
                <w:szCs w:val="21"/>
              </w:rPr>
              <w:t>公分石和瓜子石堆场设置堆棚形式，三面围挡+遮雨棚</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3</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918"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颗粒物</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kern w:val="24"/>
                <w:sz w:val="21"/>
                <w:szCs w:val="21"/>
              </w:rPr>
              <w:t>机制砂堆场设</w:t>
            </w:r>
            <w:r>
              <w:rPr>
                <w:rFonts w:hint="eastAsia" w:eastAsiaTheme="minorEastAsia"/>
                <w:color w:val="000000" w:themeColor="text1"/>
                <w:kern w:val="24"/>
                <w:sz w:val="21"/>
                <w:szCs w:val="21"/>
              </w:rPr>
              <w:t>置</w:t>
            </w:r>
            <w:r>
              <w:rPr>
                <w:rFonts w:eastAsiaTheme="minorEastAsia"/>
                <w:color w:val="000000" w:themeColor="text1"/>
                <w:kern w:val="24"/>
                <w:sz w:val="21"/>
                <w:szCs w:val="21"/>
              </w:rPr>
              <w:t>堆棚形式，三面围挡+遮雨棚，堆棚设置喷淋装置</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5</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918"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颗粒物</w:t>
            </w:r>
          </w:p>
        </w:tc>
        <w:tc>
          <w:tcPr>
            <w:tcW w:w="2835"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输送</w:t>
            </w:r>
            <w:r>
              <w:rPr>
                <w:rFonts w:hint="eastAsia" w:eastAsiaTheme="minorEastAsia"/>
                <w:color w:val="000000" w:themeColor="text1"/>
                <w:kern w:val="24"/>
                <w:sz w:val="21"/>
                <w:szCs w:val="21"/>
              </w:rPr>
              <w:t>廊道进行</w:t>
            </w:r>
            <w:r>
              <w:rPr>
                <w:rFonts w:eastAsiaTheme="minorEastAsia"/>
                <w:color w:val="000000" w:themeColor="text1"/>
                <w:kern w:val="24"/>
                <w:sz w:val="21"/>
                <w:szCs w:val="21"/>
              </w:rPr>
              <w:t>密闭，落料处降低落料高度，运输道路</w:t>
            </w:r>
            <w:r>
              <w:rPr>
                <w:rFonts w:hint="eastAsia" w:eastAsiaTheme="minorEastAsia"/>
                <w:color w:val="000000" w:themeColor="text1"/>
                <w:kern w:val="24"/>
                <w:sz w:val="21"/>
                <w:szCs w:val="21"/>
              </w:rPr>
              <w:t>硬化处理，</w:t>
            </w:r>
            <w:r>
              <w:rPr>
                <w:rFonts w:eastAsiaTheme="minorEastAsia"/>
                <w:color w:val="000000" w:themeColor="text1"/>
                <w:kern w:val="24"/>
                <w:sz w:val="21"/>
                <w:szCs w:val="21"/>
              </w:rPr>
              <w:t>定期洒水降尘</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2</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918"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颗粒物</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kern w:val="24"/>
                <w:sz w:val="21"/>
                <w:szCs w:val="21"/>
              </w:rPr>
              <w:t>原料</w:t>
            </w:r>
            <w:r>
              <w:rPr>
                <w:rFonts w:hint="eastAsia" w:eastAsiaTheme="minorEastAsia"/>
                <w:color w:val="000000" w:themeColor="text1"/>
                <w:kern w:val="24"/>
                <w:sz w:val="21"/>
                <w:szCs w:val="21"/>
              </w:rPr>
              <w:t>、</w:t>
            </w:r>
            <w:r>
              <w:rPr>
                <w:rFonts w:eastAsiaTheme="minorEastAsia"/>
                <w:color w:val="000000" w:themeColor="text1"/>
                <w:kern w:val="24"/>
                <w:sz w:val="21"/>
                <w:szCs w:val="21"/>
              </w:rPr>
              <w:t>产品</w:t>
            </w:r>
            <w:r>
              <w:rPr>
                <w:rFonts w:hint="eastAsia" w:eastAsiaTheme="minorEastAsia"/>
                <w:color w:val="000000" w:themeColor="text1"/>
                <w:kern w:val="24"/>
                <w:sz w:val="21"/>
                <w:szCs w:val="21"/>
              </w:rPr>
              <w:t>和副产品</w:t>
            </w:r>
            <w:r>
              <w:rPr>
                <w:rFonts w:eastAsiaTheme="minorEastAsia"/>
                <w:color w:val="000000" w:themeColor="text1"/>
                <w:kern w:val="24"/>
                <w:sz w:val="21"/>
                <w:szCs w:val="21"/>
              </w:rPr>
              <w:t>装卸采用雾炮喷雾降尘</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1</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918"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颗粒物</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kern w:val="24"/>
                <w:sz w:val="21"/>
                <w:szCs w:val="21"/>
              </w:rPr>
            </w:pPr>
            <w:r>
              <w:rPr>
                <w:rFonts w:hint="eastAsia" w:eastAsiaTheme="minorEastAsia"/>
                <w:color w:val="000000" w:themeColor="text1"/>
                <w:kern w:val="24"/>
                <w:sz w:val="21"/>
                <w:szCs w:val="21"/>
              </w:rPr>
              <w:t>2</w:t>
            </w:r>
            <w:r>
              <w:rPr>
                <w:rFonts w:eastAsiaTheme="minorEastAsia"/>
                <w:color w:val="000000" w:themeColor="text1"/>
                <w:kern w:val="24"/>
                <w:sz w:val="21"/>
                <w:szCs w:val="21"/>
              </w:rPr>
              <w:t>台</w:t>
            </w:r>
            <w:r>
              <w:rPr>
                <w:rFonts w:hint="eastAsia" w:eastAsiaTheme="minorEastAsia"/>
                <w:color w:val="000000" w:themeColor="text1"/>
                <w:kern w:val="24"/>
                <w:sz w:val="21"/>
                <w:szCs w:val="21"/>
              </w:rPr>
              <w:t>鄂式破碎机</w:t>
            </w:r>
            <w:r>
              <w:rPr>
                <w:rFonts w:eastAsiaTheme="minorEastAsia"/>
                <w:color w:val="000000" w:themeColor="text1"/>
                <w:kern w:val="24"/>
                <w:sz w:val="21"/>
                <w:szCs w:val="21"/>
              </w:rPr>
              <w:t>和2台圆锥破碎机设置集气罩和布袋除尘后，通过1根15m高排气筒排放（</w:t>
            </w:r>
            <w:r>
              <w:rPr>
                <w:rFonts w:hint="eastAsia" w:eastAsiaTheme="minorEastAsia"/>
                <w:color w:val="000000" w:themeColor="text1"/>
                <w:kern w:val="24"/>
                <w:sz w:val="21"/>
                <w:szCs w:val="21"/>
              </w:rPr>
              <w:t>DA001</w:t>
            </w:r>
            <w:r>
              <w:rPr>
                <w:rFonts w:eastAsiaTheme="minorEastAsia"/>
                <w:color w:val="000000" w:themeColor="text1"/>
                <w:kern w:val="24"/>
                <w:sz w:val="21"/>
                <w:szCs w:val="21"/>
              </w:rPr>
              <w:t>）；</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10</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918"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颗粒物</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kern w:val="24"/>
                <w:sz w:val="21"/>
                <w:szCs w:val="21"/>
              </w:rPr>
            </w:pPr>
            <w:r>
              <w:rPr>
                <w:rFonts w:hint="eastAsia" w:eastAsiaTheme="minorEastAsia"/>
                <w:color w:val="000000" w:themeColor="text1"/>
                <w:kern w:val="24"/>
                <w:sz w:val="21"/>
                <w:szCs w:val="21"/>
              </w:rPr>
              <w:t>3台振动筛、1台水平筛、1台制砂机、1台辊压机分别</w:t>
            </w:r>
            <w:r>
              <w:rPr>
                <w:rFonts w:eastAsiaTheme="minorEastAsia"/>
                <w:color w:val="000000" w:themeColor="text1"/>
                <w:kern w:val="24"/>
                <w:sz w:val="21"/>
                <w:szCs w:val="21"/>
              </w:rPr>
              <w:t>设置集气罩</w:t>
            </w:r>
            <w:r>
              <w:rPr>
                <w:rFonts w:hint="eastAsia" w:eastAsiaTheme="minorEastAsia"/>
                <w:color w:val="000000" w:themeColor="text1"/>
                <w:kern w:val="24"/>
                <w:sz w:val="21"/>
                <w:szCs w:val="21"/>
              </w:rPr>
              <w:t>，并引入同一台</w:t>
            </w:r>
            <w:r>
              <w:rPr>
                <w:rFonts w:eastAsiaTheme="minorEastAsia"/>
                <w:color w:val="000000" w:themeColor="text1"/>
                <w:kern w:val="24"/>
                <w:sz w:val="21"/>
                <w:szCs w:val="21"/>
              </w:rPr>
              <w:t>布袋除尘后，通过1根15m高排气筒排放（</w:t>
            </w:r>
            <w:r>
              <w:rPr>
                <w:rFonts w:hint="eastAsia" w:eastAsiaTheme="minorEastAsia"/>
                <w:color w:val="000000" w:themeColor="text1"/>
                <w:kern w:val="24"/>
                <w:sz w:val="21"/>
                <w:szCs w:val="21"/>
              </w:rPr>
              <w:t>DA002</w:t>
            </w:r>
            <w:r>
              <w:rPr>
                <w:rFonts w:eastAsiaTheme="minorEastAsia"/>
                <w:color w:val="000000" w:themeColor="text1"/>
                <w:kern w:val="24"/>
                <w:sz w:val="21"/>
                <w:szCs w:val="21"/>
              </w:rPr>
              <w:t>）</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10</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Merge w:val="restart"/>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废水</w:t>
            </w: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生活污水</w:t>
            </w:r>
          </w:p>
        </w:tc>
        <w:tc>
          <w:tcPr>
            <w:tcW w:w="2835" w:type="dxa"/>
            <w:vAlign w:val="center"/>
          </w:tcPr>
          <w:p>
            <w:pPr>
              <w:adjustRightInd w:val="0"/>
              <w:spacing w:line="240" w:lineRule="auto"/>
              <w:ind w:firstLine="0" w:firstLineChars="0"/>
              <w:jc w:val="center"/>
              <w:textAlignment w:val="baseline"/>
              <w:rPr>
                <w:color w:val="000000" w:themeColor="text1"/>
                <w:sz w:val="21"/>
                <w:szCs w:val="21"/>
              </w:rPr>
            </w:pPr>
            <w:r>
              <w:rPr>
                <w:rFonts w:eastAsiaTheme="minorEastAsia"/>
                <w:color w:val="000000" w:themeColor="text1"/>
                <w:sz w:val="21"/>
                <w:szCs w:val="21"/>
              </w:rPr>
              <w:t>新增一套15m</w:t>
            </w:r>
            <w:r>
              <w:rPr>
                <w:rFonts w:eastAsiaTheme="minorEastAsia"/>
                <w:color w:val="000000" w:themeColor="text1"/>
                <w:sz w:val="21"/>
                <w:szCs w:val="21"/>
                <w:vertAlign w:val="superscript"/>
              </w:rPr>
              <w:t>3</w:t>
            </w:r>
            <w:r>
              <w:rPr>
                <w:rFonts w:eastAsiaTheme="minorEastAsia"/>
                <w:color w:val="000000" w:themeColor="text1"/>
                <w:sz w:val="21"/>
                <w:szCs w:val="21"/>
              </w:rPr>
              <w:t>的一体化污水处理设施，处理后储存在50m</w:t>
            </w:r>
            <w:r>
              <w:rPr>
                <w:rFonts w:eastAsiaTheme="minorEastAsia"/>
                <w:color w:val="000000" w:themeColor="text1"/>
                <w:sz w:val="21"/>
                <w:szCs w:val="21"/>
                <w:vertAlign w:val="superscript"/>
              </w:rPr>
              <w:t>3</w:t>
            </w:r>
            <w:r>
              <w:rPr>
                <w:rFonts w:eastAsiaTheme="minorEastAsia"/>
                <w:color w:val="000000" w:themeColor="text1"/>
                <w:sz w:val="21"/>
                <w:szCs w:val="21"/>
              </w:rPr>
              <w:t>的</w:t>
            </w:r>
            <w:r>
              <w:rPr>
                <w:rFonts w:hint="eastAsia" w:eastAsiaTheme="minorEastAsia"/>
                <w:color w:val="000000" w:themeColor="text1"/>
                <w:sz w:val="21"/>
                <w:szCs w:val="21"/>
              </w:rPr>
              <w:t>中水收集池</w:t>
            </w:r>
            <w:r>
              <w:rPr>
                <w:rFonts w:eastAsiaTheme="minorEastAsia"/>
                <w:color w:val="000000" w:themeColor="text1"/>
                <w:sz w:val="21"/>
                <w:szCs w:val="21"/>
              </w:rPr>
              <w:t>中</w:t>
            </w:r>
            <w:r>
              <w:rPr>
                <w:rStyle w:val="73"/>
                <w:rFonts w:hint="eastAsia"/>
                <w:color w:val="000000" w:themeColor="text1"/>
                <w:kern w:val="0"/>
              </w:rPr>
              <w:t>，作为绿化用水使用</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1个</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10</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生产废水防治措施</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进入沉淀池处理后回用于生产，沉淀池管路改造</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1</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1682"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初期雨水池</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收集原料处理站的初期雨水，池子容积</w:t>
            </w:r>
            <w:r>
              <w:rPr>
                <w:rFonts w:hint="eastAsia" w:eastAsiaTheme="minorEastAsia"/>
                <w:color w:val="000000" w:themeColor="text1"/>
                <w:sz w:val="21"/>
                <w:szCs w:val="21"/>
              </w:rPr>
              <w:t>2</w:t>
            </w:r>
            <w:r>
              <w:rPr>
                <w:rFonts w:eastAsiaTheme="minorEastAsia"/>
                <w:color w:val="000000" w:themeColor="text1"/>
                <w:sz w:val="21"/>
                <w:szCs w:val="21"/>
              </w:rPr>
              <w:t>00m</w:t>
            </w:r>
            <w:r>
              <w:rPr>
                <w:rFonts w:eastAsiaTheme="minorEastAsia"/>
                <w:color w:val="000000" w:themeColor="text1"/>
                <w:sz w:val="21"/>
                <w:szCs w:val="21"/>
                <w:vertAlign w:val="superscript"/>
              </w:rPr>
              <w:t>3</w:t>
            </w:r>
            <w:r>
              <w:rPr>
                <w:rFonts w:hint="eastAsia" w:eastAsiaTheme="minorEastAsia"/>
                <w:color w:val="000000" w:themeColor="text1"/>
                <w:sz w:val="21"/>
                <w:szCs w:val="21"/>
              </w:rPr>
              <w:t>，雨水沟250m</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hint="eastAsia" w:eastAsiaTheme="minorEastAsia"/>
                <w:color w:val="000000" w:themeColor="text1"/>
                <w:sz w:val="21"/>
                <w:szCs w:val="21"/>
              </w:rPr>
              <w:t>35</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1682" w:type="dxa"/>
            <w:vMerge w:val="restart"/>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地下水污染防治措施</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hint="eastAsia" w:eastAsiaTheme="minorEastAsia"/>
                <w:color w:val="000000" w:themeColor="text1"/>
                <w:sz w:val="21"/>
                <w:szCs w:val="21"/>
              </w:rPr>
              <w:t>分区防渗，对尾矿浆沉淀池和精矿池、事故池、危废暂存间进行重点防渗处理；生产车间、实验室、脱水及精矿产品区、原料加工车间、化粪池一般防渗；厂区除绿化用地外进行地面硬化处理。</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hint="eastAsia" w:eastAsiaTheme="minorEastAsia"/>
                <w:color w:val="000000" w:themeColor="text1"/>
                <w:sz w:val="21"/>
                <w:szCs w:val="21"/>
              </w:rPr>
              <w:t>10</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1682" w:type="dxa"/>
            <w:vMerge w:val="continue"/>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在辣子箐尾矿库下游设置地下水监控井，定时对地下水进行监测</w:t>
            </w:r>
          </w:p>
        </w:tc>
        <w:tc>
          <w:tcPr>
            <w:tcW w:w="96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5</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固废</w:t>
            </w:r>
          </w:p>
        </w:tc>
        <w:tc>
          <w:tcPr>
            <w:tcW w:w="168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尾矿</w:t>
            </w:r>
          </w:p>
        </w:tc>
        <w:tc>
          <w:tcPr>
            <w:tcW w:w="2835"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输送管道</w:t>
            </w:r>
          </w:p>
        </w:tc>
        <w:tc>
          <w:tcPr>
            <w:tcW w:w="96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2</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新增部分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Merge w:val="continue"/>
            <w:vAlign w:val="center"/>
          </w:tcPr>
          <w:p>
            <w:pPr>
              <w:spacing w:line="240" w:lineRule="auto"/>
              <w:ind w:firstLine="420"/>
              <w:jc w:val="center"/>
              <w:rPr>
                <w:rFonts w:eastAsiaTheme="minorEastAsia"/>
                <w:color w:val="000000" w:themeColor="text1"/>
                <w:sz w:val="21"/>
                <w:szCs w:val="21"/>
              </w:rPr>
            </w:pPr>
          </w:p>
        </w:tc>
        <w:tc>
          <w:tcPr>
            <w:tcW w:w="168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生活垃圾</w:t>
            </w:r>
          </w:p>
        </w:tc>
        <w:tc>
          <w:tcPr>
            <w:tcW w:w="28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垃圾收集</w:t>
            </w:r>
            <w:r>
              <w:rPr>
                <w:rFonts w:hint="eastAsia" w:eastAsiaTheme="minorEastAsia"/>
                <w:color w:val="000000" w:themeColor="text1"/>
                <w:sz w:val="21"/>
                <w:szCs w:val="21"/>
              </w:rPr>
              <w:t>清运到生活垃圾处置点处置</w:t>
            </w:r>
          </w:p>
        </w:tc>
        <w:tc>
          <w:tcPr>
            <w:tcW w:w="96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2</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Merge w:val="continue"/>
            <w:vAlign w:val="center"/>
          </w:tcPr>
          <w:p>
            <w:pPr>
              <w:spacing w:line="240" w:lineRule="auto"/>
              <w:ind w:firstLine="420"/>
              <w:jc w:val="center"/>
              <w:rPr>
                <w:rFonts w:eastAsiaTheme="minorEastAsia"/>
                <w:color w:val="000000" w:themeColor="text1"/>
                <w:sz w:val="21"/>
                <w:szCs w:val="21"/>
              </w:rPr>
            </w:pPr>
          </w:p>
        </w:tc>
        <w:tc>
          <w:tcPr>
            <w:tcW w:w="168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废机油</w:t>
            </w:r>
          </w:p>
        </w:tc>
        <w:tc>
          <w:tcPr>
            <w:tcW w:w="28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用专用容器收集后暂存于危险废物暂存间，定期委托有资质单位清运处置</w:t>
            </w:r>
          </w:p>
        </w:tc>
        <w:tc>
          <w:tcPr>
            <w:tcW w:w="96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sz w:val="21"/>
                <w:szCs w:val="21"/>
              </w:rPr>
              <w:t>2</w:t>
            </w:r>
          </w:p>
        </w:tc>
        <w:tc>
          <w:tcPr>
            <w:tcW w:w="820"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噪声</w:t>
            </w:r>
          </w:p>
        </w:tc>
        <w:tc>
          <w:tcPr>
            <w:tcW w:w="1682"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设备噪声</w:t>
            </w:r>
          </w:p>
        </w:tc>
        <w:tc>
          <w:tcPr>
            <w:tcW w:w="283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基础减震、厂房隔音</w:t>
            </w:r>
            <w:r>
              <w:rPr>
                <w:rFonts w:hint="eastAsia" w:eastAsiaTheme="minorEastAsia"/>
                <w:color w:val="000000" w:themeColor="text1"/>
                <w:sz w:val="21"/>
                <w:szCs w:val="21"/>
              </w:rPr>
              <w:t>、风机安装消声器</w:t>
            </w:r>
            <w:r>
              <w:rPr>
                <w:rFonts w:eastAsiaTheme="minorEastAsia"/>
                <w:color w:val="000000" w:themeColor="text1"/>
                <w:sz w:val="21"/>
                <w:szCs w:val="21"/>
              </w:rPr>
              <w:t>等设施</w:t>
            </w:r>
          </w:p>
        </w:tc>
        <w:tc>
          <w:tcPr>
            <w:tcW w:w="96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3</w:t>
            </w:r>
          </w:p>
        </w:tc>
        <w:tc>
          <w:tcPr>
            <w:tcW w:w="820" w:type="dxa"/>
            <w:vAlign w:val="center"/>
          </w:tcPr>
          <w:p>
            <w:pPr>
              <w:spacing w:line="240" w:lineRule="auto"/>
              <w:ind w:firstLine="0" w:firstLineChars="0"/>
              <w:jc w:val="center"/>
              <w:rPr>
                <w:rFonts w:eastAsiaTheme="minorEastAsia"/>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Merge w:val="restart"/>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环境风险</w:t>
            </w:r>
          </w:p>
        </w:tc>
        <w:tc>
          <w:tcPr>
            <w:tcW w:w="4517" w:type="dxa"/>
            <w:gridSpan w:val="2"/>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1#</w:t>
            </w:r>
            <w:r>
              <w:rPr>
                <w:rFonts w:eastAsiaTheme="minorEastAsia"/>
                <w:color w:val="000000" w:themeColor="text1"/>
                <w:sz w:val="21"/>
                <w:szCs w:val="21"/>
              </w:rPr>
              <w:t>事故</w:t>
            </w:r>
            <w:r>
              <w:rPr>
                <w:rFonts w:hint="eastAsia" w:eastAsiaTheme="minorEastAsia"/>
                <w:color w:val="000000" w:themeColor="text1"/>
                <w:sz w:val="21"/>
                <w:szCs w:val="21"/>
              </w:rPr>
              <w:t>应急池</w:t>
            </w:r>
          </w:p>
        </w:tc>
        <w:tc>
          <w:tcPr>
            <w:tcW w:w="96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200m</w:t>
            </w:r>
            <w:r>
              <w:rPr>
                <w:rFonts w:eastAsiaTheme="minorEastAsia"/>
                <w:color w:val="000000" w:themeColor="text1"/>
                <w:sz w:val="21"/>
                <w:szCs w:val="21"/>
                <w:vertAlign w:val="superscript"/>
              </w:rPr>
              <w:t>3</w:t>
            </w:r>
          </w:p>
        </w:tc>
        <w:tc>
          <w:tcPr>
            <w:tcW w:w="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484" w:type="dxa"/>
            <w:vMerge w:val="continue"/>
            <w:vAlign w:val="center"/>
          </w:tcPr>
          <w:p>
            <w:pPr>
              <w:adjustRightInd w:val="0"/>
              <w:spacing w:line="240" w:lineRule="auto"/>
              <w:ind w:firstLine="420"/>
              <w:jc w:val="center"/>
              <w:textAlignment w:val="baseline"/>
              <w:rPr>
                <w:rFonts w:eastAsiaTheme="minorEastAsia"/>
                <w:color w:val="000000" w:themeColor="text1"/>
                <w:sz w:val="21"/>
                <w:szCs w:val="21"/>
              </w:rPr>
            </w:pPr>
          </w:p>
        </w:tc>
        <w:tc>
          <w:tcPr>
            <w:tcW w:w="918" w:type="dxa"/>
            <w:vMerge w:val="continue"/>
            <w:vAlign w:val="center"/>
          </w:tcPr>
          <w:p>
            <w:pPr>
              <w:spacing w:line="240" w:lineRule="auto"/>
              <w:ind w:firstLine="0" w:firstLineChars="0"/>
              <w:jc w:val="center"/>
              <w:rPr>
                <w:rFonts w:eastAsiaTheme="minorEastAsia"/>
                <w:color w:val="000000" w:themeColor="text1"/>
                <w:sz w:val="21"/>
                <w:szCs w:val="21"/>
              </w:rPr>
            </w:pPr>
          </w:p>
        </w:tc>
        <w:tc>
          <w:tcPr>
            <w:tcW w:w="4517" w:type="dxa"/>
            <w:gridSpan w:val="2"/>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2#事故应急池</w:t>
            </w:r>
          </w:p>
        </w:tc>
        <w:tc>
          <w:tcPr>
            <w:tcW w:w="960"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40m</w:t>
            </w:r>
            <w:r>
              <w:rPr>
                <w:rFonts w:hint="eastAsia" w:eastAsiaTheme="minorEastAsia"/>
                <w:color w:val="000000" w:themeColor="text1"/>
                <w:sz w:val="21"/>
                <w:szCs w:val="21"/>
                <w:vertAlign w:val="superscript"/>
              </w:rPr>
              <w:t>3</w:t>
            </w:r>
          </w:p>
        </w:tc>
        <w:tc>
          <w:tcPr>
            <w:tcW w:w="820"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5</w:t>
            </w:r>
          </w:p>
        </w:tc>
        <w:tc>
          <w:tcPr>
            <w:tcW w:w="820" w:type="dxa"/>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0" w:hRule="atLeast"/>
          <w:jc w:val="center"/>
        </w:trPr>
        <w:tc>
          <w:tcPr>
            <w:tcW w:w="6879" w:type="dxa"/>
            <w:gridSpan w:val="5"/>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合计</w:t>
            </w:r>
          </w:p>
        </w:tc>
        <w:tc>
          <w:tcPr>
            <w:tcW w:w="820"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139.5</w:t>
            </w:r>
          </w:p>
        </w:tc>
        <w:tc>
          <w:tcPr>
            <w:tcW w:w="820" w:type="dxa"/>
            <w:vAlign w:val="center"/>
          </w:tcPr>
          <w:p>
            <w:pPr>
              <w:spacing w:line="240" w:lineRule="auto"/>
              <w:ind w:firstLine="0" w:firstLineChars="0"/>
              <w:jc w:val="center"/>
              <w:rPr>
                <w:rFonts w:eastAsiaTheme="minorEastAsia"/>
                <w:color w:val="000000" w:themeColor="text1"/>
                <w:sz w:val="21"/>
                <w:szCs w:val="21"/>
              </w:rPr>
            </w:pPr>
          </w:p>
        </w:tc>
      </w:tr>
    </w:tbl>
    <w:p>
      <w:pPr>
        <w:pStyle w:val="574"/>
        <w:spacing w:beforeLines="0" w:afterLines="0"/>
        <w:rPr>
          <w:rFonts w:eastAsiaTheme="minorEastAsia"/>
          <w:color w:val="000000" w:themeColor="text1"/>
          <w:sz w:val="30"/>
          <w:szCs w:val="30"/>
        </w:rPr>
      </w:pPr>
      <w:bookmarkStart w:id="835" w:name="_Toc6530"/>
      <w:bookmarkStart w:id="836" w:name="_Toc24208351"/>
      <w:bookmarkStart w:id="837" w:name="_Toc430201444"/>
      <w:bookmarkStart w:id="838" w:name="_Toc450603703"/>
      <w:bookmarkStart w:id="839" w:name="_Toc421915931"/>
      <w:bookmarkStart w:id="840" w:name="_Toc285803439"/>
      <w:bookmarkStart w:id="841" w:name="_Toc430953935"/>
      <w:bookmarkStart w:id="842" w:name="_Toc430953727"/>
      <w:bookmarkStart w:id="843" w:name="_Toc324796544"/>
      <w:bookmarkStart w:id="844" w:name="_Toc326200002"/>
      <w:bookmarkStart w:id="845" w:name="_Toc449368518"/>
      <w:bookmarkStart w:id="846" w:name="_Toc410033900"/>
      <w:r>
        <w:rPr>
          <w:rFonts w:eastAsiaTheme="minorEastAsia"/>
          <w:color w:val="000000" w:themeColor="text1"/>
          <w:sz w:val="30"/>
          <w:szCs w:val="30"/>
        </w:rPr>
        <w:t>8.3环境经济损益分析</w:t>
      </w:r>
      <w:bookmarkEnd w:id="835"/>
      <w:bookmarkEnd w:id="836"/>
    </w:p>
    <w:p>
      <w:pPr>
        <w:ind w:firstLine="480"/>
        <w:rPr>
          <w:rFonts w:eastAsiaTheme="minorEastAsia"/>
          <w:color w:val="000000" w:themeColor="text1"/>
        </w:rPr>
      </w:pPr>
      <w:r>
        <w:rPr>
          <w:rFonts w:eastAsiaTheme="minorEastAsia"/>
          <w:color w:val="000000" w:themeColor="text1"/>
        </w:rPr>
        <w:t>本技改项目新增5个劳动定员，优先招聘本地居民，对增加当地就业岗位，缓解当地就业压力，增加社会安定因素将起到一定的积极作用。同时，项目的建设将给玉溪市新平县的发展做出一定的经济贡献，能增加政府部门税收，使政府能够投入更多资金为当地群众提供服务。</w:t>
      </w:r>
    </w:p>
    <w:p>
      <w:pPr>
        <w:ind w:firstLine="480"/>
        <w:rPr>
          <w:rFonts w:eastAsiaTheme="minorEastAsia"/>
          <w:color w:val="000000" w:themeColor="text1"/>
        </w:rPr>
      </w:pPr>
      <w:r>
        <w:rPr>
          <w:rFonts w:eastAsiaTheme="minorEastAsia"/>
          <w:color w:val="000000" w:themeColor="text1"/>
        </w:rPr>
        <w:t>因此，该项目有利于促进地方经济持续健康发展，有利于构建和谐社会。</w:t>
      </w:r>
      <w:bookmarkStart w:id="847" w:name="_Toc24208352"/>
    </w:p>
    <w:p>
      <w:pPr>
        <w:pStyle w:val="574"/>
        <w:spacing w:beforeLines="0" w:afterLines="0"/>
        <w:rPr>
          <w:rFonts w:eastAsiaTheme="minorEastAsia"/>
          <w:color w:val="000000" w:themeColor="text1"/>
          <w:sz w:val="30"/>
          <w:szCs w:val="30"/>
        </w:rPr>
      </w:pPr>
      <w:bookmarkStart w:id="848" w:name="_Toc1062"/>
      <w:r>
        <w:rPr>
          <w:rFonts w:eastAsiaTheme="minorEastAsia"/>
          <w:color w:val="000000" w:themeColor="text1"/>
          <w:sz w:val="30"/>
          <w:szCs w:val="30"/>
        </w:rPr>
        <w:t>8.4</w:t>
      </w:r>
      <w:bookmarkEnd w:id="837"/>
      <w:bookmarkEnd w:id="838"/>
      <w:bookmarkEnd w:id="839"/>
      <w:bookmarkEnd w:id="840"/>
      <w:bookmarkEnd w:id="841"/>
      <w:bookmarkEnd w:id="842"/>
      <w:bookmarkEnd w:id="843"/>
      <w:bookmarkEnd w:id="844"/>
      <w:bookmarkEnd w:id="845"/>
      <w:bookmarkEnd w:id="846"/>
      <w:r>
        <w:rPr>
          <w:rFonts w:eastAsiaTheme="minorEastAsia"/>
          <w:color w:val="000000" w:themeColor="text1"/>
          <w:sz w:val="30"/>
          <w:szCs w:val="30"/>
        </w:rPr>
        <w:t>环境影响经济损益综合分析</w:t>
      </w:r>
      <w:bookmarkEnd w:id="847"/>
      <w:bookmarkEnd w:id="848"/>
    </w:p>
    <w:p>
      <w:pPr>
        <w:ind w:firstLine="480"/>
        <w:rPr>
          <w:rFonts w:eastAsiaTheme="minorEastAsia"/>
          <w:color w:val="000000" w:themeColor="text1"/>
          <w:szCs w:val="24"/>
        </w:rPr>
      </w:pPr>
      <w:r>
        <w:rPr>
          <w:rFonts w:eastAsiaTheme="minorEastAsia"/>
          <w:color w:val="000000" w:themeColor="text1"/>
          <w:szCs w:val="24"/>
        </w:rPr>
        <w:t>本项目在确保环保资金和污染治理设施到位的前提下，项目产生的“三废”在采取合理的处理处置措施后，可明显减轻对环境的危害，并取得一定的社会效益和经济效益。由此可见，本项目环保投资具有较好的环境经济效益。</w:t>
      </w:r>
    </w:p>
    <w:p>
      <w:pPr>
        <w:pStyle w:val="4"/>
        <w:ind w:firstLine="450"/>
        <w:rPr>
          <w:rFonts w:cs="Times New Roman" w:eastAsiaTheme="minorEastAsia"/>
          <w:color w:val="000000" w:themeColor="text1"/>
          <w:szCs w:val="28"/>
          <w:lang w:eastAsia="zh-CN"/>
        </w:rPr>
        <w:sectPr>
          <w:headerReference r:id="rId25" w:type="default"/>
          <w:footerReference r:id="rId26" w:type="default"/>
          <w:pgSz w:w="11906" w:h="16838"/>
          <w:pgMar w:top="1440" w:right="1797" w:bottom="1440" w:left="1797" w:header="850" w:footer="992" w:gutter="0"/>
          <w:pgNumType w:fmt="numberInDash"/>
          <w:cols w:space="425" w:num="1"/>
          <w:docGrid w:type="lines" w:linePitch="326" w:charSpace="0"/>
        </w:sectPr>
      </w:pPr>
      <w:bookmarkStart w:id="849" w:name="_Toc292440817"/>
      <w:bookmarkStart w:id="850" w:name="_Toc251228277"/>
      <w:bookmarkStart w:id="851" w:name="_Toc248219118"/>
      <w:bookmarkStart w:id="852" w:name="_Toc248219494"/>
      <w:bookmarkStart w:id="853" w:name="_Toc274383213"/>
    </w:p>
    <w:bookmarkEnd w:id="849"/>
    <w:bookmarkEnd w:id="850"/>
    <w:bookmarkEnd w:id="851"/>
    <w:bookmarkEnd w:id="852"/>
    <w:bookmarkEnd w:id="853"/>
    <w:p>
      <w:pPr>
        <w:keepNext/>
        <w:widowControl/>
        <w:ind w:firstLine="0" w:firstLineChars="0"/>
        <w:outlineLvl w:val="0"/>
        <w:rPr>
          <w:rFonts w:eastAsiaTheme="minorEastAsia"/>
          <w:b/>
          <w:bCs/>
          <w:color w:val="000000" w:themeColor="text1"/>
          <w:kern w:val="32"/>
          <w:sz w:val="32"/>
          <w:szCs w:val="32"/>
          <w:lang w:bidi="en-US"/>
        </w:rPr>
      </w:pPr>
      <w:bookmarkStart w:id="854" w:name="_Toc11827"/>
      <w:r>
        <w:rPr>
          <w:rFonts w:eastAsiaTheme="minorEastAsia"/>
          <w:b/>
          <w:bCs/>
          <w:color w:val="000000" w:themeColor="text1"/>
          <w:kern w:val="32"/>
          <w:sz w:val="32"/>
          <w:szCs w:val="32"/>
          <w:lang w:bidi="en-US"/>
        </w:rPr>
        <w:t>9环境管理与环境监测</w:t>
      </w:r>
      <w:bookmarkEnd w:id="854"/>
    </w:p>
    <w:p>
      <w:pPr>
        <w:pStyle w:val="574"/>
        <w:spacing w:beforeLines="0" w:afterLines="0"/>
        <w:rPr>
          <w:rFonts w:eastAsiaTheme="minorEastAsia"/>
          <w:color w:val="000000" w:themeColor="text1"/>
          <w:sz w:val="30"/>
          <w:szCs w:val="30"/>
        </w:rPr>
      </w:pPr>
      <w:bookmarkStart w:id="855" w:name="_Toc9680"/>
      <w:bookmarkStart w:id="856" w:name="_Toc24208354"/>
      <w:bookmarkStart w:id="857" w:name="_Toc526418763"/>
      <w:bookmarkStart w:id="858" w:name="_Toc410033935"/>
      <w:bookmarkStart w:id="859" w:name="_Toc421915966"/>
      <w:bookmarkStart w:id="860" w:name="_Toc430953763"/>
      <w:bookmarkStart w:id="861" w:name="_Toc396311725"/>
      <w:bookmarkStart w:id="862" w:name="_Toc430201480"/>
      <w:bookmarkStart w:id="863" w:name="_Toc430953971"/>
      <w:bookmarkStart w:id="864" w:name="_Toc355598877"/>
      <w:bookmarkStart w:id="865" w:name="_Toc450603705"/>
      <w:bookmarkStart w:id="866" w:name="_Toc291486633"/>
      <w:bookmarkStart w:id="867" w:name="_Toc449368560"/>
      <w:bookmarkStart w:id="868" w:name="_Toc465156924"/>
      <w:r>
        <w:rPr>
          <w:rFonts w:eastAsiaTheme="minorEastAsia"/>
          <w:color w:val="000000" w:themeColor="text1"/>
          <w:sz w:val="30"/>
          <w:szCs w:val="30"/>
        </w:rPr>
        <w:t>9.1</w:t>
      </w:r>
      <w:r>
        <w:rPr>
          <w:rFonts w:hint="eastAsia" w:eastAsiaTheme="minorEastAsia"/>
          <w:color w:val="000000" w:themeColor="text1"/>
          <w:sz w:val="30"/>
          <w:szCs w:val="30"/>
        </w:rPr>
        <w:t>环境管理</w:t>
      </w:r>
      <w:bookmarkEnd w:id="855"/>
    </w:p>
    <w:p>
      <w:pPr>
        <w:pStyle w:val="6"/>
        <w:spacing w:beforeLines="0" w:afterLines="0"/>
        <w:rPr>
          <w:rFonts w:eastAsiaTheme="minorEastAsia"/>
          <w:color w:val="000000" w:themeColor="text1"/>
          <w:sz w:val="28"/>
          <w:szCs w:val="28"/>
        </w:rPr>
      </w:pPr>
      <w:bookmarkStart w:id="869" w:name="_Toc669"/>
      <w:r>
        <w:rPr>
          <w:rFonts w:hint="eastAsia" w:eastAsiaTheme="minorEastAsia"/>
          <w:color w:val="000000" w:themeColor="text1"/>
          <w:sz w:val="28"/>
          <w:szCs w:val="28"/>
        </w:rPr>
        <w:t>9.1.1环境管理目的</w:t>
      </w:r>
      <w:bookmarkEnd w:id="869"/>
    </w:p>
    <w:bookmarkEnd w:id="856"/>
    <w:bookmarkEnd w:id="857"/>
    <w:p>
      <w:pPr>
        <w:autoSpaceDE w:val="0"/>
        <w:autoSpaceDN w:val="0"/>
        <w:ind w:firstLine="480"/>
        <w:rPr>
          <w:rFonts w:eastAsiaTheme="minorEastAsia"/>
          <w:color w:val="000000" w:themeColor="text1"/>
          <w:sz w:val="28"/>
          <w:szCs w:val="28"/>
        </w:rPr>
      </w:pPr>
      <w:r>
        <w:rPr>
          <w:rFonts w:hint="eastAsia" w:eastAsiaTheme="minorEastAsia"/>
          <w:color w:val="000000" w:themeColor="text1"/>
          <w:szCs w:val="24"/>
        </w:rPr>
        <w:t>项目在建设期和运营期都将对环境产生一定的影响，为确保项目配套的环保设施都能正常运转，实现污染达标排放，加强企业内部环境管理工作。针对本次环境评价提出的主要环境问题、环保措施及生态环境部门对该项目的要求，提出该项目环境管理与监控计划，对于该项目搞好生产和环境保护来说是非常必要和重要的。</w:t>
      </w:r>
    </w:p>
    <w:p>
      <w:pPr>
        <w:pStyle w:val="6"/>
        <w:spacing w:beforeLines="0" w:afterLines="0"/>
        <w:rPr>
          <w:rFonts w:eastAsiaTheme="minorEastAsia"/>
          <w:color w:val="000000" w:themeColor="text1"/>
          <w:sz w:val="28"/>
          <w:szCs w:val="28"/>
        </w:rPr>
      </w:pPr>
      <w:bookmarkStart w:id="870" w:name="_Toc29310"/>
      <w:r>
        <w:rPr>
          <w:rFonts w:hint="eastAsia" w:eastAsiaTheme="minorEastAsia"/>
          <w:color w:val="000000" w:themeColor="text1"/>
          <w:sz w:val="28"/>
          <w:szCs w:val="28"/>
        </w:rPr>
        <w:t>9.1.2环境管理制度</w:t>
      </w:r>
      <w:bookmarkEnd w:id="870"/>
    </w:p>
    <w:p>
      <w:pPr>
        <w:autoSpaceDE w:val="0"/>
        <w:autoSpaceDN w:val="0"/>
        <w:ind w:firstLine="480"/>
        <w:rPr>
          <w:color w:val="000000" w:themeColor="text1"/>
          <w:szCs w:val="24"/>
        </w:rPr>
      </w:pPr>
      <w:r>
        <w:rPr>
          <w:color w:val="000000" w:themeColor="text1"/>
          <w:szCs w:val="24"/>
        </w:rPr>
        <w:t>项目需建立日常环境管理制度、组织机构和环境管理台账相关要求，明确各项环境保护设施和措施的建设、运行及维护费用保障计划。具体为：</w:t>
      </w:r>
    </w:p>
    <w:p>
      <w:pPr>
        <w:autoSpaceDE w:val="0"/>
        <w:autoSpaceDN w:val="0"/>
        <w:ind w:firstLine="480"/>
        <w:rPr>
          <w:color w:val="000000" w:themeColor="text1"/>
          <w:szCs w:val="24"/>
        </w:rPr>
      </w:pPr>
      <w:r>
        <w:rPr>
          <w:color w:val="000000" w:themeColor="text1"/>
          <w:szCs w:val="24"/>
        </w:rPr>
        <w:t>1、负责施工期环保工作的计划安排，加强对施工过程中废水、废气、噪声、固体废物等的管理，对施工期产生的弃土和固体废物提出具体处置意见。</w:t>
      </w:r>
    </w:p>
    <w:p>
      <w:pPr>
        <w:autoSpaceDE w:val="0"/>
        <w:autoSpaceDN w:val="0"/>
        <w:ind w:firstLine="480"/>
        <w:rPr>
          <w:color w:val="000000" w:themeColor="text1"/>
          <w:szCs w:val="24"/>
        </w:rPr>
      </w:pPr>
      <w:r>
        <w:rPr>
          <w:color w:val="000000" w:themeColor="text1"/>
          <w:szCs w:val="24"/>
        </w:rPr>
        <w:t>2、项目建设期间，认真贯彻落实环保</w:t>
      </w:r>
      <w:r>
        <w:rPr>
          <w:rFonts w:hint="eastAsia"/>
          <w:color w:val="000000" w:themeColor="text1"/>
          <w:szCs w:val="24"/>
        </w:rPr>
        <w:t>“</w:t>
      </w:r>
      <w:r>
        <w:rPr>
          <w:color w:val="000000" w:themeColor="text1"/>
          <w:szCs w:val="24"/>
        </w:rPr>
        <w:t>三同时</w:t>
      </w:r>
      <w:r>
        <w:rPr>
          <w:rFonts w:hint="eastAsia"/>
          <w:color w:val="000000" w:themeColor="text1"/>
          <w:szCs w:val="24"/>
        </w:rPr>
        <w:t>”</w:t>
      </w:r>
      <w:r>
        <w:rPr>
          <w:color w:val="000000" w:themeColor="text1"/>
          <w:szCs w:val="24"/>
        </w:rPr>
        <w:t>规定，切实按照设计要求予以实施，以确保环保设施的建设，使环保工程达到预期效果。</w:t>
      </w:r>
    </w:p>
    <w:p>
      <w:pPr>
        <w:autoSpaceDE w:val="0"/>
        <w:autoSpaceDN w:val="0"/>
        <w:ind w:firstLine="480"/>
        <w:rPr>
          <w:color w:val="000000" w:themeColor="text1"/>
          <w:szCs w:val="24"/>
        </w:rPr>
      </w:pPr>
      <w:r>
        <w:rPr>
          <w:color w:val="000000" w:themeColor="text1"/>
          <w:szCs w:val="24"/>
        </w:rPr>
        <w:t>3、加强废水、噪声等治理设施监督管理，确保污水处理设备正常运行，厂界噪声达标。</w:t>
      </w:r>
    </w:p>
    <w:p>
      <w:pPr>
        <w:autoSpaceDE w:val="0"/>
        <w:autoSpaceDN w:val="0"/>
        <w:ind w:firstLine="480"/>
        <w:rPr>
          <w:color w:val="000000" w:themeColor="text1"/>
          <w:szCs w:val="24"/>
        </w:rPr>
      </w:pPr>
      <w:r>
        <w:rPr>
          <w:color w:val="000000" w:themeColor="text1"/>
          <w:szCs w:val="24"/>
        </w:rPr>
        <w:t>4、建立污染源档案，并优化污染防治措施。按照上级</w:t>
      </w:r>
      <w:r>
        <w:rPr>
          <w:rFonts w:hint="eastAsia"/>
          <w:color w:val="000000" w:themeColor="text1"/>
          <w:szCs w:val="24"/>
        </w:rPr>
        <w:t>生态环境部门</w:t>
      </w:r>
      <w:r>
        <w:rPr>
          <w:color w:val="000000" w:themeColor="text1"/>
          <w:szCs w:val="24"/>
        </w:rPr>
        <w:t>的规范建立本企业有关</w:t>
      </w:r>
      <w:r>
        <w:rPr>
          <w:rFonts w:hint="eastAsia"/>
          <w:color w:val="000000" w:themeColor="text1"/>
          <w:szCs w:val="24"/>
        </w:rPr>
        <w:t>“</w:t>
      </w:r>
      <w:r>
        <w:rPr>
          <w:color w:val="000000" w:themeColor="text1"/>
          <w:szCs w:val="24"/>
        </w:rPr>
        <w:t>三废</w:t>
      </w:r>
      <w:r>
        <w:rPr>
          <w:rFonts w:hint="eastAsia"/>
          <w:color w:val="000000" w:themeColor="text1"/>
          <w:szCs w:val="24"/>
        </w:rPr>
        <w:t>”</w:t>
      </w:r>
      <w:r>
        <w:rPr>
          <w:color w:val="000000" w:themeColor="text1"/>
          <w:szCs w:val="24"/>
        </w:rPr>
        <w:t>排放量、排放浓度、噪声情况、固体废物综合利用、污染控制效果等情况的档案，并按有关规定编制各种报告与报表，负责向上级领导及</w:t>
      </w:r>
      <w:r>
        <w:rPr>
          <w:rFonts w:hint="eastAsia"/>
          <w:color w:val="000000" w:themeColor="text1"/>
          <w:szCs w:val="24"/>
        </w:rPr>
        <w:t>生态环境部门</w:t>
      </w:r>
      <w:r>
        <w:rPr>
          <w:color w:val="000000" w:themeColor="text1"/>
          <w:szCs w:val="24"/>
        </w:rPr>
        <w:t>呈报。</w:t>
      </w:r>
    </w:p>
    <w:p>
      <w:pPr>
        <w:autoSpaceDE w:val="0"/>
        <w:autoSpaceDN w:val="0"/>
        <w:ind w:firstLine="480"/>
        <w:rPr>
          <w:color w:val="000000" w:themeColor="text1"/>
          <w:szCs w:val="24"/>
        </w:rPr>
      </w:pPr>
      <w:r>
        <w:rPr>
          <w:color w:val="000000" w:themeColor="text1"/>
          <w:szCs w:val="24"/>
        </w:rPr>
        <w:t>5、搞好环境保护宣传和职工环境意识教育及技术培训等工作。</w:t>
      </w:r>
    </w:p>
    <w:p>
      <w:pPr>
        <w:autoSpaceDE w:val="0"/>
        <w:autoSpaceDN w:val="0"/>
        <w:ind w:firstLine="480"/>
        <w:rPr>
          <w:color w:val="000000" w:themeColor="text1"/>
          <w:szCs w:val="24"/>
        </w:rPr>
      </w:pPr>
      <w:r>
        <w:rPr>
          <w:color w:val="000000" w:themeColor="text1"/>
          <w:szCs w:val="24"/>
        </w:rPr>
        <w:t>6、检查环境管理工作中的问题和不足，对发现的问题和不足，提出改进意见。协同当地</w:t>
      </w:r>
      <w:r>
        <w:rPr>
          <w:rFonts w:hint="eastAsia"/>
          <w:color w:val="000000" w:themeColor="text1"/>
          <w:szCs w:val="24"/>
        </w:rPr>
        <w:t>生态环境部门</w:t>
      </w:r>
      <w:r>
        <w:rPr>
          <w:color w:val="000000" w:themeColor="text1"/>
          <w:szCs w:val="24"/>
        </w:rPr>
        <w:t>处理与工程有关的环境问题，维护好公众的利益。</w:t>
      </w:r>
    </w:p>
    <w:p>
      <w:pPr>
        <w:pStyle w:val="6"/>
        <w:spacing w:beforeLines="0" w:afterLines="0"/>
        <w:rPr>
          <w:rFonts w:eastAsiaTheme="minorEastAsia"/>
          <w:color w:val="000000" w:themeColor="text1"/>
          <w:sz w:val="28"/>
          <w:szCs w:val="28"/>
        </w:rPr>
      </w:pPr>
      <w:bookmarkStart w:id="871" w:name="_Toc23664"/>
      <w:r>
        <w:rPr>
          <w:rFonts w:hint="eastAsia" w:eastAsiaTheme="minorEastAsia"/>
          <w:color w:val="000000" w:themeColor="text1"/>
          <w:sz w:val="28"/>
          <w:szCs w:val="28"/>
        </w:rPr>
        <w:t>9.1.3环境管理机构和职责</w:t>
      </w:r>
      <w:bookmarkEnd w:id="871"/>
    </w:p>
    <w:p>
      <w:pPr>
        <w:ind w:firstLine="480"/>
        <w:rPr>
          <w:color w:val="000000" w:themeColor="text1"/>
        </w:rPr>
      </w:pPr>
      <w:r>
        <w:rPr>
          <w:color w:val="000000" w:themeColor="text1"/>
        </w:rPr>
        <w:t>1、环境管理机构</w:t>
      </w:r>
    </w:p>
    <w:p>
      <w:pPr>
        <w:ind w:firstLine="480"/>
        <w:rPr>
          <w:color w:val="000000" w:themeColor="text1"/>
        </w:rPr>
      </w:pPr>
      <w:r>
        <w:rPr>
          <w:color w:val="000000" w:themeColor="text1"/>
        </w:rPr>
        <w:t>项目建成后，配备专职的环境管理人员，设定环保安全科作为企业管理机构中的一部分。此科室负责企业环境保护及安全生产的日常管理及预防工作。同时</w:t>
      </w:r>
      <w:r>
        <w:rPr>
          <w:rFonts w:hint="eastAsia"/>
          <w:color w:val="000000" w:themeColor="text1"/>
        </w:rPr>
        <w:t>积极</w:t>
      </w:r>
      <w:r>
        <w:rPr>
          <w:color w:val="000000" w:themeColor="text1"/>
        </w:rPr>
        <w:t>配合</w:t>
      </w:r>
      <w:r>
        <w:rPr>
          <w:rFonts w:hint="eastAsia"/>
          <w:color w:val="000000" w:themeColor="text1"/>
        </w:rPr>
        <w:t>生态环境</w:t>
      </w:r>
      <w:r>
        <w:rPr>
          <w:color w:val="000000" w:themeColor="text1"/>
        </w:rPr>
        <w:t>部门的视察及监督工作。</w:t>
      </w:r>
    </w:p>
    <w:p>
      <w:pPr>
        <w:ind w:firstLine="480"/>
        <w:rPr>
          <w:color w:val="000000" w:themeColor="text1"/>
        </w:rPr>
      </w:pPr>
      <w:r>
        <w:rPr>
          <w:color w:val="000000" w:themeColor="text1"/>
        </w:rPr>
        <w:t>2、环保管理人员职责</w:t>
      </w:r>
    </w:p>
    <w:p>
      <w:pPr>
        <w:ind w:firstLine="480"/>
        <w:rPr>
          <w:color w:val="000000" w:themeColor="text1"/>
        </w:rPr>
      </w:pPr>
      <w:r>
        <w:rPr>
          <w:color w:val="000000" w:themeColor="text1"/>
        </w:rPr>
        <w:t>督促项目环保治理措施、管理措施及相关环保政策的实施。</w:t>
      </w:r>
    </w:p>
    <w:p>
      <w:pPr>
        <w:ind w:firstLine="480"/>
        <w:rPr>
          <w:color w:val="000000" w:themeColor="text1"/>
        </w:rPr>
      </w:pPr>
      <w:r>
        <w:rPr>
          <w:color w:val="000000" w:themeColor="text1"/>
        </w:rPr>
        <w:t>监测检查项目中各环保设施的运行情况，建立污染物（源）台帐，及时提出改善设施、环境的建议和对策。</w:t>
      </w:r>
    </w:p>
    <w:p>
      <w:pPr>
        <w:ind w:firstLine="480"/>
        <w:rPr>
          <w:color w:val="000000" w:themeColor="text1"/>
        </w:rPr>
      </w:pPr>
      <w:r>
        <w:rPr>
          <w:color w:val="000000" w:themeColor="text1"/>
        </w:rPr>
        <w:t>3、负责职工的环保教育工作，以提高职工的环保意识。</w:t>
      </w:r>
    </w:p>
    <w:p>
      <w:pPr>
        <w:ind w:firstLine="480"/>
        <w:rPr>
          <w:rFonts w:eastAsiaTheme="minorEastAsia"/>
          <w:color w:val="000000" w:themeColor="text1"/>
          <w:sz w:val="28"/>
          <w:szCs w:val="28"/>
        </w:rPr>
      </w:pPr>
      <w:r>
        <w:rPr>
          <w:color w:val="000000" w:themeColor="text1"/>
        </w:rPr>
        <w:t>4、定期向当地</w:t>
      </w:r>
      <w:r>
        <w:rPr>
          <w:rFonts w:hint="eastAsia"/>
          <w:color w:val="000000" w:themeColor="text1"/>
        </w:rPr>
        <w:t>环境</w:t>
      </w:r>
      <w:r>
        <w:rPr>
          <w:color w:val="000000" w:themeColor="text1"/>
        </w:rPr>
        <w:t>部门汇报环保工作情况。</w:t>
      </w:r>
    </w:p>
    <w:p>
      <w:pPr>
        <w:pStyle w:val="6"/>
        <w:spacing w:beforeLines="0" w:afterLines="0"/>
        <w:rPr>
          <w:rFonts w:eastAsiaTheme="minorEastAsia"/>
          <w:color w:val="000000" w:themeColor="text1"/>
          <w:sz w:val="28"/>
          <w:szCs w:val="28"/>
        </w:rPr>
      </w:pPr>
      <w:bookmarkStart w:id="872" w:name="_Toc19590"/>
      <w:r>
        <w:rPr>
          <w:rFonts w:hint="eastAsia" w:eastAsiaTheme="minorEastAsia"/>
          <w:color w:val="000000" w:themeColor="text1"/>
          <w:sz w:val="28"/>
          <w:szCs w:val="28"/>
        </w:rPr>
        <w:t>9.1.4环境管理监察计划</w:t>
      </w:r>
      <w:bookmarkEnd w:id="872"/>
    </w:p>
    <w:p>
      <w:pPr>
        <w:ind w:firstLine="482"/>
        <w:rPr>
          <w:b/>
          <w:bCs/>
          <w:color w:val="000000" w:themeColor="text1"/>
        </w:rPr>
      </w:pPr>
      <w:r>
        <w:rPr>
          <w:b/>
          <w:bCs/>
          <w:color w:val="000000" w:themeColor="text1"/>
        </w:rPr>
        <w:t>1、施工期的环境管理</w:t>
      </w:r>
    </w:p>
    <w:p>
      <w:pPr>
        <w:ind w:firstLine="480"/>
        <w:rPr>
          <w:color w:val="000000" w:themeColor="text1"/>
        </w:rPr>
      </w:pPr>
      <w:r>
        <w:rPr>
          <w:color w:val="000000" w:themeColor="text1"/>
        </w:rPr>
        <w:t>（1）对施工单位提出要求，明确责任制，督促施工单位采取有效措施，减少施工过程中扬尘、施工机械尾气对大气的污染。</w:t>
      </w:r>
    </w:p>
    <w:p>
      <w:pPr>
        <w:ind w:firstLine="480"/>
        <w:rPr>
          <w:color w:val="000000" w:themeColor="text1"/>
        </w:rPr>
      </w:pPr>
      <w:r>
        <w:rPr>
          <w:color w:val="000000" w:themeColor="text1"/>
        </w:rPr>
        <w:t>（2）要求施工单位设置控制噪声装置，减少噪声对周围环境的影响。</w:t>
      </w:r>
    </w:p>
    <w:p>
      <w:pPr>
        <w:ind w:firstLine="480"/>
        <w:rPr>
          <w:color w:val="000000" w:themeColor="text1"/>
        </w:rPr>
      </w:pPr>
      <w:r>
        <w:rPr>
          <w:color w:val="000000" w:themeColor="text1"/>
        </w:rPr>
        <w:t>（3）定期检查、督促施工单位按要求回填处置建筑垃圾、弃土方、收集和处理施工废渣。</w:t>
      </w:r>
    </w:p>
    <w:p>
      <w:pPr>
        <w:ind w:firstLine="480"/>
        <w:rPr>
          <w:color w:val="000000" w:themeColor="text1"/>
        </w:rPr>
      </w:pPr>
      <w:r>
        <w:rPr>
          <w:color w:val="000000" w:themeColor="text1"/>
        </w:rPr>
        <w:t>（4）对施工单位提出要求，施工期间必须设置废水临时沉淀</w:t>
      </w:r>
      <w:r>
        <w:rPr>
          <w:rFonts w:hint="eastAsia"/>
          <w:color w:val="000000" w:themeColor="text1"/>
        </w:rPr>
        <w:t>池</w:t>
      </w:r>
      <w:r>
        <w:rPr>
          <w:color w:val="000000" w:themeColor="text1"/>
        </w:rPr>
        <w:t>，收集起来的废水用于施工使用。</w:t>
      </w:r>
    </w:p>
    <w:p>
      <w:pPr>
        <w:ind w:firstLine="480"/>
        <w:rPr>
          <w:color w:val="000000" w:themeColor="text1"/>
        </w:rPr>
      </w:pPr>
      <w:r>
        <w:rPr>
          <w:color w:val="000000" w:themeColor="text1"/>
        </w:rPr>
        <w:t>（5）项目建成后，应全面检查施工现场的环境恢复情况。</w:t>
      </w:r>
    </w:p>
    <w:p>
      <w:pPr>
        <w:spacing w:line="520" w:lineRule="exact"/>
        <w:ind w:firstLine="482"/>
        <w:rPr>
          <w:b/>
          <w:bCs/>
          <w:color w:val="000000" w:themeColor="text1"/>
        </w:rPr>
      </w:pPr>
      <w:r>
        <w:rPr>
          <w:b/>
          <w:bCs/>
          <w:color w:val="000000" w:themeColor="text1"/>
        </w:rPr>
        <w:t>2、运行期的环境管理</w:t>
      </w:r>
    </w:p>
    <w:p>
      <w:pPr>
        <w:ind w:firstLine="480"/>
        <w:rPr>
          <w:color w:val="000000" w:themeColor="text1"/>
        </w:rPr>
      </w:pPr>
      <w:r>
        <w:rPr>
          <w:color w:val="000000" w:themeColor="text1"/>
        </w:rPr>
        <w:t>（1）项目转入运行期时，应由建设单位</w:t>
      </w:r>
      <w:r>
        <w:rPr>
          <w:rFonts w:hint="eastAsia"/>
          <w:color w:val="000000" w:themeColor="text1"/>
        </w:rPr>
        <w:t>组织自主</w:t>
      </w:r>
      <w:r>
        <w:rPr>
          <w:color w:val="000000" w:themeColor="text1"/>
        </w:rPr>
        <w:t>验收，检查环保设施是否按</w:t>
      </w:r>
      <w:r>
        <w:rPr>
          <w:rFonts w:hint="eastAsia"/>
          <w:color w:val="000000" w:themeColor="text1"/>
        </w:rPr>
        <w:t>“</w:t>
      </w:r>
      <w:r>
        <w:rPr>
          <w:color w:val="000000" w:themeColor="text1"/>
        </w:rPr>
        <w:t>三同时</w:t>
      </w:r>
      <w:r>
        <w:rPr>
          <w:rFonts w:hint="eastAsia"/>
          <w:color w:val="000000" w:themeColor="text1"/>
        </w:rPr>
        <w:t>”</w:t>
      </w:r>
      <w:r>
        <w:rPr>
          <w:color w:val="000000" w:themeColor="text1"/>
        </w:rPr>
        <w:t>进行。</w:t>
      </w:r>
    </w:p>
    <w:p>
      <w:pPr>
        <w:ind w:firstLine="480"/>
        <w:rPr>
          <w:color w:val="000000" w:themeColor="text1"/>
        </w:rPr>
      </w:pPr>
      <w:r>
        <w:rPr>
          <w:color w:val="000000" w:themeColor="text1"/>
        </w:rPr>
        <w:t>（2）加强环保设施的管理，建立健全日常记录，定期检查环保设施的运行情况，排</w:t>
      </w:r>
      <w:r>
        <w:rPr>
          <w:rFonts w:hint="eastAsia"/>
          <w:color w:val="000000" w:themeColor="text1"/>
        </w:rPr>
        <w:t>除</w:t>
      </w:r>
      <w:r>
        <w:rPr>
          <w:color w:val="000000" w:themeColor="text1"/>
        </w:rPr>
        <w:t>故障，保证环保设施正常运转，避免非正常情况发生。</w:t>
      </w:r>
    </w:p>
    <w:p>
      <w:pPr>
        <w:ind w:firstLine="480"/>
        <w:rPr>
          <w:color w:val="000000" w:themeColor="text1"/>
        </w:rPr>
      </w:pPr>
      <w:r>
        <w:rPr>
          <w:color w:val="000000" w:themeColor="text1"/>
        </w:rPr>
        <w:t>（3）加强场区的绿化管理，制订绿化规划，使绿化面积达到设计提出的绿化指标。</w:t>
      </w:r>
    </w:p>
    <w:p>
      <w:pPr>
        <w:ind w:firstLine="480"/>
        <w:rPr>
          <w:color w:val="000000" w:themeColor="text1"/>
        </w:rPr>
      </w:pPr>
      <w:r>
        <w:rPr>
          <w:color w:val="000000" w:themeColor="text1"/>
        </w:rPr>
        <w:t>（4）加强对</w:t>
      </w:r>
      <w:r>
        <w:rPr>
          <w:rFonts w:hint="eastAsia"/>
          <w:color w:val="000000" w:themeColor="text1"/>
        </w:rPr>
        <w:t>危险废物</w:t>
      </w:r>
      <w:r>
        <w:rPr>
          <w:color w:val="000000" w:themeColor="text1"/>
        </w:rPr>
        <w:t>清运、储存、运输的相关管理要求。</w:t>
      </w:r>
    </w:p>
    <w:p>
      <w:pPr>
        <w:pStyle w:val="78"/>
        <w:ind w:firstLine="480"/>
        <w:rPr>
          <w:color w:val="000000" w:themeColor="text1"/>
        </w:rPr>
      </w:pPr>
      <w:r>
        <w:rPr>
          <w:color w:val="000000" w:themeColor="text1"/>
        </w:rPr>
        <w:t>（5）为防止地下水和土壤的污染，做好相关分区防渗。</w:t>
      </w:r>
    </w:p>
    <w:p>
      <w:pPr>
        <w:ind w:firstLine="480"/>
        <w:rPr>
          <w:bCs/>
          <w:color w:val="000000" w:themeColor="text1"/>
          <w:szCs w:val="24"/>
        </w:rPr>
      </w:pPr>
      <w:r>
        <w:rPr>
          <w:bCs/>
          <w:color w:val="000000" w:themeColor="text1"/>
          <w:szCs w:val="24"/>
        </w:rPr>
        <w:t>建设单位委托具有资质的监理部门对工程建设的各个阶段，按照国家有关规定，以保证环境污染治理设施的建设，环境监察计划见表</w:t>
      </w:r>
      <w:r>
        <w:rPr>
          <w:rFonts w:hint="eastAsia"/>
          <w:bCs/>
          <w:color w:val="000000" w:themeColor="text1"/>
          <w:szCs w:val="24"/>
        </w:rPr>
        <w:t>9</w:t>
      </w:r>
      <w:r>
        <w:rPr>
          <w:bCs/>
          <w:color w:val="000000" w:themeColor="text1"/>
          <w:szCs w:val="24"/>
        </w:rPr>
        <w:t>.1-</w:t>
      </w:r>
      <w:r>
        <w:rPr>
          <w:rFonts w:hint="eastAsia"/>
          <w:bCs/>
          <w:color w:val="000000" w:themeColor="text1"/>
          <w:szCs w:val="24"/>
        </w:rPr>
        <w:t>1</w:t>
      </w:r>
      <w:r>
        <w:rPr>
          <w:bCs/>
          <w:color w:val="000000" w:themeColor="text1"/>
          <w:szCs w:val="24"/>
        </w:rPr>
        <w:t>。</w:t>
      </w:r>
    </w:p>
    <w:p>
      <w:pPr>
        <w:ind w:firstLine="422"/>
        <w:jc w:val="center"/>
        <w:rPr>
          <w:b/>
          <w:color w:val="000000" w:themeColor="text1"/>
          <w:sz w:val="21"/>
          <w:szCs w:val="21"/>
        </w:rPr>
      </w:pPr>
    </w:p>
    <w:p>
      <w:pPr>
        <w:ind w:firstLine="422"/>
        <w:jc w:val="center"/>
        <w:rPr>
          <w:b/>
          <w:color w:val="000000" w:themeColor="text1"/>
          <w:sz w:val="21"/>
          <w:szCs w:val="21"/>
        </w:rPr>
      </w:pPr>
      <w:r>
        <w:rPr>
          <w:b/>
          <w:color w:val="000000" w:themeColor="text1"/>
          <w:sz w:val="21"/>
          <w:szCs w:val="21"/>
        </w:rPr>
        <w:t>表</w:t>
      </w:r>
      <w:r>
        <w:rPr>
          <w:rFonts w:hint="eastAsia"/>
          <w:b/>
          <w:color w:val="000000" w:themeColor="text1"/>
          <w:sz w:val="21"/>
          <w:szCs w:val="21"/>
        </w:rPr>
        <w:t>9</w:t>
      </w:r>
      <w:r>
        <w:rPr>
          <w:b/>
          <w:color w:val="000000" w:themeColor="text1"/>
          <w:sz w:val="21"/>
          <w:szCs w:val="21"/>
        </w:rPr>
        <w:t>.1-</w:t>
      </w:r>
      <w:r>
        <w:rPr>
          <w:rFonts w:hint="eastAsia"/>
          <w:b/>
          <w:color w:val="000000" w:themeColor="text1"/>
          <w:sz w:val="21"/>
          <w:szCs w:val="21"/>
        </w:rPr>
        <w:t>1</w:t>
      </w:r>
      <w:r>
        <w:rPr>
          <w:b/>
          <w:color w:val="000000" w:themeColor="text1"/>
          <w:sz w:val="21"/>
          <w:szCs w:val="21"/>
        </w:rPr>
        <w:t>环境监督计划</w:t>
      </w:r>
    </w:p>
    <w:tbl>
      <w:tblPr>
        <w:tblStyle w:val="61"/>
        <w:tblW w:w="8299" w:type="dxa"/>
        <w:jc w:val="center"/>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94"/>
        <w:gridCol w:w="1271"/>
        <w:gridCol w:w="3095"/>
        <w:gridCol w:w="293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994" w:type="dxa"/>
            <w:vAlign w:val="center"/>
          </w:tcPr>
          <w:p>
            <w:pPr>
              <w:spacing w:line="0" w:lineRule="atLeast"/>
              <w:ind w:firstLine="0" w:firstLineChars="0"/>
              <w:jc w:val="center"/>
              <w:rPr>
                <w:color w:val="000000" w:themeColor="text1"/>
                <w:sz w:val="21"/>
                <w:szCs w:val="21"/>
              </w:rPr>
            </w:pPr>
            <w:r>
              <w:rPr>
                <w:color w:val="000000" w:themeColor="text1"/>
                <w:sz w:val="21"/>
                <w:szCs w:val="21"/>
              </w:rPr>
              <w:t>阶段</w:t>
            </w:r>
          </w:p>
        </w:tc>
        <w:tc>
          <w:tcPr>
            <w:tcW w:w="1271" w:type="dxa"/>
            <w:vAlign w:val="center"/>
          </w:tcPr>
          <w:p>
            <w:pPr>
              <w:spacing w:line="0" w:lineRule="atLeast"/>
              <w:ind w:firstLine="0" w:firstLineChars="0"/>
              <w:jc w:val="center"/>
              <w:rPr>
                <w:color w:val="000000" w:themeColor="text1"/>
                <w:sz w:val="21"/>
                <w:szCs w:val="21"/>
              </w:rPr>
            </w:pPr>
            <w:r>
              <w:rPr>
                <w:color w:val="000000" w:themeColor="text1"/>
                <w:sz w:val="21"/>
                <w:szCs w:val="21"/>
              </w:rPr>
              <w:t>机构</w:t>
            </w:r>
          </w:p>
        </w:tc>
        <w:tc>
          <w:tcPr>
            <w:tcW w:w="3095" w:type="dxa"/>
            <w:vAlign w:val="center"/>
          </w:tcPr>
          <w:p>
            <w:pPr>
              <w:spacing w:line="0" w:lineRule="atLeast"/>
              <w:ind w:firstLine="0" w:firstLineChars="0"/>
              <w:jc w:val="center"/>
              <w:rPr>
                <w:color w:val="000000" w:themeColor="text1"/>
                <w:sz w:val="21"/>
                <w:szCs w:val="21"/>
              </w:rPr>
            </w:pPr>
            <w:r>
              <w:rPr>
                <w:color w:val="000000" w:themeColor="text1"/>
                <w:sz w:val="21"/>
                <w:szCs w:val="21"/>
              </w:rPr>
              <w:t>监督内容</w:t>
            </w:r>
          </w:p>
        </w:tc>
        <w:tc>
          <w:tcPr>
            <w:tcW w:w="2939" w:type="dxa"/>
            <w:vAlign w:val="center"/>
          </w:tcPr>
          <w:p>
            <w:pPr>
              <w:spacing w:line="0" w:lineRule="atLeast"/>
              <w:ind w:firstLine="0" w:firstLineChars="0"/>
              <w:jc w:val="center"/>
              <w:rPr>
                <w:color w:val="000000" w:themeColor="text1"/>
                <w:sz w:val="21"/>
                <w:szCs w:val="21"/>
              </w:rPr>
            </w:pPr>
            <w:r>
              <w:rPr>
                <w:color w:val="000000" w:themeColor="text1"/>
                <w:sz w:val="21"/>
                <w:szCs w:val="21"/>
              </w:rPr>
              <w:t>监督目的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994" w:type="dxa"/>
            <w:vMerge w:val="restart"/>
            <w:vAlign w:val="center"/>
          </w:tcPr>
          <w:p>
            <w:pPr>
              <w:spacing w:line="0" w:lineRule="atLeast"/>
              <w:ind w:firstLine="0" w:firstLineChars="0"/>
              <w:jc w:val="center"/>
              <w:rPr>
                <w:color w:val="000000" w:themeColor="text1"/>
                <w:sz w:val="21"/>
                <w:szCs w:val="21"/>
              </w:rPr>
            </w:pPr>
            <w:r>
              <w:rPr>
                <w:color w:val="000000" w:themeColor="text1"/>
                <w:sz w:val="21"/>
                <w:szCs w:val="21"/>
              </w:rPr>
              <w:t>设计和建设阶段</w:t>
            </w:r>
          </w:p>
        </w:tc>
        <w:tc>
          <w:tcPr>
            <w:tcW w:w="1271" w:type="dxa"/>
            <w:vMerge w:val="restart"/>
            <w:vAlign w:val="center"/>
          </w:tcPr>
          <w:p>
            <w:pPr>
              <w:spacing w:line="0" w:lineRule="atLeast"/>
              <w:ind w:firstLine="0" w:firstLineChars="0"/>
              <w:jc w:val="center"/>
              <w:rPr>
                <w:color w:val="000000" w:themeColor="text1"/>
                <w:sz w:val="21"/>
                <w:szCs w:val="21"/>
              </w:rPr>
            </w:pPr>
            <w:r>
              <w:rPr>
                <w:color w:val="000000" w:themeColor="text1"/>
                <w:sz w:val="21"/>
                <w:szCs w:val="21"/>
              </w:rPr>
              <w:t>建设单位环保管理、监理人员</w:t>
            </w:r>
          </w:p>
        </w:tc>
        <w:tc>
          <w:tcPr>
            <w:tcW w:w="3095" w:type="dxa"/>
            <w:vAlign w:val="center"/>
          </w:tcPr>
          <w:p>
            <w:pPr>
              <w:spacing w:line="0" w:lineRule="atLeast"/>
              <w:ind w:firstLine="0" w:firstLineChars="0"/>
              <w:rPr>
                <w:color w:val="000000" w:themeColor="text1"/>
                <w:sz w:val="21"/>
                <w:szCs w:val="21"/>
              </w:rPr>
            </w:pPr>
            <w:r>
              <w:rPr>
                <w:color w:val="000000" w:themeColor="text1"/>
                <w:sz w:val="21"/>
                <w:szCs w:val="21"/>
              </w:rPr>
              <w:t>1.审核环保初步设计；</w:t>
            </w:r>
          </w:p>
        </w:tc>
        <w:tc>
          <w:tcPr>
            <w:tcW w:w="2939" w:type="dxa"/>
            <w:vAlign w:val="center"/>
          </w:tcPr>
          <w:p>
            <w:pPr>
              <w:spacing w:line="0" w:lineRule="atLeast"/>
              <w:ind w:firstLine="0" w:firstLineChars="0"/>
              <w:rPr>
                <w:color w:val="000000" w:themeColor="text1"/>
                <w:sz w:val="21"/>
                <w:szCs w:val="21"/>
              </w:rPr>
            </w:pPr>
            <w:r>
              <w:rPr>
                <w:color w:val="000000" w:themeColor="text1"/>
                <w:sz w:val="21"/>
                <w:szCs w:val="21"/>
              </w:rPr>
              <w:t>1.严格执行</w:t>
            </w:r>
            <w:r>
              <w:rPr>
                <w:rFonts w:hint="eastAsia"/>
                <w:color w:val="000000" w:themeColor="text1"/>
                <w:sz w:val="21"/>
                <w:szCs w:val="21"/>
              </w:rPr>
              <w:t>“</w:t>
            </w:r>
            <w:r>
              <w:rPr>
                <w:color w:val="000000" w:themeColor="text1"/>
                <w:sz w:val="21"/>
                <w:szCs w:val="21"/>
              </w:rPr>
              <w:t>三同时</w:t>
            </w:r>
            <w:r>
              <w:rPr>
                <w:rFonts w:hint="eastAsia"/>
                <w:color w:val="000000" w:themeColor="text1"/>
                <w:sz w:val="21"/>
                <w:szCs w:val="21"/>
              </w:rPr>
              <w:t>”</w:t>
            </w:r>
            <w:r>
              <w:rPr>
                <w:color w:val="000000" w:themeColor="text1"/>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994" w:type="dxa"/>
            <w:vMerge w:val="continue"/>
            <w:vAlign w:val="center"/>
          </w:tcPr>
          <w:p>
            <w:pPr>
              <w:spacing w:line="0" w:lineRule="atLeast"/>
              <w:ind w:firstLine="0" w:firstLineChars="0"/>
              <w:jc w:val="center"/>
              <w:rPr>
                <w:color w:val="000000" w:themeColor="text1"/>
                <w:sz w:val="21"/>
                <w:szCs w:val="21"/>
              </w:rPr>
            </w:pPr>
          </w:p>
        </w:tc>
        <w:tc>
          <w:tcPr>
            <w:tcW w:w="1271" w:type="dxa"/>
            <w:vMerge w:val="continue"/>
            <w:vAlign w:val="center"/>
          </w:tcPr>
          <w:p>
            <w:pPr>
              <w:spacing w:line="0" w:lineRule="atLeast"/>
              <w:ind w:firstLine="0" w:firstLineChars="0"/>
              <w:jc w:val="center"/>
              <w:rPr>
                <w:color w:val="000000" w:themeColor="text1"/>
                <w:sz w:val="21"/>
                <w:szCs w:val="21"/>
              </w:rPr>
            </w:pPr>
          </w:p>
        </w:tc>
        <w:tc>
          <w:tcPr>
            <w:tcW w:w="3095" w:type="dxa"/>
            <w:vAlign w:val="center"/>
          </w:tcPr>
          <w:p>
            <w:pPr>
              <w:spacing w:line="0" w:lineRule="atLeast"/>
              <w:ind w:firstLine="0" w:firstLineChars="0"/>
              <w:rPr>
                <w:color w:val="000000" w:themeColor="text1"/>
                <w:sz w:val="21"/>
                <w:szCs w:val="21"/>
              </w:rPr>
            </w:pPr>
            <w:r>
              <w:rPr>
                <w:color w:val="000000" w:themeColor="text1"/>
                <w:sz w:val="21"/>
                <w:szCs w:val="21"/>
              </w:rPr>
              <w:t>2.审核环保投资是否落实；</w:t>
            </w:r>
          </w:p>
        </w:tc>
        <w:tc>
          <w:tcPr>
            <w:tcW w:w="2939" w:type="dxa"/>
            <w:vAlign w:val="center"/>
          </w:tcPr>
          <w:p>
            <w:pPr>
              <w:spacing w:line="0" w:lineRule="atLeast"/>
              <w:ind w:firstLine="0" w:firstLineChars="0"/>
              <w:rPr>
                <w:color w:val="000000" w:themeColor="text1"/>
                <w:sz w:val="21"/>
                <w:szCs w:val="21"/>
              </w:rPr>
            </w:pPr>
            <w:r>
              <w:rPr>
                <w:color w:val="000000" w:themeColor="text1"/>
                <w:sz w:val="21"/>
                <w:szCs w:val="21"/>
              </w:rPr>
              <w:t>2.确保环保投资；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994" w:type="dxa"/>
            <w:vMerge w:val="continue"/>
            <w:vAlign w:val="center"/>
          </w:tcPr>
          <w:p>
            <w:pPr>
              <w:spacing w:line="0" w:lineRule="atLeast"/>
              <w:ind w:firstLine="0" w:firstLineChars="0"/>
              <w:jc w:val="center"/>
              <w:rPr>
                <w:color w:val="000000" w:themeColor="text1"/>
                <w:sz w:val="21"/>
                <w:szCs w:val="21"/>
              </w:rPr>
            </w:pPr>
          </w:p>
        </w:tc>
        <w:tc>
          <w:tcPr>
            <w:tcW w:w="1271" w:type="dxa"/>
            <w:vMerge w:val="continue"/>
            <w:vAlign w:val="center"/>
          </w:tcPr>
          <w:p>
            <w:pPr>
              <w:spacing w:line="0" w:lineRule="atLeast"/>
              <w:ind w:firstLine="0" w:firstLineChars="0"/>
              <w:jc w:val="center"/>
              <w:rPr>
                <w:color w:val="000000" w:themeColor="text1"/>
                <w:sz w:val="21"/>
                <w:szCs w:val="21"/>
              </w:rPr>
            </w:pPr>
          </w:p>
        </w:tc>
        <w:tc>
          <w:tcPr>
            <w:tcW w:w="3095" w:type="dxa"/>
            <w:vAlign w:val="center"/>
          </w:tcPr>
          <w:p>
            <w:pPr>
              <w:spacing w:line="0" w:lineRule="atLeast"/>
              <w:ind w:firstLine="0" w:firstLineChars="0"/>
              <w:rPr>
                <w:color w:val="000000" w:themeColor="text1"/>
                <w:sz w:val="21"/>
                <w:szCs w:val="21"/>
              </w:rPr>
            </w:pPr>
            <w:r>
              <w:rPr>
                <w:color w:val="000000" w:themeColor="text1"/>
                <w:sz w:val="21"/>
                <w:szCs w:val="21"/>
              </w:rPr>
              <w:t>3.检查污染物排放、控制和处理情况；</w:t>
            </w:r>
          </w:p>
        </w:tc>
        <w:tc>
          <w:tcPr>
            <w:tcW w:w="2939" w:type="dxa"/>
            <w:vAlign w:val="center"/>
          </w:tcPr>
          <w:p>
            <w:pPr>
              <w:spacing w:line="0" w:lineRule="atLeast"/>
              <w:ind w:firstLine="0" w:firstLineChars="0"/>
              <w:rPr>
                <w:color w:val="000000" w:themeColor="text1"/>
                <w:sz w:val="21"/>
                <w:szCs w:val="21"/>
              </w:rPr>
            </w:pPr>
            <w:r>
              <w:rPr>
                <w:color w:val="000000" w:themeColor="text1"/>
                <w:sz w:val="21"/>
                <w:szCs w:val="21"/>
              </w:rPr>
              <w:t>3.确保项目执行相关环保法规与标准，并落实环保措施；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994" w:type="dxa"/>
            <w:vMerge w:val="continue"/>
            <w:vAlign w:val="center"/>
          </w:tcPr>
          <w:p>
            <w:pPr>
              <w:spacing w:line="0" w:lineRule="atLeast"/>
              <w:ind w:firstLine="0" w:firstLineChars="0"/>
              <w:jc w:val="center"/>
              <w:rPr>
                <w:color w:val="000000" w:themeColor="text1"/>
                <w:sz w:val="21"/>
                <w:szCs w:val="21"/>
              </w:rPr>
            </w:pPr>
          </w:p>
        </w:tc>
        <w:tc>
          <w:tcPr>
            <w:tcW w:w="1271" w:type="dxa"/>
            <w:vMerge w:val="continue"/>
            <w:vAlign w:val="center"/>
          </w:tcPr>
          <w:p>
            <w:pPr>
              <w:spacing w:line="0" w:lineRule="atLeast"/>
              <w:ind w:firstLine="0" w:firstLineChars="0"/>
              <w:jc w:val="center"/>
              <w:rPr>
                <w:color w:val="000000" w:themeColor="text1"/>
                <w:sz w:val="21"/>
                <w:szCs w:val="21"/>
              </w:rPr>
            </w:pPr>
          </w:p>
        </w:tc>
        <w:tc>
          <w:tcPr>
            <w:tcW w:w="3095" w:type="dxa"/>
            <w:vAlign w:val="center"/>
          </w:tcPr>
          <w:p>
            <w:pPr>
              <w:spacing w:line="0" w:lineRule="atLeast"/>
              <w:ind w:firstLine="0" w:firstLineChars="0"/>
              <w:rPr>
                <w:color w:val="000000" w:themeColor="text1"/>
                <w:sz w:val="21"/>
                <w:szCs w:val="21"/>
              </w:rPr>
            </w:pPr>
            <w:r>
              <w:rPr>
                <w:color w:val="000000" w:themeColor="text1"/>
                <w:sz w:val="21"/>
                <w:szCs w:val="21"/>
              </w:rPr>
              <w:t>4.检查建设施工占地与恢复情况</w:t>
            </w:r>
          </w:p>
        </w:tc>
        <w:tc>
          <w:tcPr>
            <w:tcW w:w="2939" w:type="dxa"/>
            <w:vAlign w:val="center"/>
          </w:tcPr>
          <w:p>
            <w:pPr>
              <w:spacing w:line="0" w:lineRule="atLeast"/>
              <w:ind w:firstLine="0" w:firstLineChars="0"/>
              <w:rPr>
                <w:color w:val="000000" w:themeColor="text1"/>
                <w:sz w:val="21"/>
                <w:szCs w:val="21"/>
              </w:rPr>
            </w:pPr>
            <w:r>
              <w:rPr>
                <w:color w:val="000000" w:themeColor="text1"/>
                <w:sz w:val="21"/>
                <w:szCs w:val="21"/>
              </w:rPr>
              <w:t>4.确保施工场所满足环保要求，资源不被严重破坏；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994" w:type="dxa"/>
            <w:vMerge w:val="continue"/>
            <w:vAlign w:val="center"/>
          </w:tcPr>
          <w:p>
            <w:pPr>
              <w:spacing w:line="0" w:lineRule="atLeast"/>
              <w:ind w:firstLine="0" w:firstLineChars="0"/>
              <w:jc w:val="center"/>
              <w:rPr>
                <w:color w:val="000000" w:themeColor="text1"/>
                <w:sz w:val="21"/>
                <w:szCs w:val="21"/>
              </w:rPr>
            </w:pPr>
          </w:p>
        </w:tc>
        <w:tc>
          <w:tcPr>
            <w:tcW w:w="1271" w:type="dxa"/>
            <w:vMerge w:val="continue"/>
            <w:vAlign w:val="center"/>
          </w:tcPr>
          <w:p>
            <w:pPr>
              <w:spacing w:line="0" w:lineRule="atLeast"/>
              <w:ind w:firstLine="0" w:firstLineChars="0"/>
              <w:jc w:val="center"/>
              <w:rPr>
                <w:color w:val="000000" w:themeColor="text1"/>
                <w:sz w:val="21"/>
                <w:szCs w:val="21"/>
              </w:rPr>
            </w:pPr>
          </w:p>
        </w:tc>
        <w:tc>
          <w:tcPr>
            <w:tcW w:w="3095" w:type="dxa"/>
            <w:vAlign w:val="center"/>
          </w:tcPr>
          <w:p>
            <w:pPr>
              <w:spacing w:line="0" w:lineRule="atLeast"/>
              <w:ind w:firstLine="0" w:firstLineChars="0"/>
              <w:rPr>
                <w:color w:val="000000" w:themeColor="text1"/>
                <w:sz w:val="21"/>
                <w:szCs w:val="21"/>
              </w:rPr>
            </w:pPr>
            <w:r>
              <w:rPr>
                <w:color w:val="000000" w:themeColor="text1"/>
                <w:sz w:val="21"/>
                <w:szCs w:val="21"/>
              </w:rPr>
              <w:t>5.检查环保设施</w:t>
            </w:r>
            <w:r>
              <w:rPr>
                <w:rFonts w:hint="eastAsia"/>
                <w:color w:val="000000" w:themeColor="text1"/>
                <w:sz w:val="21"/>
                <w:szCs w:val="21"/>
              </w:rPr>
              <w:t>“</w:t>
            </w:r>
            <w:r>
              <w:rPr>
                <w:color w:val="000000" w:themeColor="text1"/>
                <w:sz w:val="21"/>
                <w:szCs w:val="21"/>
              </w:rPr>
              <w:t>三同时</w:t>
            </w:r>
            <w:r>
              <w:rPr>
                <w:rFonts w:hint="eastAsia"/>
                <w:color w:val="000000" w:themeColor="text1"/>
                <w:sz w:val="21"/>
                <w:szCs w:val="21"/>
              </w:rPr>
              <w:t>”</w:t>
            </w:r>
            <w:r>
              <w:rPr>
                <w:color w:val="000000" w:themeColor="text1"/>
                <w:sz w:val="21"/>
                <w:szCs w:val="21"/>
              </w:rPr>
              <w:t>情况，确定最终完成期限；</w:t>
            </w:r>
          </w:p>
        </w:tc>
        <w:tc>
          <w:tcPr>
            <w:tcW w:w="2939" w:type="dxa"/>
            <w:vAlign w:val="center"/>
          </w:tcPr>
          <w:p>
            <w:pPr>
              <w:spacing w:line="0" w:lineRule="atLeast"/>
              <w:ind w:firstLine="0" w:firstLineChars="0"/>
              <w:rPr>
                <w:color w:val="000000" w:themeColor="text1"/>
                <w:sz w:val="21"/>
                <w:szCs w:val="21"/>
              </w:rPr>
            </w:pPr>
            <w:r>
              <w:rPr>
                <w:color w:val="000000" w:themeColor="text1"/>
                <w:sz w:val="21"/>
                <w:szCs w:val="21"/>
              </w:rPr>
              <w:t>5.确保项目建设严格按照</w:t>
            </w:r>
            <w:r>
              <w:rPr>
                <w:rFonts w:hint="eastAsia"/>
                <w:color w:val="000000" w:themeColor="text1"/>
                <w:sz w:val="21"/>
                <w:szCs w:val="21"/>
              </w:rPr>
              <w:t>“</w:t>
            </w:r>
            <w:r>
              <w:rPr>
                <w:color w:val="000000" w:themeColor="text1"/>
                <w:sz w:val="21"/>
                <w:szCs w:val="21"/>
              </w:rPr>
              <w:t>三同时</w:t>
            </w:r>
            <w:r>
              <w:rPr>
                <w:rFonts w:hint="eastAsia"/>
                <w:color w:val="000000" w:themeColor="text1"/>
                <w:sz w:val="21"/>
                <w:szCs w:val="21"/>
              </w:rPr>
              <w:t>”</w:t>
            </w:r>
            <w:r>
              <w:rPr>
                <w:color w:val="000000" w:themeColor="text1"/>
                <w:sz w:val="21"/>
                <w:szCs w:val="21"/>
              </w:rPr>
              <w:t>进行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994" w:type="dxa"/>
            <w:vMerge w:val="continue"/>
            <w:vAlign w:val="center"/>
          </w:tcPr>
          <w:p>
            <w:pPr>
              <w:spacing w:line="0" w:lineRule="atLeast"/>
              <w:ind w:firstLine="0" w:firstLineChars="0"/>
              <w:jc w:val="center"/>
              <w:rPr>
                <w:color w:val="000000" w:themeColor="text1"/>
                <w:sz w:val="21"/>
                <w:szCs w:val="21"/>
              </w:rPr>
            </w:pPr>
          </w:p>
        </w:tc>
        <w:tc>
          <w:tcPr>
            <w:tcW w:w="1271" w:type="dxa"/>
            <w:vMerge w:val="continue"/>
            <w:vAlign w:val="center"/>
          </w:tcPr>
          <w:p>
            <w:pPr>
              <w:spacing w:line="0" w:lineRule="atLeast"/>
              <w:ind w:firstLine="0" w:firstLineChars="0"/>
              <w:jc w:val="center"/>
              <w:rPr>
                <w:color w:val="000000" w:themeColor="text1"/>
                <w:sz w:val="21"/>
                <w:szCs w:val="21"/>
              </w:rPr>
            </w:pPr>
          </w:p>
        </w:tc>
        <w:tc>
          <w:tcPr>
            <w:tcW w:w="3095" w:type="dxa"/>
            <w:vAlign w:val="center"/>
          </w:tcPr>
          <w:p>
            <w:pPr>
              <w:spacing w:line="0" w:lineRule="atLeast"/>
              <w:ind w:firstLine="0" w:firstLineChars="0"/>
              <w:rPr>
                <w:color w:val="000000" w:themeColor="text1"/>
                <w:sz w:val="21"/>
                <w:szCs w:val="21"/>
              </w:rPr>
            </w:pPr>
            <w:r>
              <w:rPr>
                <w:color w:val="000000" w:themeColor="text1"/>
                <w:sz w:val="21"/>
                <w:szCs w:val="21"/>
              </w:rPr>
              <w:t>6.检查环保设施是否达到标准要求。</w:t>
            </w:r>
          </w:p>
        </w:tc>
        <w:tc>
          <w:tcPr>
            <w:tcW w:w="2939" w:type="dxa"/>
            <w:vAlign w:val="center"/>
          </w:tcPr>
          <w:p>
            <w:pPr>
              <w:spacing w:line="0" w:lineRule="atLeast"/>
              <w:ind w:firstLine="0" w:firstLineChars="0"/>
              <w:rPr>
                <w:color w:val="000000" w:themeColor="text1"/>
                <w:sz w:val="21"/>
                <w:szCs w:val="21"/>
              </w:rPr>
            </w:pPr>
            <w:r>
              <w:rPr>
                <w:color w:val="000000" w:themeColor="text1"/>
                <w:sz w:val="21"/>
                <w:szCs w:val="21"/>
              </w:rPr>
              <w:t>6.验收环保设施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994" w:type="dxa"/>
            <w:vMerge w:val="restart"/>
            <w:vAlign w:val="center"/>
          </w:tcPr>
          <w:p>
            <w:pPr>
              <w:spacing w:line="0" w:lineRule="atLeast"/>
              <w:ind w:firstLine="0" w:firstLineChars="0"/>
              <w:jc w:val="center"/>
              <w:rPr>
                <w:color w:val="000000" w:themeColor="text1"/>
                <w:sz w:val="21"/>
                <w:szCs w:val="21"/>
              </w:rPr>
            </w:pPr>
            <w:r>
              <w:rPr>
                <w:color w:val="000000" w:themeColor="text1"/>
                <w:sz w:val="21"/>
                <w:szCs w:val="21"/>
              </w:rPr>
              <w:t>运营期阶段</w:t>
            </w:r>
          </w:p>
        </w:tc>
        <w:tc>
          <w:tcPr>
            <w:tcW w:w="1271" w:type="dxa"/>
            <w:vMerge w:val="restart"/>
            <w:vAlign w:val="center"/>
          </w:tcPr>
          <w:p>
            <w:pPr>
              <w:spacing w:line="0" w:lineRule="atLeast"/>
              <w:ind w:firstLine="0" w:firstLineChars="0"/>
              <w:jc w:val="center"/>
              <w:rPr>
                <w:color w:val="000000" w:themeColor="text1"/>
                <w:sz w:val="21"/>
                <w:szCs w:val="21"/>
              </w:rPr>
            </w:pPr>
            <w:r>
              <w:rPr>
                <w:rFonts w:hint="eastAsia"/>
                <w:color w:val="000000" w:themeColor="text1"/>
                <w:sz w:val="21"/>
                <w:szCs w:val="21"/>
              </w:rPr>
              <w:t>玉溪市生态环境局新平分局</w:t>
            </w:r>
          </w:p>
        </w:tc>
        <w:tc>
          <w:tcPr>
            <w:tcW w:w="3095" w:type="dxa"/>
            <w:vAlign w:val="center"/>
          </w:tcPr>
          <w:p>
            <w:pPr>
              <w:spacing w:line="0" w:lineRule="atLeast"/>
              <w:ind w:firstLine="0" w:firstLineChars="0"/>
              <w:rPr>
                <w:color w:val="000000" w:themeColor="text1"/>
                <w:sz w:val="21"/>
                <w:szCs w:val="21"/>
              </w:rPr>
            </w:pPr>
            <w:r>
              <w:rPr>
                <w:color w:val="000000" w:themeColor="text1"/>
                <w:sz w:val="21"/>
                <w:szCs w:val="21"/>
              </w:rPr>
              <w:t>1.检查监测计划的实施完成情况；</w:t>
            </w:r>
          </w:p>
        </w:tc>
        <w:tc>
          <w:tcPr>
            <w:tcW w:w="2939" w:type="dxa"/>
            <w:vAlign w:val="center"/>
          </w:tcPr>
          <w:p>
            <w:pPr>
              <w:spacing w:line="0" w:lineRule="atLeast"/>
              <w:ind w:firstLine="0" w:firstLineChars="0"/>
              <w:rPr>
                <w:color w:val="000000" w:themeColor="text1"/>
                <w:sz w:val="21"/>
                <w:szCs w:val="21"/>
              </w:rPr>
            </w:pPr>
            <w:r>
              <w:rPr>
                <w:color w:val="000000" w:themeColor="text1"/>
                <w:sz w:val="21"/>
                <w:szCs w:val="21"/>
              </w:rPr>
              <w:t>1.落实监测计划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994" w:type="dxa"/>
            <w:vMerge w:val="continue"/>
            <w:vAlign w:val="center"/>
          </w:tcPr>
          <w:p>
            <w:pPr>
              <w:spacing w:line="0" w:lineRule="atLeast"/>
              <w:ind w:firstLine="0" w:firstLineChars="0"/>
              <w:jc w:val="center"/>
              <w:rPr>
                <w:color w:val="000000" w:themeColor="text1"/>
                <w:sz w:val="21"/>
                <w:szCs w:val="21"/>
              </w:rPr>
            </w:pPr>
          </w:p>
        </w:tc>
        <w:tc>
          <w:tcPr>
            <w:tcW w:w="1271" w:type="dxa"/>
            <w:vMerge w:val="continue"/>
            <w:vAlign w:val="center"/>
          </w:tcPr>
          <w:p>
            <w:pPr>
              <w:spacing w:line="0" w:lineRule="atLeast"/>
              <w:ind w:firstLine="0" w:firstLineChars="0"/>
              <w:jc w:val="center"/>
              <w:rPr>
                <w:color w:val="000000" w:themeColor="text1"/>
                <w:sz w:val="21"/>
                <w:szCs w:val="21"/>
              </w:rPr>
            </w:pPr>
          </w:p>
        </w:tc>
        <w:tc>
          <w:tcPr>
            <w:tcW w:w="3095" w:type="dxa"/>
            <w:vAlign w:val="center"/>
          </w:tcPr>
          <w:p>
            <w:pPr>
              <w:spacing w:line="0" w:lineRule="atLeast"/>
              <w:ind w:firstLine="0" w:firstLineChars="0"/>
              <w:rPr>
                <w:color w:val="000000" w:themeColor="text1"/>
                <w:sz w:val="21"/>
                <w:szCs w:val="21"/>
              </w:rPr>
            </w:pPr>
            <w:r>
              <w:rPr>
                <w:color w:val="000000" w:themeColor="text1"/>
                <w:sz w:val="21"/>
                <w:szCs w:val="21"/>
              </w:rPr>
              <w:t>2.检查有无必要实施进一步的环保措施（可能出现未预计到的环境问题）；</w:t>
            </w:r>
          </w:p>
        </w:tc>
        <w:tc>
          <w:tcPr>
            <w:tcW w:w="2939" w:type="dxa"/>
            <w:vAlign w:val="center"/>
          </w:tcPr>
          <w:p>
            <w:pPr>
              <w:spacing w:line="0" w:lineRule="atLeast"/>
              <w:ind w:firstLine="0" w:firstLineChars="0"/>
              <w:rPr>
                <w:color w:val="000000" w:themeColor="text1"/>
                <w:sz w:val="21"/>
                <w:szCs w:val="21"/>
              </w:rPr>
            </w:pPr>
            <w:r>
              <w:rPr>
                <w:color w:val="000000" w:themeColor="text1"/>
                <w:sz w:val="21"/>
                <w:szCs w:val="21"/>
              </w:rPr>
              <w:t>2.切实保护环境；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994" w:type="dxa"/>
            <w:vMerge w:val="continue"/>
            <w:vAlign w:val="center"/>
          </w:tcPr>
          <w:p>
            <w:pPr>
              <w:spacing w:line="0" w:lineRule="atLeast"/>
              <w:ind w:firstLine="0" w:firstLineChars="0"/>
              <w:jc w:val="center"/>
              <w:rPr>
                <w:color w:val="000000" w:themeColor="text1"/>
                <w:sz w:val="21"/>
                <w:szCs w:val="21"/>
              </w:rPr>
            </w:pPr>
          </w:p>
        </w:tc>
        <w:tc>
          <w:tcPr>
            <w:tcW w:w="1271" w:type="dxa"/>
            <w:vMerge w:val="continue"/>
            <w:vAlign w:val="center"/>
          </w:tcPr>
          <w:p>
            <w:pPr>
              <w:spacing w:line="0" w:lineRule="atLeast"/>
              <w:ind w:firstLine="0" w:firstLineChars="0"/>
              <w:jc w:val="center"/>
              <w:rPr>
                <w:color w:val="000000" w:themeColor="text1"/>
                <w:sz w:val="21"/>
                <w:szCs w:val="21"/>
              </w:rPr>
            </w:pPr>
          </w:p>
        </w:tc>
        <w:tc>
          <w:tcPr>
            <w:tcW w:w="3095" w:type="dxa"/>
            <w:vAlign w:val="center"/>
          </w:tcPr>
          <w:p>
            <w:pPr>
              <w:spacing w:line="0" w:lineRule="atLeast"/>
              <w:ind w:firstLine="0" w:firstLineChars="0"/>
              <w:rPr>
                <w:color w:val="000000" w:themeColor="text1"/>
                <w:sz w:val="21"/>
                <w:szCs w:val="21"/>
              </w:rPr>
            </w:pPr>
            <w:r>
              <w:rPr>
                <w:color w:val="000000" w:themeColor="text1"/>
                <w:sz w:val="21"/>
                <w:szCs w:val="21"/>
              </w:rPr>
              <w:t>3.检查环境敏感区的环境质量是否满足相应质量标准要求；</w:t>
            </w:r>
          </w:p>
        </w:tc>
        <w:tc>
          <w:tcPr>
            <w:tcW w:w="2939" w:type="dxa"/>
            <w:vAlign w:val="center"/>
          </w:tcPr>
          <w:p>
            <w:pPr>
              <w:spacing w:line="0" w:lineRule="atLeast"/>
              <w:ind w:firstLine="0" w:firstLineChars="0"/>
              <w:rPr>
                <w:color w:val="000000" w:themeColor="text1"/>
                <w:sz w:val="21"/>
                <w:szCs w:val="21"/>
              </w:rPr>
            </w:pPr>
            <w:r>
              <w:rPr>
                <w:color w:val="000000" w:themeColor="text1"/>
                <w:sz w:val="21"/>
                <w:szCs w:val="21"/>
              </w:rPr>
              <w:t>3.加强环境管理，切实保护人群健康。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jc w:val="center"/>
        </w:trPr>
        <w:tc>
          <w:tcPr>
            <w:tcW w:w="994" w:type="dxa"/>
            <w:vMerge w:val="continue"/>
            <w:vAlign w:val="center"/>
          </w:tcPr>
          <w:p>
            <w:pPr>
              <w:spacing w:line="0" w:lineRule="atLeast"/>
              <w:ind w:firstLine="0" w:firstLineChars="0"/>
              <w:jc w:val="center"/>
              <w:rPr>
                <w:color w:val="000000" w:themeColor="text1"/>
                <w:sz w:val="21"/>
                <w:szCs w:val="21"/>
              </w:rPr>
            </w:pPr>
          </w:p>
        </w:tc>
        <w:tc>
          <w:tcPr>
            <w:tcW w:w="1271" w:type="dxa"/>
            <w:vMerge w:val="continue"/>
            <w:vAlign w:val="center"/>
          </w:tcPr>
          <w:p>
            <w:pPr>
              <w:spacing w:line="0" w:lineRule="atLeast"/>
              <w:ind w:firstLine="0" w:firstLineChars="0"/>
              <w:jc w:val="center"/>
              <w:rPr>
                <w:color w:val="000000" w:themeColor="text1"/>
                <w:sz w:val="21"/>
                <w:szCs w:val="21"/>
              </w:rPr>
            </w:pPr>
          </w:p>
        </w:tc>
        <w:tc>
          <w:tcPr>
            <w:tcW w:w="3095" w:type="dxa"/>
            <w:vAlign w:val="center"/>
          </w:tcPr>
          <w:p>
            <w:pPr>
              <w:spacing w:line="0" w:lineRule="atLeast"/>
              <w:ind w:firstLine="0" w:firstLineChars="0"/>
              <w:rPr>
                <w:color w:val="000000" w:themeColor="text1"/>
                <w:sz w:val="21"/>
                <w:szCs w:val="21"/>
              </w:rPr>
            </w:pPr>
            <w:r>
              <w:rPr>
                <w:rFonts w:hint="eastAsia"/>
                <w:color w:val="000000" w:themeColor="text1"/>
                <w:sz w:val="21"/>
                <w:szCs w:val="21"/>
              </w:rPr>
              <w:t>4.检查相关需要防渗的构筑物的防渗措施是否达到要求。</w:t>
            </w:r>
          </w:p>
        </w:tc>
        <w:tc>
          <w:tcPr>
            <w:tcW w:w="2939" w:type="dxa"/>
            <w:vAlign w:val="center"/>
          </w:tcPr>
          <w:p>
            <w:pPr>
              <w:spacing w:line="0" w:lineRule="atLeast"/>
              <w:ind w:firstLine="0" w:firstLineChars="0"/>
              <w:rPr>
                <w:color w:val="000000" w:themeColor="text1"/>
                <w:sz w:val="21"/>
                <w:szCs w:val="21"/>
              </w:rPr>
            </w:pPr>
            <w:r>
              <w:rPr>
                <w:rFonts w:hint="eastAsia"/>
                <w:color w:val="000000" w:themeColor="text1"/>
                <w:sz w:val="21"/>
                <w:szCs w:val="21"/>
              </w:rPr>
              <w:t>4.加强监督管理。</w:t>
            </w:r>
          </w:p>
        </w:tc>
      </w:tr>
    </w:tbl>
    <w:p>
      <w:pPr>
        <w:pStyle w:val="6"/>
        <w:spacing w:beforeLines="0" w:afterLines="0"/>
        <w:rPr>
          <w:rFonts w:eastAsiaTheme="minorEastAsia"/>
          <w:color w:val="000000" w:themeColor="text1"/>
          <w:sz w:val="28"/>
          <w:szCs w:val="28"/>
        </w:rPr>
      </w:pPr>
      <w:bookmarkStart w:id="873" w:name="_Toc8818"/>
      <w:r>
        <w:rPr>
          <w:rFonts w:eastAsiaTheme="minorEastAsia"/>
          <w:color w:val="000000" w:themeColor="text1"/>
          <w:sz w:val="28"/>
          <w:szCs w:val="28"/>
        </w:rPr>
        <w:t>9.1.3</w:t>
      </w:r>
      <w:r>
        <w:rPr>
          <w:rFonts w:hint="eastAsia" w:eastAsiaTheme="minorEastAsia"/>
          <w:color w:val="000000" w:themeColor="text1"/>
          <w:sz w:val="28"/>
          <w:szCs w:val="28"/>
        </w:rPr>
        <w:t>污染物排放清单及排污口设置</w:t>
      </w:r>
      <w:bookmarkEnd w:id="873"/>
    </w:p>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hint="eastAsia" w:eastAsiaTheme="minorEastAsia"/>
          <w:b/>
          <w:color w:val="000000" w:themeColor="text1"/>
          <w:kern w:val="0"/>
          <w:szCs w:val="24"/>
        </w:rPr>
        <w:t>9.1.3.1污染物排放清单</w:t>
      </w:r>
    </w:p>
    <w:p>
      <w:pPr>
        <w:adjustRightInd w:val="0"/>
        <w:snapToGrid w:val="0"/>
        <w:ind w:firstLine="480"/>
        <w:rPr>
          <w:color w:val="000000" w:themeColor="text1"/>
          <w:szCs w:val="24"/>
        </w:rPr>
      </w:pPr>
      <w:r>
        <w:rPr>
          <w:color w:val="000000" w:themeColor="text1"/>
          <w:szCs w:val="24"/>
        </w:rPr>
        <w:t>项目污染物排放清单见表</w:t>
      </w:r>
      <w:r>
        <w:rPr>
          <w:rFonts w:hint="eastAsia"/>
          <w:color w:val="000000" w:themeColor="text1"/>
          <w:szCs w:val="24"/>
        </w:rPr>
        <w:t>9.1</w:t>
      </w:r>
      <w:r>
        <w:rPr>
          <w:color w:val="000000" w:themeColor="text1"/>
          <w:szCs w:val="24"/>
        </w:rPr>
        <w:t>-</w:t>
      </w:r>
      <w:r>
        <w:rPr>
          <w:rFonts w:hint="eastAsia"/>
          <w:color w:val="000000" w:themeColor="text1"/>
          <w:szCs w:val="24"/>
        </w:rPr>
        <w:t>2</w:t>
      </w:r>
      <w:r>
        <w:rPr>
          <w:color w:val="000000" w:themeColor="text1"/>
          <w:szCs w:val="24"/>
        </w:rPr>
        <w:t>。</w:t>
      </w:r>
    </w:p>
    <w:p>
      <w:pPr>
        <w:pStyle w:val="78"/>
        <w:ind w:firstLine="422"/>
        <w:jc w:val="center"/>
        <w:rPr>
          <w:b/>
          <w:bCs/>
          <w:color w:val="000000" w:themeColor="text1"/>
          <w:sz w:val="21"/>
          <w:szCs w:val="21"/>
        </w:rPr>
      </w:pPr>
      <w:r>
        <w:rPr>
          <w:rFonts w:hint="eastAsia"/>
          <w:b/>
          <w:bCs/>
          <w:color w:val="000000" w:themeColor="text1"/>
          <w:sz w:val="21"/>
          <w:szCs w:val="21"/>
        </w:rPr>
        <w:t>表9.1-2 污染物排放清单一览表</w:t>
      </w:r>
    </w:p>
    <w:tbl>
      <w:tblPr>
        <w:tblStyle w:val="61"/>
        <w:tblW w:w="851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924"/>
        <w:gridCol w:w="706"/>
        <w:gridCol w:w="1846"/>
        <w:gridCol w:w="750"/>
        <w:gridCol w:w="825"/>
        <w:gridCol w:w="779"/>
        <w:gridCol w:w="148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tblHeader/>
          <w:jc w:val="center"/>
        </w:trPr>
        <w:tc>
          <w:tcPr>
            <w:tcW w:w="425" w:type="dxa"/>
            <w:vAlign w:val="center"/>
          </w:tcPr>
          <w:p>
            <w:pPr>
              <w:pStyle w:val="126"/>
              <w:rPr>
                <w:rFonts w:eastAsiaTheme="minorEastAsia"/>
                <w:color w:val="000000" w:themeColor="text1"/>
              </w:rPr>
            </w:pPr>
            <w:r>
              <w:rPr>
                <w:rFonts w:eastAsiaTheme="minorEastAsia"/>
                <w:color w:val="000000" w:themeColor="text1"/>
              </w:rPr>
              <w:t>污染物类别</w:t>
            </w:r>
          </w:p>
        </w:tc>
        <w:tc>
          <w:tcPr>
            <w:tcW w:w="924" w:type="dxa"/>
            <w:vAlign w:val="center"/>
          </w:tcPr>
          <w:p>
            <w:pPr>
              <w:pStyle w:val="126"/>
              <w:rPr>
                <w:rFonts w:eastAsiaTheme="minorEastAsia"/>
                <w:color w:val="000000" w:themeColor="text1"/>
              </w:rPr>
            </w:pPr>
            <w:r>
              <w:rPr>
                <w:rFonts w:eastAsiaTheme="minorEastAsia"/>
                <w:color w:val="000000" w:themeColor="text1"/>
              </w:rPr>
              <w:t>名称</w:t>
            </w:r>
          </w:p>
        </w:tc>
        <w:tc>
          <w:tcPr>
            <w:tcW w:w="706" w:type="dxa"/>
            <w:vAlign w:val="center"/>
          </w:tcPr>
          <w:p>
            <w:pPr>
              <w:pStyle w:val="126"/>
              <w:rPr>
                <w:rFonts w:eastAsiaTheme="minorEastAsia"/>
                <w:color w:val="000000" w:themeColor="text1"/>
              </w:rPr>
            </w:pPr>
            <w:r>
              <w:rPr>
                <w:rFonts w:eastAsiaTheme="minorEastAsia"/>
                <w:color w:val="000000" w:themeColor="text1"/>
              </w:rPr>
              <w:t>类别</w:t>
            </w:r>
          </w:p>
        </w:tc>
        <w:tc>
          <w:tcPr>
            <w:tcW w:w="1846" w:type="dxa"/>
            <w:vAlign w:val="center"/>
          </w:tcPr>
          <w:p>
            <w:pPr>
              <w:pStyle w:val="126"/>
              <w:rPr>
                <w:rFonts w:eastAsiaTheme="minorEastAsia"/>
                <w:color w:val="000000" w:themeColor="text1"/>
              </w:rPr>
            </w:pPr>
            <w:r>
              <w:rPr>
                <w:rFonts w:eastAsiaTheme="minorEastAsia"/>
                <w:color w:val="000000" w:themeColor="text1"/>
              </w:rPr>
              <w:t>治理措施</w:t>
            </w: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排放浓度</w:t>
            </w:r>
          </w:p>
        </w:tc>
        <w:tc>
          <w:tcPr>
            <w:tcW w:w="825" w:type="dxa"/>
            <w:vAlign w:val="center"/>
          </w:tcPr>
          <w:p>
            <w:pPr>
              <w:pStyle w:val="126"/>
              <w:rPr>
                <w:rFonts w:eastAsiaTheme="minorEastAsia"/>
                <w:color w:val="000000" w:themeColor="text1"/>
              </w:rPr>
            </w:pPr>
            <w:r>
              <w:rPr>
                <w:rFonts w:eastAsiaTheme="minorEastAsia"/>
                <w:color w:val="000000" w:themeColor="text1"/>
              </w:rPr>
              <w:t>排放量（t/a）</w:t>
            </w:r>
          </w:p>
        </w:tc>
        <w:tc>
          <w:tcPr>
            <w:tcW w:w="779"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排放方式</w:t>
            </w:r>
          </w:p>
        </w:tc>
        <w:tc>
          <w:tcPr>
            <w:tcW w:w="1484"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排放标准</w:t>
            </w:r>
          </w:p>
        </w:tc>
        <w:tc>
          <w:tcPr>
            <w:tcW w:w="78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排污口设置情况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restart"/>
            <w:vAlign w:val="center"/>
          </w:tcPr>
          <w:p>
            <w:pPr>
              <w:pStyle w:val="126"/>
              <w:rPr>
                <w:rFonts w:eastAsiaTheme="minorEastAsia"/>
                <w:color w:val="000000" w:themeColor="text1"/>
              </w:rPr>
            </w:pPr>
            <w:r>
              <w:rPr>
                <w:rFonts w:eastAsiaTheme="minorEastAsia"/>
                <w:color w:val="000000" w:themeColor="text1"/>
              </w:rPr>
              <w:t>废水</w:t>
            </w:r>
          </w:p>
        </w:tc>
        <w:tc>
          <w:tcPr>
            <w:tcW w:w="924"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生活污水（技改项目）</w:t>
            </w:r>
          </w:p>
        </w:tc>
        <w:tc>
          <w:tcPr>
            <w:tcW w:w="706" w:type="dxa"/>
            <w:vAlign w:val="center"/>
          </w:tcPr>
          <w:p>
            <w:pPr>
              <w:pStyle w:val="126"/>
              <w:rPr>
                <w:rFonts w:eastAsiaTheme="minorEastAsia"/>
                <w:color w:val="000000" w:themeColor="text1"/>
              </w:rPr>
            </w:pPr>
            <w:r>
              <w:rPr>
                <w:rFonts w:eastAsiaTheme="minorEastAsia"/>
                <w:color w:val="000000" w:themeColor="text1"/>
              </w:rPr>
              <w:t>废水量</w:t>
            </w:r>
          </w:p>
        </w:tc>
        <w:tc>
          <w:tcPr>
            <w:tcW w:w="1846"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化粪池，一体化生活污水处理设施</w:t>
            </w: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779" w:type="dxa"/>
            <w:vMerge w:val="restart"/>
            <w:vAlign w:val="center"/>
          </w:tcPr>
          <w:p>
            <w:pPr>
              <w:spacing w:line="240" w:lineRule="auto"/>
              <w:ind w:firstLine="0" w:firstLineChars="0"/>
              <w:jc w:val="center"/>
              <w:rPr>
                <w:rFonts w:eastAsiaTheme="minorEastAsia"/>
                <w:color w:val="000000" w:themeColor="text1"/>
                <w:sz w:val="21"/>
                <w:szCs w:val="21"/>
              </w:rPr>
            </w:pPr>
            <w:r>
              <w:rPr>
                <w:rFonts w:hint="eastAsia" w:eastAsiaTheme="minorEastAsia"/>
                <w:color w:val="000000" w:themeColor="text1"/>
                <w:sz w:val="21"/>
                <w:szCs w:val="21"/>
              </w:rPr>
              <w:t>不排放</w:t>
            </w:r>
          </w:p>
        </w:tc>
        <w:tc>
          <w:tcPr>
            <w:tcW w:w="1484"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达到</w:t>
            </w:r>
            <w:r>
              <w:rPr>
                <w:rFonts w:eastAsiaTheme="minorEastAsia"/>
                <w:color w:val="000000" w:themeColor="text1"/>
                <w:lang w:val="en-GB" w:eastAsia="zh-CN"/>
              </w:rPr>
              <w:t>《城市污水再生利用城市杂用水水质》（GB/T18920-20</w:t>
            </w:r>
            <w:r>
              <w:rPr>
                <w:rFonts w:hint="eastAsia" w:eastAsiaTheme="minorEastAsia"/>
                <w:color w:val="000000" w:themeColor="text1"/>
                <w:lang w:eastAsia="zh-CN"/>
              </w:rPr>
              <w:t>20</w:t>
            </w:r>
            <w:r>
              <w:rPr>
                <w:rFonts w:eastAsiaTheme="minorEastAsia"/>
                <w:color w:val="000000" w:themeColor="text1"/>
                <w:lang w:val="en-GB" w:eastAsia="zh-CN"/>
              </w:rPr>
              <w:t>）</w:t>
            </w:r>
            <w:r>
              <w:rPr>
                <w:rFonts w:eastAsiaTheme="minorEastAsia"/>
                <w:color w:val="000000" w:themeColor="text1"/>
                <w:lang w:eastAsia="zh-CN"/>
              </w:rPr>
              <w:t>回用</w:t>
            </w:r>
            <w:r>
              <w:rPr>
                <w:rFonts w:hint="eastAsia" w:eastAsiaTheme="minorEastAsia"/>
                <w:color w:val="000000" w:themeColor="text1"/>
                <w:lang w:eastAsia="zh-CN"/>
              </w:rPr>
              <w:t>厂区</w:t>
            </w:r>
            <w:r>
              <w:rPr>
                <w:rFonts w:eastAsiaTheme="minorEastAsia"/>
                <w:color w:val="000000" w:themeColor="text1"/>
                <w:lang w:eastAsia="zh-CN"/>
              </w:rPr>
              <w:t>绿化</w:t>
            </w:r>
          </w:p>
        </w:tc>
        <w:tc>
          <w:tcPr>
            <w:tcW w:w="780" w:type="dxa"/>
            <w:vMerge w:val="restart"/>
            <w:vAlign w:val="center"/>
          </w:tcPr>
          <w:p>
            <w:pPr>
              <w:pStyle w:val="126"/>
              <w:rPr>
                <w:rFonts w:eastAsiaTheme="minorEastAsia"/>
                <w:color w:val="000000" w:themeColor="text1"/>
                <w:lang w:eastAsia="zh-CN"/>
              </w:rPr>
            </w:pPr>
            <w:r>
              <w:rPr>
                <w:rFonts w:hint="eastAsia" w:eastAsiaTheme="minorEastAsia"/>
                <w:color w:val="000000" w:themeColor="text1"/>
                <w:lang w:eastAsia="zh-CN"/>
              </w:rPr>
              <w:t>不设排污口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continue"/>
            <w:vAlign w:val="center"/>
          </w:tcPr>
          <w:p>
            <w:pPr>
              <w:pStyle w:val="126"/>
              <w:rPr>
                <w:rFonts w:eastAsiaTheme="minorEastAsia"/>
                <w:color w:val="000000" w:themeColor="text1"/>
                <w:lang w:eastAsia="zh-CN"/>
              </w:rPr>
            </w:pPr>
          </w:p>
        </w:tc>
        <w:tc>
          <w:tcPr>
            <w:tcW w:w="924" w:type="dxa"/>
            <w:vMerge w:val="continue"/>
            <w:vAlign w:val="center"/>
          </w:tcPr>
          <w:p>
            <w:pPr>
              <w:pStyle w:val="126"/>
              <w:rPr>
                <w:rFonts w:eastAsiaTheme="minorEastAsia"/>
                <w:color w:val="000000" w:themeColor="text1"/>
                <w:lang w:eastAsia="zh-CN"/>
              </w:rPr>
            </w:pPr>
          </w:p>
        </w:tc>
        <w:tc>
          <w:tcPr>
            <w:tcW w:w="706" w:type="dxa"/>
            <w:vAlign w:val="center"/>
          </w:tcPr>
          <w:p>
            <w:pPr>
              <w:pStyle w:val="126"/>
              <w:rPr>
                <w:rFonts w:eastAsiaTheme="minorEastAsia"/>
                <w:color w:val="000000" w:themeColor="text1"/>
              </w:rPr>
            </w:pPr>
            <w:r>
              <w:rPr>
                <w:rFonts w:eastAsiaTheme="minorEastAsia"/>
                <w:color w:val="000000" w:themeColor="text1"/>
              </w:rPr>
              <w:t>pH</w:t>
            </w:r>
          </w:p>
        </w:tc>
        <w:tc>
          <w:tcPr>
            <w:tcW w:w="1846" w:type="dxa"/>
            <w:vMerge w:val="continue"/>
            <w:vAlign w:val="center"/>
          </w:tcPr>
          <w:p>
            <w:pPr>
              <w:pStyle w:val="126"/>
              <w:rPr>
                <w:rFonts w:eastAsiaTheme="minorEastAsia"/>
                <w:color w:val="000000" w:themeColor="text1"/>
                <w:lang w:eastAsia="zh-CN"/>
              </w:rPr>
            </w:pP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w:t>
            </w:r>
          </w:p>
        </w:tc>
        <w:tc>
          <w:tcPr>
            <w:tcW w:w="779"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continue"/>
            <w:vAlign w:val="center"/>
          </w:tcPr>
          <w:p>
            <w:pPr>
              <w:pStyle w:val="126"/>
              <w:rPr>
                <w:rFonts w:eastAsiaTheme="minorEastAsia"/>
                <w:color w:val="000000" w:themeColor="text1"/>
              </w:rPr>
            </w:pPr>
          </w:p>
        </w:tc>
        <w:tc>
          <w:tcPr>
            <w:tcW w:w="924" w:type="dxa"/>
            <w:vMerge w:val="continue"/>
            <w:vAlign w:val="center"/>
          </w:tcPr>
          <w:p>
            <w:pPr>
              <w:pStyle w:val="126"/>
              <w:rPr>
                <w:rFonts w:eastAsiaTheme="minorEastAsia"/>
                <w:color w:val="000000" w:themeColor="text1"/>
              </w:rPr>
            </w:pPr>
          </w:p>
        </w:tc>
        <w:tc>
          <w:tcPr>
            <w:tcW w:w="706" w:type="dxa"/>
            <w:vAlign w:val="center"/>
          </w:tcPr>
          <w:p>
            <w:pPr>
              <w:pStyle w:val="126"/>
              <w:rPr>
                <w:rFonts w:eastAsiaTheme="minorEastAsia"/>
                <w:color w:val="000000" w:themeColor="text1"/>
              </w:rPr>
            </w:pPr>
            <w:r>
              <w:rPr>
                <w:rFonts w:eastAsiaTheme="minorEastAsia"/>
                <w:color w:val="000000" w:themeColor="text1"/>
              </w:rPr>
              <w:t>SS</w:t>
            </w:r>
          </w:p>
        </w:tc>
        <w:tc>
          <w:tcPr>
            <w:tcW w:w="1846" w:type="dxa"/>
            <w:vMerge w:val="continue"/>
            <w:vAlign w:val="center"/>
          </w:tcPr>
          <w:p>
            <w:pPr>
              <w:pStyle w:val="126"/>
              <w:rPr>
                <w:rFonts w:eastAsiaTheme="minorEastAsia"/>
                <w:color w:val="000000" w:themeColor="text1"/>
                <w:lang w:eastAsia="zh-CN"/>
              </w:rPr>
            </w:pP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779"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continue"/>
            <w:vAlign w:val="center"/>
          </w:tcPr>
          <w:p>
            <w:pPr>
              <w:pStyle w:val="126"/>
              <w:rPr>
                <w:rFonts w:eastAsiaTheme="minorEastAsia"/>
                <w:color w:val="000000" w:themeColor="text1"/>
              </w:rPr>
            </w:pPr>
          </w:p>
        </w:tc>
        <w:tc>
          <w:tcPr>
            <w:tcW w:w="924" w:type="dxa"/>
            <w:vMerge w:val="continue"/>
            <w:vAlign w:val="center"/>
          </w:tcPr>
          <w:p>
            <w:pPr>
              <w:pStyle w:val="126"/>
              <w:rPr>
                <w:rFonts w:eastAsiaTheme="minorEastAsia"/>
                <w:color w:val="000000" w:themeColor="text1"/>
              </w:rPr>
            </w:pPr>
          </w:p>
        </w:tc>
        <w:tc>
          <w:tcPr>
            <w:tcW w:w="706" w:type="dxa"/>
            <w:vAlign w:val="center"/>
          </w:tcPr>
          <w:p>
            <w:pPr>
              <w:pStyle w:val="126"/>
              <w:rPr>
                <w:rFonts w:eastAsiaTheme="minorEastAsia"/>
                <w:color w:val="000000" w:themeColor="text1"/>
              </w:rPr>
            </w:pPr>
            <w:r>
              <w:rPr>
                <w:rFonts w:eastAsiaTheme="minorEastAsia"/>
                <w:color w:val="000000" w:themeColor="text1"/>
              </w:rPr>
              <w:t>COD</w:t>
            </w:r>
            <w:r>
              <w:rPr>
                <w:rFonts w:eastAsiaTheme="minorEastAsia"/>
                <w:color w:val="000000" w:themeColor="text1"/>
                <w:vertAlign w:val="subscript"/>
              </w:rPr>
              <w:t>Cr</w:t>
            </w:r>
          </w:p>
        </w:tc>
        <w:tc>
          <w:tcPr>
            <w:tcW w:w="1846" w:type="dxa"/>
            <w:vMerge w:val="continue"/>
            <w:vAlign w:val="center"/>
          </w:tcPr>
          <w:p>
            <w:pPr>
              <w:pStyle w:val="126"/>
              <w:rPr>
                <w:rFonts w:eastAsiaTheme="minorEastAsia"/>
                <w:color w:val="000000" w:themeColor="text1"/>
                <w:lang w:eastAsia="zh-CN"/>
              </w:rPr>
            </w:pP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779"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continue"/>
            <w:vAlign w:val="center"/>
          </w:tcPr>
          <w:p>
            <w:pPr>
              <w:pStyle w:val="126"/>
              <w:rPr>
                <w:rFonts w:eastAsiaTheme="minorEastAsia"/>
                <w:color w:val="000000" w:themeColor="text1"/>
              </w:rPr>
            </w:pPr>
          </w:p>
        </w:tc>
        <w:tc>
          <w:tcPr>
            <w:tcW w:w="924" w:type="dxa"/>
            <w:vMerge w:val="continue"/>
            <w:vAlign w:val="center"/>
          </w:tcPr>
          <w:p>
            <w:pPr>
              <w:pStyle w:val="126"/>
              <w:rPr>
                <w:rFonts w:eastAsiaTheme="minorEastAsia"/>
                <w:color w:val="000000" w:themeColor="text1"/>
              </w:rPr>
            </w:pPr>
          </w:p>
        </w:tc>
        <w:tc>
          <w:tcPr>
            <w:tcW w:w="706" w:type="dxa"/>
            <w:vAlign w:val="center"/>
          </w:tcPr>
          <w:p>
            <w:pPr>
              <w:pStyle w:val="126"/>
              <w:rPr>
                <w:rFonts w:eastAsiaTheme="minorEastAsia"/>
                <w:color w:val="000000" w:themeColor="text1"/>
              </w:rPr>
            </w:pPr>
            <w:r>
              <w:rPr>
                <w:rFonts w:eastAsiaTheme="minorEastAsia"/>
                <w:color w:val="000000" w:themeColor="text1"/>
              </w:rPr>
              <w:t>BOD</w:t>
            </w:r>
            <w:r>
              <w:rPr>
                <w:rFonts w:eastAsiaTheme="minorEastAsia"/>
                <w:color w:val="000000" w:themeColor="text1"/>
                <w:vertAlign w:val="subscript"/>
              </w:rPr>
              <w:t>5</w:t>
            </w:r>
          </w:p>
        </w:tc>
        <w:tc>
          <w:tcPr>
            <w:tcW w:w="1846" w:type="dxa"/>
            <w:vMerge w:val="continue"/>
            <w:vAlign w:val="center"/>
          </w:tcPr>
          <w:p>
            <w:pPr>
              <w:pStyle w:val="126"/>
              <w:rPr>
                <w:rFonts w:eastAsiaTheme="minorEastAsia"/>
                <w:color w:val="000000" w:themeColor="text1"/>
                <w:lang w:eastAsia="zh-CN"/>
              </w:rPr>
            </w:pP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779"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continue"/>
            <w:vAlign w:val="center"/>
          </w:tcPr>
          <w:p>
            <w:pPr>
              <w:pStyle w:val="126"/>
              <w:rPr>
                <w:rFonts w:eastAsiaTheme="minorEastAsia"/>
                <w:color w:val="000000" w:themeColor="text1"/>
              </w:rPr>
            </w:pPr>
          </w:p>
        </w:tc>
        <w:tc>
          <w:tcPr>
            <w:tcW w:w="924" w:type="dxa"/>
            <w:vMerge w:val="continue"/>
            <w:vAlign w:val="center"/>
          </w:tcPr>
          <w:p>
            <w:pPr>
              <w:pStyle w:val="126"/>
              <w:rPr>
                <w:rFonts w:eastAsiaTheme="minorEastAsia"/>
                <w:color w:val="000000" w:themeColor="text1"/>
              </w:rPr>
            </w:pPr>
          </w:p>
        </w:tc>
        <w:tc>
          <w:tcPr>
            <w:tcW w:w="706" w:type="dxa"/>
            <w:vAlign w:val="center"/>
          </w:tcPr>
          <w:p>
            <w:pPr>
              <w:pStyle w:val="126"/>
              <w:rPr>
                <w:rFonts w:eastAsiaTheme="minorEastAsia"/>
                <w:color w:val="000000" w:themeColor="text1"/>
              </w:rPr>
            </w:pPr>
            <w:r>
              <w:rPr>
                <w:rFonts w:eastAsiaTheme="minorEastAsia"/>
                <w:color w:val="000000" w:themeColor="text1"/>
              </w:rPr>
              <w:t>氨氮</w:t>
            </w:r>
          </w:p>
        </w:tc>
        <w:tc>
          <w:tcPr>
            <w:tcW w:w="1846" w:type="dxa"/>
            <w:vMerge w:val="continue"/>
            <w:vAlign w:val="center"/>
          </w:tcPr>
          <w:p>
            <w:pPr>
              <w:pStyle w:val="126"/>
              <w:rPr>
                <w:rFonts w:eastAsiaTheme="minorEastAsia"/>
                <w:color w:val="000000" w:themeColor="text1"/>
                <w:lang w:eastAsia="zh-CN"/>
              </w:rPr>
            </w:pP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spacing w:line="240" w:lineRule="auto"/>
              <w:ind w:firstLine="0" w:firstLineChars="0"/>
              <w:jc w:val="center"/>
              <w:rPr>
                <w:rFonts w:eastAsiaTheme="minorEastAsia"/>
                <w:color w:val="000000" w:themeColor="text1"/>
                <w:sz w:val="21"/>
                <w:szCs w:val="21"/>
              </w:rPr>
            </w:pPr>
            <w:r>
              <w:rPr>
                <w:rFonts w:eastAsiaTheme="minorEastAsia"/>
                <w:color w:val="000000" w:themeColor="text1"/>
                <w:sz w:val="21"/>
                <w:szCs w:val="21"/>
              </w:rPr>
              <w:t>0</w:t>
            </w:r>
          </w:p>
        </w:tc>
        <w:tc>
          <w:tcPr>
            <w:tcW w:w="779" w:type="dxa"/>
            <w:vMerge w:val="continue"/>
            <w:vAlign w:val="center"/>
          </w:tcPr>
          <w:p>
            <w:pPr>
              <w:spacing w:line="240" w:lineRule="auto"/>
              <w:ind w:firstLine="0" w:firstLineChars="0"/>
              <w:jc w:val="center"/>
              <w:rPr>
                <w:rFonts w:eastAsiaTheme="minorEastAsia"/>
                <w:color w:val="000000" w:themeColor="text1"/>
                <w:sz w:val="21"/>
                <w:szCs w:val="21"/>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425" w:type="dxa"/>
            <w:vMerge w:val="continue"/>
            <w:vAlign w:val="center"/>
          </w:tcPr>
          <w:p>
            <w:pPr>
              <w:pStyle w:val="126"/>
              <w:rPr>
                <w:rFonts w:eastAsiaTheme="minorEastAsia"/>
                <w:color w:val="000000" w:themeColor="text1"/>
                <w:lang w:eastAsia="zh-CN"/>
              </w:rPr>
            </w:pPr>
          </w:p>
        </w:tc>
        <w:tc>
          <w:tcPr>
            <w:tcW w:w="924"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技改项目废水</w:t>
            </w:r>
          </w:p>
        </w:tc>
        <w:tc>
          <w:tcPr>
            <w:tcW w:w="706" w:type="dxa"/>
            <w:vAlign w:val="center"/>
          </w:tcPr>
          <w:p>
            <w:pPr>
              <w:spacing w:line="240" w:lineRule="auto"/>
              <w:ind w:firstLine="0" w:firstLineChars="0"/>
              <w:jc w:val="center"/>
              <w:rPr>
                <w:color w:val="000000" w:themeColor="text1"/>
                <w:sz w:val="21"/>
                <w:szCs w:val="21"/>
              </w:rPr>
            </w:pPr>
            <w:r>
              <w:rPr>
                <w:color w:val="000000" w:themeColor="text1"/>
                <w:sz w:val="21"/>
                <w:szCs w:val="21"/>
              </w:rPr>
              <w:t>洗</w:t>
            </w:r>
            <w:r>
              <w:rPr>
                <w:rFonts w:hint="eastAsia"/>
                <w:color w:val="000000" w:themeColor="text1"/>
                <w:sz w:val="21"/>
                <w:szCs w:val="21"/>
              </w:rPr>
              <w:t>砂</w:t>
            </w:r>
          </w:p>
        </w:tc>
        <w:tc>
          <w:tcPr>
            <w:tcW w:w="1846"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循环使用</w:t>
            </w: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779" w:type="dxa"/>
            <w:vMerge w:val="restart"/>
            <w:vAlign w:val="center"/>
          </w:tcPr>
          <w:p>
            <w:pPr>
              <w:pStyle w:val="126"/>
              <w:rPr>
                <w:rFonts w:eastAsiaTheme="minorEastAsia"/>
                <w:color w:val="000000" w:themeColor="text1"/>
                <w:lang w:eastAsia="zh-CN"/>
              </w:rPr>
            </w:pPr>
            <w:r>
              <w:rPr>
                <w:rFonts w:hint="eastAsia" w:eastAsiaTheme="minorEastAsia"/>
                <w:color w:val="000000" w:themeColor="text1"/>
                <w:lang w:eastAsia="zh-CN"/>
              </w:rPr>
              <w:t>不排放</w:t>
            </w:r>
          </w:p>
        </w:tc>
        <w:tc>
          <w:tcPr>
            <w:tcW w:w="1484"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不外排</w:t>
            </w:r>
          </w:p>
        </w:tc>
        <w:tc>
          <w:tcPr>
            <w:tcW w:w="780" w:type="dxa"/>
            <w:vMerge w:val="restart"/>
            <w:vAlign w:val="center"/>
          </w:tcPr>
          <w:p>
            <w:pPr>
              <w:pStyle w:val="126"/>
              <w:rPr>
                <w:rFonts w:eastAsiaTheme="minorEastAsia"/>
                <w:color w:val="000000" w:themeColor="text1"/>
                <w:lang w:eastAsia="zh-CN"/>
              </w:rPr>
            </w:pPr>
            <w:r>
              <w:rPr>
                <w:rFonts w:hint="eastAsia" w:eastAsiaTheme="minorEastAsia"/>
                <w:color w:val="000000" w:themeColor="text1"/>
                <w:lang w:eastAsia="zh-CN"/>
              </w:rPr>
              <w:t>不设排污口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425" w:type="dxa"/>
            <w:vMerge w:val="continue"/>
            <w:vAlign w:val="center"/>
          </w:tcPr>
          <w:p>
            <w:pPr>
              <w:pStyle w:val="126"/>
              <w:rPr>
                <w:rFonts w:eastAsiaTheme="minorEastAsia"/>
                <w:color w:val="000000" w:themeColor="text1"/>
                <w:lang w:eastAsia="zh-CN"/>
              </w:rPr>
            </w:pPr>
          </w:p>
        </w:tc>
        <w:tc>
          <w:tcPr>
            <w:tcW w:w="924" w:type="dxa"/>
            <w:vMerge w:val="continue"/>
            <w:vAlign w:val="center"/>
          </w:tcPr>
          <w:p>
            <w:pPr>
              <w:pStyle w:val="126"/>
              <w:rPr>
                <w:rFonts w:eastAsiaTheme="minorEastAsia"/>
                <w:color w:val="000000" w:themeColor="text1"/>
                <w:lang w:eastAsia="zh-CN"/>
              </w:rPr>
            </w:pPr>
          </w:p>
        </w:tc>
        <w:tc>
          <w:tcPr>
            <w:tcW w:w="706" w:type="dxa"/>
          </w:tcPr>
          <w:p>
            <w:pPr>
              <w:spacing w:line="240" w:lineRule="auto"/>
              <w:ind w:firstLine="0" w:firstLineChars="0"/>
              <w:jc w:val="center"/>
              <w:rPr>
                <w:color w:val="000000" w:themeColor="text1"/>
                <w:sz w:val="21"/>
                <w:szCs w:val="21"/>
              </w:rPr>
            </w:pPr>
            <w:r>
              <w:rPr>
                <w:color w:val="000000" w:themeColor="text1"/>
                <w:sz w:val="21"/>
                <w:szCs w:val="21"/>
              </w:rPr>
              <w:t>陶瓷过滤机清洗</w:t>
            </w:r>
            <w:r>
              <w:rPr>
                <w:rFonts w:hint="eastAsia"/>
                <w:color w:val="000000" w:themeColor="text1"/>
                <w:sz w:val="21"/>
                <w:szCs w:val="21"/>
              </w:rPr>
              <w:t>废水</w:t>
            </w:r>
          </w:p>
        </w:tc>
        <w:tc>
          <w:tcPr>
            <w:tcW w:w="1846" w:type="dxa"/>
            <w:vAlign w:val="center"/>
          </w:tcPr>
          <w:p>
            <w:pPr>
              <w:pStyle w:val="126"/>
              <w:rPr>
                <w:rFonts w:eastAsiaTheme="minorEastAsia"/>
                <w:color w:val="000000" w:themeColor="text1"/>
                <w:lang w:eastAsia="zh-CN"/>
              </w:rPr>
            </w:pPr>
            <w:r>
              <w:rPr>
                <w:rFonts w:eastAsiaTheme="minorEastAsia"/>
                <w:color w:val="000000" w:themeColor="text1"/>
                <w:lang w:eastAsia="zh-CN"/>
              </w:rPr>
              <w:t>进入尾矿浆沉淀池</w:t>
            </w: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779" w:type="dxa"/>
            <w:vMerge w:val="continue"/>
            <w:vAlign w:val="center"/>
          </w:tcPr>
          <w:p>
            <w:pPr>
              <w:pStyle w:val="126"/>
              <w:rPr>
                <w:rFonts w:eastAsiaTheme="minorEastAsia"/>
                <w:color w:val="000000" w:themeColor="text1"/>
                <w:lang w:eastAsia="zh-CN"/>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425" w:type="dxa"/>
            <w:vMerge w:val="continue"/>
            <w:vAlign w:val="center"/>
          </w:tcPr>
          <w:p>
            <w:pPr>
              <w:pStyle w:val="126"/>
              <w:rPr>
                <w:rFonts w:eastAsiaTheme="minorEastAsia"/>
                <w:color w:val="000000" w:themeColor="text1"/>
                <w:lang w:eastAsia="zh-CN"/>
              </w:rPr>
            </w:pPr>
          </w:p>
        </w:tc>
        <w:tc>
          <w:tcPr>
            <w:tcW w:w="924" w:type="dxa"/>
            <w:vMerge w:val="continue"/>
            <w:vAlign w:val="center"/>
          </w:tcPr>
          <w:p>
            <w:pPr>
              <w:pStyle w:val="126"/>
              <w:rPr>
                <w:rFonts w:eastAsiaTheme="minorEastAsia"/>
                <w:color w:val="000000" w:themeColor="text1"/>
                <w:lang w:eastAsia="zh-CN"/>
              </w:rPr>
            </w:pPr>
          </w:p>
        </w:tc>
        <w:tc>
          <w:tcPr>
            <w:tcW w:w="706" w:type="dxa"/>
          </w:tcPr>
          <w:p>
            <w:pPr>
              <w:spacing w:line="240" w:lineRule="auto"/>
              <w:ind w:firstLine="0" w:firstLineChars="0"/>
              <w:jc w:val="center"/>
              <w:rPr>
                <w:color w:val="000000" w:themeColor="text1"/>
                <w:sz w:val="21"/>
                <w:szCs w:val="21"/>
              </w:rPr>
            </w:pPr>
            <w:r>
              <w:rPr>
                <w:color w:val="000000" w:themeColor="text1"/>
                <w:sz w:val="21"/>
                <w:szCs w:val="21"/>
              </w:rPr>
              <w:t>陶瓷过滤机脱水</w:t>
            </w:r>
          </w:p>
        </w:tc>
        <w:tc>
          <w:tcPr>
            <w:tcW w:w="1846" w:type="dxa"/>
            <w:vAlign w:val="center"/>
          </w:tcPr>
          <w:p>
            <w:pPr>
              <w:pStyle w:val="126"/>
              <w:rPr>
                <w:rFonts w:eastAsiaTheme="minorEastAsia"/>
                <w:color w:val="000000" w:themeColor="text1"/>
                <w:lang w:eastAsia="zh-CN"/>
              </w:rPr>
            </w:pPr>
            <w:r>
              <w:rPr>
                <w:rFonts w:eastAsiaTheme="minorEastAsia"/>
                <w:color w:val="000000" w:themeColor="text1"/>
                <w:lang w:eastAsia="zh-CN"/>
              </w:rPr>
              <w:t>进入原有选矿生产线</w:t>
            </w: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779" w:type="dxa"/>
            <w:vMerge w:val="continue"/>
            <w:vAlign w:val="center"/>
          </w:tcPr>
          <w:p>
            <w:pPr>
              <w:pStyle w:val="126"/>
              <w:rPr>
                <w:rFonts w:eastAsiaTheme="minorEastAsia"/>
                <w:color w:val="000000" w:themeColor="text1"/>
                <w:lang w:eastAsia="zh-CN"/>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425" w:type="dxa"/>
            <w:vMerge w:val="continue"/>
            <w:vAlign w:val="center"/>
          </w:tcPr>
          <w:p>
            <w:pPr>
              <w:pStyle w:val="126"/>
              <w:rPr>
                <w:rFonts w:eastAsiaTheme="minorEastAsia"/>
                <w:color w:val="000000" w:themeColor="text1"/>
                <w:lang w:eastAsia="zh-CN"/>
              </w:rPr>
            </w:pPr>
          </w:p>
        </w:tc>
        <w:tc>
          <w:tcPr>
            <w:tcW w:w="924" w:type="dxa"/>
            <w:vMerge w:val="continue"/>
            <w:vAlign w:val="center"/>
          </w:tcPr>
          <w:p>
            <w:pPr>
              <w:pStyle w:val="126"/>
              <w:rPr>
                <w:rFonts w:eastAsiaTheme="minorEastAsia"/>
                <w:color w:val="000000" w:themeColor="text1"/>
                <w:lang w:eastAsia="zh-CN"/>
              </w:rPr>
            </w:pPr>
          </w:p>
        </w:tc>
        <w:tc>
          <w:tcPr>
            <w:tcW w:w="706" w:type="dxa"/>
          </w:tcPr>
          <w:p>
            <w:pPr>
              <w:spacing w:line="240" w:lineRule="auto"/>
              <w:ind w:firstLine="0" w:firstLineChars="0"/>
              <w:jc w:val="center"/>
              <w:rPr>
                <w:color w:val="000000" w:themeColor="text1"/>
                <w:sz w:val="21"/>
                <w:szCs w:val="21"/>
              </w:rPr>
            </w:pPr>
            <w:r>
              <w:rPr>
                <w:rFonts w:hint="eastAsia"/>
                <w:color w:val="000000" w:themeColor="text1"/>
                <w:sz w:val="21"/>
                <w:szCs w:val="21"/>
                <w:lang w:val="en-US" w:eastAsia="zh-CN"/>
              </w:rPr>
              <w:t>尾矿</w:t>
            </w:r>
            <w:r>
              <w:rPr>
                <w:rFonts w:hint="eastAsia"/>
                <w:color w:val="000000" w:themeColor="text1"/>
                <w:sz w:val="21"/>
                <w:szCs w:val="21"/>
              </w:rPr>
              <w:t>废水</w:t>
            </w:r>
          </w:p>
        </w:tc>
        <w:tc>
          <w:tcPr>
            <w:tcW w:w="1846" w:type="dxa"/>
            <w:vAlign w:val="center"/>
          </w:tcPr>
          <w:p>
            <w:pPr>
              <w:pStyle w:val="126"/>
              <w:rPr>
                <w:rFonts w:eastAsiaTheme="minorEastAsia"/>
                <w:color w:val="000000" w:themeColor="text1"/>
                <w:lang w:eastAsia="zh-CN"/>
              </w:rPr>
            </w:pPr>
            <w:r>
              <w:rPr>
                <w:rFonts w:eastAsiaTheme="minorEastAsia"/>
                <w:color w:val="000000" w:themeColor="text1"/>
                <w:lang w:eastAsia="zh-CN"/>
              </w:rPr>
              <w:t>进入</w:t>
            </w:r>
            <w:r>
              <w:rPr>
                <w:rFonts w:hint="eastAsia" w:eastAsiaTheme="minorEastAsia"/>
                <w:color w:val="000000" w:themeColor="text1"/>
                <w:lang w:eastAsia="zh-CN"/>
              </w:rPr>
              <w:t>依托的浓密池</w:t>
            </w: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779" w:type="dxa"/>
            <w:vMerge w:val="continue"/>
            <w:vAlign w:val="center"/>
          </w:tcPr>
          <w:p>
            <w:pPr>
              <w:pStyle w:val="126"/>
              <w:rPr>
                <w:rFonts w:eastAsiaTheme="minorEastAsia"/>
                <w:color w:val="000000" w:themeColor="text1"/>
                <w:lang w:eastAsia="zh-CN"/>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425" w:type="dxa"/>
            <w:vMerge w:val="continue"/>
            <w:vAlign w:val="center"/>
          </w:tcPr>
          <w:p>
            <w:pPr>
              <w:pStyle w:val="126"/>
              <w:rPr>
                <w:rFonts w:eastAsiaTheme="minorEastAsia"/>
                <w:color w:val="000000" w:themeColor="text1"/>
                <w:lang w:eastAsia="zh-CN"/>
              </w:rPr>
            </w:pPr>
          </w:p>
        </w:tc>
        <w:tc>
          <w:tcPr>
            <w:tcW w:w="924" w:type="dxa"/>
            <w:vMerge w:val="continue"/>
            <w:vAlign w:val="center"/>
          </w:tcPr>
          <w:p>
            <w:pPr>
              <w:pStyle w:val="126"/>
              <w:rPr>
                <w:rFonts w:eastAsiaTheme="minorEastAsia"/>
                <w:color w:val="000000" w:themeColor="text1"/>
                <w:lang w:eastAsia="zh-CN"/>
              </w:rPr>
            </w:pPr>
          </w:p>
        </w:tc>
        <w:tc>
          <w:tcPr>
            <w:tcW w:w="706" w:type="dxa"/>
          </w:tcPr>
          <w:p>
            <w:pPr>
              <w:spacing w:line="240" w:lineRule="auto"/>
              <w:ind w:firstLine="0" w:firstLineChars="0"/>
              <w:jc w:val="center"/>
              <w:rPr>
                <w:color w:val="000000" w:themeColor="text1"/>
                <w:sz w:val="21"/>
                <w:szCs w:val="21"/>
              </w:rPr>
            </w:pPr>
            <w:r>
              <w:rPr>
                <w:bCs/>
                <w:color w:val="000000" w:themeColor="text1"/>
                <w:sz w:val="21"/>
                <w:szCs w:val="21"/>
              </w:rPr>
              <w:t>实验及机修</w:t>
            </w:r>
            <w:r>
              <w:rPr>
                <w:rFonts w:hint="eastAsia"/>
                <w:bCs/>
                <w:color w:val="000000" w:themeColor="text1"/>
                <w:sz w:val="21"/>
                <w:szCs w:val="21"/>
              </w:rPr>
              <w:t>废水</w:t>
            </w:r>
          </w:p>
        </w:tc>
        <w:tc>
          <w:tcPr>
            <w:tcW w:w="1846" w:type="dxa"/>
            <w:vAlign w:val="center"/>
          </w:tcPr>
          <w:p>
            <w:pPr>
              <w:pStyle w:val="126"/>
              <w:rPr>
                <w:rFonts w:eastAsiaTheme="minorEastAsia"/>
                <w:color w:val="000000" w:themeColor="text1"/>
                <w:lang w:eastAsia="zh-CN"/>
              </w:rPr>
            </w:pPr>
            <w:r>
              <w:rPr>
                <w:rFonts w:eastAsiaTheme="minorEastAsia"/>
                <w:color w:val="000000" w:themeColor="text1"/>
                <w:lang w:eastAsia="zh-CN"/>
              </w:rPr>
              <w:t>进入尾矿沉淀池</w:t>
            </w: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0</w:t>
            </w:r>
          </w:p>
        </w:tc>
        <w:tc>
          <w:tcPr>
            <w:tcW w:w="779" w:type="dxa"/>
            <w:vMerge w:val="continue"/>
            <w:vAlign w:val="center"/>
          </w:tcPr>
          <w:p>
            <w:pPr>
              <w:pStyle w:val="126"/>
              <w:rPr>
                <w:rFonts w:eastAsiaTheme="minorEastAsia"/>
                <w:color w:val="000000" w:themeColor="text1"/>
                <w:lang w:eastAsia="zh-CN"/>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8" w:hRule="atLeast"/>
          <w:jc w:val="center"/>
        </w:trPr>
        <w:tc>
          <w:tcPr>
            <w:tcW w:w="425" w:type="dxa"/>
            <w:vMerge w:val="continue"/>
            <w:vAlign w:val="center"/>
          </w:tcPr>
          <w:p>
            <w:pPr>
              <w:pStyle w:val="126"/>
              <w:rPr>
                <w:rFonts w:eastAsiaTheme="minorEastAsia"/>
                <w:color w:val="000000" w:themeColor="text1"/>
                <w:lang w:eastAsia="zh-CN"/>
              </w:rPr>
            </w:pPr>
          </w:p>
        </w:tc>
        <w:tc>
          <w:tcPr>
            <w:tcW w:w="924" w:type="dxa"/>
            <w:vMerge w:val="continue"/>
            <w:vAlign w:val="center"/>
          </w:tcPr>
          <w:p>
            <w:pPr>
              <w:pStyle w:val="126"/>
              <w:rPr>
                <w:rFonts w:eastAsiaTheme="minorEastAsia"/>
                <w:color w:val="000000" w:themeColor="text1"/>
                <w:lang w:eastAsia="zh-CN"/>
              </w:rPr>
            </w:pPr>
          </w:p>
        </w:tc>
        <w:tc>
          <w:tcPr>
            <w:tcW w:w="706" w:type="dxa"/>
          </w:tcPr>
          <w:p>
            <w:pPr>
              <w:spacing w:line="240" w:lineRule="auto"/>
              <w:ind w:firstLine="0" w:firstLineChars="0"/>
              <w:jc w:val="center"/>
              <w:rPr>
                <w:color w:val="000000" w:themeColor="text1"/>
                <w:sz w:val="21"/>
                <w:szCs w:val="21"/>
              </w:rPr>
            </w:pPr>
            <w:r>
              <w:rPr>
                <w:color w:val="000000" w:themeColor="text1"/>
                <w:sz w:val="21"/>
                <w:szCs w:val="21"/>
              </w:rPr>
              <w:t>初期雨水</w:t>
            </w:r>
          </w:p>
        </w:tc>
        <w:tc>
          <w:tcPr>
            <w:tcW w:w="1846"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回用于生产</w:t>
            </w: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0</w:t>
            </w:r>
          </w:p>
        </w:tc>
        <w:tc>
          <w:tcPr>
            <w:tcW w:w="779" w:type="dxa"/>
            <w:vMerge w:val="continue"/>
            <w:vAlign w:val="center"/>
          </w:tcPr>
          <w:p>
            <w:pPr>
              <w:pStyle w:val="126"/>
              <w:rPr>
                <w:rFonts w:eastAsiaTheme="minorEastAsia"/>
                <w:color w:val="000000" w:themeColor="text1"/>
                <w:lang w:eastAsia="zh-CN"/>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restart"/>
            <w:vAlign w:val="center"/>
          </w:tcPr>
          <w:p>
            <w:pPr>
              <w:pStyle w:val="126"/>
              <w:rPr>
                <w:rFonts w:eastAsiaTheme="minorEastAsia"/>
                <w:color w:val="000000" w:themeColor="text1"/>
              </w:rPr>
            </w:pPr>
            <w:r>
              <w:rPr>
                <w:rFonts w:eastAsiaTheme="minorEastAsia"/>
                <w:color w:val="000000" w:themeColor="text1"/>
              </w:rPr>
              <w:t>废气</w:t>
            </w:r>
          </w:p>
        </w:tc>
        <w:tc>
          <w:tcPr>
            <w:tcW w:w="924" w:type="dxa"/>
            <w:vAlign w:val="center"/>
          </w:tcPr>
          <w:p>
            <w:pPr>
              <w:pStyle w:val="78"/>
              <w:spacing w:line="240" w:lineRule="auto"/>
              <w:ind w:firstLine="0" w:firstLineChars="0"/>
              <w:jc w:val="center"/>
              <w:rPr>
                <w:bCs/>
                <w:color w:val="000000" w:themeColor="text1"/>
                <w:sz w:val="21"/>
                <w:szCs w:val="21"/>
              </w:rPr>
            </w:pPr>
            <w:r>
              <w:rPr>
                <w:rFonts w:hint="eastAsia"/>
                <w:bCs/>
                <w:color w:val="000000" w:themeColor="text1"/>
                <w:sz w:val="21"/>
                <w:szCs w:val="21"/>
              </w:rPr>
              <w:t>装载机装料（原矿石）粉尘</w:t>
            </w:r>
          </w:p>
        </w:tc>
        <w:tc>
          <w:tcPr>
            <w:tcW w:w="706" w:type="dxa"/>
            <w:vAlign w:val="center"/>
          </w:tcPr>
          <w:p>
            <w:pPr>
              <w:spacing w:line="240" w:lineRule="auto"/>
              <w:ind w:firstLine="0" w:firstLineChars="0"/>
              <w:jc w:val="center"/>
              <w:rPr>
                <w:color w:val="000000" w:themeColor="text1"/>
                <w:sz w:val="21"/>
                <w:szCs w:val="21"/>
              </w:rPr>
            </w:pPr>
            <w:r>
              <w:rPr>
                <w:color w:val="000000" w:themeColor="text1"/>
                <w:sz w:val="21"/>
                <w:szCs w:val="21"/>
              </w:rPr>
              <w:t>颗粒物</w:t>
            </w:r>
          </w:p>
        </w:tc>
        <w:tc>
          <w:tcPr>
            <w:tcW w:w="1846" w:type="dxa"/>
            <w:vAlign w:val="center"/>
          </w:tcPr>
          <w:p>
            <w:pPr>
              <w:pStyle w:val="126"/>
              <w:rPr>
                <w:rFonts w:eastAsiaTheme="minorEastAsia"/>
                <w:color w:val="000000" w:themeColor="text1"/>
                <w:kern w:val="24"/>
                <w:lang w:eastAsia="zh-CN"/>
              </w:rPr>
            </w:pPr>
            <w:r>
              <w:rPr>
                <w:rFonts w:hint="eastAsia" w:eastAsia="宋体"/>
                <w:bCs/>
                <w:color w:val="000000" w:themeColor="text1"/>
                <w:lang w:eastAsia="zh-CN"/>
              </w:rPr>
              <w:t>在装料处设置喷淋设施</w:t>
            </w:r>
          </w:p>
        </w:tc>
        <w:tc>
          <w:tcPr>
            <w:tcW w:w="750" w:type="dxa"/>
            <w:vAlign w:val="center"/>
          </w:tcPr>
          <w:p>
            <w:pPr>
              <w:pStyle w:val="126"/>
              <w:rPr>
                <w:rFonts w:eastAsia="宋体"/>
                <w:bCs/>
                <w:color w:val="000000" w:themeColor="text1"/>
                <w:lang w:eastAsia="zh-CN"/>
              </w:rPr>
            </w:pPr>
            <w:r>
              <w:rPr>
                <w:rFonts w:hint="eastAsia" w:eastAsia="宋体"/>
                <w:bCs/>
                <w:color w:val="000000" w:themeColor="text1"/>
                <w:lang w:eastAsia="zh-CN"/>
              </w:rPr>
              <w:t>/</w:t>
            </w:r>
          </w:p>
        </w:tc>
        <w:tc>
          <w:tcPr>
            <w:tcW w:w="825" w:type="dxa"/>
            <w:vAlign w:val="center"/>
          </w:tcPr>
          <w:p>
            <w:pPr>
              <w:widowControl/>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0.21</w:t>
            </w:r>
          </w:p>
        </w:tc>
        <w:tc>
          <w:tcPr>
            <w:tcW w:w="779" w:type="dxa"/>
            <w:vMerge w:val="restart"/>
            <w:vAlign w:val="center"/>
          </w:tcPr>
          <w:p>
            <w:pPr>
              <w:widowControl/>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无组织排放</w:t>
            </w:r>
          </w:p>
        </w:tc>
        <w:tc>
          <w:tcPr>
            <w:tcW w:w="1484"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达到《铁矿采选工业污染物排放标准》（GB28661-2012）表7要求</w:t>
            </w:r>
          </w:p>
        </w:tc>
        <w:tc>
          <w:tcPr>
            <w:tcW w:w="780" w:type="dxa"/>
            <w:vMerge w:val="restart"/>
            <w:vAlign w:val="center"/>
          </w:tcPr>
          <w:p>
            <w:pPr>
              <w:pStyle w:val="126"/>
              <w:rPr>
                <w:rFonts w:eastAsiaTheme="minorEastAsia"/>
                <w:color w:val="000000" w:themeColor="text1"/>
                <w:lang w:eastAsia="zh-CN"/>
              </w:rPr>
            </w:pPr>
            <w:r>
              <w:rPr>
                <w:rFonts w:hint="eastAsia" w:eastAsiaTheme="minorEastAsia"/>
                <w:color w:val="000000" w:themeColor="text1"/>
                <w:lang w:eastAsia="zh-CN"/>
              </w:rPr>
              <w:t>不设排污口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continue"/>
            <w:vAlign w:val="center"/>
          </w:tcPr>
          <w:p>
            <w:pPr>
              <w:pStyle w:val="126"/>
              <w:rPr>
                <w:rFonts w:eastAsiaTheme="minorEastAsia"/>
                <w:color w:val="000000" w:themeColor="text1"/>
              </w:rPr>
            </w:pPr>
          </w:p>
        </w:tc>
        <w:tc>
          <w:tcPr>
            <w:tcW w:w="924" w:type="dxa"/>
            <w:vAlign w:val="center"/>
          </w:tcPr>
          <w:p>
            <w:pPr>
              <w:pStyle w:val="126"/>
              <w:rPr>
                <w:rFonts w:eastAsiaTheme="minorEastAsia"/>
                <w:color w:val="000000" w:themeColor="text1"/>
                <w:lang w:eastAsia="zh-CN"/>
              </w:rPr>
            </w:pPr>
            <w:r>
              <w:rPr>
                <w:rFonts w:eastAsiaTheme="minorEastAsia"/>
                <w:color w:val="000000" w:themeColor="text1"/>
                <w:lang w:eastAsia="zh-CN"/>
              </w:rPr>
              <w:t>给料粉尘</w:t>
            </w:r>
          </w:p>
        </w:tc>
        <w:tc>
          <w:tcPr>
            <w:tcW w:w="706"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846" w:type="dxa"/>
            <w:vAlign w:val="center"/>
          </w:tcPr>
          <w:p>
            <w:pPr>
              <w:pStyle w:val="126"/>
              <w:rPr>
                <w:rFonts w:eastAsiaTheme="minorEastAsia"/>
                <w:color w:val="000000" w:themeColor="text1"/>
                <w:lang w:eastAsia="zh-CN"/>
              </w:rPr>
            </w:pPr>
            <w:r>
              <w:rPr>
                <w:rFonts w:eastAsiaTheme="minorEastAsia"/>
                <w:color w:val="000000" w:themeColor="text1"/>
                <w:kern w:val="24"/>
                <w:lang w:eastAsia="zh-CN"/>
              </w:rPr>
              <w:t>给料口</w:t>
            </w:r>
            <w:r>
              <w:rPr>
                <w:rFonts w:eastAsiaTheme="minorEastAsia"/>
                <w:bCs/>
                <w:color w:val="000000" w:themeColor="text1"/>
                <w:lang w:eastAsia="zh-CN"/>
              </w:rPr>
              <w:t>喷淋降尘，给料口除上部给料处，四周围挡</w:t>
            </w:r>
          </w:p>
        </w:tc>
        <w:tc>
          <w:tcPr>
            <w:tcW w:w="750" w:type="dxa"/>
            <w:vAlign w:val="center"/>
          </w:tcPr>
          <w:p>
            <w:pPr>
              <w:pStyle w:val="126"/>
              <w:rPr>
                <w:rFonts w:eastAsiaTheme="minorEastAsia"/>
                <w:color w:val="000000" w:themeColor="text1"/>
                <w:kern w:val="24"/>
                <w:lang w:eastAsia="zh-CN"/>
              </w:rPr>
            </w:pPr>
            <w:r>
              <w:rPr>
                <w:rFonts w:hint="eastAsia" w:eastAsiaTheme="minorEastAsia"/>
                <w:color w:val="000000" w:themeColor="text1"/>
                <w:kern w:val="24"/>
                <w:lang w:eastAsia="zh-CN"/>
              </w:rPr>
              <w:t>/</w:t>
            </w:r>
          </w:p>
        </w:tc>
        <w:tc>
          <w:tcPr>
            <w:tcW w:w="825"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bCs/>
                <w:color w:val="000000" w:themeColor="text1"/>
                <w:sz w:val="21"/>
                <w:szCs w:val="21"/>
              </w:rPr>
              <w:t>0.225</w:t>
            </w:r>
          </w:p>
        </w:tc>
        <w:tc>
          <w:tcPr>
            <w:tcW w:w="779" w:type="dxa"/>
            <w:vMerge w:val="continue"/>
            <w:vAlign w:val="center"/>
          </w:tcPr>
          <w:p>
            <w:pPr>
              <w:widowControl/>
              <w:spacing w:line="240" w:lineRule="auto"/>
              <w:ind w:firstLine="0" w:firstLineChars="0"/>
              <w:jc w:val="center"/>
              <w:rPr>
                <w:rFonts w:eastAsiaTheme="minorEastAsia"/>
                <w:bCs/>
                <w:color w:val="000000" w:themeColor="text1"/>
                <w:sz w:val="21"/>
                <w:szCs w:val="21"/>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continue"/>
            <w:vAlign w:val="center"/>
          </w:tcPr>
          <w:p>
            <w:pPr>
              <w:pStyle w:val="126"/>
              <w:rPr>
                <w:rFonts w:eastAsiaTheme="minorEastAsia"/>
                <w:color w:val="000000" w:themeColor="text1"/>
              </w:rPr>
            </w:pPr>
          </w:p>
        </w:tc>
        <w:tc>
          <w:tcPr>
            <w:tcW w:w="924" w:type="dxa"/>
            <w:vAlign w:val="center"/>
          </w:tcPr>
          <w:p>
            <w:pPr>
              <w:pStyle w:val="126"/>
              <w:rPr>
                <w:rFonts w:eastAsiaTheme="minorEastAsia"/>
                <w:color w:val="000000" w:themeColor="text1"/>
                <w:lang w:eastAsia="zh-CN"/>
              </w:rPr>
            </w:pPr>
            <w:r>
              <w:rPr>
                <w:rFonts w:eastAsiaTheme="minorEastAsia"/>
                <w:color w:val="000000" w:themeColor="text1"/>
                <w:lang w:eastAsia="zh-CN"/>
              </w:rPr>
              <w:t>物料堆场扬尘</w:t>
            </w:r>
          </w:p>
        </w:tc>
        <w:tc>
          <w:tcPr>
            <w:tcW w:w="706"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846" w:type="dxa"/>
            <w:vAlign w:val="center"/>
          </w:tcPr>
          <w:p>
            <w:pPr>
              <w:pStyle w:val="126"/>
              <w:rPr>
                <w:rFonts w:eastAsiaTheme="minorEastAsia"/>
                <w:color w:val="000000" w:themeColor="text1"/>
                <w:lang w:eastAsia="zh-CN"/>
              </w:rPr>
            </w:pPr>
            <w:r>
              <w:rPr>
                <w:rFonts w:eastAsiaTheme="minorEastAsia"/>
                <w:color w:val="000000" w:themeColor="text1"/>
                <w:kern w:val="24"/>
                <w:lang w:eastAsia="zh-CN"/>
              </w:rPr>
              <w:t>原矿石、公分石和瓜子石堆场设置堆棚形式，三面围挡+遮雨棚；低品位原矿堆场、机制砂堆场</w:t>
            </w:r>
            <w:r>
              <w:rPr>
                <w:rFonts w:hint="eastAsia" w:eastAsiaTheme="minorEastAsia"/>
                <w:color w:val="000000" w:themeColor="text1"/>
                <w:kern w:val="24"/>
                <w:lang w:eastAsia="zh-CN"/>
              </w:rPr>
              <w:t>、产品精矿堆场</w:t>
            </w:r>
            <w:r>
              <w:rPr>
                <w:rFonts w:eastAsiaTheme="minorEastAsia"/>
                <w:color w:val="000000" w:themeColor="text1"/>
                <w:kern w:val="24"/>
                <w:lang w:eastAsia="zh-CN"/>
              </w:rPr>
              <w:t>设置堆棚形式，三面围挡+遮雨棚，堆棚设置喷淋装置</w:t>
            </w:r>
          </w:p>
        </w:tc>
        <w:tc>
          <w:tcPr>
            <w:tcW w:w="750" w:type="dxa"/>
            <w:vAlign w:val="center"/>
          </w:tcPr>
          <w:p>
            <w:pPr>
              <w:pStyle w:val="126"/>
              <w:rPr>
                <w:rFonts w:eastAsiaTheme="minorEastAsia"/>
                <w:color w:val="000000" w:themeColor="text1"/>
                <w:kern w:val="24"/>
                <w:lang w:eastAsia="zh-CN"/>
              </w:rPr>
            </w:pPr>
            <w:r>
              <w:rPr>
                <w:rFonts w:hint="eastAsia" w:eastAsiaTheme="minorEastAsia"/>
                <w:color w:val="000000" w:themeColor="text1"/>
                <w:kern w:val="24"/>
                <w:lang w:eastAsia="zh-CN"/>
              </w:rPr>
              <w:t>/</w:t>
            </w:r>
          </w:p>
        </w:tc>
        <w:tc>
          <w:tcPr>
            <w:tcW w:w="825"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color w:val="000000" w:themeColor="text1"/>
                <w:sz w:val="21"/>
                <w:szCs w:val="21"/>
              </w:rPr>
              <w:t>0.532</w:t>
            </w:r>
          </w:p>
        </w:tc>
        <w:tc>
          <w:tcPr>
            <w:tcW w:w="779" w:type="dxa"/>
            <w:vMerge w:val="continue"/>
            <w:vAlign w:val="center"/>
          </w:tcPr>
          <w:p>
            <w:pPr>
              <w:widowControl/>
              <w:spacing w:line="240" w:lineRule="auto"/>
              <w:ind w:firstLine="0" w:firstLineChars="0"/>
              <w:jc w:val="center"/>
              <w:rPr>
                <w:color w:val="000000" w:themeColor="text1"/>
                <w:sz w:val="21"/>
                <w:szCs w:val="21"/>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continue"/>
            <w:vAlign w:val="center"/>
          </w:tcPr>
          <w:p>
            <w:pPr>
              <w:pStyle w:val="126"/>
              <w:rPr>
                <w:rFonts w:eastAsiaTheme="minorEastAsia"/>
                <w:color w:val="000000" w:themeColor="text1"/>
              </w:rPr>
            </w:pPr>
          </w:p>
        </w:tc>
        <w:tc>
          <w:tcPr>
            <w:tcW w:w="924" w:type="dxa"/>
            <w:vAlign w:val="center"/>
          </w:tcPr>
          <w:p>
            <w:pPr>
              <w:pStyle w:val="126"/>
              <w:rPr>
                <w:rFonts w:eastAsiaTheme="minorEastAsia"/>
                <w:color w:val="000000" w:themeColor="text1"/>
                <w:lang w:eastAsia="zh-CN"/>
              </w:rPr>
            </w:pPr>
            <w:r>
              <w:rPr>
                <w:rFonts w:eastAsiaTheme="minorEastAsia"/>
                <w:color w:val="000000" w:themeColor="text1"/>
              </w:rPr>
              <w:t>运输</w:t>
            </w:r>
            <w:r>
              <w:rPr>
                <w:rFonts w:eastAsiaTheme="minorEastAsia"/>
                <w:color w:val="000000" w:themeColor="text1"/>
                <w:lang w:eastAsia="zh-CN"/>
              </w:rPr>
              <w:t>扬尘</w:t>
            </w:r>
          </w:p>
        </w:tc>
        <w:tc>
          <w:tcPr>
            <w:tcW w:w="706"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846" w:type="dxa"/>
            <w:vAlign w:val="center"/>
          </w:tcPr>
          <w:p>
            <w:pPr>
              <w:pStyle w:val="126"/>
              <w:rPr>
                <w:rFonts w:eastAsiaTheme="minorEastAsia"/>
                <w:color w:val="000000" w:themeColor="text1"/>
                <w:lang w:eastAsia="zh-CN"/>
              </w:rPr>
            </w:pPr>
            <w:r>
              <w:rPr>
                <w:rFonts w:hint="eastAsia" w:eastAsiaTheme="minorEastAsia"/>
                <w:color w:val="000000" w:themeColor="text1"/>
                <w:kern w:val="24"/>
                <w:lang w:eastAsia="zh-CN"/>
              </w:rPr>
              <w:t>硬化场地、</w:t>
            </w:r>
            <w:r>
              <w:rPr>
                <w:rFonts w:eastAsiaTheme="minorEastAsia"/>
                <w:color w:val="000000" w:themeColor="text1"/>
                <w:kern w:val="24"/>
                <w:lang w:eastAsia="zh-CN"/>
              </w:rPr>
              <w:t>输送皮带均为密闭式，落料处降低落料高度，运输道路定期洒水降尘</w:t>
            </w:r>
          </w:p>
        </w:tc>
        <w:tc>
          <w:tcPr>
            <w:tcW w:w="750" w:type="dxa"/>
            <w:vAlign w:val="center"/>
          </w:tcPr>
          <w:p>
            <w:pPr>
              <w:pStyle w:val="126"/>
              <w:rPr>
                <w:rFonts w:eastAsiaTheme="minorEastAsia"/>
                <w:color w:val="000000" w:themeColor="text1"/>
                <w:kern w:val="24"/>
                <w:lang w:eastAsia="zh-CN"/>
              </w:rPr>
            </w:pPr>
            <w:r>
              <w:rPr>
                <w:rFonts w:hint="eastAsia" w:eastAsiaTheme="minorEastAsia"/>
                <w:color w:val="000000" w:themeColor="text1"/>
                <w:kern w:val="24"/>
                <w:lang w:eastAsia="zh-CN"/>
              </w:rPr>
              <w:t>/</w:t>
            </w:r>
          </w:p>
        </w:tc>
        <w:tc>
          <w:tcPr>
            <w:tcW w:w="825"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0.256</w:t>
            </w:r>
          </w:p>
        </w:tc>
        <w:tc>
          <w:tcPr>
            <w:tcW w:w="779" w:type="dxa"/>
            <w:vMerge w:val="continue"/>
            <w:vAlign w:val="center"/>
          </w:tcPr>
          <w:p>
            <w:pPr>
              <w:widowControl/>
              <w:spacing w:line="240" w:lineRule="auto"/>
              <w:ind w:firstLine="0" w:firstLineChars="0"/>
              <w:jc w:val="center"/>
              <w:rPr>
                <w:rFonts w:eastAsiaTheme="minorEastAsia"/>
                <w:color w:val="000000" w:themeColor="text1"/>
                <w:kern w:val="0"/>
                <w:sz w:val="21"/>
                <w:szCs w:val="21"/>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continue"/>
            <w:vAlign w:val="center"/>
          </w:tcPr>
          <w:p>
            <w:pPr>
              <w:pStyle w:val="126"/>
              <w:rPr>
                <w:rFonts w:eastAsiaTheme="minorEastAsia"/>
                <w:color w:val="000000" w:themeColor="text1"/>
              </w:rPr>
            </w:pPr>
          </w:p>
        </w:tc>
        <w:tc>
          <w:tcPr>
            <w:tcW w:w="924" w:type="dxa"/>
            <w:vAlign w:val="center"/>
          </w:tcPr>
          <w:p>
            <w:pPr>
              <w:pStyle w:val="126"/>
              <w:rPr>
                <w:rFonts w:eastAsiaTheme="minorEastAsia"/>
                <w:color w:val="000000" w:themeColor="text1"/>
                <w:lang w:eastAsia="zh-CN"/>
              </w:rPr>
            </w:pPr>
            <w:r>
              <w:rPr>
                <w:rFonts w:eastAsiaTheme="minorEastAsia"/>
                <w:color w:val="000000" w:themeColor="text1"/>
                <w:lang w:eastAsia="zh-CN"/>
              </w:rPr>
              <w:t>原料卸载粉尘</w:t>
            </w:r>
          </w:p>
        </w:tc>
        <w:tc>
          <w:tcPr>
            <w:tcW w:w="706"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846" w:type="dxa"/>
            <w:vAlign w:val="center"/>
          </w:tcPr>
          <w:p>
            <w:pPr>
              <w:pStyle w:val="126"/>
              <w:rPr>
                <w:rFonts w:eastAsiaTheme="minorEastAsia"/>
                <w:color w:val="000000" w:themeColor="text1"/>
                <w:lang w:eastAsia="zh-CN"/>
              </w:rPr>
            </w:pPr>
            <w:r>
              <w:rPr>
                <w:rFonts w:eastAsiaTheme="minorEastAsia"/>
                <w:color w:val="000000" w:themeColor="text1"/>
                <w:kern w:val="24"/>
                <w:lang w:eastAsia="zh-CN"/>
              </w:rPr>
              <w:t>原料装卸采用雾炮喷雾降尘</w:t>
            </w:r>
          </w:p>
        </w:tc>
        <w:tc>
          <w:tcPr>
            <w:tcW w:w="750" w:type="dxa"/>
            <w:vAlign w:val="center"/>
          </w:tcPr>
          <w:p>
            <w:pPr>
              <w:pStyle w:val="126"/>
              <w:rPr>
                <w:rFonts w:eastAsiaTheme="minorEastAsia"/>
                <w:color w:val="000000" w:themeColor="text1"/>
                <w:kern w:val="24"/>
                <w:lang w:eastAsia="zh-CN"/>
              </w:rPr>
            </w:pPr>
            <w:r>
              <w:rPr>
                <w:rFonts w:hint="eastAsia" w:eastAsiaTheme="minorEastAsia"/>
                <w:color w:val="000000" w:themeColor="text1"/>
                <w:kern w:val="24"/>
                <w:lang w:eastAsia="zh-CN"/>
              </w:rPr>
              <w:t>/</w:t>
            </w:r>
          </w:p>
        </w:tc>
        <w:tc>
          <w:tcPr>
            <w:tcW w:w="825"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sz w:val="21"/>
                <w:szCs w:val="21"/>
              </w:rPr>
              <w:t>0.153</w:t>
            </w:r>
          </w:p>
        </w:tc>
        <w:tc>
          <w:tcPr>
            <w:tcW w:w="779" w:type="dxa"/>
            <w:vMerge w:val="continue"/>
            <w:vAlign w:val="center"/>
          </w:tcPr>
          <w:p>
            <w:pPr>
              <w:widowControl/>
              <w:spacing w:line="240" w:lineRule="auto"/>
              <w:ind w:firstLine="0" w:firstLineChars="0"/>
              <w:jc w:val="center"/>
              <w:rPr>
                <w:rFonts w:eastAsiaTheme="minorEastAsia"/>
                <w:color w:val="000000" w:themeColor="text1"/>
                <w:sz w:val="21"/>
                <w:szCs w:val="21"/>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continue"/>
            <w:vAlign w:val="center"/>
          </w:tcPr>
          <w:p>
            <w:pPr>
              <w:pStyle w:val="126"/>
              <w:rPr>
                <w:rFonts w:eastAsiaTheme="minorEastAsia"/>
                <w:color w:val="000000" w:themeColor="text1"/>
              </w:rPr>
            </w:pPr>
          </w:p>
        </w:tc>
        <w:tc>
          <w:tcPr>
            <w:tcW w:w="924" w:type="dxa"/>
            <w:vAlign w:val="center"/>
          </w:tcPr>
          <w:p>
            <w:pPr>
              <w:kinsoku w:val="0"/>
              <w:overflowPunct w:val="0"/>
              <w:autoSpaceDE w:val="0"/>
              <w:spacing w:line="240" w:lineRule="auto"/>
              <w:ind w:firstLine="0" w:firstLineChars="0"/>
              <w:rPr>
                <w:rFonts w:eastAsiaTheme="minorEastAsia"/>
                <w:color w:val="000000" w:themeColor="text1"/>
                <w:sz w:val="21"/>
                <w:szCs w:val="21"/>
              </w:rPr>
            </w:pPr>
            <w:r>
              <w:rPr>
                <w:color w:val="000000" w:themeColor="text1"/>
                <w:sz w:val="21"/>
                <w:szCs w:val="21"/>
              </w:rPr>
              <w:t>成品</w:t>
            </w:r>
            <w:r>
              <w:rPr>
                <w:rFonts w:hint="eastAsia"/>
                <w:color w:val="000000" w:themeColor="text1"/>
                <w:sz w:val="21"/>
                <w:szCs w:val="21"/>
              </w:rPr>
              <w:t>及副产品</w:t>
            </w:r>
            <w:r>
              <w:rPr>
                <w:color w:val="000000" w:themeColor="text1"/>
                <w:sz w:val="21"/>
                <w:szCs w:val="21"/>
              </w:rPr>
              <w:t>装载粉尘</w:t>
            </w:r>
          </w:p>
        </w:tc>
        <w:tc>
          <w:tcPr>
            <w:tcW w:w="706"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846" w:type="dxa"/>
            <w:vAlign w:val="center"/>
          </w:tcPr>
          <w:p>
            <w:pPr>
              <w:pStyle w:val="126"/>
              <w:rPr>
                <w:rFonts w:eastAsiaTheme="minorEastAsia"/>
                <w:color w:val="000000" w:themeColor="text1"/>
                <w:lang w:eastAsia="zh-CN"/>
              </w:rPr>
            </w:pPr>
            <w:r>
              <w:rPr>
                <w:rFonts w:eastAsiaTheme="minorEastAsia"/>
                <w:color w:val="000000" w:themeColor="text1"/>
                <w:kern w:val="24"/>
                <w:lang w:eastAsia="zh-CN"/>
              </w:rPr>
              <w:t>原料装卸采用雾炮喷雾降尘</w:t>
            </w:r>
          </w:p>
        </w:tc>
        <w:tc>
          <w:tcPr>
            <w:tcW w:w="750" w:type="dxa"/>
            <w:vAlign w:val="center"/>
          </w:tcPr>
          <w:p>
            <w:pPr>
              <w:pStyle w:val="126"/>
              <w:rPr>
                <w:rFonts w:eastAsiaTheme="minorEastAsia"/>
                <w:color w:val="000000" w:themeColor="text1"/>
                <w:kern w:val="24"/>
                <w:lang w:eastAsia="zh-CN"/>
              </w:rPr>
            </w:pPr>
            <w:r>
              <w:rPr>
                <w:rFonts w:hint="eastAsia" w:eastAsiaTheme="minorEastAsia"/>
                <w:color w:val="000000" w:themeColor="text1"/>
                <w:kern w:val="24"/>
                <w:lang w:eastAsia="zh-CN"/>
              </w:rPr>
              <w:t>/</w:t>
            </w:r>
          </w:p>
        </w:tc>
        <w:tc>
          <w:tcPr>
            <w:tcW w:w="825"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kern w:val="0"/>
                <w:sz w:val="21"/>
                <w:szCs w:val="21"/>
              </w:rPr>
              <w:t>0.255</w:t>
            </w:r>
          </w:p>
        </w:tc>
        <w:tc>
          <w:tcPr>
            <w:tcW w:w="779" w:type="dxa"/>
            <w:vMerge w:val="continue"/>
            <w:vAlign w:val="center"/>
          </w:tcPr>
          <w:p>
            <w:pPr>
              <w:widowControl/>
              <w:spacing w:line="240" w:lineRule="auto"/>
              <w:ind w:firstLine="0" w:firstLineChars="0"/>
              <w:jc w:val="center"/>
              <w:rPr>
                <w:rFonts w:eastAsiaTheme="minorEastAsia"/>
                <w:color w:val="000000" w:themeColor="text1"/>
                <w:kern w:val="0"/>
                <w:sz w:val="21"/>
                <w:szCs w:val="21"/>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continue"/>
            <w:vAlign w:val="center"/>
          </w:tcPr>
          <w:p>
            <w:pPr>
              <w:pStyle w:val="126"/>
              <w:rPr>
                <w:rFonts w:eastAsiaTheme="minorEastAsia"/>
                <w:color w:val="000000" w:themeColor="text1"/>
              </w:rPr>
            </w:pPr>
          </w:p>
        </w:tc>
        <w:tc>
          <w:tcPr>
            <w:tcW w:w="924" w:type="dxa"/>
            <w:vAlign w:val="center"/>
          </w:tcPr>
          <w:p>
            <w:pPr>
              <w:kinsoku w:val="0"/>
              <w:overflowPunct w:val="0"/>
              <w:autoSpaceDE w:val="0"/>
              <w:spacing w:line="240" w:lineRule="auto"/>
              <w:ind w:firstLine="0" w:firstLineChars="0"/>
              <w:rPr>
                <w:color w:val="000000" w:themeColor="text1"/>
                <w:sz w:val="21"/>
                <w:szCs w:val="21"/>
              </w:rPr>
            </w:pPr>
            <w:r>
              <w:rPr>
                <w:rFonts w:hint="eastAsia"/>
                <w:color w:val="000000" w:themeColor="text1"/>
                <w:sz w:val="21"/>
                <w:szCs w:val="21"/>
              </w:rPr>
              <w:t>未收集粉尘</w:t>
            </w:r>
          </w:p>
        </w:tc>
        <w:tc>
          <w:tcPr>
            <w:tcW w:w="706"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846" w:type="dxa"/>
            <w:vAlign w:val="center"/>
          </w:tcPr>
          <w:p>
            <w:pPr>
              <w:pStyle w:val="126"/>
              <w:rPr>
                <w:rFonts w:eastAsiaTheme="minorEastAsia"/>
                <w:color w:val="000000" w:themeColor="text1"/>
                <w:kern w:val="24"/>
                <w:lang w:eastAsia="zh-CN"/>
              </w:rPr>
            </w:pPr>
            <w:r>
              <w:rPr>
                <w:rFonts w:hint="eastAsia" w:eastAsiaTheme="minorEastAsia"/>
                <w:color w:val="000000" w:themeColor="text1"/>
                <w:kern w:val="24"/>
                <w:lang w:eastAsia="zh-CN"/>
              </w:rPr>
              <w:t>/</w:t>
            </w:r>
          </w:p>
        </w:tc>
        <w:tc>
          <w:tcPr>
            <w:tcW w:w="750" w:type="dxa"/>
            <w:vAlign w:val="center"/>
          </w:tcPr>
          <w:p>
            <w:pPr>
              <w:pStyle w:val="126"/>
              <w:rPr>
                <w:rFonts w:eastAsiaTheme="minorEastAsia"/>
                <w:color w:val="000000" w:themeColor="text1"/>
                <w:kern w:val="24"/>
                <w:lang w:eastAsia="zh-CN"/>
              </w:rPr>
            </w:pPr>
            <w:r>
              <w:rPr>
                <w:rFonts w:hint="eastAsia" w:eastAsiaTheme="minorEastAsia"/>
                <w:color w:val="000000" w:themeColor="text1"/>
                <w:kern w:val="24"/>
                <w:lang w:eastAsia="zh-CN"/>
              </w:rPr>
              <w:t>/</w:t>
            </w:r>
          </w:p>
        </w:tc>
        <w:tc>
          <w:tcPr>
            <w:tcW w:w="825" w:type="dxa"/>
            <w:vAlign w:val="center"/>
          </w:tcPr>
          <w:p>
            <w:pPr>
              <w:widowControl/>
              <w:spacing w:line="240" w:lineRule="auto"/>
              <w:ind w:firstLine="0" w:firstLineChars="0"/>
              <w:jc w:val="center"/>
              <w:rPr>
                <w:color w:val="000000" w:themeColor="text1"/>
                <w:sz w:val="21"/>
                <w:szCs w:val="21"/>
              </w:rPr>
            </w:pPr>
            <w:r>
              <w:rPr>
                <w:rFonts w:hint="eastAsia"/>
                <w:color w:val="000000" w:themeColor="text1"/>
                <w:sz w:val="21"/>
                <w:szCs w:val="21"/>
              </w:rPr>
              <w:t>11.89</w:t>
            </w:r>
          </w:p>
        </w:tc>
        <w:tc>
          <w:tcPr>
            <w:tcW w:w="779" w:type="dxa"/>
            <w:vMerge w:val="continue"/>
            <w:vAlign w:val="center"/>
          </w:tcPr>
          <w:p>
            <w:pPr>
              <w:widowControl/>
              <w:spacing w:line="240" w:lineRule="auto"/>
              <w:ind w:firstLine="0" w:firstLineChars="0"/>
              <w:jc w:val="center"/>
              <w:rPr>
                <w:color w:val="000000" w:themeColor="text1"/>
                <w:sz w:val="21"/>
                <w:szCs w:val="21"/>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425" w:type="dxa"/>
            <w:vMerge w:val="continue"/>
            <w:vAlign w:val="center"/>
          </w:tcPr>
          <w:p>
            <w:pPr>
              <w:pStyle w:val="126"/>
              <w:rPr>
                <w:rFonts w:eastAsiaTheme="minorEastAsia"/>
                <w:color w:val="000000" w:themeColor="text1"/>
              </w:rPr>
            </w:pPr>
          </w:p>
        </w:tc>
        <w:tc>
          <w:tcPr>
            <w:tcW w:w="924" w:type="dxa"/>
            <w:vAlign w:val="center"/>
          </w:tcPr>
          <w:p>
            <w:pPr>
              <w:pStyle w:val="126"/>
              <w:rPr>
                <w:rFonts w:eastAsiaTheme="minorEastAsia"/>
                <w:color w:val="000000" w:themeColor="text1"/>
                <w:lang w:eastAsia="zh-CN"/>
              </w:rPr>
            </w:pPr>
            <w:r>
              <w:rPr>
                <w:rFonts w:eastAsiaTheme="minorEastAsia"/>
                <w:color w:val="000000" w:themeColor="text1"/>
                <w:lang w:eastAsia="zh-CN"/>
              </w:rPr>
              <w:t>废气量</w:t>
            </w:r>
          </w:p>
        </w:tc>
        <w:tc>
          <w:tcPr>
            <w:tcW w:w="706" w:type="dxa"/>
            <w:vAlign w:val="center"/>
          </w:tcPr>
          <w:p>
            <w:pPr>
              <w:pStyle w:val="126"/>
              <w:rPr>
                <w:rFonts w:eastAsiaTheme="minorEastAsia"/>
                <w:color w:val="000000" w:themeColor="text1"/>
                <w:lang w:eastAsia="zh-CN"/>
              </w:rPr>
            </w:pPr>
            <w:r>
              <w:rPr>
                <w:rFonts w:eastAsiaTheme="minorEastAsia"/>
                <w:color w:val="000000" w:themeColor="text1"/>
                <w:lang w:eastAsia="zh-CN"/>
              </w:rPr>
              <w:t>气量</w:t>
            </w:r>
          </w:p>
        </w:tc>
        <w:tc>
          <w:tcPr>
            <w:tcW w:w="1846" w:type="dxa"/>
            <w:vAlign w:val="center"/>
          </w:tcPr>
          <w:p>
            <w:pPr>
              <w:pStyle w:val="126"/>
              <w:rPr>
                <w:rFonts w:eastAsiaTheme="minorEastAsia"/>
                <w:color w:val="000000" w:themeColor="text1"/>
                <w:lang w:eastAsia="zh-CN"/>
              </w:rPr>
            </w:pPr>
            <w:r>
              <w:rPr>
                <w:rFonts w:eastAsiaTheme="minorEastAsia"/>
                <w:color w:val="000000" w:themeColor="text1"/>
                <w:lang w:eastAsia="zh-CN"/>
              </w:rPr>
              <w:t>/</w:t>
            </w: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widowControl/>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25200万m</w:t>
            </w:r>
            <w:r>
              <w:rPr>
                <w:rFonts w:hint="eastAsia" w:eastAsiaTheme="minorEastAsia"/>
                <w:bCs/>
                <w:color w:val="000000" w:themeColor="text1"/>
                <w:sz w:val="21"/>
                <w:szCs w:val="21"/>
                <w:vertAlign w:val="superscript"/>
              </w:rPr>
              <w:t>3</w:t>
            </w:r>
            <w:r>
              <w:rPr>
                <w:rFonts w:hint="eastAsia" w:eastAsiaTheme="minorEastAsia"/>
                <w:bCs/>
                <w:color w:val="000000" w:themeColor="text1"/>
                <w:sz w:val="21"/>
                <w:szCs w:val="21"/>
              </w:rPr>
              <w:t>/a</w:t>
            </w:r>
          </w:p>
        </w:tc>
        <w:tc>
          <w:tcPr>
            <w:tcW w:w="779" w:type="dxa"/>
            <w:vMerge w:val="restart"/>
            <w:vAlign w:val="center"/>
          </w:tcPr>
          <w:p>
            <w:pPr>
              <w:widowControl/>
              <w:spacing w:line="240" w:lineRule="auto"/>
              <w:ind w:firstLine="0" w:firstLineChars="0"/>
              <w:jc w:val="center"/>
              <w:rPr>
                <w:rFonts w:eastAsiaTheme="minorEastAsia"/>
                <w:bCs/>
                <w:color w:val="000000" w:themeColor="text1"/>
                <w:sz w:val="21"/>
                <w:szCs w:val="21"/>
              </w:rPr>
            </w:pPr>
            <w:r>
              <w:rPr>
                <w:rFonts w:hint="eastAsia" w:eastAsiaTheme="minorEastAsia"/>
                <w:bCs/>
                <w:color w:val="000000" w:themeColor="text1"/>
                <w:sz w:val="21"/>
                <w:szCs w:val="21"/>
              </w:rPr>
              <w:t>有组织排放</w:t>
            </w:r>
          </w:p>
        </w:tc>
        <w:tc>
          <w:tcPr>
            <w:tcW w:w="1484" w:type="dxa"/>
            <w:vAlign w:val="center"/>
          </w:tcPr>
          <w:p>
            <w:pPr>
              <w:pStyle w:val="126"/>
              <w:rPr>
                <w:rFonts w:eastAsiaTheme="minorEastAsia"/>
                <w:color w:val="000000" w:themeColor="text1"/>
                <w:lang w:eastAsia="zh-CN"/>
              </w:rPr>
            </w:pPr>
            <w:r>
              <w:rPr>
                <w:rFonts w:eastAsiaTheme="minorEastAsia"/>
                <w:color w:val="000000" w:themeColor="text1"/>
                <w:lang w:eastAsia="zh-CN"/>
              </w:rPr>
              <w:t>/</w:t>
            </w:r>
          </w:p>
        </w:tc>
        <w:tc>
          <w:tcPr>
            <w:tcW w:w="78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6" w:hRule="atLeast"/>
          <w:jc w:val="center"/>
        </w:trPr>
        <w:tc>
          <w:tcPr>
            <w:tcW w:w="425" w:type="dxa"/>
            <w:vMerge w:val="continue"/>
            <w:vAlign w:val="center"/>
          </w:tcPr>
          <w:p>
            <w:pPr>
              <w:pStyle w:val="126"/>
              <w:rPr>
                <w:rFonts w:eastAsiaTheme="minorEastAsia"/>
                <w:color w:val="000000" w:themeColor="text1"/>
              </w:rPr>
            </w:pPr>
          </w:p>
        </w:tc>
        <w:tc>
          <w:tcPr>
            <w:tcW w:w="924"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DA001粉尘</w:t>
            </w:r>
          </w:p>
        </w:tc>
        <w:tc>
          <w:tcPr>
            <w:tcW w:w="706"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846" w:type="dxa"/>
            <w:vMerge w:val="restart"/>
            <w:vAlign w:val="center"/>
          </w:tcPr>
          <w:p>
            <w:pPr>
              <w:pStyle w:val="126"/>
              <w:rPr>
                <w:rFonts w:eastAsiaTheme="minorEastAsia"/>
                <w:color w:val="000000" w:themeColor="text1"/>
                <w:lang w:eastAsia="zh-CN"/>
              </w:rPr>
            </w:pPr>
            <w:r>
              <w:rPr>
                <w:rFonts w:hint="eastAsia" w:eastAsiaTheme="minorEastAsia"/>
                <w:color w:val="000000" w:themeColor="text1"/>
                <w:lang w:eastAsia="zh-CN"/>
              </w:rPr>
              <w:t>集气罩+</w:t>
            </w:r>
            <w:r>
              <w:rPr>
                <w:rFonts w:eastAsiaTheme="minorEastAsia"/>
                <w:color w:val="000000" w:themeColor="text1"/>
                <w:lang w:eastAsia="zh-CN"/>
              </w:rPr>
              <w:t>布袋除尘</w:t>
            </w:r>
          </w:p>
        </w:tc>
        <w:tc>
          <w:tcPr>
            <w:tcW w:w="750" w:type="dxa"/>
            <w:vAlign w:val="center"/>
          </w:tcPr>
          <w:p>
            <w:pPr>
              <w:pStyle w:val="126"/>
              <w:rPr>
                <w:rFonts w:eastAsiaTheme="minorEastAsia"/>
                <w:color w:val="000000" w:themeColor="text1"/>
                <w:lang w:eastAsia="zh-CN"/>
              </w:rPr>
            </w:pPr>
            <w:r>
              <w:rPr>
                <w:rFonts w:hint="eastAsia"/>
                <w:color w:val="000000" w:themeColor="text1"/>
              </w:rPr>
              <w:t>2.1</w:t>
            </w:r>
            <w:r>
              <w:rPr>
                <w:color w:val="000000" w:themeColor="text1"/>
              </w:rPr>
              <w:t>mg/m</w:t>
            </w:r>
            <w:r>
              <w:rPr>
                <w:color w:val="000000" w:themeColor="text1"/>
                <w:vertAlign w:val="superscript"/>
              </w:rPr>
              <w:t>3</w:t>
            </w:r>
          </w:p>
        </w:tc>
        <w:tc>
          <w:tcPr>
            <w:tcW w:w="825"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sz w:val="21"/>
                <w:szCs w:val="21"/>
              </w:rPr>
              <w:t>0.299</w:t>
            </w:r>
          </w:p>
        </w:tc>
        <w:tc>
          <w:tcPr>
            <w:tcW w:w="779" w:type="dxa"/>
            <w:vMerge w:val="continue"/>
            <w:vAlign w:val="center"/>
          </w:tcPr>
          <w:p>
            <w:pPr>
              <w:widowControl/>
              <w:spacing w:line="240" w:lineRule="auto"/>
              <w:ind w:firstLine="0" w:firstLineChars="0"/>
              <w:jc w:val="center"/>
              <w:rPr>
                <w:rFonts w:eastAsiaTheme="minorEastAsia"/>
                <w:color w:val="000000" w:themeColor="text1"/>
                <w:sz w:val="21"/>
                <w:szCs w:val="21"/>
              </w:rPr>
            </w:pPr>
          </w:p>
        </w:tc>
        <w:tc>
          <w:tcPr>
            <w:tcW w:w="1484" w:type="dxa"/>
            <w:vMerge w:val="restart"/>
            <w:vAlign w:val="center"/>
          </w:tcPr>
          <w:p>
            <w:pPr>
              <w:pStyle w:val="126"/>
              <w:rPr>
                <w:rFonts w:eastAsiaTheme="minorEastAsia"/>
                <w:color w:val="000000" w:themeColor="text1"/>
                <w:lang w:eastAsia="zh-CN"/>
              </w:rPr>
            </w:pPr>
            <w:r>
              <w:rPr>
                <w:rFonts w:eastAsiaTheme="minorEastAsia"/>
                <w:color w:val="000000" w:themeColor="text1"/>
                <w:lang w:eastAsia="zh-CN"/>
              </w:rPr>
              <w:t>达到《铁矿采选工业污染物排放标准》（GB28661-2012）表5要求</w:t>
            </w:r>
          </w:p>
        </w:tc>
        <w:tc>
          <w:tcPr>
            <w:tcW w:w="78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设排污口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84" w:hRule="atLeast"/>
          <w:jc w:val="center"/>
        </w:trPr>
        <w:tc>
          <w:tcPr>
            <w:tcW w:w="425" w:type="dxa"/>
            <w:vMerge w:val="continue"/>
            <w:vAlign w:val="center"/>
          </w:tcPr>
          <w:p>
            <w:pPr>
              <w:pStyle w:val="126"/>
              <w:rPr>
                <w:rFonts w:eastAsiaTheme="minorEastAsia"/>
                <w:color w:val="000000" w:themeColor="text1"/>
                <w:lang w:eastAsia="zh-CN"/>
              </w:rPr>
            </w:pPr>
          </w:p>
        </w:tc>
        <w:tc>
          <w:tcPr>
            <w:tcW w:w="924"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DA002粉尘</w:t>
            </w:r>
          </w:p>
        </w:tc>
        <w:tc>
          <w:tcPr>
            <w:tcW w:w="706" w:type="dxa"/>
            <w:vAlign w:val="center"/>
          </w:tcPr>
          <w:p>
            <w:pPr>
              <w:pStyle w:val="126"/>
              <w:rPr>
                <w:rFonts w:eastAsiaTheme="minorEastAsia"/>
                <w:color w:val="000000" w:themeColor="text1"/>
                <w:lang w:eastAsia="zh-CN"/>
              </w:rPr>
            </w:pPr>
            <w:r>
              <w:rPr>
                <w:rFonts w:eastAsiaTheme="minorEastAsia"/>
                <w:color w:val="000000" w:themeColor="text1"/>
                <w:lang w:eastAsia="zh-CN"/>
              </w:rPr>
              <w:t>颗粒物</w:t>
            </w:r>
          </w:p>
        </w:tc>
        <w:tc>
          <w:tcPr>
            <w:tcW w:w="1846" w:type="dxa"/>
            <w:vMerge w:val="continue"/>
            <w:vAlign w:val="center"/>
          </w:tcPr>
          <w:p>
            <w:pPr>
              <w:pStyle w:val="126"/>
              <w:rPr>
                <w:rFonts w:eastAsiaTheme="minorEastAsia"/>
                <w:color w:val="000000" w:themeColor="text1"/>
                <w:lang w:eastAsia="zh-CN"/>
              </w:rPr>
            </w:pPr>
          </w:p>
        </w:tc>
        <w:tc>
          <w:tcPr>
            <w:tcW w:w="750" w:type="dxa"/>
            <w:vAlign w:val="center"/>
          </w:tcPr>
          <w:p>
            <w:pPr>
              <w:pStyle w:val="126"/>
              <w:rPr>
                <w:rFonts w:eastAsiaTheme="minorEastAsia"/>
                <w:color w:val="000000" w:themeColor="text1"/>
                <w:lang w:eastAsia="zh-CN"/>
              </w:rPr>
            </w:pPr>
            <w:r>
              <w:rPr>
                <w:rFonts w:hint="eastAsia"/>
                <w:color w:val="000000" w:themeColor="text1"/>
                <w:lang w:eastAsia="zh-CN"/>
              </w:rPr>
              <w:t>1.4</w:t>
            </w:r>
            <w:r>
              <w:rPr>
                <w:color w:val="000000" w:themeColor="text1"/>
              </w:rPr>
              <w:t>mg/m</w:t>
            </w:r>
            <w:r>
              <w:rPr>
                <w:color w:val="000000" w:themeColor="text1"/>
                <w:vertAlign w:val="superscript"/>
              </w:rPr>
              <w:t>3</w:t>
            </w:r>
          </w:p>
        </w:tc>
        <w:tc>
          <w:tcPr>
            <w:tcW w:w="825" w:type="dxa"/>
            <w:vAlign w:val="center"/>
          </w:tcPr>
          <w:p>
            <w:pPr>
              <w:widowControl/>
              <w:spacing w:line="240" w:lineRule="auto"/>
              <w:ind w:firstLine="0" w:firstLineChars="0"/>
              <w:jc w:val="center"/>
              <w:rPr>
                <w:rFonts w:eastAsiaTheme="minorEastAsia"/>
                <w:color w:val="000000" w:themeColor="text1"/>
                <w:kern w:val="0"/>
                <w:sz w:val="21"/>
                <w:szCs w:val="21"/>
              </w:rPr>
            </w:pPr>
            <w:r>
              <w:rPr>
                <w:rFonts w:hint="eastAsia" w:eastAsiaTheme="minorEastAsia"/>
                <w:color w:val="000000" w:themeColor="text1"/>
                <w:sz w:val="21"/>
                <w:szCs w:val="21"/>
              </w:rPr>
              <w:t>0.152</w:t>
            </w:r>
          </w:p>
        </w:tc>
        <w:tc>
          <w:tcPr>
            <w:tcW w:w="779" w:type="dxa"/>
            <w:vMerge w:val="continue"/>
            <w:vAlign w:val="center"/>
          </w:tcPr>
          <w:p>
            <w:pPr>
              <w:widowControl/>
              <w:spacing w:line="240" w:lineRule="auto"/>
              <w:ind w:firstLine="0" w:firstLineChars="0"/>
              <w:jc w:val="center"/>
              <w:rPr>
                <w:rFonts w:eastAsiaTheme="minorEastAsia"/>
                <w:color w:val="000000" w:themeColor="text1"/>
                <w:sz w:val="21"/>
                <w:szCs w:val="21"/>
              </w:rPr>
            </w:pPr>
          </w:p>
        </w:tc>
        <w:tc>
          <w:tcPr>
            <w:tcW w:w="1484" w:type="dxa"/>
            <w:vMerge w:val="continue"/>
            <w:vAlign w:val="center"/>
          </w:tcPr>
          <w:p>
            <w:pPr>
              <w:pStyle w:val="126"/>
              <w:rPr>
                <w:rFonts w:eastAsiaTheme="minorEastAsia"/>
                <w:color w:val="000000" w:themeColor="text1"/>
                <w:lang w:eastAsia="zh-CN"/>
              </w:rPr>
            </w:pPr>
          </w:p>
        </w:tc>
        <w:tc>
          <w:tcPr>
            <w:tcW w:w="78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设排污口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2" w:hRule="atLeast"/>
          <w:jc w:val="center"/>
        </w:trPr>
        <w:tc>
          <w:tcPr>
            <w:tcW w:w="425" w:type="dxa"/>
            <w:vMerge w:val="restart"/>
            <w:vAlign w:val="center"/>
          </w:tcPr>
          <w:p>
            <w:pPr>
              <w:pStyle w:val="126"/>
              <w:rPr>
                <w:rFonts w:eastAsiaTheme="minorEastAsia"/>
                <w:color w:val="000000" w:themeColor="text1"/>
                <w:lang w:eastAsia="zh-CN"/>
              </w:rPr>
            </w:pPr>
            <w:r>
              <w:rPr>
                <w:rFonts w:eastAsiaTheme="minorEastAsia"/>
                <w:color w:val="000000" w:themeColor="text1"/>
              </w:rPr>
              <w:t>固废</w:t>
            </w:r>
          </w:p>
        </w:tc>
        <w:tc>
          <w:tcPr>
            <w:tcW w:w="924" w:type="dxa"/>
            <w:vAlign w:val="center"/>
          </w:tcPr>
          <w:p>
            <w:pPr>
              <w:pStyle w:val="126"/>
              <w:rPr>
                <w:rFonts w:eastAsiaTheme="minorEastAsia"/>
                <w:color w:val="000000" w:themeColor="text1"/>
                <w:lang w:eastAsia="zh-CN"/>
              </w:rPr>
            </w:pPr>
            <w:r>
              <w:rPr>
                <w:rFonts w:eastAsiaTheme="minorEastAsia"/>
                <w:color w:val="000000" w:themeColor="text1"/>
                <w:lang w:eastAsia="zh-CN"/>
              </w:rPr>
              <w:t>技改铁矿再选尾矿</w:t>
            </w:r>
          </w:p>
        </w:tc>
        <w:tc>
          <w:tcPr>
            <w:tcW w:w="706" w:type="dxa"/>
            <w:vAlign w:val="center"/>
          </w:tcPr>
          <w:p>
            <w:pPr>
              <w:pStyle w:val="126"/>
              <w:rPr>
                <w:rFonts w:eastAsiaTheme="minorEastAsia"/>
                <w:color w:val="000000" w:themeColor="text1"/>
                <w:lang w:eastAsia="zh-CN"/>
              </w:rPr>
            </w:pPr>
            <w:r>
              <w:rPr>
                <w:rFonts w:eastAsiaTheme="minorEastAsia"/>
                <w:color w:val="000000" w:themeColor="text1"/>
                <w:lang w:eastAsia="zh-CN"/>
              </w:rPr>
              <w:t>尾矿</w:t>
            </w:r>
          </w:p>
        </w:tc>
        <w:tc>
          <w:tcPr>
            <w:tcW w:w="1846" w:type="dxa"/>
            <w:vAlign w:val="center"/>
          </w:tcPr>
          <w:p>
            <w:pPr>
              <w:pStyle w:val="126"/>
              <w:rPr>
                <w:rFonts w:eastAsiaTheme="minorEastAsia"/>
                <w:color w:val="000000" w:themeColor="text1"/>
                <w:lang w:eastAsia="zh-CN"/>
              </w:rPr>
            </w:pPr>
            <w:r>
              <w:rPr>
                <w:rFonts w:eastAsiaTheme="minorEastAsia"/>
                <w:color w:val="000000" w:themeColor="text1"/>
                <w:lang w:eastAsia="zh-CN"/>
              </w:rPr>
              <w:t>排入龙都尾矿库</w:t>
            </w: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31874.126</w:t>
            </w:r>
            <w:r>
              <w:rPr>
                <w:rFonts w:eastAsiaTheme="minorEastAsia"/>
                <w:color w:val="000000" w:themeColor="text1"/>
                <w:lang w:eastAsia="zh-CN"/>
              </w:rPr>
              <w:t>t</w:t>
            </w:r>
            <w:r>
              <w:rPr>
                <w:rFonts w:eastAsiaTheme="minorEastAsia"/>
                <w:color w:val="000000" w:themeColor="text1"/>
              </w:rPr>
              <w:t>/a</w:t>
            </w:r>
          </w:p>
        </w:tc>
        <w:tc>
          <w:tcPr>
            <w:tcW w:w="779" w:type="dxa"/>
            <w:vMerge w:val="restart"/>
            <w:vAlign w:val="center"/>
          </w:tcPr>
          <w:p>
            <w:pPr>
              <w:pStyle w:val="126"/>
              <w:rPr>
                <w:rFonts w:eastAsiaTheme="minorEastAsia"/>
                <w:color w:val="000000" w:themeColor="text1"/>
                <w:lang w:eastAsia="zh-CN"/>
              </w:rPr>
            </w:pPr>
            <w:r>
              <w:rPr>
                <w:rFonts w:hint="eastAsia" w:eastAsiaTheme="minorEastAsia"/>
                <w:color w:val="000000" w:themeColor="text1"/>
                <w:lang w:eastAsia="zh-CN"/>
              </w:rPr>
              <w:t>不排放</w:t>
            </w:r>
          </w:p>
        </w:tc>
        <w:tc>
          <w:tcPr>
            <w:tcW w:w="1484" w:type="dxa"/>
            <w:vMerge w:val="restart"/>
            <w:vAlign w:val="center"/>
          </w:tcPr>
          <w:p>
            <w:pPr>
              <w:pStyle w:val="126"/>
              <w:rPr>
                <w:rFonts w:eastAsiaTheme="minorEastAsia"/>
                <w:color w:val="000000" w:themeColor="text1"/>
              </w:rPr>
            </w:pPr>
            <w:r>
              <w:rPr>
                <w:rFonts w:eastAsiaTheme="minorEastAsia"/>
                <w:color w:val="000000" w:themeColor="text1"/>
              </w:rPr>
              <w:t>100%</w:t>
            </w:r>
            <w:r>
              <w:rPr>
                <w:rFonts w:eastAsiaTheme="minorEastAsia"/>
                <w:color w:val="000000" w:themeColor="text1"/>
                <w:lang w:eastAsia="zh-CN"/>
              </w:rPr>
              <w:t>妥善处置</w:t>
            </w:r>
          </w:p>
        </w:tc>
        <w:tc>
          <w:tcPr>
            <w:tcW w:w="780" w:type="dxa"/>
            <w:vMerge w:val="restart"/>
            <w:vAlign w:val="center"/>
          </w:tcPr>
          <w:p>
            <w:pPr>
              <w:pStyle w:val="126"/>
              <w:rPr>
                <w:rFonts w:eastAsiaTheme="minorEastAsia"/>
                <w:color w:val="000000" w:themeColor="text1"/>
                <w:lang w:eastAsia="zh-CN"/>
              </w:rPr>
            </w:pPr>
            <w:r>
              <w:rPr>
                <w:rFonts w:hint="eastAsia" w:eastAsiaTheme="minorEastAsia"/>
                <w:color w:val="000000" w:themeColor="text1"/>
                <w:lang w:eastAsia="zh-CN"/>
              </w:rPr>
              <w:t>不设排污口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jc w:val="center"/>
        </w:trPr>
        <w:tc>
          <w:tcPr>
            <w:tcW w:w="425" w:type="dxa"/>
            <w:vMerge w:val="continue"/>
            <w:vAlign w:val="center"/>
          </w:tcPr>
          <w:p>
            <w:pPr>
              <w:pStyle w:val="126"/>
              <w:rPr>
                <w:rFonts w:eastAsiaTheme="minorEastAsia"/>
                <w:color w:val="000000" w:themeColor="text1"/>
              </w:rPr>
            </w:pPr>
          </w:p>
        </w:tc>
        <w:tc>
          <w:tcPr>
            <w:tcW w:w="924" w:type="dxa"/>
            <w:vAlign w:val="center"/>
          </w:tcPr>
          <w:p>
            <w:pPr>
              <w:pStyle w:val="126"/>
              <w:rPr>
                <w:rFonts w:eastAsiaTheme="minorEastAsia"/>
                <w:color w:val="000000" w:themeColor="text1"/>
              </w:rPr>
            </w:pPr>
            <w:r>
              <w:rPr>
                <w:rFonts w:eastAsiaTheme="minorEastAsia"/>
                <w:color w:val="000000" w:themeColor="text1"/>
              </w:rPr>
              <w:t>生活区</w:t>
            </w:r>
          </w:p>
        </w:tc>
        <w:tc>
          <w:tcPr>
            <w:tcW w:w="706" w:type="dxa"/>
            <w:vAlign w:val="center"/>
          </w:tcPr>
          <w:p>
            <w:pPr>
              <w:pStyle w:val="126"/>
              <w:rPr>
                <w:rFonts w:eastAsiaTheme="minorEastAsia"/>
                <w:color w:val="000000" w:themeColor="text1"/>
              </w:rPr>
            </w:pPr>
            <w:r>
              <w:rPr>
                <w:rFonts w:eastAsiaTheme="minorEastAsia"/>
                <w:color w:val="000000" w:themeColor="text1"/>
              </w:rPr>
              <w:t>生活垃圾</w:t>
            </w:r>
          </w:p>
        </w:tc>
        <w:tc>
          <w:tcPr>
            <w:tcW w:w="1846" w:type="dxa"/>
            <w:vAlign w:val="center"/>
          </w:tcPr>
          <w:p>
            <w:pPr>
              <w:pStyle w:val="126"/>
              <w:rPr>
                <w:rFonts w:eastAsiaTheme="minorEastAsia"/>
                <w:color w:val="000000" w:themeColor="text1"/>
                <w:lang w:eastAsia="zh-CN"/>
              </w:rPr>
            </w:pPr>
            <w:r>
              <w:rPr>
                <w:rFonts w:eastAsiaTheme="minorEastAsia"/>
                <w:color w:val="000000" w:themeColor="text1"/>
                <w:lang w:eastAsia="zh-CN"/>
              </w:rPr>
              <w:t>定期清运至戛洒镇生活垃圾指定地点处理</w:t>
            </w: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779" w:type="dxa"/>
            <w:vMerge w:val="continue"/>
            <w:vAlign w:val="center"/>
          </w:tcPr>
          <w:p>
            <w:pPr>
              <w:pStyle w:val="126"/>
              <w:rPr>
                <w:rFonts w:eastAsiaTheme="minorEastAsia"/>
                <w:color w:val="000000" w:themeColor="text1"/>
                <w:lang w:eastAsia="zh-CN"/>
              </w:rPr>
            </w:pPr>
          </w:p>
        </w:tc>
        <w:tc>
          <w:tcPr>
            <w:tcW w:w="1484" w:type="dxa"/>
            <w:vMerge w:val="continue"/>
            <w:vAlign w:val="center"/>
          </w:tcPr>
          <w:p>
            <w:pPr>
              <w:pStyle w:val="126"/>
              <w:rPr>
                <w:rFonts w:eastAsiaTheme="minorEastAsia"/>
                <w:color w:val="000000" w:themeColor="text1"/>
              </w:rPr>
            </w:pPr>
          </w:p>
        </w:tc>
        <w:tc>
          <w:tcPr>
            <w:tcW w:w="780" w:type="dxa"/>
            <w:vMerge w:val="continue"/>
            <w:vAlign w:val="center"/>
          </w:tcPr>
          <w:p>
            <w:pPr>
              <w:pStyle w:val="126"/>
              <w:rPr>
                <w:rFonts w:eastAsiaTheme="minorEastAsia"/>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jc w:val="center"/>
        </w:trPr>
        <w:tc>
          <w:tcPr>
            <w:tcW w:w="425" w:type="dxa"/>
            <w:vMerge w:val="continue"/>
            <w:vAlign w:val="center"/>
          </w:tcPr>
          <w:p>
            <w:pPr>
              <w:pStyle w:val="126"/>
              <w:rPr>
                <w:rFonts w:eastAsiaTheme="minorEastAsia"/>
                <w:color w:val="000000" w:themeColor="text1"/>
              </w:rPr>
            </w:pPr>
          </w:p>
        </w:tc>
        <w:tc>
          <w:tcPr>
            <w:tcW w:w="924" w:type="dxa"/>
            <w:vAlign w:val="center"/>
          </w:tcPr>
          <w:p>
            <w:pPr>
              <w:pStyle w:val="126"/>
              <w:rPr>
                <w:rFonts w:eastAsiaTheme="minorEastAsia"/>
                <w:color w:val="000000" w:themeColor="text1"/>
                <w:lang w:eastAsia="zh-CN"/>
              </w:rPr>
            </w:pPr>
            <w:r>
              <w:rPr>
                <w:rFonts w:eastAsiaTheme="minorEastAsia"/>
                <w:color w:val="000000" w:themeColor="text1"/>
                <w:lang w:eastAsia="zh-CN"/>
              </w:rPr>
              <w:t>除尘器收尘灰</w:t>
            </w:r>
          </w:p>
        </w:tc>
        <w:tc>
          <w:tcPr>
            <w:tcW w:w="706" w:type="dxa"/>
            <w:vAlign w:val="center"/>
          </w:tcPr>
          <w:p>
            <w:pPr>
              <w:pStyle w:val="126"/>
              <w:rPr>
                <w:rFonts w:eastAsiaTheme="minorEastAsia"/>
                <w:color w:val="000000" w:themeColor="text1"/>
              </w:rPr>
            </w:pPr>
            <w:r>
              <w:rPr>
                <w:rFonts w:eastAsiaTheme="minorEastAsia"/>
                <w:color w:val="000000" w:themeColor="text1"/>
                <w:lang w:eastAsia="zh-CN"/>
              </w:rPr>
              <w:t>收尘灰</w:t>
            </w:r>
          </w:p>
        </w:tc>
        <w:tc>
          <w:tcPr>
            <w:tcW w:w="1846" w:type="dxa"/>
            <w:vAlign w:val="center"/>
          </w:tcPr>
          <w:p>
            <w:pPr>
              <w:pStyle w:val="126"/>
              <w:rPr>
                <w:rFonts w:eastAsiaTheme="minorEastAsia"/>
                <w:color w:val="000000" w:themeColor="text1"/>
                <w:lang w:eastAsia="zh-CN"/>
              </w:rPr>
            </w:pPr>
            <w:r>
              <w:rPr>
                <w:rFonts w:eastAsiaTheme="minorEastAsia"/>
                <w:color w:val="000000" w:themeColor="text1"/>
                <w:lang w:eastAsia="zh-CN"/>
              </w:rPr>
              <w:t>作为砂料产品外卖</w:t>
            </w: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779" w:type="dxa"/>
            <w:vMerge w:val="continue"/>
            <w:vAlign w:val="center"/>
          </w:tcPr>
          <w:p>
            <w:pPr>
              <w:pStyle w:val="126"/>
              <w:rPr>
                <w:rFonts w:eastAsiaTheme="minorEastAsia"/>
                <w:color w:val="000000" w:themeColor="text1"/>
                <w:lang w:eastAsia="zh-CN"/>
              </w:rPr>
            </w:pPr>
          </w:p>
        </w:tc>
        <w:tc>
          <w:tcPr>
            <w:tcW w:w="1484" w:type="dxa"/>
            <w:vMerge w:val="continue"/>
            <w:vAlign w:val="center"/>
          </w:tcPr>
          <w:p>
            <w:pPr>
              <w:pStyle w:val="126"/>
              <w:rPr>
                <w:rFonts w:eastAsiaTheme="minorEastAsia"/>
                <w:color w:val="000000" w:themeColor="text1"/>
              </w:rPr>
            </w:pPr>
          </w:p>
        </w:tc>
        <w:tc>
          <w:tcPr>
            <w:tcW w:w="780" w:type="dxa"/>
            <w:vMerge w:val="continue"/>
            <w:vAlign w:val="center"/>
          </w:tcPr>
          <w:p>
            <w:pPr>
              <w:pStyle w:val="126"/>
              <w:rPr>
                <w:rFonts w:eastAsiaTheme="minorEastAsia"/>
                <w:color w:val="000000" w:themeColor="text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9" w:hRule="atLeast"/>
          <w:jc w:val="center"/>
        </w:trPr>
        <w:tc>
          <w:tcPr>
            <w:tcW w:w="425" w:type="dxa"/>
            <w:vMerge w:val="continue"/>
            <w:vAlign w:val="center"/>
          </w:tcPr>
          <w:p>
            <w:pPr>
              <w:pStyle w:val="126"/>
              <w:rPr>
                <w:rFonts w:eastAsiaTheme="minorEastAsia"/>
                <w:color w:val="000000" w:themeColor="text1"/>
              </w:rPr>
            </w:pPr>
          </w:p>
        </w:tc>
        <w:tc>
          <w:tcPr>
            <w:tcW w:w="924" w:type="dxa"/>
            <w:vAlign w:val="center"/>
          </w:tcPr>
          <w:p>
            <w:pPr>
              <w:pStyle w:val="126"/>
              <w:rPr>
                <w:rFonts w:eastAsiaTheme="minorEastAsia"/>
                <w:color w:val="000000" w:themeColor="text1"/>
                <w:lang w:eastAsia="zh-CN"/>
              </w:rPr>
            </w:pPr>
            <w:r>
              <w:rPr>
                <w:rFonts w:eastAsiaTheme="minorEastAsia"/>
                <w:color w:val="000000" w:themeColor="text1"/>
                <w:lang w:eastAsia="zh-CN"/>
              </w:rPr>
              <w:t>机械维修及保养</w:t>
            </w:r>
          </w:p>
        </w:tc>
        <w:tc>
          <w:tcPr>
            <w:tcW w:w="706" w:type="dxa"/>
            <w:vAlign w:val="center"/>
          </w:tcPr>
          <w:p>
            <w:pPr>
              <w:pStyle w:val="126"/>
              <w:rPr>
                <w:rFonts w:eastAsiaTheme="minorEastAsia"/>
                <w:color w:val="000000" w:themeColor="text1"/>
              </w:rPr>
            </w:pPr>
            <w:r>
              <w:rPr>
                <w:rFonts w:eastAsiaTheme="minorEastAsia"/>
                <w:color w:val="000000" w:themeColor="text1"/>
                <w:lang w:eastAsia="zh-CN"/>
              </w:rPr>
              <w:t>废机油</w:t>
            </w:r>
          </w:p>
        </w:tc>
        <w:tc>
          <w:tcPr>
            <w:tcW w:w="1846" w:type="dxa"/>
            <w:vAlign w:val="center"/>
          </w:tcPr>
          <w:p>
            <w:pPr>
              <w:pStyle w:val="126"/>
              <w:rPr>
                <w:rFonts w:eastAsiaTheme="minorEastAsia"/>
                <w:color w:val="000000" w:themeColor="text1"/>
                <w:lang w:eastAsia="zh-CN"/>
              </w:rPr>
            </w:pPr>
            <w:r>
              <w:rPr>
                <w:rFonts w:eastAsiaTheme="minorEastAsia"/>
                <w:color w:val="000000" w:themeColor="text1"/>
                <w:lang w:eastAsia="zh-CN"/>
              </w:rPr>
              <w:t>按规定暂存于危废暂存间，委托有资质单位处理</w:t>
            </w:r>
          </w:p>
        </w:tc>
        <w:tc>
          <w:tcPr>
            <w:tcW w:w="750" w:type="dxa"/>
            <w:vAlign w:val="center"/>
          </w:tcPr>
          <w:p>
            <w:pPr>
              <w:pStyle w:val="126"/>
              <w:rPr>
                <w:rFonts w:eastAsiaTheme="minorEastAsia"/>
                <w:color w:val="000000" w:themeColor="text1"/>
                <w:lang w:eastAsia="zh-CN"/>
              </w:rPr>
            </w:pPr>
            <w:r>
              <w:rPr>
                <w:rFonts w:hint="eastAsia" w:eastAsiaTheme="minorEastAsia"/>
                <w:color w:val="000000" w:themeColor="text1"/>
                <w:lang w:eastAsia="zh-CN"/>
              </w:rPr>
              <w:t>/</w:t>
            </w:r>
          </w:p>
        </w:tc>
        <w:tc>
          <w:tcPr>
            <w:tcW w:w="825" w:type="dxa"/>
            <w:vAlign w:val="center"/>
          </w:tcPr>
          <w:p>
            <w:pPr>
              <w:pStyle w:val="126"/>
              <w:rPr>
                <w:rFonts w:eastAsiaTheme="minorEastAsia"/>
                <w:color w:val="000000" w:themeColor="text1"/>
                <w:lang w:eastAsia="zh-CN"/>
              </w:rPr>
            </w:pPr>
            <w:r>
              <w:rPr>
                <w:rFonts w:eastAsiaTheme="minorEastAsia"/>
                <w:color w:val="000000" w:themeColor="text1"/>
                <w:lang w:eastAsia="zh-CN"/>
              </w:rPr>
              <w:t>0</w:t>
            </w:r>
          </w:p>
        </w:tc>
        <w:tc>
          <w:tcPr>
            <w:tcW w:w="779" w:type="dxa"/>
            <w:vMerge w:val="continue"/>
            <w:vAlign w:val="center"/>
          </w:tcPr>
          <w:p>
            <w:pPr>
              <w:pStyle w:val="126"/>
              <w:rPr>
                <w:rFonts w:eastAsiaTheme="minorEastAsia"/>
                <w:color w:val="000000" w:themeColor="text1"/>
                <w:lang w:eastAsia="zh-CN"/>
              </w:rPr>
            </w:pPr>
          </w:p>
        </w:tc>
        <w:tc>
          <w:tcPr>
            <w:tcW w:w="1484" w:type="dxa"/>
            <w:vMerge w:val="continue"/>
            <w:vAlign w:val="center"/>
          </w:tcPr>
          <w:p>
            <w:pPr>
              <w:pStyle w:val="126"/>
              <w:rPr>
                <w:rFonts w:eastAsiaTheme="minorEastAsia"/>
                <w:color w:val="000000" w:themeColor="text1"/>
                <w:lang w:eastAsia="zh-CN"/>
              </w:rPr>
            </w:pPr>
          </w:p>
        </w:tc>
        <w:tc>
          <w:tcPr>
            <w:tcW w:w="780" w:type="dxa"/>
            <w:vMerge w:val="continue"/>
            <w:vAlign w:val="center"/>
          </w:tcPr>
          <w:p>
            <w:pPr>
              <w:pStyle w:val="126"/>
              <w:rPr>
                <w:rFonts w:eastAsiaTheme="minorEastAsia"/>
                <w:color w:val="000000" w:themeColor="text1"/>
              </w:rPr>
            </w:pPr>
          </w:p>
        </w:tc>
      </w:tr>
    </w:tbl>
    <w:p>
      <w:pPr>
        <w:keepNext/>
        <w:keepLines/>
        <w:adjustRightInd w:val="0"/>
        <w:snapToGrid w:val="0"/>
        <w:ind w:firstLine="0" w:firstLineChars="0"/>
        <w:textAlignment w:val="baseline"/>
        <w:outlineLvl w:val="3"/>
        <w:rPr>
          <w:rFonts w:eastAsiaTheme="minorEastAsia"/>
          <w:b/>
          <w:color w:val="000000" w:themeColor="text1"/>
          <w:kern w:val="0"/>
          <w:szCs w:val="24"/>
        </w:rPr>
      </w:pPr>
      <w:r>
        <w:rPr>
          <w:rFonts w:hint="eastAsia" w:eastAsiaTheme="minorEastAsia"/>
          <w:b/>
          <w:color w:val="000000" w:themeColor="text1"/>
          <w:kern w:val="0"/>
          <w:szCs w:val="24"/>
        </w:rPr>
        <w:t>9.1.3.2</w:t>
      </w:r>
      <w:r>
        <w:rPr>
          <w:rFonts w:eastAsiaTheme="minorEastAsia"/>
          <w:b/>
          <w:color w:val="000000" w:themeColor="text1"/>
          <w:kern w:val="0"/>
          <w:szCs w:val="24"/>
        </w:rPr>
        <w:t>规范化排污口设置</w:t>
      </w:r>
    </w:p>
    <w:p>
      <w:pPr>
        <w:ind w:firstLine="480"/>
        <w:rPr>
          <w:rFonts w:eastAsiaTheme="minorEastAsia"/>
          <w:color w:val="000000" w:themeColor="text1"/>
        </w:rPr>
      </w:pPr>
      <w:r>
        <w:rPr>
          <w:rFonts w:eastAsiaTheme="minorEastAsia"/>
          <w:color w:val="000000" w:themeColor="text1"/>
        </w:rPr>
        <w:t>1、排污口必须按照规定设置与排污口相对应的环境保护图形标志牌。</w:t>
      </w:r>
    </w:p>
    <w:p>
      <w:pPr>
        <w:ind w:firstLine="480"/>
        <w:rPr>
          <w:rFonts w:eastAsiaTheme="minorEastAsia"/>
          <w:color w:val="000000" w:themeColor="text1"/>
        </w:rPr>
      </w:pPr>
      <w:r>
        <w:rPr>
          <w:rFonts w:eastAsiaTheme="minorEastAsia"/>
          <w:color w:val="000000" w:themeColor="text1"/>
        </w:rPr>
        <w:t>2、凡生产经营场所集中在一个地点的单位，原则上只允许设污水和“清下水”排污口各1个</w:t>
      </w:r>
      <w:r>
        <w:rPr>
          <w:rFonts w:hint="eastAsia" w:eastAsiaTheme="minorEastAsia"/>
          <w:color w:val="000000" w:themeColor="text1"/>
        </w:rPr>
        <w:t>，本项目废水不设排污口</w:t>
      </w:r>
      <w:r>
        <w:rPr>
          <w:rFonts w:eastAsiaTheme="minorEastAsia"/>
          <w:color w:val="000000" w:themeColor="text1"/>
        </w:rPr>
        <w:t>。</w:t>
      </w:r>
    </w:p>
    <w:p>
      <w:pPr>
        <w:ind w:firstLine="480"/>
        <w:rPr>
          <w:rFonts w:eastAsiaTheme="minorEastAsia"/>
          <w:color w:val="000000" w:themeColor="text1"/>
        </w:rPr>
      </w:pPr>
      <w:r>
        <w:rPr>
          <w:rFonts w:eastAsiaTheme="minorEastAsia"/>
          <w:color w:val="000000" w:themeColor="text1"/>
        </w:rPr>
        <w:t>3、排气筒应设置便于采样、监测的采样口和采样监测平台。有净化设施的，应在其进出口分别设置采样口及采样监测平台。采样孔、点数目和位置应按《固定污染源排气中颗粒物测定与气态污染物采样方法》（GB/T16157-1996）和《污染源监测技术规范》的规定设置。</w:t>
      </w:r>
    </w:p>
    <w:p>
      <w:pPr>
        <w:ind w:firstLine="480"/>
        <w:rPr>
          <w:rFonts w:eastAsiaTheme="minorEastAsia"/>
          <w:color w:val="000000" w:themeColor="text1"/>
        </w:rPr>
      </w:pPr>
      <w:r>
        <w:rPr>
          <w:rFonts w:eastAsiaTheme="minorEastAsia"/>
          <w:color w:val="000000" w:themeColor="text1"/>
        </w:rPr>
        <w:t>4、一般固废贮存处置场所应符合</w:t>
      </w:r>
      <w:r>
        <w:rPr>
          <w:color w:val="000000" w:themeColor="text1"/>
          <w:szCs w:val="24"/>
        </w:rPr>
        <w:t>《一般工业固体废物贮存和填埋污染控制标准》（GB18599-2020）</w:t>
      </w:r>
      <w:r>
        <w:rPr>
          <w:rFonts w:eastAsiaTheme="minorEastAsia"/>
          <w:color w:val="000000" w:themeColor="text1"/>
        </w:rPr>
        <w:t>。</w:t>
      </w:r>
      <w:r>
        <w:rPr>
          <w:rFonts w:eastAsiaTheme="minorEastAsia"/>
          <w:color w:val="000000" w:themeColor="text1"/>
          <w:szCs w:val="20"/>
        </w:rPr>
        <w:t>危险废物贮存执行</w:t>
      </w:r>
      <w:r>
        <w:rPr>
          <w:rFonts w:eastAsiaTheme="minorEastAsia"/>
          <w:color w:val="000000" w:themeColor="text1"/>
        </w:rPr>
        <w:t>《危险废物贮存污染控制标准》</w:t>
      </w:r>
      <w:r>
        <w:rPr>
          <w:rFonts w:eastAsiaTheme="minorEastAsia"/>
          <w:color w:val="000000" w:themeColor="text1"/>
          <w:szCs w:val="20"/>
        </w:rPr>
        <w:t>（GB18597-2001）及修改清单（2013）要求</w:t>
      </w:r>
      <w:r>
        <w:rPr>
          <w:rFonts w:hint="eastAsia" w:eastAsiaTheme="minorEastAsia"/>
          <w:color w:val="000000" w:themeColor="text1"/>
          <w:szCs w:val="20"/>
        </w:rPr>
        <w:t>。</w:t>
      </w:r>
    </w:p>
    <w:p>
      <w:pPr>
        <w:autoSpaceDE w:val="0"/>
        <w:autoSpaceDN w:val="0"/>
        <w:ind w:firstLine="480"/>
        <w:rPr>
          <w:rFonts w:eastAsiaTheme="minorEastAsia"/>
          <w:color w:val="000000" w:themeColor="text1"/>
        </w:rPr>
      </w:pPr>
      <w:r>
        <w:rPr>
          <w:rFonts w:eastAsiaTheme="minorEastAsia"/>
          <w:color w:val="000000" w:themeColor="text1"/>
        </w:rPr>
        <w:t>5、一切排污者的排污口（源）和固体废物贮存、处置场所，必须按照国家标准（环境保护图形标志）（GB15562.1-1995、GB15562.2-1995）的规定，设置与之相适应的环境保护图形标志牌。</w:t>
      </w:r>
    </w:p>
    <w:p>
      <w:pPr>
        <w:autoSpaceDE w:val="0"/>
        <w:autoSpaceDN w:val="0"/>
        <w:ind w:firstLine="480"/>
        <w:rPr>
          <w:rFonts w:eastAsiaTheme="minorEastAsia"/>
          <w:color w:val="000000" w:themeColor="text1"/>
          <w:szCs w:val="24"/>
        </w:rPr>
      </w:pPr>
      <w:r>
        <w:rPr>
          <w:rFonts w:eastAsiaTheme="minorEastAsia"/>
          <w:color w:val="000000" w:themeColor="text1"/>
        </w:rPr>
        <w:t>本项目废水不设置排污口，废气设置</w:t>
      </w:r>
      <w:r>
        <w:rPr>
          <w:rFonts w:hint="eastAsia" w:eastAsiaTheme="minorEastAsia"/>
          <w:color w:val="000000" w:themeColor="text1"/>
        </w:rPr>
        <w:t>2</w:t>
      </w:r>
      <w:r>
        <w:rPr>
          <w:rFonts w:eastAsiaTheme="minorEastAsia"/>
          <w:color w:val="000000" w:themeColor="text1"/>
        </w:rPr>
        <w:t>个排污口。</w:t>
      </w:r>
    </w:p>
    <w:p>
      <w:pPr>
        <w:pStyle w:val="6"/>
        <w:spacing w:beforeLines="0" w:afterLines="0"/>
        <w:rPr>
          <w:rFonts w:eastAsiaTheme="minorEastAsia"/>
          <w:color w:val="000000" w:themeColor="text1"/>
          <w:sz w:val="28"/>
          <w:szCs w:val="28"/>
        </w:rPr>
      </w:pPr>
      <w:bookmarkStart w:id="874" w:name="_Toc24148"/>
      <w:r>
        <w:rPr>
          <w:rFonts w:eastAsiaTheme="minorEastAsia"/>
          <w:color w:val="000000" w:themeColor="text1"/>
          <w:sz w:val="28"/>
          <w:szCs w:val="28"/>
        </w:rPr>
        <w:t>9.1.4信息公开</w:t>
      </w:r>
      <w:bookmarkEnd w:id="874"/>
    </w:p>
    <w:p>
      <w:pPr>
        <w:widowControl/>
        <w:adjustRightInd w:val="0"/>
        <w:snapToGrid w:val="0"/>
        <w:ind w:firstLine="480"/>
        <w:textAlignment w:val="baseline"/>
        <w:rPr>
          <w:rFonts w:eastAsiaTheme="minorEastAsia"/>
          <w:color w:val="000000" w:themeColor="text1"/>
        </w:rPr>
      </w:pPr>
      <w:r>
        <w:rPr>
          <w:rFonts w:eastAsiaTheme="minorEastAsia"/>
          <w:color w:val="000000" w:themeColor="text1"/>
        </w:rPr>
        <w:t>根据环保部发布的《企业事业单位环境信息公开办法》（﹝2014﹞部令第31号），参照《国家重点监控企业自行监测及信息公开办法（试行）》、“《国家重点监控企业污染源监督性监测及信息公开办法（试行）》的通知”（环发﹝2013﹞81号），对普通单位及重点排污单位做出相应的信息公开规定。</w:t>
      </w:r>
    </w:p>
    <w:p>
      <w:pPr>
        <w:widowControl/>
        <w:adjustRightInd w:val="0"/>
        <w:snapToGrid w:val="0"/>
        <w:ind w:firstLine="480"/>
        <w:textAlignment w:val="baseline"/>
        <w:rPr>
          <w:rFonts w:eastAsiaTheme="minorEastAsia"/>
          <w:color w:val="000000" w:themeColor="text1"/>
        </w:rPr>
      </w:pPr>
      <w:r>
        <w:rPr>
          <w:rFonts w:eastAsiaTheme="minorEastAsia"/>
          <w:color w:val="000000" w:themeColor="text1"/>
        </w:rPr>
        <w:t>1、普通企业事业单位：</w:t>
      </w:r>
    </w:p>
    <w:p>
      <w:pPr>
        <w:widowControl/>
        <w:adjustRightInd w:val="0"/>
        <w:snapToGrid w:val="0"/>
        <w:ind w:firstLine="480"/>
        <w:textAlignment w:val="baseline"/>
        <w:rPr>
          <w:rFonts w:eastAsiaTheme="minorEastAsia"/>
          <w:color w:val="000000" w:themeColor="text1"/>
        </w:rPr>
      </w:pPr>
      <w:r>
        <w:rPr>
          <w:rFonts w:eastAsiaTheme="minorEastAsia"/>
          <w:color w:val="000000" w:themeColor="text1"/>
        </w:rPr>
        <w:t>（1）应当按照强制公开和自愿公开相结合的原则，及时、如实地公开其环境信息；</w:t>
      </w:r>
    </w:p>
    <w:p>
      <w:pPr>
        <w:widowControl/>
        <w:adjustRightInd w:val="0"/>
        <w:snapToGrid w:val="0"/>
        <w:ind w:firstLine="480"/>
        <w:textAlignment w:val="baseline"/>
        <w:rPr>
          <w:rFonts w:eastAsiaTheme="minorEastAsia"/>
          <w:color w:val="000000" w:themeColor="text1"/>
        </w:rPr>
      </w:pPr>
      <w:r>
        <w:rPr>
          <w:rFonts w:eastAsiaTheme="minorEastAsia"/>
          <w:color w:val="000000" w:themeColor="text1"/>
        </w:rPr>
        <w:t>（2）企业事业单位应当建立健全本单位环境信息公开制度，指定机构负责本单位环境信息公开日常工作；</w:t>
      </w:r>
    </w:p>
    <w:p>
      <w:pPr>
        <w:widowControl/>
        <w:adjustRightInd w:val="0"/>
        <w:snapToGrid w:val="0"/>
        <w:ind w:firstLine="480"/>
        <w:textAlignment w:val="baseline"/>
        <w:rPr>
          <w:rFonts w:eastAsiaTheme="minorEastAsia"/>
          <w:color w:val="000000" w:themeColor="text1"/>
        </w:rPr>
      </w:pPr>
      <w:r>
        <w:rPr>
          <w:rFonts w:eastAsiaTheme="minorEastAsia"/>
          <w:color w:val="000000" w:themeColor="text1"/>
        </w:rPr>
        <w:t>（3）企业事业单位环境信息涉及国家秘密、商业秘密或者个人隐私的，依法可以不公开；法律、法规另有规定的，从其规定。</w:t>
      </w:r>
    </w:p>
    <w:p>
      <w:pPr>
        <w:widowControl/>
        <w:adjustRightInd w:val="0"/>
        <w:snapToGrid w:val="0"/>
        <w:ind w:firstLine="480"/>
        <w:textAlignment w:val="baseline"/>
        <w:rPr>
          <w:rFonts w:eastAsiaTheme="minorEastAsia"/>
          <w:color w:val="000000" w:themeColor="text1"/>
        </w:rPr>
      </w:pPr>
      <w:r>
        <w:rPr>
          <w:rFonts w:eastAsiaTheme="minorEastAsia"/>
          <w:color w:val="000000" w:themeColor="text1"/>
        </w:rPr>
        <w:t>2、重点排污单位应公开以下信息：</w:t>
      </w:r>
    </w:p>
    <w:p>
      <w:pPr>
        <w:widowControl/>
        <w:adjustRightInd w:val="0"/>
        <w:snapToGrid w:val="0"/>
        <w:ind w:firstLine="480"/>
        <w:textAlignment w:val="baseline"/>
        <w:rPr>
          <w:rFonts w:eastAsiaTheme="minorEastAsia"/>
          <w:color w:val="000000" w:themeColor="text1"/>
        </w:rPr>
      </w:pPr>
      <w:r>
        <w:rPr>
          <w:rFonts w:eastAsiaTheme="minorEastAsia"/>
          <w:color w:val="000000" w:themeColor="text1"/>
        </w:rPr>
        <w:t>（1）基础信息，包括单位名称、组织机构代码、法定代表人、生产地址、联系方式，以及生产经营和管理服务的主要内容、产品及规模；</w:t>
      </w:r>
    </w:p>
    <w:p>
      <w:pPr>
        <w:widowControl/>
        <w:adjustRightInd w:val="0"/>
        <w:snapToGrid w:val="0"/>
        <w:ind w:firstLine="480"/>
        <w:textAlignment w:val="baseline"/>
        <w:rPr>
          <w:rFonts w:eastAsiaTheme="minorEastAsia"/>
          <w:color w:val="000000" w:themeColor="text1"/>
        </w:rPr>
      </w:pPr>
      <w:r>
        <w:rPr>
          <w:rFonts w:eastAsiaTheme="minorEastAsia"/>
          <w:color w:val="000000" w:themeColor="text1"/>
        </w:rPr>
        <w:t>（2）排污信息，包括主要污染物及特征污染物的名称、排放方式、排放口数量和分布情况、排放浓度和总量、超标情况，以及执行的污染物排放标准、核定的排放总量；</w:t>
      </w:r>
    </w:p>
    <w:p>
      <w:pPr>
        <w:widowControl/>
        <w:adjustRightInd w:val="0"/>
        <w:snapToGrid w:val="0"/>
        <w:ind w:firstLine="480"/>
        <w:textAlignment w:val="baseline"/>
        <w:rPr>
          <w:rFonts w:eastAsiaTheme="minorEastAsia"/>
          <w:color w:val="000000" w:themeColor="text1"/>
        </w:rPr>
      </w:pPr>
      <w:r>
        <w:rPr>
          <w:rFonts w:eastAsiaTheme="minorEastAsia"/>
          <w:color w:val="000000" w:themeColor="text1"/>
        </w:rPr>
        <w:t>（3）防治污染设施的建设和运行情况；</w:t>
      </w:r>
    </w:p>
    <w:p>
      <w:pPr>
        <w:widowControl/>
        <w:adjustRightInd w:val="0"/>
        <w:snapToGrid w:val="0"/>
        <w:ind w:firstLine="480"/>
        <w:textAlignment w:val="baseline"/>
        <w:rPr>
          <w:rFonts w:eastAsiaTheme="minorEastAsia"/>
          <w:color w:val="000000" w:themeColor="text1"/>
        </w:rPr>
      </w:pPr>
      <w:r>
        <w:rPr>
          <w:rFonts w:eastAsiaTheme="minorEastAsia"/>
          <w:color w:val="000000" w:themeColor="text1"/>
        </w:rPr>
        <w:t>（4）建设项目环境影响评价及其他环境保护行政许可情况；</w:t>
      </w:r>
    </w:p>
    <w:p>
      <w:pPr>
        <w:widowControl/>
        <w:adjustRightInd w:val="0"/>
        <w:snapToGrid w:val="0"/>
        <w:ind w:firstLine="480"/>
        <w:textAlignment w:val="baseline"/>
        <w:rPr>
          <w:rFonts w:eastAsiaTheme="minorEastAsia"/>
          <w:color w:val="000000" w:themeColor="text1"/>
        </w:rPr>
      </w:pPr>
      <w:r>
        <w:rPr>
          <w:rFonts w:eastAsiaTheme="minorEastAsia"/>
          <w:color w:val="000000" w:themeColor="text1"/>
        </w:rPr>
        <w:t>（5）突发环境事件应急预案；</w:t>
      </w:r>
    </w:p>
    <w:p>
      <w:pPr>
        <w:widowControl/>
        <w:adjustRightInd w:val="0"/>
        <w:snapToGrid w:val="0"/>
        <w:ind w:firstLine="480"/>
        <w:textAlignment w:val="baseline"/>
        <w:rPr>
          <w:rFonts w:eastAsiaTheme="minorEastAsia"/>
          <w:color w:val="000000" w:themeColor="text1"/>
        </w:rPr>
      </w:pPr>
      <w:r>
        <w:rPr>
          <w:rFonts w:eastAsiaTheme="minorEastAsia"/>
          <w:color w:val="000000" w:themeColor="text1"/>
        </w:rPr>
        <w:t>（6）其他应当公开的环境信息；</w:t>
      </w:r>
    </w:p>
    <w:p>
      <w:pPr>
        <w:autoSpaceDE w:val="0"/>
        <w:autoSpaceDN w:val="0"/>
        <w:ind w:firstLine="480"/>
        <w:rPr>
          <w:rFonts w:eastAsiaTheme="minorEastAsia"/>
          <w:color w:val="000000" w:themeColor="text1"/>
        </w:rPr>
      </w:pPr>
      <w:r>
        <w:rPr>
          <w:rFonts w:eastAsiaTheme="minorEastAsia"/>
          <w:color w:val="000000" w:themeColor="text1"/>
        </w:rPr>
        <w:t>（7）列入国家重点监控企业名单的重点排污单位还应当公开其环境自行监测方案。</w:t>
      </w:r>
      <w:bookmarkEnd w:id="858"/>
      <w:bookmarkEnd w:id="859"/>
      <w:bookmarkEnd w:id="860"/>
      <w:bookmarkEnd w:id="861"/>
      <w:bookmarkEnd w:id="862"/>
      <w:bookmarkEnd w:id="863"/>
      <w:bookmarkEnd w:id="864"/>
      <w:bookmarkEnd w:id="865"/>
      <w:bookmarkEnd w:id="866"/>
      <w:bookmarkEnd w:id="867"/>
    </w:p>
    <w:p>
      <w:pPr>
        <w:pStyle w:val="574"/>
        <w:adjustRightInd w:val="0"/>
        <w:snapToGrid w:val="0"/>
        <w:spacing w:beforeLines="0" w:afterLines="0"/>
        <w:rPr>
          <w:rFonts w:eastAsiaTheme="minorEastAsia"/>
          <w:color w:val="000000" w:themeColor="text1"/>
          <w:sz w:val="30"/>
          <w:szCs w:val="30"/>
        </w:rPr>
      </w:pPr>
      <w:bookmarkStart w:id="875" w:name="_Toc8494"/>
      <w:r>
        <w:rPr>
          <w:rFonts w:eastAsiaTheme="minorEastAsia"/>
          <w:color w:val="000000" w:themeColor="text1"/>
          <w:sz w:val="30"/>
          <w:szCs w:val="30"/>
        </w:rPr>
        <w:t>9.2环境监测</w:t>
      </w:r>
      <w:bookmarkEnd w:id="868"/>
      <w:bookmarkEnd w:id="875"/>
    </w:p>
    <w:p>
      <w:pPr>
        <w:pStyle w:val="6"/>
        <w:adjustRightInd w:val="0"/>
        <w:snapToGrid w:val="0"/>
        <w:spacing w:beforeLines="0" w:afterLines="0"/>
        <w:rPr>
          <w:rFonts w:eastAsiaTheme="minorEastAsia"/>
          <w:color w:val="000000" w:themeColor="text1"/>
          <w:sz w:val="28"/>
          <w:szCs w:val="28"/>
        </w:rPr>
      </w:pPr>
      <w:bookmarkStart w:id="876" w:name="_Toc421915972"/>
      <w:bookmarkStart w:id="877" w:name="_Toc430953977"/>
      <w:bookmarkStart w:id="878" w:name="_Toc450603711"/>
      <w:bookmarkStart w:id="879" w:name="_Toc430201486"/>
      <w:bookmarkStart w:id="880" w:name="_Toc410033941"/>
      <w:bookmarkStart w:id="881" w:name="_Toc430953769"/>
      <w:bookmarkStart w:id="882" w:name="_Toc449368566"/>
      <w:bookmarkStart w:id="883" w:name="_Toc9936"/>
      <w:r>
        <w:rPr>
          <w:rFonts w:eastAsiaTheme="minorEastAsia"/>
          <w:color w:val="000000" w:themeColor="text1"/>
          <w:sz w:val="28"/>
          <w:szCs w:val="28"/>
        </w:rPr>
        <w:t>9.2.1</w:t>
      </w:r>
      <w:bookmarkEnd w:id="876"/>
      <w:bookmarkEnd w:id="877"/>
      <w:bookmarkEnd w:id="878"/>
      <w:bookmarkEnd w:id="879"/>
      <w:bookmarkEnd w:id="880"/>
      <w:bookmarkEnd w:id="881"/>
      <w:bookmarkEnd w:id="882"/>
      <w:r>
        <w:rPr>
          <w:rFonts w:eastAsiaTheme="minorEastAsia"/>
          <w:color w:val="000000" w:themeColor="text1"/>
          <w:sz w:val="28"/>
          <w:szCs w:val="28"/>
        </w:rPr>
        <w:t>施工期环境监测计划</w:t>
      </w:r>
      <w:bookmarkEnd w:id="883"/>
    </w:p>
    <w:p>
      <w:pPr>
        <w:ind w:firstLine="480"/>
        <w:rPr>
          <w:rFonts w:eastAsiaTheme="minorEastAsia"/>
          <w:color w:val="000000" w:themeColor="text1"/>
        </w:rPr>
      </w:pPr>
      <w:r>
        <w:rPr>
          <w:rFonts w:eastAsiaTheme="minorEastAsia"/>
          <w:color w:val="000000" w:themeColor="text1"/>
        </w:rPr>
        <w:t>1、施工期环境监理计划</w:t>
      </w:r>
    </w:p>
    <w:p>
      <w:pPr>
        <w:ind w:firstLine="480"/>
        <w:rPr>
          <w:rFonts w:eastAsiaTheme="minorEastAsia"/>
          <w:color w:val="000000" w:themeColor="text1"/>
        </w:rPr>
      </w:pPr>
      <w:r>
        <w:rPr>
          <w:rFonts w:eastAsiaTheme="minorEastAsia"/>
          <w:color w:val="000000" w:themeColor="text1"/>
        </w:rPr>
        <w:t>建设单位设1人兼职负责施工期环境管理。负责检查、落实施工单位是否对施工过程中产生的废水、废气、固废和噪声等采取相应的防治措施，及时修复受到破坏的环境。</w:t>
      </w:r>
    </w:p>
    <w:p>
      <w:pPr>
        <w:ind w:firstLine="480"/>
        <w:rPr>
          <w:rFonts w:eastAsiaTheme="minorEastAsia"/>
          <w:color w:val="000000" w:themeColor="text1"/>
        </w:rPr>
      </w:pPr>
      <w:r>
        <w:rPr>
          <w:rFonts w:eastAsiaTheme="minorEastAsia"/>
          <w:color w:val="000000" w:themeColor="text1"/>
        </w:rPr>
        <w:t>建设单位委托的建设项目工程监理事项中应包括环境污染治理设施及生态破坏防治工程的内容。施工期环境监理主要内容见表9.2-1。</w:t>
      </w:r>
    </w:p>
    <w:p>
      <w:pPr>
        <w:ind w:firstLine="422"/>
        <w:jc w:val="center"/>
        <w:rPr>
          <w:rFonts w:eastAsiaTheme="minorEastAsia"/>
          <w:b/>
          <w:color w:val="000000" w:themeColor="text1"/>
          <w:sz w:val="21"/>
          <w:szCs w:val="21"/>
        </w:rPr>
      </w:pPr>
      <w:r>
        <w:rPr>
          <w:rFonts w:eastAsiaTheme="minorEastAsia"/>
          <w:b/>
          <w:color w:val="000000" w:themeColor="text1"/>
          <w:sz w:val="21"/>
          <w:szCs w:val="21"/>
        </w:rPr>
        <w:t>表9.2-1施工期环境监理计划表</w:t>
      </w:r>
    </w:p>
    <w:tbl>
      <w:tblPr>
        <w:tblStyle w:val="61"/>
        <w:tblW w:w="8522"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21"/>
        <w:gridCol w:w="710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37" w:hRule="atLeast"/>
          <w:jc w:val="center"/>
        </w:trPr>
        <w:tc>
          <w:tcPr>
            <w:tcW w:w="1421" w:type="dxa"/>
            <w:tcBorders>
              <w:top w:val="single" w:color="000000" w:sz="4" w:space="0"/>
              <w:left w:val="single" w:color="000000" w:sz="4" w:space="0"/>
              <w:bottom w:val="single" w:color="000000" w:sz="4" w:space="0"/>
              <w:right w:val="single" w:color="000000" w:sz="4" w:space="0"/>
            </w:tcBorders>
            <w:vAlign w:val="center"/>
          </w:tcPr>
          <w:p>
            <w:pPr>
              <w:pStyle w:val="625"/>
              <w:tabs>
                <w:tab w:val="left" w:pos="-2400"/>
                <w:tab w:val="left" w:pos="1320"/>
                <w:tab w:val="left" w:pos="3878"/>
                <w:tab w:val="left" w:pos="6080"/>
                <w:tab w:val="left" w:pos="6580"/>
                <w:tab w:val="left" w:pos="8137"/>
              </w:tabs>
              <w:adjustRightInd w:val="0"/>
              <w:snapToGrid w:val="0"/>
              <w:spacing w:line="360" w:lineRule="auto"/>
              <w:ind w:firstLine="0" w:firstLineChars="0"/>
              <w:jc w:val="center"/>
              <w:textAlignment w:val="center"/>
              <w:rPr>
                <w:rFonts w:eastAsiaTheme="minorEastAsia"/>
                <w:b/>
                <w:bCs/>
                <w:snapToGrid w:val="0"/>
                <w:color w:val="000000" w:themeColor="text1"/>
                <w:sz w:val="21"/>
                <w:szCs w:val="21"/>
              </w:rPr>
            </w:pPr>
            <w:r>
              <w:rPr>
                <w:rFonts w:eastAsiaTheme="minorEastAsia"/>
                <w:b/>
                <w:bCs/>
                <w:snapToGrid w:val="0"/>
                <w:color w:val="000000" w:themeColor="text1"/>
                <w:sz w:val="21"/>
                <w:szCs w:val="21"/>
              </w:rPr>
              <w:t>工程进度</w:t>
            </w:r>
          </w:p>
        </w:tc>
        <w:tc>
          <w:tcPr>
            <w:tcW w:w="7101" w:type="dxa"/>
            <w:tcBorders>
              <w:top w:val="single" w:color="000000" w:sz="4" w:space="0"/>
              <w:left w:val="single" w:color="000000" w:sz="4" w:space="0"/>
              <w:bottom w:val="single" w:color="000000" w:sz="4" w:space="0"/>
              <w:right w:val="single" w:color="000000" w:sz="4" w:space="0"/>
            </w:tcBorders>
            <w:vAlign w:val="center"/>
          </w:tcPr>
          <w:p>
            <w:pPr>
              <w:pStyle w:val="625"/>
              <w:tabs>
                <w:tab w:val="left" w:pos="-2400"/>
                <w:tab w:val="left" w:pos="1320"/>
                <w:tab w:val="left" w:pos="3878"/>
                <w:tab w:val="left" w:pos="6080"/>
                <w:tab w:val="left" w:pos="6580"/>
                <w:tab w:val="left" w:pos="8137"/>
              </w:tabs>
              <w:adjustRightInd w:val="0"/>
              <w:snapToGrid w:val="0"/>
              <w:spacing w:line="360" w:lineRule="auto"/>
              <w:ind w:firstLine="0" w:firstLineChars="0"/>
              <w:jc w:val="center"/>
              <w:textAlignment w:val="center"/>
              <w:rPr>
                <w:rFonts w:eastAsiaTheme="minorEastAsia"/>
                <w:b/>
                <w:bCs/>
                <w:snapToGrid w:val="0"/>
                <w:color w:val="000000" w:themeColor="text1"/>
                <w:sz w:val="21"/>
                <w:szCs w:val="21"/>
              </w:rPr>
            </w:pPr>
            <w:r>
              <w:rPr>
                <w:rFonts w:eastAsiaTheme="minorEastAsia"/>
                <w:b/>
                <w:bCs/>
                <w:snapToGrid w:val="0"/>
                <w:color w:val="000000" w:themeColor="text1"/>
                <w:sz w:val="21"/>
                <w:szCs w:val="21"/>
              </w:rPr>
              <w:t>监理内容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37" w:hRule="atLeast"/>
          <w:jc w:val="center"/>
        </w:trPr>
        <w:tc>
          <w:tcPr>
            <w:tcW w:w="1421" w:type="dxa"/>
            <w:tcBorders>
              <w:top w:val="single" w:color="000000" w:sz="4" w:space="0"/>
              <w:left w:val="single" w:color="000000" w:sz="4" w:space="0"/>
              <w:bottom w:val="single" w:color="000000" w:sz="4" w:space="0"/>
              <w:right w:val="single" w:color="000000" w:sz="4" w:space="0"/>
            </w:tcBorders>
            <w:vAlign w:val="center"/>
          </w:tcPr>
          <w:p>
            <w:pPr>
              <w:pStyle w:val="625"/>
              <w:tabs>
                <w:tab w:val="left" w:pos="-2400"/>
                <w:tab w:val="left" w:pos="1320"/>
                <w:tab w:val="left" w:pos="3878"/>
                <w:tab w:val="left" w:pos="6080"/>
                <w:tab w:val="left" w:pos="6580"/>
                <w:tab w:val="left" w:pos="8137"/>
              </w:tabs>
              <w:adjustRightInd w:val="0"/>
              <w:snapToGrid w:val="0"/>
              <w:spacing w:line="360" w:lineRule="auto"/>
              <w:ind w:firstLine="0" w:firstLineChars="0"/>
              <w:jc w:val="center"/>
              <w:textAlignment w:val="center"/>
              <w:rPr>
                <w:rFonts w:eastAsiaTheme="minorEastAsia"/>
                <w:snapToGrid w:val="0"/>
                <w:color w:val="000000" w:themeColor="text1"/>
                <w:sz w:val="21"/>
                <w:szCs w:val="21"/>
              </w:rPr>
            </w:pPr>
            <w:r>
              <w:rPr>
                <w:rFonts w:eastAsiaTheme="minorEastAsia"/>
                <w:snapToGrid w:val="0"/>
                <w:color w:val="000000" w:themeColor="text1"/>
                <w:sz w:val="21"/>
                <w:szCs w:val="21"/>
              </w:rPr>
              <w:t>设计阶段</w:t>
            </w:r>
          </w:p>
        </w:tc>
        <w:tc>
          <w:tcPr>
            <w:tcW w:w="7101" w:type="dxa"/>
            <w:tcBorders>
              <w:top w:val="single" w:color="000000" w:sz="4" w:space="0"/>
              <w:left w:val="single" w:color="000000" w:sz="4" w:space="0"/>
              <w:bottom w:val="single" w:color="000000" w:sz="4" w:space="0"/>
              <w:right w:val="single" w:color="000000" w:sz="4" w:space="0"/>
            </w:tcBorders>
            <w:vAlign w:val="center"/>
          </w:tcPr>
          <w:p>
            <w:pPr>
              <w:pStyle w:val="625"/>
              <w:tabs>
                <w:tab w:val="left" w:pos="-2400"/>
                <w:tab w:val="left" w:pos="1320"/>
                <w:tab w:val="left" w:pos="3878"/>
                <w:tab w:val="left" w:pos="6080"/>
                <w:tab w:val="left" w:pos="6580"/>
                <w:tab w:val="left" w:pos="8137"/>
              </w:tabs>
              <w:adjustRightInd w:val="0"/>
              <w:snapToGrid w:val="0"/>
              <w:spacing w:line="360" w:lineRule="auto"/>
              <w:ind w:firstLine="0" w:firstLineChars="0"/>
              <w:textAlignment w:val="center"/>
              <w:rPr>
                <w:rFonts w:eastAsiaTheme="minorEastAsia"/>
                <w:snapToGrid w:val="0"/>
                <w:color w:val="000000" w:themeColor="text1"/>
                <w:sz w:val="21"/>
                <w:szCs w:val="21"/>
              </w:rPr>
            </w:pPr>
            <w:r>
              <w:rPr>
                <w:rFonts w:eastAsiaTheme="minorEastAsia"/>
                <w:snapToGrid w:val="0"/>
                <w:color w:val="000000" w:themeColor="text1"/>
                <w:sz w:val="21"/>
                <w:szCs w:val="21"/>
              </w:rPr>
              <w:t>工程设计中涉及本项目产生的大气、水、噪声、固废等污染防治设施是否与主体工程同时设计，特别是施工期存在的粉尘及噪声影响问题减缓措施，资金是否在设计中得到落实。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37" w:hRule="atLeast"/>
          <w:jc w:val="center"/>
        </w:trPr>
        <w:tc>
          <w:tcPr>
            <w:tcW w:w="1421" w:type="dxa"/>
            <w:tcBorders>
              <w:top w:val="single" w:color="000000" w:sz="4" w:space="0"/>
              <w:left w:val="single" w:color="000000" w:sz="4" w:space="0"/>
              <w:bottom w:val="single" w:color="000000" w:sz="4" w:space="0"/>
              <w:right w:val="single" w:color="000000" w:sz="4" w:space="0"/>
            </w:tcBorders>
            <w:vAlign w:val="center"/>
          </w:tcPr>
          <w:p>
            <w:pPr>
              <w:pStyle w:val="625"/>
              <w:tabs>
                <w:tab w:val="left" w:pos="-2400"/>
                <w:tab w:val="left" w:pos="1320"/>
                <w:tab w:val="left" w:pos="3878"/>
                <w:tab w:val="left" w:pos="6080"/>
                <w:tab w:val="left" w:pos="6580"/>
                <w:tab w:val="left" w:pos="8137"/>
              </w:tabs>
              <w:adjustRightInd w:val="0"/>
              <w:snapToGrid w:val="0"/>
              <w:spacing w:line="360" w:lineRule="auto"/>
              <w:ind w:firstLine="0" w:firstLineChars="0"/>
              <w:jc w:val="center"/>
              <w:textAlignment w:val="center"/>
              <w:rPr>
                <w:rFonts w:eastAsiaTheme="minorEastAsia"/>
                <w:snapToGrid w:val="0"/>
                <w:color w:val="000000" w:themeColor="text1"/>
                <w:sz w:val="21"/>
                <w:szCs w:val="21"/>
              </w:rPr>
            </w:pPr>
            <w:r>
              <w:rPr>
                <w:rFonts w:eastAsiaTheme="minorEastAsia"/>
                <w:snapToGrid w:val="0"/>
                <w:color w:val="000000" w:themeColor="text1"/>
                <w:sz w:val="21"/>
                <w:szCs w:val="21"/>
              </w:rPr>
              <w:t>施工阶段</w:t>
            </w:r>
          </w:p>
        </w:tc>
        <w:tc>
          <w:tcPr>
            <w:tcW w:w="7101" w:type="dxa"/>
            <w:tcBorders>
              <w:top w:val="single" w:color="000000" w:sz="4" w:space="0"/>
              <w:left w:val="single" w:color="000000" w:sz="4" w:space="0"/>
              <w:bottom w:val="single" w:color="000000" w:sz="4" w:space="0"/>
              <w:right w:val="single" w:color="000000" w:sz="4" w:space="0"/>
            </w:tcBorders>
            <w:vAlign w:val="center"/>
          </w:tcPr>
          <w:p>
            <w:pPr>
              <w:pStyle w:val="625"/>
              <w:tabs>
                <w:tab w:val="left" w:pos="-2400"/>
                <w:tab w:val="left" w:pos="1320"/>
                <w:tab w:val="left" w:pos="3878"/>
                <w:tab w:val="left" w:pos="6080"/>
                <w:tab w:val="left" w:pos="6580"/>
                <w:tab w:val="left" w:pos="8137"/>
              </w:tabs>
              <w:adjustRightInd w:val="0"/>
              <w:snapToGrid w:val="0"/>
              <w:spacing w:line="360" w:lineRule="auto"/>
              <w:ind w:firstLine="0" w:firstLineChars="0"/>
              <w:textAlignment w:val="center"/>
              <w:rPr>
                <w:rFonts w:eastAsiaTheme="minorEastAsia"/>
                <w:snapToGrid w:val="0"/>
                <w:color w:val="000000" w:themeColor="text1"/>
                <w:sz w:val="21"/>
                <w:szCs w:val="21"/>
              </w:rPr>
            </w:pPr>
            <w:r>
              <w:rPr>
                <w:rFonts w:eastAsiaTheme="minorEastAsia"/>
                <w:snapToGrid w:val="0"/>
                <w:color w:val="000000" w:themeColor="text1"/>
                <w:sz w:val="21"/>
                <w:szCs w:val="21"/>
              </w:rPr>
              <w:t>1、各项污染防治设施工程质量是否达到；2、各项污染防治设施施工是否与主体工程同步进行；3、设置必要的施工防护措施，严格限定施工作业时间，不得在规定时间外进行施工作业。</w:t>
            </w:r>
          </w:p>
        </w:tc>
      </w:tr>
    </w:tbl>
    <w:p>
      <w:pPr>
        <w:pStyle w:val="6"/>
        <w:spacing w:beforeLines="0" w:afterLines="0"/>
        <w:rPr>
          <w:rFonts w:eastAsiaTheme="minorEastAsia"/>
          <w:color w:val="000000" w:themeColor="text1"/>
          <w:sz w:val="28"/>
          <w:szCs w:val="28"/>
        </w:rPr>
      </w:pPr>
      <w:bookmarkStart w:id="884" w:name="_Toc22096"/>
      <w:r>
        <w:rPr>
          <w:rFonts w:eastAsiaTheme="minorEastAsia"/>
          <w:color w:val="000000" w:themeColor="text1"/>
          <w:sz w:val="28"/>
          <w:szCs w:val="28"/>
        </w:rPr>
        <w:t>9.2.2运营期监测计划</w:t>
      </w:r>
      <w:bookmarkEnd w:id="884"/>
    </w:p>
    <w:p>
      <w:pPr>
        <w:ind w:firstLine="480"/>
        <w:rPr>
          <w:rFonts w:eastAsiaTheme="minorEastAsia"/>
          <w:color w:val="000000" w:themeColor="text1"/>
        </w:rPr>
      </w:pPr>
      <w:r>
        <w:rPr>
          <w:rFonts w:eastAsiaTheme="minorEastAsia"/>
          <w:color w:val="000000" w:themeColor="text1"/>
        </w:rPr>
        <w:t>建设单位明确排污责任主体为新平县平安矿业开发有限公司，认真落实以下监测计划，根据该项目的特点，主要对运营期各种污染物的收集、处置情况进行监测，建设单位应委托有资质的监测单位来完成，若监测结果超标或发现其它问题需及时采取治理措施。</w:t>
      </w:r>
    </w:p>
    <w:p>
      <w:pPr>
        <w:ind w:firstLine="480"/>
        <w:rPr>
          <w:rFonts w:eastAsiaTheme="minorEastAsia"/>
          <w:color w:val="000000" w:themeColor="text1"/>
        </w:rPr>
      </w:pPr>
      <w:r>
        <w:rPr>
          <w:rFonts w:hint="eastAsia" w:eastAsiaTheme="minorEastAsia"/>
          <w:color w:val="000000" w:themeColor="text1"/>
        </w:rPr>
        <w:t>由于我国未发布选矿行业排污单位自行监测技术指南，所以本报告根据《排污单位自行监测技术指南-总则》（HJ819-2017），</w:t>
      </w:r>
      <w:r>
        <w:rPr>
          <w:rFonts w:eastAsiaTheme="minorEastAsia"/>
          <w:color w:val="000000" w:themeColor="text1"/>
        </w:rPr>
        <w:t>该项目监测计划见表9.2-2。</w:t>
      </w:r>
    </w:p>
    <w:p>
      <w:pPr>
        <w:ind w:firstLine="480"/>
        <w:rPr>
          <w:rFonts w:eastAsiaTheme="minorEastAsia"/>
          <w:color w:val="000000" w:themeColor="text1"/>
        </w:rPr>
        <w:sectPr>
          <w:footerReference r:id="rId27" w:type="default"/>
          <w:pgSz w:w="11906" w:h="16838"/>
          <w:pgMar w:top="1440" w:right="1800" w:bottom="1440" w:left="1800" w:header="851" w:footer="992" w:gutter="0"/>
          <w:pgNumType w:fmt="numberInDash"/>
          <w:cols w:space="425" w:num="1"/>
          <w:docGrid w:type="lines" w:linePitch="312" w:charSpace="0"/>
        </w:sectPr>
      </w:pPr>
    </w:p>
    <w:p>
      <w:pPr>
        <w:adjustRightInd w:val="0"/>
        <w:snapToGrid w:val="0"/>
        <w:ind w:firstLine="0" w:firstLineChars="0"/>
        <w:jc w:val="center"/>
        <w:textAlignment w:val="baseline"/>
        <w:rPr>
          <w:rFonts w:eastAsiaTheme="minorEastAsia"/>
          <w:b/>
          <w:bCs/>
          <w:color w:val="000000" w:themeColor="text1"/>
          <w:sz w:val="21"/>
          <w:szCs w:val="21"/>
        </w:rPr>
      </w:pPr>
      <w:r>
        <w:rPr>
          <w:rFonts w:eastAsiaTheme="minorEastAsia"/>
          <w:b/>
          <w:bCs/>
          <w:color w:val="000000" w:themeColor="text1"/>
          <w:sz w:val="21"/>
          <w:szCs w:val="21"/>
        </w:rPr>
        <w:t>表9.2-2监测计划一览表</w:t>
      </w:r>
    </w:p>
    <w:tbl>
      <w:tblPr>
        <w:tblStyle w:val="61"/>
        <w:tblW w:w="1314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1"/>
        <w:gridCol w:w="3105"/>
        <w:gridCol w:w="1365"/>
        <w:gridCol w:w="1842"/>
        <w:gridCol w:w="3403"/>
        <w:gridCol w:w="1301"/>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tblHeader/>
          <w:jc w:val="center"/>
        </w:trPr>
        <w:tc>
          <w:tcPr>
            <w:tcW w:w="991"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类别</w:t>
            </w:r>
          </w:p>
        </w:tc>
        <w:tc>
          <w:tcPr>
            <w:tcW w:w="3105"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监测项目</w:t>
            </w:r>
          </w:p>
        </w:tc>
        <w:tc>
          <w:tcPr>
            <w:tcW w:w="1365"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监测点位</w:t>
            </w:r>
          </w:p>
        </w:tc>
        <w:tc>
          <w:tcPr>
            <w:tcW w:w="1842"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监测时间与频次</w:t>
            </w:r>
          </w:p>
        </w:tc>
        <w:tc>
          <w:tcPr>
            <w:tcW w:w="3403"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标准要求</w:t>
            </w:r>
          </w:p>
        </w:tc>
        <w:tc>
          <w:tcPr>
            <w:tcW w:w="1301"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负责机构</w:t>
            </w:r>
          </w:p>
        </w:tc>
        <w:tc>
          <w:tcPr>
            <w:tcW w:w="1134"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监督机构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24" w:hRule="atLeast"/>
          <w:jc w:val="center"/>
        </w:trPr>
        <w:tc>
          <w:tcPr>
            <w:tcW w:w="991"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选矿废水</w:t>
            </w:r>
          </w:p>
        </w:tc>
        <w:tc>
          <w:tcPr>
            <w:tcW w:w="3105"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pH、SS、COD</w:t>
            </w:r>
            <w:r>
              <w:rPr>
                <w:rFonts w:eastAsiaTheme="minorEastAsia"/>
                <w:color w:val="000000" w:themeColor="text1"/>
                <w:kern w:val="0"/>
                <w:sz w:val="21"/>
                <w:szCs w:val="21"/>
                <w:vertAlign w:val="subscript"/>
                <w:lang w:bidi="en-US"/>
              </w:rPr>
              <w:t>Cr</w:t>
            </w:r>
            <w:r>
              <w:rPr>
                <w:rFonts w:eastAsiaTheme="minorEastAsia"/>
                <w:color w:val="000000" w:themeColor="text1"/>
                <w:kern w:val="0"/>
                <w:sz w:val="21"/>
                <w:szCs w:val="21"/>
                <w:lang w:bidi="en-US"/>
              </w:rPr>
              <w:t>、石油类、硫化物、氟化物、</w:t>
            </w:r>
            <w:r>
              <w:rPr>
                <w:rFonts w:eastAsiaTheme="minorEastAsia"/>
                <w:bCs/>
                <w:color w:val="000000" w:themeColor="text1"/>
                <w:kern w:val="0"/>
                <w:sz w:val="21"/>
                <w:szCs w:val="21"/>
              </w:rPr>
              <w:t>铜</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锌</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硒</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砷</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汞</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镉</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六价铬</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铅</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铁</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锰</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铝</w:t>
            </w:r>
          </w:p>
        </w:tc>
        <w:tc>
          <w:tcPr>
            <w:tcW w:w="1365"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沉淀池出口</w:t>
            </w:r>
          </w:p>
        </w:tc>
        <w:tc>
          <w:tcPr>
            <w:tcW w:w="1842"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1次/年</w:t>
            </w:r>
          </w:p>
        </w:tc>
        <w:tc>
          <w:tcPr>
            <w:tcW w:w="3403"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处理达到《铁矿采选工业污染物排放标准》（GB28661-2012）表2标准后全部回用，禁止外排。</w:t>
            </w:r>
          </w:p>
        </w:tc>
        <w:tc>
          <w:tcPr>
            <w:tcW w:w="1301" w:type="dxa"/>
            <w:vMerge w:val="restart"/>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bCs/>
                <w:iCs/>
                <w:color w:val="000000" w:themeColor="text1"/>
                <w:sz w:val="21"/>
                <w:szCs w:val="21"/>
              </w:rPr>
              <w:t>新平县平安矿业开发有限公司</w:t>
            </w:r>
          </w:p>
        </w:tc>
        <w:tc>
          <w:tcPr>
            <w:tcW w:w="1134" w:type="dxa"/>
            <w:vMerge w:val="restart"/>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玉溪市生态环境局新平分局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84" w:hRule="atLeast"/>
          <w:jc w:val="center"/>
        </w:trPr>
        <w:tc>
          <w:tcPr>
            <w:tcW w:w="991"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生活污水</w:t>
            </w:r>
          </w:p>
        </w:tc>
        <w:tc>
          <w:tcPr>
            <w:tcW w:w="3105"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pH、SS、COD、BOD</w:t>
            </w:r>
            <w:r>
              <w:rPr>
                <w:rFonts w:eastAsiaTheme="minorEastAsia"/>
                <w:color w:val="000000" w:themeColor="text1"/>
                <w:kern w:val="0"/>
                <w:sz w:val="21"/>
                <w:szCs w:val="21"/>
                <w:vertAlign w:val="subscript"/>
                <w:lang w:bidi="en-US"/>
              </w:rPr>
              <w:t>5</w:t>
            </w:r>
            <w:r>
              <w:rPr>
                <w:rFonts w:eastAsiaTheme="minorEastAsia"/>
                <w:color w:val="000000" w:themeColor="text1"/>
                <w:kern w:val="0"/>
                <w:sz w:val="21"/>
                <w:szCs w:val="21"/>
                <w:lang w:bidi="en-US"/>
              </w:rPr>
              <w:t>、氨氮、总磷</w:t>
            </w:r>
          </w:p>
        </w:tc>
        <w:tc>
          <w:tcPr>
            <w:tcW w:w="1365"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生活污水处理设施进出口</w:t>
            </w:r>
          </w:p>
        </w:tc>
        <w:tc>
          <w:tcPr>
            <w:tcW w:w="1842"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1次/</w:t>
            </w:r>
            <w:r>
              <w:rPr>
                <w:rFonts w:hint="eastAsia" w:eastAsiaTheme="minorEastAsia"/>
                <w:color w:val="000000" w:themeColor="text1"/>
                <w:kern w:val="0"/>
                <w:sz w:val="21"/>
                <w:szCs w:val="21"/>
                <w:lang w:bidi="en-US"/>
              </w:rPr>
              <w:t>年</w:t>
            </w:r>
          </w:p>
        </w:tc>
        <w:tc>
          <w:tcPr>
            <w:tcW w:w="3403"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处理达到《城市污水再生利用城市杂用水水质标准》（GB/T18920-2020）晴天回用于</w:t>
            </w:r>
            <w:r>
              <w:rPr>
                <w:rFonts w:hint="eastAsia" w:eastAsiaTheme="minorEastAsia"/>
                <w:color w:val="000000" w:themeColor="text1"/>
                <w:kern w:val="0"/>
                <w:sz w:val="21"/>
                <w:szCs w:val="21"/>
                <w:lang w:bidi="en-US"/>
              </w:rPr>
              <w:t>厂区</w:t>
            </w:r>
            <w:r>
              <w:rPr>
                <w:rFonts w:eastAsiaTheme="minorEastAsia"/>
                <w:color w:val="000000" w:themeColor="text1"/>
                <w:kern w:val="0"/>
                <w:sz w:val="21"/>
                <w:szCs w:val="21"/>
                <w:lang w:bidi="en-US"/>
              </w:rPr>
              <w:t>绿化，严禁外排。</w:t>
            </w:r>
          </w:p>
        </w:tc>
        <w:tc>
          <w:tcPr>
            <w:tcW w:w="1301" w:type="dxa"/>
            <w:vMerge w:val="continue"/>
            <w:vAlign w:val="center"/>
          </w:tcPr>
          <w:p>
            <w:pPr>
              <w:widowControl/>
              <w:spacing w:line="240" w:lineRule="auto"/>
              <w:ind w:firstLine="0" w:firstLineChars="0"/>
              <w:jc w:val="center"/>
              <w:rPr>
                <w:rFonts w:eastAsiaTheme="minorEastAsia"/>
                <w:color w:val="000000" w:themeColor="text1"/>
                <w:kern w:val="0"/>
                <w:sz w:val="21"/>
                <w:szCs w:val="21"/>
                <w:lang w:bidi="en-US"/>
              </w:rPr>
            </w:pPr>
          </w:p>
        </w:tc>
        <w:tc>
          <w:tcPr>
            <w:tcW w:w="1134" w:type="dxa"/>
            <w:vMerge w:val="continue"/>
            <w:vAlign w:val="center"/>
          </w:tcPr>
          <w:p>
            <w:pPr>
              <w:widowControl/>
              <w:spacing w:line="240" w:lineRule="auto"/>
              <w:ind w:firstLine="0" w:firstLineChars="0"/>
              <w:jc w:val="center"/>
              <w:rPr>
                <w:rFonts w:eastAsiaTheme="minorEastAsia"/>
                <w:color w:val="000000" w:themeColor="text1"/>
                <w:kern w:val="0"/>
                <w:sz w:val="21"/>
                <w:szCs w:val="21"/>
                <w:lang w:bidi="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07" w:hRule="atLeast"/>
          <w:jc w:val="center"/>
        </w:trPr>
        <w:tc>
          <w:tcPr>
            <w:tcW w:w="991"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地下水</w:t>
            </w:r>
          </w:p>
        </w:tc>
        <w:tc>
          <w:tcPr>
            <w:tcW w:w="3105"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pH、SS、COD</w:t>
            </w:r>
            <w:r>
              <w:rPr>
                <w:rFonts w:eastAsiaTheme="minorEastAsia"/>
                <w:color w:val="000000" w:themeColor="text1"/>
                <w:kern w:val="0"/>
                <w:sz w:val="21"/>
                <w:szCs w:val="21"/>
                <w:vertAlign w:val="subscript"/>
                <w:lang w:bidi="en-US"/>
              </w:rPr>
              <w:t>Cr</w:t>
            </w:r>
            <w:r>
              <w:rPr>
                <w:rFonts w:eastAsiaTheme="minorEastAsia"/>
                <w:color w:val="000000" w:themeColor="text1"/>
                <w:kern w:val="0"/>
                <w:sz w:val="21"/>
                <w:szCs w:val="21"/>
                <w:lang w:bidi="en-US"/>
              </w:rPr>
              <w:t>、石油类、硫化物、氟化物、</w:t>
            </w:r>
            <w:r>
              <w:rPr>
                <w:rFonts w:eastAsiaTheme="minorEastAsia"/>
                <w:bCs/>
                <w:color w:val="000000" w:themeColor="text1"/>
                <w:kern w:val="0"/>
                <w:sz w:val="21"/>
                <w:szCs w:val="21"/>
              </w:rPr>
              <w:t>铜</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锌</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硒</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砷</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汞</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镉</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六价铬</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铅</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铁</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锰</w:t>
            </w:r>
            <w:r>
              <w:rPr>
                <w:rFonts w:hint="eastAsia" w:eastAsiaTheme="minorEastAsia"/>
                <w:bCs/>
                <w:color w:val="000000" w:themeColor="text1"/>
                <w:kern w:val="0"/>
                <w:sz w:val="21"/>
                <w:szCs w:val="21"/>
              </w:rPr>
              <w:t>、</w:t>
            </w:r>
            <w:r>
              <w:rPr>
                <w:rFonts w:eastAsiaTheme="minorEastAsia"/>
                <w:bCs/>
                <w:color w:val="000000" w:themeColor="text1"/>
                <w:kern w:val="0"/>
                <w:sz w:val="21"/>
                <w:szCs w:val="21"/>
              </w:rPr>
              <w:t>铝</w:t>
            </w:r>
          </w:p>
        </w:tc>
        <w:tc>
          <w:tcPr>
            <w:tcW w:w="1365" w:type="dxa"/>
            <w:tcMar>
              <w:left w:w="28" w:type="dxa"/>
              <w:right w:w="28" w:type="dxa"/>
            </w:tcMar>
            <w:vAlign w:val="center"/>
          </w:tcPr>
          <w:p>
            <w:pPr>
              <w:widowControl/>
              <w:spacing w:line="240" w:lineRule="auto"/>
              <w:ind w:firstLine="0" w:firstLineChars="0"/>
              <w:jc w:val="center"/>
              <w:rPr>
                <w:rFonts w:hint="eastAsia" w:eastAsiaTheme="minorEastAsia"/>
                <w:color w:val="000000" w:themeColor="text1"/>
                <w:kern w:val="0"/>
                <w:sz w:val="21"/>
                <w:szCs w:val="21"/>
                <w:lang w:val="en-US" w:eastAsia="zh-CN" w:bidi="en-US"/>
              </w:rPr>
            </w:pPr>
            <w:r>
              <w:rPr>
                <w:rFonts w:eastAsiaTheme="minorEastAsia"/>
                <w:color w:val="000000" w:themeColor="text1"/>
                <w:kern w:val="0"/>
                <w:sz w:val="21"/>
                <w:szCs w:val="21"/>
                <w:lang w:bidi="en-US"/>
              </w:rPr>
              <w:t>辣子箐尾矿库下游</w:t>
            </w:r>
            <w:r>
              <w:rPr>
                <w:rFonts w:hint="eastAsia" w:eastAsiaTheme="minorEastAsia"/>
                <w:color w:val="000000" w:themeColor="text1"/>
                <w:kern w:val="0"/>
                <w:sz w:val="21"/>
                <w:szCs w:val="21"/>
                <w:lang w:bidi="en-US"/>
              </w:rPr>
              <w:t>、东磨选厂</w:t>
            </w:r>
            <w:r>
              <w:rPr>
                <w:rFonts w:hint="eastAsia" w:eastAsiaTheme="minorEastAsia"/>
                <w:color w:val="000000" w:themeColor="text1"/>
                <w:kern w:val="0"/>
                <w:sz w:val="21"/>
                <w:szCs w:val="21"/>
                <w:lang w:val="en-US" w:eastAsia="zh-CN" w:bidi="en-US"/>
              </w:rPr>
              <w:t>下游</w:t>
            </w:r>
          </w:p>
        </w:tc>
        <w:tc>
          <w:tcPr>
            <w:tcW w:w="1842"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hint="eastAsia" w:eastAsiaTheme="minorEastAsia"/>
                <w:color w:val="000000" w:themeColor="text1"/>
                <w:kern w:val="0"/>
                <w:sz w:val="21"/>
                <w:szCs w:val="21"/>
                <w:lang w:bidi="en-US"/>
              </w:rPr>
              <w:t>1</w:t>
            </w:r>
            <w:r>
              <w:rPr>
                <w:rFonts w:eastAsiaTheme="minorEastAsia"/>
                <w:color w:val="000000" w:themeColor="text1"/>
                <w:kern w:val="0"/>
                <w:sz w:val="21"/>
                <w:szCs w:val="21"/>
                <w:lang w:bidi="en-US"/>
              </w:rPr>
              <w:t>次/</w:t>
            </w:r>
            <w:r>
              <w:rPr>
                <w:rFonts w:hint="eastAsia" w:eastAsiaTheme="minorEastAsia"/>
                <w:color w:val="000000" w:themeColor="text1"/>
                <w:kern w:val="0"/>
                <w:sz w:val="21"/>
                <w:szCs w:val="21"/>
                <w:lang w:bidi="en-US"/>
              </w:rPr>
              <w:t>半</w:t>
            </w:r>
            <w:r>
              <w:rPr>
                <w:rFonts w:eastAsiaTheme="minorEastAsia"/>
                <w:color w:val="000000" w:themeColor="text1"/>
                <w:kern w:val="0"/>
                <w:sz w:val="21"/>
                <w:szCs w:val="21"/>
                <w:lang w:bidi="en-US"/>
              </w:rPr>
              <w:t>年</w:t>
            </w:r>
          </w:p>
        </w:tc>
        <w:tc>
          <w:tcPr>
            <w:tcW w:w="3403"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《地下水质量标准》（GB14848-2017）</w:t>
            </w:r>
            <w:r>
              <w:rPr>
                <w:rFonts w:eastAsiaTheme="minorEastAsia"/>
                <w:color w:val="000000" w:themeColor="text1"/>
                <w:kern w:val="0"/>
                <w:sz w:val="21"/>
                <w:szCs w:val="21"/>
                <w:lang w:bidi="en-US"/>
              </w:rPr>
              <w:fldChar w:fldCharType="begin"/>
            </w:r>
            <w:r>
              <w:rPr>
                <w:rFonts w:eastAsiaTheme="minorEastAsia"/>
                <w:color w:val="000000" w:themeColor="text1"/>
                <w:kern w:val="0"/>
                <w:sz w:val="21"/>
                <w:szCs w:val="21"/>
                <w:lang w:bidi="en-US"/>
              </w:rPr>
              <w:instrText xml:space="preserve"> = 3 \* ROMAN </w:instrText>
            </w:r>
            <w:r>
              <w:rPr>
                <w:rFonts w:eastAsiaTheme="minorEastAsia"/>
                <w:color w:val="000000" w:themeColor="text1"/>
                <w:kern w:val="0"/>
                <w:sz w:val="21"/>
                <w:szCs w:val="21"/>
                <w:lang w:bidi="en-US"/>
              </w:rPr>
              <w:fldChar w:fldCharType="separate"/>
            </w:r>
            <w:r>
              <w:rPr>
                <w:rFonts w:eastAsiaTheme="minorEastAsia"/>
                <w:color w:val="000000" w:themeColor="text1"/>
                <w:kern w:val="0"/>
                <w:sz w:val="21"/>
                <w:szCs w:val="21"/>
                <w:lang w:bidi="en-US"/>
              </w:rPr>
              <w:t>III</w:t>
            </w:r>
            <w:r>
              <w:rPr>
                <w:rFonts w:eastAsiaTheme="minorEastAsia"/>
                <w:color w:val="000000" w:themeColor="text1"/>
                <w:kern w:val="0"/>
                <w:sz w:val="21"/>
                <w:szCs w:val="21"/>
                <w:lang w:bidi="en-US"/>
              </w:rPr>
              <w:fldChar w:fldCharType="end"/>
            </w:r>
            <w:r>
              <w:rPr>
                <w:rFonts w:eastAsiaTheme="minorEastAsia"/>
                <w:color w:val="000000" w:themeColor="text1"/>
                <w:kern w:val="0"/>
                <w:sz w:val="21"/>
                <w:szCs w:val="21"/>
                <w:lang w:bidi="en-US"/>
              </w:rPr>
              <w:t>类标准要求</w:t>
            </w:r>
          </w:p>
        </w:tc>
        <w:tc>
          <w:tcPr>
            <w:tcW w:w="1301" w:type="dxa"/>
            <w:vMerge w:val="continue"/>
            <w:vAlign w:val="center"/>
          </w:tcPr>
          <w:p>
            <w:pPr>
              <w:widowControl/>
              <w:spacing w:line="240" w:lineRule="auto"/>
              <w:ind w:firstLine="0" w:firstLineChars="0"/>
              <w:jc w:val="center"/>
              <w:rPr>
                <w:rFonts w:eastAsiaTheme="minorEastAsia"/>
                <w:color w:val="000000" w:themeColor="text1"/>
                <w:kern w:val="0"/>
                <w:sz w:val="21"/>
                <w:szCs w:val="21"/>
                <w:lang w:bidi="en-US"/>
              </w:rPr>
            </w:pPr>
          </w:p>
        </w:tc>
        <w:tc>
          <w:tcPr>
            <w:tcW w:w="1134" w:type="dxa"/>
            <w:vMerge w:val="continue"/>
            <w:vAlign w:val="center"/>
          </w:tcPr>
          <w:p>
            <w:pPr>
              <w:widowControl/>
              <w:spacing w:line="240" w:lineRule="auto"/>
              <w:ind w:firstLine="0" w:firstLineChars="0"/>
              <w:jc w:val="center"/>
              <w:rPr>
                <w:rFonts w:eastAsiaTheme="minorEastAsia"/>
                <w:color w:val="000000" w:themeColor="text1"/>
                <w:kern w:val="0"/>
                <w:sz w:val="21"/>
                <w:szCs w:val="21"/>
                <w:lang w:bidi="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79" w:hRule="atLeast"/>
          <w:jc w:val="center"/>
        </w:trPr>
        <w:tc>
          <w:tcPr>
            <w:tcW w:w="991" w:type="dxa"/>
            <w:vMerge w:val="restart"/>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废气</w:t>
            </w:r>
          </w:p>
        </w:tc>
        <w:tc>
          <w:tcPr>
            <w:tcW w:w="3105"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颗粒物</w:t>
            </w:r>
          </w:p>
        </w:tc>
        <w:tc>
          <w:tcPr>
            <w:tcW w:w="1365"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原矿石加工废气的排气筒排口</w:t>
            </w:r>
            <w:r>
              <w:rPr>
                <w:rFonts w:hint="eastAsia" w:eastAsiaTheme="minorEastAsia"/>
                <w:color w:val="000000" w:themeColor="text1"/>
                <w:kern w:val="0"/>
                <w:sz w:val="21"/>
                <w:szCs w:val="21"/>
                <w:lang w:bidi="en-US"/>
              </w:rPr>
              <w:t>DA001、DA002</w:t>
            </w:r>
          </w:p>
        </w:tc>
        <w:tc>
          <w:tcPr>
            <w:tcW w:w="1842"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bidi="en-US"/>
              </w:rPr>
              <w:t>1次/年</w:t>
            </w:r>
          </w:p>
        </w:tc>
        <w:tc>
          <w:tcPr>
            <w:tcW w:w="3403"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《铁矿采选工业污染物排放标准》（GB28661-2012）表5标准限值</w:t>
            </w:r>
          </w:p>
        </w:tc>
        <w:tc>
          <w:tcPr>
            <w:tcW w:w="1301" w:type="dxa"/>
            <w:vMerge w:val="continue"/>
            <w:vAlign w:val="center"/>
          </w:tcPr>
          <w:p>
            <w:pPr>
              <w:widowControl/>
              <w:spacing w:line="240" w:lineRule="auto"/>
              <w:ind w:firstLine="0" w:firstLineChars="0"/>
              <w:jc w:val="center"/>
              <w:rPr>
                <w:rFonts w:eastAsiaTheme="minorEastAsia"/>
                <w:color w:val="000000" w:themeColor="text1"/>
                <w:kern w:val="0"/>
                <w:sz w:val="21"/>
                <w:szCs w:val="21"/>
                <w:lang w:bidi="en-US"/>
              </w:rPr>
            </w:pPr>
          </w:p>
        </w:tc>
        <w:tc>
          <w:tcPr>
            <w:tcW w:w="1134" w:type="dxa"/>
            <w:vMerge w:val="continue"/>
            <w:vAlign w:val="center"/>
          </w:tcPr>
          <w:p>
            <w:pPr>
              <w:widowControl/>
              <w:spacing w:line="240" w:lineRule="auto"/>
              <w:ind w:firstLine="0" w:firstLineChars="0"/>
              <w:jc w:val="center"/>
              <w:rPr>
                <w:rFonts w:eastAsiaTheme="minorEastAsia"/>
                <w:color w:val="000000" w:themeColor="text1"/>
                <w:kern w:val="0"/>
                <w:sz w:val="21"/>
                <w:szCs w:val="21"/>
                <w:lang w:bidi="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79" w:hRule="atLeast"/>
          <w:jc w:val="center"/>
        </w:trPr>
        <w:tc>
          <w:tcPr>
            <w:tcW w:w="991" w:type="dxa"/>
            <w:vMerge w:val="continue"/>
            <w:vAlign w:val="center"/>
          </w:tcPr>
          <w:p>
            <w:pPr>
              <w:widowControl/>
              <w:spacing w:line="240" w:lineRule="auto"/>
              <w:ind w:firstLine="0" w:firstLineChars="0"/>
              <w:jc w:val="center"/>
              <w:rPr>
                <w:rFonts w:eastAsiaTheme="minorEastAsia"/>
                <w:color w:val="000000" w:themeColor="text1"/>
                <w:kern w:val="0"/>
                <w:sz w:val="21"/>
                <w:szCs w:val="21"/>
                <w:lang w:bidi="en-US"/>
              </w:rPr>
            </w:pPr>
          </w:p>
        </w:tc>
        <w:tc>
          <w:tcPr>
            <w:tcW w:w="3105"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厂界无组织颗粒物</w:t>
            </w:r>
          </w:p>
        </w:tc>
        <w:tc>
          <w:tcPr>
            <w:tcW w:w="1365"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厂界外10m范围内</w:t>
            </w:r>
          </w:p>
        </w:tc>
        <w:tc>
          <w:tcPr>
            <w:tcW w:w="1842"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1次/年</w:t>
            </w:r>
          </w:p>
        </w:tc>
        <w:tc>
          <w:tcPr>
            <w:tcW w:w="3403"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《铁矿采选工业污染物排放标准》（GB28661-2012）表7无组织排放浓度排放限值1.0mg/m</w:t>
            </w:r>
            <w:r>
              <w:rPr>
                <w:rFonts w:eastAsiaTheme="minorEastAsia"/>
                <w:color w:val="000000" w:themeColor="text1"/>
                <w:kern w:val="0"/>
                <w:sz w:val="21"/>
                <w:szCs w:val="21"/>
                <w:vertAlign w:val="superscript"/>
                <w:lang w:bidi="en-US"/>
              </w:rPr>
              <w:t>3</w:t>
            </w:r>
          </w:p>
        </w:tc>
        <w:tc>
          <w:tcPr>
            <w:tcW w:w="1301" w:type="dxa"/>
            <w:vMerge w:val="continue"/>
            <w:vAlign w:val="center"/>
          </w:tcPr>
          <w:p>
            <w:pPr>
              <w:widowControl/>
              <w:spacing w:line="240" w:lineRule="auto"/>
              <w:ind w:firstLine="0" w:firstLineChars="0"/>
              <w:jc w:val="center"/>
              <w:rPr>
                <w:rFonts w:eastAsiaTheme="minorEastAsia"/>
                <w:color w:val="000000" w:themeColor="text1"/>
                <w:kern w:val="0"/>
                <w:sz w:val="21"/>
                <w:szCs w:val="21"/>
                <w:lang w:bidi="en-US"/>
              </w:rPr>
            </w:pPr>
          </w:p>
        </w:tc>
        <w:tc>
          <w:tcPr>
            <w:tcW w:w="1134" w:type="dxa"/>
            <w:vMerge w:val="continue"/>
            <w:vAlign w:val="center"/>
          </w:tcPr>
          <w:p>
            <w:pPr>
              <w:widowControl/>
              <w:spacing w:line="240" w:lineRule="auto"/>
              <w:ind w:firstLine="0" w:firstLineChars="0"/>
              <w:jc w:val="center"/>
              <w:rPr>
                <w:rFonts w:eastAsiaTheme="minorEastAsia"/>
                <w:color w:val="000000" w:themeColor="text1"/>
                <w:kern w:val="0"/>
                <w:sz w:val="21"/>
                <w:szCs w:val="21"/>
                <w:lang w:bidi="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51" w:hRule="atLeast"/>
          <w:jc w:val="center"/>
        </w:trPr>
        <w:tc>
          <w:tcPr>
            <w:tcW w:w="991"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噪声</w:t>
            </w:r>
          </w:p>
        </w:tc>
        <w:tc>
          <w:tcPr>
            <w:tcW w:w="3105"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eastAsia="en-US" w:bidi="en-US"/>
              </w:rPr>
              <w:t>等效连续A声级</w:t>
            </w:r>
          </w:p>
        </w:tc>
        <w:tc>
          <w:tcPr>
            <w:tcW w:w="1365" w:type="dxa"/>
            <w:vAlign w:val="center"/>
          </w:tcPr>
          <w:p>
            <w:pPr>
              <w:widowControl/>
              <w:spacing w:line="240" w:lineRule="auto"/>
              <w:ind w:firstLine="0" w:firstLineChars="0"/>
              <w:jc w:val="center"/>
              <w:rPr>
                <w:rFonts w:eastAsiaTheme="minorEastAsia"/>
                <w:color w:val="000000" w:themeColor="text1"/>
                <w:kern w:val="0"/>
                <w:sz w:val="21"/>
                <w:szCs w:val="21"/>
                <w:lang w:eastAsia="en-US" w:bidi="en-US"/>
              </w:rPr>
            </w:pPr>
            <w:r>
              <w:rPr>
                <w:rFonts w:eastAsiaTheme="minorEastAsia"/>
                <w:color w:val="000000" w:themeColor="text1"/>
                <w:kern w:val="0"/>
                <w:sz w:val="21"/>
                <w:szCs w:val="21"/>
                <w:lang w:eastAsia="en-US" w:bidi="en-US"/>
              </w:rPr>
              <w:t>厂界四周1m处</w:t>
            </w:r>
          </w:p>
        </w:tc>
        <w:tc>
          <w:tcPr>
            <w:tcW w:w="1842"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1次/</w:t>
            </w:r>
            <w:r>
              <w:rPr>
                <w:rFonts w:hint="eastAsia" w:eastAsiaTheme="minorEastAsia"/>
                <w:color w:val="000000" w:themeColor="text1"/>
                <w:kern w:val="0"/>
                <w:sz w:val="21"/>
                <w:szCs w:val="21"/>
                <w:lang w:bidi="en-US"/>
              </w:rPr>
              <w:t>季度</w:t>
            </w:r>
          </w:p>
        </w:tc>
        <w:tc>
          <w:tcPr>
            <w:tcW w:w="3403" w:type="dxa"/>
            <w:vAlign w:val="center"/>
          </w:tcPr>
          <w:p>
            <w:pPr>
              <w:widowControl/>
              <w:spacing w:line="240" w:lineRule="auto"/>
              <w:ind w:firstLine="0" w:firstLineChars="0"/>
              <w:jc w:val="center"/>
              <w:rPr>
                <w:rFonts w:eastAsiaTheme="minorEastAsia"/>
                <w:color w:val="000000" w:themeColor="text1"/>
                <w:kern w:val="0"/>
                <w:sz w:val="21"/>
                <w:szCs w:val="21"/>
                <w:lang w:bidi="en-US"/>
              </w:rPr>
            </w:pPr>
            <w:r>
              <w:rPr>
                <w:rFonts w:eastAsiaTheme="minorEastAsia"/>
                <w:color w:val="000000" w:themeColor="text1"/>
                <w:kern w:val="0"/>
                <w:sz w:val="21"/>
                <w:szCs w:val="21"/>
                <w:lang w:bidi="en-US"/>
              </w:rPr>
              <w:t>《工业企业厂界环境噪声排放标准》（GB12348-2008）3类标准</w:t>
            </w:r>
          </w:p>
        </w:tc>
        <w:tc>
          <w:tcPr>
            <w:tcW w:w="1301" w:type="dxa"/>
            <w:vMerge w:val="continue"/>
            <w:vAlign w:val="center"/>
          </w:tcPr>
          <w:p>
            <w:pPr>
              <w:widowControl/>
              <w:spacing w:line="240" w:lineRule="auto"/>
              <w:ind w:firstLine="0" w:firstLineChars="0"/>
              <w:jc w:val="center"/>
              <w:rPr>
                <w:rFonts w:eastAsiaTheme="minorEastAsia"/>
                <w:color w:val="000000" w:themeColor="text1"/>
                <w:kern w:val="0"/>
                <w:sz w:val="21"/>
                <w:szCs w:val="21"/>
                <w:lang w:bidi="en-US"/>
              </w:rPr>
            </w:pPr>
          </w:p>
        </w:tc>
        <w:tc>
          <w:tcPr>
            <w:tcW w:w="1134" w:type="dxa"/>
            <w:vMerge w:val="continue"/>
            <w:vAlign w:val="center"/>
          </w:tcPr>
          <w:p>
            <w:pPr>
              <w:widowControl/>
              <w:spacing w:line="240" w:lineRule="auto"/>
              <w:ind w:firstLine="0" w:firstLineChars="0"/>
              <w:jc w:val="center"/>
              <w:rPr>
                <w:rFonts w:eastAsiaTheme="minorEastAsia"/>
                <w:color w:val="000000" w:themeColor="text1"/>
                <w:kern w:val="0"/>
                <w:sz w:val="21"/>
                <w:szCs w:val="21"/>
                <w:lang w:bidi="en-US"/>
              </w:rPr>
            </w:pPr>
          </w:p>
        </w:tc>
      </w:tr>
    </w:tbl>
    <w:p>
      <w:pPr>
        <w:pStyle w:val="51"/>
        <w:rPr>
          <w:color w:val="000000" w:themeColor="text1"/>
          <w:lang w:eastAsia="zh-CN"/>
        </w:rPr>
        <w:sectPr>
          <w:pgSz w:w="16838" w:h="11906" w:orient="landscape"/>
          <w:pgMar w:top="1800" w:right="1440" w:bottom="1800" w:left="1440" w:header="851" w:footer="992" w:gutter="0"/>
          <w:pgNumType w:fmt="numberInDash"/>
          <w:cols w:space="425" w:num="1"/>
          <w:docGrid w:type="lines" w:linePitch="312" w:charSpace="0"/>
        </w:sectPr>
      </w:pPr>
    </w:p>
    <w:p>
      <w:pPr>
        <w:pStyle w:val="5"/>
        <w:rPr>
          <w:rFonts w:ascii="Times New Roman" w:hAnsi="Times New Roman" w:eastAsiaTheme="minorEastAsia"/>
          <w:color w:val="000000" w:themeColor="text1"/>
          <w:szCs w:val="30"/>
        </w:rPr>
      </w:pPr>
      <w:bookmarkStart w:id="885" w:name="_Toc17869"/>
      <w:r>
        <w:rPr>
          <w:rFonts w:ascii="Times New Roman" w:hAnsi="Times New Roman" w:eastAsiaTheme="minorEastAsia"/>
          <w:color w:val="000000" w:themeColor="text1"/>
          <w:szCs w:val="30"/>
        </w:rPr>
        <w:t>9.3排污许可证制度</w:t>
      </w:r>
      <w:bookmarkEnd w:id="885"/>
    </w:p>
    <w:p>
      <w:pPr>
        <w:ind w:firstLine="480"/>
        <w:rPr>
          <w:rFonts w:eastAsiaTheme="minorEastAsia"/>
          <w:color w:val="000000" w:themeColor="text1"/>
        </w:rPr>
      </w:pPr>
      <w:r>
        <w:rPr>
          <w:rFonts w:eastAsiaTheme="minorEastAsia"/>
          <w:color w:val="000000" w:themeColor="text1"/>
        </w:rPr>
        <w:t>根据国务院办公厅2016年11月10日颁发《国务院办公厅关于印发控制污染物排放许可制实施方案的通知》（国办发﹝2016﹞81号），到2020年完成覆盖所有固定污染源的排污许可证核发工作，并建立健全企事业单位污染物排放总量控制制度，逐步实现由行政区域污染物排放总量控制向企事业单位污染物排放总量控制转变，控制的范围逐渐统一到固定污染源。</w:t>
      </w:r>
    </w:p>
    <w:p>
      <w:pPr>
        <w:ind w:firstLine="480"/>
        <w:rPr>
          <w:rFonts w:eastAsiaTheme="minorEastAsia"/>
          <w:color w:val="000000" w:themeColor="text1"/>
        </w:rPr>
      </w:pPr>
      <w:r>
        <w:rPr>
          <w:rFonts w:eastAsiaTheme="minorEastAsia"/>
          <w:color w:val="000000" w:themeColor="text1"/>
        </w:rPr>
        <w:t>环境保护部于2016年7月15日发布《关于印发&lt;“十三五”环境影响评价改革实施方案&gt;的通知》（环环评﹝2016﹞95号）中提出：“项目环评重在落实环境质量目标管理要求，优化环保措施，强化环境风险防控，做好与排污许可的衔接。”</w:t>
      </w:r>
    </w:p>
    <w:p>
      <w:pPr>
        <w:ind w:firstLine="480"/>
        <w:rPr>
          <w:rFonts w:eastAsiaTheme="minorEastAsia"/>
          <w:color w:val="000000" w:themeColor="text1"/>
        </w:rPr>
      </w:pPr>
      <w:r>
        <w:rPr>
          <w:rFonts w:eastAsiaTheme="minorEastAsia"/>
          <w:color w:val="000000" w:themeColor="text1"/>
        </w:rPr>
        <w:t>环境保护部办公厅于2017年11月24日印发《关于做好环境影响评价制度与排污许可证衔接相关工作的通知》（环办环评﹝2017﹞84号）中提出：“排污许可制是企事业单位生产运营期排污的法律依据，是确保环境影响评价提出的污染防治设施和措施落实落地的重要保障。”</w:t>
      </w:r>
    </w:p>
    <w:p>
      <w:pPr>
        <w:ind w:firstLine="480"/>
        <w:rPr>
          <w:rFonts w:eastAsiaTheme="majorEastAsia"/>
          <w:color w:val="000000" w:themeColor="text1"/>
          <w:szCs w:val="24"/>
        </w:rPr>
      </w:pPr>
      <w:r>
        <w:rPr>
          <w:rFonts w:eastAsiaTheme="minorEastAsia"/>
          <w:color w:val="000000" w:themeColor="text1"/>
        </w:rPr>
        <w:t>综上，根据本环评报告书，项目设置废气排放口</w:t>
      </w:r>
      <w:r>
        <w:rPr>
          <w:rFonts w:hint="eastAsia" w:eastAsiaTheme="minorEastAsia"/>
          <w:color w:val="000000" w:themeColor="text1"/>
        </w:rPr>
        <w:t>2</w:t>
      </w:r>
      <w:r>
        <w:rPr>
          <w:rFonts w:eastAsiaTheme="minorEastAsia"/>
          <w:color w:val="000000" w:themeColor="text1"/>
        </w:rPr>
        <w:t>个，必须在发生实际排污行为之前取得环评批复，申领排污许可证，环境影响评价文件及批复中与污染物排放相关的主要内容应当纳入排污许可证，其排污许可证执</w:t>
      </w:r>
      <w:r>
        <w:rPr>
          <w:rFonts w:eastAsiaTheme="majorEastAsia"/>
          <w:color w:val="000000" w:themeColor="text1"/>
        </w:rPr>
        <w:t>行情况应作为环境影响后评价的重要依据。</w:t>
      </w:r>
    </w:p>
    <w:p>
      <w:pPr>
        <w:pStyle w:val="5"/>
        <w:rPr>
          <w:rFonts w:ascii="Times New Roman" w:hAnsi="Times New Roman" w:eastAsiaTheme="majorEastAsia"/>
          <w:color w:val="000000" w:themeColor="text1"/>
          <w:szCs w:val="30"/>
        </w:rPr>
      </w:pPr>
      <w:bookmarkStart w:id="886" w:name="_Toc32716"/>
      <w:bookmarkStart w:id="887" w:name="_Toc24208357"/>
      <w:r>
        <w:rPr>
          <w:rFonts w:ascii="Times New Roman" w:hAnsi="Times New Roman" w:eastAsiaTheme="majorEastAsia"/>
          <w:color w:val="000000" w:themeColor="text1"/>
          <w:szCs w:val="30"/>
        </w:rPr>
        <w:t>9.4总量控制指标</w:t>
      </w:r>
      <w:bookmarkEnd w:id="886"/>
      <w:bookmarkEnd w:id="887"/>
    </w:p>
    <w:p>
      <w:pPr>
        <w:pStyle w:val="626"/>
        <w:rPr>
          <w:rFonts w:eastAsiaTheme="majorEastAsia"/>
          <w:color w:val="000000" w:themeColor="text1"/>
          <w:szCs w:val="24"/>
        </w:rPr>
      </w:pPr>
      <w:r>
        <w:rPr>
          <w:rFonts w:eastAsiaTheme="majorEastAsia"/>
          <w:color w:val="000000" w:themeColor="text1"/>
          <w:szCs w:val="24"/>
        </w:rPr>
        <w:t>国家重点控制的总量因子：废气中排放的SO</w:t>
      </w:r>
      <w:r>
        <w:rPr>
          <w:rFonts w:eastAsiaTheme="majorEastAsia"/>
          <w:color w:val="000000" w:themeColor="text1"/>
          <w:szCs w:val="24"/>
          <w:vertAlign w:val="subscript"/>
        </w:rPr>
        <w:t>2</w:t>
      </w:r>
      <w:r>
        <w:rPr>
          <w:rFonts w:eastAsiaTheme="majorEastAsia"/>
          <w:color w:val="000000" w:themeColor="text1"/>
          <w:szCs w:val="24"/>
        </w:rPr>
        <w:t>、氮氧化物和废水中排放的COD、氨氮。</w:t>
      </w:r>
    </w:p>
    <w:p>
      <w:pPr>
        <w:ind w:firstLine="480"/>
        <w:rPr>
          <w:rFonts w:eastAsiaTheme="majorEastAsia"/>
          <w:color w:val="000000" w:themeColor="text1"/>
          <w:szCs w:val="24"/>
        </w:rPr>
      </w:pPr>
      <w:r>
        <w:rPr>
          <w:rFonts w:eastAsiaTheme="majorEastAsia"/>
          <w:color w:val="000000" w:themeColor="text1"/>
          <w:szCs w:val="24"/>
        </w:rPr>
        <w:t>总量控制有关要求：各企业新建项目SO</w:t>
      </w:r>
      <w:r>
        <w:rPr>
          <w:rFonts w:eastAsiaTheme="majorEastAsia"/>
          <w:color w:val="000000" w:themeColor="text1"/>
          <w:szCs w:val="24"/>
          <w:vertAlign w:val="subscript"/>
        </w:rPr>
        <w:t>2</w:t>
      </w:r>
      <w:r>
        <w:rPr>
          <w:rFonts w:eastAsiaTheme="majorEastAsia"/>
          <w:color w:val="000000" w:themeColor="text1"/>
          <w:szCs w:val="24"/>
        </w:rPr>
        <w:t>、氮氧化物和COD、氨氮指标必须有可靠的总量来源，其余污染物指标以及企业特征污染物的总量，将在严格要求达标排放的基础上根据项目排污情况，在环评报告中提出总量控制建议值，由企业向当地生态环境主管部门申请，经批准后，作为企业的总量控制指标。</w:t>
      </w:r>
    </w:p>
    <w:p>
      <w:pPr>
        <w:ind w:firstLine="480"/>
        <w:rPr>
          <w:rFonts w:eastAsiaTheme="majorEastAsia"/>
          <w:color w:val="000000" w:themeColor="text1"/>
          <w:szCs w:val="24"/>
        </w:rPr>
      </w:pPr>
      <w:r>
        <w:rPr>
          <w:rFonts w:eastAsiaTheme="majorEastAsia"/>
          <w:color w:val="000000" w:themeColor="text1"/>
          <w:szCs w:val="24"/>
        </w:rPr>
        <w:t>本项目生活污水经处理后回用于厂区绿化；生产废水经沉淀池处理后回用于生产；生产废水、生活污水不外排，不设置总量控制指标。所有工业固废均得到有效处理、处置，处置率100%。</w:t>
      </w:r>
    </w:p>
    <w:p>
      <w:pPr>
        <w:ind w:firstLine="480"/>
        <w:jc w:val="both"/>
        <w:rPr>
          <w:rFonts w:eastAsiaTheme="majorEastAsia"/>
          <w:color w:val="000000" w:themeColor="text1"/>
          <w:szCs w:val="24"/>
        </w:rPr>
      </w:pPr>
      <w:r>
        <w:rPr>
          <w:rFonts w:eastAsiaTheme="majorEastAsia"/>
          <w:color w:val="000000" w:themeColor="text1"/>
          <w:szCs w:val="24"/>
        </w:rPr>
        <w:t>本项目废气有组织颗粒物排放量为</w:t>
      </w:r>
      <w:r>
        <w:rPr>
          <w:rFonts w:hint="eastAsia" w:eastAsiaTheme="minorEastAsia"/>
          <w:color w:val="000000" w:themeColor="text1"/>
        </w:rPr>
        <w:t>0.451</w:t>
      </w:r>
      <w:r>
        <w:rPr>
          <w:rFonts w:eastAsiaTheme="minorEastAsia"/>
          <w:color w:val="000000" w:themeColor="text1"/>
        </w:rPr>
        <w:t>t/a</w:t>
      </w:r>
      <w:r>
        <w:rPr>
          <w:rFonts w:eastAsiaTheme="majorEastAsia"/>
          <w:color w:val="000000" w:themeColor="text1"/>
          <w:szCs w:val="24"/>
        </w:rPr>
        <w:t>，</w:t>
      </w:r>
      <w:r>
        <w:rPr>
          <w:rFonts w:hint="eastAsia" w:eastAsiaTheme="majorEastAsia"/>
          <w:color w:val="000000" w:themeColor="text1"/>
          <w:szCs w:val="24"/>
        </w:rPr>
        <w:t>无组织颗粒物排放量为13.521</w:t>
      </w:r>
      <w:r>
        <w:rPr>
          <w:rFonts w:eastAsiaTheme="minorEastAsia"/>
          <w:color w:val="000000" w:themeColor="text1"/>
        </w:rPr>
        <w:t>t/a</w:t>
      </w:r>
      <w:r>
        <w:rPr>
          <w:rFonts w:hint="eastAsia" w:eastAsiaTheme="minorEastAsia"/>
          <w:color w:val="000000" w:themeColor="text1"/>
        </w:rPr>
        <w:t>，</w:t>
      </w:r>
      <w:r>
        <w:rPr>
          <w:rFonts w:eastAsiaTheme="majorEastAsia"/>
          <w:color w:val="000000" w:themeColor="text1"/>
          <w:szCs w:val="24"/>
        </w:rPr>
        <w:t>废气量为</w:t>
      </w:r>
      <w:r>
        <w:rPr>
          <w:rFonts w:hint="eastAsia" w:eastAsiaTheme="majorEastAsia"/>
          <w:color w:val="000000" w:themeColor="text1"/>
          <w:szCs w:val="24"/>
        </w:rPr>
        <w:t>25200</w:t>
      </w:r>
      <w:r>
        <w:rPr>
          <w:rFonts w:eastAsiaTheme="majorEastAsia"/>
          <w:color w:val="000000" w:themeColor="text1"/>
          <w:szCs w:val="24"/>
        </w:rPr>
        <w:t>万Nm</w:t>
      </w:r>
      <w:r>
        <w:rPr>
          <w:rFonts w:eastAsiaTheme="majorEastAsia"/>
          <w:color w:val="000000" w:themeColor="text1"/>
          <w:szCs w:val="24"/>
          <w:vertAlign w:val="superscript"/>
        </w:rPr>
        <w:t>3</w:t>
      </w:r>
      <w:r>
        <w:rPr>
          <w:rFonts w:eastAsiaTheme="majorEastAsia"/>
          <w:color w:val="000000" w:themeColor="text1"/>
          <w:szCs w:val="24"/>
        </w:rPr>
        <w:t>/a。</w:t>
      </w:r>
    </w:p>
    <w:p>
      <w:pPr>
        <w:pStyle w:val="5"/>
        <w:rPr>
          <w:rFonts w:ascii="Times New Roman" w:hAnsi="Times New Roman" w:eastAsiaTheme="majorEastAsia"/>
          <w:color w:val="000000" w:themeColor="text1"/>
          <w:szCs w:val="30"/>
        </w:rPr>
      </w:pPr>
      <w:bookmarkStart w:id="888" w:name="_Toc449368571"/>
      <w:bookmarkStart w:id="889" w:name="_Toc28954"/>
      <w:bookmarkStart w:id="890" w:name="_Toc430953774"/>
      <w:bookmarkStart w:id="891" w:name="_Toc410033946"/>
      <w:bookmarkStart w:id="892" w:name="_Toc24208358"/>
      <w:bookmarkStart w:id="893" w:name="_Toc421915977"/>
      <w:bookmarkStart w:id="894" w:name="_Toc396311728"/>
      <w:bookmarkStart w:id="895" w:name="_Toc450603716"/>
      <w:bookmarkStart w:id="896" w:name="_Toc430953982"/>
      <w:bookmarkStart w:id="897" w:name="_Toc430201491"/>
      <w:r>
        <w:rPr>
          <w:rFonts w:ascii="Times New Roman" w:hAnsi="Times New Roman" w:eastAsiaTheme="majorEastAsia"/>
          <w:color w:val="000000" w:themeColor="text1"/>
          <w:szCs w:val="30"/>
        </w:rPr>
        <w:t>9.5项目竣工环境保护验收</w:t>
      </w:r>
      <w:bookmarkEnd w:id="888"/>
      <w:bookmarkEnd w:id="889"/>
      <w:bookmarkEnd w:id="890"/>
      <w:bookmarkEnd w:id="891"/>
      <w:bookmarkEnd w:id="892"/>
      <w:bookmarkEnd w:id="893"/>
      <w:bookmarkEnd w:id="894"/>
      <w:bookmarkEnd w:id="895"/>
      <w:bookmarkEnd w:id="896"/>
      <w:bookmarkEnd w:id="897"/>
    </w:p>
    <w:p>
      <w:pPr>
        <w:ind w:firstLine="480"/>
        <w:rPr>
          <w:color w:val="000000" w:themeColor="text1"/>
        </w:rPr>
      </w:pPr>
      <w:r>
        <w:rPr>
          <w:rFonts w:eastAsiaTheme="majorEastAsia"/>
          <w:color w:val="000000" w:themeColor="text1"/>
        </w:rPr>
        <w:t>本工程所有环保设施均应与主</w:t>
      </w:r>
      <w:r>
        <w:rPr>
          <w:color w:val="000000" w:themeColor="text1"/>
        </w:rPr>
        <w:t>体工程同时设计、同时施工、同时投产，工程完工后，建设单位或者其委托的技术机构应当依照国家有关法律法规、建设项目竣工环境保护验收技术规范、建设项目环境影响报告书（表）和审批决定等要求严格加强环保设施的运行管理。如实查验、监测、记载建设项目环境保护设施的建设和调试情况，同时还应如实记载其他环境保护对策措施“三同时”落实情况，编制竣工环境保护验收报告。验收报告编制完成后，建设单位应组织成立验收工作组。验收工作组由建设单位、设计单位、施工单位、环境影响报告书（表）编制机构、验收报告编制机构等单位代表和专业技术专家组成，建设单位应当对验收工作组提出的问题进行整改，合格后方可出具验收合格的意见，并报生态环境部门备案。建设项目配套建设的环境保护设施经竣工验收通过后方可正式投产。环保验收一览表见表9.5-1。</w:t>
      </w:r>
    </w:p>
    <w:p>
      <w:pPr>
        <w:ind w:firstLine="422"/>
        <w:jc w:val="center"/>
        <w:rPr>
          <w:color w:val="000000" w:themeColor="text1"/>
        </w:rPr>
      </w:pPr>
      <w:r>
        <w:rPr>
          <w:b/>
          <w:color w:val="000000" w:themeColor="text1"/>
          <w:sz w:val="21"/>
          <w:szCs w:val="21"/>
        </w:rPr>
        <w:t>表9.5-1项目环境保护竣工验收一览表</w:t>
      </w:r>
    </w:p>
    <w:tbl>
      <w:tblPr>
        <w:tblStyle w:val="61"/>
        <w:tblW w:w="1012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90"/>
        <w:gridCol w:w="1095"/>
        <w:gridCol w:w="4247"/>
        <w:gridCol w:w="2802"/>
        <w:gridCol w:w="12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239" w:hRule="atLeast"/>
          <w:jc w:val="center"/>
        </w:trPr>
        <w:tc>
          <w:tcPr>
            <w:tcW w:w="690"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项目</w:t>
            </w:r>
          </w:p>
        </w:tc>
        <w:tc>
          <w:tcPr>
            <w:tcW w:w="1095"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污染物</w:t>
            </w:r>
          </w:p>
        </w:tc>
        <w:tc>
          <w:tcPr>
            <w:tcW w:w="4247"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处理措施</w:t>
            </w:r>
          </w:p>
        </w:tc>
        <w:tc>
          <w:tcPr>
            <w:tcW w:w="2802"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预期效果</w:t>
            </w:r>
          </w:p>
        </w:tc>
        <w:tc>
          <w:tcPr>
            <w:tcW w:w="1289" w:type="dxa"/>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88" w:hRule="atLeast"/>
          <w:jc w:val="center"/>
        </w:trPr>
        <w:tc>
          <w:tcPr>
            <w:tcW w:w="690"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大气污染物</w:t>
            </w:r>
          </w:p>
        </w:tc>
        <w:tc>
          <w:tcPr>
            <w:tcW w:w="1095" w:type="dxa"/>
            <w:vMerge w:val="restart"/>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颗粒物</w:t>
            </w:r>
          </w:p>
        </w:tc>
        <w:tc>
          <w:tcPr>
            <w:tcW w:w="4247" w:type="dxa"/>
            <w:vAlign w:val="center"/>
          </w:tcPr>
          <w:p>
            <w:pPr>
              <w:adjustRightInd w:val="0"/>
              <w:spacing w:line="240" w:lineRule="auto"/>
              <w:ind w:firstLine="0" w:firstLineChars="0"/>
              <w:jc w:val="center"/>
              <w:textAlignment w:val="baseline"/>
              <w:rPr>
                <w:rFonts w:eastAsiaTheme="minorEastAsia"/>
                <w:color w:val="000000" w:themeColor="text1"/>
                <w:kern w:val="24"/>
                <w:sz w:val="21"/>
                <w:szCs w:val="21"/>
              </w:rPr>
            </w:pPr>
            <w:r>
              <w:rPr>
                <w:rFonts w:hint="eastAsia" w:eastAsiaTheme="minorEastAsia"/>
                <w:color w:val="000000" w:themeColor="text1"/>
                <w:kern w:val="24"/>
                <w:sz w:val="21"/>
                <w:szCs w:val="21"/>
              </w:rPr>
              <w:t>对原料加工区域场地进行硬化</w:t>
            </w:r>
          </w:p>
        </w:tc>
        <w:tc>
          <w:tcPr>
            <w:tcW w:w="2802" w:type="dxa"/>
            <w:vMerge w:val="restart"/>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达到《铁矿采选工业污染物排放标准》（GB28661-2012）表7中的无组织排放监控浓度限值</w:t>
            </w:r>
          </w:p>
        </w:tc>
        <w:tc>
          <w:tcPr>
            <w:tcW w:w="1289" w:type="dxa"/>
            <w:vMerge w:val="restart"/>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整改措施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88"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4247" w:type="dxa"/>
            <w:vAlign w:val="center"/>
          </w:tcPr>
          <w:p>
            <w:pPr>
              <w:adjustRightInd w:val="0"/>
              <w:spacing w:line="240" w:lineRule="auto"/>
              <w:ind w:firstLine="0" w:firstLineChars="0"/>
              <w:jc w:val="center"/>
              <w:textAlignment w:val="baseline"/>
              <w:rPr>
                <w:rFonts w:eastAsiaTheme="minorEastAsia"/>
                <w:color w:val="000000" w:themeColor="text1"/>
                <w:sz w:val="21"/>
                <w:szCs w:val="21"/>
              </w:rPr>
            </w:pPr>
            <w:r>
              <w:rPr>
                <w:rFonts w:eastAsiaTheme="minorEastAsia"/>
                <w:color w:val="000000" w:themeColor="text1"/>
                <w:kern w:val="24"/>
                <w:sz w:val="21"/>
                <w:szCs w:val="21"/>
              </w:rPr>
              <w:t>给料口</w:t>
            </w:r>
            <w:r>
              <w:rPr>
                <w:rFonts w:eastAsiaTheme="minorEastAsia"/>
                <w:bCs/>
                <w:color w:val="000000" w:themeColor="text1"/>
                <w:sz w:val="21"/>
                <w:szCs w:val="21"/>
              </w:rPr>
              <w:t>喷淋降尘，给料口除上部给料处，四周围挡</w:t>
            </w:r>
            <w:r>
              <w:rPr>
                <w:rFonts w:hint="eastAsia" w:eastAsiaTheme="minorEastAsia"/>
                <w:bCs/>
                <w:color w:val="000000" w:themeColor="text1"/>
                <w:sz w:val="21"/>
                <w:szCs w:val="21"/>
              </w:rPr>
              <w:t>；挖机装料时通过喷淋降尘</w:t>
            </w:r>
          </w:p>
        </w:tc>
        <w:tc>
          <w:tcPr>
            <w:tcW w:w="2802"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88"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4247" w:type="dxa"/>
            <w:vAlign w:val="center"/>
          </w:tcPr>
          <w:p>
            <w:pPr>
              <w:adjustRightInd w:val="0"/>
              <w:spacing w:line="240" w:lineRule="auto"/>
              <w:ind w:firstLine="0" w:firstLineChars="0"/>
              <w:jc w:val="center"/>
              <w:textAlignment w:val="baseline"/>
              <w:rPr>
                <w:color w:val="000000" w:themeColor="text1"/>
                <w:sz w:val="21"/>
                <w:szCs w:val="21"/>
              </w:rPr>
            </w:pPr>
            <w:r>
              <w:rPr>
                <w:rFonts w:eastAsiaTheme="minorEastAsia"/>
                <w:color w:val="000000" w:themeColor="text1"/>
                <w:kern w:val="24"/>
                <w:sz w:val="21"/>
                <w:szCs w:val="21"/>
              </w:rPr>
              <w:t>原矿石堆场设置堆棚形式，三面围挡+遮雨棚</w:t>
            </w:r>
          </w:p>
        </w:tc>
        <w:tc>
          <w:tcPr>
            <w:tcW w:w="2802"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88"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4247" w:type="dxa"/>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低品位原矿堆场、产品精矿堆场设置堆棚形式，三面围挡+遮雨棚，堆棚设置喷淋装置</w:t>
            </w:r>
          </w:p>
        </w:tc>
        <w:tc>
          <w:tcPr>
            <w:tcW w:w="2802"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88"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4247" w:type="dxa"/>
            <w:vAlign w:val="center"/>
          </w:tcPr>
          <w:p>
            <w:pPr>
              <w:tabs>
                <w:tab w:val="left" w:pos="1960"/>
              </w:tabs>
              <w:spacing w:line="240" w:lineRule="auto"/>
              <w:ind w:firstLine="0" w:firstLineChars="0"/>
              <w:rPr>
                <w:rFonts w:eastAsiaTheme="minorEastAsia"/>
                <w:color w:val="000000" w:themeColor="text1"/>
                <w:kern w:val="24"/>
                <w:sz w:val="21"/>
                <w:szCs w:val="21"/>
              </w:rPr>
            </w:pPr>
            <w:r>
              <w:rPr>
                <w:rFonts w:eastAsiaTheme="minorEastAsia"/>
                <w:color w:val="000000" w:themeColor="text1"/>
                <w:kern w:val="24"/>
                <w:sz w:val="21"/>
                <w:szCs w:val="21"/>
              </w:rPr>
              <w:t>公分石和瓜子石堆场设置堆棚形式，三面围挡+遮雨棚</w:t>
            </w:r>
          </w:p>
        </w:tc>
        <w:tc>
          <w:tcPr>
            <w:tcW w:w="2802"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88"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4247" w:type="dxa"/>
            <w:vAlign w:val="center"/>
          </w:tcPr>
          <w:p>
            <w:pPr>
              <w:adjustRightInd w:val="0"/>
              <w:spacing w:line="240" w:lineRule="auto"/>
              <w:ind w:firstLine="0" w:firstLineChars="0"/>
              <w:jc w:val="center"/>
              <w:textAlignment w:val="baseline"/>
              <w:rPr>
                <w:color w:val="000000" w:themeColor="text1"/>
                <w:sz w:val="21"/>
                <w:szCs w:val="21"/>
              </w:rPr>
            </w:pPr>
            <w:r>
              <w:rPr>
                <w:rFonts w:eastAsiaTheme="minorEastAsia"/>
                <w:color w:val="000000" w:themeColor="text1"/>
                <w:kern w:val="24"/>
                <w:sz w:val="21"/>
                <w:szCs w:val="21"/>
              </w:rPr>
              <w:t>机制砂堆场设施堆棚形式，三面围挡+遮雨棚，堆棚设置喷淋装置</w:t>
            </w:r>
          </w:p>
        </w:tc>
        <w:tc>
          <w:tcPr>
            <w:tcW w:w="2802"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88"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4247" w:type="dxa"/>
            <w:vAlign w:val="center"/>
          </w:tcPr>
          <w:p>
            <w:pPr>
              <w:adjustRightInd w:val="0"/>
              <w:spacing w:line="240" w:lineRule="auto"/>
              <w:ind w:firstLine="0" w:firstLineChars="0"/>
              <w:jc w:val="center"/>
              <w:textAlignment w:val="baseline"/>
              <w:rPr>
                <w:color w:val="000000" w:themeColor="text1"/>
                <w:sz w:val="21"/>
                <w:szCs w:val="21"/>
              </w:rPr>
            </w:pPr>
            <w:r>
              <w:rPr>
                <w:rFonts w:eastAsiaTheme="minorEastAsia"/>
                <w:color w:val="000000" w:themeColor="text1"/>
                <w:kern w:val="24"/>
                <w:sz w:val="21"/>
                <w:szCs w:val="21"/>
              </w:rPr>
              <w:t>输送皮带均为密闭式，落料处降低落料高度，运输道路定期洒水降尘</w:t>
            </w:r>
          </w:p>
        </w:tc>
        <w:tc>
          <w:tcPr>
            <w:tcW w:w="2802"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88"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4247" w:type="dxa"/>
            <w:vAlign w:val="center"/>
          </w:tcPr>
          <w:p>
            <w:pPr>
              <w:adjustRightInd w:val="0"/>
              <w:spacing w:line="240" w:lineRule="auto"/>
              <w:ind w:firstLine="0" w:firstLineChars="0"/>
              <w:jc w:val="center"/>
              <w:textAlignment w:val="baseline"/>
              <w:rPr>
                <w:color w:val="000000" w:themeColor="text1"/>
                <w:sz w:val="21"/>
                <w:szCs w:val="21"/>
              </w:rPr>
            </w:pPr>
            <w:r>
              <w:rPr>
                <w:rFonts w:eastAsiaTheme="minorEastAsia"/>
                <w:color w:val="000000" w:themeColor="text1"/>
                <w:kern w:val="24"/>
                <w:sz w:val="21"/>
                <w:szCs w:val="21"/>
              </w:rPr>
              <w:t>原料</w:t>
            </w:r>
            <w:r>
              <w:rPr>
                <w:rFonts w:hint="eastAsia" w:eastAsiaTheme="minorEastAsia"/>
                <w:color w:val="000000" w:themeColor="text1"/>
                <w:kern w:val="24"/>
                <w:sz w:val="21"/>
                <w:szCs w:val="21"/>
              </w:rPr>
              <w:t>、</w:t>
            </w:r>
            <w:r>
              <w:rPr>
                <w:rFonts w:eastAsiaTheme="minorEastAsia"/>
                <w:color w:val="000000" w:themeColor="text1"/>
                <w:kern w:val="24"/>
                <w:sz w:val="21"/>
                <w:szCs w:val="21"/>
              </w:rPr>
              <w:t>产品和</w:t>
            </w:r>
            <w:r>
              <w:rPr>
                <w:rFonts w:hint="eastAsia" w:eastAsiaTheme="minorEastAsia"/>
                <w:color w:val="000000" w:themeColor="text1"/>
                <w:kern w:val="24"/>
                <w:sz w:val="21"/>
                <w:szCs w:val="21"/>
              </w:rPr>
              <w:t>副产品</w:t>
            </w:r>
            <w:r>
              <w:rPr>
                <w:rFonts w:eastAsiaTheme="minorEastAsia"/>
                <w:color w:val="000000" w:themeColor="text1"/>
                <w:kern w:val="24"/>
                <w:sz w:val="21"/>
                <w:szCs w:val="21"/>
              </w:rPr>
              <w:t>装卸采用雾炮喷雾降尘</w:t>
            </w:r>
          </w:p>
        </w:tc>
        <w:tc>
          <w:tcPr>
            <w:tcW w:w="2802"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88"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4247" w:type="dxa"/>
            <w:vAlign w:val="center"/>
          </w:tcPr>
          <w:p>
            <w:pPr>
              <w:adjustRightInd w:val="0"/>
              <w:spacing w:line="240" w:lineRule="auto"/>
              <w:ind w:firstLine="0" w:firstLineChars="0"/>
              <w:jc w:val="center"/>
              <w:textAlignment w:val="baseline"/>
              <w:rPr>
                <w:rFonts w:eastAsiaTheme="minorEastAsia"/>
                <w:color w:val="000000" w:themeColor="text1"/>
                <w:kern w:val="24"/>
                <w:sz w:val="21"/>
                <w:szCs w:val="21"/>
              </w:rPr>
            </w:pPr>
            <w:r>
              <w:rPr>
                <w:rFonts w:hint="eastAsia" w:eastAsiaTheme="minorEastAsia"/>
                <w:color w:val="000000" w:themeColor="text1"/>
                <w:kern w:val="24"/>
                <w:sz w:val="21"/>
                <w:szCs w:val="21"/>
              </w:rPr>
              <w:t>2</w:t>
            </w:r>
            <w:r>
              <w:rPr>
                <w:rFonts w:eastAsiaTheme="minorEastAsia"/>
                <w:color w:val="000000" w:themeColor="text1"/>
                <w:kern w:val="24"/>
                <w:sz w:val="21"/>
                <w:szCs w:val="21"/>
              </w:rPr>
              <w:t>台</w:t>
            </w:r>
            <w:r>
              <w:rPr>
                <w:rFonts w:hint="eastAsia" w:eastAsiaTheme="minorEastAsia"/>
                <w:color w:val="000000" w:themeColor="text1"/>
                <w:kern w:val="24"/>
                <w:sz w:val="21"/>
                <w:szCs w:val="21"/>
              </w:rPr>
              <w:t>鄂式破碎机</w:t>
            </w:r>
            <w:r>
              <w:rPr>
                <w:rFonts w:eastAsiaTheme="minorEastAsia"/>
                <w:color w:val="000000" w:themeColor="text1"/>
                <w:kern w:val="24"/>
                <w:sz w:val="21"/>
                <w:szCs w:val="21"/>
              </w:rPr>
              <w:t>和2台圆锥破碎机设置集气罩和布袋除尘</w:t>
            </w:r>
            <w:r>
              <w:rPr>
                <w:rStyle w:val="73"/>
                <w:rFonts w:hint="eastAsia"/>
                <w:color w:val="000000" w:themeColor="text1"/>
                <w:kern w:val="0"/>
              </w:rPr>
              <w:t>器</w:t>
            </w:r>
            <w:r>
              <w:rPr>
                <w:rFonts w:eastAsiaTheme="minorEastAsia"/>
                <w:color w:val="000000" w:themeColor="text1"/>
                <w:kern w:val="24"/>
                <w:sz w:val="21"/>
                <w:szCs w:val="21"/>
              </w:rPr>
              <w:t>后，通过1根15m高排气筒排放（</w:t>
            </w:r>
            <w:r>
              <w:rPr>
                <w:rFonts w:hint="eastAsia" w:eastAsiaTheme="minorEastAsia"/>
                <w:color w:val="000000" w:themeColor="text1"/>
                <w:kern w:val="24"/>
                <w:sz w:val="21"/>
                <w:szCs w:val="21"/>
              </w:rPr>
              <w:t>DA001</w:t>
            </w:r>
            <w:r>
              <w:rPr>
                <w:rFonts w:eastAsiaTheme="minorEastAsia"/>
                <w:color w:val="000000" w:themeColor="text1"/>
                <w:kern w:val="24"/>
                <w:sz w:val="21"/>
                <w:szCs w:val="21"/>
              </w:rPr>
              <w:t>）</w:t>
            </w:r>
          </w:p>
        </w:tc>
        <w:tc>
          <w:tcPr>
            <w:tcW w:w="2802" w:type="dxa"/>
            <w:vMerge w:val="restart"/>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达到《铁矿采选工业污染物排放标准》（GB28661-2012）表5中的排放浓度限值</w:t>
            </w: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388"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4247" w:type="dxa"/>
            <w:vAlign w:val="center"/>
          </w:tcPr>
          <w:p>
            <w:pPr>
              <w:adjustRightInd w:val="0"/>
              <w:spacing w:line="240" w:lineRule="auto"/>
              <w:ind w:firstLine="0" w:firstLineChars="0"/>
              <w:jc w:val="center"/>
              <w:textAlignment w:val="baseline"/>
              <w:rPr>
                <w:rFonts w:eastAsiaTheme="minorEastAsia"/>
                <w:color w:val="000000" w:themeColor="text1"/>
                <w:kern w:val="24"/>
                <w:sz w:val="21"/>
                <w:szCs w:val="21"/>
              </w:rPr>
            </w:pPr>
            <w:r>
              <w:rPr>
                <w:rFonts w:hint="eastAsia" w:eastAsiaTheme="minorEastAsia"/>
                <w:color w:val="000000" w:themeColor="text1"/>
                <w:kern w:val="24"/>
                <w:sz w:val="21"/>
                <w:szCs w:val="21"/>
              </w:rPr>
              <w:t>3台振动筛、1台水平筛、1台制砂机（整形机）、1台辊压机分别</w:t>
            </w:r>
            <w:r>
              <w:rPr>
                <w:rFonts w:eastAsiaTheme="minorEastAsia"/>
                <w:color w:val="000000" w:themeColor="text1"/>
                <w:kern w:val="24"/>
                <w:sz w:val="21"/>
                <w:szCs w:val="21"/>
              </w:rPr>
              <w:t>设置集气罩和布袋除尘</w:t>
            </w:r>
            <w:r>
              <w:rPr>
                <w:rFonts w:hint="eastAsia" w:eastAsiaTheme="minorEastAsia"/>
                <w:color w:val="000000" w:themeColor="text1"/>
                <w:kern w:val="24"/>
                <w:sz w:val="21"/>
                <w:szCs w:val="21"/>
              </w:rPr>
              <w:t>器处理</w:t>
            </w:r>
            <w:r>
              <w:rPr>
                <w:rFonts w:eastAsiaTheme="minorEastAsia"/>
                <w:color w:val="000000" w:themeColor="text1"/>
                <w:kern w:val="24"/>
                <w:sz w:val="21"/>
                <w:szCs w:val="21"/>
              </w:rPr>
              <w:t>后，通过1根15m高排气筒排放（</w:t>
            </w:r>
            <w:r>
              <w:rPr>
                <w:rFonts w:hint="eastAsia" w:eastAsiaTheme="minorEastAsia"/>
                <w:color w:val="000000" w:themeColor="text1"/>
                <w:kern w:val="24"/>
                <w:sz w:val="21"/>
                <w:szCs w:val="21"/>
              </w:rPr>
              <w:t>DA002</w:t>
            </w:r>
            <w:r>
              <w:rPr>
                <w:rFonts w:eastAsiaTheme="minorEastAsia"/>
                <w:color w:val="000000" w:themeColor="text1"/>
                <w:kern w:val="24"/>
                <w:sz w:val="21"/>
                <w:szCs w:val="21"/>
              </w:rPr>
              <w:t>）</w:t>
            </w:r>
          </w:p>
        </w:tc>
        <w:tc>
          <w:tcPr>
            <w:tcW w:w="2802"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15" w:hRule="atLeast"/>
          <w:jc w:val="center"/>
        </w:trPr>
        <w:tc>
          <w:tcPr>
            <w:tcW w:w="690" w:type="dxa"/>
            <w:vMerge w:val="restart"/>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水污染物</w:t>
            </w:r>
          </w:p>
        </w:tc>
        <w:tc>
          <w:tcPr>
            <w:tcW w:w="1095"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生活污水</w:t>
            </w:r>
          </w:p>
        </w:tc>
        <w:tc>
          <w:tcPr>
            <w:tcW w:w="4247" w:type="dxa"/>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设置2座水冲厕替代原旱厕，</w:t>
            </w:r>
            <w:r>
              <w:rPr>
                <w:color w:val="000000" w:themeColor="text1"/>
                <w:sz w:val="21"/>
                <w:szCs w:val="21"/>
              </w:rPr>
              <w:t>新建1个15m</w:t>
            </w:r>
            <w:r>
              <w:rPr>
                <w:color w:val="000000" w:themeColor="text1"/>
                <w:sz w:val="21"/>
                <w:szCs w:val="21"/>
                <w:vertAlign w:val="superscript"/>
              </w:rPr>
              <w:t>3</w:t>
            </w:r>
            <w:r>
              <w:rPr>
                <w:color w:val="000000" w:themeColor="text1"/>
                <w:sz w:val="21"/>
                <w:szCs w:val="21"/>
              </w:rPr>
              <w:t>/d一体化污水处理设施+1个50m</w:t>
            </w:r>
            <w:r>
              <w:rPr>
                <w:color w:val="000000" w:themeColor="text1"/>
                <w:sz w:val="21"/>
                <w:szCs w:val="21"/>
                <w:vertAlign w:val="superscript"/>
              </w:rPr>
              <w:t>3</w:t>
            </w:r>
            <w:r>
              <w:rPr>
                <w:color w:val="000000" w:themeColor="text1"/>
                <w:sz w:val="21"/>
                <w:szCs w:val="21"/>
              </w:rPr>
              <w:t>的</w:t>
            </w:r>
            <w:r>
              <w:rPr>
                <w:rFonts w:hint="eastAsia"/>
                <w:color w:val="000000" w:themeColor="text1"/>
                <w:sz w:val="21"/>
                <w:szCs w:val="21"/>
              </w:rPr>
              <w:t>中</w:t>
            </w:r>
            <w:r>
              <w:rPr>
                <w:color w:val="000000" w:themeColor="text1"/>
                <w:sz w:val="21"/>
                <w:szCs w:val="21"/>
              </w:rPr>
              <w:t>水收集池</w:t>
            </w:r>
          </w:p>
        </w:tc>
        <w:tc>
          <w:tcPr>
            <w:tcW w:w="2802"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达到《城市污水再生利用城市杂用水水质标准》（GB/T18920-2020）标准绿化标准限值</w:t>
            </w:r>
          </w:p>
        </w:tc>
        <w:tc>
          <w:tcPr>
            <w:tcW w:w="1289" w:type="dxa"/>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以新带老措施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70" w:hRule="atLeast"/>
          <w:jc w:val="center"/>
        </w:trPr>
        <w:tc>
          <w:tcPr>
            <w:tcW w:w="690"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095"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原有选矿废水</w:t>
            </w:r>
          </w:p>
        </w:tc>
        <w:tc>
          <w:tcPr>
            <w:tcW w:w="4247"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选矿废水和实验室废水进入尾矿浆沉淀池处理后回用于生产，尾矿库余水经沉淀后泵入尾矿库高位回水池，用泵输送至选厂用于选矿生产。厂区已建</w:t>
            </w:r>
            <w:r>
              <w:rPr>
                <w:rFonts w:hint="eastAsia"/>
                <w:color w:val="000000" w:themeColor="text1"/>
                <w:sz w:val="21"/>
                <w:szCs w:val="21"/>
              </w:rPr>
              <w:t>7</w:t>
            </w:r>
            <w:r>
              <w:rPr>
                <w:color w:val="000000" w:themeColor="text1"/>
                <w:sz w:val="21"/>
                <w:szCs w:val="21"/>
              </w:rPr>
              <w:t>10m</w:t>
            </w:r>
            <w:r>
              <w:rPr>
                <w:color w:val="000000" w:themeColor="text1"/>
                <w:sz w:val="21"/>
                <w:szCs w:val="21"/>
                <w:vertAlign w:val="superscript"/>
              </w:rPr>
              <w:t>3</w:t>
            </w:r>
            <w:r>
              <w:rPr>
                <w:color w:val="000000" w:themeColor="text1"/>
                <w:sz w:val="21"/>
                <w:szCs w:val="21"/>
              </w:rPr>
              <w:t>尾矿浆沉淀池</w:t>
            </w:r>
          </w:p>
        </w:tc>
        <w:tc>
          <w:tcPr>
            <w:tcW w:w="2802"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不外排</w:t>
            </w:r>
          </w:p>
        </w:tc>
        <w:tc>
          <w:tcPr>
            <w:tcW w:w="1289" w:type="dxa"/>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70" w:hRule="atLeast"/>
          <w:jc w:val="center"/>
        </w:trPr>
        <w:tc>
          <w:tcPr>
            <w:tcW w:w="690"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095" w:type="dxa"/>
            <w:vAlign w:val="center"/>
          </w:tcPr>
          <w:p>
            <w:pPr>
              <w:adjustRightInd w:val="0"/>
              <w:spacing w:line="240" w:lineRule="auto"/>
              <w:ind w:firstLine="0" w:firstLineChars="0"/>
              <w:jc w:val="center"/>
              <w:textAlignment w:val="baseline"/>
              <w:rPr>
                <w:rFonts w:hint="default" w:eastAsia="宋体"/>
                <w:color w:val="000000" w:themeColor="text1"/>
                <w:sz w:val="21"/>
                <w:szCs w:val="21"/>
                <w:lang w:val="en-US" w:eastAsia="zh-CN"/>
              </w:rPr>
            </w:pPr>
            <w:r>
              <w:rPr>
                <w:rFonts w:hint="eastAsia"/>
                <w:color w:val="000000" w:themeColor="text1"/>
                <w:sz w:val="21"/>
                <w:szCs w:val="21"/>
                <w:lang w:val="en-US" w:eastAsia="zh-CN"/>
              </w:rPr>
              <w:t>技改项目过滤机压滤水及清洗废水</w:t>
            </w:r>
          </w:p>
        </w:tc>
        <w:tc>
          <w:tcPr>
            <w:tcW w:w="4247" w:type="dxa"/>
            <w:vAlign w:val="center"/>
          </w:tcPr>
          <w:p>
            <w:pPr>
              <w:adjustRightInd w:val="0"/>
              <w:spacing w:line="240" w:lineRule="auto"/>
              <w:ind w:firstLine="0" w:firstLineChars="0"/>
              <w:jc w:val="center"/>
              <w:textAlignment w:val="baseline"/>
              <w:rPr>
                <w:rFonts w:hint="default" w:eastAsia="宋体"/>
                <w:color w:val="000000" w:themeColor="text1"/>
                <w:sz w:val="21"/>
                <w:szCs w:val="21"/>
                <w:lang w:val="en-US" w:eastAsia="zh-CN"/>
              </w:rPr>
            </w:pPr>
            <w:r>
              <w:rPr>
                <w:rFonts w:hint="eastAsia"/>
                <w:color w:val="000000" w:themeColor="text1"/>
                <w:sz w:val="21"/>
                <w:szCs w:val="21"/>
                <w:lang w:val="en-US" w:eastAsia="zh-CN"/>
              </w:rPr>
              <w:t>进入原有项目尾矿沉淀池沉淀后回用于生产</w:t>
            </w:r>
          </w:p>
        </w:tc>
        <w:tc>
          <w:tcPr>
            <w:tcW w:w="2802"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不外排</w:t>
            </w:r>
          </w:p>
        </w:tc>
        <w:tc>
          <w:tcPr>
            <w:tcW w:w="1289" w:type="dxa"/>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新增措施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70" w:hRule="atLeast"/>
          <w:jc w:val="center"/>
        </w:trPr>
        <w:tc>
          <w:tcPr>
            <w:tcW w:w="690"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095"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技改生产线</w:t>
            </w:r>
            <w:r>
              <w:rPr>
                <w:rFonts w:hint="eastAsia"/>
                <w:color w:val="000000" w:themeColor="text1"/>
                <w:sz w:val="21"/>
                <w:szCs w:val="21"/>
                <w:lang w:val="en-US" w:eastAsia="zh-CN"/>
              </w:rPr>
              <w:t>尾矿</w:t>
            </w:r>
            <w:r>
              <w:rPr>
                <w:color w:val="000000" w:themeColor="text1"/>
                <w:sz w:val="21"/>
                <w:szCs w:val="21"/>
              </w:rPr>
              <w:t>废水</w:t>
            </w:r>
          </w:p>
        </w:tc>
        <w:tc>
          <w:tcPr>
            <w:tcW w:w="4247" w:type="dxa"/>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技改</w:t>
            </w:r>
            <w:r>
              <w:rPr>
                <w:rFonts w:hint="eastAsia"/>
                <w:color w:val="000000" w:themeColor="text1"/>
                <w:sz w:val="21"/>
                <w:szCs w:val="21"/>
                <w:lang w:val="en-US" w:eastAsia="zh-CN"/>
              </w:rPr>
              <w:t>尾矿</w:t>
            </w:r>
            <w:r>
              <w:rPr>
                <w:rFonts w:hint="eastAsia"/>
                <w:color w:val="000000" w:themeColor="text1"/>
                <w:sz w:val="21"/>
                <w:szCs w:val="21"/>
              </w:rPr>
              <w:t>废水进入依托的辣子箐口选厂的浓密池</w:t>
            </w:r>
            <w:r>
              <w:rPr>
                <w:color w:val="000000" w:themeColor="text1"/>
                <w:sz w:val="21"/>
                <w:szCs w:val="21"/>
              </w:rPr>
              <w:t>管道全长750m，管道内径为150mm，外径160mm</w:t>
            </w:r>
          </w:p>
        </w:tc>
        <w:tc>
          <w:tcPr>
            <w:tcW w:w="2802"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不外排</w:t>
            </w:r>
          </w:p>
        </w:tc>
        <w:tc>
          <w:tcPr>
            <w:tcW w:w="1289" w:type="dxa"/>
            <w:vMerge w:val="restart"/>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 xml:space="preserve">新增措施 </w:t>
            </w:r>
          </w:p>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70" w:hRule="atLeast"/>
          <w:jc w:val="center"/>
        </w:trPr>
        <w:tc>
          <w:tcPr>
            <w:tcW w:w="690"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095"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洗砂废水</w:t>
            </w:r>
          </w:p>
        </w:tc>
        <w:tc>
          <w:tcPr>
            <w:tcW w:w="4247"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进入原有项目选矿生产线</w:t>
            </w:r>
          </w:p>
        </w:tc>
        <w:tc>
          <w:tcPr>
            <w:tcW w:w="2802"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不外排</w:t>
            </w: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70" w:hRule="atLeast"/>
          <w:jc w:val="center"/>
        </w:trPr>
        <w:tc>
          <w:tcPr>
            <w:tcW w:w="690"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095"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原料处理站初期雨水</w:t>
            </w:r>
          </w:p>
        </w:tc>
        <w:tc>
          <w:tcPr>
            <w:tcW w:w="4247" w:type="dxa"/>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在原料处理区新建1个200m</w:t>
            </w:r>
            <w:r>
              <w:rPr>
                <w:rFonts w:hint="eastAsia"/>
                <w:color w:val="000000" w:themeColor="text1"/>
                <w:sz w:val="21"/>
                <w:szCs w:val="21"/>
                <w:vertAlign w:val="superscript"/>
              </w:rPr>
              <w:t>3</w:t>
            </w:r>
            <w:r>
              <w:rPr>
                <w:rFonts w:hint="eastAsia"/>
                <w:color w:val="000000" w:themeColor="text1"/>
                <w:sz w:val="21"/>
                <w:szCs w:val="21"/>
              </w:rPr>
              <w:t>的初期雨水池</w:t>
            </w:r>
          </w:p>
        </w:tc>
        <w:tc>
          <w:tcPr>
            <w:tcW w:w="2802"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不外排</w:t>
            </w: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70" w:hRule="atLeast"/>
          <w:jc w:val="center"/>
        </w:trPr>
        <w:tc>
          <w:tcPr>
            <w:tcW w:w="690"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095"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实验室及机修废水</w:t>
            </w:r>
          </w:p>
        </w:tc>
        <w:tc>
          <w:tcPr>
            <w:tcW w:w="4247"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进入尾矿沉淀池后回用于生产</w:t>
            </w:r>
          </w:p>
        </w:tc>
        <w:tc>
          <w:tcPr>
            <w:tcW w:w="2802"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不外排</w:t>
            </w:r>
          </w:p>
        </w:tc>
        <w:tc>
          <w:tcPr>
            <w:tcW w:w="1289" w:type="dxa"/>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 xml:space="preserve"> 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70" w:hRule="atLeast"/>
          <w:jc w:val="center"/>
        </w:trPr>
        <w:tc>
          <w:tcPr>
            <w:tcW w:w="690"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095" w:type="dxa"/>
            <w:vMerge w:val="restart"/>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地下水</w:t>
            </w:r>
          </w:p>
        </w:tc>
        <w:tc>
          <w:tcPr>
            <w:tcW w:w="4247"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精矿池附近的空地用混凝土硬化处理</w:t>
            </w:r>
          </w:p>
        </w:tc>
        <w:tc>
          <w:tcPr>
            <w:tcW w:w="2802"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w:t>
            </w:r>
          </w:p>
        </w:tc>
        <w:tc>
          <w:tcPr>
            <w:tcW w:w="1289" w:type="dxa"/>
            <w:vMerge w:val="restart"/>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以新带老措施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70" w:hRule="atLeast"/>
          <w:jc w:val="center"/>
        </w:trPr>
        <w:tc>
          <w:tcPr>
            <w:tcW w:w="690"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095"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4247" w:type="dxa"/>
            <w:vAlign w:val="center"/>
          </w:tcPr>
          <w:p>
            <w:pPr>
              <w:adjustRightInd w:val="0"/>
              <w:snapToGrid w:val="0"/>
              <w:spacing w:line="240" w:lineRule="auto"/>
              <w:ind w:firstLine="0" w:firstLineChars="0"/>
              <w:jc w:val="center"/>
              <w:rPr>
                <w:color w:val="000000" w:themeColor="text1"/>
                <w:sz w:val="21"/>
                <w:szCs w:val="21"/>
              </w:rPr>
            </w:pPr>
            <w:r>
              <w:rPr>
                <w:color w:val="000000" w:themeColor="text1"/>
                <w:sz w:val="21"/>
                <w:szCs w:val="21"/>
              </w:rPr>
              <w:t>在尾矿库下游设置地下水监测井</w:t>
            </w:r>
          </w:p>
        </w:tc>
        <w:tc>
          <w:tcPr>
            <w:tcW w:w="2802"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w:t>
            </w: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70" w:hRule="atLeast"/>
          <w:jc w:val="center"/>
        </w:trPr>
        <w:tc>
          <w:tcPr>
            <w:tcW w:w="690"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095"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4247" w:type="dxa"/>
            <w:vAlign w:val="center"/>
          </w:tcPr>
          <w:p>
            <w:pPr>
              <w:adjustRightInd w:val="0"/>
              <w:snapToGrid w:val="0"/>
              <w:spacing w:line="240" w:lineRule="auto"/>
              <w:ind w:firstLine="0" w:firstLineChars="0"/>
              <w:jc w:val="both"/>
              <w:rPr>
                <w:color w:val="000000" w:themeColor="text1"/>
                <w:sz w:val="21"/>
                <w:szCs w:val="21"/>
              </w:rPr>
            </w:pPr>
            <w:r>
              <w:rPr>
                <w:color w:val="000000" w:themeColor="text1"/>
                <w:sz w:val="21"/>
                <w:szCs w:val="21"/>
              </w:rPr>
              <w:t>重点污染区防渗措施：</w:t>
            </w:r>
            <w:r>
              <w:rPr>
                <w:rFonts w:eastAsiaTheme="minorEastAsia"/>
                <w:color w:val="000000" w:themeColor="text1"/>
                <w:sz w:val="21"/>
                <w:szCs w:val="21"/>
              </w:rPr>
              <w:t>对尾矿浆沉淀池和精矿池、事故池、危废暂存间进行重点防渗处理</w:t>
            </w:r>
            <w:r>
              <w:rPr>
                <w:color w:val="000000" w:themeColor="text1"/>
                <w:sz w:val="21"/>
                <w:szCs w:val="21"/>
              </w:rPr>
              <w:t>，池子地面底部地基采取压实粘土+土工膜防渗，采用防渗钢筋混凝土进行建设（防渗要求：等效黏土防渗层Mb≥6m，渗透系数K≤10</w:t>
            </w:r>
            <w:r>
              <w:rPr>
                <w:color w:val="000000" w:themeColor="text1"/>
                <w:sz w:val="21"/>
                <w:szCs w:val="21"/>
                <w:vertAlign w:val="superscript"/>
              </w:rPr>
              <w:t>-7</w:t>
            </w:r>
            <w:r>
              <w:rPr>
                <w:color w:val="000000" w:themeColor="text1"/>
                <w:sz w:val="21"/>
                <w:szCs w:val="21"/>
              </w:rPr>
              <w:t>cm/s）。</w:t>
            </w:r>
            <w:r>
              <w:rPr>
                <w:rFonts w:hint="eastAsia"/>
                <w:color w:val="000000" w:themeColor="text1"/>
                <w:sz w:val="21"/>
                <w:szCs w:val="21"/>
              </w:rPr>
              <w:t>危废暂存间防渗要求：</w:t>
            </w:r>
            <w:r>
              <w:rPr>
                <w:color w:val="000000" w:themeColor="text1"/>
                <w:kern w:val="0"/>
                <w:sz w:val="21"/>
                <w:szCs w:val="21"/>
                <w:shd w:val="clear" w:color="auto" w:fill="FFFFFF"/>
              </w:rPr>
              <w:t>防渗层为至少1米厚粘土层（渗透系数≤10</w:t>
            </w:r>
            <w:r>
              <w:rPr>
                <w:color w:val="000000" w:themeColor="text1"/>
                <w:kern w:val="0"/>
                <w:sz w:val="21"/>
                <w:szCs w:val="21"/>
                <w:shd w:val="clear" w:color="auto" w:fill="FFFFFF"/>
                <w:vertAlign w:val="superscript"/>
              </w:rPr>
              <w:t>-7</w:t>
            </w:r>
            <w:r>
              <w:rPr>
                <w:color w:val="000000" w:themeColor="text1"/>
                <w:kern w:val="0"/>
                <w:sz w:val="21"/>
                <w:szCs w:val="21"/>
                <w:shd w:val="clear" w:color="auto" w:fill="FFFFFF"/>
              </w:rPr>
              <w:t>厘米/秒），或2毫米厚高密度聚乙烯，或至少2毫米厚的其它人工材料，渗透系数≤10</w:t>
            </w:r>
            <w:r>
              <w:rPr>
                <w:color w:val="000000" w:themeColor="text1"/>
                <w:kern w:val="0"/>
                <w:sz w:val="21"/>
                <w:szCs w:val="21"/>
                <w:shd w:val="clear" w:color="auto" w:fill="FFFFFF"/>
                <w:vertAlign w:val="superscript"/>
              </w:rPr>
              <w:t>-10</w:t>
            </w:r>
            <w:r>
              <w:rPr>
                <w:color w:val="000000" w:themeColor="text1"/>
                <w:kern w:val="0"/>
                <w:sz w:val="21"/>
                <w:szCs w:val="21"/>
                <w:shd w:val="clear" w:color="auto" w:fill="FFFFFF"/>
              </w:rPr>
              <w:t>厘米/秒</w:t>
            </w:r>
            <w:r>
              <w:rPr>
                <w:rFonts w:hint="eastAsia"/>
                <w:color w:val="000000" w:themeColor="text1"/>
                <w:kern w:val="0"/>
                <w:sz w:val="21"/>
                <w:szCs w:val="21"/>
                <w:shd w:val="clear" w:color="auto" w:fill="FFFFFF"/>
              </w:rPr>
              <w:t>。</w:t>
            </w:r>
          </w:p>
          <w:p>
            <w:pPr>
              <w:adjustRightInd w:val="0"/>
              <w:snapToGrid w:val="0"/>
              <w:spacing w:line="240" w:lineRule="auto"/>
              <w:ind w:firstLine="0" w:firstLineChars="0"/>
              <w:jc w:val="center"/>
              <w:rPr>
                <w:color w:val="000000" w:themeColor="text1"/>
                <w:sz w:val="21"/>
                <w:szCs w:val="21"/>
              </w:rPr>
            </w:pPr>
          </w:p>
        </w:tc>
        <w:tc>
          <w:tcPr>
            <w:tcW w:w="2802"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w:t>
            </w: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70" w:hRule="atLeast"/>
          <w:jc w:val="center"/>
        </w:trPr>
        <w:tc>
          <w:tcPr>
            <w:tcW w:w="690"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095"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4247" w:type="dxa"/>
            <w:vAlign w:val="center"/>
          </w:tcPr>
          <w:p>
            <w:pPr>
              <w:adjustRightInd w:val="0"/>
              <w:snapToGrid w:val="0"/>
              <w:spacing w:line="240" w:lineRule="auto"/>
              <w:ind w:firstLine="0" w:firstLineChars="0"/>
              <w:rPr>
                <w:color w:val="000000" w:themeColor="text1"/>
                <w:sz w:val="21"/>
                <w:szCs w:val="21"/>
              </w:rPr>
            </w:pPr>
            <w:r>
              <w:rPr>
                <w:color w:val="000000" w:themeColor="text1"/>
                <w:sz w:val="21"/>
                <w:szCs w:val="21"/>
              </w:rPr>
              <w:t>一般污染区防渗措施：生产车间、实验室、脱水及</w:t>
            </w:r>
            <w:r>
              <w:rPr>
                <w:rFonts w:hint="eastAsia"/>
                <w:color w:val="000000" w:themeColor="text1"/>
                <w:sz w:val="21"/>
                <w:szCs w:val="21"/>
              </w:rPr>
              <w:t>精矿产品</w:t>
            </w:r>
            <w:r>
              <w:rPr>
                <w:color w:val="000000" w:themeColor="text1"/>
                <w:sz w:val="21"/>
                <w:szCs w:val="21"/>
              </w:rPr>
              <w:t>区、</w:t>
            </w:r>
            <w:r>
              <w:rPr>
                <w:rFonts w:hint="eastAsia"/>
                <w:color w:val="000000" w:themeColor="text1"/>
                <w:sz w:val="21"/>
                <w:szCs w:val="21"/>
              </w:rPr>
              <w:t>原料加工处理区</w:t>
            </w:r>
            <w:r>
              <w:rPr>
                <w:color w:val="000000" w:themeColor="text1"/>
                <w:sz w:val="21"/>
                <w:szCs w:val="21"/>
              </w:rPr>
              <w:t>、化粪池地面夯实黏土层</w:t>
            </w:r>
            <w:r>
              <w:rPr>
                <w:rFonts w:eastAsia="Times New Roman"/>
                <w:color w:val="000000" w:themeColor="text1"/>
                <w:sz w:val="21"/>
                <w:szCs w:val="21"/>
              </w:rPr>
              <w:t>+</w:t>
            </w:r>
            <w:r>
              <w:rPr>
                <w:color w:val="000000" w:themeColor="text1"/>
                <w:sz w:val="21"/>
                <w:szCs w:val="21"/>
              </w:rPr>
              <w:t>水池防渗混凝土建设（防渗要求：防渗层按等效黏土防渗层</w:t>
            </w:r>
            <w:r>
              <w:rPr>
                <w:rFonts w:eastAsia="Times New Roman"/>
                <w:color w:val="000000" w:themeColor="text1"/>
                <w:sz w:val="21"/>
                <w:szCs w:val="21"/>
              </w:rPr>
              <w:t>Mb≥1.5m</w:t>
            </w:r>
            <w:r>
              <w:rPr>
                <w:color w:val="000000" w:themeColor="text1"/>
                <w:sz w:val="21"/>
                <w:szCs w:val="21"/>
              </w:rPr>
              <w:t>，渗透系数</w:t>
            </w:r>
            <w:r>
              <w:rPr>
                <w:rFonts w:eastAsia="Times New Roman"/>
                <w:color w:val="000000" w:themeColor="text1"/>
                <w:sz w:val="21"/>
                <w:szCs w:val="21"/>
              </w:rPr>
              <w:t>K≤10</w:t>
            </w:r>
            <w:r>
              <w:rPr>
                <w:color w:val="000000" w:themeColor="text1"/>
                <w:sz w:val="21"/>
                <w:szCs w:val="21"/>
                <w:vertAlign w:val="superscript"/>
              </w:rPr>
              <w:t>-7</w:t>
            </w:r>
            <w:r>
              <w:rPr>
                <w:rFonts w:eastAsia="Times New Roman"/>
                <w:color w:val="000000" w:themeColor="text1"/>
                <w:sz w:val="21"/>
                <w:szCs w:val="21"/>
              </w:rPr>
              <w:t>cm/s</w:t>
            </w:r>
            <w:r>
              <w:rPr>
                <w:color w:val="000000" w:themeColor="text1"/>
                <w:sz w:val="21"/>
                <w:szCs w:val="21"/>
              </w:rPr>
              <w:t>。</w:t>
            </w:r>
          </w:p>
        </w:tc>
        <w:tc>
          <w:tcPr>
            <w:tcW w:w="2802"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w:t>
            </w:r>
          </w:p>
        </w:tc>
        <w:tc>
          <w:tcPr>
            <w:tcW w:w="1289" w:type="dxa"/>
            <w:vMerge w:val="restart"/>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新增措施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70" w:hRule="atLeast"/>
          <w:jc w:val="center"/>
        </w:trPr>
        <w:tc>
          <w:tcPr>
            <w:tcW w:w="690"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095"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4247" w:type="dxa"/>
            <w:vAlign w:val="center"/>
          </w:tcPr>
          <w:p>
            <w:pPr>
              <w:adjustRightInd w:val="0"/>
              <w:snapToGrid w:val="0"/>
              <w:spacing w:line="240" w:lineRule="auto"/>
              <w:ind w:firstLine="0" w:firstLineChars="0"/>
              <w:jc w:val="both"/>
              <w:rPr>
                <w:color w:val="000000" w:themeColor="text1"/>
                <w:sz w:val="21"/>
                <w:szCs w:val="21"/>
              </w:rPr>
            </w:pPr>
            <w:r>
              <w:rPr>
                <w:color w:val="000000" w:themeColor="text1"/>
                <w:sz w:val="21"/>
                <w:szCs w:val="21"/>
              </w:rPr>
              <w:t>简单防渗：场区除绿化用地外进行地面硬化处理</w:t>
            </w:r>
          </w:p>
        </w:tc>
        <w:tc>
          <w:tcPr>
            <w:tcW w:w="2802" w:type="dxa"/>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w:t>
            </w: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448" w:hRule="atLeast"/>
          <w:jc w:val="center"/>
        </w:trPr>
        <w:tc>
          <w:tcPr>
            <w:tcW w:w="690"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固体废物</w:t>
            </w:r>
          </w:p>
        </w:tc>
        <w:tc>
          <w:tcPr>
            <w:tcW w:w="1095" w:type="dxa"/>
            <w:vAlign w:val="center"/>
          </w:tcPr>
          <w:p>
            <w:pPr>
              <w:spacing w:line="240" w:lineRule="auto"/>
              <w:ind w:firstLine="0" w:firstLineChars="0"/>
              <w:jc w:val="center"/>
              <w:rPr>
                <w:color w:val="000000" w:themeColor="text1"/>
                <w:sz w:val="21"/>
                <w:szCs w:val="21"/>
              </w:rPr>
            </w:pPr>
            <w:r>
              <w:rPr>
                <w:color w:val="000000" w:themeColor="text1"/>
                <w:sz w:val="21"/>
                <w:szCs w:val="21"/>
              </w:rPr>
              <w:t>原有选矿项目尾矿</w:t>
            </w:r>
          </w:p>
        </w:tc>
        <w:tc>
          <w:tcPr>
            <w:tcW w:w="4247" w:type="dxa"/>
            <w:vAlign w:val="center"/>
          </w:tcPr>
          <w:p>
            <w:pPr>
              <w:spacing w:line="240" w:lineRule="auto"/>
              <w:ind w:firstLine="0" w:firstLineChars="0"/>
              <w:jc w:val="center"/>
              <w:rPr>
                <w:color w:val="000000" w:themeColor="text1"/>
                <w:sz w:val="21"/>
                <w:szCs w:val="21"/>
              </w:rPr>
            </w:pPr>
            <w:r>
              <w:rPr>
                <w:color w:val="000000" w:themeColor="text1"/>
                <w:sz w:val="21"/>
                <w:szCs w:val="21"/>
              </w:rPr>
              <w:t>排入已建的辣子箐尾矿库中</w:t>
            </w:r>
          </w:p>
        </w:tc>
        <w:tc>
          <w:tcPr>
            <w:tcW w:w="2802" w:type="dxa"/>
            <w:vMerge w:val="restart"/>
            <w:vAlign w:val="center"/>
          </w:tcPr>
          <w:p>
            <w:pPr>
              <w:adjustRightInd w:val="0"/>
              <w:spacing w:line="240" w:lineRule="auto"/>
              <w:ind w:firstLine="0" w:firstLineChars="0"/>
              <w:jc w:val="center"/>
              <w:textAlignment w:val="baseline"/>
              <w:rPr>
                <w:color w:val="000000" w:themeColor="text1"/>
                <w:sz w:val="21"/>
                <w:szCs w:val="21"/>
              </w:rPr>
            </w:pPr>
            <w:r>
              <w:rPr>
                <w:color w:val="000000" w:themeColor="text1"/>
                <w:sz w:val="21"/>
                <w:szCs w:val="21"/>
              </w:rPr>
              <w:t>100%处置</w:t>
            </w:r>
          </w:p>
        </w:tc>
        <w:tc>
          <w:tcPr>
            <w:tcW w:w="1289" w:type="dxa"/>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448"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Align w:val="center"/>
          </w:tcPr>
          <w:p>
            <w:pPr>
              <w:spacing w:line="240" w:lineRule="auto"/>
              <w:ind w:firstLine="0" w:firstLineChars="0"/>
              <w:jc w:val="center"/>
              <w:rPr>
                <w:color w:val="000000" w:themeColor="text1"/>
                <w:sz w:val="21"/>
                <w:szCs w:val="21"/>
              </w:rPr>
            </w:pPr>
            <w:r>
              <w:rPr>
                <w:color w:val="000000" w:themeColor="text1"/>
                <w:sz w:val="21"/>
                <w:szCs w:val="21"/>
              </w:rPr>
              <w:t>技改铁矿再选尾矿</w:t>
            </w:r>
          </w:p>
        </w:tc>
        <w:tc>
          <w:tcPr>
            <w:tcW w:w="4247" w:type="dxa"/>
            <w:vAlign w:val="center"/>
          </w:tcPr>
          <w:p>
            <w:pPr>
              <w:spacing w:line="240" w:lineRule="auto"/>
              <w:ind w:firstLine="0" w:firstLineChars="0"/>
              <w:jc w:val="center"/>
              <w:rPr>
                <w:color w:val="000000" w:themeColor="text1"/>
                <w:sz w:val="21"/>
                <w:szCs w:val="21"/>
              </w:rPr>
            </w:pPr>
            <w:r>
              <w:rPr>
                <w:color w:val="000000" w:themeColor="text1"/>
                <w:sz w:val="21"/>
                <w:szCs w:val="21"/>
              </w:rPr>
              <w:t>排入大红山龙都尾矿库</w:t>
            </w:r>
          </w:p>
        </w:tc>
        <w:tc>
          <w:tcPr>
            <w:tcW w:w="2802"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289" w:type="dxa"/>
            <w:vMerge w:val="restart"/>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新增措施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67"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Align w:val="center"/>
          </w:tcPr>
          <w:p>
            <w:pPr>
              <w:spacing w:line="240" w:lineRule="auto"/>
              <w:ind w:firstLine="0" w:firstLineChars="0"/>
              <w:jc w:val="center"/>
              <w:rPr>
                <w:color w:val="000000" w:themeColor="text1"/>
                <w:sz w:val="21"/>
                <w:szCs w:val="21"/>
              </w:rPr>
            </w:pPr>
            <w:r>
              <w:rPr>
                <w:color w:val="000000" w:themeColor="text1"/>
                <w:sz w:val="21"/>
                <w:szCs w:val="21"/>
              </w:rPr>
              <w:t>收尘灰</w:t>
            </w:r>
          </w:p>
        </w:tc>
        <w:tc>
          <w:tcPr>
            <w:tcW w:w="4247" w:type="dxa"/>
            <w:vAlign w:val="center"/>
          </w:tcPr>
          <w:p>
            <w:pPr>
              <w:spacing w:line="240" w:lineRule="auto"/>
              <w:ind w:firstLine="0" w:firstLineChars="0"/>
              <w:jc w:val="center"/>
              <w:rPr>
                <w:color w:val="000000" w:themeColor="text1"/>
                <w:sz w:val="21"/>
                <w:szCs w:val="21"/>
              </w:rPr>
            </w:pPr>
            <w:r>
              <w:rPr>
                <w:color w:val="000000" w:themeColor="text1"/>
                <w:sz w:val="21"/>
                <w:szCs w:val="21"/>
              </w:rPr>
              <w:t>用作产品机制砂中，不外排</w:t>
            </w:r>
          </w:p>
        </w:tc>
        <w:tc>
          <w:tcPr>
            <w:tcW w:w="2802"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289" w:type="dxa"/>
            <w:vMerge w:val="continue"/>
            <w:vAlign w:val="center"/>
          </w:tcPr>
          <w:p>
            <w:pPr>
              <w:adjustRightInd w:val="0"/>
              <w:spacing w:line="240" w:lineRule="auto"/>
              <w:ind w:firstLine="0" w:firstLineChars="0"/>
              <w:jc w:val="center"/>
              <w:textAlignment w:val="baseline"/>
              <w:rPr>
                <w:color w:val="000000" w:themeColor="text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67"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Align w:val="center"/>
          </w:tcPr>
          <w:p>
            <w:pPr>
              <w:spacing w:line="240" w:lineRule="auto"/>
              <w:ind w:firstLine="0" w:firstLineChars="0"/>
              <w:jc w:val="center"/>
              <w:rPr>
                <w:color w:val="000000" w:themeColor="text1"/>
                <w:sz w:val="21"/>
                <w:szCs w:val="21"/>
              </w:rPr>
            </w:pPr>
            <w:r>
              <w:rPr>
                <w:color w:val="000000" w:themeColor="text1"/>
                <w:sz w:val="21"/>
                <w:szCs w:val="21"/>
              </w:rPr>
              <w:t>生活垃圾</w:t>
            </w:r>
          </w:p>
        </w:tc>
        <w:tc>
          <w:tcPr>
            <w:tcW w:w="4247" w:type="dxa"/>
            <w:vAlign w:val="center"/>
          </w:tcPr>
          <w:p>
            <w:pPr>
              <w:spacing w:line="240" w:lineRule="auto"/>
              <w:ind w:firstLine="0" w:firstLineChars="0"/>
              <w:jc w:val="center"/>
              <w:rPr>
                <w:color w:val="000000" w:themeColor="text1"/>
                <w:sz w:val="21"/>
                <w:szCs w:val="21"/>
              </w:rPr>
            </w:pPr>
            <w:r>
              <w:rPr>
                <w:color w:val="000000" w:themeColor="text1"/>
                <w:sz w:val="21"/>
                <w:szCs w:val="21"/>
              </w:rPr>
              <w:t>统一收集后清运至环卫部门指定地点处置。</w:t>
            </w:r>
          </w:p>
        </w:tc>
        <w:tc>
          <w:tcPr>
            <w:tcW w:w="2802"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289" w:type="dxa"/>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67"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Align w:val="center"/>
          </w:tcPr>
          <w:p>
            <w:pPr>
              <w:spacing w:line="240" w:lineRule="auto"/>
              <w:ind w:firstLine="0" w:firstLineChars="0"/>
              <w:jc w:val="center"/>
              <w:rPr>
                <w:color w:val="000000" w:themeColor="text1"/>
                <w:sz w:val="21"/>
                <w:szCs w:val="21"/>
              </w:rPr>
            </w:pPr>
            <w:r>
              <w:rPr>
                <w:color w:val="000000" w:themeColor="text1"/>
                <w:sz w:val="21"/>
                <w:szCs w:val="21"/>
              </w:rPr>
              <w:t>废机油</w:t>
            </w:r>
          </w:p>
        </w:tc>
        <w:tc>
          <w:tcPr>
            <w:tcW w:w="4247" w:type="dxa"/>
            <w:vAlign w:val="center"/>
          </w:tcPr>
          <w:p>
            <w:pPr>
              <w:adjustRightInd w:val="0"/>
              <w:snapToGrid w:val="0"/>
              <w:spacing w:line="240" w:lineRule="auto"/>
              <w:ind w:firstLine="0" w:firstLineChars="0"/>
              <w:rPr>
                <w:color w:val="000000" w:themeColor="text1"/>
                <w:sz w:val="21"/>
                <w:szCs w:val="21"/>
              </w:rPr>
            </w:pPr>
            <w:r>
              <w:rPr>
                <w:color w:val="000000" w:themeColor="text1"/>
                <w:sz w:val="21"/>
                <w:szCs w:val="21"/>
              </w:rPr>
              <w:t>用专用容器收集后，暂存于危废暂存间内，委托有资质单位定期清运处置。暂存间进行改造，</w:t>
            </w:r>
            <w:r>
              <w:rPr>
                <w:bCs/>
                <w:color w:val="000000" w:themeColor="text1"/>
                <w:sz w:val="21"/>
                <w:szCs w:val="21"/>
              </w:rPr>
              <w:t>要求：“6.2.1</w:t>
            </w:r>
            <w:r>
              <w:rPr>
                <w:color w:val="000000" w:themeColor="text1"/>
                <w:kern w:val="0"/>
                <w:sz w:val="21"/>
                <w:szCs w:val="21"/>
                <w:shd w:val="clear" w:color="auto" w:fill="FFFFFF"/>
              </w:rPr>
              <w:t>地面与裙脚要用坚固、防渗的材料建造；</w:t>
            </w:r>
            <w:r>
              <w:rPr>
                <w:bCs/>
                <w:color w:val="000000" w:themeColor="text1"/>
                <w:sz w:val="21"/>
                <w:szCs w:val="21"/>
              </w:rPr>
              <w:t>6.2.2必须有泄漏液体收集装置；6.2.5应设计堵截泄漏的裙脚，6.3.1</w:t>
            </w:r>
            <w:r>
              <w:rPr>
                <w:color w:val="000000" w:themeColor="text1"/>
                <w:kern w:val="0"/>
                <w:sz w:val="21"/>
                <w:szCs w:val="21"/>
                <w:shd w:val="clear" w:color="auto" w:fill="FFFFFF"/>
              </w:rPr>
              <w:t>基础必须防渗，防渗层为至少1米厚粘土层（渗透系数≤10</w:t>
            </w:r>
            <w:r>
              <w:rPr>
                <w:color w:val="000000" w:themeColor="text1"/>
                <w:kern w:val="0"/>
                <w:sz w:val="21"/>
                <w:szCs w:val="21"/>
                <w:shd w:val="clear" w:color="auto" w:fill="FFFFFF"/>
                <w:vertAlign w:val="superscript"/>
              </w:rPr>
              <w:t>-7</w:t>
            </w:r>
            <w:r>
              <w:rPr>
                <w:color w:val="000000" w:themeColor="text1"/>
                <w:kern w:val="0"/>
                <w:sz w:val="21"/>
                <w:szCs w:val="21"/>
                <w:shd w:val="clear" w:color="auto" w:fill="FFFFFF"/>
              </w:rPr>
              <w:t>厘米/秒），或2毫米厚高密度聚乙烯，或至少2毫米厚的其它人工材料，渗透系数≤10</w:t>
            </w:r>
            <w:r>
              <w:rPr>
                <w:color w:val="000000" w:themeColor="text1"/>
                <w:kern w:val="0"/>
                <w:sz w:val="21"/>
                <w:szCs w:val="21"/>
                <w:shd w:val="clear" w:color="auto" w:fill="FFFFFF"/>
                <w:vertAlign w:val="superscript"/>
              </w:rPr>
              <w:t>-10</w:t>
            </w:r>
            <w:r>
              <w:rPr>
                <w:color w:val="000000" w:themeColor="text1"/>
                <w:kern w:val="0"/>
                <w:sz w:val="21"/>
                <w:szCs w:val="21"/>
                <w:shd w:val="clear" w:color="auto" w:fill="FFFFFF"/>
              </w:rPr>
              <w:t>厘米/秒。”</w:t>
            </w:r>
            <w:r>
              <w:rPr>
                <w:bCs/>
                <w:color w:val="000000" w:themeColor="text1"/>
                <w:sz w:val="21"/>
                <w:szCs w:val="21"/>
              </w:rPr>
              <w:t>。本次评价要求盛装容器上张贴标识，</w:t>
            </w:r>
            <w:r>
              <w:rPr>
                <w:rFonts w:eastAsiaTheme="minorEastAsia"/>
                <w:color w:val="000000" w:themeColor="text1"/>
                <w:sz w:val="21"/>
                <w:szCs w:val="21"/>
              </w:rPr>
              <w:t>并设置围堰、泄漏液体导流沟和收集池。</w:t>
            </w:r>
            <w:r>
              <w:rPr>
                <w:bCs/>
                <w:color w:val="000000" w:themeColor="text1"/>
                <w:sz w:val="21"/>
                <w:szCs w:val="21"/>
              </w:rPr>
              <w:t>贮存危险废物不得超过一年。并制定危险废物管理计划，严格执行危废转移联单制度，建立危险废物管理台账，相关台账应保存3年以上，以备相关管理部门检查。</w:t>
            </w:r>
          </w:p>
        </w:tc>
        <w:tc>
          <w:tcPr>
            <w:tcW w:w="2802" w:type="dxa"/>
            <w:vMerge w:val="continue"/>
            <w:vAlign w:val="center"/>
          </w:tcPr>
          <w:p>
            <w:pPr>
              <w:adjustRightInd w:val="0"/>
              <w:spacing w:line="240" w:lineRule="auto"/>
              <w:ind w:firstLine="0" w:firstLineChars="0"/>
              <w:jc w:val="center"/>
              <w:textAlignment w:val="baseline"/>
              <w:rPr>
                <w:color w:val="000000" w:themeColor="text1"/>
                <w:sz w:val="21"/>
                <w:szCs w:val="21"/>
              </w:rPr>
            </w:pPr>
          </w:p>
        </w:tc>
        <w:tc>
          <w:tcPr>
            <w:tcW w:w="1289" w:type="dxa"/>
            <w:vAlign w:val="center"/>
          </w:tcPr>
          <w:p>
            <w:pPr>
              <w:adjustRightInd w:val="0"/>
              <w:spacing w:line="240" w:lineRule="auto"/>
              <w:ind w:firstLine="0" w:firstLineChars="0"/>
              <w:jc w:val="center"/>
              <w:textAlignment w:val="baseline"/>
              <w:rPr>
                <w:color w:val="000000" w:themeColor="text1"/>
                <w:sz w:val="21"/>
                <w:szCs w:val="21"/>
              </w:rPr>
            </w:pPr>
            <w:r>
              <w:rPr>
                <w:rFonts w:hint="eastAsia"/>
                <w:color w:val="000000" w:themeColor="text1"/>
                <w:sz w:val="21"/>
                <w:szCs w:val="21"/>
              </w:rPr>
              <w:t>以新带老措施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67" w:hRule="atLeast"/>
          <w:jc w:val="center"/>
        </w:trPr>
        <w:tc>
          <w:tcPr>
            <w:tcW w:w="690" w:type="dxa"/>
            <w:vAlign w:val="center"/>
          </w:tcPr>
          <w:p>
            <w:pPr>
              <w:spacing w:line="240" w:lineRule="auto"/>
              <w:ind w:firstLine="0" w:firstLineChars="0"/>
              <w:jc w:val="center"/>
              <w:rPr>
                <w:color w:val="000000" w:themeColor="text1"/>
                <w:sz w:val="21"/>
                <w:szCs w:val="21"/>
              </w:rPr>
            </w:pPr>
            <w:r>
              <w:rPr>
                <w:color w:val="000000" w:themeColor="text1"/>
                <w:sz w:val="21"/>
                <w:szCs w:val="21"/>
              </w:rPr>
              <w:t>噪声</w:t>
            </w:r>
          </w:p>
        </w:tc>
        <w:tc>
          <w:tcPr>
            <w:tcW w:w="1095" w:type="dxa"/>
            <w:vAlign w:val="center"/>
          </w:tcPr>
          <w:p>
            <w:pPr>
              <w:spacing w:line="240" w:lineRule="auto"/>
              <w:ind w:firstLine="0" w:firstLineChars="0"/>
              <w:jc w:val="center"/>
              <w:rPr>
                <w:color w:val="000000" w:themeColor="text1"/>
                <w:sz w:val="21"/>
                <w:szCs w:val="21"/>
              </w:rPr>
            </w:pPr>
            <w:r>
              <w:rPr>
                <w:color w:val="000000" w:themeColor="text1"/>
                <w:sz w:val="21"/>
                <w:szCs w:val="21"/>
              </w:rPr>
              <w:t>设备噪声</w:t>
            </w:r>
          </w:p>
        </w:tc>
        <w:tc>
          <w:tcPr>
            <w:tcW w:w="4247" w:type="dxa"/>
            <w:vAlign w:val="center"/>
          </w:tcPr>
          <w:p>
            <w:pPr>
              <w:spacing w:line="240" w:lineRule="auto"/>
              <w:ind w:firstLine="0" w:firstLineChars="0"/>
              <w:jc w:val="center"/>
              <w:rPr>
                <w:color w:val="000000" w:themeColor="text1"/>
                <w:sz w:val="21"/>
                <w:szCs w:val="21"/>
              </w:rPr>
            </w:pPr>
            <w:r>
              <w:rPr>
                <w:color w:val="000000" w:themeColor="text1"/>
                <w:sz w:val="21"/>
                <w:szCs w:val="21"/>
              </w:rPr>
              <w:t>减震、吸音、隔音等设施</w:t>
            </w:r>
          </w:p>
        </w:tc>
        <w:tc>
          <w:tcPr>
            <w:tcW w:w="2802" w:type="dxa"/>
            <w:vAlign w:val="center"/>
          </w:tcPr>
          <w:p>
            <w:pPr>
              <w:spacing w:line="240" w:lineRule="auto"/>
              <w:ind w:firstLine="0" w:firstLineChars="0"/>
              <w:jc w:val="center"/>
              <w:rPr>
                <w:color w:val="000000" w:themeColor="text1"/>
                <w:sz w:val="21"/>
                <w:szCs w:val="21"/>
              </w:rPr>
            </w:pPr>
            <w:r>
              <w:rPr>
                <w:color w:val="000000" w:themeColor="text1"/>
                <w:sz w:val="21"/>
                <w:szCs w:val="21"/>
              </w:rPr>
              <w:t>达到GB12348-2008《工业企业厂界环境噪声排放标准》3类标准</w:t>
            </w:r>
          </w:p>
        </w:tc>
        <w:tc>
          <w:tcPr>
            <w:tcW w:w="128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新增措施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67" w:hRule="atLeast"/>
          <w:jc w:val="center"/>
        </w:trPr>
        <w:tc>
          <w:tcPr>
            <w:tcW w:w="690" w:type="dxa"/>
            <w:vMerge w:val="restart"/>
            <w:vAlign w:val="center"/>
          </w:tcPr>
          <w:p>
            <w:pPr>
              <w:spacing w:line="240" w:lineRule="auto"/>
              <w:ind w:firstLine="0" w:firstLineChars="0"/>
              <w:jc w:val="center"/>
              <w:rPr>
                <w:color w:val="000000" w:themeColor="text1"/>
                <w:sz w:val="21"/>
                <w:szCs w:val="21"/>
              </w:rPr>
            </w:pPr>
            <w:r>
              <w:rPr>
                <w:color w:val="000000" w:themeColor="text1"/>
                <w:sz w:val="21"/>
                <w:szCs w:val="21"/>
              </w:rPr>
              <w:t>环境风险</w:t>
            </w:r>
          </w:p>
        </w:tc>
        <w:tc>
          <w:tcPr>
            <w:tcW w:w="1095" w:type="dxa"/>
            <w:vAlign w:val="center"/>
          </w:tcPr>
          <w:p>
            <w:pPr>
              <w:spacing w:line="240" w:lineRule="auto"/>
              <w:ind w:firstLine="0" w:firstLineChars="0"/>
              <w:jc w:val="center"/>
              <w:rPr>
                <w:color w:val="000000" w:themeColor="text1"/>
                <w:sz w:val="21"/>
                <w:szCs w:val="21"/>
              </w:rPr>
            </w:pPr>
            <w:r>
              <w:rPr>
                <w:color w:val="000000" w:themeColor="text1"/>
                <w:sz w:val="21"/>
                <w:szCs w:val="21"/>
              </w:rPr>
              <w:t>生产废水</w:t>
            </w:r>
          </w:p>
        </w:tc>
        <w:tc>
          <w:tcPr>
            <w:tcW w:w="4247" w:type="dxa"/>
            <w:vAlign w:val="center"/>
          </w:tcPr>
          <w:p>
            <w:pPr>
              <w:spacing w:line="240" w:lineRule="auto"/>
              <w:ind w:firstLine="0" w:firstLineChars="0"/>
              <w:jc w:val="center"/>
              <w:rPr>
                <w:color w:val="000000" w:themeColor="text1"/>
                <w:sz w:val="21"/>
                <w:szCs w:val="21"/>
              </w:rPr>
            </w:pPr>
            <w:r>
              <w:rPr>
                <w:color w:val="000000" w:themeColor="text1"/>
                <w:sz w:val="21"/>
                <w:szCs w:val="21"/>
              </w:rPr>
              <w:t>依托原项目已建的200m</w:t>
            </w:r>
            <w:r>
              <w:rPr>
                <w:color w:val="000000" w:themeColor="text1"/>
                <w:sz w:val="21"/>
                <w:szCs w:val="21"/>
                <w:vertAlign w:val="superscript"/>
              </w:rPr>
              <w:t>3</w:t>
            </w:r>
            <w:r>
              <w:rPr>
                <w:color w:val="000000" w:themeColor="text1"/>
                <w:sz w:val="21"/>
                <w:szCs w:val="21"/>
              </w:rPr>
              <w:t>事故</w:t>
            </w:r>
            <w:r>
              <w:rPr>
                <w:rFonts w:hint="eastAsia"/>
                <w:color w:val="000000" w:themeColor="text1"/>
                <w:sz w:val="21"/>
                <w:szCs w:val="21"/>
              </w:rPr>
              <w:t>应急</w:t>
            </w:r>
            <w:r>
              <w:rPr>
                <w:color w:val="000000" w:themeColor="text1"/>
                <w:sz w:val="21"/>
                <w:szCs w:val="21"/>
              </w:rPr>
              <w:t>池</w:t>
            </w:r>
            <w:r>
              <w:rPr>
                <w:rFonts w:hint="eastAsia"/>
                <w:color w:val="000000" w:themeColor="text1"/>
                <w:sz w:val="21"/>
                <w:szCs w:val="21"/>
              </w:rPr>
              <w:t>（1#）</w:t>
            </w:r>
          </w:p>
        </w:tc>
        <w:tc>
          <w:tcPr>
            <w:tcW w:w="2802" w:type="dxa"/>
            <w:vAlign w:val="center"/>
          </w:tcPr>
          <w:p>
            <w:pPr>
              <w:spacing w:line="240" w:lineRule="auto"/>
              <w:ind w:firstLine="0" w:firstLineChars="0"/>
              <w:jc w:val="center"/>
              <w:rPr>
                <w:color w:val="000000" w:themeColor="text1"/>
                <w:sz w:val="21"/>
                <w:szCs w:val="21"/>
              </w:rPr>
            </w:pPr>
            <w:r>
              <w:rPr>
                <w:color w:val="000000" w:themeColor="text1"/>
                <w:sz w:val="21"/>
                <w:szCs w:val="21"/>
              </w:rPr>
              <w:t>事故时收集因回水设施故障无法处理外排的水</w:t>
            </w:r>
          </w:p>
        </w:tc>
        <w:tc>
          <w:tcPr>
            <w:tcW w:w="128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保留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Ex>
        <w:trPr>
          <w:trHeight w:val="567" w:hRule="atLeast"/>
          <w:jc w:val="center"/>
        </w:trPr>
        <w:tc>
          <w:tcPr>
            <w:tcW w:w="690" w:type="dxa"/>
            <w:vMerge w:val="continue"/>
            <w:vAlign w:val="center"/>
          </w:tcPr>
          <w:p>
            <w:pPr>
              <w:spacing w:line="240" w:lineRule="auto"/>
              <w:ind w:firstLine="0" w:firstLineChars="0"/>
              <w:jc w:val="center"/>
              <w:rPr>
                <w:color w:val="000000" w:themeColor="text1"/>
                <w:sz w:val="21"/>
                <w:szCs w:val="21"/>
              </w:rPr>
            </w:pPr>
          </w:p>
        </w:tc>
        <w:tc>
          <w:tcPr>
            <w:tcW w:w="1095"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矿浆</w:t>
            </w:r>
          </w:p>
        </w:tc>
        <w:tc>
          <w:tcPr>
            <w:tcW w:w="4247"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在选矿区最低处新建1个40m</w:t>
            </w:r>
            <w:r>
              <w:rPr>
                <w:rFonts w:hint="eastAsia"/>
                <w:color w:val="000000" w:themeColor="text1"/>
                <w:sz w:val="21"/>
                <w:szCs w:val="21"/>
                <w:vertAlign w:val="superscript"/>
              </w:rPr>
              <w:t>3</w:t>
            </w:r>
            <w:r>
              <w:rPr>
                <w:rFonts w:hint="eastAsia"/>
                <w:color w:val="000000" w:themeColor="text1"/>
                <w:sz w:val="21"/>
                <w:szCs w:val="21"/>
              </w:rPr>
              <w:t>的事故应急池（2#）</w:t>
            </w:r>
          </w:p>
        </w:tc>
        <w:tc>
          <w:tcPr>
            <w:tcW w:w="2802"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收集选矿设备发生破裂时的矿浆</w:t>
            </w:r>
          </w:p>
        </w:tc>
        <w:tc>
          <w:tcPr>
            <w:tcW w:w="1289" w:type="dxa"/>
            <w:vAlign w:val="center"/>
          </w:tcPr>
          <w:p>
            <w:pPr>
              <w:spacing w:line="240" w:lineRule="auto"/>
              <w:ind w:firstLine="0" w:firstLineChars="0"/>
              <w:jc w:val="center"/>
              <w:rPr>
                <w:color w:val="000000" w:themeColor="text1"/>
                <w:sz w:val="21"/>
                <w:szCs w:val="21"/>
              </w:rPr>
            </w:pPr>
            <w:r>
              <w:rPr>
                <w:rFonts w:hint="eastAsia"/>
                <w:color w:val="000000" w:themeColor="text1"/>
                <w:sz w:val="21"/>
                <w:szCs w:val="21"/>
              </w:rPr>
              <w:t>新增措施</w:t>
            </w:r>
          </w:p>
        </w:tc>
      </w:tr>
    </w:tbl>
    <w:p>
      <w:pPr>
        <w:ind w:firstLine="480"/>
        <w:rPr>
          <w:color w:val="000000" w:themeColor="text1"/>
        </w:rPr>
      </w:pPr>
    </w:p>
    <w:p>
      <w:pPr>
        <w:pStyle w:val="2"/>
        <w:ind w:firstLine="480"/>
        <w:rPr>
          <w:color w:val="000000" w:themeColor="text1"/>
          <w:lang w:eastAsia="zh-CN" w:bidi="ar-SA"/>
        </w:rPr>
      </w:pPr>
      <w:r>
        <w:rPr>
          <w:rFonts w:hint="eastAsia"/>
          <w:color w:val="000000" w:themeColor="text1"/>
          <w:lang w:eastAsia="zh-CN" w:bidi="ar-SA"/>
        </w:rPr>
        <w:t xml:space="preserve">  </w:t>
      </w:r>
    </w:p>
    <w:p>
      <w:pPr>
        <w:ind w:firstLine="480"/>
        <w:rPr>
          <w:color w:val="000000" w:themeColor="text1"/>
        </w:rPr>
      </w:pPr>
    </w:p>
    <w:p>
      <w:pPr>
        <w:pStyle w:val="2"/>
        <w:ind w:firstLine="480"/>
        <w:rPr>
          <w:color w:val="000000" w:themeColor="text1"/>
          <w:lang w:eastAsia="zh-CN" w:bidi="ar-SA"/>
        </w:rPr>
        <w:sectPr>
          <w:footerReference r:id="rId28" w:type="default"/>
          <w:pgSz w:w="11906" w:h="16838"/>
          <w:pgMar w:top="1440" w:right="1800" w:bottom="1440" w:left="1800" w:header="851" w:footer="992" w:gutter="0"/>
          <w:pgNumType w:fmt="numberInDash"/>
          <w:cols w:space="720" w:num="1"/>
          <w:docGrid w:type="lines" w:linePitch="312" w:charSpace="0"/>
        </w:sectPr>
      </w:pPr>
    </w:p>
    <w:p>
      <w:pPr>
        <w:keepNext/>
        <w:widowControl/>
        <w:ind w:firstLine="0" w:firstLineChars="0"/>
        <w:outlineLvl w:val="0"/>
        <w:rPr>
          <w:rFonts w:eastAsiaTheme="minorEastAsia"/>
          <w:b/>
          <w:bCs/>
          <w:color w:val="000000" w:themeColor="text1"/>
          <w:kern w:val="32"/>
          <w:sz w:val="32"/>
          <w:szCs w:val="32"/>
          <w:lang w:bidi="en-US"/>
        </w:rPr>
      </w:pPr>
      <w:bookmarkStart w:id="898" w:name="_Toc465156927"/>
      <w:bookmarkStart w:id="899" w:name="_Toc319504078"/>
      <w:bookmarkStart w:id="900" w:name="_Toc21818"/>
      <w:r>
        <w:rPr>
          <w:rFonts w:eastAsiaTheme="minorEastAsia"/>
          <w:b/>
          <w:bCs/>
          <w:color w:val="000000" w:themeColor="text1"/>
          <w:kern w:val="32"/>
          <w:sz w:val="32"/>
          <w:szCs w:val="32"/>
          <w:lang w:bidi="en-US"/>
        </w:rPr>
        <w:t>10评价结论</w:t>
      </w:r>
      <w:bookmarkEnd w:id="898"/>
      <w:bookmarkEnd w:id="899"/>
      <w:r>
        <w:rPr>
          <w:rFonts w:eastAsiaTheme="minorEastAsia"/>
          <w:b/>
          <w:bCs/>
          <w:color w:val="000000" w:themeColor="text1"/>
          <w:kern w:val="32"/>
          <w:sz w:val="32"/>
          <w:szCs w:val="32"/>
          <w:lang w:bidi="en-US"/>
        </w:rPr>
        <w:t>与建议</w:t>
      </w:r>
      <w:bookmarkEnd w:id="900"/>
    </w:p>
    <w:p>
      <w:pPr>
        <w:pStyle w:val="574"/>
        <w:adjustRightInd w:val="0"/>
        <w:snapToGrid w:val="0"/>
        <w:spacing w:beforeLines="0" w:afterLines="0"/>
        <w:rPr>
          <w:rFonts w:eastAsiaTheme="minorEastAsia"/>
          <w:color w:val="000000" w:themeColor="text1"/>
          <w:sz w:val="30"/>
          <w:szCs w:val="30"/>
        </w:rPr>
      </w:pPr>
      <w:bookmarkStart w:id="901" w:name="_Toc465156928"/>
      <w:bookmarkStart w:id="902" w:name="_Toc32493"/>
      <w:r>
        <w:rPr>
          <w:rFonts w:eastAsiaTheme="minorEastAsia"/>
          <w:color w:val="000000" w:themeColor="text1"/>
          <w:sz w:val="30"/>
          <w:szCs w:val="30"/>
        </w:rPr>
        <w:t>10.1项目概况</w:t>
      </w:r>
      <w:bookmarkEnd w:id="901"/>
      <w:bookmarkEnd w:id="902"/>
    </w:p>
    <w:p>
      <w:pPr>
        <w:ind w:firstLine="480"/>
        <w:rPr>
          <w:rFonts w:eastAsiaTheme="minorEastAsia"/>
          <w:color w:val="000000" w:themeColor="text1"/>
        </w:rPr>
      </w:pPr>
      <w:bookmarkStart w:id="903" w:name="_Toc465156929"/>
      <w:r>
        <w:rPr>
          <w:rFonts w:eastAsiaTheme="minorEastAsia"/>
          <w:bCs/>
          <w:iCs/>
          <w:color w:val="000000" w:themeColor="text1"/>
        </w:rPr>
        <w:t>项目位于云南省新平县戛洒镇</w:t>
      </w:r>
      <w:r>
        <w:rPr>
          <w:rFonts w:eastAsiaTheme="minorEastAsia"/>
          <w:color w:val="000000" w:themeColor="text1"/>
        </w:rPr>
        <w:t>戛洒村委会东磨组</w:t>
      </w:r>
      <w:r>
        <w:rPr>
          <w:rFonts w:hint="eastAsia" w:eastAsiaTheme="minorEastAsia"/>
          <w:color w:val="000000" w:themeColor="text1"/>
        </w:rPr>
        <w:t>公戛线</w:t>
      </w:r>
      <w:r>
        <w:rPr>
          <w:rFonts w:eastAsiaTheme="minorEastAsia"/>
          <w:color w:val="000000" w:themeColor="text1"/>
        </w:rPr>
        <w:t>旁</w:t>
      </w:r>
      <w:r>
        <w:rPr>
          <w:rFonts w:eastAsiaTheme="minorEastAsia"/>
          <w:bCs/>
          <w:iCs/>
          <w:color w:val="000000" w:themeColor="text1"/>
        </w:rPr>
        <w:t>。项目地理坐标：</w:t>
      </w:r>
      <w:r>
        <w:rPr>
          <w:color w:val="000000" w:themeColor="text1"/>
        </w:rPr>
        <w:t>东经102°93′19.16"，北纬24°23′49.88"</w:t>
      </w:r>
      <w:r>
        <w:rPr>
          <w:rFonts w:eastAsiaTheme="minorEastAsia"/>
          <w:bCs/>
          <w:iCs/>
          <w:color w:val="000000" w:themeColor="text1"/>
        </w:rPr>
        <w:t>，项目在现有厂区技改，</w:t>
      </w:r>
      <w:r>
        <w:rPr>
          <w:rFonts w:hint="eastAsia" w:eastAsiaTheme="minorEastAsia"/>
          <w:bCs/>
          <w:iCs/>
          <w:color w:val="000000" w:themeColor="text1"/>
        </w:rPr>
        <w:t>不新增占地</w:t>
      </w:r>
      <w:r>
        <w:rPr>
          <w:rFonts w:eastAsiaTheme="minorEastAsia"/>
          <w:bCs/>
          <w:iCs/>
          <w:color w:val="000000" w:themeColor="text1"/>
        </w:rPr>
        <w:t>。</w:t>
      </w:r>
    </w:p>
    <w:p>
      <w:pPr>
        <w:pStyle w:val="134"/>
        <w:ind w:firstLine="480"/>
        <w:rPr>
          <w:rFonts w:eastAsiaTheme="minorEastAsia"/>
          <w:color w:val="000000" w:themeColor="text1"/>
        </w:rPr>
      </w:pPr>
      <w:r>
        <w:rPr>
          <w:rFonts w:eastAsiaTheme="minorEastAsia"/>
          <w:color w:val="000000" w:themeColor="text1"/>
        </w:rPr>
        <w:t>项目名称：新平县平安矿业开发有限公司年产10万吨铁精矿技改建设</w:t>
      </w:r>
      <w:r>
        <w:rPr>
          <w:rFonts w:eastAsiaTheme="minorEastAsia"/>
          <w:bCs/>
          <w:iCs/>
          <w:color w:val="000000" w:themeColor="text1"/>
        </w:rPr>
        <w:t>项目</w:t>
      </w:r>
      <w:r>
        <w:rPr>
          <w:rFonts w:eastAsiaTheme="minorEastAsia"/>
          <w:color w:val="000000" w:themeColor="text1"/>
        </w:rPr>
        <w:t>。</w:t>
      </w:r>
    </w:p>
    <w:p>
      <w:pPr>
        <w:pStyle w:val="134"/>
        <w:ind w:firstLine="480"/>
        <w:rPr>
          <w:rFonts w:eastAsiaTheme="minorEastAsia"/>
          <w:bCs/>
          <w:iCs/>
          <w:color w:val="000000" w:themeColor="text1"/>
        </w:rPr>
      </w:pPr>
      <w:r>
        <w:rPr>
          <w:rFonts w:eastAsiaTheme="minorEastAsia"/>
          <w:color w:val="000000" w:themeColor="text1"/>
        </w:rPr>
        <w:t>建设地点：</w:t>
      </w:r>
      <w:r>
        <w:rPr>
          <w:rFonts w:eastAsiaTheme="minorEastAsia"/>
          <w:bCs/>
          <w:iCs/>
          <w:color w:val="000000" w:themeColor="text1"/>
        </w:rPr>
        <w:t>云南省新平县戛洒镇戛社区东磨小组。</w:t>
      </w:r>
    </w:p>
    <w:p>
      <w:pPr>
        <w:pStyle w:val="134"/>
        <w:ind w:firstLine="480"/>
        <w:rPr>
          <w:rFonts w:eastAsiaTheme="minorEastAsia"/>
          <w:color w:val="000000" w:themeColor="text1"/>
        </w:rPr>
      </w:pPr>
      <w:r>
        <w:rPr>
          <w:rFonts w:eastAsiaTheme="minorEastAsia"/>
          <w:color w:val="000000" w:themeColor="text1"/>
        </w:rPr>
        <w:t>建设性质：技改。</w:t>
      </w:r>
    </w:p>
    <w:p>
      <w:pPr>
        <w:pStyle w:val="134"/>
        <w:ind w:firstLine="480"/>
        <w:rPr>
          <w:rFonts w:eastAsiaTheme="minorEastAsia"/>
          <w:color w:val="000000" w:themeColor="text1"/>
        </w:rPr>
      </w:pPr>
      <w:r>
        <w:rPr>
          <w:rFonts w:eastAsiaTheme="minorEastAsia"/>
          <w:color w:val="000000" w:themeColor="text1"/>
        </w:rPr>
        <w:t>建设规模：年产10万吨铁精矿。</w:t>
      </w:r>
    </w:p>
    <w:p>
      <w:pPr>
        <w:pStyle w:val="134"/>
        <w:ind w:firstLine="480"/>
        <w:rPr>
          <w:color w:val="000000" w:themeColor="text1"/>
          <w:kern w:val="2"/>
          <w:szCs w:val="24"/>
        </w:rPr>
      </w:pPr>
      <w:r>
        <w:rPr>
          <w:color w:val="000000" w:themeColor="text1"/>
          <w:kern w:val="2"/>
          <w:szCs w:val="24"/>
        </w:rPr>
        <w:t>技改工程投资800万元，其中环保投资139.5万元，占总投资的17.44%。</w:t>
      </w:r>
    </w:p>
    <w:p>
      <w:pPr>
        <w:pStyle w:val="574"/>
        <w:adjustRightInd w:val="0"/>
        <w:snapToGrid w:val="0"/>
        <w:spacing w:beforeLines="0" w:afterLines="0"/>
        <w:rPr>
          <w:rFonts w:eastAsiaTheme="minorEastAsia"/>
          <w:color w:val="000000" w:themeColor="text1"/>
          <w:sz w:val="30"/>
          <w:szCs w:val="30"/>
        </w:rPr>
      </w:pPr>
      <w:bookmarkStart w:id="904" w:name="_Toc17676"/>
      <w:r>
        <w:rPr>
          <w:rFonts w:eastAsiaTheme="minorEastAsia"/>
          <w:color w:val="000000" w:themeColor="text1"/>
          <w:sz w:val="30"/>
          <w:szCs w:val="30"/>
        </w:rPr>
        <w:t>10.2环境质量现状结论</w:t>
      </w:r>
      <w:bookmarkEnd w:id="903"/>
      <w:bookmarkEnd w:id="904"/>
    </w:p>
    <w:p>
      <w:pPr>
        <w:pStyle w:val="6"/>
        <w:spacing w:beforeLines="0" w:afterLines="0"/>
        <w:rPr>
          <w:rFonts w:eastAsiaTheme="minorEastAsia"/>
          <w:color w:val="000000" w:themeColor="text1"/>
          <w:sz w:val="28"/>
          <w:szCs w:val="28"/>
        </w:rPr>
      </w:pPr>
      <w:bookmarkStart w:id="905" w:name="_Toc6328"/>
      <w:r>
        <w:rPr>
          <w:rFonts w:eastAsiaTheme="minorEastAsia"/>
          <w:color w:val="000000" w:themeColor="text1"/>
          <w:sz w:val="28"/>
          <w:szCs w:val="28"/>
        </w:rPr>
        <w:t>10.2.1环境空气质量现状</w:t>
      </w:r>
      <w:bookmarkEnd w:id="905"/>
    </w:p>
    <w:p>
      <w:pPr>
        <w:ind w:firstLine="480"/>
        <w:rPr>
          <w:rFonts w:eastAsiaTheme="minorEastAsia"/>
          <w:color w:val="000000" w:themeColor="text1"/>
        </w:rPr>
      </w:pPr>
      <w:r>
        <w:rPr>
          <w:rFonts w:eastAsiaTheme="minorEastAsia"/>
          <w:color w:val="000000" w:themeColor="text1"/>
        </w:rPr>
        <w:t>根据新平县</w:t>
      </w:r>
      <w:r>
        <w:rPr>
          <w:rFonts w:hint="eastAsia" w:eastAsiaTheme="minorEastAsia"/>
          <w:color w:val="000000" w:themeColor="text1"/>
        </w:rPr>
        <w:t>202</w:t>
      </w:r>
      <w:r>
        <w:rPr>
          <w:rFonts w:hint="eastAsia" w:eastAsiaTheme="minorEastAsia"/>
          <w:color w:val="000000" w:themeColor="text1"/>
          <w:szCs w:val="24"/>
        </w:rPr>
        <w:t>0</w:t>
      </w:r>
      <w:r>
        <w:rPr>
          <w:rFonts w:eastAsiaTheme="minorEastAsia"/>
          <w:color w:val="000000" w:themeColor="text1"/>
          <w:szCs w:val="24"/>
        </w:rPr>
        <w:t>年环境</w:t>
      </w:r>
      <w:r>
        <w:rPr>
          <w:rStyle w:val="73"/>
          <w:rFonts w:hint="eastAsia"/>
          <w:color w:val="000000" w:themeColor="text1"/>
          <w:kern w:val="0"/>
          <w:sz w:val="24"/>
          <w:szCs w:val="24"/>
        </w:rPr>
        <w:t>空气自动</w:t>
      </w:r>
      <w:r>
        <w:rPr>
          <w:rFonts w:eastAsiaTheme="minorEastAsia"/>
          <w:color w:val="000000" w:themeColor="text1"/>
          <w:szCs w:val="24"/>
        </w:rPr>
        <w:t>监测</w:t>
      </w:r>
      <w:r>
        <w:rPr>
          <w:rFonts w:eastAsiaTheme="minorEastAsia"/>
          <w:color w:val="000000" w:themeColor="text1"/>
        </w:rPr>
        <w:t>站监测结果，新平县环境空气质量能达到《环境空气质量标准》（GB3095-2012）二级标准要求，新平县处于环境空气质量达标区。根据现状补充监测结果可知，</w:t>
      </w:r>
      <w:r>
        <w:rPr>
          <w:rFonts w:hint="eastAsia" w:eastAsiaTheme="minorEastAsia"/>
          <w:color w:val="000000" w:themeColor="text1"/>
        </w:rPr>
        <w:t>两个</w:t>
      </w:r>
      <w:r>
        <w:rPr>
          <w:rFonts w:eastAsiaTheme="minorEastAsia"/>
          <w:color w:val="000000" w:themeColor="text1"/>
        </w:rPr>
        <w:t>监测点的</w:t>
      </w:r>
      <w:r>
        <w:rPr>
          <w:rFonts w:eastAsiaTheme="minorEastAsia"/>
          <w:color w:val="000000" w:themeColor="text1"/>
          <w:szCs w:val="21"/>
        </w:rPr>
        <w:t>SO</w:t>
      </w:r>
      <w:r>
        <w:rPr>
          <w:rFonts w:eastAsiaTheme="minorEastAsia"/>
          <w:color w:val="000000" w:themeColor="text1"/>
          <w:szCs w:val="21"/>
          <w:vertAlign w:val="subscript"/>
        </w:rPr>
        <w:t>2</w:t>
      </w:r>
      <w:r>
        <w:rPr>
          <w:rFonts w:eastAsiaTheme="minorEastAsia"/>
          <w:color w:val="000000" w:themeColor="text1"/>
          <w:szCs w:val="21"/>
        </w:rPr>
        <w:t>、NO</w:t>
      </w:r>
      <w:r>
        <w:rPr>
          <w:rFonts w:eastAsiaTheme="minorEastAsia"/>
          <w:color w:val="000000" w:themeColor="text1"/>
          <w:szCs w:val="21"/>
          <w:vertAlign w:val="subscript"/>
        </w:rPr>
        <w:t>2</w:t>
      </w:r>
      <w:r>
        <w:rPr>
          <w:rFonts w:eastAsiaTheme="minorEastAsia"/>
          <w:color w:val="000000" w:themeColor="text1"/>
          <w:szCs w:val="21"/>
        </w:rPr>
        <w:t>、TSP、PM</w:t>
      </w:r>
      <w:r>
        <w:rPr>
          <w:rFonts w:eastAsiaTheme="minorEastAsia"/>
          <w:color w:val="000000" w:themeColor="text1"/>
          <w:szCs w:val="21"/>
          <w:vertAlign w:val="subscript"/>
        </w:rPr>
        <w:t>10</w:t>
      </w:r>
      <w:r>
        <w:rPr>
          <w:rFonts w:eastAsiaTheme="minorEastAsia"/>
          <w:color w:val="000000" w:themeColor="text1"/>
        </w:rPr>
        <w:t>监测值均达到《环境空气质量标准》（GB3095-2012）二级标准要求。表明评价区域环境的空气质量良好，具有一定的环境容量。</w:t>
      </w:r>
    </w:p>
    <w:p>
      <w:pPr>
        <w:pStyle w:val="6"/>
        <w:spacing w:beforeLines="0" w:afterLines="0"/>
        <w:rPr>
          <w:rFonts w:eastAsiaTheme="minorEastAsia"/>
          <w:color w:val="000000" w:themeColor="text1"/>
          <w:sz w:val="28"/>
          <w:szCs w:val="28"/>
        </w:rPr>
      </w:pPr>
      <w:bookmarkStart w:id="906" w:name="_Toc7310"/>
      <w:r>
        <w:rPr>
          <w:rFonts w:eastAsiaTheme="minorEastAsia"/>
          <w:color w:val="000000" w:themeColor="text1"/>
          <w:sz w:val="28"/>
          <w:szCs w:val="28"/>
        </w:rPr>
        <w:t>10.2.2水环境质量现状</w:t>
      </w:r>
      <w:bookmarkEnd w:id="906"/>
    </w:p>
    <w:p>
      <w:pPr>
        <w:ind w:firstLine="480"/>
        <w:rPr>
          <w:rFonts w:eastAsiaTheme="minorEastAsia"/>
          <w:color w:val="000000" w:themeColor="text1"/>
          <w:spacing w:val="5"/>
        </w:rPr>
      </w:pPr>
      <w:r>
        <w:rPr>
          <w:rFonts w:eastAsiaTheme="minorEastAsia"/>
          <w:color w:val="000000" w:themeColor="text1"/>
        </w:rPr>
        <w:t>根据地表水环境质量现状监测结果分析，困龙河断面监测指标均能达到《地表水环境质量标准》（GB3838-2002）</w:t>
      </w:r>
      <w:r>
        <w:rPr>
          <w:rFonts w:eastAsia="方正仿宋_GBK"/>
          <w:color w:val="000000" w:themeColor="text1"/>
        </w:rPr>
        <w:t>Ⅲ</w:t>
      </w:r>
      <w:r>
        <w:rPr>
          <w:rFonts w:eastAsiaTheme="minorEastAsia"/>
          <w:color w:val="000000" w:themeColor="text1"/>
        </w:rPr>
        <w:t>类标准限值</w:t>
      </w:r>
      <w:r>
        <w:rPr>
          <w:rFonts w:eastAsiaTheme="minorEastAsia"/>
          <w:color w:val="000000" w:themeColor="text1"/>
          <w:spacing w:val="5"/>
        </w:rPr>
        <w:t>要求。</w:t>
      </w:r>
    </w:p>
    <w:p>
      <w:pPr>
        <w:pStyle w:val="6"/>
        <w:spacing w:beforeLines="0" w:afterLines="0"/>
        <w:rPr>
          <w:rFonts w:eastAsiaTheme="minorEastAsia"/>
          <w:color w:val="000000" w:themeColor="text1"/>
          <w:sz w:val="28"/>
          <w:szCs w:val="28"/>
        </w:rPr>
      </w:pPr>
      <w:bookmarkStart w:id="907" w:name="_Toc432"/>
      <w:r>
        <w:rPr>
          <w:rFonts w:eastAsiaTheme="minorEastAsia"/>
          <w:color w:val="000000" w:themeColor="text1"/>
          <w:sz w:val="28"/>
          <w:szCs w:val="28"/>
        </w:rPr>
        <w:t>10.2.3地下水环境质量现状</w:t>
      </w:r>
      <w:bookmarkEnd w:id="907"/>
    </w:p>
    <w:p>
      <w:pPr>
        <w:ind w:firstLine="480"/>
        <w:jc w:val="both"/>
        <w:rPr>
          <w:rFonts w:eastAsiaTheme="minorEastAsia"/>
          <w:color w:val="000000" w:themeColor="text1"/>
        </w:rPr>
      </w:pPr>
      <w:r>
        <w:rPr>
          <w:rFonts w:eastAsiaTheme="minorEastAsia"/>
          <w:color w:val="000000" w:themeColor="text1"/>
        </w:rPr>
        <w:t>根据地下水环境质量现状监测结果分析，区域地下水</w:t>
      </w:r>
      <w:r>
        <w:rPr>
          <w:rFonts w:hint="eastAsia" w:eastAsiaTheme="minorEastAsia"/>
          <w:color w:val="000000" w:themeColor="text1"/>
        </w:rPr>
        <w:t>除J2处的氨氮超标外，其余</w:t>
      </w:r>
      <w:r>
        <w:rPr>
          <w:rFonts w:eastAsiaTheme="minorEastAsia"/>
          <w:color w:val="000000" w:themeColor="text1"/>
        </w:rPr>
        <w:t>所测指标均达到《地下水质量标准》（GB/T14848-2017）</w:t>
      </w:r>
      <w:r>
        <w:rPr>
          <w:rFonts w:eastAsiaTheme="minorEastAsia"/>
          <w:color w:val="000000" w:themeColor="text1"/>
        </w:rPr>
        <w:fldChar w:fldCharType="begin"/>
      </w:r>
      <w:r>
        <w:rPr>
          <w:rFonts w:eastAsiaTheme="minorEastAsia"/>
          <w:color w:val="000000" w:themeColor="text1"/>
        </w:rPr>
        <w:instrText xml:space="preserve"> = 3 \* ROMAN </w:instrText>
      </w:r>
      <w:r>
        <w:rPr>
          <w:rFonts w:eastAsiaTheme="minorEastAsia"/>
          <w:color w:val="000000" w:themeColor="text1"/>
        </w:rPr>
        <w:fldChar w:fldCharType="separate"/>
      </w:r>
      <w:r>
        <w:rPr>
          <w:rFonts w:eastAsiaTheme="minorEastAsia"/>
          <w:color w:val="000000" w:themeColor="text1"/>
        </w:rPr>
        <w:t>III</w:t>
      </w:r>
      <w:r>
        <w:rPr>
          <w:rFonts w:eastAsiaTheme="minorEastAsia"/>
          <w:color w:val="000000" w:themeColor="text1"/>
        </w:rPr>
        <w:fldChar w:fldCharType="end"/>
      </w:r>
      <w:r>
        <w:rPr>
          <w:rFonts w:eastAsiaTheme="minorEastAsia"/>
          <w:color w:val="000000" w:themeColor="text1"/>
        </w:rPr>
        <w:t>类标准要求。</w:t>
      </w:r>
      <w:r>
        <w:rPr>
          <w:rFonts w:hint="eastAsia" w:eastAsiaTheme="minorEastAsia"/>
          <w:color w:val="000000" w:themeColor="text1"/>
        </w:rPr>
        <w:t>J2处的氨氮超标主要原因可能为项目区东侧上游的农田施肥退水导致附近地下水氨氮浓度超标。</w:t>
      </w:r>
    </w:p>
    <w:p>
      <w:pPr>
        <w:ind w:firstLine="480"/>
        <w:rPr>
          <w:rFonts w:eastAsiaTheme="minorEastAsia"/>
          <w:color w:val="000000" w:themeColor="text1"/>
          <w:spacing w:val="5"/>
        </w:rPr>
      </w:pPr>
      <w:r>
        <w:rPr>
          <w:rFonts w:hint="eastAsia" w:eastAsiaTheme="minorEastAsia"/>
          <w:color w:val="000000" w:themeColor="text1"/>
        </w:rPr>
        <w:t xml:space="preserve"> </w:t>
      </w:r>
    </w:p>
    <w:p>
      <w:pPr>
        <w:pStyle w:val="6"/>
        <w:spacing w:beforeLines="0" w:afterLines="0"/>
        <w:rPr>
          <w:rFonts w:eastAsiaTheme="minorEastAsia"/>
          <w:color w:val="000000" w:themeColor="text1"/>
          <w:sz w:val="28"/>
          <w:szCs w:val="28"/>
        </w:rPr>
      </w:pPr>
      <w:bookmarkStart w:id="908" w:name="_Toc30927"/>
      <w:r>
        <w:rPr>
          <w:rFonts w:eastAsiaTheme="minorEastAsia"/>
          <w:color w:val="000000" w:themeColor="text1"/>
          <w:sz w:val="28"/>
          <w:szCs w:val="28"/>
        </w:rPr>
        <w:t>10.2.4声环境质量现状</w:t>
      </w:r>
      <w:bookmarkEnd w:id="908"/>
    </w:p>
    <w:p>
      <w:pPr>
        <w:ind w:firstLine="480"/>
        <w:rPr>
          <w:rFonts w:eastAsiaTheme="minorEastAsia"/>
          <w:color w:val="000000" w:themeColor="text1"/>
        </w:rPr>
      </w:pPr>
      <w:r>
        <w:rPr>
          <w:rFonts w:eastAsiaTheme="minorEastAsia"/>
          <w:color w:val="000000" w:themeColor="text1"/>
        </w:rPr>
        <w:t>根据声环境质量现状监测结果分析，</w:t>
      </w:r>
      <w:r>
        <w:rPr>
          <w:rStyle w:val="73"/>
          <w:rFonts w:hint="eastAsia"/>
          <w:color w:val="000000" w:themeColor="text1"/>
          <w:kern w:val="0"/>
          <w:sz w:val="24"/>
          <w:szCs w:val="24"/>
        </w:rPr>
        <w:t>沿厂界四周所布设的四个测点的</w:t>
      </w:r>
      <w:r>
        <w:rPr>
          <w:rFonts w:eastAsiaTheme="minorEastAsia"/>
          <w:color w:val="000000" w:themeColor="text1"/>
          <w:szCs w:val="24"/>
        </w:rPr>
        <w:t>噪</w:t>
      </w:r>
      <w:r>
        <w:rPr>
          <w:rFonts w:eastAsiaTheme="minorEastAsia"/>
          <w:color w:val="000000" w:themeColor="text1"/>
        </w:rPr>
        <w:t>声监测值均能达到《声环境质量标准》（GB3096-2008）3类标准要求。</w:t>
      </w:r>
    </w:p>
    <w:p>
      <w:pPr>
        <w:pStyle w:val="6"/>
        <w:spacing w:beforeLines="0" w:afterLines="0"/>
        <w:rPr>
          <w:rFonts w:eastAsiaTheme="minorEastAsia"/>
          <w:color w:val="000000" w:themeColor="text1"/>
          <w:sz w:val="28"/>
          <w:szCs w:val="28"/>
        </w:rPr>
      </w:pPr>
      <w:bookmarkStart w:id="909" w:name="_Toc30351"/>
      <w:r>
        <w:rPr>
          <w:rFonts w:eastAsiaTheme="minorEastAsia"/>
          <w:color w:val="000000" w:themeColor="text1"/>
          <w:sz w:val="28"/>
          <w:szCs w:val="28"/>
        </w:rPr>
        <w:t>10.2.5土壤环境质量现状</w:t>
      </w:r>
      <w:bookmarkEnd w:id="909"/>
    </w:p>
    <w:p>
      <w:pPr>
        <w:spacing w:after="97" w:afterLines="30"/>
        <w:ind w:firstLine="480"/>
        <w:rPr>
          <w:rFonts w:eastAsiaTheme="minorEastAsia"/>
          <w:color w:val="000000" w:themeColor="text1"/>
        </w:rPr>
      </w:pPr>
      <w:r>
        <w:rPr>
          <w:rFonts w:eastAsiaTheme="minorEastAsia"/>
          <w:color w:val="000000" w:themeColor="text1"/>
        </w:rPr>
        <w:t>根据土壤环境质量现状监测结果分析，项目区内土壤监测因子值均</w:t>
      </w:r>
      <w:r>
        <w:rPr>
          <w:color w:val="000000" w:themeColor="text1"/>
        </w:rPr>
        <w:t>小于《土壤环境质量建设用地土壤污染风险管控标准（试行）》（GB36600-2018）中表1的</w:t>
      </w:r>
      <w:r>
        <w:rPr>
          <w:rFonts w:hint="eastAsia"/>
          <w:color w:val="000000" w:themeColor="text1"/>
        </w:rPr>
        <w:t>第二类用地</w:t>
      </w:r>
      <w:r>
        <w:rPr>
          <w:color w:val="000000" w:themeColor="text1"/>
        </w:rPr>
        <w:t>筛选值。</w:t>
      </w:r>
    </w:p>
    <w:p>
      <w:pPr>
        <w:pStyle w:val="6"/>
        <w:spacing w:beforeLines="0" w:afterLines="0"/>
        <w:rPr>
          <w:rFonts w:eastAsiaTheme="minorEastAsia"/>
          <w:color w:val="000000" w:themeColor="text1"/>
          <w:sz w:val="28"/>
          <w:szCs w:val="28"/>
        </w:rPr>
      </w:pPr>
      <w:bookmarkStart w:id="910" w:name="_Toc4068"/>
      <w:r>
        <w:rPr>
          <w:rFonts w:eastAsiaTheme="minorEastAsia"/>
          <w:color w:val="000000" w:themeColor="text1"/>
          <w:sz w:val="28"/>
          <w:szCs w:val="28"/>
        </w:rPr>
        <w:t>10.2.6生态环境质量现状</w:t>
      </w:r>
      <w:bookmarkEnd w:id="910"/>
    </w:p>
    <w:p>
      <w:pPr>
        <w:ind w:firstLine="480"/>
        <w:rPr>
          <w:rFonts w:eastAsiaTheme="minorEastAsia"/>
          <w:color w:val="000000" w:themeColor="text1"/>
        </w:rPr>
      </w:pPr>
      <w:r>
        <w:rPr>
          <w:rFonts w:eastAsiaTheme="minorEastAsia"/>
          <w:color w:val="000000" w:themeColor="text1"/>
        </w:rPr>
        <w:t>评价区的植被类型主要为有林地和灌木草丛，评价区内无国家规定保护的珍稀植物及珍稀古树，自然植被以稀散乔木、灌木为主，在植被类型及物种多样性方面没有特殊的生物学意义。评价区内未见国家及省级重点保护的野生濒危动物分布的记录，没有特殊生态景观和历史文物等敏感保护目标。在地势陡峭地段有少量灌木及杂木。</w:t>
      </w:r>
    </w:p>
    <w:p>
      <w:pPr>
        <w:ind w:firstLine="480"/>
        <w:rPr>
          <w:rFonts w:eastAsiaTheme="minorEastAsia"/>
          <w:color w:val="000000" w:themeColor="text1"/>
        </w:rPr>
      </w:pPr>
      <w:r>
        <w:rPr>
          <w:rFonts w:eastAsiaTheme="minorEastAsia"/>
          <w:color w:val="000000" w:themeColor="text1"/>
        </w:rPr>
        <w:t>现场调查未发生塌陷和地裂缝等地质灾害，由于评价区次生植被恢复较好，自然生态体系完整性较好，因此自然生态系统的稳定较强。</w:t>
      </w:r>
    </w:p>
    <w:p>
      <w:pPr>
        <w:pStyle w:val="574"/>
        <w:spacing w:beforeLines="0" w:afterLines="0"/>
        <w:rPr>
          <w:rFonts w:eastAsiaTheme="minorEastAsia"/>
          <w:color w:val="000000" w:themeColor="text1"/>
          <w:sz w:val="30"/>
          <w:szCs w:val="30"/>
        </w:rPr>
      </w:pPr>
      <w:bookmarkStart w:id="911" w:name="_Toc6230"/>
      <w:bookmarkStart w:id="912" w:name="_Toc24208362"/>
      <w:bookmarkStart w:id="913" w:name="_Toc465156930"/>
      <w:r>
        <w:rPr>
          <w:rFonts w:eastAsiaTheme="minorEastAsia"/>
          <w:color w:val="000000" w:themeColor="text1"/>
          <w:sz w:val="30"/>
          <w:szCs w:val="30"/>
        </w:rPr>
        <w:t>10.3</w:t>
      </w:r>
      <w:r>
        <w:rPr>
          <w:rFonts w:hint="eastAsia" w:eastAsiaTheme="minorEastAsia"/>
          <w:color w:val="000000" w:themeColor="text1"/>
          <w:sz w:val="30"/>
          <w:szCs w:val="30"/>
        </w:rPr>
        <w:t>相关符合性分析结论</w:t>
      </w:r>
      <w:bookmarkEnd w:id="911"/>
    </w:p>
    <w:p>
      <w:pPr>
        <w:pStyle w:val="6"/>
        <w:spacing w:beforeLines="0" w:afterLines="0"/>
        <w:rPr>
          <w:rFonts w:eastAsiaTheme="minorEastAsia"/>
          <w:color w:val="000000" w:themeColor="text1"/>
          <w:sz w:val="28"/>
          <w:szCs w:val="28"/>
        </w:rPr>
      </w:pPr>
      <w:bookmarkStart w:id="914" w:name="_Toc7456"/>
      <w:r>
        <w:rPr>
          <w:rFonts w:hint="eastAsia" w:eastAsiaTheme="minorEastAsia"/>
          <w:color w:val="000000" w:themeColor="text1"/>
          <w:sz w:val="28"/>
          <w:szCs w:val="28"/>
        </w:rPr>
        <w:t>10.3.1</w:t>
      </w:r>
      <w:r>
        <w:rPr>
          <w:rFonts w:eastAsiaTheme="minorEastAsia"/>
          <w:color w:val="000000" w:themeColor="text1"/>
          <w:sz w:val="28"/>
          <w:szCs w:val="28"/>
        </w:rPr>
        <w:t>产业政策符合性分析</w:t>
      </w:r>
      <w:bookmarkEnd w:id="912"/>
      <w:bookmarkEnd w:id="914"/>
    </w:p>
    <w:p>
      <w:pPr>
        <w:pStyle w:val="134"/>
        <w:ind w:firstLine="480"/>
        <w:rPr>
          <w:rFonts w:eastAsiaTheme="minorEastAsia"/>
          <w:color w:val="000000" w:themeColor="text1"/>
        </w:rPr>
      </w:pPr>
      <w:bookmarkStart w:id="915" w:name="_Toc5415"/>
      <w:bookmarkStart w:id="916" w:name="_Toc28749"/>
      <w:bookmarkStart w:id="917" w:name="_Toc18518131"/>
      <w:bookmarkStart w:id="918" w:name="_Toc24208363"/>
      <w:r>
        <w:rPr>
          <w:rFonts w:eastAsiaTheme="minorEastAsia"/>
          <w:color w:val="000000" w:themeColor="text1"/>
        </w:rPr>
        <w:t>根据《产业结构调整指导目录（2019年本）》，该项目属于“四十三、环境保护与资源节约综合利用中23、高效、节能、环保采矿、选矿技术（药剂）；低品位、复杂、难处理矿开发及综合利用技术与设备”中的“低品位矿开发及综合利用技术与设备”类别，属于鼓励类建设项目，符合国家产业政策。项目已于2021年1月6日取得新平彝族傣族自治县发展和改革局核发的投资项目备案证，项目代码：2021-530427-04-02-3380736。</w:t>
      </w:r>
    </w:p>
    <w:p>
      <w:pPr>
        <w:pStyle w:val="6"/>
        <w:spacing w:beforeLines="0" w:afterLines="0"/>
        <w:rPr>
          <w:rFonts w:eastAsiaTheme="minorEastAsia"/>
          <w:color w:val="000000" w:themeColor="text1"/>
          <w:sz w:val="28"/>
          <w:szCs w:val="28"/>
        </w:rPr>
      </w:pPr>
      <w:bookmarkStart w:id="919" w:name="_Toc8722"/>
      <w:r>
        <w:rPr>
          <w:rFonts w:eastAsiaTheme="minorEastAsia"/>
          <w:color w:val="000000" w:themeColor="text1"/>
          <w:sz w:val="28"/>
          <w:szCs w:val="28"/>
        </w:rPr>
        <w:t>10.</w:t>
      </w:r>
      <w:r>
        <w:rPr>
          <w:rFonts w:hint="eastAsia" w:eastAsiaTheme="minorEastAsia"/>
          <w:color w:val="000000" w:themeColor="text1"/>
          <w:sz w:val="28"/>
          <w:szCs w:val="28"/>
        </w:rPr>
        <w:t>3.2</w:t>
      </w:r>
      <w:r>
        <w:rPr>
          <w:rFonts w:eastAsiaTheme="minorEastAsia"/>
          <w:color w:val="000000" w:themeColor="text1"/>
          <w:sz w:val="28"/>
          <w:szCs w:val="28"/>
        </w:rPr>
        <w:t>规划相符性分析结论</w:t>
      </w:r>
      <w:bookmarkEnd w:id="915"/>
      <w:bookmarkEnd w:id="916"/>
      <w:bookmarkEnd w:id="917"/>
      <w:bookmarkEnd w:id="918"/>
      <w:bookmarkEnd w:id="919"/>
    </w:p>
    <w:p>
      <w:pPr>
        <w:ind w:firstLine="480"/>
        <w:rPr>
          <w:rFonts w:eastAsiaTheme="minorEastAsia"/>
          <w:color w:val="000000" w:themeColor="text1"/>
          <w:szCs w:val="24"/>
        </w:rPr>
      </w:pPr>
      <w:r>
        <w:rPr>
          <w:rFonts w:eastAsiaTheme="minorEastAsia"/>
          <w:color w:val="000000" w:themeColor="text1"/>
          <w:szCs w:val="24"/>
        </w:rPr>
        <w:t>本项目位于</w:t>
      </w:r>
      <w:r>
        <w:rPr>
          <w:rFonts w:hint="eastAsia"/>
          <w:color w:val="000000" w:themeColor="text1"/>
        </w:rPr>
        <w:t>新平矿业循环经济特色工业园区戛洒片区大红山配套服务组团内</w:t>
      </w:r>
      <w:r>
        <w:rPr>
          <w:rFonts w:eastAsiaTheme="minorEastAsia"/>
          <w:color w:val="000000" w:themeColor="text1"/>
          <w:szCs w:val="24"/>
        </w:rPr>
        <w:t>，</w:t>
      </w:r>
      <w:r>
        <w:rPr>
          <w:rFonts w:hint="eastAsia" w:eastAsiaTheme="minorEastAsia"/>
          <w:color w:val="000000" w:themeColor="text1"/>
          <w:szCs w:val="24"/>
        </w:rPr>
        <w:t>在现有场地技改</w:t>
      </w:r>
      <w:r>
        <w:rPr>
          <w:rFonts w:eastAsiaTheme="minorEastAsia"/>
          <w:color w:val="000000" w:themeColor="text1"/>
          <w:szCs w:val="24"/>
        </w:rPr>
        <w:t>，项目不涉及生态保护红线，</w:t>
      </w:r>
      <w:r>
        <w:rPr>
          <w:rFonts w:hint="eastAsia"/>
          <w:color w:val="000000" w:themeColor="text1"/>
        </w:rPr>
        <w:t>符合园区规划产业定位、规划环评及审查意见</w:t>
      </w:r>
      <w:r>
        <w:rPr>
          <w:rFonts w:eastAsiaTheme="minorEastAsia"/>
          <w:color w:val="000000" w:themeColor="text1"/>
          <w:szCs w:val="24"/>
        </w:rPr>
        <w:t>。</w:t>
      </w:r>
    </w:p>
    <w:p>
      <w:pPr>
        <w:pStyle w:val="6"/>
        <w:spacing w:beforeLines="0" w:afterLines="0"/>
        <w:rPr>
          <w:rFonts w:eastAsiaTheme="minorEastAsia"/>
          <w:color w:val="000000" w:themeColor="text1"/>
          <w:sz w:val="28"/>
          <w:szCs w:val="28"/>
        </w:rPr>
      </w:pPr>
      <w:bookmarkStart w:id="920" w:name="_Toc20537"/>
      <w:r>
        <w:rPr>
          <w:rFonts w:hint="eastAsia" w:eastAsiaTheme="minorEastAsia"/>
          <w:color w:val="000000" w:themeColor="text1"/>
          <w:sz w:val="28"/>
          <w:szCs w:val="28"/>
        </w:rPr>
        <w:t>10.3.3选址合理性分析</w:t>
      </w:r>
      <w:bookmarkEnd w:id="920"/>
    </w:p>
    <w:p>
      <w:pPr>
        <w:pStyle w:val="134"/>
        <w:ind w:firstLine="480"/>
        <w:rPr>
          <w:color w:val="000000" w:themeColor="text1"/>
          <w:kern w:val="24"/>
          <w:szCs w:val="24"/>
        </w:rPr>
      </w:pPr>
      <w:r>
        <w:rPr>
          <w:color w:val="000000" w:themeColor="text1"/>
        </w:rPr>
        <w:t>项目位于新平县戛洒镇东磨小组，</w:t>
      </w:r>
      <w:r>
        <w:rPr>
          <w:rFonts w:hint="eastAsia"/>
          <w:color w:val="000000" w:themeColor="text1"/>
        </w:rPr>
        <w:t>属于新平工业园区戛洒片区，</w:t>
      </w:r>
      <w:r>
        <w:rPr>
          <w:color w:val="000000" w:themeColor="text1"/>
          <w:szCs w:val="24"/>
        </w:rPr>
        <w:t>项目不新增用地</w:t>
      </w:r>
      <w:r>
        <w:rPr>
          <w:rFonts w:hint="eastAsia"/>
          <w:color w:val="000000" w:themeColor="text1"/>
          <w:szCs w:val="24"/>
        </w:rPr>
        <w:t>，利用原厂区空地进行技改，</w:t>
      </w:r>
      <w:r>
        <w:rPr>
          <w:color w:val="000000" w:themeColor="text1"/>
        </w:rPr>
        <w:t>该选厂不涉及敏感区域</w:t>
      </w:r>
      <w:r>
        <w:rPr>
          <w:rFonts w:hint="eastAsia"/>
          <w:color w:val="000000" w:themeColor="text1"/>
        </w:rPr>
        <w:t>，</w:t>
      </w:r>
      <w:r>
        <w:rPr>
          <w:color w:val="000000" w:themeColor="text1"/>
          <w:kern w:val="24"/>
          <w:szCs w:val="24"/>
        </w:rPr>
        <w:t>项目运营期产生的废气、噪声</w:t>
      </w:r>
      <w:r>
        <w:rPr>
          <w:rFonts w:hint="eastAsia"/>
          <w:color w:val="000000" w:themeColor="text1"/>
          <w:kern w:val="24"/>
          <w:szCs w:val="24"/>
        </w:rPr>
        <w:t>达标排放，废水经处理后循环使用不外排，</w:t>
      </w:r>
      <w:r>
        <w:rPr>
          <w:color w:val="000000" w:themeColor="text1"/>
          <w:kern w:val="24"/>
          <w:szCs w:val="24"/>
        </w:rPr>
        <w:t>固废均能够得到及时、妥善的处置，项目运营期采取措施后不会对周边环境造成大的影响。因此，项目选址合理。</w:t>
      </w:r>
    </w:p>
    <w:p>
      <w:pPr>
        <w:pStyle w:val="6"/>
        <w:spacing w:beforeLines="0" w:afterLines="0"/>
        <w:rPr>
          <w:rFonts w:eastAsiaTheme="minorEastAsia"/>
          <w:color w:val="000000" w:themeColor="text1"/>
          <w:sz w:val="28"/>
          <w:szCs w:val="28"/>
        </w:rPr>
      </w:pPr>
      <w:bookmarkStart w:id="921" w:name="_Toc27134"/>
      <w:r>
        <w:rPr>
          <w:rFonts w:hint="eastAsia" w:eastAsiaTheme="minorEastAsia"/>
          <w:color w:val="000000" w:themeColor="text1"/>
          <w:sz w:val="28"/>
          <w:szCs w:val="28"/>
        </w:rPr>
        <w:t>10.3.4平面布置合理性分析</w:t>
      </w:r>
      <w:bookmarkEnd w:id="921"/>
    </w:p>
    <w:p>
      <w:pPr>
        <w:ind w:firstLine="480"/>
        <w:rPr>
          <w:color w:val="000000" w:themeColor="text1"/>
        </w:rPr>
      </w:pPr>
      <w:r>
        <w:rPr>
          <w:rFonts w:eastAsiaTheme="minorEastAsia"/>
          <w:bCs/>
          <w:iCs/>
          <w:color w:val="000000" w:themeColor="text1"/>
        </w:rPr>
        <w:t>项目依托现有地形分台阶布置，</w:t>
      </w:r>
      <w:r>
        <w:rPr>
          <w:rFonts w:hint="eastAsia" w:eastAsiaTheme="minorEastAsia"/>
          <w:bCs/>
          <w:iCs/>
          <w:color w:val="000000" w:themeColor="text1"/>
        </w:rPr>
        <w:t>生产车间与脱水、尾矿处理区之间有公路（公戛线）相隔，</w:t>
      </w:r>
      <w:r>
        <w:rPr>
          <w:rFonts w:eastAsiaTheme="minorEastAsia"/>
          <w:bCs/>
          <w:iCs/>
          <w:color w:val="000000" w:themeColor="text1"/>
        </w:rPr>
        <w:t>本次技改项目在原有场地上进行建设，原料加工处理站位于选厂生产车间北侧，</w:t>
      </w:r>
      <w:r>
        <w:rPr>
          <w:rFonts w:hint="eastAsia" w:eastAsiaTheme="minorEastAsia"/>
          <w:bCs/>
          <w:iCs/>
          <w:color w:val="000000" w:themeColor="text1"/>
        </w:rPr>
        <w:t>位于生产区下风向，降低生产粉尘对厂区的影响，</w:t>
      </w:r>
      <w:r>
        <w:rPr>
          <w:rFonts w:eastAsiaTheme="minorEastAsia"/>
          <w:bCs/>
          <w:iCs/>
          <w:color w:val="000000" w:themeColor="text1"/>
        </w:rPr>
        <w:t>充分利用地形</w:t>
      </w:r>
      <w:r>
        <w:rPr>
          <w:rFonts w:hint="eastAsia" w:eastAsiaTheme="minorEastAsia"/>
          <w:bCs/>
          <w:iCs/>
          <w:color w:val="000000" w:themeColor="text1"/>
        </w:rPr>
        <w:t>，各设备布置合理。因此，项目平面布置合理。</w:t>
      </w:r>
    </w:p>
    <w:p>
      <w:pPr>
        <w:pStyle w:val="574"/>
        <w:adjustRightInd w:val="0"/>
        <w:snapToGrid w:val="0"/>
        <w:spacing w:beforeLines="0" w:afterLines="0"/>
        <w:rPr>
          <w:rFonts w:eastAsiaTheme="minorEastAsia"/>
          <w:color w:val="000000" w:themeColor="text1"/>
          <w:sz w:val="30"/>
          <w:szCs w:val="30"/>
        </w:rPr>
      </w:pPr>
      <w:bookmarkStart w:id="922" w:name="_Toc24180"/>
      <w:r>
        <w:rPr>
          <w:rFonts w:eastAsiaTheme="minorEastAsia"/>
          <w:color w:val="000000" w:themeColor="text1"/>
          <w:sz w:val="30"/>
          <w:szCs w:val="30"/>
        </w:rPr>
        <w:t>10.</w:t>
      </w:r>
      <w:r>
        <w:rPr>
          <w:rFonts w:hint="eastAsia" w:eastAsiaTheme="minorEastAsia"/>
          <w:color w:val="000000" w:themeColor="text1"/>
          <w:sz w:val="30"/>
          <w:szCs w:val="30"/>
        </w:rPr>
        <w:t>4</w:t>
      </w:r>
      <w:r>
        <w:rPr>
          <w:rFonts w:eastAsiaTheme="minorEastAsia"/>
          <w:color w:val="000000" w:themeColor="text1"/>
          <w:sz w:val="30"/>
          <w:szCs w:val="30"/>
        </w:rPr>
        <w:t>环境影响分析结论</w:t>
      </w:r>
      <w:bookmarkEnd w:id="913"/>
      <w:bookmarkEnd w:id="922"/>
    </w:p>
    <w:p>
      <w:pPr>
        <w:pStyle w:val="6"/>
        <w:adjustRightInd w:val="0"/>
        <w:snapToGrid w:val="0"/>
        <w:spacing w:beforeLines="0" w:afterLines="0"/>
        <w:rPr>
          <w:rFonts w:eastAsiaTheme="minorEastAsia"/>
          <w:color w:val="000000" w:themeColor="text1"/>
          <w:sz w:val="28"/>
          <w:szCs w:val="28"/>
        </w:rPr>
      </w:pPr>
      <w:bookmarkStart w:id="923" w:name="_Toc28785"/>
      <w:r>
        <w:rPr>
          <w:rFonts w:eastAsiaTheme="minorEastAsia"/>
          <w:color w:val="000000" w:themeColor="text1"/>
          <w:sz w:val="28"/>
          <w:szCs w:val="28"/>
        </w:rPr>
        <w:t>10.</w:t>
      </w:r>
      <w:r>
        <w:rPr>
          <w:rFonts w:hint="eastAsia" w:eastAsiaTheme="minorEastAsia"/>
          <w:color w:val="000000" w:themeColor="text1"/>
          <w:sz w:val="28"/>
          <w:szCs w:val="28"/>
        </w:rPr>
        <w:t>4</w:t>
      </w:r>
      <w:r>
        <w:rPr>
          <w:rFonts w:eastAsiaTheme="minorEastAsia"/>
          <w:color w:val="000000" w:themeColor="text1"/>
          <w:sz w:val="28"/>
          <w:szCs w:val="28"/>
        </w:rPr>
        <w:t>.1施工期环境影响分析结论</w:t>
      </w:r>
      <w:bookmarkEnd w:id="923"/>
    </w:p>
    <w:p>
      <w:pPr>
        <w:ind w:firstLine="480"/>
        <w:rPr>
          <w:rFonts w:eastAsiaTheme="minorEastAsia"/>
          <w:color w:val="000000" w:themeColor="text1"/>
          <w:szCs w:val="24"/>
        </w:rPr>
      </w:pPr>
      <w:r>
        <w:rPr>
          <w:rFonts w:eastAsiaTheme="minorEastAsia"/>
          <w:color w:val="000000" w:themeColor="text1"/>
          <w:szCs w:val="24"/>
        </w:rPr>
        <w:t>1、废水</w:t>
      </w:r>
    </w:p>
    <w:p>
      <w:pPr>
        <w:ind w:firstLine="480"/>
        <w:rPr>
          <w:rFonts w:eastAsiaTheme="minorEastAsia"/>
          <w:color w:val="000000" w:themeColor="text1"/>
          <w:szCs w:val="24"/>
        </w:rPr>
      </w:pPr>
      <w:r>
        <w:rPr>
          <w:rFonts w:eastAsiaTheme="minorEastAsia"/>
          <w:color w:val="000000" w:themeColor="text1"/>
          <w:szCs w:val="24"/>
        </w:rPr>
        <w:t>项目施工废水经沉淀处理后回用于施工及洒水降尘，生活污水</w:t>
      </w:r>
      <w:r>
        <w:rPr>
          <w:rFonts w:eastAsiaTheme="minorEastAsia"/>
          <w:color w:val="000000" w:themeColor="text1"/>
        </w:rPr>
        <w:t>依托原有项目化粪池处理，</w:t>
      </w:r>
      <w:r>
        <w:rPr>
          <w:rFonts w:hint="eastAsia" w:eastAsiaTheme="minorEastAsia"/>
          <w:color w:val="000000" w:themeColor="text1"/>
        </w:rPr>
        <w:t>定期委托周边农民清掏</w:t>
      </w:r>
      <w:r>
        <w:rPr>
          <w:rFonts w:eastAsiaTheme="minorEastAsia"/>
          <w:color w:val="000000" w:themeColor="text1"/>
          <w:szCs w:val="24"/>
        </w:rPr>
        <w:t>。</w:t>
      </w:r>
      <w:r>
        <w:rPr>
          <w:rFonts w:hint="eastAsia" w:eastAsiaTheme="minorEastAsia"/>
          <w:color w:val="000000" w:themeColor="text1"/>
          <w:szCs w:val="24"/>
        </w:rPr>
        <w:t>施工场地雨天降雨冲刷水通过设置沉淀池沉淀处理后用于晴天场地洒水降尘，用不完的部分经沉淀后外排。</w:t>
      </w:r>
      <w:r>
        <w:rPr>
          <w:rFonts w:eastAsiaTheme="minorEastAsia"/>
          <w:color w:val="000000" w:themeColor="text1"/>
          <w:szCs w:val="24"/>
        </w:rPr>
        <w:t>项目施工期对地表水环境影响较小。</w:t>
      </w:r>
    </w:p>
    <w:p>
      <w:pPr>
        <w:ind w:firstLine="480"/>
        <w:rPr>
          <w:rFonts w:eastAsiaTheme="minorEastAsia"/>
          <w:color w:val="000000" w:themeColor="text1"/>
          <w:szCs w:val="24"/>
        </w:rPr>
      </w:pPr>
      <w:r>
        <w:rPr>
          <w:rFonts w:eastAsiaTheme="minorEastAsia"/>
          <w:color w:val="000000" w:themeColor="text1"/>
          <w:szCs w:val="24"/>
        </w:rPr>
        <w:t>2、废气</w:t>
      </w:r>
    </w:p>
    <w:p>
      <w:pPr>
        <w:ind w:firstLine="480"/>
        <w:rPr>
          <w:rFonts w:eastAsiaTheme="minorEastAsia"/>
          <w:color w:val="000000" w:themeColor="text1"/>
          <w:szCs w:val="24"/>
        </w:rPr>
      </w:pPr>
      <w:r>
        <w:rPr>
          <w:rFonts w:eastAsiaTheme="minorEastAsia"/>
          <w:color w:val="000000" w:themeColor="text1"/>
          <w:szCs w:val="24"/>
        </w:rPr>
        <w:t>施工期产生的废气主要为土建过程产生的粉尘、施工机械燃油烟气等。由于项目所在区域较为开阔，大气扩散条件较好，施工过程中产生的粉尘经洒水降尘和燃油烟气经自然扩散和稀释后，对项目区周边空气环境质量影响较小</w:t>
      </w:r>
      <w:r>
        <w:rPr>
          <w:rFonts w:hint="eastAsia" w:eastAsiaTheme="minorEastAsia"/>
          <w:color w:val="000000" w:themeColor="text1"/>
          <w:szCs w:val="24"/>
        </w:rPr>
        <w:t>，加强施工机械和运输车辆的维修保养，选用符合国家污染物排放标准的施工机械和运输车辆</w:t>
      </w:r>
      <w:r>
        <w:rPr>
          <w:rFonts w:eastAsiaTheme="minorEastAsia"/>
          <w:color w:val="000000" w:themeColor="text1"/>
          <w:szCs w:val="24"/>
        </w:rPr>
        <w:t>。</w:t>
      </w:r>
      <w:r>
        <w:rPr>
          <w:rFonts w:hint="eastAsia" w:eastAsiaTheme="minorEastAsia"/>
          <w:color w:val="000000" w:themeColor="text1"/>
          <w:szCs w:val="24"/>
        </w:rPr>
        <w:t>施工</w:t>
      </w:r>
      <w:r>
        <w:rPr>
          <w:rFonts w:eastAsiaTheme="minorEastAsia"/>
          <w:color w:val="000000" w:themeColor="text1"/>
          <w:szCs w:val="24"/>
        </w:rPr>
        <w:t>废气污染防治设施要符合</w:t>
      </w:r>
      <w:r>
        <w:rPr>
          <w:color w:val="000000" w:themeColor="text1"/>
        </w:rPr>
        <w:t>住建部《关于严格执行全市城区房屋建筑施工现场扬尘治理六个百分之百标准的通知》相关要求。</w:t>
      </w:r>
    </w:p>
    <w:p>
      <w:pPr>
        <w:ind w:firstLine="480"/>
        <w:rPr>
          <w:rFonts w:eastAsiaTheme="minorEastAsia"/>
          <w:color w:val="000000" w:themeColor="text1"/>
          <w:szCs w:val="24"/>
        </w:rPr>
      </w:pPr>
      <w:r>
        <w:rPr>
          <w:rFonts w:eastAsiaTheme="minorEastAsia"/>
          <w:color w:val="000000" w:themeColor="text1"/>
          <w:szCs w:val="24"/>
        </w:rPr>
        <w:t>3、噪声</w:t>
      </w:r>
    </w:p>
    <w:p>
      <w:pPr>
        <w:ind w:firstLine="480"/>
        <w:rPr>
          <w:rFonts w:eastAsiaTheme="minorEastAsia"/>
          <w:color w:val="000000" w:themeColor="text1"/>
          <w:szCs w:val="24"/>
        </w:rPr>
      </w:pPr>
      <w:r>
        <w:rPr>
          <w:rFonts w:eastAsiaTheme="minorEastAsia"/>
          <w:color w:val="000000" w:themeColor="text1"/>
          <w:szCs w:val="24"/>
        </w:rPr>
        <w:t>根据施工设备噪声预测结果显示，施工机械在距离施工点200m外昼间可达《建筑施工场界环境噪声标准》（GB12523-2011）的要求。本项目周边200m范围内无敏感点。施工期间夜间禁止施工，施工设备噪声产生特点具有间歇性及无规律性，项目通过选用低噪设备，优化施工方式，采用先进的生产工艺，并合理布置施工作业面和安排施工时间，项目施工期噪声对外环境的影响可以降至最小，并将随施工期的结束而消除。因此，施工期产生的施工噪声对周边环境影响较小。</w:t>
      </w:r>
      <w:r>
        <w:rPr>
          <w:rFonts w:hint="eastAsia" w:eastAsiaTheme="minorEastAsia"/>
          <w:color w:val="000000" w:themeColor="text1"/>
          <w:szCs w:val="24"/>
        </w:rPr>
        <w:t xml:space="preserve">        </w:t>
      </w:r>
    </w:p>
    <w:p>
      <w:pPr>
        <w:autoSpaceDE w:val="0"/>
        <w:autoSpaceDN w:val="0"/>
        <w:adjustRightInd w:val="0"/>
        <w:ind w:firstLine="480"/>
        <w:rPr>
          <w:rFonts w:eastAsiaTheme="minorEastAsia"/>
          <w:color w:val="000000" w:themeColor="text1"/>
          <w:szCs w:val="24"/>
        </w:rPr>
      </w:pPr>
      <w:r>
        <w:rPr>
          <w:rFonts w:eastAsiaTheme="minorEastAsia"/>
          <w:color w:val="000000" w:themeColor="text1"/>
          <w:szCs w:val="24"/>
        </w:rPr>
        <w:t>4、固体废物</w:t>
      </w:r>
    </w:p>
    <w:p>
      <w:pPr>
        <w:ind w:firstLine="480"/>
        <w:rPr>
          <w:color w:val="000000" w:themeColor="text1"/>
          <w:szCs w:val="24"/>
        </w:rPr>
      </w:pPr>
      <w:r>
        <w:rPr>
          <w:rFonts w:eastAsiaTheme="minorEastAsia"/>
          <w:color w:val="000000" w:themeColor="text1"/>
          <w:szCs w:val="24"/>
        </w:rPr>
        <w:t>施工期固废经收集后及时清运，能利用的加以综合利用，对于不能综合利用的部分，运送至相关管理部门指定地点进行规范化处置；</w:t>
      </w:r>
      <w:r>
        <w:rPr>
          <w:rFonts w:hint="eastAsia" w:eastAsiaTheme="minorEastAsia"/>
          <w:color w:val="000000" w:themeColor="text1"/>
          <w:szCs w:val="24"/>
        </w:rPr>
        <w:t>施工人员生活垃圾收集后与原有项目员工生活垃圾一同清运处理</w:t>
      </w:r>
      <w:r>
        <w:rPr>
          <w:rFonts w:eastAsiaTheme="minorEastAsia"/>
          <w:color w:val="000000" w:themeColor="text1"/>
          <w:szCs w:val="24"/>
        </w:rPr>
        <w:t>。</w:t>
      </w:r>
      <w:r>
        <w:rPr>
          <w:rFonts w:hint="eastAsia" w:eastAsiaTheme="minorEastAsia"/>
          <w:color w:val="000000" w:themeColor="text1"/>
          <w:szCs w:val="24"/>
        </w:rPr>
        <w:t>少量开挖土石方用于厂区低凹处回填。</w:t>
      </w:r>
      <w:r>
        <w:rPr>
          <w:rFonts w:eastAsiaTheme="minorEastAsia"/>
          <w:color w:val="000000" w:themeColor="text1"/>
          <w:szCs w:val="24"/>
        </w:rPr>
        <w:t>项目对施工期所产生的各类固体废物均采取了综合利用与合理处置的措施，施工期固体废物对外环境的影响不大。</w:t>
      </w:r>
    </w:p>
    <w:p>
      <w:pPr>
        <w:pStyle w:val="6"/>
        <w:spacing w:beforeLines="0" w:afterLines="0"/>
        <w:rPr>
          <w:rFonts w:eastAsiaTheme="minorEastAsia"/>
          <w:color w:val="000000" w:themeColor="text1"/>
          <w:sz w:val="28"/>
          <w:szCs w:val="28"/>
        </w:rPr>
      </w:pPr>
      <w:bookmarkStart w:id="924" w:name="_Toc3661"/>
      <w:r>
        <w:rPr>
          <w:rFonts w:eastAsiaTheme="minorEastAsia"/>
          <w:color w:val="000000" w:themeColor="text1"/>
          <w:sz w:val="28"/>
          <w:szCs w:val="28"/>
        </w:rPr>
        <w:t>10.</w:t>
      </w:r>
      <w:r>
        <w:rPr>
          <w:rFonts w:hint="eastAsia" w:eastAsiaTheme="minorEastAsia"/>
          <w:color w:val="000000" w:themeColor="text1"/>
          <w:sz w:val="28"/>
          <w:szCs w:val="28"/>
        </w:rPr>
        <w:t>4</w:t>
      </w:r>
      <w:r>
        <w:rPr>
          <w:rFonts w:eastAsiaTheme="minorEastAsia"/>
          <w:color w:val="000000" w:themeColor="text1"/>
          <w:sz w:val="28"/>
          <w:szCs w:val="28"/>
        </w:rPr>
        <w:t>.2运营期影响分析结论</w:t>
      </w:r>
      <w:bookmarkEnd w:id="924"/>
    </w:p>
    <w:p>
      <w:pPr>
        <w:ind w:firstLine="480"/>
        <w:rPr>
          <w:rFonts w:eastAsiaTheme="minorEastAsia"/>
          <w:color w:val="000000" w:themeColor="text1"/>
        </w:rPr>
      </w:pPr>
      <w:r>
        <w:rPr>
          <w:rFonts w:eastAsiaTheme="minorEastAsia"/>
          <w:color w:val="000000" w:themeColor="text1"/>
        </w:rPr>
        <w:t>1、废气</w:t>
      </w:r>
    </w:p>
    <w:p>
      <w:pPr>
        <w:ind w:firstLine="480"/>
        <w:rPr>
          <w:color w:val="000000" w:themeColor="text1"/>
          <w:szCs w:val="24"/>
        </w:rPr>
      </w:pPr>
      <w:r>
        <w:rPr>
          <w:rFonts w:hint="eastAsia"/>
          <w:color w:val="000000" w:themeColor="text1"/>
          <w:szCs w:val="24"/>
        </w:rPr>
        <w:t>（1）</w:t>
      </w:r>
      <w:r>
        <w:rPr>
          <w:color w:val="000000" w:themeColor="text1"/>
          <w:szCs w:val="24"/>
        </w:rPr>
        <w:t>新增污染源</w:t>
      </w:r>
      <w:r>
        <w:rPr>
          <w:rFonts w:hint="eastAsia"/>
          <w:color w:val="000000" w:themeColor="text1"/>
          <w:szCs w:val="24"/>
        </w:rPr>
        <w:t>正常排放下</w:t>
      </w:r>
      <w:r>
        <w:rPr>
          <w:color w:val="000000" w:themeColor="text1"/>
          <w:szCs w:val="24"/>
        </w:rPr>
        <w:t>污染物短期浓度贡献值的最大占标率≤100%；</w:t>
      </w:r>
    </w:p>
    <w:p>
      <w:pPr>
        <w:ind w:firstLine="480"/>
        <w:rPr>
          <w:color w:val="000000" w:themeColor="text1"/>
          <w:szCs w:val="24"/>
        </w:rPr>
      </w:pPr>
      <w:r>
        <w:rPr>
          <w:rFonts w:hint="eastAsia"/>
          <w:color w:val="000000" w:themeColor="text1"/>
          <w:szCs w:val="24"/>
        </w:rPr>
        <w:t>（2）</w:t>
      </w:r>
      <w:r>
        <w:rPr>
          <w:color w:val="000000" w:themeColor="text1"/>
          <w:szCs w:val="24"/>
        </w:rPr>
        <w:t>新增污染源</w:t>
      </w:r>
      <w:r>
        <w:rPr>
          <w:rFonts w:hint="eastAsia"/>
          <w:color w:val="000000" w:themeColor="text1"/>
          <w:szCs w:val="24"/>
        </w:rPr>
        <w:t>正常排放下</w:t>
      </w:r>
      <w:r>
        <w:rPr>
          <w:color w:val="000000" w:themeColor="text1"/>
          <w:szCs w:val="24"/>
        </w:rPr>
        <w:t>污染物</w:t>
      </w:r>
      <w:r>
        <w:rPr>
          <w:rFonts w:hint="eastAsia"/>
          <w:color w:val="000000" w:themeColor="text1"/>
          <w:szCs w:val="24"/>
        </w:rPr>
        <w:t>年均</w:t>
      </w:r>
      <w:r>
        <w:rPr>
          <w:color w:val="000000" w:themeColor="text1"/>
          <w:szCs w:val="24"/>
        </w:rPr>
        <w:t>浓度贡献值的最大占标率≤</w:t>
      </w:r>
      <w:r>
        <w:rPr>
          <w:rFonts w:hint="eastAsia"/>
          <w:color w:val="000000" w:themeColor="text1"/>
          <w:szCs w:val="24"/>
        </w:rPr>
        <w:t>3</w:t>
      </w:r>
      <w:r>
        <w:rPr>
          <w:color w:val="000000" w:themeColor="text1"/>
          <w:szCs w:val="24"/>
        </w:rPr>
        <w:t>0%；</w:t>
      </w:r>
    </w:p>
    <w:p>
      <w:pPr>
        <w:ind w:firstLine="480"/>
        <w:rPr>
          <w:color w:val="000000" w:themeColor="text1"/>
        </w:rPr>
      </w:pPr>
      <w:r>
        <w:rPr>
          <w:rFonts w:hint="eastAsia"/>
          <w:color w:val="000000" w:themeColor="text1"/>
          <w:szCs w:val="24"/>
        </w:rPr>
        <w:t>（3）</w:t>
      </w:r>
      <w:r>
        <w:rPr>
          <w:color w:val="000000" w:themeColor="text1"/>
          <w:szCs w:val="24"/>
        </w:rPr>
        <w:t>项目环境影响符合环境功能区划，叠加现状浓度后，</w:t>
      </w:r>
      <w:r>
        <w:rPr>
          <w:rFonts w:hint="eastAsia"/>
          <w:color w:val="000000" w:themeColor="text1"/>
          <w:szCs w:val="24"/>
        </w:rPr>
        <w:t>PM</w:t>
      </w:r>
      <w:r>
        <w:rPr>
          <w:rFonts w:hint="eastAsia"/>
          <w:color w:val="000000" w:themeColor="text1"/>
          <w:szCs w:val="24"/>
          <w:vertAlign w:val="subscript"/>
        </w:rPr>
        <w:t>10</w:t>
      </w:r>
      <w:r>
        <w:rPr>
          <w:rFonts w:hint="eastAsia"/>
          <w:color w:val="000000" w:themeColor="text1"/>
          <w:szCs w:val="24"/>
        </w:rPr>
        <w:t>保证率日平均质量浓度和年平均质量浓度均</w:t>
      </w:r>
      <w:r>
        <w:rPr>
          <w:color w:val="000000" w:themeColor="text1"/>
          <w:szCs w:val="24"/>
        </w:rPr>
        <w:t>符合</w:t>
      </w:r>
      <w:r>
        <w:rPr>
          <w:rFonts w:eastAsiaTheme="minorEastAsia"/>
          <w:color w:val="000000" w:themeColor="text1"/>
        </w:rPr>
        <w:t>《环境空气质量标准》（GB3095-2012）二级标准</w:t>
      </w:r>
      <w:r>
        <w:rPr>
          <w:color w:val="000000" w:themeColor="text1"/>
        </w:rPr>
        <w:t>，本项目产生的</w:t>
      </w:r>
      <w:r>
        <w:rPr>
          <w:rFonts w:hint="eastAsia"/>
          <w:color w:val="000000" w:themeColor="text1"/>
        </w:rPr>
        <w:t>颗粒物</w:t>
      </w:r>
      <w:r>
        <w:rPr>
          <w:color w:val="000000" w:themeColor="text1"/>
        </w:rPr>
        <w:t>对周边大气环境影响</w:t>
      </w:r>
      <w:r>
        <w:rPr>
          <w:rFonts w:hint="eastAsia"/>
          <w:color w:val="000000" w:themeColor="text1"/>
        </w:rPr>
        <w:t>可以接受</w:t>
      </w:r>
      <w:r>
        <w:rPr>
          <w:color w:val="000000" w:themeColor="text1"/>
        </w:rPr>
        <w:t>。</w:t>
      </w:r>
    </w:p>
    <w:p>
      <w:pPr>
        <w:pStyle w:val="2"/>
        <w:ind w:firstLine="480"/>
        <w:jc w:val="both"/>
        <w:rPr>
          <w:rFonts w:ascii="Times New Roman" w:hAnsi="Times New Roman"/>
          <w:color w:val="000000" w:themeColor="text1"/>
          <w:lang w:eastAsia="zh-CN"/>
        </w:rPr>
      </w:pPr>
      <w:r>
        <w:rPr>
          <w:rFonts w:hint="eastAsia" w:ascii="Times New Roman" w:hAnsi="Times New Roman"/>
          <w:color w:val="000000" w:themeColor="text1"/>
          <w:lang w:eastAsia="zh-CN"/>
        </w:rPr>
        <w:t>（4）</w:t>
      </w:r>
      <w:r>
        <w:rPr>
          <w:rFonts w:ascii="Times New Roman" w:hAnsi="Times New Roman"/>
          <w:color w:val="000000" w:themeColor="text1"/>
          <w:lang w:eastAsia="zh-CN"/>
        </w:rPr>
        <w:t>非正常工况下，</w:t>
      </w:r>
      <w:r>
        <w:rPr>
          <w:rFonts w:hint="eastAsia" w:ascii="Times New Roman" w:hAnsi="Times New Roman"/>
          <w:color w:val="000000" w:themeColor="text1"/>
          <w:lang w:eastAsia="zh-CN"/>
        </w:rPr>
        <w:t>网格点中</w:t>
      </w:r>
      <w:r>
        <w:rPr>
          <w:rFonts w:ascii="Times New Roman" w:hAnsi="Times New Roman"/>
          <w:color w:val="000000" w:themeColor="text1"/>
          <w:lang w:eastAsia="zh-CN"/>
        </w:rPr>
        <w:t>1小时浓度超出《环境空气质量标准》（GB3095-2012）相应浓度限值，由于非正常工况出现的时间较短，对区域环境空气质量产生的影响只是暂时的，建设单位应采取措施，尽量避免该情况的发生。</w:t>
      </w:r>
      <w:r>
        <w:rPr>
          <w:color w:val="000000" w:themeColor="text1"/>
          <w:lang w:eastAsia="zh-CN"/>
        </w:rPr>
        <w:t>报告书要求项目在投入运行后，在生产运行中必须确保各废气治理设施正常运转，确保按设计的除尘效率和收集效率运行，保证达标排放，杜绝非正常排放。</w:t>
      </w:r>
    </w:p>
    <w:p>
      <w:pPr>
        <w:autoSpaceDE w:val="0"/>
        <w:autoSpaceDN w:val="0"/>
        <w:ind w:firstLine="480"/>
        <w:rPr>
          <w:color w:val="000000" w:themeColor="text1"/>
        </w:rPr>
      </w:pPr>
      <w:r>
        <w:rPr>
          <w:rFonts w:hint="eastAsia"/>
          <w:color w:val="000000" w:themeColor="text1"/>
        </w:rPr>
        <w:t>（5）</w:t>
      </w:r>
      <w:r>
        <w:rPr>
          <w:color w:val="000000" w:themeColor="text1"/>
        </w:rPr>
        <w:t>厂界无组织颗粒物</w:t>
      </w:r>
      <w:r>
        <w:rPr>
          <w:rFonts w:hint="eastAsia"/>
          <w:color w:val="000000" w:themeColor="text1"/>
          <w:lang w:eastAsia="zh-CN"/>
        </w:rPr>
        <w:t>无超标点</w:t>
      </w:r>
      <w:r>
        <w:rPr>
          <w:rFonts w:hint="eastAsia" w:eastAsiaTheme="minorEastAsia"/>
          <w:color w:val="000000" w:themeColor="text1"/>
        </w:rPr>
        <w:t>，无需设置大气环境防护距离</w:t>
      </w:r>
      <w:r>
        <w:rPr>
          <w:color w:val="000000" w:themeColor="text1"/>
        </w:rPr>
        <w:t>。</w:t>
      </w:r>
    </w:p>
    <w:p>
      <w:pPr>
        <w:ind w:firstLine="480"/>
        <w:rPr>
          <w:rFonts w:eastAsiaTheme="minorEastAsia"/>
          <w:color w:val="000000" w:themeColor="text1"/>
        </w:rPr>
      </w:pPr>
      <w:r>
        <w:rPr>
          <w:color w:val="000000" w:themeColor="text1"/>
        </w:rPr>
        <w:t>综上所述，该建设项目符合环境功能区划等相关要求，项目建设从大气环境保护的角度分析是可行的。</w:t>
      </w:r>
    </w:p>
    <w:p>
      <w:pPr>
        <w:ind w:firstLine="480"/>
        <w:rPr>
          <w:rFonts w:eastAsiaTheme="minorEastAsia"/>
          <w:color w:val="000000" w:themeColor="text1"/>
        </w:rPr>
      </w:pPr>
      <w:r>
        <w:rPr>
          <w:rFonts w:eastAsiaTheme="minorEastAsia"/>
          <w:color w:val="000000" w:themeColor="text1"/>
        </w:rPr>
        <w:t>2、地表水</w:t>
      </w:r>
    </w:p>
    <w:p>
      <w:pPr>
        <w:ind w:firstLine="480"/>
        <w:rPr>
          <w:rFonts w:eastAsiaTheme="minorEastAsia"/>
          <w:color w:val="000000" w:themeColor="text1"/>
        </w:rPr>
      </w:pPr>
      <w:r>
        <w:rPr>
          <w:rFonts w:eastAsiaTheme="minorEastAsia"/>
          <w:color w:val="000000" w:themeColor="text1"/>
        </w:rPr>
        <w:t>正常工况下该项目废水处理达标后全部回用，对地表水环境影响很小。当废水处理装置发生故障时，应立即停产，废水排入事故池，处理后回用。非正常工况下废水排放将造成困龙河水质不利影响，因此，建设单位应加强管理措施，确保污水处理系统和回用系统正常运行，提高水循环利用率，并做好废水监测工作，确保不影响困龙河下游水体功能，杜绝废水非正常排放。</w:t>
      </w:r>
    </w:p>
    <w:p>
      <w:pPr>
        <w:ind w:firstLine="480"/>
        <w:rPr>
          <w:rFonts w:eastAsiaTheme="minorEastAsia"/>
          <w:color w:val="000000" w:themeColor="text1"/>
        </w:rPr>
      </w:pPr>
      <w:r>
        <w:rPr>
          <w:rFonts w:eastAsiaTheme="minorEastAsia"/>
          <w:color w:val="000000" w:themeColor="text1"/>
        </w:rPr>
        <w:t>3、地下水</w:t>
      </w:r>
    </w:p>
    <w:p>
      <w:pPr>
        <w:snapToGrid w:val="0"/>
        <w:ind w:firstLine="480"/>
        <w:rPr>
          <w:rFonts w:eastAsiaTheme="minorEastAsia"/>
          <w:color w:val="000000" w:themeColor="text1"/>
        </w:rPr>
      </w:pPr>
      <w:r>
        <w:rPr>
          <w:rFonts w:eastAsiaTheme="minorEastAsia"/>
          <w:color w:val="000000" w:themeColor="text1"/>
        </w:rPr>
        <w:t>项目选矿生产影响的地下水主要为第四系孔隙水含水层和舍资组砂岩弱裂隙含水层，根据现场调查地下水影响范围内无人开采该层裂隙水作为饮用水源，该层地下水自然排泄至困龙河和戛洒江。项目选矿废水全部回用，项目尾矿为Ⅰ类一般工业固废，浸出毒性实验浸出液污染物含量低，选矿废水污染物含量低，沉淀处理之后可以达到《铁矿采选工业污染物排放标准》（GB28661-2012）表2新建企业水污染物（非酸性废水）排放浓度限值要求，下渗废水污染物含量低，下渗水对地下水水质影响小，下渗废水随地下水短途排泄至戛洒江和困龙河，戛洒江和困龙河水量大，排至戛洒江和困龙河废水经过稀释之后对戛洒江和困龙河水质影响不大，附近最近村庄饮用水全部来自戛洒镇自来水厂供水，戛洒水厂取水点不在项目地下水影响范围内。综合分析项目生产对地下水影响较小。</w:t>
      </w:r>
    </w:p>
    <w:p>
      <w:pPr>
        <w:ind w:firstLine="480"/>
        <w:rPr>
          <w:rFonts w:eastAsiaTheme="minorEastAsia"/>
          <w:color w:val="000000" w:themeColor="text1"/>
        </w:rPr>
      </w:pPr>
      <w:r>
        <w:rPr>
          <w:rFonts w:eastAsiaTheme="minorEastAsia"/>
          <w:color w:val="000000" w:themeColor="text1"/>
        </w:rPr>
        <w:t>4、噪声</w:t>
      </w:r>
    </w:p>
    <w:p>
      <w:pPr>
        <w:ind w:firstLine="480"/>
        <w:rPr>
          <w:rFonts w:eastAsiaTheme="minorEastAsia"/>
          <w:color w:val="000000" w:themeColor="text1"/>
        </w:rPr>
      </w:pPr>
      <w:r>
        <w:rPr>
          <w:rFonts w:eastAsiaTheme="minorEastAsia"/>
          <w:color w:val="000000" w:themeColor="text1"/>
        </w:rPr>
        <w:t>项目运营期产生的噪声采取措施处理后对厂界外环境影响较小，评价区域附近无声环境敏感目标，项目产生的噪声对周围环境影响不大。</w:t>
      </w:r>
    </w:p>
    <w:p>
      <w:pPr>
        <w:ind w:firstLine="480"/>
        <w:rPr>
          <w:rFonts w:eastAsiaTheme="minorEastAsia"/>
          <w:color w:val="000000" w:themeColor="text1"/>
          <w:szCs w:val="24"/>
        </w:rPr>
      </w:pPr>
      <w:r>
        <w:rPr>
          <w:rFonts w:eastAsiaTheme="minorEastAsia"/>
          <w:color w:val="000000" w:themeColor="text1"/>
          <w:szCs w:val="24"/>
        </w:rPr>
        <w:t>5、固废</w:t>
      </w:r>
    </w:p>
    <w:p>
      <w:pPr>
        <w:ind w:firstLine="480"/>
        <w:rPr>
          <w:rFonts w:eastAsiaTheme="minorEastAsia"/>
          <w:color w:val="000000" w:themeColor="text1"/>
          <w:szCs w:val="24"/>
        </w:rPr>
      </w:pPr>
      <w:r>
        <w:rPr>
          <w:rFonts w:eastAsiaTheme="minorEastAsia"/>
          <w:color w:val="000000" w:themeColor="text1"/>
        </w:rPr>
        <w:t>技改铁精矿再选过程所排尾矿</w:t>
      </w:r>
      <w:r>
        <w:rPr>
          <w:rFonts w:eastAsiaTheme="minorEastAsia"/>
          <w:bCs/>
          <w:color w:val="000000" w:themeColor="text1"/>
        </w:rPr>
        <w:t>经平安公司已建设的尾矿管道输送至龙都尾矿库，现有选矿车间所排尾矿的处置方式和去向维持现状，仍然</w:t>
      </w:r>
      <w:r>
        <w:rPr>
          <w:rFonts w:eastAsiaTheme="minorEastAsia"/>
          <w:color w:val="000000" w:themeColor="text1"/>
        </w:rPr>
        <w:t>进入辣子箐尾矿库。</w:t>
      </w:r>
      <w:r>
        <w:rPr>
          <w:rFonts w:eastAsiaTheme="minorEastAsia"/>
          <w:color w:val="000000" w:themeColor="text1"/>
          <w:szCs w:val="24"/>
        </w:rPr>
        <w:t>生活垃圾运往生活区垃圾房堆存，定期清运至戛洒镇生活垃圾处置地点处置。除尘灰经收集后用作砂料产品，不外排。建设单位严格落实好本报告书提出的管理和处理措施，在固体废物产生、处置过程中加强管理，项目运营后产生的固体废物对环境影响较小。</w:t>
      </w:r>
    </w:p>
    <w:p>
      <w:pPr>
        <w:pStyle w:val="51"/>
        <w:numPr>
          <w:ilvl w:val="0"/>
          <w:numId w:val="36"/>
        </w:numPr>
        <w:ind w:firstLine="480"/>
        <w:rPr>
          <w:color w:val="000000" w:themeColor="text1"/>
          <w:sz w:val="24"/>
          <w:szCs w:val="24"/>
          <w:lang w:eastAsia="zh-CN"/>
        </w:rPr>
      </w:pPr>
      <w:r>
        <w:rPr>
          <w:color w:val="000000" w:themeColor="text1"/>
          <w:sz w:val="24"/>
          <w:szCs w:val="24"/>
          <w:lang w:eastAsia="zh-CN"/>
        </w:rPr>
        <w:t>生态</w:t>
      </w:r>
    </w:p>
    <w:p>
      <w:pPr>
        <w:ind w:firstLine="480"/>
        <w:jc w:val="both"/>
        <w:rPr>
          <w:rFonts w:eastAsiaTheme="minorEastAsia"/>
          <w:color w:val="000000" w:themeColor="text1"/>
        </w:rPr>
      </w:pPr>
      <w:r>
        <w:rPr>
          <w:rFonts w:eastAsiaTheme="minorEastAsia"/>
          <w:color w:val="000000" w:themeColor="text1"/>
        </w:rPr>
        <w:t>项目技改位于现有厂区内，</w:t>
      </w:r>
      <w:r>
        <w:rPr>
          <w:rFonts w:hint="eastAsia" w:eastAsiaTheme="minorEastAsia"/>
          <w:color w:val="000000" w:themeColor="text1"/>
        </w:rPr>
        <w:t>不新增占地</w:t>
      </w:r>
      <w:r>
        <w:rPr>
          <w:rFonts w:eastAsiaTheme="minorEastAsia"/>
          <w:color w:val="000000" w:themeColor="text1"/>
        </w:rPr>
        <w:t>。土地利用现状为工业企业用地，无原生植被分布。该项目本次技改不会对区域生态环境、</w:t>
      </w:r>
      <w:r>
        <w:rPr>
          <w:rFonts w:eastAsiaTheme="minorEastAsia"/>
          <w:snapToGrid w:val="0"/>
          <w:color w:val="000000" w:themeColor="text1"/>
          <w:szCs w:val="24"/>
        </w:rPr>
        <w:t>土壤环境等</w:t>
      </w:r>
      <w:r>
        <w:rPr>
          <w:rFonts w:eastAsiaTheme="minorEastAsia"/>
          <w:color w:val="000000" w:themeColor="text1"/>
        </w:rPr>
        <w:t>造成明显不利影响。</w:t>
      </w:r>
    </w:p>
    <w:p>
      <w:pPr>
        <w:pStyle w:val="574"/>
        <w:spacing w:beforeLines="0" w:afterLines="0"/>
        <w:rPr>
          <w:rFonts w:eastAsiaTheme="minorEastAsia"/>
          <w:color w:val="000000" w:themeColor="text1"/>
          <w:sz w:val="30"/>
          <w:szCs w:val="30"/>
        </w:rPr>
      </w:pPr>
      <w:bookmarkStart w:id="925" w:name="_Toc465156932"/>
      <w:bookmarkStart w:id="926" w:name="_Toc4982"/>
      <w:r>
        <w:rPr>
          <w:rFonts w:eastAsiaTheme="minorEastAsia"/>
          <w:color w:val="000000" w:themeColor="text1"/>
          <w:sz w:val="30"/>
          <w:szCs w:val="30"/>
        </w:rPr>
        <w:t>10.</w:t>
      </w:r>
      <w:r>
        <w:rPr>
          <w:rFonts w:hint="eastAsia" w:eastAsiaTheme="minorEastAsia"/>
          <w:color w:val="000000" w:themeColor="text1"/>
          <w:sz w:val="30"/>
          <w:szCs w:val="30"/>
        </w:rPr>
        <w:t>5</w:t>
      </w:r>
      <w:r>
        <w:rPr>
          <w:rFonts w:eastAsiaTheme="minorEastAsia"/>
          <w:color w:val="000000" w:themeColor="text1"/>
          <w:sz w:val="30"/>
          <w:szCs w:val="30"/>
        </w:rPr>
        <w:t>环境风险评价结论</w:t>
      </w:r>
      <w:bookmarkEnd w:id="925"/>
      <w:bookmarkEnd w:id="926"/>
    </w:p>
    <w:p>
      <w:pPr>
        <w:ind w:firstLine="480"/>
        <w:rPr>
          <w:rFonts w:eastAsiaTheme="minorEastAsia"/>
          <w:color w:val="000000" w:themeColor="text1"/>
        </w:rPr>
      </w:pPr>
      <w:r>
        <w:rPr>
          <w:rFonts w:eastAsiaTheme="minorEastAsia"/>
          <w:color w:val="000000" w:themeColor="text1"/>
        </w:rPr>
        <w:t>只要严格遵守各项安全操作规程和制度，加强环境风险管理，落实风险防范措施后，该项目的环境风险水平是可以接受的。在发生风险事故后，立即启动环境风险事故应急预案，可以确保事故不扩大，将不会对项目周边区域环境造成较大危害。综合分析，该项目环境风险水平是可以控制的。</w:t>
      </w:r>
    </w:p>
    <w:p>
      <w:pPr>
        <w:pStyle w:val="574"/>
        <w:spacing w:beforeLines="0" w:afterLines="0"/>
        <w:rPr>
          <w:rFonts w:eastAsiaTheme="minorEastAsia"/>
          <w:color w:val="000000" w:themeColor="text1"/>
          <w:sz w:val="30"/>
          <w:szCs w:val="30"/>
        </w:rPr>
      </w:pPr>
      <w:bookmarkStart w:id="927" w:name="_Toc24208365"/>
      <w:bookmarkStart w:id="928" w:name="_Toc18518133"/>
      <w:bookmarkStart w:id="929" w:name="_Toc6448"/>
      <w:bookmarkStart w:id="930" w:name="_Toc465156933"/>
      <w:r>
        <w:rPr>
          <w:rFonts w:eastAsiaTheme="minorEastAsia"/>
          <w:color w:val="000000" w:themeColor="text1"/>
          <w:sz w:val="30"/>
          <w:szCs w:val="30"/>
        </w:rPr>
        <w:t>10.</w:t>
      </w:r>
      <w:r>
        <w:rPr>
          <w:rFonts w:hint="eastAsia" w:eastAsiaTheme="minorEastAsia"/>
          <w:color w:val="000000" w:themeColor="text1"/>
          <w:sz w:val="30"/>
          <w:szCs w:val="30"/>
        </w:rPr>
        <w:t>6</w:t>
      </w:r>
      <w:r>
        <w:rPr>
          <w:rFonts w:eastAsiaTheme="minorEastAsia"/>
          <w:color w:val="000000" w:themeColor="text1"/>
          <w:sz w:val="30"/>
          <w:szCs w:val="30"/>
        </w:rPr>
        <w:t>环境保护措施</w:t>
      </w:r>
      <w:bookmarkEnd w:id="927"/>
      <w:bookmarkEnd w:id="928"/>
      <w:bookmarkEnd w:id="929"/>
    </w:p>
    <w:p>
      <w:pPr>
        <w:pStyle w:val="6"/>
        <w:spacing w:beforeLines="0" w:afterLines="0"/>
        <w:rPr>
          <w:rFonts w:eastAsiaTheme="minorEastAsia"/>
          <w:color w:val="000000" w:themeColor="text1"/>
          <w:sz w:val="28"/>
          <w:szCs w:val="28"/>
        </w:rPr>
      </w:pPr>
      <w:bookmarkStart w:id="931" w:name="_Toc29708"/>
      <w:bookmarkStart w:id="932" w:name="_Toc18518134"/>
      <w:r>
        <w:rPr>
          <w:rFonts w:eastAsiaTheme="minorEastAsia"/>
          <w:color w:val="000000" w:themeColor="text1"/>
          <w:sz w:val="28"/>
          <w:szCs w:val="28"/>
        </w:rPr>
        <w:t>10.</w:t>
      </w:r>
      <w:r>
        <w:rPr>
          <w:rFonts w:hint="eastAsia" w:eastAsiaTheme="minorEastAsia"/>
          <w:color w:val="000000" w:themeColor="text1"/>
          <w:sz w:val="28"/>
          <w:szCs w:val="28"/>
        </w:rPr>
        <w:t>6</w:t>
      </w:r>
      <w:r>
        <w:rPr>
          <w:rFonts w:eastAsiaTheme="minorEastAsia"/>
          <w:color w:val="000000" w:themeColor="text1"/>
          <w:sz w:val="28"/>
          <w:szCs w:val="28"/>
        </w:rPr>
        <w:t>.1施工期环境保护措施</w:t>
      </w:r>
      <w:bookmarkEnd w:id="931"/>
      <w:bookmarkEnd w:id="932"/>
    </w:p>
    <w:p>
      <w:pPr>
        <w:pStyle w:val="284"/>
        <w:spacing w:line="360" w:lineRule="auto"/>
        <w:ind w:firstLine="482" w:firstLineChars="200"/>
        <w:rPr>
          <w:rFonts w:ascii="Times New Roman" w:eastAsiaTheme="minorEastAsia"/>
          <w:b/>
          <w:color w:val="000000" w:themeColor="text1"/>
          <w:sz w:val="24"/>
          <w:szCs w:val="24"/>
        </w:rPr>
      </w:pPr>
      <w:r>
        <w:rPr>
          <w:rFonts w:ascii="Times New Roman" w:eastAsiaTheme="minorEastAsia"/>
          <w:b/>
          <w:color w:val="000000" w:themeColor="text1"/>
          <w:sz w:val="24"/>
          <w:szCs w:val="24"/>
        </w:rPr>
        <w:t>1.废水防治措施</w:t>
      </w:r>
    </w:p>
    <w:p>
      <w:pPr>
        <w:pStyle w:val="284"/>
        <w:spacing w:line="360" w:lineRule="auto"/>
        <w:ind w:firstLine="480" w:firstLineChars="200"/>
        <w:rPr>
          <w:rFonts w:ascii="Times New Roman" w:eastAsiaTheme="minorEastAsia"/>
          <w:color w:val="000000" w:themeColor="text1"/>
          <w:sz w:val="24"/>
          <w:szCs w:val="24"/>
        </w:rPr>
      </w:pPr>
      <w:r>
        <w:rPr>
          <w:rFonts w:ascii="Times New Roman" w:eastAsiaTheme="minorEastAsia"/>
          <w:color w:val="000000" w:themeColor="text1"/>
          <w:sz w:val="24"/>
          <w:szCs w:val="24"/>
        </w:rPr>
        <w:t>施工场地设置沉淀池对施工废水进行沉淀处理，施工废水经沉淀处理后回用洒水施工等，生活污水依托原有化粪池处理后</w:t>
      </w:r>
      <w:r>
        <w:rPr>
          <w:rFonts w:hint="eastAsia" w:ascii="Times New Roman" w:eastAsiaTheme="minorEastAsia"/>
          <w:color w:val="000000" w:themeColor="text1"/>
          <w:sz w:val="24"/>
          <w:szCs w:val="24"/>
        </w:rPr>
        <w:t>定期委托周边农民清掏</w:t>
      </w:r>
      <w:r>
        <w:rPr>
          <w:rFonts w:ascii="Times New Roman" w:eastAsiaTheme="minorEastAsia"/>
          <w:color w:val="000000" w:themeColor="text1"/>
          <w:sz w:val="24"/>
          <w:szCs w:val="24"/>
        </w:rPr>
        <w:t>。</w:t>
      </w:r>
      <w:r>
        <w:rPr>
          <w:rFonts w:hint="eastAsia" w:ascii="Times New Roman" w:eastAsiaTheme="minorEastAsia"/>
          <w:color w:val="000000" w:themeColor="text1"/>
          <w:sz w:val="24"/>
          <w:szCs w:val="24"/>
        </w:rPr>
        <w:t>施工场地雨天降雨冲刷水通过设置沉淀池沉淀处理后用于晴天场地洒水降尘。</w:t>
      </w:r>
    </w:p>
    <w:p>
      <w:pPr>
        <w:pStyle w:val="284"/>
        <w:spacing w:line="360" w:lineRule="auto"/>
        <w:ind w:firstLine="482" w:firstLineChars="200"/>
        <w:rPr>
          <w:rFonts w:ascii="Times New Roman" w:eastAsiaTheme="minorEastAsia"/>
          <w:b/>
          <w:color w:val="000000" w:themeColor="text1"/>
          <w:sz w:val="24"/>
          <w:szCs w:val="24"/>
        </w:rPr>
      </w:pPr>
      <w:r>
        <w:rPr>
          <w:rFonts w:ascii="Times New Roman" w:eastAsiaTheme="minorEastAsia"/>
          <w:b/>
          <w:color w:val="000000" w:themeColor="text1"/>
          <w:sz w:val="24"/>
          <w:szCs w:val="24"/>
        </w:rPr>
        <w:t>2.扬尘防治措施</w:t>
      </w:r>
    </w:p>
    <w:p>
      <w:pPr>
        <w:ind w:firstLine="480"/>
        <w:rPr>
          <w:color w:val="000000" w:themeColor="text1"/>
        </w:rPr>
      </w:pPr>
      <w:r>
        <w:rPr>
          <w:rFonts w:hint="eastAsia"/>
          <w:color w:val="000000" w:themeColor="text1"/>
        </w:rPr>
        <w:t>严格按照</w:t>
      </w:r>
      <w:r>
        <w:rPr>
          <w:color w:val="000000" w:themeColor="text1"/>
        </w:rPr>
        <w:t>住建部《关于严格执行全市城区房屋建筑施工现场扬尘治理六个百分之百标准的通知》有关要求</w:t>
      </w:r>
      <w:r>
        <w:rPr>
          <w:rFonts w:hint="eastAsia"/>
          <w:color w:val="000000" w:themeColor="text1"/>
        </w:rPr>
        <w:t>进行施工场地的扬尘防治。</w:t>
      </w:r>
    </w:p>
    <w:p>
      <w:pPr>
        <w:pStyle w:val="284"/>
        <w:spacing w:line="360" w:lineRule="auto"/>
        <w:ind w:firstLine="482" w:firstLineChars="200"/>
        <w:rPr>
          <w:rFonts w:ascii="Times New Roman" w:eastAsiaTheme="minorEastAsia"/>
          <w:b/>
          <w:color w:val="000000" w:themeColor="text1"/>
          <w:sz w:val="24"/>
          <w:szCs w:val="24"/>
        </w:rPr>
      </w:pPr>
      <w:r>
        <w:rPr>
          <w:rFonts w:ascii="Times New Roman" w:eastAsiaTheme="minorEastAsia"/>
          <w:b/>
          <w:color w:val="000000" w:themeColor="text1"/>
          <w:sz w:val="24"/>
          <w:szCs w:val="24"/>
        </w:rPr>
        <w:t>3.噪声防治措施</w:t>
      </w:r>
    </w:p>
    <w:p>
      <w:pPr>
        <w:pStyle w:val="284"/>
        <w:spacing w:line="360" w:lineRule="auto"/>
        <w:ind w:firstLine="480" w:firstLineChars="200"/>
        <w:rPr>
          <w:rFonts w:ascii="Times New Roman" w:eastAsiaTheme="minorEastAsia"/>
          <w:color w:val="000000" w:themeColor="text1"/>
          <w:sz w:val="24"/>
          <w:szCs w:val="24"/>
        </w:rPr>
      </w:pPr>
      <w:r>
        <w:rPr>
          <w:rFonts w:ascii="Times New Roman" w:eastAsiaTheme="minorEastAsia"/>
          <w:color w:val="000000" w:themeColor="text1"/>
          <w:sz w:val="24"/>
          <w:szCs w:val="24"/>
        </w:rPr>
        <w:t>对高噪声设备应加置消隔声设施，调整或缩短高噪声施工机械的作业时间，严格控制夜间施工时间，对施工车辆造成的噪声影响要加强管理，并在环境敏感点限制车辆鸣笛；尽量避免夜间运输物料，减轻运输噪声扰民等措施，可使厂界噪声满足《建筑施工场界环境噪声排放标准》（GB12523-2011），噪声防治措施可行。</w:t>
      </w:r>
    </w:p>
    <w:p>
      <w:pPr>
        <w:pStyle w:val="284"/>
        <w:spacing w:line="360" w:lineRule="auto"/>
        <w:ind w:firstLine="482" w:firstLineChars="200"/>
        <w:rPr>
          <w:rFonts w:ascii="Times New Roman" w:eastAsiaTheme="minorEastAsia"/>
          <w:b/>
          <w:color w:val="000000" w:themeColor="text1"/>
          <w:sz w:val="24"/>
          <w:szCs w:val="24"/>
        </w:rPr>
      </w:pPr>
      <w:r>
        <w:rPr>
          <w:rFonts w:ascii="Times New Roman" w:eastAsiaTheme="minorEastAsia"/>
          <w:b/>
          <w:color w:val="000000" w:themeColor="text1"/>
          <w:sz w:val="24"/>
          <w:szCs w:val="24"/>
        </w:rPr>
        <w:t>4.固体废物防治措施</w:t>
      </w:r>
    </w:p>
    <w:p>
      <w:pPr>
        <w:pStyle w:val="284"/>
        <w:spacing w:line="360" w:lineRule="auto"/>
        <w:ind w:firstLine="480" w:firstLineChars="200"/>
        <w:rPr>
          <w:rFonts w:ascii="Times New Roman" w:eastAsiaTheme="minorEastAsia"/>
          <w:color w:val="000000" w:themeColor="text1"/>
          <w:sz w:val="24"/>
          <w:szCs w:val="24"/>
        </w:rPr>
      </w:pPr>
      <w:r>
        <w:rPr>
          <w:rFonts w:ascii="Times New Roman" w:eastAsiaTheme="minorEastAsia"/>
          <w:color w:val="000000" w:themeColor="text1"/>
          <w:sz w:val="24"/>
          <w:szCs w:val="24"/>
        </w:rPr>
        <w:t>施工期间施工人员产生的生活垃圾及时收集，</w:t>
      </w:r>
      <w:r>
        <w:rPr>
          <w:rFonts w:hint="eastAsia" w:ascii="Times New Roman" w:eastAsiaTheme="minorEastAsia"/>
          <w:color w:val="000000" w:themeColor="text1"/>
          <w:sz w:val="24"/>
          <w:szCs w:val="24"/>
        </w:rPr>
        <w:t>和原有项目生活垃圾一起</w:t>
      </w:r>
      <w:r>
        <w:rPr>
          <w:rFonts w:ascii="Times New Roman" w:eastAsiaTheme="minorEastAsia"/>
          <w:color w:val="000000" w:themeColor="text1"/>
          <w:sz w:val="24"/>
          <w:szCs w:val="24"/>
        </w:rPr>
        <w:t>委托当地环卫部门清运处置。废弃建筑材料应对其进行分类集中堆存，能回收利用的部分，请回收商进行收购，重复利用；不能回收利用的部分运至指定的建筑垃圾堆放点，禁止与生活垃圾混合处置，禁止随意丢弃。</w:t>
      </w:r>
      <w:r>
        <w:rPr>
          <w:rFonts w:hint="eastAsia" w:ascii="Times New Roman" w:eastAsiaTheme="minorEastAsia"/>
          <w:color w:val="000000" w:themeColor="text1"/>
          <w:sz w:val="24"/>
          <w:szCs w:val="24"/>
        </w:rPr>
        <w:t>少量开挖土石方用于厂区低凹处回填。</w:t>
      </w:r>
      <w:r>
        <w:rPr>
          <w:rFonts w:ascii="Times New Roman" w:eastAsiaTheme="minorEastAsia"/>
          <w:color w:val="000000" w:themeColor="text1"/>
          <w:sz w:val="24"/>
          <w:szCs w:val="24"/>
        </w:rPr>
        <w:t>施工期固体废物处理处置措施可行。</w:t>
      </w:r>
    </w:p>
    <w:p>
      <w:pPr>
        <w:pStyle w:val="6"/>
        <w:spacing w:beforeLines="0" w:afterLines="0"/>
        <w:rPr>
          <w:rFonts w:eastAsiaTheme="minorEastAsia"/>
          <w:color w:val="000000" w:themeColor="text1"/>
          <w:sz w:val="28"/>
          <w:szCs w:val="28"/>
        </w:rPr>
      </w:pPr>
      <w:bookmarkStart w:id="933" w:name="_Toc23625"/>
      <w:bookmarkStart w:id="934" w:name="_Toc18518135"/>
      <w:r>
        <w:rPr>
          <w:rFonts w:eastAsiaTheme="minorEastAsia"/>
          <w:color w:val="000000" w:themeColor="text1"/>
          <w:sz w:val="28"/>
          <w:szCs w:val="28"/>
        </w:rPr>
        <w:t>10.</w:t>
      </w:r>
      <w:r>
        <w:rPr>
          <w:rFonts w:hint="eastAsia" w:eastAsiaTheme="minorEastAsia"/>
          <w:color w:val="000000" w:themeColor="text1"/>
          <w:sz w:val="28"/>
          <w:szCs w:val="28"/>
        </w:rPr>
        <w:t>6</w:t>
      </w:r>
      <w:r>
        <w:rPr>
          <w:rFonts w:eastAsiaTheme="minorEastAsia"/>
          <w:color w:val="000000" w:themeColor="text1"/>
          <w:sz w:val="28"/>
          <w:szCs w:val="28"/>
        </w:rPr>
        <w:t>.2营运期环境保护措施</w:t>
      </w:r>
      <w:bookmarkEnd w:id="933"/>
      <w:bookmarkEnd w:id="934"/>
    </w:p>
    <w:p>
      <w:pPr>
        <w:ind w:firstLine="482"/>
        <w:rPr>
          <w:rFonts w:eastAsiaTheme="minorEastAsia"/>
          <w:b/>
          <w:color w:val="000000" w:themeColor="text1"/>
          <w:szCs w:val="24"/>
        </w:rPr>
      </w:pPr>
      <w:r>
        <w:rPr>
          <w:rFonts w:eastAsiaTheme="minorEastAsia"/>
          <w:b/>
          <w:color w:val="000000" w:themeColor="text1"/>
          <w:szCs w:val="24"/>
        </w:rPr>
        <w:t>1.废气</w:t>
      </w:r>
    </w:p>
    <w:p>
      <w:pPr>
        <w:adjustRightInd w:val="0"/>
        <w:snapToGrid w:val="0"/>
        <w:ind w:firstLine="480"/>
        <w:rPr>
          <w:rFonts w:eastAsiaTheme="minorEastAsia"/>
          <w:bCs/>
          <w:color w:val="000000" w:themeColor="text1"/>
          <w:szCs w:val="24"/>
        </w:rPr>
      </w:pPr>
      <w:r>
        <w:rPr>
          <w:rFonts w:hint="eastAsia" w:eastAsiaTheme="minorEastAsia"/>
          <w:bCs/>
          <w:color w:val="000000" w:themeColor="text1"/>
          <w:szCs w:val="24"/>
        </w:rPr>
        <w:t>（1）对原料加工区场地进行浇筑硬化；</w:t>
      </w:r>
    </w:p>
    <w:p>
      <w:pPr>
        <w:adjustRightInd w:val="0"/>
        <w:snapToGrid w:val="0"/>
        <w:ind w:firstLine="480"/>
        <w:rPr>
          <w:rFonts w:eastAsiaTheme="minorEastAsia"/>
          <w:bCs/>
          <w:color w:val="000000" w:themeColor="text1"/>
          <w:szCs w:val="24"/>
        </w:rPr>
      </w:pPr>
      <w:r>
        <w:rPr>
          <w:rFonts w:hint="eastAsia" w:eastAsiaTheme="minorEastAsia"/>
          <w:color w:val="000000" w:themeColor="text1"/>
          <w:kern w:val="24"/>
          <w:szCs w:val="24"/>
        </w:rPr>
        <w:t>（2）</w:t>
      </w:r>
      <w:r>
        <w:rPr>
          <w:rFonts w:eastAsiaTheme="minorEastAsia"/>
          <w:color w:val="000000" w:themeColor="text1"/>
          <w:kern w:val="24"/>
          <w:szCs w:val="24"/>
        </w:rPr>
        <w:t>给料口</w:t>
      </w:r>
      <w:r>
        <w:rPr>
          <w:rFonts w:eastAsiaTheme="minorEastAsia"/>
          <w:bCs/>
          <w:color w:val="000000" w:themeColor="text1"/>
          <w:szCs w:val="24"/>
        </w:rPr>
        <w:t>喷淋降尘，给料口除上部给料处，四周</w:t>
      </w:r>
      <w:r>
        <w:rPr>
          <w:rFonts w:hint="eastAsia" w:eastAsiaTheme="minorEastAsia"/>
          <w:bCs/>
          <w:color w:val="000000" w:themeColor="text1"/>
          <w:szCs w:val="24"/>
        </w:rPr>
        <w:t>密闭</w:t>
      </w:r>
      <w:r>
        <w:rPr>
          <w:rFonts w:eastAsiaTheme="minorEastAsia"/>
          <w:bCs/>
          <w:color w:val="000000" w:themeColor="text1"/>
          <w:szCs w:val="24"/>
        </w:rPr>
        <w:t>；</w:t>
      </w:r>
    </w:p>
    <w:p>
      <w:pPr>
        <w:pStyle w:val="78"/>
        <w:adjustRightInd w:val="0"/>
        <w:snapToGrid w:val="0"/>
        <w:ind w:firstLine="480"/>
        <w:rPr>
          <w:color w:val="000000" w:themeColor="text1"/>
          <w:szCs w:val="24"/>
        </w:rPr>
      </w:pPr>
      <w:r>
        <w:rPr>
          <w:rFonts w:hint="eastAsia" w:eastAsiaTheme="minorEastAsia"/>
          <w:color w:val="000000" w:themeColor="text1"/>
          <w:kern w:val="24"/>
          <w:szCs w:val="24"/>
        </w:rPr>
        <w:t>（3）</w:t>
      </w:r>
      <w:r>
        <w:rPr>
          <w:rFonts w:eastAsiaTheme="minorEastAsia"/>
          <w:color w:val="000000" w:themeColor="text1"/>
          <w:kern w:val="24"/>
          <w:szCs w:val="24"/>
        </w:rPr>
        <w:t>原矿石堆场设置堆棚形式，三面围挡+遮雨棚；</w:t>
      </w:r>
    </w:p>
    <w:p>
      <w:pPr>
        <w:pStyle w:val="78"/>
        <w:adjustRightInd w:val="0"/>
        <w:snapToGrid w:val="0"/>
        <w:ind w:firstLine="480"/>
        <w:rPr>
          <w:color w:val="000000" w:themeColor="text1"/>
          <w:szCs w:val="24"/>
        </w:rPr>
      </w:pPr>
      <w:r>
        <w:rPr>
          <w:rFonts w:hint="eastAsia" w:eastAsiaTheme="minorEastAsia"/>
          <w:color w:val="000000" w:themeColor="text1"/>
          <w:kern w:val="24"/>
          <w:szCs w:val="24"/>
        </w:rPr>
        <w:t>（4）</w:t>
      </w:r>
      <w:r>
        <w:rPr>
          <w:rFonts w:eastAsiaTheme="minorEastAsia"/>
          <w:color w:val="000000" w:themeColor="text1"/>
          <w:kern w:val="24"/>
          <w:szCs w:val="24"/>
        </w:rPr>
        <w:t>低品位原矿堆场</w:t>
      </w:r>
      <w:r>
        <w:rPr>
          <w:rStyle w:val="73"/>
          <w:rFonts w:hint="eastAsia"/>
          <w:color w:val="000000" w:themeColor="text1"/>
          <w:kern w:val="0"/>
        </w:rPr>
        <w:t>、</w:t>
      </w:r>
      <w:r>
        <w:rPr>
          <w:rStyle w:val="73"/>
          <w:rFonts w:hint="eastAsia"/>
          <w:color w:val="000000" w:themeColor="text1"/>
          <w:kern w:val="0"/>
          <w:sz w:val="24"/>
          <w:szCs w:val="24"/>
        </w:rPr>
        <w:t>精矿堆场</w:t>
      </w:r>
      <w:r>
        <w:rPr>
          <w:rFonts w:eastAsiaTheme="minorEastAsia"/>
          <w:color w:val="000000" w:themeColor="text1"/>
          <w:kern w:val="24"/>
          <w:szCs w:val="24"/>
        </w:rPr>
        <w:t>设置堆棚形式，三面围挡+遮雨棚，堆棚设置喷淋装置</w:t>
      </w:r>
      <w:r>
        <w:rPr>
          <w:rFonts w:hint="eastAsia" w:eastAsiaTheme="minorEastAsia"/>
          <w:color w:val="000000" w:themeColor="text1"/>
          <w:kern w:val="24"/>
          <w:szCs w:val="24"/>
        </w:rPr>
        <w:t>，三级精矿放置在三级精矿池内</w:t>
      </w:r>
      <w:r>
        <w:rPr>
          <w:rFonts w:eastAsiaTheme="minorEastAsia"/>
          <w:color w:val="000000" w:themeColor="text1"/>
          <w:kern w:val="24"/>
          <w:szCs w:val="24"/>
        </w:rPr>
        <w:t>；</w:t>
      </w:r>
    </w:p>
    <w:p>
      <w:pPr>
        <w:pStyle w:val="78"/>
        <w:adjustRightInd w:val="0"/>
        <w:snapToGrid w:val="0"/>
        <w:ind w:firstLine="480"/>
        <w:rPr>
          <w:color w:val="000000" w:themeColor="text1"/>
          <w:szCs w:val="24"/>
        </w:rPr>
      </w:pPr>
      <w:r>
        <w:rPr>
          <w:rFonts w:hint="eastAsia" w:eastAsiaTheme="minorEastAsia"/>
          <w:color w:val="000000" w:themeColor="text1"/>
          <w:kern w:val="24"/>
          <w:szCs w:val="24"/>
        </w:rPr>
        <w:t>（5）</w:t>
      </w:r>
      <w:r>
        <w:rPr>
          <w:rFonts w:eastAsiaTheme="minorEastAsia"/>
          <w:color w:val="000000" w:themeColor="text1"/>
          <w:kern w:val="24"/>
          <w:szCs w:val="24"/>
        </w:rPr>
        <w:t>公分石和瓜子石堆场设置堆棚形式，三面围挡+遮雨棚；</w:t>
      </w:r>
    </w:p>
    <w:p>
      <w:pPr>
        <w:pStyle w:val="78"/>
        <w:adjustRightInd w:val="0"/>
        <w:snapToGrid w:val="0"/>
        <w:ind w:firstLine="480"/>
        <w:rPr>
          <w:color w:val="000000" w:themeColor="text1"/>
          <w:szCs w:val="24"/>
        </w:rPr>
      </w:pPr>
      <w:r>
        <w:rPr>
          <w:rFonts w:hint="eastAsia" w:eastAsiaTheme="minorEastAsia"/>
          <w:color w:val="000000" w:themeColor="text1"/>
          <w:kern w:val="24"/>
          <w:szCs w:val="24"/>
        </w:rPr>
        <w:t>（6）</w:t>
      </w:r>
      <w:r>
        <w:rPr>
          <w:rFonts w:eastAsiaTheme="minorEastAsia"/>
          <w:color w:val="000000" w:themeColor="text1"/>
          <w:kern w:val="24"/>
          <w:szCs w:val="24"/>
        </w:rPr>
        <w:t>机制砂堆场设施堆棚形式，三面围挡+遮雨棚，堆棚设置喷淋装置；</w:t>
      </w:r>
    </w:p>
    <w:p>
      <w:pPr>
        <w:pStyle w:val="78"/>
        <w:adjustRightInd w:val="0"/>
        <w:snapToGrid w:val="0"/>
        <w:ind w:firstLine="480"/>
        <w:rPr>
          <w:color w:val="000000" w:themeColor="text1"/>
          <w:szCs w:val="24"/>
        </w:rPr>
      </w:pPr>
      <w:r>
        <w:rPr>
          <w:rFonts w:hint="eastAsia" w:eastAsiaTheme="minorEastAsia"/>
          <w:color w:val="000000" w:themeColor="text1"/>
          <w:kern w:val="24"/>
          <w:szCs w:val="24"/>
        </w:rPr>
        <w:t>（7）原料加工场地进行硬化，</w:t>
      </w:r>
      <w:r>
        <w:rPr>
          <w:rFonts w:eastAsiaTheme="minorEastAsia"/>
          <w:color w:val="000000" w:themeColor="text1"/>
          <w:kern w:val="24"/>
          <w:szCs w:val="24"/>
        </w:rPr>
        <w:t>输送廊道</w:t>
      </w:r>
      <w:r>
        <w:rPr>
          <w:rFonts w:hint="eastAsia" w:eastAsiaTheme="minorEastAsia"/>
          <w:color w:val="000000" w:themeColor="text1"/>
          <w:kern w:val="24"/>
          <w:szCs w:val="24"/>
        </w:rPr>
        <w:t>进行</w:t>
      </w:r>
      <w:r>
        <w:rPr>
          <w:rFonts w:eastAsiaTheme="minorEastAsia"/>
          <w:color w:val="000000" w:themeColor="text1"/>
          <w:kern w:val="24"/>
          <w:szCs w:val="24"/>
        </w:rPr>
        <w:t>密闭，落料处降低落料高度，运输道路定期洒水降尘；</w:t>
      </w:r>
    </w:p>
    <w:p>
      <w:pPr>
        <w:pStyle w:val="78"/>
        <w:adjustRightInd w:val="0"/>
        <w:snapToGrid w:val="0"/>
        <w:ind w:firstLine="480"/>
        <w:rPr>
          <w:color w:val="000000" w:themeColor="text1"/>
          <w:szCs w:val="24"/>
        </w:rPr>
      </w:pPr>
      <w:r>
        <w:rPr>
          <w:rFonts w:hint="eastAsia" w:eastAsiaTheme="minorEastAsia"/>
          <w:color w:val="000000" w:themeColor="text1"/>
          <w:kern w:val="24"/>
          <w:szCs w:val="24"/>
        </w:rPr>
        <w:t>（8）</w:t>
      </w:r>
      <w:r>
        <w:rPr>
          <w:rFonts w:eastAsiaTheme="minorEastAsia"/>
          <w:color w:val="000000" w:themeColor="text1"/>
          <w:kern w:val="24"/>
          <w:szCs w:val="24"/>
        </w:rPr>
        <w:t>原料和产品</w:t>
      </w:r>
      <w:r>
        <w:rPr>
          <w:rFonts w:hint="eastAsia" w:eastAsiaTheme="minorEastAsia"/>
          <w:color w:val="000000" w:themeColor="text1"/>
          <w:kern w:val="24"/>
          <w:szCs w:val="24"/>
        </w:rPr>
        <w:t>和副产品</w:t>
      </w:r>
      <w:r>
        <w:rPr>
          <w:rFonts w:eastAsiaTheme="minorEastAsia"/>
          <w:color w:val="000000" w:themeColor="text1"/>
          <w:kern w:val="24"/>
          <w:szCs w:val="24"/>
        </w:rPr>
        <w:t>装卸采用雾炮喷雾降尘；</w:t>
      </w:r>
    </w:p>
    <w:p>
      <w:pPr>
        <w:pStyle w:val="78"/>
        <w:ind w:firstLine="480"/>
        <w:rPr>
          <w:color w:val="000000" w:themeColor="text1"/>
        </w:rPr>
      </w:pPr>
      <w:r>
        <w:rPr>
          <w:rFonts w:hint="eastAsia" w:eastAsiaTheme="minorEastAsia"/>
          <w:color w:val="000000" w:themeColor="text1"/>
          <w:kern w:val="24"/>
          <w:szCs w:val="24"/>
        </w:rPr>
        <w:t>（9）2</w:t>
      </w:r>
      <w:r>
        <w:rPr>
          <w:rFonts w:eastAsiaTheme="minorEastAsia"/>
          <w:color w:val="000000" w:themeColor="text1"/>
          <w:kern w:val="24"/>
          <w:szCs w:val="24"/>
        </w:rPr>
        <w:t>台</w:t>
      </w:r>
      <w:r>
        <w:rPr>
          <w:rFonts w:hint="eastAsia" w:eastAsiaTheme="minorEastAsia"/>
          <w:color w:val="000000" w:themeColor="text1"/>
          <w:kern w:val="24"/>
          <w:szCs w:val="24"/>
        </w:rPr>
        <w:t>鄂式破碎机</w:t>
      </w:r>
      <w:r>
        <w:rPr>
          <w:rFonts w:eastAsiaTheme="minorEastAsia"/>
          <w:color w:val="000000" w:themeColor="text1"/>
          <w:kern w:val="24"/>
          <w:szCs w:val="24"/>
        </w:rPr>
        <w:t>和2台圆锥破碎机设置集气罩共用一个布袋除尘器及1根15m的排气筒（</w:t>
      </w:r>
      <w:r>
        <w:rPr>
          <w:rFonts w:hint="eastAsia" w:eastAsiaTheme="minorEastAsia"/>
          <w:color w:val="000000" w:themeColor="text1"/>
          <w:kern w:val="24"/>
          <w:szCs w:val="24"/>
        </w:rPr>
        <w:t>DA001</w:t>
      </w:r>
      <w:r>
        <w:rPr>
          <w:rFonts w:eastAsiaTheme="minorEastAsia"/>
          <w:color w:val="000000" w:themeColor="text1"/>
          <w:kern w:val="24"/>
          <w:szCs w:val="24"/>
        </w:rPr>
        <w:t>）；</w:t>
      </w:r>
      <w:r>
        <w:rPr>
          <w:rFonts w:hint="eastAsia" w:eastAsiaTheme="minorEastAsia"/>
          <w:color w:val="000000" w:themeColor="text1"/>
          <w:kern w:val="24"/>
          <w:szCs w:val="24"/>
        </w:rPr>
        <w:t>3台振动筛、1台水平筛、1台制砂机、1台辊压机上方分别</w:t>
      </w:r>
      <w:r>
        <w:rPr>
          <w:rFonts w:eastAsiaTheme="minorEastAsia"/>
          <w:color w:val="000000" w:themeColor="text1"/>
          <w:kern w:val="24"/>
          <w:szCs w:val="24"/>
        </w:rPr>
        <w:t>设置集气罩，</w:t>
      </w:r>
      <w:r>
        <w:rPr>
          <w:rFonts w:hint="eastAsia" w:eastAsiaTheme="minorEastAsia"/>
          <w:color w:val="000000" w:themeColor="text1"/>
          <w:kern w:val="24"/>
          <w:szCs w:val="24"/>
        </w:rPr>
        <w:t>并引至同</w:t>
      </w:r>
      <w:r>
        <w:rPr>
          <w:rFonts w:eastAsiaTheme="minorEastAsia"/>
          <w:color w:val="000000" w:themeColor="text1"/>
          <w:kern w:val="24"/>
          <w:szCs w:val="24"/>
        </w:rPr>
        <w:t>一个布袋除尘器</w:t>
      </w:r>
      <w:r>
        <w:rPr>
          <w:rFonts w:hint="eastAsia" w:eastAsiaTheme="minorEastAsia"/>
          <w:color w:val="000000" w:themeColor="text1"/>
          <w:kern w:val="24"/>
          <w:szCs w:val="24"/>
        </w:rPr>
        <w:t>处理后经</w:t>
      </w:r>
      <w:r>
        <w:rPr>
          <w:rFonts w:eastAsiaTheme="minorEastAsia"/>
          <w:color w:val="000000" w:themeColor="text1"/>
          <w:kern w:val="24"/>
          <w:szCs w:val="24"/>
        </w:rPr>
        <w:t>1根15m的排气筒（</w:t>
      </w:r>
      <w:r>
        <w:rPr>
          <w:rFonts w:hint="eastAsia" w:eastAsiaTheme="minorEastAsia"/>
          <w:color w:val="000000" w:themeColor="text1"/>
          <w:kern w:val="24"/>
          <w:szCs w:val="24"/>
        </w:rPr>
        <w:t>DA002</w:t>
      </w:r>
      <w:r>
        <w:rPr>
          <w:rFonts w:eastAsiaTheme="minorEastAsia"/>
          <w:color w:val="000000" w:themeColor="text1"/>
          <w:kern w:val="24"/>
          <w:szCs w:val="24"/>
        </w:rPr>
        <w:t>），粉尘经处理后达标排放；</w:t>
      </w:r>
    </w:p>
    <w:p>
      <w:pPr>
        <w:ind w:firstLine="480"/>
        <w:rPr>
          <w:color w:val="000000" w:themeColor="text1"/>
        </w:rPr>
      </w:pPr>
      <w:r>
        <w:rPr>
          <w:rFonts w:hint="eastAsia"/>
          <w:color w:val="000000" w:themeColor="text1"/>
        </w:rPr>
        <w:t>（10）非正常工况下，</w:t>
      </w:r>
      <w:r>
        <w:rPr>
          <w:rFonts w:hint="eastAsia" w:eastAsiaTheme="minorEastAsia"/>
          <w:color w:val="000000" w:themeColor="text1"/>
        </w:rPr>
        <w:t>若布袋除尘器出现布袋破损，就会出现颗粒物超标现象，故在日常管理中，加强设备的巡检，若发现布袋破损现象，立即停止生产，并更换布袋，确保颗粒物达标排放。</w:t>
      </w:r>
    </w:p>
    <w:p>
      <w:pPr>
        <w:ind w:firstLine="482"/>
        <w:rPr>
          <w:rFonts w:eastAsiaTheme="minorEastAsia"/>
          <w:b/>
          <w:color w:val="000000" w:themeColor="text1"/>
          <w:szCs w:val="24"/>
        </w:rPr>
      </w:pPr>
      <w:r>
        <w:rPr>
          <w:rFonts w:eastAsiaTheme="minorEastAsia"/>
          <w:b/>
          <w:color w:val="000000" w:themeColor="text1"/>
          <w:szCs w:val="24"/>
        </w:rPr>
        <w:t>2.地表水</w:t>
      </w:r>
    </w:p>
    <w:p>
      <w:pPr>
        <w:ind w:firstLine="480"/>
        <w:rPr>
          <w:rFonts w:eastAsiaTheme="minorEastAsia"/>
          <w:color w:val="000000" w:themeColor="text1"/>
          <w:szCs w:val="24"/>
        </w:rPr>
      </w:pPr>
      <w:r>
        <w:rPr>
          <w:rFonts w:hint="eastAsia" w:eastAsiaTheme="minorEastAsia"/>
          <w:color w:val="000000" w:themeColor="text1"/>
          <w:szCs w:val="24"/>
        </w:rPr>
        <w:t>生产区设置初期雨水收集池1个，容积为200m</w:t>
      </w:r>
      <w:r>
        <w:rPr>
          <w:rFonts w:hint="eastAsia" w:eastAsiaTheme="minorEastAsia"/>
          <w:color w:val="000000" w:themeColor="text1"/>
          <w:szCs w:val="24"/>
          <w:vertAlign w:val="superscript"/>
        </w:rPr>
        <w:t>3</w:t>
      </w:r>
      <w:r>
        <w:rPr>
          <w:rFonts w:hint="eastAsia" w:eastAsiaTheme="minorEastAsia"/>
          <w:color w:val="000000" w:themeColor="text1"/>
          <w:szCs w:val="24"/>
        </w:rPr>
        <w:t>，设置雨水沟250m，雨水收集后用于项目选矿。用水冲厕替代旱厕，</w:t>
      </w:r>
      <w:r>
        <w:rPr>
          <w:rFonts w:eastAsiaTheme="minorEastAsia"/>
          <w:color w:val="000000" w:themeColor="text1"/>
          <w:szCs w:val="24"/>
        </w:rPr>
        <w:t>生活污水以新带老新建一套规模为15m</w:t>
      </w:r>
      <w:r>
        <w:rPr>
          <w:rFonts w:eastAsiaTheme="minorEastAsia"/>
          <w:color w:val="000000" w:themeColor="text1"/>
          <w:szCs w:val="24"/>
          <w:vertAlign w:val="superscript"/>
        </w:rPr>
        <w:t>3</w:t>
      </w:r>
      <w:r>
        <w:rPr>
          <w:rFonts w:eastAsiaTheme="minorEastAsia"/>
          <w:color w:val="000000" w:themeColor="text1"/>
          <w:szCs w:val="24"/>
        </w:rPr>
        <w:t>/d污水处理设施和一个50m</w:t>
      </w:r>
      <w:r>
        <w:rPr>
          <w:rFonts w:eastAsiaTheme="minorEastAsia"/>
          <w:color w:val="000000" w:themeColor="text1"/>
          <w:szCs w:val="24"/>
          <w:vertAlign w:val="superscript"/>
        </w:rPr>
        <w:t>3</w:t>
      </w:r>
      <w:r>
        <w:rPr>
          <w:rFonts w:eastAsiaTheme="minorEastAsia"/>
          <w:color w:val="000000" w:themeColor="text1"/>
          <w:szCs w:val="24"/>
        </w:rPr>
        <w:t>的</w:t>
      </w:r>
      <w:r>
        <w:rPr>
          <w:rFonts w:hint="eastAsia" w:eastAsiaTheme="minorEastAsia"/>
          <w:color w:val="000000" w:themeColor="text1"/>
          <w:szCs w:val="24"/>
        </w:rPr>
        <w:t>中水</w:t>
      </w:r>
      <w:r>
        <w:rPr>
          <w:rFonts w:eastAsiaTheme="minorEastAsia"/>
          <w:color w:val="000000" w:themeColor="text1"/>
          <w:szCs w:val="24"/>
        </w:rPr>
        <w:t>收集池，满足</w:t>
      </w:r>
      <w:r>
        <w:rPr>
          <w:rFonts w:eastAsiaTheme="minorEastAsia"/>
          <w:color w:val="000000" w:themeColor="text1"/>
          <w:szCs w:val="24"/>
          <w:lang w:val="zh-CN"/>
        </w:rPr>
        <w:t>《城市污水再生利用城市杂用水水质》（GB/T18920-20</w:t>
      </w:r>
      <w:r>
        <w:rPr>
          <w:rFonts w:hint="eastAsia" w:eastAsiaTheme="minorEastAsia"/>
          <w:color w:val="000000" w:themeColor="text1"/>
          <w:szCs w:val="24"/>
        </w:rPr>
        <w:t>20</w:t>
      </w:r>
      <w:r>
        <w:rPr>
          <w:rFonts w:eastAsiaTheme="minorEastAsia"/>
          <w:color w:val="000000" w:themeColor="text1"/>
          <w:szCs w:val="24"/>
          <w:lang w:val="zh-CN"/>
        </w:rPr>
        <w:t>）绿化标准</w:t>
      </w:r>
      <w:r>
        <w:rPr>
          <w:rFonts w:eastAsiaTheme="minorEastAsia"/>
          <w:color w:val="000000" w:themeColor="text1"/>
          <w:szCs w:val="24"/>
        </w:rPr>
        <w:t>回用于厂区绿化，原料加工处理区的初期雨水经收集后进入雨水池沉淀，上清液抽回至高位水池用于选矿；原有选矿车间生产废水经沉淀池沉淀后用泵通过输送管道返回生产工段，辣子箐尾矿库澄清后，上清液通过库内回水系统扬送至高位水池，再用泵通过输送管道输送至生产工段。技改选矿工艺中陶瓷压滤机压滤水进入尾矿沉淀池沉淀后回用于生产，</w:t>
      </w:r>
      <w:r>
        <w:rPr>
          <w:rFonts w:hint="eastAsia" w:eastAsiaTheme="minorEastAsia"/>
          <w:color w:val="000000" w:themeColor="text1"/>
          <w:szCs w:val="24"/>
        </w:rPr>
        <w:t>技改</w:t>
      </w:r>
      <w:r>
        <w:rPr>
          <w:rFonts w:hint="eastAsia" w:eastAsiaTheme="minorEastAsia"/>
          <w:color w:val="000000" w:themeColor="text1"/>
          <w:szCs w:val="24"/>
          <w:lang w:val="en-US" w:eastAsia="zh-CN"/>
        </w:rPr>
        <w:t>尾矿</w:t>
      </w:r>
      <w:r>
        <w:rPr>
          <w:rFonts w:hint="eastAsia" w:eastAsiaTheme="minorEastAsia"/>
          <w:color w:val="000000" w:themeColor="text1"/>
          <w:szCs w:val="24"/>
        </w:rPr>
        <w:t>废水依托辣子箐口选厂浓密池，沉淀后回用于辣子箐口选厂，</w:t>
      </w:r>
      <w:r>
        <w:rPr>
          <w:rFonts w:eastAsiaTheme="minorEastAsia"/>
          <w:color w:val="000000" w:themeColor="text1"/>
          <w:szCs w:val="24"/>
        </w:rPr>
        <w:t>洗砂废水回用于原有选矿车间的选矿生产线，不外排。实验废水经尾矿浆沉淀池沉淀后用于生产；</w:t>
      </w:r>
    </w:p>
    <w:p>
      <w:pPr>
        <w:ind w:firstLine="480"/>
        <w:rPr>
          <w:rFonts w:eastAsiaTheme="minorEastAsia"/>
          <w:color w:val="000000" w:themeColor="text1"/>
          <w:szCs w:val="24"/>
        </w:rPr>
      </w:pPr>
      <w:r>
        <w:rPr>
          <w:rFonts w:hint="eastAsia" w:eastAsiaTheme="minorEastAsia"/>
          <w:color w:val="000000" w:themeColor="text1"/>
          <w:szCs w:val="24"/>
        </w:rPr>
        <w:t>在非正常情况下，若选厂发生尾矿输送泵、管道、回水设施等发生故障，立即停止生产，并将事故废水引至应急事故池（1#），待相关设施检修完成后，再将事故废水处理后循环使用，不外排；在选矿区最低处设置1个40m</w:t>
      </w:r>
      <w:r>
        <w:rPr>
          <w:rFonts w:hint="eastAsia" w:eastAsiaTheme="minorEastAsia"/>
          <w:color w:val="000000" w:themeColor="text1"/>
          <w:szCs w:val="24"/>
          <w:vertAlign w:val="superscript"/>
        </w:rPr>
        <w:t>3</w:t>
      </w:r>
      <w:r>
        <w:rPr>
          <w:rFonts w:hint="eastAsia" w:eastAsiaTheme="minorEastAsia"/>
          <w:color w:val="000000" w:themeColor="text1"/>
          <w:szCs w:val="24"/>
        </w:rPr>
        <w:t>的事故应急池（2#），用来收集选矿设备发生破裂时泄漏出的矿浆；尾矿库旁设置一个30m</w:t>
      </w:r>
      <w:r>
        <w:rPr>
          <w:rFonts w:hint="eastAsia" w:eastAsiaTheme="minorEastAsia"/>
          <w:color w:val="000000" w:themeColor="text1"/>
          <w:szCs w:val="24"/>
          <w:vertAlign w:val="superscript"/>
        </w:rPr>
        <w:t>3</w:t>
      </w:r>
      <w:r>
        <w:rPr>
          <w:rFonts w:hint="eastAsia" w:eastAsiaTheme="minorEastAsia"/>
          <w:color w:val="000000" w:themeColor="text1"/>
          <w:szCs w:val="24"/>
        </w:rPr>
        <w:t>的回水池，坝下设置了一个15m</w:t>
      </w:r>
      <w:r>
        <w:rPr>
          <w:rFonts w:hint="eastAsia" w:eastAsiaTheme="minorEastAsia"/>
          <w:color w:val="000000" w:themeColor="text1"/>
          <w:szCs w:val="24"/>
          <w:vertAlign w:val="superscript"/>
        </w:rPr>
        <w:t>3</w:t>
      </w:r>
      <w:r>
        <w:rPr>
          <w:rFonts w:hint="eastAsia" w:eastAsiaTheme="minorEastAsia"/>
          <w:color w:val="000000" w:themeColor="text1"/>
          <w:szCs w:val="24"/>
        </w:rPr>
        <w:t>的沉淀池，若尾矿库发生泄漏或破裂，应立即停产，减少进入尾矿库的尾矿量，将泄漏废水引至沉淀池，并对发生故障的设施立即抢修。</w:t>
      </w:r>
    </w:p>
    <w:p>
      <w:pPr>
        <w:ind w:firstLine="480"/>
        <w:rPr>
          <w:rFonts w:eastAsiaTheme="minorEastAsia"/>
          <w:color w:val="000000" w:themeColor="text1"/>
          <w:szCs w:val="24"/>
        </w:rPr>
      </w:pPr>
      <w:r>
        <w:rPr>
          <w:rFonts w:eastAsiaTheme="minorEastAsia"/>
          <w:color w:val="000000" w:themeColor="text1"/>
          <w:szCs w:val="24"/>
        </w:rPr>
        <w:t>项目无生产废水外排，项目废水处理措施可行。</w:t>
      </w:r>
    </w:p>
    <w:p>
      <w:pPr>
        <w:ind w:firstLine="482"/>
        <w:rPr>
          <w:rFonts w:eastAsiaTheme="minorEastAsia"/>
          <w:b/>
          <w:color w:val="000000" w:themeColor="text1"/>
          <w:szCs w:val="24"/>
        </w:rPr>
      </w:pPr>
      <w:r>
        <w:rPr>
          <w:rFonts w:eastAsiaTheme="minorEastAsia"/>
          <w:b/>
          <w:color w:val="000000" w:themeColor="text1"/>
          <w:szCs w:val="24"/>
        </w:rPr>
        <w:t>3.地下水</w:t>
      </w:r>
    </w:p>
    <w:p>
      <w:pPr>
        <w:ind w:firstLine="480"/>
        <w:rPr>
          <w:color w:val="000000" w:themeColor="text1"/>
        </w:rPr>
      </w:pPr>
      <w:r>
        <w:rPr>
          <w:rFonts w:eastAsiaTheme="minorEastAsia"/>
          <w:color w:val="000000" w:themeColor="text1"/>
        </w:rPr>
        <w:t>为了防止选矿废水下渗，建设单位已对生产区地面进行混凝土硬化处理，选矿生产区采用彩钢厂房，减少雨水对物料冲刷。对尾矿浆沉淀池和</w:t>
      </w:r>
      <w:r>
        <w:rPr>
          <w:rFonts w:hint="eastAsia" w:eastAsiaTheme="minorEastAsia"/>
          <w:color w:val="000000" w:themeColor="text1"/>
        </w:rPr>
        <w:t>三级</w:t>
      </w:r>
      <w:r>
        <w:rPr>
          <w:rFonts w:eastAsiaTheme="minorEastAsia"/>
          <w:color w:val="000000" w:themeColor="text1"/>
        </w:rPr>
        <w:t>精矿池、事故池、危废暂存间进行重点防渗处理</w:t>
      </w:r>
      <w:r>
        <w:rPr>
          <w:color w:val="000000" w:themeColor="text1"/>
          <w:szCs w:val="24"/>
        </w:rPr>
        <w:t>，池子地面底部地基采取压实粘土+土工膜防渗，采用防渗钢筋混凝土进行建设（防渗要求：等效黏土防渗层Mb≥6m，渗透系数K≤10</w:t>
      </w:r>
      <w:r>
        <w:rPr>
          <w:color w:val="000000" w:themeColor="text1"/>
          <w:szCs w:val="24"/>
          <w:vertAlign w:val="superscript"/>
        </w:rPr>
        <w:t>-7</w:t>
      </w:r>
      <w:r>
        <w:rPr>
          <w:color w:val="000000" w:themeColor="text1"/>
          <w:szCs w:val="24"/>
        </w:rPr>
        <w:t>cm/s</w:t>
      </w:r>
      <w:r>
        <w:rPr>
          <w:rFonts w:hint="eastAsia"/>
          <w:color w:val="000000" w:themeColor="text1"/>
          <w:szCs w:val="24"/>
        </w:rPr>
        <w:t>）</w:t>
      </w:r>
      <w:r>
        <w:rPr>
          <w:rFonts w:eastAsiaTheme="minorEastAsia"/>
          <w:color w:val="000000" w:themeColor="text1"/>
        </w:rPr>
        <w:t>，对</w:t>
      </w:r>
      <w:r>
        <w:rPr>
          <w:color w:val="000000" w:themeColor="text1"/>
          <w:szCs w:val="24"/>
        </w:rPr>
        <w:t>生产车间、实验室、脱水及</w:t>
      </w:r>
      <w:r>
        <w:rPr>
          <w:rFonts w:hint="eastAsia"/>
          <w:color w:val="000000" w:themeColor="text1"/>
          <w:szCs w:val="24"/>
        </w:rPr>
        <w:t>精矿产品</w:t>
      </w:r>
      <w:r>
        <w:rPr>
          <w:color w:val="000000" w:themeColor="text1"/>
          <w:szCs w:val="24"/>
        </w:rPr>
        <w:t>区、原料加工处理站、化粪池进行一般防渗处理，地面</w:t>
      </w:r>
      <w:r>
        <w:rPr>
          <w:color w:val="000000" w:themeColor="text1"/>
        </w:rPr>
        <w:t>夯实黏土层</w:t>
      </w:r>
      <w:r>
        <w:rPr>
          <w:rFonts w:eastAsia="Times New Roman"/>
          <w:color w:val="000000" w:themeColor="text1"/>
        </w:rPr>
        <w:t>+</w:t>
      </w:r>
      <w:r>
        <w:rPr>
          <w:color w:val="000000" w:themeColor="text1"/>
        </w:rPr>
        <w:t>水池防渗混凝土建设（防渗要求：防渗层按等效黏土防渗层</w:t>
      </w:r>
      <w:r>
        <w:rPr>
          <w:rFonts w:eastAsia="Times New Roman"/>
          <w:color w:val="000000" w:themeColor="text1"/>
        </w:rPr>
        <w:t>Mb≥1.5m</w:t>
      </w:r>
      <w:r>
        <w:rPr>
          <w:color w:val="000000" w:themeColor="text1"/>
        </w:rPr>
        <w:t>，渗透系数</w:t>
      </w:r>
      <w:r>
        <w:rPr>
          <w:rFonts w:eastAsia="Times New Roman"/>
          <w:color w:val="000000" w:themeColor="text1"/>
        </w:rPr>
        <w:t>K≤10</w:t>
      </w:r>
      <w:r>
        <w:rPr>
          <w:rFonts w:eastAsia="Times New Roman"/>
          <w:color w:val="000000" w:themeColor="text1"/>
          <w:position w:val="8"/>
          <w:sz w:val="15"/>
          <w:szCs w:val="15"/>
        </w:rPr>
        <w:t>-7</w:t>
      </w:r>
      <w:r>
        <w:rPr>
          <w:rFonts w:eastAsia="Times New Roman"/>
          <w:color w:val="000000" w:themeColor="text1"/>
        </w:rPr>
        <w:t>cm/s</w:t>
      </w:r>
      <w:r>
        <w:rPr>
          <w:color w:val="000000" w:themeColor="text1"/>
        </w:rPr>
        <w:t>）。厂区除绿化用地外进行地面硬化一般防渗处理。</w:t>
      </w:r>
      <w:r>
        <w:rPr>
          <w:rFonts w:hint="eastAsia"/>
          <w:color w:val="000000" w:themeColor="text1"/>
        </w:rPr>
        <w:t>项目地下水污染防治已采取措施及需要完善措施见表6.2-41和6.2-42。</w:t>
      </w:r>
    </w:p>
    <w:p>
      <w:pPr>
        <w:ind w:firstLine="480"/>
        <w:rPr>
          <w:rFonts w:eastAsiaTheme="minorEastAsia"/>
          <w:b/>
          <w:color w:val="000000" w:themeColor="text1"/>
          <w:szCs w:val="24"/>
        </w:rPr>
      </w:pPr>
      <w:r>
        <w:rPr>
          <w:rFonts w:eastAsiaTheme="minorEastAsia"/>
          <w:color w:val="000000" w:themeColor="text1"/>
          <w:szCs w:val="24"/>
        </w:rPr>
        <w:t>为了进一步降低项目生产对地下水的影响，以新带老要求建设单位完善选矿生产区排水沟，并采用混凝土对排水沟进行防渗处理，尽可能的收集磁选和浮选生产区跑冒滴漏废水，减少跑冒滴漏废水下渗。对精矿池旁边的空地进行混凝土硬化处理，防治跑冒滴漏废水大量下渗，对辣子箐尾矿库设置地下水监控井，定期对尾矿库附件地下水进行监测，及时了解尾矿库地下水水质情况，掌握尾矿库是否发生泄漏，若发生泄漏要及时处理。</w:t>
      </w:r>
    </w:p>
    <w:p>
      <w:pPr>
        <w:ind w:firstLine="482"/>
        <w:rPr>
          <w:rFonts w:eastAsiaTheme="minorEastAsia"/>
          <w:b/>
          <w:color w:val="000000" w:themeColor="text1"/>
          <w:szCs w:val="24"/>
        </w:rPr>
      </w:pPr>
      <w:r>
        <w:rPr>
          <w:rFonts w:eastAsiaTheme="minorEastAsia"/>
          <w:b/>
          <w:color w:val="000000" w:themeColor="text1"/>
          <w:szCs w:val="24"/>
        </w:rPr>
        <w:t>4.噪声</w:t>
      </w:r>
    </w:p>
    <w:p>
      <w:pPr>
        <w:ind w:firstLine="480"/>
        <w:jc w:val="both"/>
        <w:rPr>
          <w:rFonts w:eastAsiaTheme="minorEastAsia"/>
          <w:color w:val="000000" w:themeColor="text1"/>
          <w:kern w:val="0"/>
          <w:szCs w:val="20"/>
        </w:rPr>
      </w:pPr>
      <w:r>
        <w:rPr>
          <w:rFonts w:eastAsiaTheme="minorEastAsia"/>
          <w:color w:val="000000" w:themeColor="text1"/>
          <w:szCs w:val="24"/>
        </w:rPr>
        <w:t>噪声防治措施主要包括基础减振、厂房隔声及距离衰减，</w:t>
      </w:r>
      <w:r>
        <w:rPr>
          <w:rFonts w:eastAsiaTheme="minorEastAsia"/>
          <w:color w:val="000000" w:themeColor="text1"/>
          <w:kern w:val="0"/>
          <w:szCs w:val="20"/>
        </w:rPr>
        <w:t>整个厂区北面和东面为山体阻隔，选厂附近1km内均无声环境敏感目标，项目产生的噪声对周围环境影响不大。</w:t>
      </w:r>
    </w:p>
    <w:p>
      <w:pPr>
        <w:ind w:firstLine="482"/>
        <w:rPr>
          <w:rFonts w:eastAsiaTheme="minorEastAsia"/>
          <w:b/>
          <w:color w:val="000000" w:themeColor="text1"/>
          <w:szCs w:val="24"/>
        </w:rPr>
      </w:pPr>
      <w:r>
        <w:rPr>
          <w:rFonts w:eastAsiaTheme="minorEastAsia"/>
          <w:b/>
          <w:color w:val="000000" w:themeColor="text1"/>
          <w:szCs w:val="24"/>
        </w:rPr>
        <w:t>5.固体废物</w:t>
      </w:r>
    </w:p>
    <w:p>
      <w:pPr>
        <w:adjustRightInd w:val="0"/>
        <w:snapToGrid w:val="0"/>
        <w:ind w:firstLine="480"/>
        <w:rPr>
          <w:rFonts w:eastAsiaTheme="minorEastAsia"/>
          <w:color w:val="000000" w:themeColor="text1"/>
          <w:szCs w:val="24"/>
        </w:rPr>
      </w:pPr>
      <w:r>
        <w:rPr>
          <w:rFonts w:eastAsiaTheme="minorEastAsia"/>
          <w:color w:val="000000" w:themeColor="text1"/>
          <w:szCs w:val="24"/>
        </w:rPr>
        <w:t>（1）生活垃圾统一收集后清运至环卫部门指定地点；</w:t>
      </w:r>
    </w:p>
    <w:p>
      <w:pPr>
        <w:adjustRightInd w:val="0"/>
        <w:snapToGrid w:val="0"/>
        <w:ind w:firstLine="480"/>
        <w:rPr>
          <w:color w:val="000000" w:themeColor="text1"/>
          <w:szCs w:val="24"/>
        </w:rPr>
      </w:pPr>
      <w:r>
        <w:rPr>
          <w:rFonts w:eastAsiaTheme="minorEastAsia"/>
          <w:color w:val="000000" w:themeColor="text1"/>
          <w:szCs w:val="24"/>
        </w:rPr>
        <w:t>（2）</w:t>
      </w:r>
      <w:r>
        <w:rPr>
          <w:color w:val="000000" w:themeColor="text1"/>
          <w:szCs w:val="24"/>
        </w:rPr>
        <w:t>原有选矿车间尾矿进入辣子箐尾矿库，技改铁矿再选生产线尾矿进入大红山龙都尾矿库，企业应设专人管理，管理人员应随时观察坝体的变化，注意是否有位移、变形、错动的情况。尤其在汛期和地震后，出现异常现象及时上报，以便采取措施，防止尾矿坝溃塌。</w:t>
      </w:r>
    </w:p>
    <w:p>
      <w:pPr>
        <w:adjustRightInd w:val="0"/>
        <w:snapToGrid w:val="0"/>
        <w:ind w:firstLine="480"/>
        <w:rPr>
          <w:color w:val="000000" w:themeColor="text1"/>
          <w:szCs w:val="24"/>
        </w:rPr>
      </w:pPr>
      <w:r>
        <w:rPr>
          <w:color w:val="000000" w:themeColor="text1"/>
          <w:szCs w:val="24"/>
        </w:rPr>
        <w:t>（3）布袋除尘器收尘灰通过收集后用作产品砂料，不外排。</w:t>
      </w:r>
    </w:p>
    <w:p>
      <w:pPr>
        <w:adjustRightInd w:val="0"/>
        <w:snapToGrid w:val="0"/>
        <w:ind w:firstLine="480"/>
        <w:rPr>
          <w:rFonts w:eastAsiaTheme="minorEastAsia"/>
          <w:color w:val="000000" w:themeColor="text1"/>
          <w:szCs w:val="24"/>
        </w:rPr>
      </w:pPr>
      <w:r>
        <w:rPr>
          <w:color w:val="000000" w:themeColor="text1"/>
          <w:szCs w:val="24"/>
        </w:rPr>
        <w:t>（4）</w:t>
      </w:r>
      <w:r>
        <w:rPr>
          <w:rFonts w:eastAsiaTheme="minorEastAsia"/>
          <w:color w:val="000000" w:themeColor="text1"/>
          <w:szCs w:val="24"/>
        </w:rPr>
        <w:t>废机油按规范暂存危险废物暂存间暂存，定期委托具有危废处置资质的单位进行处置。厂区内的危险废物暂存间不能满足环保要求，本次技改对危险废物暂存间进行整改，</w:t>
      </w:r>
      <w:r>
        <w:rPr>
          <w:color w:val="000000" w:themeColor="text1"/>
          <w:szCs w:val="24"/>
        </w:rPr>
        <w:t>严格危险废物的处置，按《危险废物储存污染物控制标准》（GB18597—2001）及修改联单相关</w:t>
      </w:r>
      <w:r>
        <w:rPr>
          <w:rFonts w:hint="eastAsia"/>
          <w:color w:val="000000" w:themeColor="text1"/>
          <w:szCs w:val="24"/>
        </w:rPr>
        <w:t>要求，</w:t>
      </w:r>
      <w:r>
        <w:rPr>
          <w:color w:val="000000" w:themeColor="text1"/>
          <w:szCs w:val="24"/>
        </w:rPr>
        <w:t>规范建设危废暂存间，</w:t>
      </w:r>
      <w:r>
        <w:rPr>
          <w:bCs/>
          <w:color w:val="000000" w:themeColor="text1"/>
        </w:rPr>
        <w:t>要求：“6.2.1</w:t>
      </w:r>
      <w:r>
        <w:rPr>
          <w:color w:val="000000" w:themeColor="text1"/>
          <w:kern w:val="0"/>
          <w:szCs w:val="24"/>
          <w:shd w:val="clear" w:color="auto" w:fill="FFFFFF"/>
        </w:rPr>
        <w:t>地面与裙脚要用坚固、防渗的材料建造；</w:t>
      </w:r>
      <w:r>
        <w:rPr>
          <w:bCs/>
          <w:color w:val="000000" w:themeColor="text1"/>
        </w:rPr>
        <w:t>6.2.2必须有泄漏液体收集装置；6.2.5应设计堵截泄漏的裙脚，6.3.1</w:t>
      </w:r>
      <w:r>
        <w:rPr>
          <w:color w:val="000000" w:themeColor="text1"/>
          <w:kern w:val="0"/>
          <w:szCs w:val="24"/>
          <w:shd w:val="clear" w:color="auto" w:fill="FFFFFF"/>
        </w:rPr>
        <w:t>基础必须防渗，防渗层为至少1米厚粘土层（渗透系数≤10</w:t>
      </w:r>
      <w:r>
        <w:rPr>
          <w:color w:val="000000" w:themeColor="text1"/>
          <w:kern w:val="0"/>
          <w:szCs w:val="24"/>
          <w:shd w:val="clear" w:color="auto" w:fill="FFFFFF"/>
          <w:vertAlign w:val="superscript"/>
        </w:rPr>
        <w:t>-7</w:t>
      </w:r>
      <w:r>
        <w:rPr>
          <w:color w:val="000000" w:themeColor="text1"/>
          <w:kern w:val="0"/>
          <w:szCs w:val="24"/>
          <w:shd w:val="clear" w:color="auto" w:fill="FFFFFF"/>
        </w:rPr>
        <w:t>厘米/秒），或2毫米厚高密度聚乙烯，或至少2毫米厚的其它人工材料，渗透系数≤10</w:t>
      </w:r>
      <w:r>
        <w:rPr>
          <w:color w:val="000000" w:themeColor="text1"/>
          <w:kern w:val="0"/>
          <w:szCs w:val="24"/>
          <w:shd w:val="clear" w:color="auto" w:fill="FFFFFF"/>
          <w:vertAlign w:val="superscript"/>
        </w:rPr>
        <w:t>-10</w:t>
      </w:r>
      <w:r>
        <w:rPr>
          <w:color w:val="000000" w:themeColor="text1"/>
          <w:kern w:val="0"/>
          <w:szCs w:val="24"/>
          <w:shd w:val="clear" w:color="auto" w:fill="FFFFFF"/>
        </w:rPr>
        <w:t>厘米/秒”</w:t>
      </w:r>
      <w:r>
        <w:rPr>
          <w:bCs/>
          <w:color w:val="000000" w:themeColor="text1"/>
        </w:rPr>
        <w:t>。本次评价要求盛装容器上张贴标识，</w:t>
      </w:r>
      <w:r>
        <w:rPr>
          <w:rFonts w:eastAsiaTheme="minorEastAsia"/>
          <w:color w:val="000000" w:themeColor="text1"/>
        </w:rPr>
        <w:t>并设置围堰、泄漏液体导流沟和收集池。</w:t>
      </w:r>
      <w:r>
        <w:rPr>
          <w:bCs/>
          <w:color w:val="000000" w:themeColor="text1"/>
        </w:rPr>
        <w:t>贮存危险废物不得超过一年。并制定危险废物管理计划，严格执行危废转移联单制度，建立危险废物管理台账，相关台账应保存3年以上，以备相关管理部门检查。</w:t>
      </w:r>
    </w:p>
    <w:bookmarkEnd w:id="930"/>
    <w:p>
      <w:pPr>
        <w:pStyle w:val="574"/>
        <w:spacing w:beforeLines="0" w:afterLines="0"/>
        <w:rPr>
          <w:rFonts w:eastAsiaTheme="minorEastAsia"/>
          <w:color w:val="000000" w:themeColor="text1"/>
          <w:sz w:val="30"/>
          <w:szCs w:val="30"/>
        </w:rPr>
      </w:pPr>
      <w:bookmarkStart w:id="935" w:name="_Toc5793"/>
      <w:bookmarkStart w:id="936" w:name="_Toc2225"/>
      <w:bookmarkStart w:id="937" w:name="_Toc16978"/>
      <w:bookmarkStart w:id="938" w:name="_Toc24208366"/>
      <w:bookmarkStart w:id="939" w:name="_Toc18518136"/>
      <w:bookmarkStart w:id="940" w:name="_Toc465156936"/>
      <w:r>
        <w:rPr>
          <w:rFonts w:eastAsiaTheme="minorEastAsia"/>
          <w:color w:val="000000" w:themeColor="text1"/>
          <w:sz w:val="30"/>
          <w:szCs w:val="30"/>
        </w:rPr>
        <w:t>10.</w:t>
      </w:r>
      <w:r>
        <w:rPr>
          <w:rFonts w:hint="eastAsia" w:eastAsiaTheme="minorEastAsia"/>
          <w:color w:val="000000" w:themeColor="text1"/>
          <w:sz w:val="30"/>
          <w:szCs w:val="30"/>
        </w:rPr>
        <w:t>7</w:t>
      </w:r>
      <w:r>
        <w:rPr>
          <w:rFonts w:eastAsiaTheme="minorEastAsia"/>
          <w:color w:val="000000" w:themeColor="text1"/>
          <w:sz w:val="30"/>
          <w:szCs w:val="30"/>
        </w:rPr>
        <w:t>总量控制</w:t>
      </w:r>
      <w:bookmarkEnd w:id="935"/>
      <w:bookmarkEnd w:id="936"/>
      <w:r>
        <w:rPr>
          <w:rFonts w:eastAsiaTheme="minorEastAsia"/>
          <w:color w:val="000000" w:themeColor="text1"/>
          <w:sz w:val="30"/>
          <w:szCs w:val="30"/>
        </w:rPr>
        <w:t>指标</w:t>
      </w:r>
      <w:bookmarkEnd w:id="937"/>
      <w:bookmarkEnd w:id="938"/>
      <w:bookmarkEnd w:id="939"/>
    </w:p>
    <w:p>
      <w:pPr>
        <w:ind w:firstLine="480"/>
        <w:jc w:val="both"/>
        <w:rPr>
          <w:rFonts w:eastAsiaTheme="minorEastAsia"/>
          <w:color w:val="000000" w:themeColor="text1"/>
          <w:sz w:val="32"/>
          <w:szCs w:val="32"/>
        </w:rPr>
      </w:pPr>
      <w:r>
        <w:rPr>
          <w:rFonts w:eastAsiaTheme="majorEastAsia"/>
          <w:color w:val="000000" w:themeColor="text1"/>
          <w:szCs w:val="24"/>
        </w:rPr>
        <w:t>本项目废气有组织颗粒物排放量为</w:t>
      </w:r>
      <w:r>
        <w:rPr>
          <w:rFonts w:hint="eastAsia" w:eastAsiaTheme="minorEastAsia"/>
          <w:color w:val="000000" w:themeColor="text1"/>
        </w:rPr>
        <w:t>0.451</w:t>
      </w:r>
      <w:r>
        <w:rPr>
          <w:rFonts w:eastAsiaTheme="minorEastAsia"/>
          <w:color w:val="000000" w:themeColor="text1"/>
        </w:rPr>
        <w:t>t/a</w:t>
      </w:r>
      <w:r>
        <w:rPr>
          <w:rFonts w:eastAsiaTheme="majorEastAsia"/>
          <w:color w:val="000000" w:themeColor="text1"/>
          <w:szCs w:val="24"/>
        </w:rPr>
        <w:t>，</w:t>
      </w:r>
      <w:r>
        <w:rPr>
          <w:rFonts w:hint="eastAsia" w:eastAsiaTheme="majorEastAsia"/>
          <w:color w:val="000000" w:themeColor="text1"/>
          <w:szCs w:val="24"/>
        </w:rPr>
        <w:t>无组织颗粒物排放量为13.521</w:t>
      </w:r>
      <w:r>
        <w:rPr>
          <w:rFonts w:eastAsiaTheme="minorEastAsia"/>
          <w:color w:val="000000" w:themeColor="text1"/>
        </w:rPr>
        <w:t>t/a</w:t>
      </w:r>
      <w:r>
        <w:rPr>
          <w:rFonts w:hint="eastAsia" w:eastAsiaTheme="minorEastAsia"/>
          <w:color w:val="000000" w:themeColor="text1"/>
        </w:rPr>
        <w:t>，</w:t>
      </w:r>
      <w:r>
        <w:rPr>
          <w:rFonts w:eastAsiaTheme="majorEastAsia"/>
          <w:color w:val="000000" w:themeColor="text1"/>
          <w:szCs w:val="24"/>
        </w:rPr>
        <w:t>废气量为</w:t>
      </w:r>
      <w:r>
        <w:rPr>
          <w:rFonts w:hint="eastAsia" w:eastAsiaTheme="majorEastAsia"/>
          <w:color w:val="000000" w:themeColor="text1"/>
          <w:szCs w:val="24"/>
        </w:rPr>
        <w:t>25200</w:t>
      </w:r>
      <w:r>
        <w:rPr>
          <w:rFonts w:eastAsiaTheme="majorEastAsia"/>
          <w:color w:val="000000" w:themeColor="text1"/>
          <w:szCs w:val="24"/>
        </w:rPr>
        <w:t>万Nm</w:t>
      </w:r>
      <w:r>
        <w:rPr>
          <w:rFonts w:eastAsiaTheme="majorEastAsia"/>
          <w:color w:val="000000" w:themeColor="text1"/>
          <w:szCs w:val="24"/>
          <w:vertAlign w:val="superscript"/>
        </w:rPr>
        <w:t>3</w:t>
      </w:r>
      <w:r>
        <w:rPr>
          <w:rFonts w:eastAsiaTheme="majorEastAsia"/>
          <w:color w:val="000000" w:themeColor="text1"/>
          <w:szCs w:val="24"/>
        </w:rPr>
        <w:t>/a。生产废水不外排，生活污水经处理达标后回用。固体废弃物处置率为100%。</w:t>
      </w:r>
    </w:p>
    <w:p>
      <w:pPr>
        <w:pStyle w:val="574"/>
        <w:spacing w:beforeLines="0" w:afterLines="0"/>
        <w:rPr>
          <w:rFonts w:eastAsiaTheme="minorEastAsia"/>
          <w:color w:val="000000" w:themeColor="text1"/>
          <w:sz w:val="30"/>
          <w:szCs w:val="30"/>
        </w:rPr>
      </w:pPr>
      <w:bookmarkStart w:id="941" w:name="_Toc22636"/>
      <w:bookmarkStart w:id="942" w:name="_Toc24208367"/>
      <w:r>
        <w:rPr>
          <w:rFonts w:eastAsiaTheme="minorEastAsia"/>
          <w:color w:val="000000" w:themeColor="text1"/>
          <w:sz w:val="30"/>
          <w:szCs w:val="30"/>
        </w:rPr>
        <w:t>10.</w:t>
      </w:r>
      <w:r>
        <w:rPr>
          <w:rFonts w:hint="eastAsia" w:eastAsiaTheme="minorEastAsia"/>
          <w:color w:val="000000" w:themeColor="text1"/>
          <w:sz w:val="30"/>
          <w:szCs w:val="30"/>
        </w:rPr>
        <w:t>8</w:t>
      </w:r>
      <w:r>
        <w:rPr>
          <w:rFonts w:eastAsiaTheme="minorEastAsia"/>
          <w:color w:val="000000" w:themeColor="text1"/>
          <w:sz w:val="30"/>
          <w:szCs w:val="30"/>
        </w:rPr>
        <w:t>公众参与</w:t>
      </w:r>
      <w:bookmarkEnd w:id="941"/>
      <w:bookmarkEnd w:id="942"/>
    </w:p>
    <w:p>
      <w:pPr>
        <w:adjustRightInd w:val="0"/>
        <w:snapToGrid w:val="0"/>
        <w:ind w:firstLine="480"/>
        <w:jc w:val="both"/>
        <w:rPr>
          <w:color w:val="000000" w:themeColor="text1"/>
          <w:szCs w:val="24"/>
        </w:rPr>
      </w:pPr>
      <w:r>
        <w:rPr>
          <w:color w:val="000000" w:themeColor="text1"/>
          <w:szCs w:val="24"/>
        </w:rPr>
        <w:t>2021年01月11日~1月22日，</w:t>
      </w:r>
      <w:r>
        <w:rPr>
          <w:color w:val="000000" w:themeColor="text1"/>
        </w:rPr>
        <w:t>建设单位</w:t>
      </w:r>
      <w:r>
        <w:rPr>
          <w:rFonts w:eastAsiaTheme="minorEastAsia"/>
          <w:color w:val="000000" w:themeColor="text1"/>
        </w:rPr>
        <w:t>新平县平安矿业开发有限公司</w:t>
      </w:r>
      <w:r>
        <w:rPr>
          <w:color w:val="000000" w:themeColor="text1"/>
        </w:rPr>
        <w:t>在“玉溪高古楼网站”上进行了首次公示；在信息公告期间，当地群众给予了广泛关注，没有提出具体意见</w:t>
      </w:r>
      <w:r>
        <w:rPr>
          <w:color w:val="000000" w:themeColor="text1"/>
          <w:szCs w:val="24"/>
        </w:rPr>
        <w:t>。2021年1月26日环评单位编制形成了《</w:t>
      </w:r>
      <w:r>
        <w:rPr>
          <w:rFonts w:eastAsiaTheme="minorEastAsia"/>
          <w:color w:val="000000" w:themeColor="text1"/>
        </w:rPr>
        <w:t>新平县平安矿业开发有限公司</w:t>
      </w:r>
      <w:r>
        <w:rPr>
          <w:color w:val="000000" w:themeColor="text1"/>
          <w:szCs w:val="24"/>
        </w:rPr>
        <w:t>年产10万吨铁精矿技改建设项目环境影响报告书（征求意见稿）》，建设单位采取了以下三种方式进行了第二次公示，分别为：（1）于2021年2月1日及2021年2月2日在玉溪日报登了两次征求意见信息公告，满足在征求意见的10个工作日内公开信息不得少于2次的要求；（2）2021年1月27日，建设单位在东磨村张贴告示的形式进行了信息公告，且持续公开期限为10个工作日，公示期间时间：2021年1月27日-2021年2月9日；（3）于2021年1月27日在高古楼网站上发布了信息公开公告，且持续公开期限为10个工作日，公示期间时间：2021年1月27日-2021年2月9日；公示期间没有接到任何反馈意见。于2021年1月27日-2月9日对东磨村居民、项目周边企业员工等进行了公众参与调查及公众意见表填写</w:t>
      </w:r>
      <w:r>
        <w:rPr>
          <w:rFonts w:hint="eastAsia"/>
          <w:color w:val="000000" w:themeColor="text1"/>
          <w:szCs w:val="24"/>
        </w:rPr>
        <w:t>，团体意见表5份，个人意见表48份</w:t>
      </w:r>
      <w:r>
        <w:rPr>
          <w:color w:val="000000" w:themeColor="text1"/>
          <w:szCs w:val="24"/>
        </w:rPr>
        <w:t>。调查结果显示，周边公众及团体关注的问题已经在本报告中提出了环保相关管理要求。</w:t>
      </w:r>
      <w:r>
        <w:rPr>
          <w:rFonts w:hint="eastAsia"/>
          <w:color w:val="000000" w:themeColor="text1"/>
        </w:rPr>
        <w:t>2022年5月18日，建设单位在玉溪市高古楼网站上对环境影响报告书及公众参与说明进行了报批前公示（公示网站链接：https://www.gaogulou.com/thread-1723865-1-1.html）。</w:t>
      </w:r>
    </w:p>
    <w:p>
      <w:pPr>
        <w:pStyle w:val="574"/>
        <w:spacing w:beforeLines="0" w:afterLines="0"/>
        <w:rPr>
          <w:rFonts w:eastAsiaTheme="minorEastAsia"/>
          <w:color w:val="000000" w:themeColor="text1"/>
          <w:sz w:val="30"/>
          <w:szCs w:val="30"/>
        </w:rPr>
      </w:pPr>
      <w:bookmarkStart w:id="943" w:name="_Toc4142"/>
      <w:bookmarkStart w:id="944" w:name="_Toc24208368"/>
      <w:r>
        <w:rPr>
          <w:rFonts w:eastAsiaTheme="minorEastAsia"/>
          <w:color w:val="000000" w:themeColor="text1"/>
          <w:sz w:val="30"/>
          <w:szCs w:val="30"/>
        </w:rPr>
        <w:t>10.</w:t>
      </w:r>
      <w:r>
        <w:rPr>
          <w:rFonts w:hint="eastAsia" w:eastAsiaTheme="minorEastAsia"/>
          <w:color w:val="000000" w:themeColor="text1"/>
          <w:sz w:val="30"/>
          <w:szCs w:val="30"/>
        </w:rPr>
        <w:t>9</w:t>
      </w:r>
      <w:r>
        <w:rPr>
          <w:rFonts w:eastAsiaTheme="minorEastAsia"/>
          <w:color w:val="000000" w:themeColor="text1"/>
          <w:sz w:val="30"/>
          <w:szCs w:val="30"/>
        </w:rPr>
        <w:t>评价总结论</w:t>
      </w:r>
      <w:bookmarkEnd w:id="943"/>
      <w:bookmarkEnd w:id="944"/>
    </w:p>
    <w:p>
      <w:pPr>
        <w:ind w:firstLine="480"/>
        <w:rPr>
          <w:rFonts w:eastAsiaTheme="minorEastAsia"/>
          <w:color w:val="000000" w:themeColor="text1"/>
          <w:szCs w:val="24"/>
        </w:rPr>
      </w:pPr>
      <w:r>
        <w:rPr>
          <w:rStyle w:val="73"/>
          <w:color w:val="000000" w:themeColor="text1"/>
          <w:sz w:val="24"/>
          <w:szCs w:val="24"/>
        </w:rPr>
        <w:t>项目所处的区域均属于环境质量达标区，</w:t>
      </w:r>
      <w:r>
        <w:rPr>
          <w:rFonts w:eastAsiaTheme="minorEastAsia"/>
          <w:color w:val="000000" w:themeColor="text1"/>
          <w:szCs w:val="24"/>
          <w:lang w:val="zh-CN"/>
        </w:rPr>
        <w:t>本项目符合国家</w:t>
      </w:r>
      <w:r>
        <w:rPr>
          <w:rFonts w:eastAsiaTheme="minorEastAsia"/>
          <w:color w:val="000000" w:themeColor="text1"/>
        </w:rPr>
        <w:t>《产业结构调整指导目录（2019年本）》</w:t>
      </w:r>
      <w:r>
        <w:rPr>
          <w:rFonts w:eastAsiaTheme="minorEastAsia"/>
          <w:color w:val="000000" w:themeColor="text1"/>
          <w:szCs w:val="24"/>
          <w:lang w:val="zh-TW"/>
        </w:rPr>
        <w:t>的要求</w:t>
      </w:r>
      <w:r>
        <w:rPr>
          <w:rFonts w:eastAsiaTheme="minorEastAsia"/>
          <w:color w:val="000000" w:themeColor="text1"/>
          <w:szCs w:val="24"/>
          <w:lang w:val="zh-CN"/>
        </w:rPr>
        <w:t>，在</w:t>
      </w:r>
      <w:r>
        <w:rPr>
          <w:rFonts w:hint="eastAsia" w:eastAsiaTheme="minorEastAsia"/>
          <w:color w:val="000000" w:themeColor="text1"/>
          <w:szCs w:val="24"/>
          <w:lang w:val="zh-CN"/>
        </w:rPr>
        <w:t>公司现有</w:t>
      </w:r>
      <w:r>
        <w:rPr>
          <w:rFonts w:eastAsiaTheme="minorEastAsia"/>
          <w:color w:val="000000" w:themeColor="text1"/>
          <w:szCs w:val="24"/>
          <w:lang w:val="zh-CN"/>
        </w:rPr>
        <w:t>场地内技改，</w:t>
      </w:r>
      <w:r>
        <w:rPr>
          <w:rFonts w:hint="eastAsia" w:eastAsiaTheme="minorEastAsia"/>
          <w:color w:val="000000" w:themeColor="text1"/>
          <w:szCs w:val="24"/>
          <w:lang w:val="zh-CN"/>
        </w:rPr>
        <w:t>不新增占地</w:t>
      </w:r>
      <w:r>
        <w:rPr>
          <w:rFonts w:eastAsiaTheme="minorEastAsia"/>
          <w:color w:val="000000" w:themeColor="text1"/>
          <w:szCs w:val="24"/>
          <w:lang w:val="zh-CN"/>
        </w:rPr>
        <w:t>，选址合理，符合</w:t>
      </w:r>
      <w:r>
        <w:rPr>
          <w:color w:val="000000" w:themeColor="text1"/>
          <w:kern w:val="0"/>
          <w:szCs w:val="24"/>
        </w:rPr>
        <w:t>《新平工业园区总体规划修编（2018~2035）》</w:t>
      </w:r>
      <w:r>
        <w:rPr>
          <w:rFonts w:eastAsiaTheme="minorEastAsia"/>
          <w:color w:val="000000" w:themeColor="text1"/>
          <w:szCs w:val="24"/>
          <w:lang w:val="zh-CN"/>
        </w:rPr>
        <w:t>规划环评及其审查意见相关要求，且得到了参与调查的所有公众的支持。在充分落实本评价提出的污染防治措施的前提下，确保项目各污染物达标排放、环保设施正常运行、加强环境管理，严格执行“三同时”制度</w:t>
      </w:r>
      <w:r>
        <w:rPr>
          <w:rStyle w:val="73"/>
          <w:color w:val="000000" w:themeColor="text1"/>
          <w:kern w:val="0"/>
          <w:sz w:val="24"/>
          <w:szCs w:val="24"/>
        </w:rPr>
        <w:t>的基础上，</w:t>
      </w:r>
      <w:r>
        <w:rPr>
          <w:rFonts w:eastAsiaTheme="minorEastAsia"/>
          <w:color w:val="000000" w:themeColor="text1"/>
          <w:szCs w:val="24"/>
          <w:lang w:val="zh-CN"/>
        </w:rPr>
        <w:t>从环保角度而言，本技改项目的建设是可行的。</w:t>
      </w:r>
    </w:p>
    <w:bookmarkEnd w:id="940"/>
    <w:p>
      <w:pPr>
        <w:pStyle w:val="574"/>
        <w:spacing w:beforeLines="0" w:afterLines="0"/>
        <w:rPr>
          <w:rFonts w:eastAsiaTheme="minorEastAsia"/>
          <w:color w:val="000000" w:themeColor="text1"/>
          <w:sz w:val="30"/>
          <w:szCs w:val="30"/>
        </w:rPr>
      </w:pPr>
      <w:bookmarkStart w:id="945" w:name="_Toc465156937"/>
      <w:bookmarkStart w:id="946" w:name="_Toc17061"/>
      <w:r>
        <w:rPr>
          <w:rFonts w:eastAsiaTheme="minorEastAsia"/>
          <w:color w:val="000000" w:themeColor="text1"/>
          <w:sz w:val="30"/>
          <w:szCs w:val="30"/>
        </w:rPr>
        <w:t>10.1</w:t>
      </w:r>
      <w:r>
        <w:rPr>
          <w:rFonts w:hint="eastAsia" w:eastAsiaTheme="minorEastAsia"/>
          <w:color w:val="000000" w:themeColor="text1"/>
          <w:sz w:val="30"/>
          <w:szCs w:val="30"/>
        </w:rPr>
        <w:t>0</w:t>
      </w:r>
      <w:r>
        <w:rPr>
          <w:rFonts w:eastAsiaTheme="minorEastAsia"/>
          <w:color w:val="000000" w:themeColor="text1"/>
          <w:sz w:val="30"/>
          <w:szCs w:val="30"/>
        </w:rPr>
        <w:t>建议</w:t>
      </w:r>
      <w:bookmarkEnd w:id="945"/>
      <w:bookmarkEnd w:id="946"/>
    </w:p>
    <w:p>
      <w:pPr>
        <w:ind w:firstLine="480"/>
        <w:rPr>
          <w:rFonts w:eastAsiaTheme="minorEastAsia"/>
          <w:color w:val="000000" w:themeColor="text1"/>
          <w:kern w:val="0"/>
        </w:rPr>
      </w:pPr>
      <w:r>
        <w:rPr>
          <w:rFonts w:eastAsiaTheme="minorEastAsia"/>
          <w:color w:val="000000" w:themeColor="text1"/>
          <w:kern w:val="0"/>
        </w:rPr>
        <w:t>1、坚持预防为主、“三同时”的原则进行生产，加强企业内部管理，落实监测、环评和各项环保、水土保持及生态保护措施。</w:t>
      </w:r>
    </w:p>
    <w:p>
      <w:pPr>
        <w:ind w:firstLine="480"/>
        <w:rPr>
          <w:rFonts w:eastAsiaTheme="minorEastAsia"/>
          <w:color w:val="000000" w:themeColor="text1"/>
          <w:kern w:val="0"/>
        </w:rPr>
      </w:pPr>
      <w:r>
        <w:rPr>
          <w:rFonts w:eastAsiaTheme="minorEastAsia"/>
          <w:color w:val="000000" w:themeColor="text1"/>
          <w:kern w:val="0"/>
        </w:rPr>
        <w:t>2、项目建成之后建设单位需尽快按照相关环保要求开展自主验收。</w:t>
      </w:r>
    </w:p>
    <w:sectPr>
      <w:footerReference r:id="rId29" w:type="default"/>
      <w:pgSz w:w="11906" w:h="16838"/>
      <w:pgMar w:top="1440" w:right="1797" w:bottom="1440" w:left="1797" w:header="850" w:footer="992" w:gutter="0"/>
      <w:pgNumType w:fmt="numberInDash"/>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华文楷体">
    <w:altName w:val="宋体"/>
    <w:panose1 w:val="02010600040101010101"/>
    <w:charset w:val="86"/>
    <w:family w:val="auto"/>
    <w:pitch w:val="default"/>
    <w:sig w:usb0="00000000" w:usb1="00000000" w:usb2="00000000" w:usb3="00000000" w:csb0="0004009F" w:csb1="DFD70000"/>
  </w:font>
  <w:font w:name="仿宋_GB2312">
    <w:altName w:val="仿宋"/>
    <w:panose1 w:val="00000000000000000000"/>
    <w:charset w:val="86"/>
    <w:family w:val="modern"/>
    <w:pitch w:val="default"/>
    <w:sig w:usb0="00000000" w:usb1="00000000" w:usb2="0000000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Arial Narrow">
    <w:panose1 w:val="020B0506020202030204"/>
    <w:charset w:val="00"/>
    <w:family w:val="swiss"/>
    <w:pitch w:val="default"/>
    <w:sig w:usb0="00000287" w:usb1="00000000" w:usb2="00000000" w:usb3="00000000" w:csb0="2000009F" w:csb1="DFD70000"/>
  </w:font>
  <w:font w:name="楷体_GB2312">
    <w:altName w:val="楷体"/>
    <w:panose1 w:val="00000000000000000000"/>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 w:name="Mincho">
    <w:altName w:val="MS Mincho"/>
    <w:panose1 w:val="02020609040305080305"/>
    <w:charset w:val="80"/>
    <w:family w:val="roman"/>
    <w:pitch w:val="default"/>
    <w:sig w:usb0="00000000" w:usb1="00000000" w:usb2="00000010" w:usb3="00000000" w:csb0="00020000" w:csb1="00000000"/>
  </w:font>
  <w:font w:name="Roman">
    <w:altName w:val="Times New Roman"/>
    <w:panose1 w:val="00000000000000000000"/>
    <w:charset w:val="00"/>
    <w:family w:val="roman"/>
    <w:pitch w:val="default"/>
    <w:sig w:usb0="00000000" w:usb1="00000000" w:usb2="00000000" w:usb3="00000000" w:csb0="00000000" w:csb1="00000000"/>
  </w:font>
  <w:font w:name="Geneva">
    <w:altName w:val="Arial"/>
    <w:panose1 w:val="00000000000000000000"/>
    <w:charset w:val="00"/>
    <w:family w:val="swiss"/>
    <w:pitch w:val="default"/>
    <w:sig w:usb0="00000000" w:usb1="00000000" w:usb2="00000000" w:usb3="00000000" w:csb0="00000001" w:csb1="00000000"/>
  </w:font>
  <w:font w:name="Verdana">
    <w:panose1 w:val="020B0604030504040204"/>
    <w:charset w:val="00"/>
    <w:family w:val="swiss"/>
    <w:pitch w:val="default"/>
    <w:sig w:usb0="A10006FF" w:usb1="4000205B" w:usb2="00000010" w:usb3="00000000" w:csb0="2000019F" w:csb1="00000000"/>
  </w:font>
  <w:font w:name="Swiss742-SWC">
    <w:altName w:val="Arial"/>
    <w:panose1 w:val="00000000000000000000"/>
    <w:charset w:val="00"/>
    <w:family w:val="auto"/>
    <w:pitch w:val="default"/>
    <w:sig w:usb0="00000000" w:usb1="00000000" w:usb2="00000000" w:usb3="00000000" w:csb0="00000001" w:csb1="00000000"/>
  </w:font>
  <w:font w:name="Trebuchet MS">
    <w:panose1 w:val="020B0603020202020204"/>
    <w:charset w:val="00"/>
    <w:family w:val="swiss"/>
    <w:pitch w:val="default"/>
    <w:sig w:usb0="00000287" w:usb1="00000000" w:usb2="00000000" w:usb3="00000000" w:csb0="2000009F" w:csb1="00000000"/>
  </w:font>
  <w:font w:name="MingLiU">
    <w:panose1 w:val="02020509000000000000"/>
    <w:charset w:val="88"/>
    <w:family w:val="modern"/>
    <w:pitch w:val="default"/>
    <w:sig w:usb0="A00002FF" w:usb1="28CFFCFA" w:usb2="00000016" w:usb3="00000000" w:csb0="00100001" w:csb1="00000000"/>
  </w:font>
  <w:font w:name="微软雅黑">
    <w:panose1 w:val="020B0503020204020204"/>
    <w:charset w:val="86"/>
    <w:family w:val="swiss"/>
    <w:pitch w:val="default"/>
    <w:sig w:usb0="80000287" w:usb1="280F3C52" w:usb2="00000016" w:usb3="00000000" w:csb0="0004001F" w:csb1="00000000"/>
  </w:font>
  <w:font w:name="方正仿宋_GBK">
    <w:altName w:val="微软雅黑"/>
    <w:panose1 w:val="03000509000000000000"/>
    <w:charset w:val="86"/>
    <w:family w:val="auto"/>
    <w:pitch w:val="default"/>
    <w:sig w:usb0="00000000" w:usb1="00000000" w:usb2="00000000" w:usb3="00000000" w:csb0="00040000" w:csb1="00000000"/>
  </w:font>
  <w:font w:name="TimesNewRomanPSMT">
    <w:altName w:val="Times New Roman"/>
    <w:panose1 w:val="00000000000000000000"/>
    <w:charset w:val="00"/>
    <w:family w:val="auto"/>
    <w:pitch w:val="default"/>
    <w:sig w:usb0="00000000" w:usb1="00000000" w:usb2="00000000"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ind w:firstLine="360"/>
      <w:rPr>
        <w:lang w:eastAsia="zh-CN"/>
      </w:rPr>
    </w:pPr>
    <w:r>
      <w:rPr>
        <w:rFonts w:hint="eastAsia"/>
        <w:lang w:eastAsia="zh-CN"/>
      </w:rPr>
      <w:tab/>
    </w:r>
    <w:r>
      <w:rPr>
        <w:rFonts w:hint="eastAsia"/>
        <w:lang w:eastAsia="zh-CN"/>
      </w:rPr>
      <w:tab/>
    </w:r>
    <w:r>
      <w:rPr>
        <w:rFonts w:hint="eastAsia"/>
        <w:lang w:eastAsia="zh-CN"/>
      </w:rP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rPr>
        <w:rFonts w:hAnsi="宋体"/>
        <w:szCs w:val="18"/>
      </w:rP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- 167 -</w:t>
                          </w:r>
                          <w:r>
                            <w:rPr>
                              <w:rFonts w:hint="eastAsia"/>
                              <w:lang w:eastAsia="zh-CN"/>
                            </w:rPr>
                            <w:fldChar w:fldCharType="end"/>
                          </w:r>
                        </w:p>
                      </w:txbxContent>
                    </wps:txbx>
                    <wps:bodyPr wrap="none" lIns="0" tIns="0" rIns="0" bIns="0" upright="1">
                      <a:spAutoFit/>
                    </wps:bodyPr>
                  </wps:wsp>
                </a:graphicData>
              </a:graphic>
            </wp:anchor>
          </w:drawing>
        </mc:Choice>
        <mc:Fallback>
          <w:pict>
            <v:shape id="文本框 29"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zql5uc8AAAAFAQAA&#10;DwAAAAAAAAABACAAAAAiAAAAZHJzL2Rvd25yZXYueG1sUEsBAhQAFAAAAAgAh07iQB5lPfKwAQAA&#10;TQMAAA4AAAAAAAAAAQAgAAAAHgEAAGRycy9lMm9Eb2MueG1sUEsFBgAAAAAGAAYAWQEAAEAFAAAA&#10;AA==&#10;">
              <v:fill on="f" focussize="0,0"/>
              <v:stroke on="f"/>
              <v:imagedata o:title=""/>
              <o:lock v:ext="edit" aspectratio="f"/>
              <v:textbox inset="0mm,0mm,0mm,0mm" style="mso-fit-shape-to-text:t;">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- 167 -</w:t>
                    </w:r>
                    <w:r>
                      <w:rPr>
                        <w:rFonts w:hint="eastAsia"/>
                        <w:lang w:eastAsia="zh-CN"/>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rPr>
        <w:rFonts w:hAnsi="宋体"/>
        <w:szCs w:val="18"/>
      </w:rPr>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0"/>
                            <w:ind w:firstLine="360"/>
                          </w:pPr>
                          <w:r>
                            <w:fldChar w:fldCharType="begin"/>
                          </w:r>
                          <w:r>
                            <w:instrText xml:space="preserve"> PAGE  \* MERGEFORMAT </w:instrText>
                          </w:r>
                          <w:r>
                            <w:fldChar w:fldCharType="separate"/>
                          </w:r>
                          <w:r>
                            <w:t>- 271 -</w:t>
                          </w:r>
                          <w:r>
                            <w:fldChar w:fldCharType="end"/>
                          </w:r>
                        </w:p>
                      </w:txbxContent>
                    </wps:txbx>
                    <wps:bodyPr wrap="none" lIns="0" tIns="0" rIns="0" bIns="0" upright="1">
                      <a:spAutoFit/>
                    </wps:bodyPr>
                  </wps:wsp>
                </a:graphicData>
              </a:graphic>
            </wp:anchor>
          </w:drawing>
        </mc:Choice>
        <mc:Fallback>
          <w:pict>
            <v:shape id="文本框 33"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6pebnPAAAABQEA&#10;AA8AAAAAAAAAAQAgAAAAIgAAAGRycy9kb3ducmV2LnhtbFBLAQIUABQAAAAIAIdO4kDyefq7sQEA&#10;AE0DAAAOAAAAAAAAAAEAIAAAAB4BAABkcnMvZTJvRG9jLnhtbFBLBQYAAAAABgAGAFkBAABBBQAA&#10;AAA=&#10;">
              <v:fill on="f" focussize="0,0"/>
              <v:stroke on="f"/>
              <v:imagedata o:title=""/>
              <o:lock v:ext="edit" aspectratio="f"/>
              <v:textbox inset="0mm,0mm,0mm,0mm" style="mso-fit-shape-to-text:t;">
                <w:txbxContent>
                  <w:p>
                    <w:pPr>
                      <w:pStyle w:val="40"/>
                      <w:ind w:firstLine="360"/>
                    </w:pPr>
                    <w:r>
                      <w:fldChar w:fldCharType="begin"/>
                    </w:r>
                    <w:r>
                      <w:instrText xml:space="preserve"> PAGE  \* MERGEFORMAT </w:instrText>
                    </w:r>
                    <w:r>
                      <w:fldChar w:fldCharType="separate"/>
                    </w:r>
                    <w:r>
                      <w:t>- 271 -</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ind w:firstLine="0" w:firstLineChars="0"/>
      <w:rPr>
        <w:rFonts w:eastAsia="宋体"/>
        <w:lang w:eastAsia="zh-CN"/>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- 275 -</w:t>
                          </w:r>
                          <w:r>
                            <w:rPr>
                              <w:rFonts w:hint="eastAsia"/>
                              <w:lang w:eastAsia="zh-CN"/>
                            </w:rPr>
                            <w:fldChar w:fldCharType="end"/>
                          </w:r>
                        </w:p>
                      </w:txbxContent>
                    </wps:txbx>
                    <wps:bodyPr wrap="none" lIns="0" tIns="0" rIns="0" bIns="0" upright="1">
                      <a:spAutoFit/>
                    </wps:bodyPr>
                  </wps:wsp>
                </a:graphicData>
              </a:graphic>
            </wp:anchor>
          </w:drawing>
        </mc:Choice>
        <mc:Fallback>
          <w:pict>
            <v:shape id="文本框 23"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6pebnPAAAABQEA&#10;AA8AAAAAAAAAAQAgAAAAIgAAAGRycy9kb3ducmV2LnhtbFBLAQIUABQAAAAIAIdO4kAP2YyxsQEA&#10;AE0DAAAOAAAAAAAAAAEAIAAAAB4BAABkcnMvZTJvRG9jLnhtbFBLBQYAAAAABgAGAFkBAABBBQAA&#10;AAA=&#10;">
              <v:fill on="f" focussize="0,0"/>
              <v:stroke on="f"/>
              <v:imagedata o:title=""/>
              <o:lock v:ext="edit" aspectratio="f"/>
              <v:textbox inset="0mm,0mm,0mm,0mm" style="mso-fit-shape-to-text:t;">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- 275 -</w:t>
                    </w:r>
                    <w:r>
                      <w:rPr>
                        <w:rFonts w:hint="eastAsia"/>
                        <w:lang w:eastAsia="zh-CN"/>
                      </w:rP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ind w:firstLine="0" w:firstLineChars="0"/>
      <w:rPr>
        <w:rFonts w:eastAsia="宋体"/>
        <w:lang w:eastAsia="zh-CN"/>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- 283 -</w:t>
                          </w:r>
                          <w:r>
                            <w:rPr>
                              <w:rFonts w:hint="eastAsia"/>
                              <w:lang w:eastAsia="zh-CN"/>
                            </w:rPr>
                            <w:fldChar w:fldCharType="end"/>
                          </w:r>
                        </w:p>
                      </w:txbxContent>
                    </wps:txbx>
                    <wps:bodyPr wrap="none" lIns="0" tIns="0" rIns="0" bIns="0" upright="1">
                      <a:spAutoFit/>
                    </wps:bodyPr>
                  </wps:wsp>
                </a:graphicData>
              </a:graphic>
            </wp:anchor>
          </w:drawing>
        </mc:Choice>
        <mc:Fallback>
          <w:pict>
            <v:shape id="文本框 24"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6pebnPAAAABQEA&#10;AA8AAAAAAAAAAQAgAAAAIgAAAGRycy9kb3ducmV2LnhtbFBLAQIUABQAAAAIAIdO4kCZ00ELsQEA&#10;AE0DAAAOAAAAAAAAAAEAIAAAAB4BAABkcnMvZTJvRG9jLnhtbFBLBQYAAAAABgAGAFkBAABBBQAA&#10;AAA=&#10;">
              <v:fill on="f" focussize="0,0"/>
              <v:stroke on="f"/>
              <v:imagedata o:title=""/>
              <o:lock v:ext="edit" aspectratio="f"/>
              <v:textbox inset="0mm,0mm,0mm,0mm" style="mso-fit-shape-to-text:t;">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- 283 -</w:t>
                    </w:r>
                    <w:r>
                      <w:rPr>
                        <w:rFonts w:hint="eastAsia"/>
                        <w:lang w:eastAsia="zh-CN"/>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rPr>
        <w:rFonts w:hAnsi="宋体"/>
        <w:szCs w:val="18"/>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- 287 -</w:t>
                          </w:r>
                          <w:r>
                            <w:rPr>
                              <w:rFonts w:hint="eastAsia"/>
                              <w:lang w:eastAsia="zh-CN"/>
                            </w:rPr>
                            <w:fldChar w:fldCharType="end"/>
                          </w:r>
                        </w:p>
                      </w:txbxContent>
                    </wps:txbx>
                    <wps:bodyPr wrap="none" lIns="0" tIns="0" rIns="0" bIns="0" upright="1">
                      <a:spAutoFit/>
                    </wps:bodyPr>
                  </wps:wsp>
                </a:graphicData>
              </a:graphic>
            </wp:anchor>
          </w:drawing>
        </mc:Choice>
        <mc:Fallback>
          <w:pict>
            <v:shape id="文本框 25"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6pebnPAAAABQEA&#10;AA8AAAAAAAAAAQAgAAAAIgAAAGRycy9kb3ducmV2LnhtbFBLAQIUABQAAAAIAIdO4kAxsITasQEA&#10;AE0DAAAOAAAAAAAAAAEAIAAAAB4BAABkcnMvZTJvRG9jLnhtbFBLBQYAAAAABgAGAFkBAABBBQAA&#10;AAA=&#10;">
              <v:fill on="f" focussize="0,0"/>
              <v:stroke on="f"/>
              <v:imagedata o:title=""/>
              <o:lock v:ext="edit" aspectratio="f"/>
              <v:textbox inset="0mm,0mm,0mm,0mm" style="mso-fit-shape-to-text:t;">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- 287 -</w:t>
                    </w:r>
                    <w:r>
                      <w:rPr>
                        <w:rFonts w:hint="eastAsia"/>
                        <w:lang w:eastAsia="zh-CN"/>
                      </w:rP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tabs>
        <w:tab w:val="center" w:pos="4216"/>
        <w:tab w:val="left" w:pos="6035"/>
      </w:tabs>
      <w:ind w:firstLine="0" w:firstLineChars="0"/>
      <w:rPr>
        <w:rFonts w:eastAsia="宋体"/>
        <w:lang w:eastAsia="zh-CN"/>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- 298 -</w:t>
                          </w:r>
                          <w:r>
                            <w:rPr>
                              <w:rFonts w:hint="eastAsia"/>
                              <w:lang w:eastAsia="zh-CN"/>
                            </w:rPr>
                            <w:fldChar w:fldCharType="end"/>
                          </w:r>
                        </w:p>
                      </w:txbxContent>
                    </wps:txbx>
                    <wps:bodyPr wrap="none" lIns="0" tIns="0" rIns="0" bIns="0" upright="1">
                      <a:spAutoFit/>
                    </wps:bodyPr>
                  </wps:wsp>
                </a:graphicData>
              </a:graphic>
            </wp:anchor>
          </w:drawing>
        </mc:Choice>
        <mc:Fallback>
          <w:pict>
            <v:shape id="文本框 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zql5uc8AAAAFAQAA&#10;DwAAAAAAAAABACAAAAAiAAAAZHJzL2Rvd25yZXYueG1sUEsBAhQAFAAAAAgAh07iQALdQiawAQAA&#10;TQMAAA4AAAAAAAAAAQAgAAAAHgEAAGRycy9lMm9Eb2MueG1sUEsFBgAAAAAGAAYAWQEAAEAFAAAA&#10;AA==&#10;">
              <v:fill on="f" focussize="0,0"/>
              <v:stroke on="f"/>
              <v:imagedata o:title=""/>
              <o:lock v:ext="edit" aspectratio="f"/>
              <v:textbox inset="0mm,0mm,0mm,0mm" style="mso-fit-shape-to-text:t;">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- 298 -</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ind w:firstLine="360"/>
      <w:rPr>
        <w:lang w:eastAsia="zh-CN"/>
      </w:rPr>
    </w:pPr>
    <w: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- 13 -</w:t>
                          </w:r>
                          <w:r>
                            <w:rPr>
                              <w:rFonts w:hint="eastAsia"/>
                              <w:lang w:eastAsia="zh-CN"/>
                            </w:rPr>
                            <w:fldChar w:fldCharType="end"/>
                          </w:r>
                        </w:p>
                      </w:txbxContent>
                    </wps:txbx>
                    <wps:bodyPr wrap="none" lIns="0" tIns="0" rIns="0" bIns="0" upright="1"/>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WVAlj0AAAAAUBAAAPAAAAAAAAAAEAIAAA&#10;ACIAAABkcnMvZG93bnJldi54bWxQSwECFAAUAAAACACHTuJAcHiKIaIBAAAyAwAADgAAAAAAAAAB&#10;ACAAAAAfAQAAZHJzL2Uyb0RvYy54bWxQSwUGAAAAAAYABgBZAQAAMwUAAAAA&#10;">
              <v:fill on="f" focussize="0,0"/>
              <v:stroke on="f"/>
              <v:imagedata o:title=""/>
              <o:lock v:ext="edit" aspectratio="f"/>
              <v:textbox inset="0mm,0mm,0mm,0mm">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- 13 -</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tabs>
        <w:tab w:val="center" w:pos="4216"/>
        <w:tab w:val="left" w:pos="8370"/>
      </w:tabs>
      <w:ind w:firstLine="0" w:firstLineChars="0"/>
      <w:rPr>
        <w:lang w:eastAsia="zh-CN"/>
      </w:rP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- 59 -</w:t>
                          </w:r>
                          <w:r>
                            <w:rPr>
                              <w:rFonts w:hint="eastAsia"/>
                              <w:lang w:eastAsia="zh-CN"/>
                            </w:rPr>
                            <w:fldChar w:fldCharType="end"/>
                          </w:r>
                        </w:p>
                      </w:txbxContent>
                    </wps:txbx>
                    <wps:bodyPr wrap="none" lIns="0" tIns="0" rIns="0" bIns="0" upright="1">
                      <a:spAutoFit/>
                    </wps:bodyPr>
                  </wps:wsp>
                </a:graphicData>
              </a:graphic>
            </wp:anchor>
          </w:drawing>
        </mc:Choice>
        <mc:Fallback>
          <w:pict>
            <v:shape id="文本框 28"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zql5uc8AAAAFAQAA&#10;DwAAAAAAAAABACAAAAAiAAAAZHJzL2Rvd25yZXYueG1sUEsBAhQAFAAAAAgAh07iQKVNpW2wAQAA&#10;TQMAAA4AAAAAAAAAAQAgAAAAHgEAAGRycy9lMm9Eb2MueG1sUEsFBgAAAAAGAAYAWQEAAEAFAAAA&#10;AA==&#10;">
              <v:fill on="f" focussize="0,0"/>
              <v:stroke on="f"/>
              <v:imagedata o:title=""/>
              <o:lock v:ext="edit" aspectratio="f"/>
              <v:textbox inset="0mm,0mm,0mm,0mm" style="mso-fit-shape-to-text:t;">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- 59 -</w:t>
                    </w:r>
                    <w:r>
                      <w:rPr>
                        <w:rFonts w:hint="eastAsia"/>
                        <w:lang w:eastAsia="zh-CN"/>
                      </w:rPr>
                      <w:fldChar w:fldCharType="end"/>
                    </w:r>
                  </w:p>
                </w:txbxContent>
              </v:textbox>
            </v:shape>
          </w:pict>
        </mc:Fallback>
      </mc:AlternateContent>
    </w:r>
    <w:r>
      <w:rPr>
        <w:rFonts w:hint="eastAsia"/>
        <w:lang w:eastAsia="zh-CN"/>
      </w:rPr>
      <w:tab/>
    </w:r>
    <w:r>
      <w:rPr>
        <w:rFonts w:hint="eastAsia"/>
        <w:lang w:eastAsia="zh-CN"/>
      </w:rPr>
      <w:tab/>
    </w:r>
    <w:r>
      <w:rPr>
        <w:rFonts w:hint="eastAsia"/>
        <w:lang w:eastAsia="zh-CN"/>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tabs>
        <w:tab w:val="center" w:pos="4216"/>
        <w:tab w:val="left" w:pos="6035"/>
      </w:tabs>
      <w:ind w:firstLine="0" w:firstLineChars="0"/>
      <w:rPr>
        <w:rFonts w:eastAsia="宋体"/>
        <w:lang w:eastAsia="zh-CN"/>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- 89 -</w:t>
                          </w:r>
                          <w:r>
                            <w:rPr>
                              <w:rFonts w:hint="eastAsia"/>
                              <w:lang w:eastAsia="zh-CN"/>
                            </w:rPr>
                            <w:fldChar w:fldCharType="end"/>
                          </w:r>
                        </w:p>
                      </w:txbxContent>
                    </wps:txbx>
                    <wps:bodyPr wrap="none" lIns="0" tIns="0" rIns="0" bIns="0" upright="1">
                      <a:spAutoFit/>
                    </wps:bodyPr>
                  </wps:wsp>
                </a:graphicData>
              </a:graphic>
            </wp:anchor>
          </w:drawing>
        </mc:Choice>
        <mc:Fallback>
          <w:pict>
            <v:shape id="文本框 1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6pebnPAAAABQEA&#10;AA8AAAAAAAAAAQAgAAAAIgAAAGRycy9kb3ducmV2LnhtbFBLAQIUABQAAAAIAIdO4kBjlMmKsQEA&#10;AE0DAAAOAAAAAAAAAAEAIAAAAB4BAABkcnMvZTJvRG9jLnhtbFBLBQYAAAAABgAGAFkBAABBBQAA&#10;AAA=&#10;">
              <v:fill on="f" focussize="0,0"/>
              <v:stroke on="f"/>
              <v:imagedata o:title=""/>
              <o:lock v:ext="edit" aspectratio="f"/>
              <v:textbox inset="0mm,0mm,0mm,0mm" style="mso-fit-shape-to-text:t;">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- 89 -</w:t>
                    </w:r>
                    <w:r>
                      <w:rPr>
                        <w:rFonts w:hint="eastAsia"/>
                        <w:lang w:eastAsia="zh-CN"/>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tabs>
        <w:tab w:val="center" w:pos="4216"/>
        <w:tab w:val="left" w:pos="6035"/>
      </w:tabs>
      <w:ind w:firstLine="0" w:firstLineChars="0"/>
      <w:rPr>
        <w:rFonts w:eastAsia="宋体"/>
        <w:lang w:eastAsia="zh-CN"/>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- 153 -</w:t>
                          </w:r>
                          <w:r>
                            <w:rPr>
                              <w:rFonts w:hint="eastAsia"/>
                              <w:lang w:eastAsia="zh-CN"/>
                            </w:rPr>
                            <w:fldChar w:fldCharType="end"/>
                          </w:r>
                        </w:p>
                      </w:txbxContent>
                    </wps:txbx>
                    <wps:bodyPr wrap="none" lIns="0" tIns="0" rIns="0" bIns="0" upright="1">
                      <a:spAutoFit/>
                    </wps:bodyPr>
                  </wps:wsp>
                </a:graphicData>
              </a:graphic>
            </wp:anchor>
          </w:drawing>
        </mc:Choice>
        <mc:Fallback>
          <w:pict>
            <v:shape id="文本框 20"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zql5uc8AAAAFAQAA&#10;DwAAAAAAAAABACAAAAAiAAAAZHJzL2Rvd25yZXYueG1sUEsBAhQAFAAAAAgAh07iQKUw71awAQAA&#10;TQMAAA4AAAAAAAAAAQAgAAAAHgEAAGRycy9lMm9Eb2MueG1sUEsFBgAAAAAGAAYAWQEAAEAFAAAA&#10;AA==&#10;">
              <v:fill on="f" focussize="0,0"/>
              <v:stroke on="f"/>
              <v:imagedata o:title=""/>
              <o:lock v:ext="edit" aspectratio="f"/>
              <v:textbox inset="0mm,0mm,0mm,0mm" style="mso-fit-shape-to-text:t;">
                <w:txbxContent>
                  <w:p>
                    <w:pPr>
                      <w:pStyle w:val="40"/>
                      <w:ind w:firstLine="360"/>
                      <w:rPr>
                        <w:rFonts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lang w:eastAsia="zh-CN"/>
                      </w:rPr>
                      <w:t>- 153 -</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none" w:color="auto" w:sz="0" w:space="1"/>
      </w:pBdr>
      <w:spacing w:line="240" w:lineRule="auto"/>
      <w:ind w:firstLine="0" w:firstLineChars="0"/>
      <w:rPr>
        <w:rFonts w:ascii="宋体" w:hAnsi="宋体" w:eastAsia="宋体"/>
        <w:lang w:eastAsia="zh-CN"/>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none" w:color="auto" w:sz="0" w:space="1"/>
      </w:pBdr>
      <w:spacing w:line="240" w:lineRule="auto"/>
      <w:ind w:firstLine="0" w:firstLineChars="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none" w:color="auto" w:sz="0" w:space="1"/>
      </w:pBdr>
      <w:ind w:firstLine="400"/>
      <w:rPr>
        <w:sz w:val="20"/>
        <w:szCs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none" w:color="auto" w:sz="0" w:space="1"/>
      </w:pBdr>
      <w:spacing w:line="240" w:lineRule="auto"/>
      <w:ind w:firstLine="0" w:firstLineChars="0"/>
      <w:rPr>
        <w:rFonts w:ascii="宋体" w:hAnsi="宋体" w:eastAsia="宋体"/>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none" w:color="auto" w:sz="0" w:space="1"/>
      </w:pBdr>
      <w:spacing w:line="240" w:lineRule="auto"/>
      <w:ind w:firstLine="0" w:firstLineChars="0"/>
      <w:rPr>
        <w:rFonts w:ascii="宋体" w:hAnsi="宋体" w:eastAsia="宋体"/>
        <w:lang w:eastAsia="zh-CN"/>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none" w:color="auto" w:sz="0" w:space="1"/>
      </w:pBdr>
      <w:spacing w:line="240" w:lineRule="auto"/>
      <w:ind w:firstLine="198" w:firstLineChars="0"/>
      <w:rPr>
        <w:lang w:eastAsia="zh-CN"/>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ind w:firstLine="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0"/>
      <w:ind w:firstLine="360"/>
      <w:rPr>
        <w:lang w:eastAsia="zh-CN"/>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1"/>
      <w:pBdr>
        <w:bottom w:val="none" w:color="auto" w:sz="0" w:space="1"/>
      </w:pBdr>
      <w:ind w:firstLine="360"/>
      <w:rPr>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7991CD9"/>
    <w:multiLevelType w:val="singleLevel"/>
    <w:tmpl w:val="87991CD9"/>
    <w:lvl w:ilvl="0" w:tentative="0">
      <w:start w:val="1"/>
      <w:numFmt w:val="decimal"/>
      <w:suff w:val="nothing"/>
      <w:lvlText w:val="%1、"/>
      <w:lvlJc w:val="left"/>
    </w:lvl>
  </w:abstractNum>
  <w:abstractNum w:abstractNumId="1">
    <w:nsid w:val="8A7D8DFA"/>
    <w:multiLevelType w:val="singleLevel"/>
    <w:tmpl w:val="8A7D8DFA"/>
    <w:lvl w:ilvl="0" w:tentative="0">
      <w:start w:val="6"/>
      <w:numFmt w:val="decimal"/>
      <w:suff w:val="nothing"/>
      <w:lvlText w:val="%1、"/>
      <w:lvlJc w:val="left"/>
    </w:lvl>
  </w:abstractNum>
  <w:abstractNum w:abstractNumId="2">
    <w:nsid w:val="8E75F6B8"/>
    <w:multiLevelType w:val="singleLevel"/>
    <w:tmpl w:val="8E75F6B8"/>
    <w:lvl w:ilvl="0" w:tentative="0">
      <w:start w:val="1"/>
      <w:numFmt w:val="decimal"/>
      <w:lvlText w:val="%1."/>
      <w:lvlJc w:val="left"/>
      <w:pPr>
        <w:tabs>
          <w:tab w:val="left" w:pos="312"/>
        </w:tabs>
      </w:pPr>
    </w:lvl>
  </w:abstractNum>
  <w:abstractNum w:abstractNumId="3">
    <w:nsid w:val="8F49E771"/>
    <w:multiLevelType w:val="singleLevel"/>
    <w:tmpl w:val="8F49E771"/>
    <w:lvl w:ilvl="0" w:tentative="0">
      <w:start w:val="1"/>
      <w:numFmt w:val="decimal"/>
      <w:suff w:val="nothing"/>
      <w:lvlText w:val="%1、"/>
      <w:lvlJc w:val="left"/>
    </w:lvl>
  </w:abstractNum>
  <w:abstractNum w:abstractNumId="4">
    <w:nsid w:val="A0D2C758"/>
    <w:multiLevelType w:val="singleLevel"/>
    <w:tmpl w:val="A0D2C758"/>
    <w:lvl w:ilvl="0" w:tentative="0">
      <w:start w:val="1"/>
      <w:numFmt w:val="decimal"/>
      <w:suff w:val="nothing"/>
      <w:lvlText w:val="%1、"/>
      <w:lvlJc w:val="left"/>
    </w:lvl>
  </w:abstractNum>
  <w:abstractNum w:abstractNumId="5">
    <w:nsid w:val="AD6D498B"/>
    <w:multiLevelType w:val="singleLevel"/>
    <w:tmpl w:val="AD6D498B"/>
    <w:lvl w:ilvl="0" w:tentative="0">
      <w:start w:val="1"/>
      <w:numFmt w:val="decimal"/>
      <w:suff w:val="nothing"/>
      <w:lvlText w:val="%1、"/>
      <w:lvlJc w:val="left"/>
    </w:lvl>
  </w:abstractNum>
  <w:abstractNum w:abstractNumId="6">
    <w:nsid w:val="AF8CC2CC"/>
    <w:multiLevelType w:val="singleLevel"/>
    <w:tmpl w:val="AF8CC2CC"/>
    <w:lvl w:ilvl="0" w:tentative="0">
      <w:start w:val="5"/>
      <w:numFmt w:val="chineseCounting"/>
      <w:suff w:val="nothing"/>
      <w:lvlText w:val="%1、"/>
      <w:lvlJc w:val="left"/>
      <w:rPr>
        <w:rFonts w:hint="eastAsia"/>
      </w:rPr>
    </w:lvl>
  </w:abstractNum>
  <w:abstractNum w:abstractNumId="7">
    <w:nsid w:val="B5BF55BC"/>
    <w:multiLevelType w:val="singleLevel"/>
    <w:tmpl w:val="B5BF55BC"/>
    <w:lvl w:ilvl="0" w:tentative="0">
      <w:start w:val="1"/>
      <w:numFmt w:val="decimal"/>
      <w:suff w:val="nothing"/>
      <w:lvlText w:val="%1、"/>
      <w:lvlJc w:val="left"/>
    </w:lvl>
  </w:abstractNum>
  <w:abstractNum w:abstractNumId="8">
    <w:nsid w:val="D00A432C"/>
    <w:multiLevelType w:val="singleLevel"/>
    <w:tmpl w:val="D00A432C"/>
    <w:lvl w:ilvl="0" w:tentative="0">
      <w:start w:val="6"/>
      <w:numFmt w:val="decimal"/>
      <w:suff w:val="nothing"/>
      <w:lvlText w:val="%1、"/>
      <w:lvlJc w:val="left"/>
    </w:lvl>
  </w:abstractNum>
  <w:abstractNum w:abstractNumId="9">
    <w:nsid w:val="F2F513D0"/>
    <w:multiLevelType w:val="singleLevel"/>
    <w:tmpl w:val="F2F513D0"/>
    <w:lvl w:ilvl="0" w:tentative="0">
      <w:start w:val="1"/>
      <w:numFmt w:val="decimal"/>
      <w:suff w:val="nothing"/>
      <w:lvlText w:val="%1、"/>
      <w:lvlJc w:val="left"/>
    </w:lvl>
  </w:abstractNum>
  <w:abstractNum w:abstractNumId="10">
    <w:nsid w:val="FFFFFF82"/>
    <w:multiLevelType w:val="singleLevel"/>
    <w:tmpl w:val="FFFFFF82"/>
    <w:lvl w:ilvl="0" w:tentative="0">
      <w:start w:val="1"/>
      <w:numFmt w:val="bullet"/>
      <w:pStyle w:val="25"/>
      <w:lvlText w:val=""/>
      <w:lvlJc w:val="left"/>
      <w:pPr>
        <w:tabs>
          <w:tab w:val="left" w:pos="1523"/>
        </w:tabs>
        <w:ind w:left="1523" w:leftChars="400" w:hanging="360" w:hangingChars="200"/>
      </w:pPr>
      <w:rPr>
        <w:rFonts w:hint="default" w:ascii="Wingdings" w:hAnsi="Wingdings"/>
      </w:rPr>
    </w:lvl>
  </w:abstractNum>
  <w:abstractNum w:abstractNumId="11">
    <w:nsid w:val="FFFFFF83"/>
    <w:multiLevelType w:val="singleLevel"/>
    <w:tmpl w:val="FFFFFF83"/>
    <w:lvl w:ilvl="0" w:tentative="0">
      <w:start w:val="1"/>
      <w:numFmt w:val="bullet"/>
      <w:pStyle w:val="31"/>
      <w:lvlText w:val=""/>
      <w:lvlJc w:val="left"/>
      <w:pPr>
        <w:tabs>
          <w:tab w:val="left" w:pos="780"/>
        </w:tabs>
        <w:ind w:left="780" w:leftChars="200" w:hanging="360" w:hangingChars="200"/>
      </w:pPr>
      <w:rPr>
        <w:rFonts w:hint="default" w:ascii="Wingdings" w:hAnsi="Wingdings"/>
      </w:rPr>
    </w:lvl>
  </w:abstractNum>
  <w:abstractNum w:abstractNumId="12">
    <w:nsid w:val="FFFFFF88"/>
    <w:multiLevelType w:val="singleLevel"/>
    <w:tmpl w:val="FFFFFF88"/>
    <w:lvl w:ilvl="0" w:tentative="0">
      <w:start w:val="1"/>
      <w:numFmt w:val="decimal"/>
      <w:pStyle w:val="209"/>
      <w:lvlText w:val="%1."/>
      <w:lvlJc w:val="left"/>
      <w:pPr>
        <w:tabs>
          <w:tab w:val="left" w:pos="360"/>
        </w:tabs>
        <w:ind w:left="360" w:hanging="360" w:hangingChars="200"/>
      </w:pPr>
    </w:lvl>
  </w:abstractNum>
  <w:abstractNum w:abstractNumId="13">
    <w:nsid w:val="FFFFFF89"/>
    <w:multiLevelType w:val="singleLevel"/>
    <w:tmpl w:val="FFFFFF89"/>
    <w:lvl w:ilvl="0" w:tentative="0">
      <w:start w:val="1"/>
      <w:numFmt w:val="bullet"/>
      <w:pStyle w:val="21"/>
      <w:lvlText w:val=""/>
      <w:lvlJc w:val="left"/>
      <w:pPr>
        <w:tabs>
          <w:tab w:val="left" w:pos="360"/>
        </w:tabs>
        <w:ind w:left="360" w:hanging="360" w:hangingChars="200"/>
      </w:pPr>
      <w:rPr>
        <w:rFonts w:hint="default" w:ascii="Wingdings" w:hAnsi="Wingdings"/>
      </w:rPr>
    </w:lvl>
  </w:abstractNum>
  <w:abstractNum w:abstractNumId="14">
    <w:nsid w:val="040A15CD"/>
    <w:multiLevelType w:val="multilevel"/>
    <w:tmpl w:val="040A15CD"/>
    <w:lvl w:ilvl="0" w:tentative="0">
      <w:start w:val="1"/>
      <w:numFmt w:val="none"/>
      <w:suff w:val="nothing"/>
      <w:lvlText w:val="　"/>
      <w:lvlJc w:val="left"/>
      <w:rPr>
        <w:rFonts w:hint="eastAsia" w:ascii="黑体" w:hAnsi="Times New Roman" w:eastAsia="黑体"/>
        <w:b w:val="0"/>
        <w:bCs w:val="0"/>
        <w:i w:val="0"/>
        <w:iCs w:val="0"/>
        <w:sz w:val="21"/>
        <w:szCs w:val="21"/>
      </w:rPr>
    </w:lvl>
    <w:lvl w:ilvl="1" w:tentative="0">
      <w:start w:val="1"/>
      <w:numFmt w:val="decimal"/>
      <w:isLgl/>
      <w:suff w:val="nothing"/>
      <w:lvlText w:val="%2　"/>
      <w:lvlJc w:val="left"/>
      <w:rPr>
        <w:rFonts w:hint="eastAsia" w:ascii="黑体" w:hAnsi="Times New Roman" w:eastAsia="黑体"/>
        <w:b w:val="0"/>
        <w:bCs w:val="0"/>
        <w:i w:val="0"/>
        <w:iCs w:val="0"/>
        <w:snapToGrid/>
        <w:spacing w:val="0"/>
        <w:w w:val="100"/>
        <w:kern w:val="21"/>
        <w:sz w:val="21"/>
        <w:szCs w:val="21"/>
      </w:rPr>
    </w:lvl>
    <w:lvl w:ilvl="2" w:tentative="0">
      <w:start w:val="1"/>
      <w:numFmt w:val="decimal"/>
      <w:pStyle w:val="288"/>
      <w:suff w:val="nothing"/>
      <w:lvlText w:val="%1%2.%3　"/>
      <w:lvlJc w:val="left"/>
      <w:rPr>
        <w:rFonts w:hint="eastAsia" w:ascii="黑体" w:hAnsi="Times New Roman" w:eastAsia="黑体"/>
        <w:b w:val="0"/>
        <w:bCs w:val="0"/>
        <w:i w:val="0"/>
        <w:iCs w:val="0"/>
        <w:sz w:val="21"/>
        <w:szCs w:val="21"/>
      </w:rPr>
    </w:lvl>
    <w:lvl w:ilvl="3" w:tentative="0">
      <w:start w:val="1"/>
      <w:numFmt w:val="decimal"/>
      <w:suff w:val="nothing"/>
      <w:lvlText w:val="%1%2.%3.%4　"/>
      <w:lvlJc w:val="left"/>
      <w:rPr>
        <w:rFonts w:hint="eastAsia" w:ascii="黑体" w:hAnsi="Times New Roman" w:eastAsia="黑体"/>
        <w:b w:val="0"/>
        <w:bCs w:val="0"/>
        <w:i w:val="0"/>
        <w:iCs w:val="0"/>
        <w:sz w:val="21"/>
        <w:szCs w:val="21"/>
      </w:rPr>
    </w:lvl>
    <w:lvl w:ilvl="4" w:tentative="0">
      <w:start w:val="1"/>
      <w:numFmt w:val="decimal"/>
      <w:pStyle w:val="285"/>
      <w:suff w:val="nothing"/>
      <w:lvlText w:val="%1%2.%3.%4.%5　"/>
      <w:lvlJc w:val="left"/>
      <w:rPr>
        <w:rFonts w:hint="eastAsia" w:ascii="黑体" w:hAnsi="Times New Roman" w:eastAsia="黑体"/>
        <w:b w:val="0"/>
        <w:bCs w:val="0"/>
        <w:i w:val="0"/>
        <w:iCs w:val="0"/>
        <w:sz w:val="21"/>
        <w:szCs w:val="21"/>
      </w:rPr>
    </w:lvl>
    <w:lvl w:ilvl="5" w:tentative="0">
      <w:start w:val="1"/>
      <w:numFmt w:val="decimal"/>
      <w:pStyle w:val="286"/>
      <w:suff w:val="nothing"/>
      <w:lvlText w:val="%1%2.%3.%4.%5.%6　"/>
      <w:lvlJc w:val="left"/>
      <w:rPr>
        <w:rFonts w:hint="eastAsia" w:ascii="黑体" w:hAnsi="Times New Roman" w:eastAsia="黑体"/>
        <w:b w:val="0"/>
        <w:bCs w:val="0"/>
        <w:i w:val="0"/>
        <w:iCs w:val="0"/>
        <w:sz w:val="21"/>
        <w:szCs w:val="21"/>
      </w:rPr>
    </w:lvl>
    <w:lvl w:ilvl="6" w:tentative="0">
      <w:start w:val="1"/>
      <w:numFmt w:val="decimal"/>
      <w:pStyle w:val="287"/>
      <w:suff w:val="nothing"/>
      <w:lvlText w:val="%1%2.%3.%4.%5.%6.%7　"/>
      <w:lvlJc w:val="left"/>
      <w:rPr>
        <w:rFonts w:hint="eastAsia" w:ascii="黑体" w:hAnsi="Times New Roman" w:eastAsia="黑体"/>
        <w:b w:val="0"/>
        <w:bCs w:val="0"/>
        <w:i w:val="0"/>
        <w:iCs w:val="0"/>
        <w:sz w:val="21"/>
        <w:szCs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5">
    <w:nsid w:val="0AE367E9"/>
    <w:multiLevelType w:val="multilevel"/>
    <w:tmpl w:val="0AE367E9"/>
    <w:lvl w:ilvl="0" w:tentative="0">
      <w:start w:val="1"/>
      <w:numFmt w:val="none"/>
      <w:pStyle w:val="336"/>
      <w:lvlText w:val="%1示例"/>
      <w:lvlJc w:val="left"/>
      <w:pPr>
        <w:tabs>
          <w:tab w:val="left" w:pos="1120"/>
        </w:tabs>
        <w:ind w:firstLine="400"/>
      </w:pPr>
      <w:rPr>
        <w:rFonts w:hint="eastAsia" w:ascii="宋体" w:eastAsia="宋体"/>
        <w:b w:val="0"/>
        <w:bCs w:val="0"/>
        <w:i w:val="0"/>
        <w:iCs w:val="0"/>
        <w:sz w:val="18"/>
        <w:szCs w:val="18"/>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11ACCF1D"/>
    <w:multiLevelType w:val="singleLevel"/>
    <w:tmpl w:val="11ACCF1D"/>
    <w:lvl w:ilvl="0" w:tentative="0">
      <w:start w:val="1"/>
      <w:numFmt w:val="decimal"/>
      <w:suff w:val="nothing"/>
      <w:lvlText w:val="（%1）"/>
      <w:lvlJc w:val="left"/>
    </w:lvl>
  </w:abstractNum>
  <w:abstractNum w:abstractNumId="17">
    <w:nsid w:val="13DBBA59"/>
    <w:multiLevelType w:val="singleLevel"/>
    <w:tmpl w:val="13DBBA59"/>
    <w:lvl w:ilvl="0" w:tentative="0">
      <w:start w:val="4"/>
      <w:numFmt w:val="decimal"/>
      <w:suff w:val="nothing"/>
      <w:lvlText w:val="%1、"/>
      <w:lvlJc w:val="left"/>
    </w:lvl>
  </w:abstractNum>
  <w:abstractNum w:abstractNumId="18">
    <w:nsid w:val="14CB573A"/>
    <w:multiLevelType w:val="singleLevel"/>
    <w:tmpl w:val="14CB573A"/>
    <w:lvl w:ilvl="0" w:tentative="0">
      <w:start w:val="1"/>
      <w:numFmt w:val="decimal"/>
      <w:suff w:val="nothing"/>
      <w:lvlText w:val="（%1）"/>
      <w:lvlJc w:val="left"/>
    </w:lvl>
  </w:abstractNum>
  <w:abstractNum w:abstractNumId="19">
    <w:nsid w:val="35123638"/>
    <w:multiLevelType w:val="singleLevel"/>
    <w:tmpl w:val="35123638"/>
    <w:lvl w:ilvl="0" w:tentative="0">
      <w:start w:val="1"/>
      <w:numFmt w:val="none"/>
      <w:pStyle w:val="397"/>
      <w:lvlText w:val="2.2"/>
      <w:lvlJc w:val="left"/>
      <w:pPr>
        <w:tabs>
          <w:tab w:val="left" w:pos="425"/>
        </w:tabs>
        <w:ind w:left="425" w:hanging="425"/>
      </w:pPr>
      <w:rPr>
        <w:rFonts w:hint="eastAsia"/>
      </w:rPr>
    </w:lvl>
  </w:abstractNum>
  <w:abstractNum w:abstractNumId="20">
    <w:nsid w:val="3F604E98"/>
    <w:multiLevelType w:val="singleLevel"/>
    <w:tmpl w:val="3F604E98"/>
    <w:lvl w:ilvl="0" w:tentative="0">
      <w:start w:val="1"/>
      <w:numFmt w:val="decimal"/>
      <w:suff w:val="nothing"/>
      <w:lvlText w:val="（%1）"/>
      <w:lvlJc w:val="left"/>
    </w:lvl>
  </w:abstractNum>
  <w:abstractNum w:abstractNumId="21">
    <w:nsid w:val="407E65F9"/>
    <w:multiLevelType w:val="multilevel"/>
    <w:tmpl w:val="407E65F9"/>
    <w:lvl w:ilvl="0" w:tentative="0">
      <w:start w:val="1"/>
      <w:numFmt w:val="none"/>
      <w:pStyle w:val="335"/>
      <w:lvlText w:val="%1·　"/>
      <w:lvlJc w:val="left"/>
      <w:pPr>
        <w:tabs>
          <w:tab w:val="left" w:pos="1140"/>
        </w:tabs>
        <w:ind w:left="737" w:hanging="317"/>
      </w:pPr>
      <w:rPr>
        <w:rFonts w:hint="eastAsia" w:ascii="宋体" w:hAnsi="Times New Roman" w:eastAsia="宋体"/>
        <w:b w:val="0"/>
        <w:bCs w:val="0"/>
        <w:i w:val="0"/>
        <w:iCs w:val="0"/>
        <w:sz w:val="21"/>
        <w:szCs w:val="21"/>
      </w:rPr>
    </w:lvl>
    <w:lvl w:ilvl="1" w:tentative="0">
      <w:start w:val="1"/>
      <w:numFmt w:val="bullet"/>
      <w:lvlText w:val=""/>
      <w:lvlJc w:val="left"/>
      <w:pPr>
        <w:tabs>
          <w:tab w:val="left" w:pos="840"/>
        </w:tabs>
        <w:ind w:left="840" w:hanging="420"/>
      </w:pPr>
      <w:rPr>
        <w:rFonts w:hint="default" w:ascii="Wingdings" w:hAnsi="Wingdings" w:cs="Wingdings"/>
      </w:rPr>
    </w:lvl>
    <w:lvl w:ilvl="2" w:tentative="0">
      <w:start w:val="1"/>
      <w:numFmt w:val="bullet"/>
      <w:lvlText w:val=""/>
      <w:lvlJc w:val="left"/>
      <w:pPr>
        <w:tabs>
          <w:tab w:val="left" w:pos="1260"/>
        </w:tabs>
        <w:ind w:left="1260" w:hanging="420"/>
      </w:pPr>
      <w:rPr>
        <w:rFonts w:hint="default" w:ascii="Wingdings" w:hAnsi="Wingdings" w:cs="Wingdings"/>
      </w:rPr>
    </w:lvl>
    <w:lvl w:ilvl="3" w:tentative="0">
      <w:start w:val="1"/>
      <w:numFmt w:val="bullet"/>
      <w:lvlText w:val=""/>
      <w:lvlJc w:val="left"/>
      <w:pPr>
        <w:tabs>
          <w:tab w:val="left" w:pos="1680"/>
        </w:tabs>
        <w:ind w:left="1680" w:hanging="420"/>
      </w:pPr>
      <w:rPr>
        <w:rFonts w:hint="default" w:ascii="Wingdings" w:hAnsi="Wingdings" w:cs="Wingdings"/>
      </w:rPr>
    </w:lvl>
    <w:lvl w:ilvl="4" w:tentative="0">
      <w:start w:val="1"/>
      <w:numFmt w:val="bullet"/>
      <w:lvlText w:val=""/>
      <w:lvlJc w:val="left"/>
      <w:pPr>
        <w:tabs>
          <w:tab w:val="left" w:pos="2100"/>
        </w:tabs>
        <w:ind w:left="2100" w:hanging="420"/>
      </w:pPr>
      <w:rPr>
        <w:rFonts w:hint="default" w:ascii="Wingdings" w:hAnsi="Wingdings" w:cs="Wingdings"/>
      </w:rPr>
    </w:lvl>
    <w:lvl w:ilvl="5" w:tentative="0">
      <w:start w:val="1"/>
      <w:numFmt w:val="bullet"/>
      <w:lvlText w:val=""/>
      <w:lvlJc w:val="left"/>
      <w:pPr>
        <w:tabs>
          <w:tab w:val="left" w:pos="2520"/>
        </w:tabs>
        <w:ind w:left="2520" w:hanging="420"/>
      </w:pPr>
      <w:rPr>
        <w:rFonts w:hint="default" w:ascii="Wingdings" w:hAnsi="Wingdings" w:cs="Wingdings"/>
      </w:rPr>
    </w:lvl>
    <w:lvl w:ilvl="6" w:tentative="0">
      <w:start w:val="1"/>
      <w:numFmt w:val="bullet"/>
      <w:lvlText w:val=""/>
      <w:lvlJc w:val="left"/>
      <w:pPr>
        <w:tabs>
          <w:tab w:val="left" w:pos="2940"/>
        </w:tabs>
        <w:ind w:left="2940" w:hanging="420"/>
      </w:pPr>
      <w:rPr>
        <w:rFonts w:hint="default" w:ascii="Wingdings" w:hAnsi="Wingdings" w:cs="Wingdings"/>
      </w:rPr>
    </w:lvl>
    <w:lvl w:ilvl="7" w:tentative="0">
      <w:start w:val="1"/>
      <w:numFmt w:val="bullet"/>
      <w:lvlText w:val=""/>
      <w:lvlJc w:val="left"/>
      <w:pPr>
        <w:tabs>
          <w:tab w:val="left" w:pos="3360"/>
        </w:tabs>
        <w:ind w:left="3360" w:hanging="420"/>
      </w:pPr>
      <w:rPr>
        <w:rFonts w:hint="default" w:ascii="Wingdings" w:hAnsi="Wingdings" w:cs="Wingdings"/>
      </w:rPr>
    </w:lvl>
    <w:lvl w:ilvl="8" w:tentative="0">
      <w:start w:val="1"/>
      <w:numFmt w:val="bullet"/>
      <w:lvlText w:val=""/>
      <w:lvlJc w:val="left"/>
      <w:pPr>
        <w:tabs>
          <w:tab w:val="left" w:pos="3780"/>
        </w:tabs>
        <w:ind w:left="3780" w:hanging="420"/>
      </w:pPr>
      <w:rPr>
        <w:rFonts w:hint="default" w:ascii="Wingdings" w:hAnsi="Wingdings" w:cs="Wingdings"/>
      </w:rPr>
    </w:lvl>
  </w:abstractNum>
  <w:abstractNum w:abstractNumId="22">
    <w:nsid w:val="41994D24"/>
    <w:multiLevelType w:val="singleLevel"/>
    <w:tmpl w:val="41994D24"/>
    <w:lvl w:ilvl="0" w:tentative="0">
      <w:start w:val="1"/>
      <w:numFmt w:val="decimal"/>
      <w:suff w:val="nothing"/>
      <w:lvlText w:val="%1、"/>
      <w:lvlJc w:val="left"/>
    </w:lvl>
  </w:abstractNum>
  <w:abstractNum w:abstractNumId="23">
    <w:nsid w:val="496E4D7B"/>
    <w:multiLevelType w:val="multilevel"/>
    <w:tmpl w:val="496E4D7B"/>
    <w:lvl w:ilvl="0" w:tentative="0">
      <w:start w:val="1"/>
      <w:numFmt w:val="none"/>
      <w:pStyle w:val="340"/>
      <w:lvlText w:val="%1注"/>
      <w:lvlJc w:val="left"/>
      <w:pPr>
        <w:tabs>
          <w:tab w:val="left" w:pos="900"/>
        </w:tabs>
        <w:ind w:left="900" w:hanging="500"/>
      </w:pPr>
      <w:rPr>
        <w:rFonts w:hint="eastAsia" w:ascii="宋体" w:hAnsi="Times New Roman" w:eastAsia="宋体"/>
        <w:b w:val="0"/>
        <w:bCs w:val="0"/>
        <w:i w:val="0"/>
        <w:iCs w:val="0"/>
        <w:sz w:val="18"/>
        <w:szCs w:val="18"/>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4">
    <w:nsid w:val="4A920D77"/>
    <w:multiLevelType w:val="multilevel"/>
    <w:tmpl w:val="4A920D77"/>
    <w:lvl w:ilvl="0" w:tentative="0">
      <w:start w:val="1"/>
      <w:numFmt w:val="bullet"/>
      <w:lvlText w:val=""/>
      <w:lvlJc w:val="left"/>
      <w:pPr>
        <w:ind w:left="902" w:hanging="420"/>
      </w:pPr>
      <w:rPr>
        <w:rFonts w:hint="default" w:ascii="Wingdings" w:hAnsi="Wingdings"/>
      </w:rPr>
    </w:lvl>
    <w:lvl w:ilvl="1" w:tentative="0">
      <w:start w:val="1"/>
      <w:numFmt w:val="bullet"/>
      <w:lvlText w:val=""/>
      <w:lvlJc w:val="left"/>
      <w:pPr>
        <w:ind w:left="1322" w:hanging="420"/>
      </w:pPr>
      <w:rPr>
        <w:rFonts w:hint="default" w:ascii="Wingdings" w:hAnsi="Wingdings"/>
      </w:rPr>
    </w:lvl>
    <w:lvl w:ilvl="2" w:tentative="0">
      <w:start w:val="1"/>
      <w:numFmt w:val="bullet"/>
      <w:lvlText w:val=""/>
      <w:lvlJc w:val="left"/>
      <w:pPr>
        <w:ind w:left="1742" w:hanging="420"/>
      </w:pPr>
      <w:rPr>
        <w:rFonts w:hint="default" w:ascii="Wingdings" w:hAnsi="Wingdings"/>
      </w:rPr>
    </w:lvl>
    <w:lvl w:ilvl="3" w:tentative="0">
      <w:start w:val="1"/>
      <w:numFmt w:val="bullet"/>
      <w:lvlText w:val=""/>
      <w:lvlJc w:val="left"/>
      <w:pPr>
        <w:ind w:left="2162" w:hanging="420"/>
      </w:pPr>
      <w:rPr>
        <w:rFonts w:hint="default" w:ascii="Wingdings" w:hAnsi="Wingdings"/>
      </w:rPr>
    </w:lvl>
    <w:lvl w:ilvl="4" w:tentative="0">
      <w:start w:val="1"/>
      <w:numFmt w:val="bullet"/>
      <w:lvlText w:val=""/>
      <w:lvlJc w:val="left"/>
      <w:pPr>
        <w:ind w:left="2582" w:hanging="420"/>
      </w:pPr>
      <w:rPr>
        <w:rFonts w:hint="default" w:ascii="Wingdings" w:hAnsi="Wingdings"/>
      </w:rPr>
    </w:lvl>
    <w:lvl w:ilvl="5" w:tentative="0">
      <w:start w:val="1"/>
      <w:numFmt w:val="bullet"/>
      <w:lvlText w:val=""/>
      <w:lvlJc w:val="left"/>
      <w:pPr>
        <w:ind w:left="3002" w:hanging="420"/>
      </w:pPr>
      <w:rPr>
        <w:rFonts w:hint="default" w:ascii="Wingdings" w:hAnsi="Wingdings"/>
      </w:rPr>
    </w:lvl>
    <w:lvl w:ilvl="6" w:tentative="0">
      <w:start w:val="1"/>
      <w:numFmt w:val="bullet"/>
      <w:lvlText w:val=""/>
      <w:lvlJc w:val="left"/>
      <w:pPr>
        <w:ind w:left="3422" w:hanging="420"/>
      </w:pPr>
      <w:rPr>
        <w:rFonts w:hint="default" w:ascii="Wingdings" w:hAnsi="Wingdings"/>
      </w:rPr>
    </w:lvl>
    <w:lvl w:ilvl="7" w:tentative="0">
      <w:start w:val="1"/>
      <w:numFmt w:val="bullet"/>
      <w:lvlText w:val=""/>
      <w:lvlJc w:val="left"/>
      <w:pPr>
        <w:ind w:left="3842" w:hanging="420"/>
      </w:pPr>
      <w:rPr>
        <w:rFonts w:hint="default" w:ascii="Wingdings" w:hAnsi="Wingdings"/>
      </w:rPr>
    </w:lvl>
    <w:lvl w:ilvl="8" w:tentative="0">
      <w:start w:val="1"/>
      <w:numFmt w:val="bullet"/>
      <w:lvlText w:val=""/>
      <w:lvlJc w:val="left"/>
      <w:pPr>
        <w:ind w:left="4262" w:hanging="420"/>
      </w:pPr>
      <w:rPr>
        <w:rFonts w:hint="default" w:ascii="Wingdings" w:hAnsi="Wingdings"/>
      </w:rPr>
    </w:lvl>
  </w:abstractNum>
  <w:abstractNum w:abstractNumId="25">
    <w:nsid w:val="4F6D3D87"/>
    <w:multiLevelType w:val="singleLevel"/>
    <w:tmpl w:val="4F6D3D87"/>
    <w:lvl w:ilvl="0" w:tentative="0">
      <w:start w:val="1"/>
      <w:numFmt w:val="bullet"/>
      <w:pStyle w:val="380"/>
      <w:lvlText w:val=""/>
      <w:lvlJc w:val="left"/>
      <w:pPr>
        <w:tabs>
          <w:tab w:val="left" w:pos="360"/>
        </w:tabs>
        <w:ind w:left="360" w:hanging="360"/>
      </w:pPr>
      <w:rPr>
        <w:rFonts w:hint="default" w:ascii="Symbol" w:hAnsi="Symbol"/>
      </w:rPr>
    </w:lvl>
  </w:abstractNum>
  <w:abstractNum w:abstractNumId="26">
    <w:nsid w:val="557C2AF5"/>
    <w:multiLevelType w:val="multilevel"/>
    <w:tmpl w:val="557C2AF5"/>
    <w:lvl w:ilvl="0" w:tentative="0">
      <w:start w:val="1"/>
      <w:numFmt w:val="decimal"/>
      <w:pStyle w:val="338"/>
      <w:suff w:val="nothing"/>
      <w:lvlText w:val="图%1　"/>
      <w:lvlJc w:val="left"/>
      <w:rPr>
        <w:rFonts w:hint="eastAsia" w:ascii="黑体" w:hAnsi="Times New Roman" w:eastAsia="黑体"/>
        <w:b w:val="0"/>
        <w:bCs w:val="0"/>
        <w:i w:val="0"/>
        <w:iCs w:val="0"/>
        <w:sz w:val="21"/>
        <w:szCs w:val="21"/>
      </w:rPr>
    </w:lvl>
    <w:lvl w:ilvl="1" w:tentative="0">
      <w:start w:val="1"/>
      <w:numFmt w:val="decimal"/>
      <w:suff w:val="nothing"/>
      <w:lvlText w:val="%1%2　"/>
      <w:lvlJc w:val="left"/>
      <w:rPr>
        <w:rFonts w:hint="default" w:ascii="Times New Roman" w:hAnsi="Times New Roman" w:eastAsia="黑体"/>
        <w:b w:val="0"/>
        <w:bCs w:val="0"/>
        <w:i w:val="0"/>
        <w:iCs w:val="0"/>
        <w:sz w:val="21"/>
        <w:szCs w:val="21"/>
      </w:rPr>
    </w:lvl>
    <w:lvl w:ilvl="2" w:tentative="0">
      <w:start w:val="1"/>
      <w:numFmt w:val="decimal"/>
      <w:suff w:val="nothing"/>
      <w:lvlText w:val="%1%2.%3　"/>
      <w:lvlJc w:val="left"/>
      <w:rPr>
        <w:rFonts w:hint="default" w:ascii="Times New Roman" w:hAnsi="Times New Roman" w:eastAsia="黑体"/>
        <w:b w:val="0"/>
        <w:bCs w:val="0"/>
        <w:i w:val="0"/>
        <w:iCs w:val="0"/>
        <w:sz w:val="21"/>
        <w:szCs w:val="21"/>
      </w:rPr>
    </w:lvl>
    <w:lvl w:ilvl="3" w:tentative="0">
      <w:start w:val="1"/>
      <w:numFmt w:val="decimal"/>
      <w:suff w:val="nothing"/>
      <w:lvlText w:val="%1%2.%3.%4　"/>
      <w:lvlJc w:val="left"/>
      <w:rPr>
        <w:rFonts w:hint="default" w:ascii="Times New Roman" w:hAnsi="Times New Roman" w:eastAsia="黑体"/>
        <w:b w:val="0"/>
        <w:bCs w:val="0"/>
        <w:i w:val="0"/>
        <w:iCs w:val="0"/>
        <w:sz w:val="21"/>
        <w:szCs w:val="21"/>
      </w:rPr>
    </w:lvl>
    <w:lvl w:ilvl="4" w:tentative="0">
      <w:start w:val="1"/>
      <w:numFmt w:val="decimal"/>
      <w:suff w:val="nothing"/>
      <w:lvlText w:val="%1%2.%3.%4.%5　"/>
      <w:lvlJc w:val="left"/>
      <w:rPr>
        <w:rFonts w:hint="default" w:ascii="Times New Roman" w:hAnsi="Times New Roman" w:eastAsia="黑体"/>
        <w:b w:val="0"/>
        <w:bCs w:val="0"/>
        <w:i w:val="0"/>
        <w:iCs w:val="0"/>
        <w:sz w:val="21"/>
        <w:szCs w:val="21"/>
      </w:rPr>
    </w:lvl>
    <w:lvl w:ilvl="5" w:tentative="0">
      <w:start w:val="1"/>
      <w:numFmt w:val="decimal"/>
      <w:suff w:val="nothing"/>
      <w:lvlText w:val="%1%2.%3.%4.%5.%6　"/>
      <w:lvlJc w:val="left"/>
      <w:rPr>
        <w:rFonts w:hint="default" w:ascii="Times New Roman" w:hAnsi="Times New Roman" w:eastAsia="黑体"/>
        <w:b w:val="0"/>
        <w:bCs w:val="0"/>
        <w:i w:val="0"/>
        <w:iCs w:val="0"/>
        <w:sz w:val="21"/>
        <w:szCs w:val="21"/>
      </w:rPr>
    </w:lvl>
    <w:lvl w:ilvl="6" w:tentative="0">
      <w:start w:val="1"/>
      <w:numFmt w:val="decimal"/>
      <w:suff w:val="nothing"/>
      <w:lvlText w:val="%1%2.%3.%4.%5.%6.%7　"/>
      <w:lvlJc w:val="left"/>
      <w:rPr>
        <w:rFonts w:hint="default" w:ascii="Times New Roman" w:hAnsi="Times New Roman" w:eastAsia="黑体"/>
        <w:b w:val="0"/>
        <w:bCs w:val="0"/>
        <w:i w:val="0"/>
        <w:iCs w:val="0"/>
        <w:sz w:val="21"/>
        <w:szCs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7">
    <w:nsid w:val="58280D20"/>
    <w:multiLevelType w:val="singleLevel"/>
    <w:tmpl w:val="58280D20"/>
    <w:lvl w:ilvl="0" w:tentative="0">
      <w:start w:val="1"/>
      <w:numFmt w:val="decimal"/>
      <w:suff w:val="nothing"/>
      <w:lvlText w:val="（%1）"/>
      <w:lvlJc w:val="left"/>
    </w:lvl>
  </w:abstractNum>
  <w:abstractNum w:abstractNumId="28">
    <w:nsid w:val="646260FA"/>
    <w:multiLevelType w:val="multilevel"/>
    <w:tmpl w:val="646260FA"/>
    <w:lvl w:ilvl="0" w:tentative="0">
      <w:start w:val="1"/>
      <w:numFmt w:val="decimal"/>
      <w:pStyle w:val="337"/>
      <w:suff w:val="nothing"/>
      <w:lvlText w:val="表%1　"/>
      <w:lvlJc w:val="left"/>
      <w:rPr>
        <w:rFonts w:hint="eastAsia" w:ascii="黑体" w:hAnsi="Times New Roman" w:eastAsia="黑体"/>
        <w:b w:val="0"/>
        <w:bCs w:val="0"/>
        <w:i w:val="0"/>
        <w:iCs w:val="0"/>
        <w:sz w:val="21"/>
        <w:szCs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29">
    <w:nsid w:val="657D3FBC"/>
    <w:multiLevelType w:val="multilevel"/>
    <w:tmpl w:val="657D3FBC"/>
    <w:lvl w:ilvl="0" w:tentative="0">
      <w:start w:val="1"/>
      <w:numFmt w:val="upperLetter"/>
      <w:pStyle w:val="277"/>
      <w:suff w:val="nothing"/>
      <w:lvlText w:val="附　录　%1"/>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eastAsia" w:ascii="黑体" w:hAnsi="Times New Roman" w:eastAsia="黑体"/>
        <w:b w:val="0"/>
        <w:i w:val="0"/>
        <w:snapToGrid/>
        <w:spacing w:val="0"/>
        <w:w w:val="100"/>
        <w:kern w:val="21"/>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30">
    <w:nsid w:val="6CEA2025"/>
    <w:multiLevelType w:val="multilevel"/>
    <w:tmpl w:val="6CEA2025"/>
    <w:lvl w:ilvl="0" w:tentative="0">
      <w:start w:val="1"/>
      <w:numFmt w:val="none"/>
      <w:pStyle w:val="323"/>
      <w:suff w:val="nothing"/>
      <w:lvlText w:val="%1"/>
      <w:lvlJc w:val="left"/>
      <w:rPr>
        <w:rFonts w:hint="default" w:ascii="Times New Roman" w:hAnsi="Times New Roman" w:cs="Times New Roman"/>
        <w:b/>
        <w:bCs/>
        <w:i w:val="0"/>
        <w:iCs w:val="0"/>
        <w:sz w:val="21"/>
        <w:szCs w:val="21"/>
      </w:rPr>
    </w:lvl>
    <w:lvl w:ilvl="1" w:tentative="0">
      <w:start w:val="1"/>
      <w:numFmt w:val="decimal"/>
      <w:pStyle w:val="322"/>
      <w:suff w:val="nothing"/>
      <w:lvlText w:val="%1%2　"/>
      <w:lvlJc w:val="left"/>
      <w:rPr>
        <w:rFonts w:hint="eastAsia" w:ascii="黑体" w:hAnsi="Times New Roman" w:eastAsia="黑体"/>
        <w:b w:val="0"/>
        <w:bCs w:val="0"/>
        <w:i w:val="0"/>
        <w:iCs w:val="0"/>
        <w:sz w:val="21"/>
        <w:szCs w:val="21"/>
      </w:rPr>
    </w:lvl>
    <w:lvl w:ilvl="2" w:tentative="0">
      <w:start w:val="1"/>
      <w:numFmt w:val="decimal"/>
      <w:pStyle w:val="324"/>
      <w:suff w:val="nothing"/>
      <w:lvlText w:val="%1%2.%3　"/>
      <w:lvlJc w:val="left"/>
      <w:rPr>
        <w:rFonts w:hint="eastAsia" w:ascii="黑体" w:hAnsi="Times New Roman" w:eastAsia="黑体"/>
        <w:b w:val="0"/>
        <w:bCs w:val="0"/>
        <w:i w:val="0"/>
        <w:iCs w:val="0"/>
        <w:sz w:val="21"/>
        <w:szCs w:val="21"/>
      </w:rPr>
    </w:lvl>
    <w:lvl w:ilvl="3" w:tentative="0">
      <w:start w:val="1"/>
      <w:numFmt w:val="decimal"/>
      <w:pStyle w:val="325"/>
      <w:suff w:val="nothing"/>
      <w:lvlText w:val="%1%2.%3.%4　"/>
      <w:lvlJc w:val="left"/>
      <w:rPr>
        <w:rFonts w:hint="eastAsia" w:ascii="黑体" w:hAnsi="Times New Roman" w:eastAsia="黑体"/>
        <w:b w:val="0"/>
        <w:bCs w:val="0"/>
        <w:i w:val="0"/>
        <w:iCs w:val="0"/>
        <w:sz w:val="21"/>
        <w:szCs w:val="21"/>
      </w:rPr>
    </w:lvl>
    <w:lvl w:ilvl="4" w:tentative="0">
      <w:start w:val="1"/>
      <w:numFmt w:val="decimal"/>
      <w:pStyle w:val="326"/>
      <w:suff w:val="nothing"/>
      <w:lvlText w:val="%1%2.%3.%4.%5　"/>
      <w:lvlJc w:val="left"/>
      <w:rPr>
        <w:rFonts w:hint="eastAsia" w:ascii="黑体" w:hAnsi="Times New Roman" w:eastAsia="黑体"/>
        <w:b w:val="0"/>
        <w:bCs w:val="0"/>
        <w:i w:val="0"/>
        <w:iCs w:val="0"/>
        <w:sz w:val="21"/>
        <w:szCs w:val="21"/>
      </w:rPr>
    </w:lvl>
    <w:lvl w:ilvl="5" w:tentative="0">
      <w:start w:val="1"/>
      <w:numFmt w:val="decimal"/>
      <w:pStyle w:val="327"/>
      <w:suff w:val="nothing"/>
      <w:lvlText w:val="%1%2.%3.%4.%5.%6　"/>
      <w:lvlJc w:val="left"/>
      <w:rPr>
        <w:rFonts w:hint="eastAsia" w:ascii="黑体" w:hAnsi="Times New Roman" w:eastAsia="黑体"/>
        <w:b w:val="0"/>
        <w:bCs w:val="0"/>
        <w:i w:val="0"/>
        <w:iCs w:val="0"/>
        <w:sz w:val="21"/>
        <w:szCs w:val="21"/>
      </w:rPr>
    </w:lvl>
    <w:lvl w:ilvl="6" w:tentative="0">
      <w:start w:val="1"/>
      <w:numFmt w:val="decimal"/>
      <w:pStyle w:val="328"/>
      <w:suff w:val="nothing"/>
      <w:lvlText w:val="%1%2.%3.%4.%5.%6.%7　"/>
      <w:lvlJc w:val="left"/>
      <w:rPr>
        <w:rFonts w:hint="eastAsia" w:ascii="黑体" w:hAnsi="Times New Roman" w:eastAsia="黑体"/>
        <w:b w:val="0"/>
        <w:bCs w:val="0"/>
        <w:i w:val="0"/>
        <w:iCs w:val="0"/>
        <w:sz w:val="21"/>
        <w:szCs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31">
    <w:nsid w:val="6DBF04F4"/>
    <w:multiLevelType w:val="multilevel"/>
    <w:tmpl w:val="6DBF04F4"/>
    <w:lvl w:ilvl="0" w:tentative="0">
      <w:start w:val="1"/>
      <w:numFmt w:val="none"/>
      <w:pStyle w:val="339"/>
      <w:lvlText w:val="%1注："/>
      <w:lvlJc w:val="left"/>
      <w:pPr>
        <w:tabs>
          <w:tab w:val="left" w:pos="1140"/>
        </w:tabs>
        <w:ind w:left="840" w:hanging="420"/>
      </w:pPr>
      <w:rPr>
        <w:rFonts w:hint="eastAsia" w:ascii="宋体" w:hAnsi="Times New Roman" w:eastAsia="宋体"/>
        <w:b w:val="0"/>
        <w:bCs w:val="0"/>
        <w:i w:val="0"/>
        <w:iCs w:val="0"/>
        <w:sz w:val="18"/>
        <w:szCs w:val="18"/>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2">
    <w:nsid w:val="6E664488"/>
    <w:multiLevelType w:val="singleLevel"/>
    <w:tmpl w:val="6E664488"/>
    <w:lvl w:ilvl="0" w:tentative="0">
      <w:start w:val="1"/>
      <w:numFmt w:val="decimal"/>
      <w:suff w:val="nothing"/>
      <w:lvlText w:val="（%1）"/>
      <w:lvlJc w:val="left"/>
    </w:lvl>
  </w:abstractNum>
  <w:abstractNum w:abstractNumId="33">
    <w:nsid w:val="711C05D2"/>
    <w:multiLevelType w:val="multilevel"/>
    <w:tmpl w:val="711C05D2"/>
    <w:lvl w:ilvl="0" w:tentative="0">
      <w:start w:val="1"/>
      <w:numFmt w:val="bullet"/>
      <w:pStyle w:val="274"/>
      <w:lvlText w:val=""/>
      <w:lvlJc w:val="left"/>
      <w:pPr>
        <w:tabs>
          <w:tab w:val="left" w:pos="1380"/>
        </w:tabs>
        <w:ind w:left="1380" w:hanging="420"/>
      </w:pPr>
      <w:rPr>
        <w:rFonts w:hint="default" w:ascii="Wingdings" w:hAnsi="Wingdings"/>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34">
    <w:nsid w:val="76933334"/>
    <w:multiLevelType w:val="multilevel"/>
    <w:tmpl w:val="76933334"/>
    <w:lvl w:ilvl="0" w:tentative="0">
      <w:start w:val="1"/>
      <w:numFmt w:val="none"/>
      <w:pStyle w:val="334"/>
      <w:lvlText w:val="%1——"/>
      <w:lvlJc w:val="left"/>
      <w:pPr>
        <w:tabs>
          <w:tab w:val="left" w:pos="1140"/>
        </w:tabs>
        <w:ind w:left="84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5">
    <w:nsid w:val="76A6D6E2"/>
    <w:multiLevelType w:val="singleLevel"/>
    <w:tmpl w:val="76A6D6E2"/>
    <w:lvl w:ilvl="0" w:tentative="0">
      <w:start w:val="1"/>
      <w:numFmt w:val="decimal"/>
      <w:suff w:val="nothing"/>
      <w:lvlText w:val="（%1）"/>
      <w:lvlJc w:val="left"/>
    </w:lvl>
  </w:abstractNum>
  <w:num w:numId="1">
    <w:abstractNumId w:val="13"/>
  </w:num>
  <w:num w:numId="2">
    <w:abstractNumId w:val="10"/>
  </w:num>
  <w:num w:numId="3">
    <w:abstractNumId w:val="11"/>
  </w:num>
  <w:num w:numId="4">
    <w:abstractNumId w:val="12"/>
  </w:num>
  <w:num w:numId="5">
    <w:abstractNumId w:val="33"/>
  </w:num>
  <w:num w:numId="6">
    <w:abstractNumId w:val="29"/>
  </w:num>
  <w:num w:numId="7">
    <w:abstractNumId w:val="14"/>
  </w:num>
  <w:num w:numId="8">
    <w:abstractNumId w:val="30"/>
  </w:num>
  <w:num w:numId="9">
    <w:abstractNumId w:val="34"/>
  </w:num>
  <w:num w:numId="10">
    <w:abstractNumId w:val="21"/>
  </w:num>
  <w:num w:numId="11">
    <w:abstractNumId w:val="15"/>
  </w:num>
  <w:num w:numId="12">
    <w:abstractNumId w:val="28"/>
  </w:num>
  <w:num w:numId="13">
    <w:abstractNumId w:val="26"/>
  </w:num>
  <w:num w:numId="14">
    <w:abstractNumId w:val="31"/>
  </w:num>
  <w:num w:numId="15">
    <w:abstractNumId w:val="23"/>
  </w:num>
  <w:num w:numId="16">
    <w:abstractNumId w:val="25"/>
  </w:num>
  <w:num w:numId="17">
    <w:abstractNumId w:val="19"/>
  </w:num>
  <w:num w:numId="18">
    <w:abstractNumId w:val="6"/>
  </w:num>
  <w:num w:numId="19">
    <w:abstractNumId w:val="18"/>
  </w:num>
  <w:num w:numId="20">
    <w:abstractNumId w:val="7"/>
  </w:num>
  <w:num w:numId="21">
    <w:abstractNumId w:val="32"/>
  </w:num>
  <w:num w:numId="22">
    <w:abstractNumId w:val="9"/>
  </w:num>
  <w:num w:numId="23">
    <w:abstractNumId w:val="20"/>
  </w:num>
  <w:num w:numId="24">
    <w:abstractNumId w:val="24"/>
  </w:num>
  <w:num w:numId="25">
    <w:abstractNumId w:val="0"/>
  </w:num>
  <w:num w:numId="26">
    <w:abstractNumId w:val="3"/>
  </w:num>
  <w:num w:numId="27">
    <w:abstractNumId w:val="8"/>
  </w:num>
  <w:num w:numId="28">
    <w:abstractNumId w:val="22"/>
  </w:num>
  <w:num w:numId="29">
    <w:abstractNumId w:val="2"/>
  </w:num>
  <w:num w:numId="30">
    <w:abstractNumId w:val="16"/>
  </w:num>
  <w:num w:numId="31">
    <w:abstractNumId w:val="17"/>
  </w:num>
  <w:num w:numId="32">
    <w:abstractNumId w:val="27"/>
  </w:num>
  <w:num w:numId="33">
    <w:abstractNumId w:val="4"/>
  </w:num>
  <w:num w:numId="34">
    <w:abstractNumId w:val="35"/>
  </w:num>
  <w:num w:numId="35">
    <w:abstractNumId w:val="5"/>
  </w:num>
  <w:num w:numId="3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hideSpellingErrors/>
  <w:documentProtection w:enforcement="0"/>
  <w:defaultTabStop w:val="420"/>
  <w:drawingGridHorizontalSpacing w:val="120"/>
  <w:drawingGridVerticalSpacing w:val="166"/>
  <w:noPunctuationKerning w:val="1"/>
  <w:characterSpacingControl w:val="compressPunctuation"/>
  <w:hdrShapeDefaults>
    <o:shapelayout v:ext="edit">
      <o:idmap v:ext="edit" data="2"/>
    </o:shapelayout>
  </w:hdrShapeDefaults>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g5M2Y5NzE5NDdiNTUzYjlhMGIzOGVmYjJlMjU1OTAifQ=="/>
  </w:docVars>
  <w:rsids>
    <w:rsidRoot w:val="00172A27"/>
    <w:rsid w:val="00000BB7"/>
    <w:rsid w:val="000011DC"/>
    <w:rsid w:val="000013C1"/>
    <w:rsid w:val="00001423"/>
    <w:rsid w:val="000014FF"/>
    <w:rsid w:val="000020E8"/>
    <w:rsid w:val="00002551"/>
    <w:rsid w:val="00002B9E"/>
    <w:rsid w:val="000030DA"/>
    <w:rsid w:val="00003125"/>
    <w:rsid w:val="000032B3"/>
    <w:rsid w:val="000034DC"/>
    <w:rsid w:val="00003620"/>
    <w:rsid w:val="00003991"/>
    <w:rsid w:val="00003A34"/>
    <w:rsid w:val="00003A64"/>
    <w:rsid w:val="00003BBB"/>
    <w:rsid w:val="00003C1C"/>
    <w:rsid w:val="00003FA4"/>
    <w:rsid w:val="00004150"/>
    <w:rsid w:val="000042F1"/>
    <w:rsid w:val="00004553"/>
    <w:rsid w:val="000046E4"/>
    <w:rsid w:val="000047F5"/>
    <w:rsid w:val="00004C4B"/>
    <w:rsid w:val="00004F3A"/>
    <w:rsid w:val="0000573B"/>
    <w:rsid w:val="00005754"/>
    <w:rsid w:val="0000575A"/>
    <w:rsid w:val="00005B8C"/>
    <w:rsid w:val="00005D73"/>
    <w:rsid w:val="00005FE0"/>
    <w:rsid w:val="000066BE"/>
    <w:rsid w:val="00006F1E"/>
    <w:rsid w:val="00007412"/>
    <w:rsid w:val="00007929"/>
    <w:rsid w:val="00007B37"/>
    <w:rsid w:val="0001028D"/>
    <w:rsid w:val="00010363"/>
    <w:rsid w:val="0001065F"/>
    <w:rsid w:val="000106E9"/>
    <w:rsid w:val="000107F8"/>
    <w:rsid w:val="00010AB0"/>
    <w:rsid w:val="00010DDB"/>
    <w:rsid w:val="0001196F"/>
    <w:rsid w:val="000119F4"/>
    <w:rsid w:val="00011BDE"/>
    <w:rsid w:val="00011F68"/>
    <w:rsid w:val="00012455"/>
    <w:rsid w:val="000126FC"/>
    <w:rsid w:val="000128B4"/>
    <w:rsid w:val="00012E75"/>
    <w:rsid w:val="00013028"/>
    <w:rsid w:val="00013049"/>
    <w:rsid w:val="000130AC"/>
    <w:rsid w:val="000132E0"/>
    <w:rsid w:val="00013390"/>
    <w:rsid w:val="0001367F"/>
    <w:rsid w:val="00013E4B"/>
    <w:rsid w:val="00013ED1"/>
    <w:rsid w:val="00014200"/>
    <w:rsid w:val="00014632"/>
    <w:rsid w:val="00014BC8"/>
    <w:rsid w:val="00014E3A"/>
    <w:rsid w:val="000150AA"/>
    <w:rsid w:val="0001590A"/>
    <w:rsid w:val="00015CE2"/>
    <w:rsid w:val="00015EF5"/>
    <w:rsid w:val="00015FA8"/>
    <w:rsid w:val="0001651E"/>
    <w:rsid w:val="00016B6C"/>
    <w:rsid w:val="00016FBC"/>
    <w:rsid w:val="00016FD7"/>
    <w:rsid w:val="000170CB"/>
    <w:rsid w:val="00017198"/>
    <w:rsid w:val="000172B9"/>
    <w:rsid w:val="00017381"/>
    <w:rsid w:val="00017382"/>
    <w:rsid w:val="00017670"/>
    <w:rsid w:val="00017B45"/>
    <w:rsid w:val="00017D46"/>
    <w:rsid w:val="00017E32"/>
    <w:rsid w:val="00017F17"/>
    <w:rsid w:val="00017FE1"/>
    <w:rsid w:val="000204C7"/>
    <w:rsid w:val="0002063A"/>
    <w:rsid w:val="00020D9A"/>
    <w:rsid w:val="00020E19"/>
    <w:rsid w:val="0002187F"/>
    <w:rsid w:val="00021C75"/>
    <w:rsid w:val="00021D46"/>
    <w:rsid w:val="00021E3C"/>
    <w:rsid w:val="000220C6"/>
    <w:rsid w:val="00022552"/>
    <w:rsid w:val="00022587"/>
    <w:rsid w:val="0002280D"/>
    <w:rsid w:val="00022899"/>
    <w:rsid w:val="00022DBC"/>
    <w:rsid w:val="00023622"/>
    <w:rsid w:val="000243EC"/>
    <w:rsid w:val="000245E2"/>
    <w:rsid w:val="000248FE"/>
    <w:rsid w:val="00024A56"/>
    <w:rsid w:val="00024B0C"/>
    <w:rsid w:val="00024B54"/>
    <w:rsid w:val="0002501F"/>
    <w:rsid w:val="000252AF"/>
    <w:rsid w:val="0002542E"/>
    <w:rsid w:val="0002577D"/>
    <w:rsid w:val="000257C9"/>
    <w:rsid w:val="000263F3"/>
    <w:rsid w:val="00026409"/>
    <w:rsid w:val="00026469"/>
    <w:rsid w:val="000266DA"/>
    <w:rsid w:val="00026A63"/>
    <w:rsid w:val="00026C6C"/>
    <w:rsid w:val="00026EF2"/>
    <w:rsid w:val="000275B7"/>
    <w:rsid w:val="00027903"/>
    <w:rsid w:val="00027A9E"/>
    <w:rsid w:val="00027AC9"/>
    <w:rsid w:val="00027DF5"/>
    <w:rsid w:val="000301DF"/>
    <w:rsid w:val="00030302"/>
    <w:rsid w:val="0003033A"/>
    <w:rsid w:val="00030548"/>
    <w:rsid w:val="00030C1F"/>
    <w:rsid w:val="000310E3"/>
    <w:rsid w:val="000317D8"/>
    <w:rsid w:val="000319CF"/>
    <w:rsid w:val="00031D9D"/>
    <w:rsid w:val="000323B2"/>
    <w:rsid w:val="00032590"/>
    <w:rsid w:val="0003260A"/>
    <w:rsid w:val="000326D2"/>
    <w:rsid w:val="000329DF"/>
    <w:rsid w:val="00032CB8"/>
    <w:rsid w:val="0003306C"/>
    <w:rsid w:val="0003336A"/>
    <w:rsid w:val="000333CF"/>
    <w:rsid w:val="0003367E"/>
    <w:rsid w:val="0003387A"/>
    <w:rsid w:val="00033D92"/>
    <w:rsid w:val="00033E3F"/>
    <w:rsid w:val="00033FD5"/>
    <w:rsid w:val="00034AF4"/>
    <w:rsid w:val="00035328"/>
    <w:rsid w:val="000358D5"/>
    <w:rsid w:val="00035BE7"/>
    <w:rsid w:val="000363AC"/>
    <w:rsid w:val="000365F3"/>
    <w:rsid w:val="000367D4"/>
    <w:rsid w:val="00036CB6"/>
    <w:rsid w:val="00036E94"/>
    <w:rsid w:val="00037054"/>
    <w:rsid w:val="00037652"/>
    <w:rsid w:val="000376EB"/>
    <w:rsid w:val="00037984"/>
    <w:rsid w:val="000379BA"/>
    <w:rsid w:val="00037DBC"/>
    <w:rsid w:val="00037FA1"/>
    <w:rsid w:val="0004000B"/>
    <w:rsid w:val="00040223"/>
    <w:rsid w:val="000402CB"/>
    <w:rsid w:val="000404CA"/>
    <w:rsid w:val="00040977"/>
    <w:rsid w:val="00040B7C"/>
    <w:rsid w:val="00040F4F"/>
    <w:rsid w:val="000411D7"/>
    <w:rsid w:val="000412CC"/>
    <w:rsid w:val="00041472"/>
    <w:rsid w:val="000417C4"/>
    <w:rsid w:val="00041C93"/>
    <w:rsid w:val="00042825"/>
    <w:rsid w:val="000428C8"/>
    <w:rsid w:val="00042B56"/>
    <w:rsid w:val="00042C69"/>
    <w:rsid w:val="00042EE3"/>
    <w:rsid w:val="00042EF4"/>
    <w:rsid w:val="000434F0"/>
    <w:rsid w:val="00044A1D"/>
    <w:rsid w:val="00044B0E"/>
    <w:rsid w:val="000452D9"/>
    <w:rsid w:val="00045318"/>
    <w:rsid w:val="00045358"/>
    <w:rsid w:val="00045441"/>
    <w:rsid w:val="000456DB"/>
    <w:rsid w:val="00045CED"/>
    <w:rsid w:val="00045D14"/>
    <w:rsid w:val="0004649A"/>
    <w:rsid w:val="00046D56"/>
    <w:rsid w:val="0004702D"/>
    <w:rsid w:val="00047852"/>
    <w:rsid w:val="000479FF"/>
    <w:rsid w:val="00047C41"/>
    <w:rsid w:val="00047DCA"/>
    <w:rsid w:val="0005010C"/>
    <w:rsid w:val="00050322"/>
    <w:rsid w:val="00050324"/>
    <w:rsid w:val="000503C8"/>
    <w:rsid w:val="00050548"/>
    <w:rsid w:val="00050791"/>
    <w:rsid w:val="000509CC"/>
    <w:rsid w:val="000510EB"/>
    <w:rsid w:val="00051282"/>
    <w:rsid w:val="000514B7"/>
    <w:rsid w:val="00051A02"/>
    <w:rsid w:val="00051DFD"/>
    <w:rsid w:val="00051E52"/>
    <w:rsid w:val="00051FBE"/>
    <w:rsid w:val="000521D2"/>
    <w:rsid w:val="000529C1"/>
    <w:rsid w:val="00052A8C"/>
    <w:rsid w:val="00052AB1"/>
    <w:rsid w:val="000532EF"/>
    <w:rsid w:val="00053376"/>
    <w:rsid w:val="00053823"/>
    <w:rsid w:val="00053ADC"/>
    <w:rsid w:val="0005449D"/>
    <w:rsid w:val="000544DF"/>
    <w:rsid w:val="00054DF8"/>
    <w:rsid w:val="00054E23"/>
    <w:rsid w:val="000552EC"/>
    <w:rsid w:val="00055D46"/>
    <w:rsid w:val="0005604C"/>
    <w:rsid w:val="00056103"/>
    <w:rsid w:val="000561F3"/>
    <w:rsid w:val="00056C91"/>
    <w:rsid w:val="00056CC4"/>
    <w:rsid w:val="00056EC5"/>
    <w:rsid w:val="000571D7"/>
    <w:rsid w:val="00057A77"/>
    <w:rsid w:val="00057DD7"/>
    <w:rsid w:val="00060006"/>
    <w:rsid w:val="0006017B"/>
    <w:rsid w:val="000602BF"/>
    <w:rsid w:val="0006045E"/>
    <w:rsid w:val="000607A8"/>
    <w:rsid w:val="000615EB"/>
    <w:rsid w:val="00061601"/>
    <w:rsid w:val="00061975"/>
    <w:rsid w:val="00061C3C"/>
    <w:rsid w:val="00061F9F"/>
    <w:rsid w:val="00061FA3"/>
    <w:rsid w:val="00062113"/>
    <w:rsid w:val="0006223B"/>
    <w:rsid w:val="000623FF"/>
    <w:rsid w:val="00062ABC"/>
    <w:rsid w:val="00062FA9"/>
    <w:rsid w:val="00063087"/>
    <w:rsid w:val="00063246"/>
    <w:rsid w:val="000632D0"/>
    <w:rsid w:val="00063916"/>
    <w:rsid w:val="00063B22"/>
    <w:rsid w:val="00063CC1"/>
    <w:rsid w:val="00064086"/>
    <w:rsid w:val="0006426A"/>
    <w:rsid w:val="000645CF"/>
    <w:rsid w:val="0006466B"/>
    <w:rsid w:val="000646F5"/>
    <w:rsid w:val="00064B0C"/>
    <w:rsid w:val="00064BC9"/>
    <w:rsid w:val="00064F74"/>
    <w:rsid w:val="0006535A"/>
    <w:rsid w:val="00065395"/>
    <w:rsid w:val="0006565B"/>
    <w:rsid w:val="00065F5D"/>
    <w:rsid w:val="00066650"/>
    <w:rsid w:val="00066789"/>
    <w:rsid w:val="00067135"/>
    <w:rsid w:val="0006722C"/>
    <w:rsid w:val="000678B3"/>
    <w:rsid w:val="00067C02"/>
    <w:rsid w:val="00067E08"/>
    <w:rsid w:val="00067FAE"/>
    <w:rsid w:val="00070281"/>
    <w:rsid w:val="000711DF"/>
    <w:rsid w:val="00071A10"/>
    <w:rsid w:val="000722B1"/>
    <w:rsid w:val="00072686"/>
    <w:rsid w:val="00072839"/>
    <w:rsid w:val="00072CEA"/>
    <w:rsid w:val="00073608"/>
    <w:rsid w:val="000737FD"/>
    <w:rsid w:val="00073E3C"/>
    <w:rsid w:val="00073ED9"/>
    <w:rsid w:val="00074148"/>
    <w:rsid w:val="00074233"/>
    <w:rsid w:val="00074270"/>
    <w:rsid w:val="00074CFD"/>
    <w:rsid w:val="00074DBB"/>
    <w:rsid w:val="00074DD8"/>
    <w:rsid w:val="000750F3"/>
    <w:rsid w:val="000751AD"/>
    <w:rsid w:val="000759D1"/>
    <w:rsid w:val="00075C3D"/>
    <w:rsid w:val="00075E34"/>
    <w:rsid w:val="00075E90"/>
    <w:rsid w:val="000761F7"/>
    <w:rsid w:val="00076259"/>
    <w:rsid w:val="000763CB"/>
    <w:rsid w:val="00076563"/>
    <w:rsid w:val="00076587"/>
    <w:rsid w:val="00076A0D"/>
    <w:rsid w:val="00076ACC"/>
    <w:rsid w:val="00076CED"/>
    <w:rsid w:val="00076D21"/>
    <w:rsid w:val="00077134"/>
    <w:rsid w:val="00077178"/>
    <w:rsid w:val="0007747C"/>
    <w:rsid w:val="000774DB"/>
    <w:rsid w:val="00077579"/>
    <w:rsid w:val="00080111"/>
    <w:rsid w:val="00080393"/>
    <w:rsid w:val="00080812"/>
    <w:rsid w:val="0008094B"/>
    <w:rsid w:val="000809CC"/>
    <w:rsid w:val="00081823"/>
    <w:rsid w:val="00081A2F"/>
    <w:rsid w:val="00081FE3"/>
    <w:rsid w:val="00082059"/>
    <w:rsid w:val="00082462"/>
    <w:rsid w:val="000824FE"/>
    <w:rsid w:val="0008287D"/>
    <w:rsid w:val="00083126"/>
    <w:rsid w:val="000831E9"/>
    <w:rsid w:val="0008326C"/>
    <w:rsid w:val="000833C5"/>
    <w:rsid w:val="000835F1"/>
    <w:rsid w:val="00083995"/>
    <w:rsid w:val="00083CDC"/>
    <w:rsid w:val="00083E00"/>
    <w:rsid w:val="00084350"/>
    <w:rsid w:val="00084503"/>
    <w:rsid w:val="000845C3"/>
    <w:rsid w:val="00084A59"/>
    <w:rsid w:val="00085093"/>
    <w:rsid w:val="000850A9"/>
    <w:rsid w:val="000855A1"/>
    <w:rsid w:val="00085F4E"/>
    <w:rsid w:val="00086052"/>
    <w:rsid w:val="00086226"/>
    <w:rsid w:val="000866D1"/>
    <w:rsid w:val="000867E8"/>
    <w:rsid w:val="00087092"/>
    <w:rsid w:val="000870F2"/>
    <w:rsid w:val="00087325"/>
    <w:rsid w:val="000875A5"/>
    <w:rsid w:val="000875CD"/>
    <w:rsid w:val="000877DA"/>
    <w:rsid w:val="00087991"/>
    <w:rsid w:val="00087D34"/>
    <w:rsid w:val="00090208"/>
    <w:rsid w:val="000906A2"/>
    <w:rsid w:val="00090F60"/>
    <w:rsid w:val="00090FD5"/>
    <w:rsid w:val="00091012"/>
    <w:rsid w:val="000910FA"/>
    <w:rsid w:val="00091114"/>
    <w:rsid w:val="00091671"/>
    <w:rsid w:val="000916C3"/>
    <w:rsid w:val="000917BE"/>
    <w:rsid w:val="00091804"/>
    <w:rsid w:val="00091D94"/>
    <w:rsid w:val="000920FB"/>
    <w:rsid w:val="0009224E"/>
    <w:rsid w:val="000924C2"/>
    <w:rsid w:val="00092A8C"/>
    <w:rsid w:val="00092AD3"/>
    <w:rsid w:val="00092DDA"/>
    <w:rsid w:val="0009377C"/>
    <w:rsid w:val="00093804"/>
    <w:rsid w:val="00093924"/>
    <w:rsid w:val="00093D60"/>
    <w:rsid w:val="00093D8E"/>
    <w:rsid w:val="00093D97"/>
    <w:rsid w:val="000945D0"/>
    <w:rsid w:val="00094A19"/>
    <w:rsid w:val="00094A3C"/>
    <w:rsid w:val="00094E70"/>
    <w:rsid w:val="0009535A"/>
    <w:rsid w:val="000955AC"/>
    <w:rsid w:val="00096139"/>
    <w:rsid w:val="0009676F"/>
    <w:rsid w:val="00096A0D"/>
    <w:rsid w:val="00096B96"/>
    <w:rsid w:val="00097178"/>
    <w:rsid w:val="000975D3"/>
    <w:rsid w:val="00097E16"/>
    <w:rsid w:val="000A02F7"/>
    <w:rsid w:val="000A03BD"/>
    <w:rsid w:val="000A06C7"/>
    <w:rsid w:val="000A087B"/>
    <w:rsid w:val="000A099E"/>
    <w:rsid w:val="000A0FF1"/>
    <w:rsid w:val="000A1341"/>
    <w:rsid w:val="000A1439"/>
    <w:rsid w:val="000A1767"/>
    <w:rsid w:val="000A21FD"/>
    <w:rsid w:val="000A22E2"/>
    <w:rsid w:val="000A2537"/>
    <w:rsid w:val="000A2946"/>
    <w:rsid w:val="000A2A48"/>
    <w:rsid w:val="000A348A"/>
    <w:rsid w:val="000A351E"/>
    <w:rsid w:val="000A36C2"/>
    <w:rsid w:val="000A38B0"/>
    <w:rsid w:val="000A3ECD"/>
    <w:rsid w:val="000A425F"/>
    <w:rsid w:val="000A42D2"/>
    <w:rsid w:val="000A4701"/>
    <w:rsid w:val="000A478B"/>
    <w:rsid w:val="000A5614"/>
    <w:rsid w:val="000A5819"/>
    <w:rsid w:val="000A5AB4"/>
    <w:rsid w:val="000A5BEE"/>
    <w:rsid w:val="000A600F"/>
    <w:rsid w:val="000A6091"/>
    <w:rsid w:val="000A6209"/>
    <w:rsid w:val="000A6298"/>
    <w:rsid w:val="000A6309"/>
    <w:rsid w:val="000A6A12"/>
    <w:rsid w:val="000A6AFD"/>
    <w:rsid w:val="000A7000"/>
    <w:rsid w:val="000A75EB"/>
    <w:rsid w:val="000A7A1F"/>
    <w:rsid w:val="000A7A64"/>
    <w:rsid w:val="000A7B9F"/>
    <w:rsid w:val="000B039F"/>
    <w:rsid w:val="000B04E4"/>
    <w:rsid w:val="000B092E"/>
    <w:rsid w:val="000B0AC2"/>
    <w:rsid w:val="000B0F58"/>
    <w:rsid w:val="000B1467"/>
    <w:rsid w:val="000B1A13"/>
    <w:rsid w:val="000B1B2B"/>
    <w:rsid w:val="000B23D6"/>
    <w:rsid w:val="000B2B7E"/>
    <w:rsid w:val="000B326A"/>
    <w:rsid w:val="000B34EA"/>
    <w:rsid w:val="000B35AB"/>
    <w:rsid w:val="000B360A"/>
    <w:rsid w:val="000B3642"/>
    <w:rsid w:val="000B39BD"/>
    <w:rsid w:val="000B3B08"/>
    <w:rsid w:val="000B4046"/>
    <w:rsid w:val="000B4057"/>
    <w:rsid w:val="000B47C9"/>
    <w:rsid w:val="000B4CCC"/>
    <w:rsid w:val="000B4CD8"/>
    <w:rsid w:val="000B5326"/>
    <w:rsid w:val="000B532F"/>
    <w:rsid w:val="000B5615"/>
    <w:rsid w:val="000B5BBC"/>
    <w:rsid w:val="000B5C98"/>
    <w:rsid w:val="000B61DE"/>
    <w:rsid w:val="000B66E1"/>
    <w:rsid w:val="000B67F9"/>
    <w:rsid w:val="000B6B2D"/>
    <w:rsid w:val="000B6B32"/>
    <w:rsid w:val="000B6C0B"/>
    <w:rsid w:val="000B6F51"/>
    <w:rsid w:val="000B70A3"/>
    <w:rsid w:val="000B70B6"/>
    <w:rsid w:val="000B71B8"/>
    <w:rsid w:val="000B7366"/>
    <w:rsid w:val="000B7441"/>
    <w:rsid w:val="000B77DE"/>
    <w:rsid w:val="000B79E8"/>
    <w:rsid w:val="000B7F9A"/>
    <w:rsid w:val="000C05BF"/>
    <w:rsid w:val="000C068F"/>
    <w:rsid w:val="000C06AE"/>
    <w:rsid w:val="000C0854"/>
    <w:rsid w:val="000C0A70"/>
    <w:rsid w:val="000C0A85"/>
    <w:rsid w:val="000C0CA2"/>
    <w:rsid w:val="000C18EC"/>
    <w:rsid w:val="000C19CE"/>
    <w:rsid w:val="000C1E7C"/>
    <w:rsid w:val="000C20EF"/>
    <w:rsid w:val="000C2757"/>
    <w:rsid w:val="000C2B1B"/>
    <w:rsid w:val="000C3211"/>
    <w:rsid w:val="000C32EA"/>
    <w:rsid w:val="000C3452"/>
    <w:rsid w:val="000C34C2"/>
    <w:rsid w:val="000C3806"/>
    <w:rsid w:val="000C38C7"/>
    <w:rsid w:val="000C3A23"/>
    <w:rsid w:val="000C3A84"/>
    <w:rsid w:val="000C40A6"/>
    <w:rsid w:val="000C42AB"/>
    <w:rsid w:val="000C4774"/>
    <w:rsid w:val="000C487D"/>
    <w:rsid w:val="000C4A17"/>
    <w:rsid w:val="000C4EF2"/>
    <w:rsid w:val="000C5182"/>
    <w:rsid w:val="000C5209"/>
    <w:rsid w:val="000C539B"/>
    <w:rsid w:val="000C5D8F"/>
    <w:rsid w:val="000C615A"/>
    <w:rsid w:val="000C68B9"/>
    <w:rsid w:val="000C6BE5"/>
    <w:rsid w:val="000C6C12"/>
    <w:rsid w:val="000C6D15"/>
    <w:rsid w:val="000C701E"/>
    <w:rsid w:val="000C7C91"/>
    <w:rsid w:val="000D0A2D"/>
    <w:rsid w:val="000D0B17"/>
    <w:rsid w:val="000D0C01"/>
    <w:rsid w:val="000D114D"/>
    <w:rsid w:val="000D17F5"/>
    <w:rsid w:val="000D1B92"/>
    <w:rsid w:val="000D1D54"/>
    <w:rsid w:val="000D27D2"/>
    <w:rsid w:val="000D2DDB"/>
    <w:rsid w:val="000D3024"/>
    <w:rsid w:val="000D373E"/>
    <w:rsid w:val="000D3742"/>
    <w:rsid w:val="000D3766"/>
    <w:rsid w:val="000D377A"/>
    <w:rsid w:val="000D403C"/>
    <w:rsid w:val="000D44C1"/>
    <w:rsid w:val="000D4C84"/>
    <w:rsid w:val="000D536D"/>
    <w:rsid w:val="000D5724"/>
    <w:rsid w:val="000D59CD"/>
    <w:rsid w:val="000D6449"/>
    <w:rsid w:val="000D66E8"/>
    <w:rsid w:val="000D6E0A"/>
    <w:rsid w:val="000D70CF"/>
    <w:rsid w:val="000D72EB"/>
    <w:rsid w:val="000D746D"/>
    <w:rsid w:val="000D7689"/>
    <w:rsid w:val="000D790D"/>
    <w:rsid w:val="000D7994"/>
    <w:rsid w:val="000D7E0C"/>
    <w:rsid w:val="000E00B5"/>
    <w:rsid w:val="000E0321"/>
    <w:rsid w:val="000E06A1"/>
    <w:rsid w:val="000E0969"/>
    <w:rsid w:val="000E0B26"/>
    <w:rsid w:val="000E0F37"/>
    <w:rsid w:val="000E0FCE"/>
    <w:rsid w:val="000E1738"/>
    <w:rsid w:val="000E17D2"/>
    <w:rsid w:val="000E183D"/>
    <w:rsid w:val="000E1A3B"/>
    <w:rsid w:val="000E1CF6"/>
    <w:rsid w:val="000E1EF5"/>
    <w:rsid w:val="000E23B9"/>
    <w:rsid w:val="000E23EB"/>
    <w:rsid w:val="000E28DB"/>
    <w:rsid w:val="000E2C2A"/>
    <w:rsid w:val="000E3568"/>
    <w:rsid w:val="000E375E"/>
    <w:rsid w:val="000E376B"/>
    <w:rsid w:val="000E3A38"/>
    <w:rsid w:val="000E4144"/>
    <w:rsid w:val="000E4160"/>
    <w:rsid w:val="000E42CF"/>
    <w:rsid w:val="000E45B7"/>
    <w:rsid w:val="000E4711"/>
    <w:rsid w:val="000E4E62"/>
    <w:rsid w:val="000E4F66"/>
    <w:rsid w:val="000E5099"/>
    <w:rsid w:val="000E533A"/>
    <w:rsid w:val="000E5347"/>
    <w:rsid w:val="000E5825"/>
    <w:rsid w:val="000E5EC8"/>
    <w:rsid w:val="000E6412"/>
    <w:rsid w:val="000E64E0"/>
    <w:rsid w:val="000E6A0B"/>
    <w:rsid w:val="000E6E8D"/>
    <w:rsid w:val="000E6F43"/>
    <w:rsid w:val="000E7088"/>
    <w:rsid w:val="000E70E5"/>
    <w:rsid w:val="000E71AE"/>
    <w:rsid w:val="000E7978"/>
    <w:rsid w:val="000E7D37"/>
    <w:rsid w:val="000E7E36"/>
    <w:rsid w:val="000F0037"/>
    <w:rsid w:val="000F0130"/>
    <w:rsid w:val="000F0295"/>
    <w:rsid w:val="000F0631"/>
    <w:rsid w:val="000F091A"/>
    <w:rsid w:val="000F0A19"/>
    <w:rsid w:val="000F0F19"/>
    <w:rsid w:val="000F1192"/>
    <w:rsid w:val="000F132E"/>
    <w:rsid w:val="000F1754"/>
    <w:rsid w:val="000F1C78"/>
    <w:rsid w:val="000F1E1C"/>
    <w:rsid w:val="000F1FE5"/>
    <w:rsid w:val="000F24BF"/>
    <w:rsid w:val="000F2603"/>
    <w:rsid w:val="000F2CF9"/>
    <w:rsid w:val="000F2E21"/>
    <w:rsid w:val="000F2FEF"/>
    <w:rsid w:val="000F31D3"/>
    <w:rsid w:val="000F3278"/>
    <w:rsid w:val="000F3310"/>
    <w:rsid w:val="000F3A81"/>
    <w:rsid w:val="000F3C0A"/>
    <w:rsid w:val="000F3DB1"/>
    <w:rsid w:val="000F3DE2"/>
    <w:rsid w:val="000F3DE9"/>
    <w:rsid w:val="000F4148"/>
    <w:rsid w:val="000F438F"/>
    <w:rsid w:val="000F4610"/>
    <w:rsid w:val="000F4A41"/>
    <w:rsid w:val="000F4CFE"/>
    <w:rsid w:val="000F4FCC"/>
    <w:rsid w:val="000F51B4"/>
    <w:rsid w:val="000F5414"/>
    <w:rsid w:val="000F5863"/>
    <w:rsid w:val="000F587C"/>
    <w:rsid w:val="000F5A31"/>
    <w:rsid w:val="000F5BD7"/>
    <w:rsid w:val="000F5F59"/>
    <w:rsid w:val="000F62BA"/>
    <w:rsid w:val="000F69FD"/>
    <w:rsid w:val="000F6CEB"/>
    <w:rsid w:val="000F7365"/>
    <w:rsid w:val="000F7862"/>
    <w:rsid w:val="001000D8"/>
    <w:rsid w:val="001005B7"/>
    <w:rsid w:val="0010060D"/>
    <w:rsid w:val="00100905"/>
    <w:rsid w:val="001009CC"/>
    <w:rsid w:val="00100DC9"/>
    <w:rsid w:val="00101311"/>
    <w:rsid w:val="001019A7"/>
    <w:rsid w:val="001019DE"/>
    <w:rsid w:val="00101D35"/>
    <w:rsid w:val="00102167"/>
    <w:rsid w:val="001023E1"/>
    <w:rsid w:val="001023E7"/>
    <w:rsid w:val="0010289D"/>
    <w:rsid w:val="00102BC8"/>
    <w:rsid w:val="00102F48"/>
    <w:rsid w:val="00103105"/>
    <w:rsid w:val="00103185"/>
    <w:rsid w:val="00103220"/>
    <w:rsid w:val="00103993"/>
    <w:rsid w:val="00103A2B"/>
    <w:rsid w:val="00103FAD"/>
    <w:rsid w:val="001041E4"/>
    <w:rsid w:val="00104317"/>
    <w:rsid w:val="001048F6"/>
    <w:rsid w:val="0010493A"/>
    <w:rsid w:val="00104D86"/>
    <w:rsid w:val="00104E2C"/>
    <w:rsid w:val="00104F17"/>
    <w:rsid w:val="001050FD"/>
    <w:rsid w:val="00105CE4"/>
    <w:rsid w:val="00105EAB"/>
    <w:rsid w:val="00105EEB"/>
    <w:rsid w:val="00105F15"/>
    <w:rsid w:val="001062B8"/>
    <w:rsid w:val="00106843"/>
    <w:rsid w:val="00106943"/>
    <w:rsid w:val="00106B0D"/>
    <w:rsid w:val="00106B24"/>
    <w:rsid w:val="00106BBD"/>
    <w:rsid w:val="00106CF5"/>
    <w:rsid w:val="001071CE"/>
    <w:rsid w:val="001075C9"/>
    <w:rsid w:val="00107710"/>
    <w:rsid w:val="00107CC9"/>
    <w:rsid w:val="00107DCE"/>
    <w:rsid w:val="00107F97"/>
    <w:rsid w:val="00107FD2"/>
    <w:rsid w:val="001102C1"/>
    <w:rsid w:val="001102E8"/>
    <w:rsid w:val="001105CB"/>
    <w:rsid w:val="0011074D"/>
    <w:rsid w:val="00110BB3"/>
    <w:rsid w:val="00110E9A"/>
    <w:rsid w:val="00111004"/>
    <w:rsid w:val="00111158"/>
    <w:rsid w:val="001111B9"/>
    <w:rsid w:val="001113DD"/>
    <w:rsid w:val="0011140D"/>
    <w:rsid w:val="001114E7"/>
    <w:rsid w:val="00111D28"/>
    <w:rsid w:val="00111E57"/>
    <w:rsid w:val="00111F15"/>
    <w:rsid w:val="001121AE"/>
    <w:rsid w:val="001124B9"/>
    <w:rsid w:val="0011253B"/>
    <w:rsid w:val="00112749"/>
    <w:rsid w:val="001129AA"/>
    <w:rsid w:val="00112FA5"/>
    <w:rsid w:val="0011305A"/>
    <w:rsid w:val="0011332A"/>
    <w:rsid w:val="001138E3"/>
    <w:rsid w:val="00113B40"/>
    <w:rsid w:val="00113E3B"/>
    <w:rsid w:val="00113FAB"/>
    <w:rsid w:val="001140FA"/>
    <w:rsid w:val="00114225"/>
    <w:rsid w:val="0011451D"/>
    <w:rsid w:val="00114773"/>
    <w:rsid w:val="00114E65"/>
    <w:rsid w:val="00115A68"/>
    <w:rsid w:val="00115F4B"/>
    <w:rsid w:val="001160FC"/>
    <w:rsid w:val="00116462"/>
    <w:rsid w:val="00116BC4"/>
    <w:rsid w:val="00116E0E"/>
    <w:rsid w:val="001171D9"/>
    <w:rsid w:val="0011749F"/>
    <w:rsid w:val="0011753C"/>
    <w:rsid w:val="001175DA"/>
    <w:rsid w:val="001177F1"/>
    <w:rsid w:val="00117A30"/>
    <w:rsid w:val="00117B34"/>
    <w:rsid w:val="00117B83"/>
    <w:rsid w:val="00117C98"/>
    <w:rsid w:val="00117D8F"/>
    <w:rsid w:val="00117DAD"/>
    <w:rsid w:val="00117FE5"/>
    <w:rsid w:val="001201A6"/>
    <w:rsid w:val="001202FD"/>
    <w:rsid w:val="00120531"/>
    <w:rsid w:val="00120AD1"/>
    <w:rsid w:val="00120FAC"/>
    <w:rsid w:val="00120FE7"/>
    <w:rsid w:val="001215D4"/>
    <w:rsid w:val="0012185E"/>
    <w:rsid w:val="00121AD9"/>
    <w:rsid w:val="00121B43"/>
    <w:rsid w:val="00121BF7"/>
    <w:rsid w:val="00121CE0"/>
    <w:rsid w:val="00121EB4"/>
    <w:rsid w:val="00121F01"/>
    <w:rsid w:val="001221C2"/>
    <w:rsid w:val="001229BD"/>
    <w:rsid w:val="00122B84"/>
    <w:rsid w:val="001230D0"/>
    <w:rsid w:val="001232AB"/>
    <w:rsid w:val="001234AB"/>
    <w:rsid w:val="00123999"/>
    <w:rsid w:val="00123BC4"/>
    <w:rsid w:val="00123D44"/>
    <w:rsid w:val="00123E0B"/>
    <w:rsid w:val="00123F03"/>
    <w:rsid w:val="0012430B"/>
    <w:rsid w:val="0012532B"/>
    <w:rsid w:val="001255FD"/>
    <w:rsid w:val="00125E1C"/>
    <w:rsid w:val="00125FF5"/>
    <w:rsid w:val="00126023"/>
    <w:rsid w:val="001262F3"/>
    <w:rsid w:val="00126382"/>
    <w:rsid w:val="00126460"/>
    <w:rsid w:val="0012669C"/>
    <w:rsid w:val="00126931"/>
    <w:rsid w:val="00126D14"/>
    <w:rsid w:val="00126DD7"/>
    <w:rsid w:val="00126F60"/>
    <w:rsid w:val="0012743A"/>
    <w:rsid w:val="00127688"/>
    <w:rsid w:val="00127717"/>
    <w:rsid w:val="00127724"/>
    <w:rsid w:val="00127920"/>
    <w:rsid w:val="00127BB9"/>
    <w:rsid w:val="00127E9B"/>
    <w:rsid w:val="00130006"/>
    <w:rsid w:val="00130733"/>
    <w:rsid w:val="001317DB"/>
    <w:rsid w:val="00131B9D"/>
    <w:rsid w:val="00131CA7"/>
    <w:rsid w:val="00131D59"/>
    <w:rsid w:val="00131FD6"/>
    <w:rsid w:val="0013213C"/>
    <w:rsid w:val="001327E9"/>
    <w:rsid w:val="001328D3"/>
    <w:rsid w:val="0013300C"/>
    <w:rsid w:val="0013306A"/>
    <w:rsid w:val="001332F4"/>
    <w:rsid w:val="001332F6"/>
    <w:rsid w:val="00133324"/>
    <w:rsid w:val="001334A9"/>
    <w:rsid w:val="00133627"/>
    <w:rsid w:val="00134589"/>
    <w:rsid w:val="00135299"/>
    <w:rsid w:val="00135C28"/>
    <w:rsid w:val="00135CBA"/>
    <w:rsid w:val="00135CED"/>
    <w:rsid w:val="00136165"/>
    <w:rsid w:val="001362A2"/>
    <w:rsid w:val="00136AD8"/>
    <w:rsid w:val="00136ECA"/>
    <w:rsid w:val="00136F19"/>
    <w:rsid w:val="0013731D"/>
    <w:rsid w:val="001373A9"/>
    <w:rsid w:val="00137ADB"/>
    <w:rsid w:val="00137C76"/>
    <w:rsid w:val="00137D6E"/>
    <w:rsid w:val="00137E58"/>
    <w:rsid w:val="0014045F"/>
    <w:rsid w:val="001407A6"/>
    <w:rsid w:val="00140D55"/>
    <w:rsid w:val="00141109"/>
    <w:rsid w:val="001412A2"/>
    <w:rsid w:val="00141527"/>
    <w:rsid w:val="001416FD"/>
    <w:rsid w:val="001419CB"/>
    <w:rsid w:val="0014211A"/>
    <w:rsid w:val="0014254A"/>
    <w:rsid w:val="0014290B"/>
    <w:rsid w:val="00142BC7"/>
    <w:rsid w:val="0014312E"/>
    <w:rsid w:val="00143875"/>
    <w:rsid w:val="00143E51"/>
    <w:rsid w:val="001446C9"/>
    <w:rsid w:val="00145497"/>
    <w:rsid w:val="001459C3"/>
    <w:rsid w:val="00145AF2"/>
    <w:rsid w:val="00145E99"/>
    <w:rsid w:val="00145F02"/>
    <w:rsid w:val="00145F33"/>
    <w:rsid w:val="00145FDE"/>
    <w:rsid w:val="00146220"/>
    <w:rsid w:val="001466EF"/>
    <w:rsid w:val="00147132"/>
    <w:rsid w:val="0014717D"/>
    <w:rsid w:val="0014720D"/>
    <w:rsid w:val="0014736C"/>
    <w:rsid w:val="0014785E"/>
    <w:rsid w:val="00147D6C"/>
    <w:rsid w:val="00147E24"/>
    <w:rsid w:val="00147F5F"/>
    <w:rsid w:val="0015078D"/>
    <w:rsid w:val="00150CBC"/>
    <w:rsid w:val="00150D4A"/>
    <w:rsid w:val="00150DC7"/>
    <w:rsid w:val="00150EB4"/>
    <w:rsid w:val="00150F55"/>
    <w:rsid w:val="001512D5"/>
    <w:rsid w:val="001513DB"/>
    <w:rsid w:val="00151474"/>
    <w:rsid w:val="001518EC"/>
    <w:rsid w:val="00151BE6"/>
    <w:rsid w:val="001520A9"/>
    <w:rsid w:val="00152608"/>
    <w:rsid w:val="001528D1"/>
    <w:rsid w:val="00152B49"/>
    <w:rsid w:val="00152BF1"/>
    <w:rsid w:val="00153091"/>
    <w:rsid w:val="001530A8"/>
    <w:rsid w:val="001531E4"/>
    <w:rsid w:val="0015329F"/>
    <w:rsid w:val="001532FF"/>
    <w:rsid w:val="00153DA5"/>
    <w:rsid w:val="001540D3"/>
    <w:rsid w:val="00154505"/>
    <w:rsid w:val="00154E4E"/>
    <w:rsid w:val="00155293"/>
    <w:rsid w:val="0015537B"/>
    <w:rsid w:val="00155575"/>
    <w:rsid w:val="001557CD"/>
    <w:rsid w:val="00155A43"/>
    <w:rsid w:val="00156065"/>
    <w:rsid w:val="00156631"/>
    <w:rsid w:val="00156F15"/>
    <w:rsid w:val="00156F86"/>
    <w:rsid w:val="00156F8C"/>
    <w:rsid w:val="00157269"/>
    <w:rsid w:val="0015728E"/>
    <w:rsid w:val="001578F2"/>
    <w:rsid w:val="00157A6C"/>
    <w:rsid w:val="00157E3E"/>
    <w:rsid w:val="00157E69"/>
    <w:rsid w:val="0016012D"/>
    <w:rsid w:val="001604D6"/>
    <w:rsid w:val="001606EE"/>
    <w:rsid w:val="0016072E"/>
    <w:rsid w:val="001608DC"/>
    <w:rsid w:val="00160B8D"/>
    <w:rsid w:val="00160C11"/>
    <w:rsid w:val="00160E04"/>
    <w:rsid w:val="001611E7"/>
    <w:rsid w:val="001619B7"/>
    <w:rsid w:val="00161B27"/>
    <w:rsid w:val="00161EAC"/>
    <w:rsid w:val="0016217E"/>
    <w:rsid w:val="0016232C"/>
    <w:rsid w:val="001623B4"/>
    <w:rsid w:val="00162CF5"/>
    <w:rsid w:val="00162F48"/>
    <w:rsid w:val="0016351C"/>
    <w:rsid w:val="0016384E"/>
    <w:rsid w:val="00163976"/>
    <w:rsid w:val="0016397F"/>
    <w:rsid w:val="00163985"/>
    <w:rsid w:val="00163A81"/>
    <w:rsid w:val="00163B78"/>
    <w:rsid w:val="00163BA8"/>
    <w:rsid w:val="001642EC"/>
    <w:rsid w:val="00164311"/>
    <w:rsid w:val="0016436B"/>
    <w:rsid w:val="001649F0"/>
    <w:rsid w:val="00164B63"/>
    <w:rsid w:val="00164B8B"/>
    <w:rsid w:val="00165845"/>
    <w:rsid w:val="00165DE1"/>
    <w:rsid w:val="001661CB"/>
    <w:rsid w:val="001661D7"/>
    <w:rsid w:val="0016621F"/>
    <w:rsid w:val="0016642F"/>
    <w:rsid w:val="0016663D"/>
    <w:rsid w:val="00166F7D"/>
    <w:rsid w:val="00167148"/>
    <w:rsid w:val="00167190"/>
    <w:rsid w:val="0016719A"/>
    <w:rsid w:val="00167261"/>
    <w:rsid w:val="00167703"/>
    <w:rsid w:val="001678D9"/>
    <w:rsid w:val="00167A2E"/>
    <w:rsid w:val="00167F44"/>
    <w:rsid w:val="00170044"/>
    <w:rsid w:val="00170240"/>
    <w:rsid w:val="001709DE"/>
    <w:rsid w:val="00170A76"/>
    <w:rsid w:val="00170D97"/>
    <w:rsid w:val="0017133A"/>
    <w:rsid w:val="0017147B"/>
    <w:rsid w:val="001715B3"/>
    <w:rsid w:val="00171A59"/>
    <w:rsid w:val="0017272D"/>
    <w:rsid w:val="00172821"/>
    <w:rsid w:val="001728CC"/>
    <w:rsid w:val="00172A27"/>
    <w:rsid w:val="00172E06"/>
    <w:rsid w:val="001739A9"/>
    <w:rsid w:val="00173C12"/>
    <w:rsid w:val="001746DE"/>
    <w:rsid w:val="00174BE2"/>
    <w:rsid w:val="00174D39"/>
    <w:rsid w:val="00174E11"/>
    <w:rsid w:val="001757E3"/>
    <w:rsid w:val="00175A16"/>
    <w:rsid w:val="001764C4"/>
    <w:rsid w:val="00176A93"/>
    <w:rsid w:val="00177360"/>
    <w:rsid w:val="00177A34"/>
    <w:rsid w:val="00177C70"/>
    <w:rsid w:val="00177C9D"/>
    <w:rsid w:val="00180337"/>
    <w:rsid w:val="001807B0"/>
    <w:rsid w:val="00180903"/>
    <w:rsid w:val="00180A24"/>
    <w:rsid w:val="00180D25"/>
    <w:rsid w:val="00181974"/>
    <w:rsid w:val="00181AD6"/>
    <w:rsid w:val="00181CE9"/>
    <w:rsid w:val="00182044"/>
    <w:rsid w:val="001820D3"/>
    <w:rsid w:val="001830B4"/>
    <w:rsid w:val="001830DF"/>
    <w:rsid w:val="0018339F"/>
    <w:rsid w:val="0018345A"/>
    <w:rsid w:val="001835B4"/>
    <w:rsid w:val="00183715"/>
    <w:rsid w:val="0018372A"/>
    <w:rsid w:val="00183DE9"/>
    <w:rsid w:val="0018430F"/>
    <w:rsid w:val="001846CB"/>
    <w:rsid w:val="00184800"/>
    <w:rsid w:val="00184C30"/>
    <w:rsid w:val="00184FBA"/>
    <w:rsid w:val="0018504D"/>
    <w:rsid w:val="00185169"/>
    <w:rsid w:val="0018578D"/>
    <w:rsid w:val="00185FF9"/>
    <w:rsid w:val="001860AD"/>
    <w:rsid w:val="00186129"/>
    <w:rsid w:val="0018626E"/>
    <w:rsid w:val="001867F8"/>
    <w:rsid w:val="00186AB7"/>
    <w:rsid w:val="00186BA1"/>
    <w:rsid w:val="00186CBE"/>
    <w:rsid w:val="00186EF2"/>
    <w:rsid w:val="0018727E"/>
    <w:rsid w:val="0018761E"/>
    <w:rsid w:val="001876C5"/>
    <w:rsid w:val="001878C1"/>
    <w:rsid w:val="001879C5"/>
    <w:rsid w:val="001879C6"/>
    <w:rsid w:val="00187A52"/>
    <w:rsid w:val="00187CC8"/>
    <w:rsid w:val="00190487"/>
    <w:rsid w:val="00190693"/>
    <w:rsid w:val="001907D7"/>
    <w:rsid w:val="00190892"/>
    <w:rsid w:val="00190955"/>
    <w:rsid w:val="00192297"/>
    <w:rsid w:val="0019300A"/>
    <w:rsid w:val="001935F4"/>
    <w:rsid w:val="00193A26"/>
    <w:rsid w:val="00193D9F"/>
    <w:rsid w:val="00193FCE"/>
    <w:rsid w:val="00194B01"/>
    <w:rsid w:val="00194B59"/>
    <w:rsid w:val="00194D1B"/>
    <w:rsid w:val="00194E12"/>
    <w:rsid w:val="00195008"/>
    <w:rsid w:val="001958B8"/>
    <w:rsid w:val="00195BEA"/>
    <w:rsid w:val="00196465"/>
    <w:rsid w:val="0019697A"/>
    <w:rsid w:val="00196E89"/>
    <w:rsid w:val="00197604"/>
    <w:rsid w:val="00197681"/>
    <w:rsid w:val="00197CD2"/>
    <w:rsid w:val="00197D4F"/>
    <w:rsid w:val="001A0234"/>
    <w:rsid w:val="001A0236"/>
    <w:rsid w:val="001A0466"/>
    <w:rsid w:val="001A0E6F"/>
    <w:rsid w:val="001A12F1"/>
    <w:rsid w:val="001A131A"/>
    <w:rsid w:val="001A195E"/>
    <w:rsid w:val="001A1FBC"/>
    <w:rsid w:val="001A2126"/>
    <w:rsid w:val="001A221D"/>
    <w:rsid w:val="001A2C18"/>
    <w:rsid w:val="001A33E5"/>
    <w:rsid w:val="001A35A1"/>
    <w:rsid w:val="001A3BE6"/>
    <w:rsid w:val="001A3CBB"/>
    <w:rsid w:val="001A4551"/>
    <w:rsid w:val="001A4730"/>
    <w:rsid w:val="001A4A9E"/>
    <w:rsid w:val="001A4EEB"/>
    <w:rsid w:val="001A5A90"/>
    <w:rsid w:val="001A5B7C"/>
    <w:rsid w:val="001A5BD0"/>
    <w:rsid w:val="001A5E03"/>
    <w:rsid w:val="001A5EE8"/>
    <w:rsid w:val="001A5F4E"/>
    <w:rsid w:val="001A6030"/>
    <w:rsid w:val="001A606B"/>
    <w:rsid w:val="001A6077"/>
    <w:rsid w:val="001A60BE"/>
    <w:rsid w:val="001A60CD"/>
    <w:rsid w:val="001A625D"/>
    <w:rsid w:val="001A6CDB"/>
    <w:rsid w:val="001A6F19"/>
    <w:rsid w:val="001A748A"/>
    <w:rsid w:val="001A769B"/>
    <w:rsid w:val="001A783B"/>
    <w:rsid w:val="001A7DC9"/>
    <w:rsid w:val="001A7FFE"/>
    <w:rsid w:val="001B00AC"/>
    <w:rsid w:val="001B02C2"/>
    <w:rsid w:val="001B0420"/>
    <w:rsid w:val="001B0961"/>
    <w:rsid w:val="001B190C"/>
    <w:rsid w:val="001B1E21"/>
    <w:rsid w:val="001B1F67"/>
    <w:rsid w:val="001B2E94"/>
    <w:rsid w:val="001B3F9D"/>
    <w:rsid w:val="001B41A7"/>
    <w:rsid w:val="001B46EB"/>
    <w:rsid w:val="001B4AA5"/>
    <w:rsid w:val="001B4C94"/>
    <w:rsid w:val="001B4CD7"/>
    <w:rsid w:val="001B509C"/>
    <w:rsid w:val="001B51A0"/>
    <w:rsid w:val="001B53CA"/>
    <w:rsid w:val="001B55BC"/>
    <w:rsid w:val="001B581E"/>
    <w:rsid w:val="001B5A9B"/>
    <w:rsid w:val="001B5C8D"/>
    <w:rsid w:val="001B5ECD"/>
    <w:rsid w:val="001B5F23"/>
    <w:rsid w:val="001B678B"/>
    <w:rsid w:val="001B6AA9"/>
    <w:rsid w:val="001B6BEB"/>
    <w:rsid w:val="001B6C59"/>
    <w:rsid w:val="001B6EEB"/>
    <w:rsid w:val="001B727A"/>
    <w:rsid w:val="001B738F"/>
    <w:rsid w:val="001B739D"/>
    <w:rsid w:val="001B7586"/>
    <w:rsid w:val="001B7C13"/>
    <w:rsid w:val="001B7C5A"/>
    <w:rsid w:val="001B7D2A"/>
    <w:rsid w:val="001B7D47"/>
    <w:rsid w:val="001C06D7"/>
    <w:rsid w:val="001C08E7"/>
    <w:rsid w:val="001C1091"/>
    <w:rsid w:val="001C11C7"/>
    <w:rsid w:val="001C11F1"/>
    <w:rsid w:val="001C1351"/>
    <w:rsid w:val="001C13A9"/>
    <w:rsid w:val="001C15AA"/>
    <w:rsid w:val="001C1986"/>
    <w:rsid w:val="001C1BC0"/>
    <w:rsid w:val="001C1CCA"/>
    <w:rsid w:val="001C32FD"/>
    <w:rsid w:val="001C337A"/>
    <w:rsid w:val="001C33FC"/>
    <w:rsid w:val="001C3546"/>
    <w:rsid w:val="001C4213"/>
    <w:rsid w:val="001C43AF"/>
    <w:rsid w:val="001C4408"/>
    <w:rsid w:val="001C471E"/>
    <w:rsid w:val="001C4AF7"/>
    <w:rsid w:val="001C5478"/>
    <w:rsid w:val="001C5D8E"/>
    <w:rsid w:val="001C611F"/>
    <w:rsid w:val="001C61E0"/>
    <w:rsid w:val="001C62E5"/>
    <w:rsid w:val="001C652F"/>
    <w:rsid w:val="001C673C"/>
    <w:rsid w:val="001C674B"/>
    <w:rsid w:val="001C6A8D"/>
    <w:rsid w:val="001C6B50"/>
    <w:rsid w:val="001C6C5D"/>
    <w:rsid w:val="001C75A4"/>
    <w:rsid w:val="001C761A"/>
    <w:rsid w:val="001C77A5"/>
    <w:rsid w:val="001D00F1"/>
    <w:rsid w:val="001D0556"/>
    <w:rsid w:val="001D0882"/>
    <w:rsid w:val="001D0A83"/>
    <w:rsid w:val="001D0B59"/>
    <w:rsid w:val="001D0EED"/>
    <w:rsid w:val="001D0FB9"/>
    <w:rsid w:val="001D1701"/>
    <w:rsid w:val="001D1CCE"/>
    <w:rsid w:val="001D1DAA"/>
    <w:rsid w:val="001D2094"/>
    <w:rsid w:val="001D21B7"/>
    <w:rsid w:val="001D2581"/>
    <w:rsid w:val="001D279D"/>
    <w:rsid w:val="001D299E"/>
    <w:rsid w:val="001D2B0B"/>
    <w:rsid w:val="001D2B90"/>
    <w:rsid w:val="001D3AD5"/>
    <w:rsid w:val="001D3F7A"/>
    <w:rsid w:val="001D437C"/>
    <w:rsid w:val="001D4489"/>
    <w:rsid w:val="001D4EB4"/>
    <w:rsid w:val="001D540F"/>
    <w:rsid w:val="001D55E9"/>
    <w:rsid w:val="001D57F0"/>
    <w:rsid w:val="001D5CB7"/>
    <w:rsid w:val="001D5EE3"/>
    <w:rsid w:val="001D5FCC"/>
    <w:rsid w:val="001D63EA"/>
    <w:rsid w:val="001D664A"/>
    <w:rsid w:val="001D6685"/>
    <w:rsid w:val="001D6BEE"/>
    <w:rsid w:val="001D6BF5"/>
    <w:rsid w:val="001D6DF0"/>
    <w:rsid w:val="001D6FBE"/>
    <w:rsid w:val="001D7AE9"/>
    <w:rsid w:val="001D7F05"/>
    <w:rsid w:val="001E0A07"/>
    <w:rsid w:val="001E0EB5"/>
    <w:rsid w:val="001E12AF"/>
    <w:rsid w:val="001E14C7"/>
    <w:rsid w:val="001E1821"/>
    <w:rsid w:val="001E1930"/>
    <w:rsid w:val="001E1AC5"/>
    <w:rsid w:val="001E1BC1"/>
    <w:rsid w:val="001E1BFC"/>
    <w:rsid w:val="001E1F48"/>
    <w:rsid w:val="001E26F4"/>
    <w:rsid w:val="001E28DE"/>
    <w:rsid w:val="001E29DA"/>
    <w:rsid w:val="001E2EE6"/>
    <w:rsid w:val="001E2EF8"/>
    <w:rsid w:val="001E2F5F"/>
    <w:rsid w:val="001E3024"/>
    <w:rsid w:val="001E326C"/>
    <w:rsid w:val="001E32A7"/>
    <w:rsid w:val="001E32B6"/>
    <w:rsid w:val="001E36F1"/>
    <w:rsid w:val="001E39E9"/>
    <w:rsid w:val="001E3AAF"/>
    <w:rsid w:val="001E3D66"/>
    <w:rsid w:val="001E3E03"/>
    <w:rsid w:val="001E421B"/>
    <w:rsid w:val="001E4393"/>
    <w:rsid w:val="001E4A8B"/>
    <w:rsid w:val="001E4DCB"/>
    <w:rsid w:val="001E5189"/>
    <w:rsid w:val="001E5245"/>
    <w:rsid w:val="001E528A"/>
    <w:rsid w:val="001E534E"/>
    <w:rsid w:val="001E5443"/>
    <w:rsid w:val="001E55FE"/>
    <w:rsid w:val="001E56A0"/>
    <w:rsid w:val="001E60A9"/>
    <w:rsid w:val="001E6136"/>
    <w:rsid w:val="001E61D7"/>
    <w:rsid w:val="001E653B"/>
    <w:rsid w:val="001E6687"/>
    <w:rsid w:val="001E67EB"/>
    <w:rsid w:val="001E6D32"/>
    <w:rsid w:val="001E6F5D"/>
    <w:rsid w:val="001E7324"/>
    <w:rsid w:val="001E73CC"/>
    <w:rsid w:val="001F02AA"/>
    <w:rsid w:val="001F0325"/>
    <w:rsid w:val="001F0365"/>
    <w:rsid w:val="001F0374"/>
    <w:rsid w:val="001F05CA"/>
    <w:rsid w:val="001F05CC"/>
    <w:rsid w:val="001F078D"/>
    <w:rsid w:val="001F08E8"/>
    <w:rsid w:val="001F09C9"/>
    <w:rsid w:val="001F1084"/>
    <w:rsid w:val="001F11B0"/>
    <w:rsid w:val="001F1443"/>
    <w:rsid w:val="001F1570"/>
    <w:rsid w:val="001F15A7"/>
    <w:rsid w:val="001F16EB"/>
    <w:rsid w:val="001F19B2"/>
    <w:rsid w:val="001F19E8"/>
    <w:rsid w:val="001F1C8C"/>
    <w:rsid w:val="001F1E65"/>
    <w:rsid w:val="001F1E90"/>
    <w:rsid w:val="001F1ED5"/>
    <w:rsid w:val="001F20A4"/>
    <w:rsid w:val="001F219C"/>
    <w:rsid w:val="001F22C5"/>
    <w:rsid w:val="001F2B49"/>
    <w:rsid w:val="001F30A5"/>
    <w:rsid w:val="001F3725"/>
    <w:rsid w:val="001F3995"/>
    <w:rsid w:val="001F3F4E"/>
    <w:rsid w:val="001F3F80"/>
    <w:rsid w:val="001F414B"/>
    <w:rsid w:val="001F438B"/>
    <w:rsid w:val="001F446A"/>
    <w:rsid w:val="001F498F"/>
    <w:rsid w:val="001F4B6E"/>
    <w:rsid w:val="001F4C78"/>
    <w:rsid w:val="001F4F00"/>
    <w:rsid w:val="001F5143"/>
    <w:rsid w:val="001F540D"/>
    <w:rsid w:val="001F5438"/>
    <w:rsid w:val="001F55F6"/>
    <w:rsid w:val="001F561C"/>
    <w:rsid w:val="001F5768"/>
    <w:rsid w:val="001F59F4"/>
    <w:rsid w:val="001F5BDF"/>
    <w:rsid w:val="001F5CF9"/>
    <w:rsid w:val="001F60D3"/>
    <w:rsid w:val="001F6128"/>
    <w:rsid w:val="001F6478"/>
    <w:rsid w:val="001F6AA1"/>
    <w:rsid w:val="001F6B1D"/>
    <w:rsid w:val="001F7282"/>
    <w:rsid w:val="001F7904"/>
    <w:rsid w:val="001F7C78"/>
    <w:rsid w:val="001F7E33"/>
    <w:rsid w:val="001F7FBE"/>
    <w:rsid w:val="002000DA"/>
    <w:rsid w:val="00200104"/>
    <w:rsid w:val="002003BE"/>
    <w:rsid w:val="00200CDF"/>
    <w:rsid w:val="00201210"/>
    <w:rsid w:val="002012BF"/>
    <w:rsid w:val="0020187C"/>
    <w:rsid w:val="00201997"/>
    <w:rsid w:val="00201C83"/>
    <w:rsid w:val="002024D6"/>
    <w:rsid w:val="00202962"/>
    <w:rsid w:val="002029FD"/>
    <w:rsid w:val="00202C69"/>
    <w:rsid w:val="00202CEC"/>
    <w:rsid w:val="00202DFF"/>
    <w:rsid w:val="00203165"/>
    <w:rsid w:val="0020344E"/>
    <w:rsid w:val="0020452F"/>
    <w:rsid w:val="0020473C"/>
    <w:rsid w:val="00204F15"/>
    <w:rsid w:val="00204F53"/>
    <w:rsid w:val="0020516C"/>
    <w:rsid w:val="00205199"/>
    <w:rsid w:val="0020533B"/>
    <w:rsid w:val="00205AE3"/>
    <w:rsid w:val="00205BF1"/>
    <w:rsid w:val="00205EA4"/>
    <w:rsid w:val="00205F16"/>
    <w:rsid w:val="00205FAB"/>
    <w:rsid w:val="00206229"/>
    <w:rsid w:val="00206246"/>
    <w:rsid w:val="00206321"/>
    <w:rsid w:val="00206644"/>
    <w:rsid w:val="00206DC5"/>
    <w:rsid w:val="00206FED"/>
    <w:rsid w:val="002070D5"/>
    <w:rsid w:val="00207660"/>
    <w:rsid w:val="00207755"/>
    <w:rsid w:val="00207CDC"/>
    <w:rsid w:val="00207D11"/>
    <w:rsid w:val="002101F4"/>
    <w:rsid w:val="0021023B"/>
    <w:rsid w:val="00210368"/>
    <w:rsid w:val="00210A0B"/>
    <w:rsid w:val="00210BFD"/>
    <w:rsid w:val="00210FE5"/>
    <w:rsid w:val="002116FF"/>
    <w:rsid w:val="002118FA"/>
    <w:rsid w:val="00211CFA"/>
    <w:rsid w:val="00211DC1"/>
    <w:rsid w:val="00212460"/>
    <w:rsid w:val="002134F9"/>
    <w:rsid w:val="00213765"/>
    <w:rsid w:val="002137F0"/>
    <w:rsid w:val="00213A46"/>
    <w:rsid w:val="00213EB5"/>
    <w:rsid w:val="002142CF"/>
    <w:rsid w:val="00214334"/>
    <w:rsid w:val="00214620"/>
    <w:rsid w:val="002146A0"/>
    <w:rsid w:val="00214A05"/>
    <w:rsid w:val="00215062"/>
    <w:rsid w:val="0021535C"/>
    <w:rsid w:val="00215B9A"/>
    <w:rsid w:val="00215FA1"/>
    <w:rsid w:val="00216450"/>
    <w:rsid w:val="002168C5"/>
    <w:rsid w:val="00216FDB"/>
    <w:rsid w:val="0021705D"/>
    <w:rsid w:val="0021710B"/>
    <w:rsid w:val="00217438"/>
    <w:rsid w:val="00217447"/>
    <w:rsid w:val="00217986"/>
    <w:rsid w:val="002179F3"/>
    <w:rsid w:val="00217D57"/>
    <w:rsid w:val="00220068"/>
    <w:rsid w:val="002206A4"/>
    <w:rsid w:val="0022080A"/>
    <w:rsid w:val="0022080C"/>
    <w:rsid w:val="00220B51"/>
    <w:rsid w:val="00221A0D"/>
    <w:rsid w:val="00221BDF"/>
    <w:rsid w:val="00221C05"/>
    <w:rsid w:val="00221D34"/>
    <w:rsid w:val="00221D6E"/>
    <w:rsid w:val="00222457"/>
    <w:rsid w:val="00222D4C"/>
    <w:rsid w:val="0022301C"/>
    <w:rsid w:val="00223061"/>
    <w:rsid w:val="002230F6"/>
    <w:rsid w:val="002237FA"/>
    <w:rsid w:val="002243E6"/>
    <w:rsid w:val="00224491"/>
    <w:rsid w:val="002245C2"/>
    <w:rsid w:val="002245D8"/>
    <w:rsid w:val="00224A0F"/>
    <w:rsid w:val="00224D86"/>
    <w:rsid w:val="00224E09"/>
    <w:rsid w:val="00225342"/>
    <w:rsid w:val="002255F9"/>
    <w:rsid w:val="00225863"/>
    <w:rsid w:val="00225CF1"/>
    <w:rsid w:val="00225EAB"/>
    <w:rsid w:val="00226261"/>
    <w:rsid w:val="0022648C"/>
    <w:rsid w:val="002267AC"/>
    <w:rsid w:val="00226A69"/>
    <w:rsid w:val="00226BFF"/>
    <w:rsid w:val="00226D0D"/>
    <w:rsid w:val="002272A4"/>
    <w:rsid w:val="002274E4"/>
    <w:rsid w:val="00227613"/>
    <w:rsid w:val="002279A7"/>
    <w:rsid w:val="002279DF"/>
    <w:rsid w:val="00227A75"/>
    <w:rsid w:val="00227DBD"/>
    <w:rsid w:val="00227EFD"/>
    <w:rsid w:val="00230490"/>
    <w:rsid w:val="0023052A"/>
    <w:rsid w:val="00230702"/>
    <w:rsid w:val="00230F37"/>
    <w:rsid w:val="00230F45"/>
    <w:rsid w:val="00231196"/>
    <w:rsid w:val="0023129D"/>
    <w:rsid w:val="00231340"/>
    <w:rsid w:val="00231416"/>
    <w:rsid w:val="00231430"/>
    <w:rsid w:val="002319D5"/>
    <w:rsid w:val="00231DD6"/>
    <w:rsid w:val="0023204C"/>
    <w:rsid w:val="002324F9"/>
    <w:rsid w:val="00232568"/>
    <w:rsid w:val="00232BC8"/>
    <w:rsid w:val="00232C74"/>
    <w:rsid w:val="00232FD8"/>
    <w:rsid w:val="002330C3"/>
    <w:rsid w:val="00233121"/>
    <w:rsid w:val="002333C9"/>
    <w:rsid w:val="00233C3B"/>
    <w:rsid w:val="00233F4B"/>
    <w:rsid w:val="00233F7E"/>
    <w:rsid w:val="00234200"/>
    <w:rsid w:val="00234440"/>
    <w:rsid w:val="002344A0"/>
    <w:rsid w:val="00234585"/>
    <w:rsid w:val="002349B2"/>
    <w:rsid w:val="00234ADB"/>
    <w:rsid w:val="00235192"/>
    <w:rsid w:val="002352A8"/>
    <w:rsid w:val="00235574"/>
    <w:rsid w:val="00235679"/>
    <w:rsid w:val="00235A1A"/>
    <w:rsid w:val="0023665F"/>
    <w:rsid w:val="00236751"/>
    <w:rsid w:val="00236BD4"/>
    <w:rsid w:val="00237029"/>
    <w:rsid w:val="00237183"/>
    <w:rsid w:val="0023723C"/>
    <w:rsid w:val="00237355"/>
    <w:rsid w:val="002374A4"/>
    <w:rsid w:val="00237556"/>
    <w:rsid w:val="00237C3D"/>
    <w:rsid w:val="00237F7D"/>
    <w:rsid w:val="00237FD2"/>
    <w:rsid w:val="00240268"/>
    <w:rsid w:val="00240980"/>
    <w:rsid w:val="00240C6C"/>
    <w:rsid w:val="00240D58"/>
    <w:rsid w:val="00240DD0"/>
    <w:rsid w:val="00241026"/>
    <w:rsid w:val="00241565"/>
    <w:rsid w:val="0024171C"/>
    <w:rsid w:val="00241B3B"/>
    <w:rsid w:val="00241B8D"/>
    <w:rsid w:val="00241EF2"/>
    <w:rsid w:val="00241F45"/>
    <w:rsid w:val="00242988"/>
    <w:rsid w:val="00242DE2"/>
    <w:rsid w:val="00242EA2"/>
    <w:rsid w:val="002431B3"/>
    <w:rsid w:val="002431B7"/>
    <w:rsid w:val="002432C8"/>
    <w:rsid w:val="00243352"/>
    <w:rsid w:val="00243609"/>
    <w:rsid w:val="002439AE"/>
    <w:rsid w:val="00243C79"/>
    <w:rsid w:val="002449BF"/>
    <w:rsid w:val="00244ACB"/>
    <w:rsid w:val="00244AE3"/>
    <w:rsid w:val="00244B1F"/>
    <w:rsid w:val="002451A1"/>
    <w:rsid w:val="0024562F"/>
    <w:rsid w:val="00245A7C"/>
    <w:rsid w:val="00246123"/>
    <w:rsid w:val="00246277"/>
    <w:rsid w:val="00246517"/>
    <w:rsid w:val="00246A25"/>
    <w:rsid w:val="00246D12"/>
    <w:rsid w:val="00246FED"/>
    <w:rsid w:val="0024701E"/>
    <w:rsid w:val="0024703B"/>
    <w:rsid w:val="00247195"/>
    <w:rsid w:val="00247276"/>
    <w:rsid w:val="0024736F"/>
    <w:rsid w:val="00247386"/>
    <w:rsid w:val="0024783B"/>
    <w:rsid w:val="00247847"/>
    <w:rsid w:val="002478BE"/>
    <w:rsid w:val="00247940"/>
    <w:rsid w:val="00247D9D"/>
    <w:rsid w:val="00247DA6"/>
    <w:rsid w:val="0025032F"/>
    <w:rsid w:val="002504DE"/>
    <w:rsid w:val="00250503"/>
    <w:rsid w:val="00250554"/>
    <w:rsid w:val="0025093F"/>
    <w:rsid w:val="00250B8B"/>
    <w:rsid w:val="00250C4E"/>
    <w:rsid w:val="002514D7"/>
    <w:rsid w:val="00251635"/>
    <w:rsid w:val="00251B35"/>
    <w:rsid w:val="00251E53"/>
    <w:rsid w:val="002520C9"/>
    <w:rsid w:val="0025219F"/>
    <w:rsid w:val="00252205"/>
    <w:rsid w:val="002527A4"/>
    <w:rsid w:val="0025284E"/>
    <w:rsid w:val="00252D52"/>
    <w:rsid w:val="002532EF"/>
    <w:rsid w:val="00253344"/>
    <w:rsid w:val="00253434"/>
    <w:rsid w:val="00253586"/>
    <w:rsid w:val="00253C74"/>
    <w:rsid w:val="00253D8A"/>
    <w:rsid w:val="00253EC9"/>
    <w:rsid w:val="00254011"/>
    <w:rsid w:val="0025406B"/>
    <w:rsid w:val="002549E6"/>
    <w:rsid w:val="0025504E"/>
    <w:rsid w:val="00255095"/>
    <w:rsid w:val="00255756"/>
    <w:rsid w:val="0025595A"/>
    <w:rsid w:val="00255A2D"/>
    <w:rsid w:val="00255BCF"/>
    <w:rsid w:val="00255CC7"/>
    <w:rsid w:val="00255E96"/>
    <w:rsid w:val="00255F77"/>
    <w:rsid w:val="00255FC2"/>
    <w:rsid w:val="00255FC5"/>
    <w:rsid w:val="002561F7"/>
    <w:rsid w:val="002571AD"/>
    <w:rsid w:val="002572FE"/>
    <w:rsid w:val="00257474"/>
    <w:rsid w:val="00257574"/>
    <w:rsid w:val="00257882"/>
    <w:rsid w:val="0025796D"/>
    <w:rsid w:val="00257ABE"/>
    <w:rsid w:val="00257F68"/>
    <w:rsid w:val="00260166"/>
    <w:rsid w:val="0026095D"/>
    <w:rsid w:val="00260BAA"/>
    <w:rsid w:val="00260F8F"/>
    <w:rsid w:val="00261F89"/>
    <w:rsid w:val="00261FFB"/>
    <w:rsid w:val="00262199"/>
    <w:rsid w:val="002623E8"/>
    <w:rsid w:val="00262418"/>
    <w:rsid w:val="00262723"/>
    <w:rsid w:val="00262853"/>
    <w:rsid w:val="002633AD"/>
    <w:rsid w:val="00263973"/>
    <w:rsid w:val="00263A1A"/>
    <w:rsid w:val="00263A60"/>
    <w:rsid w:val="00263CB9"/>
    <w:rsid w:val="00264175"/>
    <w:rsid w:val="0026455D"/>
    <w:rsid w:val="00264BF9"/>
    <w:rsid w:val="002650A6"/>
    <w:rsid w:val="002658DB"/>
    <w:rsid w:val="0026593A"/>
    <w:rsid w:val="00265DDB"/>
    <w:rsid w:val="00265E6A"/>
    <w:rsid w:val="00266CDA"/>
    <w:rsid w:val="00266E48"/>
    <w:rsid w:val="002671DF"/>
    <w:rsid w:val="002672B6"/>
    <w:rsid w:val="002673B1"/>
    <w:rsid w:val="002678A3"/>
    <w:rsid w:val="002678F4"/>
    <w:rsid w:val="002703E7"/>
    <w:rsid w:val="00270775"/>
    <w:rsid w:val="00270C3A"/>
    <w:rsid w:val="00270C4C"/>
    <w:rsid w:val="00270EC7"/>
    <w:rsid w:val="00271156"/>
    <w:rsid w:val="00271255"/>
    <w:rsid w:val="0027164D"/>
    <w:rsid w:val="00271C15"/>
    <w:rsid w:val="00271DAD"/>
    <w:rsid w:val="00272191"/>
    <w:rsid w:val="0027228F"/>
    <w:rsid w:val="002732BB"/>
    <w:rsid w:val="0027375E"/>
    <w:rsid w:val="00273CD9"/>
    <w:rsid w:val="00273D65"/>
    <w:rsid w:val="00273FE9"/>
    <w:rsid w:val="00274691"/>
    <w:rsid w:val="002746BC"/>
    <w:rsid w:val="0027488B"/>
    <w:rsid w:val="00274F17"/>
    <w:rsid w:val="00275398"/>
    <w:rsid w:val="002759ED"/>
    <w:rsid w:val="00275A62"/>
    <w:rsid w:val="00275C38"/>
    <w:rsid w:val="00275EA9"/>
    <w:rsid w:val="00276298"/>
    <w:rsid w:val="002767DB"/>
    <w:rsid w:val="00276951"/>
    <w:rsid w:val="00276BF5"/>
    <w:rsid w:val="00276E3F"/>
    <w:rsid w:val="00276E4E"/>
    <w:rsid w:val="0027713A"/>
    <w:rsid w:val="00277248"/>
    <w:rsid w:val="002773BE"/>
    <w:rsid w:val="002774CA"/>
    <w:rsid w:val="00277AA4"/>
    <w:rsid w:val="00277FA4"/>
    <w:rsid w:val="002800AC"/>
    <w:rsid w:val="002800EE"/>
    <w:rsid w:val="002800EF"/>
    <w:rsid w:val="002800F9"/>
    <w:rsid w:val="0028017F"/>
    <w:rsid w:val="0028068E"/>
    <w:rsid w:val="002806C4"/>
    <w:rsid w:val="00280C12"/>
    <w:rsid w:val="00281031"/>
    <w:rsid w:val="002810B2"/>
    <w:rsid w:val="00281608"/>
    <w:rsid w:val="00281B06"/>
    <w:rsid w:val="0028208D"/>
    <w:rsid w:val="002820F3"/>
    <w:rsid w:val="002822AA"/>
    <w:rsid w:val="00282595"/>
    <w:rsid w:val="002826E7"/>
    <w:rsid w:val="00282920"/>
    <w:rsid w:val="002832CA"/>
    <w:rsid w:val="00283420"/>
    <w:rsid w:val="0028376D"/>
    <w:rsid w:val="00283A97"/>
    <w:rsid w:val="00283F14"/>
    <w:rsid w:val="00284869"/>
    <w:rsid w:val="00284930"/>
    <w:rsid w:val="00284B57"/>
    <w:rsid w:val="00284C3B"/>
    <w:rsid w:val="00284C47"/>
    <w:rsid w:val="00285108"/>
    <w:rsid w:val="00285228"/>
    <w:rsid w:val="0028556F"/>
    <w:rsid w:val="00285616"/>
    <w:rsid w:val="00285800"/>
    <w:rsid w:val="0028592A"/>
    <w:rsid w:val="00285E2E"/>
    <w:rsid w:val="00286308"/>
    <w:rsid w:val="00286602"/>
    <w:rsid w:val="002866AF"/>
    <w:rsid w:val="0028697A"/>
    <w:rsid w:val="00286AED"/>
    <w:rsid w:val="00286DB0"/>
    <w:rsid w:val="0028726B"/>
    <w:rsid w:val="00287368"/>
    <w:rsid w:val="0028762A"/>
    <w:rsid w:val="00287A30"/>
    <w:rsid w:val="00290212"/>
    <w:rsid w:val="00290A1D"/>
    <w:rsid w:val="002911E4"/>
    <w:rsid w:val="002912C4"/>
    <w:rsid w:val="00291896"/>
    <w:rsid w:val="00291932"/>
    <w:rsid w:val="00291A3A"/>
    <w:rsid w:val="00291B1C"/>
    <w:rsid w:val="00291CE5"/>
    <w:rsid w:val="002922D3"/>
    <w:rsid w:val="002924AD"/>
    <w:rsid w:val="002928C9"/>
    <w:rsid w:val="002933F3"/>
    <w:rsid w:val="00293483"/>
    <w:rsid w:val="002935A9"/>
    <w:rsid w:val="002938DC"/>
    <w:rsid w:val="00293B97"/>
    <w:rsid w:val="00294C39"/>
    <w:rsid w:val="00294C42"/>
    <w:rsid w:val="0029526D"/>
    <w:rsid w:val="002952AA"/>
    <w:rsid w:val="00295515"/>
    <w:rsid w:val="00295625"/>
    <w:rsid w:val="00295DEA"/>
    <w:rsid w:val="00296383"/>
    <w:rsid w:val="002965B6"/>
    <w:rsid w:val="002968F5"/>
    <w:rsid w:val="00296D89"/>
    <w:rsid w:val="00297118"/>
    <w:rsid w:val="0029735F"/>
    <w:rsid w:val="002974AC"/>
    <w:rsid w:val="00297B5B"/>
    <w:rsid w:val="00297EF6"/>
    <w:rsid w:val="002A05DD"/>
    <w:rsid w:val="002A078A"/>
    <w:rsid w:val="002A0A4B"/>
    <w:rsid w:val="002A0A73"/>
    <w:rsid w:val="002A0A85"/>
    <w:rsid w:val="002A0AB9"/>
    <w:rsid w:val="002A0CB8"/>
    <w:rsid w:val="002A0D1D"/>
    <w:rsid w:val="002A1020"/>
    <w:rsid w:val="002A14BA"/>
    <w:rsid w:val="002A1548"/>
    <w:rsid w:val="002A17B5"/>
    <w:rsid w:val="002A1983"/>
    <w:rsid w:val="002A198C"/>
    <w:rsid w:val="002A1A97"/>
    <w:rsid w:val="002A2243"/>
    <w:rsid w:val="002A2468"/>
    <w:rsid w:val="002A2686"/>
    <w:rsid w:val="002A2AEE"/>
    <w:rsid w:val="002A2B06"/>
    <w:rsid w:val="002A2F78"/>
    <w:rsid w:val="002A3083"/>
    <w:rsid w:val="002A3276"/>
    <w:rsid w:val="002A340C"/>
    <w:rsid w:val="002A3746"/>
    <w:rsid w:val="002A3F03"/>
    <w:rsid w:val="002A4376"/>
    <w:rsid w:val="002A475F"/>
    <w:rsid w:val="002A4C94"/>
    <w:rsid w:val="002A4DB1"/>
    <w:rsid w:val="002A4DDD"/>
    <w:rsid w:val="002A4FA5"/>
    <w:rsid w:val="002A5520"/>
    <w:rsid w:val="002A581C"/>
    <w:rsid w:val="002A5BD3"/>
    <w:rsid w:val="002A5D15"/>
    <w:rsid w:val="002A61FF"/>
    <w:rsid w:val="002A666A"/>
    <w:rsid w:val="002A67AC"/>
    <w:rsid w:val="002A6C95"/>
    <w:rsid w:val="002A6D12"/>
    <w:rsid w:val="002A6EF9"/>
    <w:rsid w:val="002A6F3A"/>
    <w:rsid w:val="002A701E"/>
    <w:rsid w:val="002A7BCF"/>
    <w:rsid w:val="002A7BF3"/>
    <w:rsid w:val="002B049C"/>
    <w:rsid w:val="002B0B1E"/>
    <w:rsid w:val="002B0E2D"/>
    <w:rsid w:val="002B0EB1"/>
    <w:rsid w:val="002B109F"/>
    <w:rsid w:val="002B14F6"/>
    <w:rsid w:val="002B2135"/>
    <w:rsid w:val="002B21EC"/>
    <w:rsid w:val="002B221A"/>
    <w:rsid w:val="002B29A2"/>
    <w:rsid w:val="002B2B39"/>
    <w:rsid w:val="002B2BEC"/>
    <w:rsid w:val="002B2ED6"/>
    <w:rsid w:val="002B31B8"/>
    <w:rsid w:val="002B328E"/>
    <w:rsid w:val="002B34D0"/>
    <w:rsid w:val="002B35EE"/>
    <w:rsid w:val="002B38D4"/>
    <w:rsid w:val="002B3903"/>
    <w:rsid w:val="002B4B1E"/>
    <w:rsid w:val="002B4BFA"/>
    <w:rsid w:val="002B4F1E"/>
    <w:rsid w:val="002B540E"/>
    <w:rsid w:val="002B54ED"/>
    <w:rsid w:val="002B551F"/>
    <w:rsid w:val="002B5571"/>
    <w:rsid w:val="002B55A0"/>
    <w:rsid w:val="002B57B8"/>
    <w:rsid w:val="002B5965"/>
    <w:rsid w:val="002B5CDE"/>
    <w:rsid w:val="002B5F54"/>
    <w:rsid w:val="002B62A3"/>
    <w:rsid w:val="002B6C26"/>
    <w:rsid w:val="002B71C2"/>
    <w:rsid w:val="002B7215"/>
    <w:rsid w:val="002B7C2E"/>
    <w:rsid w:val="002B7CEF"/>
    <w:rsid w:val="002B7F49"/>
    <w:rsid w:val="002C09BB"/>
    <w:rsid w:val="002C0A9A"/>
    <w:rsid w:val="002C1098"/>
    <w:rsid w:val="002C135C"/>
    <w:rsid w:val="002C1732"/>
    <w:rsid w:val="002C1968"/>
    <w:rsid w:val="002C1974"/>
    <w:rsid w:val="002C1CFE"/>
    <w:rsid w:val="002C1E7A"/>
    <w:rsid w:val="002C25A2"/>
    <w:rsid w:val="002C288C"/>
    <w:rsid w:val="002C2DFE"/>
    <w:rsid w:val="002C3464"/>
    <w:rsid w:val="002C3C64"/>
    <w:rsid w:val="002C3F5E"/>
    <w:rsid w:val="002C3F71"/>
    <w:rsid w:val="002C49BD"/>
    <w:rsid w:val="002C4A2B"/>
    <w:rsid w:val="002C4B6F"/>
    <w:rsid w:val="002C4B7B"/>
    <w:rsid w:val="002C4EE5"/>
    <w:rsid w:val="002C51A1"/>
    <w:rsid w:val="002C5214"/>
    <w:rsid w:val="002C529E"/>
    <w:rsid w:val="002C54E3"/>
    <w:rsid w:val="002C5686"/>
    <w:rsid w:val="002C571C"/>
    <w:rsid w:val="002C5973"/>
    <w:rsid w:val="002C60D7"/>
    <w:rsid w:val="002C60DD"/>
    <w:rsid w:val="002C652A"/>
    <w:rsid w:val="002C66AC"/>
    <w:rsid w:val="002C676C"/>
    <w:rsid w:val="002C6F4A"/>
    <w:rsid w:val="002C7163"/>
    <w:rsid w:val="002C7372"/>
    <w:rsid w:val="002C73D9"/>
    <w:rsid w:val="002C7616"/>
    <w:rsid w:val="002C7F1A"/>
    <w:rsid w:val="002C7F22"/>
    <w:rsid w:val="002D0512"/>
    <w:rsid w:val="002D0DBB"/>
    <w:rsid w:val="002D0F52"/>
    <w:rsid w:val="002D121C"/>
    <w:rsid w:val="002D150E"/>
    <w:rsid w:val="002D1A24"/>
    <w:rsid w:val="002D1FB2"/>
    <w:rsid w:val="002D2206"/>
    <w:rsid w:val="002D22BC"/>
    <w:rsid w:val="002D230D"/>
    <w:rsid w:val="002D2700"/>
    <w:rsid w:val="002D2A7C"/>
    <w:rsid w:val="002D2C1D"/>
    <w:rsid w:val="002D3215"/>
    <w:rsid w:val="002D33AA"/>
    <w:rsid w:val="002D35A5"/>
    <w:rsid w:val="002D3664"/>
    <w:rsid w:val="002D36EF"/>
    <w:rsid w:val="002D3C6D"/>
    <w:rsid w:val="002D3C91"/>
    <w:rsid w:val="002D3DA7"/>
    <w:rsid w:val="002D4401"/>
    <w:rsid w:val="002D4B9A"/>
    <w:rsid w:val="002D4BBD"/>
    <w:rsid w:val="002D5233"/>
    <w:rsid w:val="002D552E"/>
    <w:rsid w:val="002D57E6"/>
    <w:rsid w:val="002D58EA"/>
    <w:rsid w:val="002D5A2F"/>
    <w:rsid w:val="002D5F04"/>
    <w:rsid w:val="002D5F17"/>
    <w:rsid w:val="002D5F69"/>
    <w:rsid w:val="002D65DE"/>
    <w:rsid w:val="002D69AE"/>
    <w:rsid w:val="002D6B10"/>
    <w:rsid w:val="002E04D9"/>
    <w:rsid w:val="002E06C2"/>
    <w:rsid w:val="002E0751"/>
    <w:rsid w:val="002E08C4"/>
    <w:rsid w:val="002E0C00"/>
    <w:rsid w:val="002E0D73"/>
    <w:rsid w:val="002E105E"/>
    <w:rsid w:val="002E1864"/>
    <w:rsid w:val="002E20AB"/>
    <w:rsid w:val="002E2722"/>
    <w:rsid w:val="002E27F1"/>
    <w:rsid w:val="002E2B03"/>
    <w:rsid w:val="002E2E46"/>
    <w:rsid w:val="002E2FEF"/>
    <w:rsid w:val="002E309F"/>
    <w:rsid w:val="002E3405"/>
    <w:rsid w:val="002E347A"/>
    <w:rsid w:val="002E373B"/>
    <w:rsid w:val="002E37FC"/>
    <w:rsid w:val="002E3AB0"/>
    <w:rsid w:val="002E3DBF"/>
    <w:rsid w:val="002E3F3E"/>
    <w:rsid w:val="002E3F67"/>
    <w:rsid w:val="002E43D3"/>
    <w:rsid w:val="002E52A4"/>
    <w:rsid w:val="002E5350"/>
    <w:rsid w:val="002E5461"/>
    <w:rsid w:val="002E5678"/>
    <w:rsid w:val="002E5971"/>
    <w:rsid w:val="002E6014"/>
    <w:rsid w:val="002E60E6"/>
    <w:rsid w:val="002E6470"/>
    <w:rsid w:val="002E6500"/>
    <w:rsid w:val="002E676A"/>
    <w:rsid w:val="002E67AA"/>
    <w:rsid w:val="002E67F4"/>
    <w:rsid w:val="002E69E7"/>
    <w:rsid w:val="002E6B60"/>
    <w:rsid w:val="002E709E"/>
    <w:rsid w:val="002E71C1"/>
    <w:rsid w:val="002E7213"/>
    <w:rsid w:val="002E73A9"/>
    <w:rsid w:val="002E7428"/>
    <w:rsid w:val="002E7563"/>
    <w:rsid w:val="002E770E"/>
    <w:rsid w:val="002F0547"/>
    <w:rsid w:val="002F05A9"/>
    <w:rsid w:val="002F0E72"/>
    <w:rsid w:val="002F159C"/>
    <w:rsid w:val="002F1C24"/>
    <w:rsid w:val="002F1D3D"/>
    <w:rsid w:val="002F1EEB"/>
    <w:rsid w:val="002F1F00"/>
    <w:rsid w:val="002F1F33"/>
    <w:rsid w:val="002F21CD"/>
    <w:rsid w:val="002F232E"/>
    <w:rsid w:val="002F266C"/>
    <w:rsid w:val="002F26CD"/>
    <w:rsid w:val="002F274B"/>
    <w:rsid w:val="002F2AB9"/>
    <w:rsid w:val="002F30EC"/>
    <w:rsid w:val="002F3528"/>
    <w:rsid w:val="002F395F"/>
    <w:rsid w:val="002F3BBC"/>
    <w:rsid w:val="002F3BBD"/>
    <w:rsid w:val="002F44FD"/>
    <w:rsid w:val="002F50A7"/>
    <w:rsid w:val="002F537A"/>
    <w:rsid w:val="002F5841"/>
    <w:rsid w:val="002F5BEC"/>
    <w:rsid w:val="002F6585"/>
    <w:rsid w:val="002F661C"/>
    <w:rsid w:val="002F66E1"/>
    <w:rsid w:val="002F68A8"/>
    <w:rsid w:val="002F716F"/>
    <w:rsid w:val="002F7497"/>
    <w:rsid w:val="002F74CD"/>
    <w:rsid w:val="002F7DB7"/>
    <w:rsid w:val="002F7F2A"/>
    <w:rsid w:val="002F7FD3"/>
    <w:rsid w:val="003002E6"/>
    <w:rsid w:val="003004F6"/>
    <w:rsid w:val="003007B5"/>
    <w:rsid w:val="003008BA"/>
    <w:rsid w:val="00300C14"/>
    <w:rsid w:val="00300CD7"/>
    <w:rsid w:val="003010AA"/>
    <w:rsid w:val="003018DB"/>
    <w:rsid w:val="00301917"/>
    <w:rsid w:val="00301A8F"/>
    <w:rsid w:val="00301F3E"/>
    <w:rsid w:val="003022B1"/>
    <w:rsid w:val="003022C6"/>
    <w:rsid w:val="00302E54"/>
    <w:rsid w:val="00303394"/>
    <w:rsid w:val="003033BA"/>
    <w:rsid w:val="0030392B"/>
    <w:rsid w:val="00303D53"/>
    <w:rsid w:val="00303E2B"/>
    <w:rsid w:val="00303F06"/>
    <w:rsid w:val="00304000"/>
    <w:rsid w:val="00304291"/>
    <w:rsid w:val="003043FF"/>
    <w:rsid w:val="00304978"/>
    <w:rsid w:val="00304A92"/>
    <w:rsid w:val="00304DC9"/>
    <w:rsid w:val="003050EE"/>
    <w:rsid w:val="0030548C"/>
    <w:rsid w:val="003054FB"/>
    <w:rsid w:val="003056C1"/>
    <w:rsid w:val="00305B41"/>
    <w:rsid w:val="0030607C"/>
    <w:rsid w:val="0030623E"/>
    <w:rsid w:val="003062D9"/>
    <w:rsid w:val="0030642E"/>
    <w:rsid w:val="003064B5"/>
    <w:rsid w:val="00306B95"/>
    <w:rsid w:val="00306E08"/>
    <w:rsid w:val="00306E7C"/>
    <w:rsid w:val="00307684"/>
    <w:rsid w:val="00307695"/>
    <w:rsid w:val="00307A34"/>
    <w:rsid w:val="00307D89"/>
    <w:rsid w:val="00307EC8"/>
    <w:rsid w:val="003100E3"/>
    <w:rsid w:val="003101D9"/>
    <w:rsid w:val="00310803"/>
    <w:rsid w:val="00310F9F"/>
    <w:rsid w:val="0031113D"/>
    <w:rsid w:val="003112D6"/>
    <w:rsid w:val="00311E28"/>
    <w:rsid w:val="00311EC7"/>
    <w:rsid w:val="00312462"/>
    <w:rsid w:val="00312690"/>
    <w:rsid w:val="00312903"/>
    <w:rsid w:val="00312CF4"/>
    <w:rsid w:val="00313116"/>
    <w:rsid w:val="003133FD"/>
    <w:rsid w:val="0031370A"/>
    <w:rsid w:val="00313747"/>
    <w:rsid w:val="00313771"/>
    <w:rsid w:val="00313C0C"/>
    <w:rsid w:val="00313C9E"/>
    <w:rsid w:val="00313CF0"/>
    <w:rsid w:val="00313E91"/>
    <w:rsid w:val="0031436C"/>
    <w:rsid w:val="003144E0"/>
    <w:rsid w:val="00314512"/>
    <w:rsid w:val="0031465F"/>
    <w:rsid w:val="0031473A"/>
    <w:rsid w:val="00314CC1"/>
    <w:rsid w:val="00314F7E"/>
    <w:rsid w:val="003151C6"/>
    <w:rsid w:val="00315270"/>
    <w:rsid w:val="003158D5"/>
    <w:rsid w:val="0031600F"/>
    <w:rsid w:val="00316839"/>
    <w:rsid w:val="0031742D"/>
    <w:rsid w:val="00317440"/>
    <w:rsid w:val="0031753D"/>
    <w:rsid w:val="003177BD"/>
    <w:rsid w:val="00317A37"/>
    <w:rsid w:val="00317AF2"/>
    <w:rsid w:val="00320134"/>
    <w:rsid w:val="003206CB"/>
    <w:rsid w:val="00320817"/>
    <w:rsid w:val="0032099D"/>
    <w:rsid w:val="0032116C"/>
    <w:rsid w:val="003211D2"/>
    <w:rsid w:val="0032141A"/>
    <w:rsid w:val="00321467"/>
    <w:rsid w:val="00321533"/>
    <w:rsid w:val="0032160A"/>
    <w:rsid w:val="00321734"/>
    <w:rsid w:val="00321A34"/>
    <w:rsid w:val="00321AA8"/>
    <w:rsid w:val="00321B7A"/>
    <w:rsid w:val="00322A5C"/>
    <w:rsid w:val="00322C2D"/>
    <w:rsid w:val="00322E30"/>
    <w:rsid w:val="00322FEE"/>
    <w:rsid w:val="003233F2"/>
    <w:rsid w:val="00323444"/>
    <w:rsid w:val="00323658"/>
    <w:rsid w:val="00323962"/>
    <w:rsid w:val="00323AEA"/>
    <w:rsid w:val="00323E40"/>
    <w:rsid w:val="00324516"/>
    <w:rsid w:val="00324860"/>
    <w:rsid w:val="0032493E"/>
    <w:rsid w:val="00325030"/>
    <w:rsid w:val="003250B9"/>
    <w:rsid w:val="00325B55"/>
    <w:rsid w:val="00325B8D"/>
    <w:rsid w:val="003261A3"/>
    <w:rsid w:val="003263B4"/>
    <w:rsid w:val="00327364"/>
    <w:rsid w:val="00327B4E"/>
    <w:rsid w:val="003302EB"/>
    <w:rsid w:val="0033054F"/>
    <w:rsid w:val="00330564"/>
    <w:rsid w:val="003305B5"/>
    <w:rsid w:val="0033073F"/>
    <w:rsid w:val="003308C1"/>
    <w:rsid w:val="003308E4"/>
    <w:rsid w:val="00330DA8"/>
    <w:rsid w:val="003315B1"/>
    <w:rsid w:val="00331D8D"/>
    <w:rsid w:val="00331E70"/>
    <w:rsid w:val="00332044"/>
    <w:rsid w:val="00332077"/>
    <w:rsid w:val="00332151"/>
    <w:rsid w:val="003326D6"/>
    <w:rsid w:val="00332773"/>
    <w:rsid w:val="00332AF6"/>
    <w:rsid w:val="00333D5B"/>
    <w:rsid w:val="003341CA"/>
    <w:rsid w:val="00334777"/>
    <w:rsid w:val="003348FA"/>
    <w:rsid w:val="003354BD"/>
    <w:rsid w:val="003358DB"/>
    <w:rsid w:val="003359D0"/>
    <w:rsid w:val="00335C0E"/>
    <w:rsid w:val="00336054"/>
    <w:rsid w:val="0033663F"/>
    <w:rsid w:val="0033667F"/>
    <w:rsid w:val="0033680B"/>
    <w:rsid w:val="003369CA"/>
    <w:rsid w:val="00336DD8"/>
    <w:rsid w:val="00337089"/>
    <w:rsid w:val="00337BB2"/>
    <w:rsid w:val="00337E88"/>
    <w:rsid w:val="00337F64"/>
    <w:rsid w:val="00340112"/>
    <w:rsid w:val="0034040D"/>
    <w:rsid w:val="00340579"/>
    <w:rsid w:val="0034160C"/>
    <w:rsid w:val="003418D9"/>
    <w:rsid w:val="00341B46"/>
    <w:rsid w:val="00341F39"/>
    <w:rsid w:val="0034244B"/>
    <w:rsid w:val="00342A79"/>
    <w:rsid w:val="00343A42"/>
    <w:rsid w:val="003441B0"/>
    <w:rsid w:val="003443C4"/>
    <w:rsid w:val="00344C89"/>
    <w:rsid w:val="003451E8"/>
    <w:rsid w:val="00345312"/>
    <w:rsid w:val="003456BC"/>
    <w:rsid w:val="00345EAA"/>
    <w:rsid w:val="0034628E"/>
    <w:rsid w:val="003462EF"/>
    <w:rsid w:val="00346309"/>
    <w:rsid w:val="00346378"/>
    <w:rsid w:val="003464EA"/>
    <w:rsid w:val="00346639"/>
    <w:rsid w:val="00346B9D"/>
    <w:rsid w:val="00346E1A"/>
    <w:rsid w:val="003474AD"/>
    <w:rsid w:val="00347596"/>
    <w:rsid w:val="003475BD"/>
    <w:rsid w:val="00347D50"/>
    <w:rsid w:val="00347F0D"/>
    <w:rsid w:val="0035020E"/>
    <w:rsid w:val="0035055E"/>
    <w:rsid w:val="00350623"/>
    <w:rsid w:val="0035064F"/>
    <w:rsid w:val="00350F35"/>
    <w:rsid w:val="00351B70"/>
    <w:rsid w:val="00352432"/>
    <w:rsid w:val="003527F3"/>
    <w:rsid w:val="003528EA"/>
    <w:rsid w:val="00352E00"/>
    <w:rsid w:val="00352E64"/>
    <w:rsid w:val="00352F86"/>
    <w:rsid w:val="003532FB"/>
    <w:rsid w:val="00353B94"/>
    <w:rsid w:val="00354321"/>
    <w:rsid w:val="00354772"/>
    <w:rsid w:val="0035488F"/>
    <w:rsid w:val="003548F2"/>
    <w:rsid w:val="00354913"/>
    <w:rsid w:val="003549CD"/>
    <w:rsid w:val="003550DF"/>
    <w:rsid w:val="003554AA"/>
    <w:rsid w:val="003555C4"/>
    <w:rsid w:val="00355C1F"/>
    <w:rsid w:val="0035614D"/>
    <w:rsid w:val="00356246"/>
    <w:rsid w:val="00356433"/>
    <w:rsid w:val="003564D5"/>
    <w:rsid w:val="00356535"/>
    <w:rsid w:val="003566F9"/>
    <w:rsid w:val="003568F1"/>
    <w:rsid w:val="003571B6"/>
    <w:rsid w:val="003574C0"/>
    <w:rsid w:val="003575AC"/>
    <w:rsid w:val="003577DA"/>
    <w:rsid w:val="00357D3F"/>
    <w:rsid w:val="00357F66"/>
    <w:rsid w:val="0036000A"/>
    <w:rsid w:val="003602C6"/>
    <w:rsid w:val="003605F0"/>
    <w:rsid w:val="00360BB3"/>
    <w:rsid w:val="00360DFB"/>
    <w:rsid w:val="00360E71"/>
    <w:rsid w:val="0036132F"/>
    <w:rsid w:val="003613E7"/>
    <w:rsid w:val="00361430"/>
    <w:rsid w:val="00361457"/>
    <w:rsid w:val="00361C47"/>
    <w:rsid w:val="00361E9E"/>
    <w:rsid w:val="00361F43"/>
    <w:rsid w:val="003624A1"/>
    <w:rsid w:val="0036255B"/>
    <w:rsid w:val="00362C1D"/>
    <w:rsid w:val="00362ECE"/>
    <w:rsid w:val="00362FDA"/>
    <w:rsid w:val="00363013"/>
    <w:rsid w:val="003631B2"/>
    <w:rsid w:val="00363322"/>
    <w:rsid w:val="00363776"/>
    <w:rsid w:val="003637B6"/>
    <w:rsid w:val="00363A8A"/>
    <w:rsid w:val="00363DB3"/>
    <w:rsid w:val="00363E3F"/>
    <w:rsid w:val="00364093"/>
    <w:rsid w:val="003641C8"/>
    <w:rsid w:val="003643DD"/>
    <w:rsid w:val="003644B6"/>
    <w:rsid w:val="00364587"/>
    <w:rsid w:val="003645D8"/>
    <w:rsid w:val="003648A1"/>
    <w:rsid w:val="003648CA"/>
    <w:rsid w:val="003653ED"/>
    <w:rsid w:val="003654B4"/>
    <w:rsid w:val="00365554"/>
    <w:rsid w:val="00365E60"/>
    <w:rsid w:val="00365E6F"/>
    <w:rsid w:val="00365E75"/>
    <w:rsid w:val="0036686D"/>
    <w:rsid w:val="00366C4C"/>
    <w:rsid w:val="00366F97"/>
    <w:rsid w:val="0036717A"/>
    <w:rsid w:val="00367866"/>
    <w:rsid w:val="0037021B"/>
    <w:rsid w:val="003703DC"/>
    <w:rsid w:val="00370539"/>
    <w:rsid w:val="003705FD"/>
    <w:rsid w:val="00370626"/>
    <w:rsid w:val="00370AEC"/>
    <w:rsid w:val="00371447"/>
    <w:rsid w:val="00371656"/>
    <w:rsid w:val="00371717"/>
    <w:rsid w:val="00371BD2"/>
    <w:rsid w:val="00371C86"/>
    <w:rsid w:val="0037242D"/>
    <w:rsid w:val="00372514"/>
    <w:rsid w:val="00372797"/>
    <w:rsid w:val="00372EFB"/>
    <w:rsid w:val="00373641"/>
    <w:rsid w:val="003737CA"/>
    <w:rsid w:val="00373B54"/>
    <w:rsid w:val="00373BBF"/>
    <w:rsid w:val="00374237"/>
    <w:rsid w:val="00374348"/>
    <w:rsid w:val="003747D7"/>
    <w:rsid w:val="00374850"/>
    <w:rsid w:val="00374B0E"/>
    <w:rsid w:val="00374D1D"/>
    <w:rsid w:val="00374DCB"/>
    <w:rsid w:val="00374E0C"/>
    <w:rsid w:val="00374EA6"/>
    <w:rsid w:val="00374F94"/>
    <w:rsid w:val="003751EE"/>
    <w:rsid w:val="00375484"/>
    <w:rsid w:val="003755C0"/>
    <w:rsid w:val="00375627"/>
    <w:rsid w:val="00375699"/>
    <w:rsid w:val="0037571E"/>
    <w:rsid w:val="0037624C"/>
    <w:rsid w:val="00376406"/>
    <w:rsid w:val="0037650B"/>
    <w:rsid w:val="003765F0"/>
    <w:rsid w:val="00376B8A"/>
    <w:rsid w:val="00376CE0"/>
    <w:rsid w:val="00376DA3"/>
    <w:rsid w:val="00376E61"/>
    <w:rsid w:val="00377227"/>
    <w:rsid w:val="003772B8"/>
    <w:rsid w:val="003774AF"/>
    <w:rsid w:val="00377649"/>
    <w:rsid w:val="003776D4"/>
    <w:rsid w:val="003776D6"/>
    <w:rsid w:val="003777AC"/>
    <w:rsid w:val="0037794E"/>
    <w:rsid w:val="00377F00"/>
    <w:rsid w:val="00380141"/>
    <w:rsid w:val="003801B0"/>
    <w:rsid w:val="0038070B"/>
    <w:rsid w:val="00380757"/>
    <w:rsid w:val="00380CA4"/>
    <w:rsid w:val="0038103C"/>
    <w:rsid w:val="003810E0"/>
    <w:rsid w:val="00381111"/>
    <w:rsid w:val="00381154"/>
    <w:rsid w:val="003814FA"/>
    <w:rsid w:val="0038182E"/>
    <w:rsid w:val="00381B57"/>
    <w:rsid w:val="00381C31"/>
    <w:rsid w:val="00381DFF"/>
    <w:rsid w:val="00381E59"/>
    <w:rsid w:val="0038220F"/>
    <w:rsid w:val="0038249F"/>
    <w:rsid w:val="00382883"/>
    <w:rsid w:val="003829B6"/>
    <w:rsid w:val="00382BCC"/>
    <w:rsid w:val="00382EE1"/>
    <w:rsid w:val="003830B2"/>
    <w:rsid w:val="0038327B"/>
    <w:rsid w:val="0038386D"/>
    <w:rsid w:val="00383D89"/>
    <w:rsid w:val="00384388"/>
    <w:rsid w:val="00384680"/>
    <w:rsid w:val="00384951"/>
    <w:rsid w:val="00384AEF"/>
    <w:rsid w:val="00384FCE"/>
    <w:rsid w:val="00385284"/>
    <w:rsid w:val="0038541C"/>
    <w:rsid w:val="00385C65"/>
    <w:rsid w:val="00385D20"/>
    <w:rsid w:val="00385FE2"/>
    <w:rsid w:val="003860B2"/>
    <w:rsid w:val="00386229"/>
    <w:rsid w:val="00386531"/>
    <w:rsid w:val="003867F5"/>
    <w:rsid w:val="0038684E"/>
    <w:rsid w:val="00386A4F"/>
    <w:rsid w:val="00386CBB"/>
    <w:rsid w:val="00386DED"/>
    <w:rsid w:val="00386F78"/>
    <w:rsid w:val="00386FA7"/>
    <w:rsid w:val="0038707F"/>
    <w:rsid w:val="003876DA"/>
    <w:rsid w:val="0038770A"/>
    <w:rsid w:val="00387818"/>
    <w:rsid w:val="0038788E"/>
    <w:rsid w:val="00387915"/>
    <w:rsid w:val="00390041"/>
    <w:rsid w:val="00390156"/>
    <w:rsid w:val="003903AC"/>
    <w:rsid w:val="003905AC"/>
    <w:rsid w:val="00390B47"/>
    <w:rsid w:val="00391093"/>
    <w:rsid w:val="00391146"/>
    <w:rsid w:val="00391278"/>
    <w:rsid w:val="003917C5"/>
    <w:rsid w:val="00391A2E"/>
    <w:rsid w:val="00391CF7"/>
    <w:rsid w:val="00391DBF"/>
    <w:rsid w:val="00392B13"/>
    <w:rsid w:val="0039350B"/>
    <w:rsid w:val="00393B32"/>
    <w:rsid w:val="00393D3A"/>
    <w:rsid w:val="00394129"/>
    <w:rsid w:val="003946FB"/>
    <w:rsid w:val="003954B0"/>
    <w:rsid w:val="00395CB8"/>
    <w:rsid w:val="00395DCD"/>
    <w:rsid w:val="00395FFB"/>
    <w:rsid w:val="003960D0"/>
    <w:rsid w:val="003963B4"/>
    <w:rsid w:val="003963E9"/>
    <w:rsid w:val="00396577"/>
    <w:rsid w:val="003966F5"/>
    <w:rsid w:val="00396B78"/>
    <w:rsid w:val="00396E67"/>
    <w:rsid w:val="00397547"/>
    <w:rsid w:val="00397CB7"/>
    <w:rsid w:val="003A06C7"/>
    <w:rsid w:val="003A0BE2"/>
    <w:rsid w:val="003A119A"/>
    <w:rsid w:val="003A12F4"/>
    <w:rsid w:val="003A1596"/>
    <w:rsid w:val="003A17FF"/>
    <w:rsid w:val="003A1AEF"/>
    <w:rsid w:val="003A1C0B"/>
    <w:rsid w:val="003A1C45"/>
    <w:rsid w:val="003A1C87"/>
    <w:rsid w:val="003A206E"/>
    <w:rsid w:val="003A216F"/>
    <w:rsid w:val="003A268D"/>
    <w:rsid w:val="003A28B0"/>
    <w:rsid w:val="003A2A97"/>
    <w:rsid w:val="003A2BD8"/>
    <w:rsid w:val="003A368C"/>
    <w:rsid w:val="003A3B0D"/>
    <w:rsid w:val="003A3B3A"/>
    <w:rsid w:val="003A3D43"/>
    <w:rsid w:val="003A4194"/>
    <w:rsid w:val="003A41AD"/>
    <w:rsid w:val="003A449E"/>
    <w:rsid w:val="003A46F7"/>
    <w:rsid w:val="003A47BB"/>
    <w:rsid w:val="003A48A6"/>
    <w:rsid w:val="003A4912"/>
    <w:rsid w:val="003A4922"/>
    <w:rsid w:val="003A49E2"/>
    <w:rsid w:val="003A49EE"/>
    <w:rsid w:val="003A4D22"/>
    <w:rsid w:val="003A4D98"/>
    <w:rsid w:val="003A53AB"/>
    <w:rsid w:val="003A53AF"/>
    <w:rsid w:val="003A54E9"/>
    <w:rsid w:val="003A559E"/>
    <w:rsid w:val="003A5EA4"/>
    <w:rsid w:val="003A682F"/>
    <w:rsid w:val="003A6856"/>
    <w:rsid w:val="003A6937"/>
    <w:rsid w:val="003A6BDC"/>
    <w:rsid w:val="003A772F"/>
    <w:rsid w:val="003A78ED"/>
    <w:rsid w:val="003A79E8"/>
    <w:rsid w:val="003A7E36"/>
    <w:rsid w:val="003A7FB7"/>
    <w:rsid w:val="003B014E"/>
    <w:rsid w:val="003B03FB"/>
    <w:rsid w:val="003B0DC0"/>
    <w:rsid w:val="003B10FA"/>
    <w:rsid w:val="003B184B"/>
    <w:rsid w:val="003B272B"/>
    <w:rsid w:val="003B2975"/>
    <w:rsid w:val="003B29B5"/>
    <w:rsid w:val="003B2A17"/>
    <w:rsid w:val="003B2A4B"/>
    <w:rsid w:val="003B32B3"/>
    <w:rsid w:val="003B3A09"/>
    <w:rsid w:val="003B3CD4"/>
    <w:rsid w:val="003B3DE6"/>
    <w:rsid w:val="003B527C"/>
    <w:rsid w:val="003B52BF"/>
    <w:rsid w:val="003B62C9"/>
    <w:rsid w:val="003B67E0"/>
    <w:rsid w:val="003B68AE"/>
    <w:rsid w:val="003B69A0"/>
    <w:rsid w:val="003B69D9"/>
    <w:rsid w:val="003B6E1B"/>
    <w:rsid w:val="003B72BC"/>
    <w:rsid w:val="003B797D"/>
    <w:rsid w:val="003B7B60"/>
    <w:rsid w:val="003B7EA5"/>
    <w:rsid w:val="003C01F4"/>
    <w:rsid w:val="003C0273"/>
    <w:rsid w:val="003C0DB1"/>
    <w:rsid w:val="003C1153"/>
    <w:rsid w:val="003C138D"/>
    <w:rsid w:val="003C1481"/>
    <w:rsid w:val="003C16EC"/>
    <w:rsid w:val="003C17CC"/>
    <w:rsid w:val="003C1884"/>
    <w:rsid w:val="003C19A3"/>
    <w:rsid w:val="003C1F28"/>
    <w:rsid w:val="003C28FC"/>
    <w:rsid w:val="003C38B9"/>
    <w:rsid w:val="003C3AAD"/>
    <w:rsid w:val="003C4284"/>
    <w:rsid w:val="003C4E84"/>
    <w:rsid w:val="003C5091"/>
    <w:rsid w:val="003C5176"/>
    <w:rsid w:val="003C53CC"/>
    <w:rsid w:val="003C5669"/>
    <w:rsid w:val="003C5762"/>
    <w:rsid w:val="003C57E6"/>
    <w:rsid w:val="003C5CD6"/>
    <w:rsid w:val="003C5F1E"/>
    <w:rsid w:val="003C6119"/>
    <w:rsid w:val="003C6307"/>
    <w:rsid w:val="003C6480"/>
    <w:rsid w:val="003C6D8A"/>
    <w:rsid w:val="003C7259"/>
    <w:rsid w:val="003C72B2"/>
    <w:rsid w:val="003C74C2"/>
    <w:rsid w:val="003C779A"/>
    <w:rsid w:val="003C7AAB"/>
    <w:rsid w:val="003C7B32"/>
    <w:rsid w:val="003C7D8E"/>
    <w:rsid w:val="003D00AB"/>
    <w:rsid w:val="003D09D9"/>
    <w:rsid w:val="003D0F77"/>
    <w:rsid w:val="003D119B"/>
    <w:rsid w:val="003D13AF"/>
    <w:rsid w:val="003D184A"/>
    <w:rsid w:val="003D1A06"/>
    <w:rsid w:val="003D1E7D"/>
    <w:rsid w:val="003D2130"/>
    <w:rsid w:val="003D22E8"/>
    <w:rsid w:val="003D248C"/>
    <w:rsid w:val="003D2D71"/>
    <w:rsid w:val="003D2E04"/>
    <w:rsid w:val="003D2FD0"/>
    <w:rsid w:val="003D3290"/>
    <w:rsid w:val="003D32B9"/>
    <w:rsid w:val="003D37B5"/>
    <w:rsid w:val="003D3C80"/>
    <w:rsid w:val="003D4114"/>
    <w:rsid w:val="003D4157"/>
    <w:rsid w:val="003D529C"/>
    <w:rsid w:val="003D54A7"/>
    <w:rsid w:val="003D5576"/>
    <w:rsid w:val="003D5DA1"/>
    <w:rsid w:val="003D5EA0"/>
    <w:rsid w:val="003D60D4"/>
    <w:rsid w:val="003D6237"/>
    <w:rsid w:val="003D6AD7"/>
    <w:rsid w:val="003D73D7"/>
    <w:rsid w:val="003D79E4"/>
    <w:rsid w:val="003D7E59"/>
    <w:rsid w:val="003E01B8"/>
    <w:rsid w:val="003E0A24"/>
    <w:rsid w:val="003E0A42"/>
    <w:rsid w:val="003E0A52"/>
    <w:rsid w:val="003E0B86"/>
    <w:rsid w:val="003E1D34"/>
    <w:rsid w:val="003E22AF"/>
    <w:rsid w:val="003E260E"/>
    <w:rsid w:val="003E28CE"/>
    <w:rsid w:val="003E2E02"/>
    <w:rsid w:val="003E2E40"/>
    <w:rsid w:val="003E3082"/>
    <w:rsid w:val="003E32AC"/>
    <w:rsid w:val="003E3481"/>
    <w:rsid w:val="003E3485"/>
    <w:rsid w:val="003E3823"/>
    <w:rsid w:val="003E3AD0"/>
    <w:rsid w:val="003E3B5C"/>
    <w:rsid w:val="003E4184"/>
    <w:rsid w:val="003E4545"/>
    <w:rsid w:val="003E4BAD"/>
    <w:rsid w:val="003E4F44"/>
    <w:rsid w:val="003E5207"/>
    <w:rsid w:val="003E5BFF"/>
    <w:rsid w:val="003E5C95"/>
    <w:rsid w:val="003E5CA7"/>
    <w:rsid w:val="003E6543"/>
    <w:rsid w:val="003E6784"/>
    <w:rsid w:val="003E68F3"/>
    <w:rsid w:val="003E6941"/>
    <w:rsid w:val="003E6B9B"/>
    <w:rsid w:val="003E70DA"/>
    <w:rsid w:val="003E778E"/>
    <w:rsid w:val="003E793C"/>
    <w:rsid w:val="003E7FC0"/>
    <w:rsid w:val="003F0EA2"/>
    <w:rsid w:val="003F0F36"/>
    <w:rsid w:val="003F1127"/>
    <w:rsid w:val="003F12DA"/>
    <w:rsid w:val="003F15B3"/>
    <w:rsid w:val="003F1DDE"/>
    <w:rsid w:val="003F27A3"/>
    <w:rsid w:val="003F27E2"/>
    <w:rsid w:val="003F2AEA"/>
    <w:rsid w:val="003F2BC1"/>
    <w:rsid w:val="003F2C68"/>
    <w:rsid w:val="003F2D13"/>
    <w:rsid w:val="003F2E27"/>
    <w:rsid w:val="003F2EE3"/>
    <w:rsid w:val="003F2F0D"/>
    <w:rsid w:val="003F318C"/>
    <w:rsid w:val="003F3F72"/>
    <w:rsid w:val="003F435E"/>
    <w:rsid w:val="003F4763"/>
    <w:rsid w:val="003F488C"/>
    <w:rsid w:val="003F4C84"/>
    <w:rsid w:val="003F50A6"/>
    <w:rsid w:val="003F53CF"/>
    <w:rsid w:val="003F5553"/>
    <w:rsid w:val="003F568C"/>
    <w:rsid w:val="003F589B"/>
    <w:rsid w:val="003F6098"/>
    <w:rsid w:val="003F6472"/>
    <w:rsid w:val="003F7E51"/>
    <w:rsid w:val="003F7E9C"/>
    <w:rsid w:val="004007FB"/>
    <w:rsid w:val="004008DB"/>
    <w:rsid w:val="00400FB0"/>
    <w:rsid w:val="00401100"/>
    <w:rsid w:val="00401691"/>
    <w:rsid w:val="0040169E"/>
    <w:rsid w:val="00401792"/>
    <w:rsid w:val="00401E11"/>
    <w:rsid w:val="00401F67"/>
    <w:rsid w:val="00402027"/>
    <w:rsid w:val="004021CF"/>
    <w:rsid w:val="0040230E"/>
    <w:rsid w:val="004023AC"/>
    <w:rsid w:val="00402602"/>
    <w:rsid w:val="00402E7F"/>
    <w:rsid w:val="0040349A"/>
    <w:rsid w:val="00403E06"/>
    <w:rsid w:val="004040AE"/>
    <w:rsid w:val="00404149"/>
    <w:rsid w:val="00404393"/>
    <w:rsid w:val="004044AE"/>
    <w:rsid w:val="0040477B"/>
    <w:rsid w:val="004048A9"/>
    <w:rsid w:val="00404AE0"/>
    <w:rsid w:val="004051AD"/>
    <w:rsid w:val="00405412"/>
    <w:rsid w:val="004059AE"/>
    <w:rsid w:val="004059FC"/>
    <w:rsid w:val="00405AE6"/>
    <w:rsid w:val="00405D37"/>
    <w:rsid w:val="00405F2E"/>
    <w:rsid w:val="004062ED"/>
    <w:rsid w:val="00406379"/>
    <w:rsid w:val="0040637D"/>
    <w:rsid w:val="00406413"/>
    <w:rsid w:val="00406557"/>
    <w:rsid w:val="004067FA"/>
    <w:rsid w:val="004069D5"/>
    <w:rsid w:val="00406BC3"/>
    <w:rsid w:val="00406D95"/>
    <w:rsid w:val="00407125"/>
    <w:rsid w:val="004071CB"/>
    <w:rsid w:val="0040727B"/>
    <w:rsid w:val="00407655"/>
    <w:rsid w:val="00407898"/>
    <w:rsid w:val="00407982"/>
    <w:rsid w:val="0041002C"/>
    <w:rsid w:val="004105C2"/>
    <w:rsid w:val="00410748"/>
    <w:rsid w:val="0041075A"/>
    <w:rsid w:val="004109DC"/>
    <w:rsid w:val="00410B48"/>
    <w:rsid w:val="00410F30"/>
    <w:rsid w:val="00410F5B"/>
    <w:rsid w:val="00410F67"/>
    <w:rsid w:val="00411081"/>
    <w:rsid w:val="00411561"/>
    <w:rsid w:val="0041197F"/>
    <w:rsid w:val="00411CF5"/>
    <w:rsid w:val="00411D9A"/>
    <w:rsid w:val="00411D9E"/>
    <w:rsid w:val="00411F85"/>
    <w:rsid w:val="00412BE0"/>
    <w:rsid w:val="004134EF"/>
    <w:rsid w:val="004136F0"/>
    <w:rsid w:val="00413C64"/>
    <w:rsid w:val="00413D84"/>
    <w:rsid w:val="00413E12"/>
    <w:rsid w:val="00413F71"/>
    <w:rsid w:val="00414431"/>
    <w:rsid w:val="00414B3D"/>
    <w:rsid w:val="00414F6C"/>
    <w:rsid w:val="00415049"/>
    <w:rsid w:val="00415445"/>
    <w:rsid w:val="004154A4"/>
    <w:rsid w:val="004156BA"/>
    <w:rsid w:val="0041589B"/>
    <w:rsid w:val="00415DAC"/>
    <w:rsid w:val="0041663D"/>
    <w:rsid w:val="00416A0D"/>
    <w:rsid w:val="00416C05"/>
    <w:rsid w:val="00416D01"/>
    <w:rsid w:val="004170A1"/>
    <w:rsid w:val="00417539"/>
    <w:rsid w:val="00417C1E"/>
    <w:rsid w:val="00417F87"/>
    <w:rsid w:val="004208E8"/>
    <w:rsid w:val="00420906"/>
    <w:rsid w:val="0042091A"/>
    <w:rsid w:val="004209DE"/>
    <w:rsid w:val="004210C5"/>
    <w:rsid w:val="004218DD"/>
    <w:rsid w:val="00421ACB"/>
    <w:rsid w:val="00421C64"/>
    <w:rsid w:val="00421D9E"/>
    <w:rsid w:val="00421EFF"/>
    <w:rsid w:val="00421F05"/>
    <w:rsid w:val="004223A2"/>
    <w:rsid w:val="004227F9"/>
    <w:rsid w:val="00422D6F"/>
    <w:rsid w:val="00422D9B"/>
    <w:rsid w:val="00422F5F"/>
    <w:rsid w:val="00423122"/>
    <w:rsid w:val="00423366"/>
    <w:rsid w:val="004236BD"/>
    <w:rsid w:val="00423750"/>
    <w:rsid w:val="00423C31"/>
    <w:rsid w:val="00423EA5"/>
    <w:rsid w:val="00424304"/>
    <w:rsid w:val="00424381"/>
    <w:rsid w:val="004253B8"/>
    <w:rsid w:val="00425891"/>
    <w:rsid w:val="00425927"/>
    <w:rsid w:val="00425AD0"/>
    <w:rsid w:val="0042609A"/>
    <w:rsid w:val="004262B7"/>
    <w:rsid w:val="004264EB"/>
    <w:rsid w:val="00426B11"/>
    <w:rsid w:val="00426EA8"/>
    <w:rsid w:val="00426F7D"/>
    <w:rsid w:val="00427351"/>
    <w:rsid w:val="004273A4"/>
    <w:rsid w:val="004273BE"/>
    <w:rsid w:val="00427562"/>
    <w:rsid w:val="0042769E"/>
    <w:rsid w:val="00427715"/>
    <w:rsid w:val="00427AA4"/>
    <w:rsid w:val="00427AED"/>
    <w:rsid w:val="00430377"/>
    <w:rsid w:val="00430444"/>
    <w:rsid w:val="004305C5"/>
    <w:rsid w:val="00430821"/>
    <w:rsid w:val="00430970"/>
    <w:rsid w:val="004310CF"/>
    <w:rsid w:val="0043138B"/>
    <w:rsid w:val="0043169F"/>
    <w:rsid w:val="00431C3C"/>
    <w:rsid w:val="00431CA0"/>
    <w:rsid w:val="00432201"/>
    <w:rsid w:val="0043227B"/>
    <w:rsid w:val="00432307"/>
    <w:rsid w:val="00432AF1"/>
    <w:rsid w:val="00433093"/>
    <w:rsid w:val="0043316C"/>
    <w:rsid w:val="00433352"/>
    <w:rsid w:val="00433C3F"/>
    <w:rsid w:val="004340E8"/>
    <w:rsid w:val="004349A6"/>
    <w:rsid w:val="00434EE1"/>
    <w:rsid w:val="004350BC"/>
    <w:rsid w:val="00435215"/>
    <w:rsid w:val="004356D3"/>
    <w:rsid w:val="004359A3"/>
    <w:rsid w:val="00435A00"/>
    <w:rsid w:val="00435C6F"/>
    <w:rsid w:val="00435F81"/>
    <w:rsid w:val="004362A8"/>
    <w:rsid w:val="004364C3"/>
    <w:rsid w:val="00436E7C"/>
    <w:rsid w:val="00437285"/>
    <w:rsid w:val="004378AE"/>
    <w:rsid w:val="004378C9"/>
    <w:rsid w:val="004378F3"/>
    <w:rsid w:val="00437DA0"/>
    <w:rsid w:val="00437ED8"/>
    <w:rsid w:val="00440864"/>
    <w:rsid w:val="0044091A"/>
    <w:rsid w:val="00440B4A"/>
    <w:rsid w:val="00441119"/>
    <w:rsid w:val="004418F9"/>
    <w:rsid w:val="00441B25"/>
    <w:rsid w:val="00441E1F"/>
    <w:rsid w:val="0044214E"/>
    <w:rsid w:val="00442191"/>
    <w:rsid w:val="004423F0"/>
    <w:rsid w:val="00442411"/>
    <w:rsid w:val="004424A9"/>
    <w:rsid w:val="004424CD"/>
    <w:rsid w:val="004424F7"/>
    <w:rsid w:val="0044264D"/>
    <w:rsid w:val="00442776"/>
    <w:rsid w:val="004428E0"/>
    <w:rsid w:val="00442907"/>
    <w:rsid w:val="00442B48"/>
    <w:rsid w:val="00442B9C"/>
    <w:rsid w:val="00442CEB"/>
    <w:rsid w:val="004430D5"/>
    <w:rsid w:val="0044324A"/>
    <w:rsid w:val="00443352"/>
    <w:rsid w:val="0044360E"/>
    <w:rsid w:val="00443682"/>
    <w:rsid w:val="004438C8"/>
    <w:rsid w:val="00443933"/>
    <w:rsid w:val="00443A8E"/>
    <w:rsid w:val="00443AF0"/>
    <w:rsid w:val="00443C5F"/>
    <w:rsid w:val="00443CFB"/>
    <w:rsid w:val="00443D3A"/>
    <w:rsid w:val="0044467C"/>
    <w:rsid w:val="004449B2"/>
    <w:rsid w:val="00444EF5"/>
    <w:rsid w:val="00445450"/>
    <w:rsid w:val="00445562"/>
    <w:rsid w:val="004455B4"/>
    <w:rsid w:val="00445D61"/>
    <w:rsid w:val="004465A7"/>
    <w:rsid w:val="00446719"/>
    <w:rsid w:val="00446760"/>
    <w:rsid w:val="00446DD4"/>
    <w:rsid w:val="0044714C"/>
    <w:rsid w:val="004471A4"/>
    <w:rsid w:val="0044756A"/>
    <w:rsid w:val="00447682"/>
    <w:rsid w:val="004479BC"/>
    <w:rsid w:val="00447E24"/>
    <w:rsid w:val="00447F06"/>
    <w:rsid w:val="0045022B"/>
    <w:rsid w:val="00450B2F"/>
    <w:rsid w:val="00450D60"/>
    <w:rsid w:val="00450D70"/>
    <w:rsid w:val="00450E09"/>
    <w:rsid w:val="004513C3"/>
    <w:rsid w:val="004513D6"/>
    <w:rsid w:val="004513E1"/>
    <w:rsid w:val="00451774"/>
    <w:rsid w:val="00451791"/>
    <w:rsid w:val="00451A1B"/>
    <w:rsid w:val="00451A54"/>
    <w:rsid w:val="004523EE"/>
    <w:rsid w:val="0045251B"/>
    <w:rsid w:val="00452993"/>
    <w:rsid w:val="00452995"/>
    <w:rsid w:val="00452B66"/>
    <w:rsid w:val="00452F4C"/>
    <w:rsid w:val="0045302B"/>
    <w:rsid w:val="004530FE"/>
    <w:rsid w:val="00453333"/>
    <w:rsid w:val="00453402"/>
    <w:rsid w:val="00453689"/>
    <w:rsid w:val="00453799"/>
    <w:rsid w:val="00453EFA"/>
    <w:rsid w:val="00453F26"/>
    <w:rsid w:val="0045409C"/>
    <w:rsid w:val="004541B0"/>
    <w:rsid w:val="0045426D"/>
    <w:rsid w:val="00454361"/>
    <w:rsid w:val="00454443"/>
    <w:rsid w:val="00454512"/>
    <w:rsid w:val="004547AB"/>
    <w:rsid w:val="00454D1C"/>
    <w:rsid w:val="00454E05"/>
    <w:rsid w:val="0045500C"/>
    <w:rsid w:val="00455089"/>
    <w:rsid w:val="00455837"/>
    <w:rsid w:val="004558E5"/>
    <w:rsid w:val="00455DD4"/>
    <w:rsid w:val="00455E26"/>
    <w:rsid w:val="00456065"/>
    <w:rsid w:val="004562BE"/>
    <w:rsid w:val="004562DC"/>
    <w:rsid w:val="004566FB"/>
    <w:rsid w:val="00456BE3"/>
    <w:rsid w:val="00456CB9"/>
    <w:rsid w:val="00456F7D"/>
    <w:rsid w:val="00457204"/>
    <w:rsid w:val="004576EB"/>
    <w:rsid w:val="00457752"/>
    <w:rsid w:val="004578C3"/>
    <w:rsid w:val="00457A88"/>
    <w:rsid w:val="00457C19"/>
    <w:rsid w:val="00457EDC"/>
    <w:rsid w:val="004600CB"/>
    <w:rsid w:val="00460440"/>
    <w:rsid w:val="00460446"/>
    <w:rsid w:val="004607DF"/>
    <w:rsid w:val="00460862"/>
    <w:rsid w:val="004608B1"/>
    <w:rsid w:val="0046123F"/>
    <w:rsid w:val="00461766"/>
    <w:rsid w:val="00461D22"/>
    <w:rsid w:val="00461E46"/>
    <w:rsid w:val="00461F04"/>
    <w:rsid w:val="00461F0B"/>
    <w:rsid w:val="00461F85"/>
    <w:rsid w:val="0046202F"/>
    <w:rsid w:val="00462210"/>
    <w:rsid w:val="00462685"/>
    <w:rsid w:val="00462D3C"/>
    <w:rsid w:val="004632C5"/>
    <w:rsid w:val="004633A9"/>
    <w:rsid w:val="00463699"/>
    <w:rsid w:val="004636BC"/>
    <w:rsid w:val="004638AC"/>
    <w:rsid w:val="00463B81"/>
    <w:rsid w:val="00463FDC"/>
    <w:rsid w:val="00464376"/>
    <w:rsid w:val="004646F4"/>
    <w:rsid w:val="00464842"/>
    <w:rsid w:val="0046545E"/>
    <w:rsid w:val="004655DD"/>
    <w:rsid w:val="0046584B"/>
    <w:rsid w:val="0046585F"/>
    <w:rsid w:val="00465CC6"/>
    <w:rsid w:val="00466390"/>
    <w:rsid w:val="00466A22"/>
    <w:rsid w:val="00466AF7"/>
    <w:rsid w:val="00466C8E"/>
    <w:rsid w:val="00466E10"/>
    <w:rsid w:val="00467196"/>
    <w:rsid w:val="00467345"/>
    <w:rsid w:val="004676E0"/>
    <w:rsid w:val="00467772"/>
    <w:rsid w:val="00470037"/>
    <w:rsid w:val="0047008B"/>
    <w:rsid w:val="00470784"/>
    <w:rsid w:val="00470791"/>
    <w:rsid w:val="00470887"/>
    <w:rsid w:val="00470EDD"/>
    <w:rsid w:val="00471207"/>
    <w:rsid w:val="00471959"/>
    <w:rsid w:val="00471EC0"/>
    <w:rsid w:val="004722FE"/>
    <w:rsid w:val="0047234D"/>
    <w:rsid w:val="00472392"/>
    <w:rsid w:val="004723CF"/>
    <w:rsid w:val="004727C0"/>
    <w:rsid w:val="0047293D"/>
    <w:rsid w:val="0047322F"/>
    <w:rsid w:val="004733B1"/>
    <w:rsid w:val="00473A51"/>
    <w:rsid w:val="00473D81"/>
    <w:rsid w:val="00473EC0"/>
    <w:rsid w:val="0047401C"/>
    <w:rsid w:val="00474163"/>
    <w:rsid w:val="00474330"/>
    <w:rsid w:val="004743F1"/>
    <w:rsid w:val="004746EB"/>
    <w:rsid w:val="0047496A"/>
    <w:rsid w:val="00474B73"/>
    <w:rsid w:val="0047521B"/>
    <w:rsid w:val="004756BB"/>
    <w:rsid w:val="00475A8E"/>
    <w:rsid w:val="00475E13"/>
    <w:rsid w:val="004761C4"/>
    <w:rsid w:val="0047692C"/>
    <w:rsid w:val="00476940"/>
    <w:rsid w:val="0047699C"/>
    <w:rsid w:val="00476A14"/>
    <w:rsid w:val="004777FB"/>
    <w:rsid w:val="00477E86"/>
    <w:rsid w:val="00477EEC"/>
    <w:rsid w:val="00477F1E"/>
    <w:rsid w:val="004803AD"/>
    <w:rsid w:val="004805C9"/>
    <w:rsid w:val="00480644"/>
    <w:rsid w:val="004806DB"/>
    <w:rsid w:val="004807AF"/>
    <w:rsid w:val="004813F7"/>
    <w:rsid w:val="004815CA"/>
    <w:rsid w:val="004819A1"/>
    <w:rsid w:val="00481B26"/>
    <w:rsid w:val="00481E58"/>
    <w:rsid w:val="0048200E"/>
    <w:rsid w:val="00482058"/>
    <w:rsid w:val="0048213E"/>
    <w:rsid w:val="004824FF"/>
    <w:rsid w:val="00482AE0"/>
    <w:rsid w:val="00482CAF"/>
    <w:rsid w:val="00483196"/>
    <w:rsid w:val="004837D7"/>
    <w:rsid w:val="00483809"/>
    <w:rsid w:val="004839A8"/>
    <w:rsid w:val="00483B0B"/>
    <w:rsid w:val="004840C9"/>
    <w:rsid w:val="004846C8"/>
    <w:rsid w:val="00484A98"/>
    <w:rsid w:val="00484CF5"/>
    <w:rsid w:val="00484F19"/>
    <w:rsid w:val="00485162"/>
    <w:rsid w:val="00485370"/>
    <w:rsid w:val="004854E4"/>
    <w:rsid w:val="004856CB"/>
    <w:rsid w:val="00485A89"/>
    <w:rsid w:val="0048602C"/>
    <w:rsid w:val="00486300"/>
    <w:rsid w:val="0048679C"/>
    <w:rsid w:val="004868C7"/>
    <w:rsid w:val="00486D96"/>
    <w:rsid w:val="00486E4D"/>
    <w:rsid w:val="00486FA2"/>
    <w:rsid w:val="00486FB1"/>
    <w:rsid w:val="004872E2"/>
    <w:rsid w:val="004879CB"/>
    <w:rsid w:val="004901A6"/>
    <w:rsid w:val="0049035E"/>
    <w:rsid w:val="004904C8"/>
    <w:rsid w:val="0049067C"/>
    <w:rsid w:val="00490B94"/>
    <w:rsid w:val="00490D4F"/>
    <w:rsid w:val="004912EC"/>
    <w:rsid w:val="0049159E"/>
    <w:rsid w:val="00491E2E"/>
    <w:rsid w:val="004920F5"/>
    <w:rsid w:val="00492655"/>
    <w:rsid w:val="004926AB"/>
    <w:rsid w:val="00492991"/>
    <w:rsid w:val="00492AE0"/>
    <w:rsid w:val="00492C63"/>
    <w:rsid w:val="00492D1D"/>
    <w:rsid w:val="00493987"/>
    <w:rsid w:val="00494087"/>
    <w:rsid w:val="0049435B"/>
    <w:rsid w:val="004943AF"/>
    <w:rsid w:val="004944AD"/>
    <w:rsid w:val="0049463F"/>
    <w:rsid w:val="00494700"/>
    <w:rsid w:val="00494747"/>
    <w:rsid w:val="004952A1"/>
    <w:rsid w:val="004952DC"/>
    <w:rsid w:val="00495BAC"/>
    <w:rsid w:val="00495CD3"/>
    <w:rsid w:val="00495E56"/>
    <w:rsid w:val="004960D5"/>
    <w:rsid w:val="00496837"/>
    <w:rsid w:val="00496948"/>
    <w:rsid w:val="00496BD1"/>
    <w:rsid w:val="0049701F"/>
    <w:rsid w:val="0049746F"/>
    <w:rsid w:val="00497D40"/>
    <w:rsid w:val="00497DC9"/>
    <w:rsid w:val="004A0045"/>
    <w:rsid w:val="004A0172"/>
    <w:rsid w:val="004A08DE"/>
    <w:rsid w:val="004A1D09"/>
    <w:rsid w:val="004A227B"/>
    <w:rsid w:val="004A2719"/>
    <w:rsid w:val="004A27B3"/>
    <w:rsid w:val="004A2816"/>
    <w:rsid w:val="004A299F"/>
    <w:rsid w:val="004A2DAA"/>
    <w:rsid w:val="004A324A"/>
    <w:rsid w:val="004A3268"/>
    <w:rsid w:val="004A3402"/>
    <w:rsid w:val="004A3917"/>
    <w:rsid w:val="004A3C25"/>
    <w:rsid w:val="004A3D55"/>
    <w:rsid w:val="004A41C8"/>
    <w:rsid w:val="004A4224"/>
    <w:rsid w:val="004A4332"/>
    <w:rsid w:val="004A436E"/>
    <w:rsid w:val="004A43EE"/>
    <w:rsid w:val="004A460C"/>
    <w:rsid w:val="004A49F6"/>
    <w:rsid w:val="004A4B60"/>
    <w:rsid w:val="004A4E15"/>
    <w:rsid w:val="004A5133"/>
    <w:rsid w:val="004A51A3"/>
    <w:rsid w:val="004A546B"/>
    <w:rsid w:val="004A5974"/>
    <w:rsid w:val="004A5B3B"/>
    <w:rsid w:val="004A5E66"/>
    <w:rsid w:val="004A5EAC"/>
    <w:rsid w:val="004A61EE"/>
    <w:rsid w:val="004A640F"/>
    <w:rsid w:val="004A6814"/>
    <w:rsid w:val="004A6ADE"/>
    <w:rsid w:val="004A750D"/>
    <w:rsid w:val="004A771E"/>
    <w:rsid w:val="004A7B80"/>
    <w:rsid w:val="004A7DF7"/>
    <w:rsid w:val="004B050C"/>
    <w:rsid w:val="004B06D8"/>
    <w:rsid w:val="004B07AA"/>
    <w:rsid w:val="004B0B56"/>
    <w:rsid w:val="004B0CBF"/>
    <w:rsid w:val="004B0CE8"/>
    <w:rsid w:val="004B0D3B"/>
    <w:rsid w:val="004B1477"/>
    <w:rsid w:val="004B147F"/>
    <w:rsid w:val="004B14AE"/>
    <w:rsid w:val="004B1597"/>
    <w:rsid w:val="004B1A67"/>
    <w:rsid w:val="004B1FBC"/>
    <w:rsid w:val="004B21DF"/>
    <w:rsid w:val="004B2412"/>
    <w:rsid w:val="004B28C6"/>
    <w:rsid w:val="004B2928"/>
    <w:rsid w:val="004B2B27"/>
    <w:rsid w:val="004B2CB0"/>
    <w:rsid w:val="004B2E63"/>
    <w:rsid w:val="004B2F69"/>
    <w:rsid w:val="004B36AF"/>
    <w:rsid w:val="004B3B11"/>
    <w:rsid w:val="004B3B96"/>
    <w:rsid w:val="004B3CED"/>
    <w:rsid w:val="004B3D31"/>
    <w:rsid w:val="004B3D4D"/>
    <w:rsid w:val="004B3D95"/>
    <w:rsid w:val="004B4FCB"/>
    <w:rsid w:val="004B4FF0"/>
    <w:rsid w:val="004B50CE"/>
    <w:rsid w:val="004B50F0"/>
    <w:rsid w:val="004B5894"/>
    <w:rsid w:val="004B5BA5"/>
    <w:rsid w:val="004B5BDE"/>
    <w:rsid w:val="004B62EE"/>
    <w:rsid w:val="004B6381"/>
    <w:rsid w:val="004B6B4C"/>
    <w:rsid w:val="004B6EB9"/>
    <w:rsid w:val="004B6FAB"/>
    <w:rsid w:val="004B740B"/>
    <w:rsid w:val="004B7718"/>
    <w:rsid w:val="004B79B8"/>
    <w:rsid w:val="004B7ADA"/>
    <w:rsid w:val="004B7EA8"/>
    <w:rsid w:val="004C0077"/>
    <w:rsid w:val="004C007C"/>
    <w:rsid w:val="004C0321"/>
    <w:rsid w:val="004C06BB"/>
    <w:rsid w:val="004C0884"/>
    <w:rsid w:val="004C0DAB"/>
    <w:rsid w:val="004C0E67"/>
    <w:rsid w:val="004C177A"/>
    <w:rsid w:val="004C1A6F"/>
    <w:rsid w:val="004C1A98"/>
    <w:rsid w:val="004C1BA0"/>
    <w:rsid w:val="004C1E76"/>
    <w:rsid w:val="004C1F83"/>
    <w:rsid w:val="004C20B0"/>
    <w:rsid w:val="004C20C3"/>
    <w:rsid w:val="004C22D1"/>
    <w:rsid w:val="004C29F8"/>
    <w:rsid w:val="004C2D8D"/>
    <w:rsid w:val="004C30AE"/>
    <w:rsid w:val="004C3157"/>
    <w:rsid w:val="004C395D"/>
    <w:rsid w:val="004C3AC4"/>
    <w:rsid w:val="004C3B6A"/>
    <w:rsid w:val="004C43B5"/>
    <w:rsid w:val="004C4518"/>
    <w:rsid w:val="004C4745"/>
    <w:rsid w:val="004C4817"/>
    <w:rsid w:val="004C4C63"/>
    <w:rsid w:val="004C4F92"/>
    <w:rsid w:val="004C4FF7"/>
    <w:rsid w:val="004C5942"/>
    <w:rsid w:val="004C5A51"/>
    <w:rsid w:val="004C5BFB"/>
    <w:rsid w:val="004C5CB8"/>
    <w:rsid w:val="004C5CC6"/>
    <w:rsid w:val="004C5FD9"/>
    <w:rsid w:val="004C63A6"/>
    <w:rsid w:val="004C6464"/>
    <w:rsid w:val="004C664A"/>
    <w:rsid w:val="004C6E07"/>
    <w:rsid w:val="004C70FD"/>
    <w:rsid w:val="004C7272"/>
    <w:rsid w:val="004C73D1"/>
    <w:rsid w:val="004C74E7"/>
    <w:rsid w:val="004C7679"/>
    <w:rsid w:val="004C77F1"/>
    <w:rsid w:val="004C7887"/>
    <w:rsid w:val="004C7ADE"/>
    <w:rsid w:val="004C7F07"/>
    <w:rsid w:val="004C7F3D"/>
    <w:rsid w:val="004C7F67"/>
    <w:rsid w:val="004D03E6"/>
    <w:rsid w:val="004D066C"/>
    <w:rsid w:val="004D09D7"/>
    <w:rsid w:val="004D0A32"/>
    <w:rsid w:val="004D0B8E"/>
    <w:rsid w:val="004D0BF0"/>
    <w:rsid w:val="004D0E26"/>
    <w:rsid w:val="004D10DB"/>
    <w:rsid w:val="004D1158"/>
    <w:rsid w:val="004D1305"/>
    <w:rsid w:val="004D1618"/>
    <w:rsid w:val="004D16B6"/>
    <w:rsid w:val="004D1856"/>
    <w:rsid w:val="004D1B2E"/>
    <w:rsid w:val="004D1D35"/>
    <w:rsid w:val="004D236D"/>
    <w:rsid w:val="004D2403"/>
    <w:rsid w:val="004D2482"/>
    <w:rsid w:val="004D2520"/>
    <w:rsid w:val="004D2853"/>
    <w:rsid w:val="004D29E4"/>
    <w:rsid w:val="004D2BD1"/>
    <w:rsid w:val="004D2C93"/>
    <w:rsid w:val="004D2EC7"/>
    <w:rsid w:val="004D318A"/>
    <w:rsid w:val="004D3301"/>
    <w:rsid w:val="004D341F"/>
    <w:rsid w:val="004D34CC"/>
    <w:rsid w:val="004D34EA"/>
    <w:rsid w:val="004D3545"/>
    <w:rsid w:val="004D3F40"/>
    <w:rsid w:val="004D4188"/>
    <w:rsid w:val="004D41CD"/>
    <w:rsid w:val="004D449F"/>
    <w:rsid w:val="004D4803"/>
    <w:rsid w:val="004D4B16"/>
    <w:rsid w:val="004D4D3E"/>
    <w:rsid w:val="004D4E50"/>
    <w:rsid w:val="004D4FF3"/>
    <w:rsid w:val="004D51F1"/>
    <w:rsid w:val="004D5BF4"/>
    <w:rsid w:val="004D5D4B"/>
    <w:rsid w:val="004D635A"/>
    <w:rsid w:val="004D639C"/>
    <w:rsid w:val="004D6485"/>
    <w:rsid w:val="004D64E6"/>
    <w:rsid w:val="004D65A9"/>
    <w:rsid w:val="004D6863"/>
    <w:rsid w:val="004D694A"/>
    <w:rsid w:val="004D70D5"/>
    <w:rsid w:val="004D72DE"/>
    <w:rsid w:val="004D746F"/>
    <w:rsid w:val="004D78C3"/>
    <w:rsid w:val="004D7917"/>
    <w:rsid w:val="004D7969"/>
    <w:rsid w:val="004D7BEC"/>
    <w:rsid w:val="004E01BC"/>
    <w:rsid w:val="004E08B5"/>
    <w:rsid w:val="004E0C43"/>
    <w:rsid w:val="004E1089"/>
    <w:rsid w:val="004E10D4"/>
    <w:rsid w:val="004E1217"/>
    <w:rsid w:val="004E13AC"/>
    <w:rsid w:val="004E13DF"/>
    <w:rsid w:val="004E1428"/>
    <w:rsid w:val="004E150A"/>
    <w:rsid w:val="004E16FE"/>
    <w:rsid w:val="004E189D"/>
    <w:rsid w:val="004E193E"/>
    <w:rsid w:val="004E1972"/>
    <w:rsid w:val="004E1FEA"/>
    <w:rsid w:val="004E201B"/>
    <w:rsid w:val="004E22A8"/>
    <w:rsid w:val="004E23AD"/>
    <w:rsid w:val="004E23E1"/>
    <w:rsid w:val="004E2413"/>
    <w:rsid w:val="004E2470"/>
    <w:rsid w:val="004E24E4"/>
    <w:rsid w:val="004E27B6"/>
    <w:rsid w:val="004E2E6F"/>
    <w:rsid w:val="004E312A"/>
    <w:rsid w:val="004E3181"/>
    <w:rsid w:val="004E34CE"/>
    <w:rsid w:val="004E3532"/>
    <w:rsid w:val="004E3695"/>
    <w:rsid w:val="004E384E"/>
    <w:rsid w:val="004E3907"/>
    <w:rsid w:val="004E3BD6"/>
    <w:rsid w:val="004E3D71"/>
    <w:rsid w:val="004E3DCF"/>
    <w:rsid w:val="004E3E49"/>
    <w:rsid w:val="004E53AD"/>
    <w:rsid w:val="004E546E"/>
    <w:rsid w:val="004E55F9"/>
    <w:rsid w:val="004E5791"/>
    <w:rsid w:val="004E584F"/>
    <w:rsid w:val="004E5A90"/>
    <w:rsid w:val="004E5D3E"/>
    <w:rsid w:val="004E6033"/>
    <w:rsid w:val="004E6372"/>
    <w:rsid w:val="004E63FA"/>
    <w:rsid w:val="004E651F"/>
    <w:rsid w:val="004E6540"/>
    <w:rsid w:val="004E6C27"/>
    <w:rsid w:val="004E6E06"/>
    <w:rsid w:val="004E7036"/>
    <w:rsid w:val="004E719A"/>
    <w:rsid w:val="004E755B"/>
    <w:rsid w:val="004E75A6"/>
    <w:rsid w:val="004E76C5"/>
    <w:rsid w:val="004E7A6E"/>
    <w:rsid w:val="004E7B7E"/>
    <w:rsid w:val="004E7DC8"/>
    <w:rsid w:val="004E7E0D"/>
    <w:rsid w:val="004F0267"/>
    <w:rsid w:val="004F02C3"/>
    <w:rsid w:val="004F09D2"/>
    <w:rsid w:val="004F0B6C"/>
    <w:rsid w:val="004F0D92"/>
    <w:rsid w:val="004F0F58"/>
    <w:rsid w:val="004F0F7B"/>
    <w:rsid w:val="004F0FEA"/>
    <w:rsid w:val="004F148A"/>
    <w:rsid w:val="004F18A7"/>
    <w:rsid w:val="004F1977"/>
    <w:rsid w:val="004F1D9B"/>
    <w:rsid w:val="004F1FDE"/>
    <w:rsid w:val="004F24F9"/>
    <w:rsid w:val="004F31E8"/>
    <w:rsid w:val="004F31F6"/>
    <w:rsid w:val="004F3424"/>
    <w:rsid w:val="004F3434"/>
    <w:rsid w:val="004F3768"/>
    <w:rsid w:val="004F38B0"/>
    <w:rsid w:val="004F39DC"/>
    <w:rsid w:val="004F3AE8"/>
    <w:rsid w:val="004F3AF7"/>
    <w:rsid w:val="004F3E02"/>
    <w:rsid w:val="004F4364"/>
    <w:rsid w:val="004F4654"/>
    <w:rsid w:val="004F47FC"/>
    <w:rsid w:val="004F4939"/>
    <w:rsid w:val="004F4A29"/>
    <w:rsid w:val="004F4A51"/>
    <w:rsid w:val="004F4AD9"/>
    <w:rsid w:val="004F4E05"/>
    <w:rsid w:val="004F4EC6"/>
    <w:rsid w:val="004F52E3"/>
    <w:rsid w:val="004F5D64"/>
    <w:rsid w:val="004F627E"/>
    <w:rsid w:val="004F62B8"/>
    <w:rsid w:val="004F630E"/>
    <w:rsid w:val="004F6A8B"/>
    <w:rsid w:val="004F6BD7"/>
    <w:rsid w:val="004F6FB7"/>
    <w:rsid w:val="004F7314"/>
    <w:rsid w:val="00500118"/>
    <w:rsid w:val="00500136"/>
    <w:rsid w:val="005001EC"/>
    <w:rsid w:val="005005C0"/>
    <w:rsid w:val="005005F8"/>
    <w:rsid w:val="00500B9D"/>
    <w:rsid w:val="00500CCD"/>
    <w:rsid w:val="00501592"/>
    <w:rsid w:val="005016B2"/>
    <w:rsid w:val="00501DE4"/>
    <w:rsid w:val="00501F62"/>
    <w:rsid w:val="00502A87"/>
    <w:rsid w:val="00503A76"/>
    <w:rsid w:val="00503F1B"/>
    <w:rsid w:val="0050451A"/>
    <w:rsid w:val="00504524"/>
    <w:rsid w:val="00504A1A"/>
    <w:rsid w:val="00504B43"/>
    <w:rsid w:val="00504FE3"/>
    <w:rsid w:val="00504FE6"/>
    <w:rsid w:val="0050501C"/>
    <w:rsid w:val="005050FC"/>
    <w:rsid w:val="0050542F"/>
    <w:rsid w:val="005058EE"/>
    <w:rsid w:val="005061F1"/>
    <w:rsid w:val="005062B0"/>
    <w:rsid w:val="00506635"/>
    <w:rsid w:val="0050672B"/>
    <w:rsid w:val="00506A2D"/>
    <w:rsid w:val="00506B00"/>
    <w:rsid w:val="00506ED5"/>
    <w:rsid w:val="00507031"/>
    <w:rsid w:val="005070FA"/>
    <w:rsid w:val="0050725B"/>
    <w:rsid w:val="00507F4A"/>
    <w:rsid w:val="00510199"/>
    <w:rsid w:val="005109A3"/>
    <w:rsid w:val="00510D16"/>
    <w:rsid w:val="00510E83"/>
    <w:rsid w:val="00510F52"/>
    <w:rsid w:val="00510FB9"/>
    <w:rsid w:val="005110DE"/>
    <w:rsid w:val="00511693"/>
    <w:rsid w:val="0051179C"/>
    <w:rsid w:val="00511D29"/>
    <w:rsid w:val="00511FF3"/>
    <w:rsid w:val="0051209F"/>
    <w:rsid w:val="00512959"/>
    <w:rsid w:val="00512B90"/>
    <w:rsid w:val="00513268"/>
    <w:rsid w:val="0051421C"/>
    <w:rsid w:val="00514AC2"/>
    <w:rsid w:val="00514CF1"/>
    <w:rsid w:val="00514CF8"/>
    <w:rsid w:val="00515008"/>
    <w:rsid w:val="005150F9"/>
    <w:rsid w:val="005151A6"/>
    <w:rsid w:val="005154F8"/>
    <w:rsid w:val="00515697"/>
    <w:rsid w:val="00515AB2"/>
    <w:rsid w:val="00515B4A"/>
    <w:rsid w:val="00515F81"/>
    <w:rsid w:val="0051689D"/>
    <w:rsid w:val="00516EFF"/>
    <w:rsid w:val="0051710C"/>
    <w:rsid w:val="00517439"/>
    <w:rsid w:val="00517810"/>
    <w:rsid w:val="0051793B"/>
    <w:rsid w:val="00517C19"/>
    <w:rsid w:val="00517FE9"/>
    <w:rsid w:val="00517FF3"/>
    <w:rsid w:val="005203EF"/>
    <w:rsid w:val="0052051F"/>
    <w:rsid w:val="005205F4"/>
    <w:rsid w:val="00520BD5"/>
    <w:rsid w:val="00520BF0"/>
    <w:rsid w:val="00520D65"/>
    <w:rsid w:val="00520EB2"/>
    <w:rsid w:val="00521044"/>
    <w:rsid w:val="00521881"/>
    <w:rsid w:val="005218ED"/>
    <w:rsid w:val="0052190C"/>
    <w:rsid w:val="00521A95"/>
    <w:rsid w:val="00521B09"/>
    <w:rsid w:val="00521CB0"/>
    <w:rsid w:val="00522198"/>
    <w:rsid w:val="005222F3"/>
    <w:rsid w:val="00522397"/>
    <w:rsid w:val="00522705"/>
    <w:rsid w:val="00522B46"/>
    <w:rsid w:val="00522D3D"/>
    <w:rsid w:val="00522E30"/>
    <w:rsid w:val="00523283"/>
    <w:rsid w:val="005233AB"/>
    <w:rsid w:val="0052342F"/>
    <w:rsid w:val="00523C3B"/>
    <w:rsid w:val="005240B6"/>
    <w:rsid w:val="00524928"/>
    <w:rsid w:val="00524A30"/>
    <w:rsid w:val="00524B7F"/>
    <w:rsid w:val="00524E27"/>
    <w:rsid w:val="00524FB2"/>
    <w:rsid w:val="00525089"/>
    <w:rsid w:val="00525112"/>
    <w:rsid w:val="005257D6"/>
    <w:rsid w:val="0052634A"/>
    <w:rsid w:val="00526434"/>
    <w:rsid w:val="00526C3C"/>
    <w:rsid w:val="00526D99"/>
    <w:rsid w:val="005270CE"/>
    <w:rsid w:val="005271ED"/>
    <w:rsid w:val="005274D6"/>
    <w:rsid w:val="0052762F"/>
    <w:rsid w:val="005277F5"/>
    <w:rsid w:val="00527903"/>
    <w:rsid w:val="005279DE"/>
    <w:rsid w:val="00527A1A"/>
    <w:rsid w:val="00527DC3"/>
    <w:rsid w:val="005301D9"/>
    <w:rsid w:val="00530713"/>
    <w:rsid w:val="00530814"/>
    <w:rsid w:val="005308F5"/>
    <w:rsid w:val="00530BC2"/>
    <w:rsid w:val="005310A9"/>
    <w:rsid w:val="00531130"/>
    <w:rsid w:val="005311C3"/>
    <w:rsid w:val="0053124F"/>
    <w:rsid w:val="0053139E"/>
    <w:rsid w:val="00531780"/>
    <w:rsid w:val="00531815"/>
    <w:rsid w:val="00531FEA"/>
    <w:rsid w:val="00532432"/>
    <w:rsid w:val="005326F5"/>
    <w:rsid w:val="005328DA"/>
    <w:rsid w:val="00532CD4"/>
    <w:rsid w:val="00532E8C"/>
    <w:rsid w:val="00532F00"/>
    <w:rsid w:val="0053325B"/>
    <w:rsid w:val="0053331E"/>
    <w:rsid w:val="0053381C"/>
    <w:rsid w:val="00533905"/>
    <w:rsid w:val="005339F5"/>
    <w:rsid w:val="00533D33"/>
    <w:rsid w:val="00533FEE"/>
    <w:rsid w:val="00534211"/>
    <w:rsid w:val="0053422F"/>
    <w:rsid w:val="0053450F"/>
    <w:rsid w:val="005345B6"/>
    <w:rsid w:val="005346E2"/>
    <w:rsid w:val="005347BE"/>
    <w:rsid w:val="00534B14"/>
    <w:rsid w:val="0053557A"/>
    <w:rsid w:val="00535BF0"/>
    <w:rsid w:val="00535D29"/>
    <w:rsid w:val="00535E57"/>
    <w:rsid w:val="005364CE"/>
    <w:rsid w:val="00536A7C"/>
    <w:rsid w:val="005375CE"/>
    <w:rsid w:val="00537C5F"/>
    <w:rsid w:val="005401D9"/>
    <w:rsid w:val="00540233"/>
    <w:rsid w:val="0054028A"/>
    <w:rsid w:val="00540401"/>
    <w:rsid w:val="00540868"/>
    <w:rsid w:val="005408A5"/>
    <w:rsid w:val="00540B74"/>
    <w:rsid w:val="00540BEB"/>
    <w:rsid w:val="00540FD3"/>
    <w:rsid w:val="005412B6"/>
    <w:rsid w:val="005413BC"/>
    <w:rsid w:val="00541B68"/>
    <w:rsid w:val="00541EDA"/>
    <w:rsid w:val="00541FE6"/>
    <w:rsid w:val="00542240"/>
    <w:rsid w:val="00542448"/>
    <w:rsid w:val="00542CCD"/>
    <w:rsid w:val="005432D7"/>
    <w:rsid w:val="0054375E"/>
    <w:rsid w:val="005437C4"/>
    <w:rsid w:val="00543CBC"/>
    <w:rsid w:val="00543D93"/>
    <w:rsid w:val="00543EE0"/>
    <w:rsid w:val="005440BF"/>
    <w:rsid w:val="00544178"/>
    <w:rsid w:val="00544679"/>
    <w:rsid w:val="005446C0"/>
    <w:rsid w:val="00544D68"/>
    <w:rsid w:val="00544F19"/>
    <w:rsid w:val="00545B80"/>
    <w:rsid w:val="00545BF2"/>
    <w:rsid w:val="00546F80"/>
    <w:rsid w:val="00547414"/>
    <w:rsid w:val="0054744F"/>
    <w:rsid w:val="00547468"/>
    <w:rsid w:val="005474C2"/>
    <w:rsid w:val="005474F7"/>
    <w:rsid w:val="0054781B"/>
    <w:rsid w:val="00550321"/>
    <w:rsid w:val="005503A1"/>
    <w:rsid w:val="005510F2"/>
    <w:rsid w:val="0055149B"/>
    <w:rsid w:val="00552242"/>
    <w:rsid w:val="00552661"/>
    <w:rsid w:val="00552825"/>
    <w:rsid w:val="005528AC"/>
    <w:rsid w:val="00552DAD"/>
    <w:rsid w:val="00553815"/>
    <w:rsid w:val="00553C46"/>
    <w:rsid w:val="00553CF8"/>
    <w:rsid w:val="00553F60"/>
    <w:rsid w:val="0055441B"/>
    <w:rsid w:val="0055446B"/>
    <w:rsid w:val="00554920"/>
    <w:rsid w:val="0055498F"/>
    <w:rsid w:val="005554CC"/>
    <w:rsid w:val="005558E8"/>
    <w:rsid w:val="00555AD6"/>
    <w:rsid w:val="00555B38"/>
    <w:rsid w:val="00555F00"/>
    <w:rsid w:val="00555F80"/>
    <w:rsid w:val="00555FDA"/>
    <w:rsid w:val="005561D8"/>
    <w:rsid w:val="0055647A"/>
    <w:rsid w:val="005564D2"/>
    <w:rsid w:val="005566B2"/>
    <w:rsid w:val="005568B1"/>
    <w:rsid w:val="00557837"/>
    <w:rsid w:val="00557898"/>
    <w:rsid w:val="00557B3E"/>
    <w:rsid w:val="00557B4C"/>
    <w:rsid w:val="00557BCE"/>
    <w:rsid w:val="00557D06"/>
    <w:rsid w:val="00557EC9"/>
    <w:rsid w:val="0056025E"/>
    <w:rsid w:val="005602E0"/>
    <w:rsid w:val="0056038F"/>
    <w:rsid w:val="005608C2"/>
    <w:rsid w:val="005609C0"/>
    <w:rsid w:val="00560EB4"/>
    <w:rsid w:val="00560F1A"/>
    <w:rsid w:val="00561003"/>
    <w:rsid w:val="005610B1"/>
    <w:rsid w:val="00561312"/>
    <w:rsid w:val="0056159F"/>
    <w:rsid w:val="0056164F"/>
    <w:rsid w:val="0056174E"/>
    <w:rsid w:val="0056175C"/>
    <w:rsid w:val="00561B8A"/>
    <w:rsid w:val="00561F7A"/>
    <w:rsid w:val="005621E5"/>
    <w:rsid w:val="00562255"/>
    <w:rsid w:val="00562393"/>
    <w:rsid w:val="00562492"/>
    <w:rsid w:val="005625CE"/>
    <w:rsid w:val="00562A06"/>
    <w:rsid w:val="00562BC6"/>
    <w:rsid w:val="005630A1"/>
    <w:rsid w:val="00563310"/>
    <w:rsid w:val="0056388B"/>
    <w:rsid w:val="00563DE5"/>
    <w:rsid w:val="00563F02"/>
    <w:rsid w:val="00564437"/>
    <w:rsid w:val="0056448F"/>
    <w:rsid w:val="00564953"/>
    <w:rsid w:val="0056495C"/>
    <w:rsid w:val="00564B51"/>
    <w:rsid w:val="00564CC9"/>
    <w:rsid w:val="00565DF8"/>
    <w:rsid w:val="00565FD8"/>
    <w:rsid w:val="0056620B"/>
    <w:rsid w:val="00566738"/>
    <w:rsid w:val="00566886"/>
    <w:rsid w:val="005669F1"/>
    <w:rsid w:val="005676EA"/>
    <w:rsid w:val="00567855"/>
    <w:rsid w:val="00567999"/>
    <w:rsid w:val="00567A5A"/>
    <w:rsid w:val="00567AB0"/>
    <w:rsid w:val="00567B43"/>
    <w:rsid w:val="00567DEE"/>
    <w:rsid w:val="005702DB"/>
    <w:rsid w:val="005703C5"/>
    <w:rsid w:val="0057050D"/>
    <w:rsid w:val="0057073F"/>
    <w:rsid w:val="005710B6"/>
    <w:rsid w:val="005710FD"/>
    <w:rsid w:val="0057110C"/>
    <w:rsid w:val="005711CA"/>
    <w:rsid w:val="005712EB"/>
    <w:rsid w:val="005715E3"/>
    <w:rsid w:val="005719D0"/>
    <w:rsid w:val="00571A11"/>
    <w:rsid w:val="00571D6F"/>
    <w:rsid w:val="00571E4F"/>
    <w:rsid w:val="00571F4F"/>
    <w:rsid w:val="00571F87"/>
    <w:rsid w:val="005720A5"/>
    <w:rsid w:val="005725E9"/>
    <w:rsid w:val="0057287C"/>
    <w:rsid w:val="00572942"/>
    <w:rsid w:val="00572A79"/>
    <w:rsid w:val="00572CBE"/>
    <w:rsid w:val="00572DFA"/>
    <w:rsid w:val="00572F01"/>
    <w:rsid w:val="00573683"/>
    <w:rsid w:val="005737C8"/>
    <w:rsid w:val="00573950"/>
    <w:rsid w:val="005740B6"/>
    <w:rsid w:val="00574766"/>
    <w:rsid w:val="005748BD"/>
    <w:rsid w:val="00574F50"/>
    <w:rsid w:val="005751A8"/>
    <w:rsid w:val="00575949"/>
    <w:rsid w:val="00575AD9"/>
    <w:rsid w:val="00575D3F"/>
    <w:rsid w:val="00575D86"/>
    <w:rsid w:val="00576815"/>
    <w:rsid w:val="00576AB2"/>
    <w:rsid w:val="00576BA2"/>
    <w:rsid w:val="00576D32"/>
    <w:rsid w:val="00576FC0"/>
    <w:rsid w:val="0057724F"/>
    <w:rsid w:val="00577DA4"/>
    <w:rsid w:val="005803DB"/>
    <w:rsid w:val="00580897"/>
    <w:rsid w:val="00580D45"/>
    <w:rsid w:val="0058199A"/>
    <w:rsid w:val="00581A85"/>
    <w:rsid w:val="0058239E"/>
    <w:rsid w:val="00582480"/>
    <w:rsid w:val="00582BD8"/>
    <w:rsid w:val="00582DF2"/>
    <w:rsid w:val="0058309F"/>
    <w:rsid w:val="0058350B"/>
    <w:rsid w:val="00583554"/>
    <w:rsid w:val="00583BA0"/>
    <w:rsid w:val="0058407F"/>
    <w:rsid w:val="00584376"/>
    <w:rsid w:val="005843C8"/>
    <w:rsid w:val="005844D5"/>
    <w:rsid w:val="005846EB"/>
    <w:rsid w:val="005849D0"/>
    <w:rsid w:val="00584CAE"/>
    <w:rsid w:val="00584CE5"/>
    <w:rsid w:val="00584FE8"/>
    <w:rsid w:val="0058506A"/>
    <w:rsid w:val="005850B2"/>
    <w:rsid w:val="00585925"/>
    <w:rsid w:val="00586038"/>
    <w:rsid w:val="00586095"/>
    <w:rsid w:val="00586ECC"/>
    <w:rsid w:val="00586F9E"/>
    <w:rsid w:val="00587776"/>
    <w:rsid w:val="00587AD6"/>
    <w:rsid w:val="00587C42"/>
    <w:rsid w:val="00587F6D"/>
    <w:rsid w:val="00587FC6"/>
    <w:rsid w:val="0059013D"/>
    <w:rsid w:val="0059016C"/>
    <w:rsid w:val="005903A8"/>
    <w:rsid w:val="00590427"/>
    <w:rsid w:val="005905BC"/>
    <w:rsid w:val="00590683"/>
    <w:rsid w:val="00590BC7"/>
    <w:rsid w:val="00590D80"/>
    <w:rsid w:val="00591103"/>
    <w:rsid w:val="0059135E"/>
    <w:rsid w:val="00591679"/>
    <w:rsid w:val="0059187D"/>
    <w:rsid w:val="00592250"/>
    <w:rsid w:val="005924D4"/>
    <w:rsid w:val="00592648"/>
    <w:rsid w:val="005926BF"/>
    <w:rsid w:val="00592822"/>
    <w:rsid w:val="00592966"/>
    <w:rsid w:val="00592F1B"/>
    <w:rsid w:val="00592FB0"/>
    <w:rsid w:val="00593853"/>
    <w:rsid w:val="0059387B"/>
    <w:rsid w:val="00593F97"/>
    <w:rsid w:val="00594013"/>
    <w:rsid w:val="00594594"/>
    <w:rsid w:val="00594690"/>
    <w:rsid w:val="00595514"/>
    <w:rsid w:val="00595BE5"/>
    <w:rsid w:val="0059626C"/>
    <w:rsid w:val="00596367"/>
    <w:rsid w:val="0059642C"/>
    <w:rsid w:val="00596A84"/>
    <w:rsid w:val="00596C77"/>
    <w:rsid w:val="00596E4E"/>
    <w:rsid w:val="005972A0"/>
    <w:rsid w:val="00597355"/>
    <w:rsid w:val="005973E8"/>
    <w:rsid w:val="00597701"/>
    <w:rsid w:val="00597A6A"/>
    <w:rsid w:val="00597B65"/>
    <w:rsid w:val="00597C57"/>
    <w:rsid w:val="00597F6E"/>
    <w:rsid w:val="005A02E5"/>
    <w:rsid w:val="005A0730"/>
    <w:rsid w:val="005A0744"/>
    <w:rsid w:val="005A0790"/>
    <w:rsid w:val="005A1364"/>
    <w:rsid w:val="005A1803"/>
    <w:rsid w:val="005A1BBB"/>
    <w:rsid w:val="005A1C6D"/>
    <w:rsid w:val="005A1CC7"/>
    <w:rsid w:val="005A1CD5"/>
    <w:rsid w:val="005A1EA6"/>
    <w:rsid w:val="005A2098"/>
    <w:rsid w:val="005A212B"/>
    <w:rsid w:val="005A2756"/>
    <w:rsid w:val="005A28B0"/>
    <w:rsid w:val="005A29D6"/>
    <w:rsid w:val="005A2C72"/>
    <w:rsid w:val="005A2F7F"/>
    <w:rsid w:val="005A3217"/>
    <w:rsid w:val="005A3259"/>
    <w:rsid w:val="005A35E2"/>
    <w:rsid w:val="005A3C11"/>
    <w:rsid w:val="005A3E9C"/>
    <w:rsid w:val="005A4004"/>
    <w:rsid w:val="005A41DF"/>
    <w:rsid w:val="005A437A"/>
    <w:rsid w:val="005A4427"/>
    <w:rsid w:val="005A45D0"/>
    <w:rsid w:val="005A48F4"/>
    <w:rsid w:val="005A4B03"/>
    <w:rsid w:val="005A506C"/>
    <w:rsid w:val="005A509B"/>
    <w:rsid w:val="005A5444"/>
    <w:rsid w:val="005A5B1A"/>
    <w:rsid w:val="005A5D3C"/>
    <w:rsid w:val="005A6242"/>
    <w:rsid w:val="005A6474"/>
    <w:rsid w:val="005A64E4"/>
    <w:rsid w:val="005A73B6"/>
    <w:rsid w:val="005A7422"/>
    <w:rsid w:val="005A7D2B"/>
    <w:rsid w:val="005A7E2F"/>
    <w:rsid w:val="005A7FAE"/>
    <w:rsid w:val="005B0C50"/>
    <w:rsid w:val="005B0D8E"/>
    <w:rsid w:val="005B10F5"/>
    <w:rsid w:val="005B149F"/>
    <w:rsid w:val="005B1BEF"/>
    <w:rsid w:val="005B1E7D"/>
    <w:rsid w:val="005B2084"/>
    <w:rsid w:val="005B25D4"/>
    <w:rsid w:val="005B2A9C"/>
    <w:rsid w:val="005B2D24"/>
    <w:rsid w:val="005B2E68"/>
    <w:rsid w:val="005B2FB4"/>
    <w:rsid w:val="005B3CA4"/>
    <w:rsid w:val="005B3E26"/>
    <w:rsid w:val="005B42A5"/>
    <w:rsid w:val="005B4521"/>
    <w:rsid w:val="005B4809"/>
    <w:rsid w:val="005B4A72"/>
    <w:rsid w:val="005B4B00"/>
    <w:rsid w:val="005B5144"/>
    <w:rsid w:val="005B547A"/>
    <w:rsid w:val="005B59B2"/>
    <w:rsid w:val="005B5C0D"/>
    <w:rsid w:val="005B608E"/>
    <w:rsid w:val="005B61AB"/>
    <w:rsid w:val="005B6347"/>
    <w:rsid w:val="005B67BC"/>
    <w:rsid w:val="005B6C6F"/>
    <w:rsid w:val="005B6D53"/>
    <w:rsid w:val="005B6E06"/>
    <w:rsid w:val="005B6F01"/>
    <w:rsid w:val="005B73D2"/>
    <w:rsid w:val="005B76F8"/>
    <w:rsid w:val="005B7878"/>
    <w:rsid w:val="005B788D"/>
    <w:rsid w:val="005B78C3"/>
    <w:rsid w:val="005B7B31"/>
    <w:rsid w:val="005B7F16"/>
    <w:rsid w:val="005C026A"/>
    <w:rsid w:val="005C07D9"/>
    <w:rsid w:val="005C0D12"/>
    <w:rsid w:val="005C0DDC"/>
    <w:rsid w:val="005C0E7A"/>
    <w:rsid w:val="005C0ED8"/>
    <w:rsid w:val="005C1014"/>
    <w:rsid w:val="005C104C"/>
    <w:rsid w:val="005C1248"/>
    <w:rsid w:val="005C1511"/>
    <w:rsid w:val="005C157C"/>
    <w:rsid w:val="005C15AE"/>
    <w:rsid w:val="005C1758"/>
    <w:rsid w:val="005C1D59"/>
    <w:rsid w:val="005C1E15"/>
    <w:rsid w:val="005C1EFD"/>
    <w:rsid w:val="005C2136"/>
    <w:rsid w:val="005C2575"/>
    <w:rsid w:val="005C2595"/>
    <w:rsid w:val="005C2636"/>
    <w:rsid w:val="005C2D12"/>
    <w:rsid w:val="005C32FC"/>
    <w:rsid w:val="005C3409"/>
    <w:rsid w:val="005C34EF"/>
    <w:rsid w:val="005C3BEA"/>
    <w:rsid w:val="005C3FCA"/>
    <w:rsid w:val="005C4682"/>
    <w:rsid w:val="005C4853"/>
    <w:rsid w:val="005C4BAB"/>
    <w:rsid w:val="005C4BD8"/>
    <w:rsid w:val="005C4F06"/>
    <w:rsid w:val="005C4F63"/>
    <w:rsid w:val="005C5337"/>
    <w:rsid w:val="005C53F9"/>
    <w:rsid w:val="005C5497"/>
    <w:rsid w:val="005C5649"/>
    <w:rsid w:val="005C5775"/>
    <w:rsid w:val="005C5819"/>
    <w:rsid w:val="005C5C25"/>
    <w:rsid w:val="005C5CB9"/>
    <w:rsid w:val="005C5EB2"/>
    <w:rsid w:val="005C6238"/>
    <w:rsid w:val="005C6645"/>
    <w:rsid w:val="005C6A09"/>
    <w:rsid w:val="005C6BF9"/>
    <w:rsid w:val="005C6DE8"/>
    <w:rsid w:val="005C6F44"/>
    <w:rsid w:val="005C6FB2"/>
    <w:rsid w:val="005C7263"/>
    <w:rsid w:val="005C74E1"/>
    <w:rsid w:val="005C7638"/>
    <w:rsid w:val="005C7DEC"/>
    <w:rsid w:val="005D0705"/>
    <w:rsid w:val="005D085F"/>
    <w:rsid w:val="005D15A6"/>
    <w:rsid w:val="005D166A"/>
    <w:rsid w:val="005D1672"/>
    <w:rsid w:val="005D16EA"/>
    <w:rsid w:val="005D16EE"/>
    <w:rsid w:val="005D1C4F"/>
    <w:rsid w:val="005D1D83"/>
    <w:rsid w:val="005D2216"/>
    <w:rsid w:val="005D25A0"/>
    <w:rsid w:val="005D2C94"/>
    <w:rsid w:val="005D2E49"/>
    <w:rsid w:val="005D33F6"/>
    <w:rsid w:val="005D4A90"/>
    <w:rsid w:val="005D5527"/>
    <w:rsid w:val="005D55A3"/>
    <w:rsid w:val="005D586D"/>
    <w:rsid w:val="005D6016"/>
    <w:rsid w:val="005D6131"/>
    <w:rsid w:val="005D61FB"/>
    <w:rsid w:val="005D653A"/>
    <w:rsid w:val="005D674E"/>
    <w:rsid w:val="005D68B1"/>
    <w:rsid w:val="005D6AA3"/>
    <w:rsid w:val="005D6B75"/>
    <w:rsid w:val="005D6C71"/>
    <w:rsid w:val="005D72B5"/>
    <w:rsid w:val="005D75BD"/>
    <w:rsid w:val="005D75E5"/>
    <w:rsid w:val="005E01EC"/>
    <w:rsid w:val="005E0722"/>
    <w:rsid w:val="005E0765"/>
    <w:rsid w:val="005E0A9F"/>
    <w:rsid w:val="005E0B5E"/>
    <w:rsid w:val="005E0DA4"/>
    <w:rsid w:val="005E0FAD"/>
    <w:rsid w:val="005E1291"/>
    <w:rsid w:val="005E18B1"/>
    <w:rsid w:val="005E1C95"/>
    <w:rsid w:val="005E26D0"/>
    <w:rsid w:val="005E297C"/>
    <w:rsid w:val="005E2E8B"/>
    <w:rsid w:val="005E3263"/>
    <w:rsid w:val="005E3484"/>
    <w:rsid w:val="005E3963"/>
    <w:rsid w:val="005E3DBF"/>
    <w:rsid w:val="005E4417"/>
    <w:rsid w:val="005E4454"/>
    <w:rsid w:val="005E4B15"/>
    <w:rsid w:val="005E4C43"/>
    <w:rsid w:val="005E56D8"/>
    <w:rsid w:val="005E5CBA"/>
    <w:rsid w:val="005E6199"/>
    <w:rsid w:val="005E61E7"/>
    <w:rsid w:val="005E63C8"/>
    <w:rsid w:val="005E6BDF"/>
    <w:rsid w:val="005E6FA5"/>
    <w:rsid w:val="005E6FF7"/>
    <w:rsid w:val="005E705B"/>
    <w:rsid w:val="005E7226"/>
    <w:rsid w:val="005E7526"/>
    <w:rsid w:val="005E7788"/>
    <w:rsid w:val="005E7BE9"/>
    <w:rsid w:val="005F0448"/>
    <w:rsid w:val="005F0D16"/>
    <w:rsid w:val="005F0F3D"/>
    <w:rsid w:val="005F1192"/>
    <w:rsid w:val="005F15B1"/>
    <w:rsid w:val="005F186F"/>
    <w:rsid w:val="005F1910"/>
    <w:rsid w:val="005F19D6"/>
    <w:rsid w:val="005F1BCE"/>
    <w:rsid w:val="005F1F38"/>
    <w:rsid w:val="005F24BE"/>
    <w:rsid w:val="005F28C6"/>
    <w:rsid w:val="005F2A65"/>
    <w:rsid w:val="005F3214"/>
    <w:rsid w:val="005F3293"/>
    <w:rsid w:val="005F39C4"/>
    <w:rsid w:val="005F3C98"/>
    <w:rsid w:val="005F3CBC"/>
    <w:rsid w:val="005F476F"/>
    <w:rsid w:val="005F4827"/>
    <w:rsid w:val="005F485C"/>
    <w:rsid w:val="005F57A4"/>
    <w:rsid w:val="005F581E"/>
    <w:rsid w:val="005F5B25"/>
    <w:rsid w:val="005F5BE1"/>
    <w:rsid w:val="005F5EFB"/>
    <w:rsid w:val="005F6252"/>
    <w:rsid w:val="005F6AAA"/>
    <w:rsid w:val="005F6AE4"/>
    <w:rsid w:val="005F7158"/>
    <w:rsid w:val="005F734D"/>
    <w:rsid w:val="005F7572"/>
    <w:rsid w:val="005F7C87"/>
    <w:rsid w:val="00600901"/>
    <w:rsid w:val="00601240"/>
    <w:rsid w:val="00601677"/>
    <w:rsid w:val="00601A5E"/>
    <w:rsid w:val="006026BE"/>
    <w:rsid w:val="006029CD"/>
    <w:rsid w:val="006029F8"/>
    <w:rsid w:val="00602C4A"/>
    <w:rsid w:val="006030DB"/>
    <w:rsid w:val="00603D6E"/>
    <w:rsid w:val="00603E5C"/>
    <w:rsid w:val="006042ED"/>
    <w:rsid w:val="00604476"/>
    <w:rsid w:val="006045B4"/>
    <w:rsid w:val="0060460C"/>
    <w:rsid w:val="00604695"/>
    <w:rsid w:val="00604A82"/>
    <w:rsid w:val="006055BC"/>
    <w:rsid w:val="00605670"/>
    <w:rsid w:val="00605AF1"/>
    <w:rsid w:val="00605C53"/>
    <w:rsid w:val="006060B0"/>
    <w:rsid w:val="00606190"/>
    <w:rsid w:val="006065F1"/>
    <w:rsid w:val="0060661F"/>
    <w:rsid w:val="006068FD"/>
    <w:rsid w:val="00606B23"/>
    <w:rsid w:val="00606D0F"/>
    <w:rsid w:val="00610286"/>
    <w:rsid w:val="00610400"/>
    <w:rsid w:val="0061055F"/>
    <w:rsid w:val="00610DA2"/>
    <w:rsid w:val="00611046"/>
    <w:rsid w:val="00611223"/>
    <w:rsid w:val="0061153A"/>
    <w:rsid w:val="0061196B"/>
    <w:rsid w:val="00611C9C"/>
    <w:rsid w:val="00612819"/>
    <w:rsid w:val="00612C4E"/>
    <w:rsid w:val="00612E25"/>
    <w:rsid w:val="0061308B"/>
    <w:rsid w:val="0061317E"/>
    <w:rsid w:val="0061348B"/>
    <w:rsid w:val="006135EE"/>
    <w:rsid w:val="00613AFA"/>
    <w:rsid w:val="00613AFF"/>
    <w:rsid w:val="00613C02"/>
    <w:rsid w:val="00613D98"/>
    <w:rsid w:val="00613F36"/>
    <w:rsid w:val="00614369"/>
    <w:rsid w:val="006143CB"/>
    <w:rsid w:val="006145CA"/>
    <w:rsid w:val="00614A43"/>
    <w:rsid w:val="00614AA6"/>
    <w:rsid w:val="0061561F"/>
    <w:rsid w:val="0061570E"/>
    <w:rsid w:val="00615B06"/>
    <w:rsid w:val="00615B37"/>
    <w:rsid w:val="00615E10"/>
    <w:rsid w:val="0061608B"/>
    <w:rsid w:val="00616684"/>
    <w:rsid w:val="00616D13"/>
    <w:rsid w:val="00616D9A"/>
    <w:rsid w:val="006173EE"/>
    <w:rsid w:val="006174B2"/>
    <w:rsid w:val="006177F0"/>
    <w:rsid w:val="006179F1"/>
    <w:rsid w:val="00617F31"/>
    <w:rsid w:val="00620915"/>
    <w:rsid w:val="00620E8C"/>
    <w:rsid w:val="00620F3F"/>
    <w:rsid w:val="0062116A"/>
    <w:rsid w:val="0062116B"/>
    <w:rsid w:val="0062166B"/>
    <w:rsid w:val="00621A40"/>
    <w:rsid w:val="00621AB4"/>
    <w:rsid w:val="00621D02"/>
    <w:rsid w:val="00622389"/>
    <w:rsid w:val="00622CCE"/>
    <w:rsid w:val="00622DDC"/>
    <w:rsid w:val="0062321A"/>
    <w:rsid w:val="0062348F"/>
    <w:rsid w:val="0062350B"/>
    <w:rsid w:val="00623697"/>
    <w:rsid w:val="0062385C"/>
    <w:rsid w:val="006239C3"/>
    <w:rsid w:val="00623D22"/>
    <w:rsid w:val="00623E25"/>
    <w:rsid w:val="00624069"/>
    <w:rsid w:val="006242CE"/>
    <w:rsid w:val="0062434D"/>
    <w:rsid w:val="00624744"/>
    <w:rsid w:val="0062491D"/>
    <w:rsid w:val="00624BFC"/>
    <w:rsid w:val="00624DDF"/>
    <w:rsid w:val="006251E9"/>
    <w:rsid w:val="006251F6"/>
    <w:rsid w:val="00625403"/>
    <w:rsid w:val="00625470"/>
    <w:rsid w:val="006257C1"/>
    <w:rsid w:val="00625905"/>
    <w:rsid w:val="00625CC5"/>
    <w:rsid w:val="00626394"/>
    <w:rsid w:val="006266E7"/>
    <w:rsid w:val="006269F6"/>
    <w:rsid w:val="00626EA9"/>
    <w:rsid w:val="00627048"/>
    <w:rsid w:val="0062764F"/>
    <w:rsid w:val="006276B5"/>
    <w:rsid w:val="006278D8"/>
    <w:rsid w:val="00627B7A"/>
    <w:rsid w:val="00627F59"/>
    <w:rsid w:val="006300CF"/>
    <w:rsid w:val="00630332"/>
    <w:rsid w:val="00630907"/>
    <w:rsid w:val="00631ED6"/>
    <w:rsid w:val="006325D9"/>
    <w:rsid w:val="0063270E"/>
    <w:rsid w:val="006329C1"/>
    <w:rsid w:val="006329C8"/>
    <w:rsid w:val="00632A91"/>
    <w:rsid w:val="00632C87"/>
    <w:rsid w:val="006332F8"/>
    <w:rsid w:val="00633BAD"/>
    <w:rsid w:val="00633DBE"/>
    <w:rsid w:val="00634980"/>
    <w:rsid w:val="006350DA"/>
    <w:rsid w:val="0063554A"/>
    <w:rsid w:val="0063578A"/>
    <w:rsid w:val="00635AA2"/>
    <w:rsid w:val="00635CF2"/>
    <w:rsid w:val="00636159"/>
    <w:rsid w:val="00636424"/>
    <w:rsid w:val="00636761"/>
    <w:rsid w:val="00636BC0"/>
    <w:rsid w:val="00636D1D"/>
    <w:rsid w:val="00636DF7"/>
    <w:rsid w:val="00637178"/>
    <w:rsid w:val="00637516"/>
    <w:rsid w:val="00637858"/>
    <w:rsid w:val="00637BEF"/>
    <w:rsid w:val="00637EB0"/>
    <w:rsid w:val="00637EC2"/>
    <w:rsid w:val="00640315"/>
    <w:rsid w:val="006405F2"/>
    <w:rsid w:val="006406A5"/>
    <w:rsid w:val="00640BF3"/>
    <w:rsid w:val="00640F0A"/>
    <w:rsid w:val="00641A1C"/>
    <w:rsid w:val="006420B2"/>
    <w:rsid w:val="006420F6"/>
    <w:rsid w:val="0064212C"/>
    <w:rsid w:val="00642491"/>
    <w:rsid w:val="0064282E"/>
    <w:rsid w:val="00642B2F"/>
    <w:rsid w:val="00642E16"/>
    <w:rsid w:val="00642FBA"/>
    <w:rsid w:val="006432C2"/>
    <w:rsid w:val="00643398"/>
    <w:rsid w:val="0064345D"/>
    <w:rsid w:val="006436C4"/>
    <w:rsid w:val="00643919"/>
    <w:rsid w:val="00643E02"/>
    <w:rsid w:val="0064410B"/>
    <w:rsid w:val="006451C1"/>
    <w:rsid w:val="00645E22"/>
    <w:rsid w:val="00645E65"/>
    <w:rsid w:val="0064607A"/>
    <w:rsid w:val="00646587"/>
    <w:rsid w:val="0064674B"/>
    <w:rsid w:val="00646814"/>
    <w:rsid w:val="006469A2"/>
    <w:rsid w:val="00646AEA"/>
    <w:rsid w:val="00646B12"/>
    <w:rsid w:val="00646C2C"/>
    <w:rsid w:val="00646DA5"/>
    <w:rsid w:val="00647126"/>
    <w:rsid w:val="006473AE"/>
    <w:rsid w:val="00647768"/>
    <w:rsid w:val="00647854"/>
    <w:rsid w:val="00650087"/>
    <w:rsid w:val="00650457"/>
    <w:rsid w:val="00650569"/>
    <w:rsid w:val="00650808"/>
    <w:rsid w:val="0065080E"/>
    <w:rsid w:val="00650AC0"/>
    <w:rsid w:val="00650C12"/>
    <w:rsid w:val="00650EE4"/>
    <w:rsid w:val="0065101D"/>
    <w:rsid w:val="00651236"/>
    <w:rsid w:val="00651274"/>
    <w:rsid w:val="00651BF1"/>
    <w:rsid w:val="00651DE7"/>
    <w:rsid w:val="00651ED4"/>
    <w:rsid w:val="00652794"/>
    <w:rsid w:val="00652974"/>
    <w:rsid w:val="006531C8"/>
    <w:rsid w:val="006533B7"/>
    <w:rsid w:val="006533C2"/>
    <w:rsid w:val="0065362D"/>
    <w:rsid w:val="0065365B"/>
    <w:rsid w:val="00653947"/>
    <w:rsid w:val="00653B47"/>
    <w:rsid w:val="00653DE3"/>
    <w:rsid w:val="00654299"/>
    <w:rsid w:val="006543BB"/>
    <w:rsid w:val="006545F0"/>
    <w:rsid w:val="006547CC"/>
    <w:rsid w:val="00654815"/>
    <w:rsid w:val="00654923"/>
    <w:rsid w:val="006549B8"/>
    <w:rsid w:val="00654B35"/>
    <w:rsid w:val="00654C99"/>
    <w:rsid w:val="00654F57"/>
    <w:rsid w:val="0065546D"/>
    <w:rsid w:val="006556A2"/>
    <w:rsid w:val="00655D4B"/>
    <w:rsid w:val="00655DDB"/>
    <w:rsid w:val="00655E67"/>
    <w:rsid w:val="0065617B"/>
    <w:rsid w:val="00656321"/>
    <w:rsid w:val="00656658"/>
    <w:rsid w:val="0065682B"/>
    <w:rsid w:val="00656E54"/>
    <w:rsid w:val="0065705A"/>
    <w:rsid w:val="0065736E"/>
    <w:rsid w:val="006573A8"/>
    <w:rsid w:val="00657E99"/>
    <w:rsid w:val="00660364"/>
    <w:rsid w:val="00660453"/>
    <w:rsid w:val="00660585"/>
    <w:rsid w:val="00660776"/>
    <w:rsid w:val="006609A3"/>
    <w:rsid w:val="00660C51"/>
    <w:rsid w:val="00660D1E"/>
    <w:rsid w:val="00660D9D"/>
    <w:rsid w:val="006610B9"/>
    <w:rsid w:val="00661230"/>
    <w:rsid w:val="00661281"/>
    <w:rsid w:val="006612F5"/>
    <w:rsid w:val="006614F0"/>
    <w:rsid w:val="00661C06"/>
    <w:rsid w:val="00661CFE"/>
    <w:rsid w:val="00662296"/>
    <w:rsid w:val="00662F44"/>
    <w:rsid w:val="0066306F"/>
    <w:rsid w:val="006631F5"/>
    <w:rsid w:val="006633EA"/>
    <w:rsid w:val="00663967"/>
    <w:rsid w:val="0066428D"/>
    <w:rsid w:val="00664A58"/>
    <w:rsid w:val="00664A80"/>
    <w:rsid w:val="00664F49"/>
    <w:rsid w:val="006651CB"/>
    <w:rsid w:val="00665208"/>
    <w:rsid w:val="0066577C"/>
    <w:rsid w:val="006658B2"/>
    <w:rsid w:val="00665AF1"/>
    <w:rsid w:val="00665BEE"/>
    <w:rsid w:val="0066607F"/>
    <w:rsid w:val="0066621C"/>
    <w:rsid w:val="006663EA"/>
    <w:rsid w:val="00666503"/>
    <w:rsid w:val="00666D17"/>
    <w:rsid w:val="00666E92"/>
    <w:rsid w:val="00667167"/>
    <w:rsid w:val="00667375"/>
    <w:rsid w:val="00667F21"/>
    <w:rsid w:val="0067004F"/>
    <w:rsid w:val="00670343"/>
    <w:rsid w:val="00670556"/>
    <w:rsid w:val="00670EA7"/>
    <w:rsid w:val="00670F01"/>
    <w:rsid w:val="00671006"/>
    <w:rsid w:val="006714A0"/>
    <w:rsid w:val="0067172F"/>
    <w:rsid w:val="006718E0"/>
    <w:rsid w:val="006719EB"/>
    <w:rsid w:val="006720ED"/>
    <w:rsid w:val="00672142"/>
    <w:rsid w:val="006727D0"/>
    <w:rsid w:val="00672A99"/>
    <w:rsid w:val="00672B99"/>
    <w:rsid w:val="006733C2"/>
    <w:rsid w:val="00673551"/>
    <w:rsid w:val="00673571"/>
    <w:rsid w:val="00673F64"/>
    <w:rsid w:val="006740C0"/>
    <w:rsid w:val="00674124"/>
    <w:rsid w:val="0067418E"/>
    <w:rsid w:val="006741E3"/>
    <w:rsid w:val="00674672"/>
    <w:rsid w:val="00674A3D"/>
    <w:rsid w:val="00674CDB"/>
    <w:rsid w:val="0067506B"/>
    <w:rsid w:val="006750DD"/>
    <w:rsid w:val="00675552"/>
    <w:rsid w:val="0067571A"/>
    <w:rsid w:val="00675B68"/>
    <w:rsid w:val="00676FCF"/>
    <w:rsid w:val="00677043"/>
    <w:rsid w:val="00677085"/>
    <w:rsid w:val="006772D0"/>
    <w:rsid w:val="006773ED"/>
    <w:rsid w:val="00677B43"/>
    <w:rsid w:val="00677CBE"/>
    <w:rsid w:val="00677D55"/>
    <w:rsid w:val="00677DBB"/>
    <w:rsid w:val="0068005E"/>
    <w:rsid w:val="00680385"/>
    <w:rsid w:val="006803D1"/>
    <w:rsid w:val="00680ABB"/>
    <w:rsid w:val="006811F9"/>
    <w:rsid w:val="00681373"/>
    <w:rsid w:val="006820AA"/>
    <w:rsid w:val="00682731"/>
    <w:rsid w:val="00682960"/>
    <w:rsid w:val="00682EF6"/>
    <w:rsid w:val="00683183"/>
    <w:rsid w:val="006832DC"/>
    <w:rsid w:val="00683333"/>
    <w:rsid w:val="006835B7"/>
    <w:rsid w:val="00683A2B"/>
    <w:rsid w:val="00683A4A"/>
    <w:rsid w:val="00684016"/>
    <w:rsid w:val="0068412F"/>
    <w:rsid w:val="00684238"/>
    <w:rsid w:val="006843B6"/>
    <w:rsid w:val="00684678"/>
    <w:rsid w:val="0068475D"/>
    <w:rsid w:val="0068476D"/>
    <w:rsid w:val="006848C2"/>
    <w:rsid w:val="006848E4"/>
    <w:rsid w:val="0068523A"/>
    <w:rsid w:val="0068526A"/>
    <w:rsid w:val="0068540B"/>
    <w:rsid w:val="0068577C"/>
    <w:rsid w:val="006857C4"/>
    <w:rsid w:val="006858C3"/>
    <w:rsid w:val="006858F0"/>
    <w:rsid w:val="00685EE6"/>
    <w:rsid w:val="006867B5"/>
    <w:rsid w:val="006867FB"/>
    <w:rsid w:val="00686965"/>
    <w:rsid w:val="006877DF"/>
    <w:rsid w:val="00687E2B"/>
    <w:rsid w:val="00687E6C"/>
    <w:rsid w:val="006902F1"/>
    <w:rsid w:val="00690D05"/>
    <w:rsid w:val="00690D15"/>
    <w:rsid w:val="00690FF9"/>
    <w:rsid w:val="0069139A"/>
    <w:rsid w:val="0069153B"/>
    <w:rsid w:val="006916C6"/>
    <w:rsid w:val="00691C32"/>
    <w:rsid w:val="00691CE8"/>
    <w:rsid w:val="00691F32"/>
    <w:rsid w:val="006928ED"/>
    <w:rsid w:val="00692978"/>
    <w:rsid w:val="00692FA2"/>
    <w:rsid w:val="00693114"/>
    <w:rsid w:val="00693CC1"/>
    <w:rsid w:val="0069414D"/>
    <w:rsid w:val="006942EE"/>
    <w:rsid w:val="006947B9"/>
    <w:rsid w:val="0069493B"/>
    <w:rsid w:val="006949D2"/>
    <w:rsid w:val="00694D32"/>
    <w:rsid w:val="00695643"/>
    <w:rsid w:val="00695793"/>
    <w:rsid w:val="00695DCD"/>
    <w:rsid w:val="00696183"/>
    <w:rsid w:val="0069695E"/>
    <w:rsid w:val="00696C1B"/>
    <w:rsid w:val="00697005"/>
    <w:rsid w:val="006971E7"/>
    <w:rsid w:val="0069741B"/>
    <w:rsid w:val="006976F5"/>
    <w:rsid w:val="006978FE"/>
    <w:rsid w:val="00697B66"/>
    <w:rsid w:val="00697E49"/>
    <w:rsid w:val="006A043F"/>
    <w:rsid w:val="006A054A"/>
    <w:rsid w:val="006A05E9"/>
    <w:rsid w:val="006A0896"/>
    <w:rsid w:val="006A1621"/>
    <w:rsid w:val="006A16B3"/>
    <w:rsid w:val="006A16B8"/>
    <w:rsid w:val="006A19A2"/>
    <w:rsid w:val="006A1B04"/>
    <w:rsid w:val="006A1C98"/>
    <w:rsid w:val="006A1CFB"/>
    <w:rsid w:val="006A2293"/>
    <w:rsid w:val="006A2E87"/>
    <w:rsid w:val="006A3085"/>
    <w:rsid w:val="006A349C"/>
    <w:rsid w:val="006A3551"/>
    <w:rsid w:val="006A38CD"/>
    <w:rsid w:val="006A3989"/>
    <w:rsid w:val="006A3CD9"/>
    <w:rsid w:val="006A3EE7"/>
    <w:rsid w:val="006A40EC"/>
    <w:rsid w:val="006A4374"/>
    <w:rsid w:val="006A449B"/>
    <w:rsid w:val="006A46A9"/>
    <w:rsid w:val="006A4707"/>
    <w:rsid w:val="006A4D4C"/>
    <w:rsid w:val="006A4EA9"/>
    <w:rsid w:val="006A5579"/>
    <w:rsid w:val="006A5623"/>
    <w:rsid w:val="006A57C7"/>
    <w:rsid w:val="006A5A1E"/>
    <w:rsid w:val="006A5B8D"/>
    <w:rsid w:val="006A5E2A"/>
    <w:rsid w:val="006A5FEB"/>
    <w:rsid w:val="006A6251"/>
    <w:rsid w:val="006A691F"/>
    <w:rsid w:val="006A6B0F"/>
    <w:rsid w:val="006A6E08"/>
    <w:rsid w:val="006A7036"/>
    <w:rsid w:val="006A71B4"/>
    <w:rsid w:val="006A75D8"/>
    <w:rsid w:val="006A789D"/>
    <w:rsid w:val="006B02D5"/>
    <w:rsid w:val="006B06FB"/>
    <w:rsid w:val="006B0DF4"/>
    <w:rsid w:val="006B1248"/>
    <w:rsid w:val="006B15B6"/>
    <w:rsid w:val="006B1862"/>
    <w:rsid w:val="006B1911"/>
    <w:rsid w:val="006B1B1A"/>
    <w:rsid w:val="006B1BB6"/>
    <w:rsid w:val="006B21A0"/>
    <w:rsid w:val="006B26A6"/>
    <w:rsid w:val="006B2D51"/>
    <w:rsid w:val="006B3077"/>
    <w:rsid w:val="006B3436"/>
    <w:rsid w:val="006B34F4"/>
    <w:rsid w:val="006B354E"/>
    <w:rsid w:val="006B3D08"/>
    <w:rsid w:val="006B3DDB"/>
    <w:rsid w:val="006B3E25"/>
    <w:rsid w:val="006B3F50"/>
    <w:rsid w:val="006B4233"/>
    <w:rsid w:val="006B49AF"/>
    <w:rsid w:val="006B4BB6"/>
    <w:rsid w:val="006B5920"/>
    <w:rsid w:val="006B59D5"/>
    <w:rsid w:val="006B5BC5"/>
    <w:rsid w:val="006B5CD2"/>
    <w:rsid w:val="006B5E2E"/>
    <w:rsid w:val="006B5E76"/>
    <w:rsid w:val="006B6057"/>
    <w:rsid w:val="006B622C"/>
    <w:rsid w:val="006B645B"/>
    <w:rsid w:val="006B692E"/>
    <w:rsid w:val="006B6A7D"/>
    <w:rsid w:val="006B6B21"/>
    <w:rsid w:val="006B6B2C"/>
    <w:rsid w:val="006B6C9F"/>
    <w:rsid w:val="006B6EE2"/>
    <w:rsid w:val="006B700C"/>
    <w:rsid w:val="006B7203"/>
    <w:rsid w:val="006B75F5"/>
    <w:rsid w:val="006C006C"/>
    <w:rsid w:val="006C0999"/>
    <w:rsid w:val="006C0B41"/>
    <w:rsid w:val="006C140C"/>
    <w:rsid w:val="006C14C5"/>
    <w:rsid w:val="006C1B18"/>
    <w:rsid w:val="006C1D76"/>
    <w:rsid w:val="006C2517"/>
    <w:rsid w:val="006C28FF"/>
    <w:rsid w:val="006C2C1E"/>
    <w:rsid w:val="006C2D3C"/>
    <w:rsid w:val="006C34D3"/>
    <w:rsid w:val="006C3D2E"/>
    <w:rsid w:val="006C3F1B"/>
    <w:rsid w:val="006C5509"/>
    <w:rsid w:val="006C6217"/>
    <w:rsid w:val="006C656D"/>
    <w:rsid w:val="006C65DA"/>
    <w:rsid w:val="006C6659"/>
    <w:rsid w:val="006C6A86"/>
    <w:rsid w:val="006C6C2F"/>
    <w:rsid w:val="006C7223"/>
    <w:rsid w:val="006C75DA"/>
    <w:rsid w:val="006C76C7"/>
    <w:rsid w:val="006C7754"/>
    <w:rsid w:val="006D011A"/>
    <w:rsid w:val="006D03EC"/>
    <w:rsid w:val="006D0491"/>
    <w:rsid w:val="006D0681"/>
    <w:rsid w:val="006D0F7D"/>
    <w:rsid w:val="006D0F7E"/>
    <w:rsid w:val="006D14DB"/>
    <w:rsid w:val="006D1688"/>
    <w:rsid w:val="006D1D5A"/>
    <w:rsid w:val="006D1EE4"/>
    <w:rsid w:val="006D1FB5"/>
    <w:rsid w:val="006D21FB"/>
    <w:rsid w:val="006D27A4"/>
    <w:rsid w:val="006D2C25"/>
    <w:rsid w:val="006D2C69"/>
    <w:rsid w:val="006D313B"/>
    <w:rsid w:val="006D314B"/>
    <w:rsid w:val="006D318E"/>
    <w:rsid w:val="006D333A"/>
    <w:rsid w:val="006D35F7"/>
    <w:rsid w:val="006D362D"/>
    <w:rsid w:val="006D365F"/>
    <w:rsid w:val="006D395A"/>
    <w:rsid w:val="006D4045"/>
    <w:rsid w:val="006D41BD"/>
    <w:rsid w:val="006D4600"/>
    <w:rsid w:val="006D5643"/>
    <w:rsid w:val="006D588E"/>
    <w:rsid w:val="006D60BE"/>
    <w:rsid w:val="006D6299"/>
    <w:rsid w:val="006D63E2"/>
    <w:rsid w:val="006D64F4"/>
    <w:rsid w:val="006D6651"/>
    <w:rsid w:val="006D6D0E"/>
    <w:rsid w:val="006D72CF"/>
    <w:rsid w:val="006D7492"/>
    <w:rsid w:val="006D7621"/>
    <w:rsid w:val="006D76D4"/>
    <w:rsid w:val="006D7839"/>
    <w:rsid w:val="006D7E8A"/>
    <w:rsid w:val="006D7F24"/>
    <w:rsid w:val="006E08DD"/>
    <w:rsid w:val="006E1002"/>
    <w:rsid w:val="006E10A6"/>
    <w:rsid w:val="006E1339"/>
    <w:rsid w:val="006E13C2"/>
    <w:rsid w:val="006E168A"/>
    <w:rsid w:val="006E1C2C"/>
    <w:rsid w:val="006E1E24"/>
    <w:rsid w:val="006E1E73"/>
    <w:rsid w:val="006E1EA2"/>
    <w:rsid w:val="006E2D9F"/>
    <w:rsid w:val="006E2DE9"/>
    <w:rsid w:val="006E2F9B"/>
    <w:rsid w:val="006E3413"/>
    <w:rsid w:val="006E35BA"/>
    <w:rsid w:val="006E377A"/>
    <w:rsid w:val="006E3B67"/>
    <w:rsid w:val="006E413E"/>
    <w:rsid w:val="006E440D"/>
    <w:rsid w:val="006E44F9"/>
    <w:rsid w:val="006E47D1"/>
    <w:rsid w:val="006E4CFA"/>
    <w:rsid w:val="006E4DEC"/>
    <w:rsid w:val="006E5334"/>
    <w:rsid w:val="006E6837"/>
    <w:rsid w:val="006E6E64"/>
    <w:rsid w:val="006E7064"/>
    <w:rsid w:val="006E739F"/>
    <w:rsid w:val="006E767F"/>
    <w:rsid w:val="006E772B"/>
    <w:rsid w:val="006E786F"/>
    <w:rsid w:val="006E7AB9"/>
    <w:rsid w:val="006E7E6D"/>
    <w:rsid w:val="006E7E70"/>
    <w:rsid w:val="006F063D"/>
    <w:rsid w:val="006F0A09"/>
    <w:rsid w:val="006F0EA3"/>
    <w:rsid w:val="006F13C3"/>
    <w:rsid w:val="006F15CC"/>
    <w:rsid w:val="006F1C98"/>
    <w:rsid w:val="006F1CFD"/>
    <w:rsid w:val="006F1F70"/>
    <w:rsid w:val="006F1FF7"/>
    <w:rsid w:val="006F2902"/>
    <w:rsid w:val="006F29FC"/>
    <w:rsid w:val="006F2A47"/>
    <w:rsid w:val="006F2DFB"/>
    <w:rsid w:val="006F31C0"/>
    <w:rsid w:val="006F3665"/>
    <w:rsid w:val="006F3796"/>
    <w:rsid w:val="006F3942"/>
    <w:rsid w:val="006F3AE1"/>
    <w:rsid w:val="006F3B6A"/>
    <w:rsid w:val="006F3D09"/>
    <w:rsid w:val="006F40F2"/>
    <w:rsid w:val="006F4274"/>
    <w:rsid w:val="006F4473"/>
    <w:rsid w:val="006F48A5"/>
    <w:rsid w:val="006F4935"/>
    <w:rsid w:val="006F4B35"/>
    <w:rsid w:val="006F4EDE"/>
    <w:rsid w:val="006F5034"/>
    <w:rsid w:val="006F51C2"/>
    <w:rsid w:val="006F579B"/>
    <w:rsid w:val="006F5990"/>
    <w:rsid w:val="006F6199"/>
    <w:rsid w:val="006F635C"/>
    <w:rsid w:val="006F676E"/>
    <w:rsid w:val="006F6A92"/>
    <w:rsid w:val="006F6B24"/>
    <w:rsid w:val="006F72F9"/>
    <w:rsid w:val="006F751B"/>
    <w:rsid w:val="006F76CF"/>
    <w:rsid w:val="006F77BF"/>
    <w:rsid w:val="006F7B35"/>
    <w:rsid w:val="006F7CAF"/>
    <w:rsid w:val="0070013B"/>
    <w:rsid w:val="00700199"/>
    <w:rsid w:val="00700216"/>
    <w:rsid w:val="00700416"/>
    <w:rsid w:val="007004CB"/>
    <w:rsid w:val="00700719"/>
    <w:rsid w:val="007008D8"/>
    <w:rsid w:val="007009A6"/>
    <w:rsid w:val="00700DC9"/>
    <w:rsid w:val="0070128D"/>
    <w:rsid w:val="00701AAE"/>
    <w:rsid w:val="007025BB"/>
    <w:rsid w:val="00702836"/>
    <w:rsid w:val="00702BFE"/>
    <w:rsid w:val="00702E80"/>
    <w:rsid w:val="007030C6"/>
    <w:rsid w:val="007030CB"/>
    <w:rsid w:val="00703123"/>
    <w:rsid w:val="00703797"/>
    <w:rsid w:val="00703886"/>
    <w:rsid w:val="00703A89"/>
    <w:rsid w:val="0070427F"/>
    <w:rsid w:val="00704C89"/>
    <w:rsid w:val="00704DA9"/>
    <w:rsid w:val="0070524C"/>
    <w:rsid w:val="00705654"/>
    <w:rsid w:val="007056E5"/>
    <w:rsid w:val="007056FA"/>
    <w:rsid w:val="00705822"/>
    <w:rsid w:val="00705891"/>
    <w:rsid w:val="00705F04"/>
    <w:rsid w:val="007065A6"/>
    <w:rsid w:val="007066BF"/>
    <w:rsid w:val="00706940"/>
    <w:rsid w:val="00706B4A"/>
    <w:rsid w:val="00706CFB"/>
    <w:rsid w:val="00706FE1"/>
    <w:rsid w:val="00707633"/>
    <w:rsid w:val="00707673"/>
    <w:rsid w:val="007076CA"/>
    <w:rsid w:val="007079A8"/>
    <w:rsid w:val="00707D5C"/>
    <w:rsid w:val="00707F02"/>
    <w:rsid w:val="0071002E"/>
    <w:rsid w:val="0071005C"/>
    <w:rsid w:val="00710249"/>
    <w:rsid w:val="0071087F"/>
    <w:rsid w:val="00710B15"/>
    <w:rsid w:val="00710E1E"/>
    <w:rsid w:val="007114F2"/>
    <w:rsid w:val="0071161D"/>
    <w:rsid w:val="00711CC7"/>
    <w:rsid w:val="00711D11"/>
    <w:rsid w:val="00711E6E"/>
    <w:rsid w:val="00712058"/>
    <w:rsid w:val="007120EC"/>
    <w:rsid w:val="007123E2"/>
    <w:rsid w:val="00712939"/>
    <w:rsid w:val="00712A90"/>
    <w:rsid w:val="00712CB4"/>
    <w:rsid w:val="00712D92"/>
    <w:rsid w:val="00713267"/>
    <w:rsid w:val="0071344D"/>
    <w:rsid w:val="00713887"/>
    <w:rsid w:val="00713A8C"/>
    <w:rsid w:val="00713C88"/>
    <w:rsid w:val="0071426F"/>
    <w:rsid w:val="00714599"/>
    <w:rsid w:val="007149EC"/>
    <w:rsid w:val="007149F1"/>
    <w:rsid w:val="00714DF1"/>
    <w:rsid w:val="007150F6"/>
    <w:rsid w:val="00715260"/>
    <w:rsid w:val="007158F4"/>
    <w:rsid w:val="00715A3E"/>
    <w:rsid w:val="00715D09"/>
    <w:rsid w:val="00715E00"/>
    <w:rsid w:val="00715E30"/>
    <w:rsid w:val="007163F6"/>
    <w:rsid w:val="00716751"/>
    <w:rsid w:val="007169C7"/>
    <w:rsid w:val="00716B3B"/>
    <w:rsid w:val="00716C72"/>
    <w:rsid w:val="00717185"/>
    <w:rsid w:val="0071731B"/>
    <w:rsid w:val="0071747D"/>
    <w:rsid w:val="00717A15"/>
    <w:rsid w:val="00717DF5"/>
    <w:rsid w:val="007201D2"/>
    <w:rsid w:val="007202BF"/>
    <w:rsid w:val="00720402"/>
    <w:rsid w:val="0072083D"/>
    <w:rsid w:val="00720A8E"/>
    <w:rsid w:val="00720CBB"/>
    <w:rsid w:val="00720F7C"/>
    <w:rsid w:val="0072102A"/>
    <w:rsid w:val="00721742"/>
    <w:rsid w:val="007218EE"/>
    <w:rsid w:val="00721A2A"/>
    <w:rsid w:val="00721E5D"/>
    <w:rsid w:val="007228F4"/>
    <w:rsid w:val="00722933"/>
    <w:rsid w:val="00722BE7"/>
    <w:rsid w:val="00722C94"/>
    <w:rsid w:val="007232FA"/>
    <w:rsid w:val="0072390A"/>
    <w:rsid w:val="00723AAA"/>
    <w:rsid w:val="00724107"/>
    <w:rsid w:val="0072436C"/>
    <w:rsid w:val="00724402"/>
    <w:rsid w:val="00724512"/>
    <w:rsid w:val="00724C1C"/>
    <w:rsid w:val="00724CA5"/>
    <w:rsid w:val="00724E91"/>
    <w:rsid w:val="00724FA5"/>
    <w:rsid w:val="007251AA"/>
    <w:rsid w:val="0072580E"/>
    <w:rsid w:val="00725A51"/>
    <w:rsid w:val="00725A62"/>
    <w:rsid w:val="00725B44"/>
    <w:rsid w:val="00725D37"/>
    <w:rsid w:val="007260FB"/>
    <w:rsid w:val="007267CF"/>
    <w:rsid w:val="0072699D"/>
    <w:rsid w:val="00726A29"/>
    <w:rsid w:val="00726B83"/>
    <w:rsid w:val="007270C6"/>
    <w:rsid w:val="007275AB"/>
    <w:rsid w:val="0072771E"/>
    <w:rsid w:val="00727C10"/>
    <w:rsid w:val="00730048"/>
    <w:rsid w:val="00730332"/>
    <w:rsid w:val="007304F5"/>
    <w:rsid w:val="00730805"/>
    <w:rsid w:val="00730900"/>
    <w:rsid w:val="00730957"/>
    <w:rsid w:val="00730D90"/>
    <w:rsid w:val="00730E4C"/>
    <w:rsid w:val="00730E61"/>
    <w:rsid w:val="00730F29"/>
    <w:rsid w:val="00731127"/>
    <w:rsid w:val="0073137D"/>
    <w:rsid w:val="00731476"/>
    <w:rsid w:val="00731602"/>
    <w:rsid w:val="0073170F"/>
    <w:rsid w:val="00731904"/>
    <w:rsid w:val="00731945"/>
    <w:rsid w:val="00731A4F"/>
    <w:rsid w:val="00731EE9"/>
    <w:rsid w:val="00732285"/>
    <w:rsid w:val="007323B2"/>
    <w:rsid w:val="007323DB"/>
    <w:rsid w:val="00732ECE"/>
    <w:rsid w:val="00732F9B"/>
    <w:rsid w:val="007330DF"/>
    <w:rsid w:val="0073340C"/>
    <w:rsid w:val="0073350D"/>
    <w:rsid w:val="00733712"/>
    <w:rsid w:val="00733745"/>
    <w:rsid w:val="007337C2"/>
    <w:rsid w:val="00734054"/>
    <w:rsid w:val="007342CC"/>
    <w:rsid w:val="00734369"/>
    <w:rsid w:val="00734379"/>
    <w:rsid w:val="00734383"/>
    <w:rsid w:val="00734621"/>
    <w:rsid w:val="00734AEC"/>
    <w:rsid w:val="00734BF9"/>
    <w:rsid w:val="00734D22"/>
    <w:rsid w:val="00734FBA"/>
    <w:rsid w:val="0073501A"/>
    <w:rsid w:val="00735271"/>
    <w:rsid w:val="00735447"/>
    <w:rsid w:val="00735635"/>
    <w:rsid w:val="00735761"/>
    <w:rsid w:val="00735AD7"/>
    <w:rsid w:val="00735CCB"/>
    <w:rsid w:val="007364F5"/>
    <w:rsid w:val="007365E9"/>
    <w:rsid w:val="00736BD1"/>
    <w:rsid w:val="00737063"/>
    <w:rsid w:val="00737107"/>
    <w:rsid w:val="0073747D"/>
    <w:rsid w:val="00737722"/>
    <w:rsid w:val="0073794C"/>
    <w:rsid w:val="0074014F"/>
    <w:rsid w:val="00740318"/>
    <w:rsid w:val="007408A3"/>
    <w:rsid w:val="00740B60"/>
    <w:rsid w:val="00740F44"/>
    <w:rsid w:val="007414FD"/>
    <w:rsid w:val="00741816"/>
    <w:rsid w:val="007418E2"/>
    <w:rsid w:val="00741CD0"/>
    <w:rsid w:val="00741F85"/>
    <w:rsid w:val="00742021"/>
    <w:rsid w:val="007426A4"/>
    <w:rsid w:val="00742957"/>
    <w:rsid w:val="00742CFE"/>
    <w:rsid w:val="00742E3E"/>
    <w:rsid w:val="0074302F"/>
    <w:rsid w:val="007432D0"/>
    <w:rsid w:val="00743360"/>
    <w:rsid w:val="00743439"/>
    <w:rsid w:val="00743BF1"/>
    <w:rsid w:val="007443DA"/>
    <w:rsid w:val="0074492C"/>
    <w:rsid w:val="00745059"/>
    <w:rsid w:val="00745414"/>
    <w:rsid w:val="0074584E"/>
    <w:rsid w:val="00745AF7"/>
    <w:rsid w:val="00745D96"/>
    <w:rsid w:val="00745DF4"/>
    <w:rsid w:val="00745F5A"/>
    <w:rsid w:val="00745F69"/>
    <w:rsid w:val="007466BF"/>
    <w:rsid w:val="007467C8"/>
    <w:rsid w:val="00746A0E"/>
    <w:rsid w:val="00746E7E"/>
    <w:rsid w:val="00747525"/>
    <w:rsid w:val="007475DA"/>
    <w:rsid w:val="00747774"/>
    <w:rsid w:val="00747D94"/>
    <w:rsid w:val="00750221"/>
    <w:rsid w:val="007505EB"/>
    <w:rsid w:val="00750979"/>
    <w:rsid w:val="00750F77"/>
    <w:rsid w:val="00750FA5"/>
    <w:rsid w:val="0075102B"/>
    <w:rsid w:val="00751D2B"/>
    <w:rsid w:val="00752289"/>
    <w:rsid w:val="0075243D"/>
    <w:rsid w:val="0075247D"/>
    <w:rsid w:val="0075304D"/>
    <w:rsid w:val="0075330F"/>
    <w:rsid w:val="00753468"/>
    <w:rsid w:val="007536C9"/>
    <w:rsid w:val="007537B9"/>
    <w:rsid w:val="007538D4"/>
    <w:rsid w:val="00753A57"/>
    <w:rsid w:val="00753A58"/>
    <w:rsid w:val="00753C59"/>
    <w:rsid w:val="00753CA9"/>
    <w:rsid w:val="00753E03"/>
    <w:rsid w:val="007541C8"/>
    <w:rsid w:val="007544CC"/>
    <w:rsid w:val="007545CF"/>
    <w:rsid w:val="007547CD"/>
    <w:rsid w:val="0075489F"/>
    <w:rsid w:val="007549D4"/>
    <w:rsid w:val="00754A6D"/>
    <w:rsid w:val="00754D1C"/>
    <w:rsid w:val="00754D5B"/>
    <w:rsid w:val="007552CC"/>
    <w:rsid w:val="007555C0"/>
    <w:rsid w:val="0075571B"/>
    <w:rsid w:val="007557E2"/>
    <w:rsid w:val="00755E97"/>
    <w:rsid w:val="00756273"/>
    <w:rsid w:val="0075653F"/>
    <w:rsid w:val="0075656B"/>
    <w:rsid w:val="00756ADA"/>
    <w:rsid w:val="00756AF7"/>
    <w:rsid w:val="00756D07"/>
    <w:rsid w:val="00756E65"/>
    <w:rsid w:val="0075708E"/>
    <w:rsid w:val="00757362"/>
    <w:rsid w:val="00757684"/>
    <w:rsid w:val="007577BE"/>
    <w:rsid w:val="00757B97"/>
    <w:rsid w:val="00757CC5"/>
    <w:rsid w:val="0076028C"/>
    <w:rsid w:val="0076055F"/>
    <w:rsid w:val="00760E6B"/>
    <w:rsid w:val="007610CA"/>
    <w:rsid w:val="00761399"/>
    <w:rsid w:val="00761882"/>
    <w:rsid w:val="007619DB"/>
    <w:rsid w:val="00761B5F"/>
    <w:rsid w:val="0076210C"/>
    <w:rsid w:val="0076213B"/>
    <w:rsid w:val="00762263"/>
    <w:rsid w:val="00762812"/>
    <w:rsid w:val="00762A52"/>
    <w:rsid w:val="00762B5B"/>
    <w:rsid w:val="00762B7B"/>
    <w:rsid w:val="00762C12"/>
    <w:rsid w:val="00762D02"/>
    <w:rsid w:val="00763255"/>
    <w:rsid w:val="00763A6A"/>
    <w:rsid w:val="00763A88"/>
    <w:rsid w:val="00763C99"/>
    <w:rsid w:val="00764173"/>
    <w:rsid w:val="007642C4"/>
    <w:rsid w:val="00764562"/>
    <w:rsid w:val="00764703"/>
    <w:rsid w:val="00764B8D"/>
    <w:rsid w:val="00764F93"/>
    <w:rsid w:val="007650B0"/>
    <w:rsid w:val="007652B5"/>
    <w:rsid w:val="007654C8"/>
    <w:rsid w:val="007659D3"/>
    <w:rsid w:val="00765A81"/>
    <w:rsid w:val="00765B4C"/>
    <w:rsid w:val="00765B66"/>
    <w:rsid w:val="00765C10"/>
    <w:rsid w:val="00765E0D"/>
    <w:rsid w:val="00765E19"/>
    <w:rsid w:val="00765EA2"/>
    <w:rsid w:val="00766167"/>
    <w:rsid w:val="00766170"/>
    <w:rsid w:val="007661CD"/>
    <w:rsid w:val="00766A23"/>
    <w:rsid w:val="00766CF9"/>
    <w:rsid w:val="007671CA"/>
    <w:rsid w:val="0076782B"/>
    <w:rsid w:val="00767E17"/>
    <w:rsid w:val="00767F80"/>
    <w:rsid w:val="00767F92"/>
    <w:rsid w:val="00770177"/>
    <w:rsid w:val="007702B2"/>
    <w:rsid w:val="0077037A"/>
    <w:rsid w:val="00770464"/>
    <w:rsid w:val="00770C31"/>
    <w:rsid w:val="00770C8A"/>
    <w:rsid w:val="00770E2C"/>
    <w:rsid w:val="0077114E"/>
    <w:rsid w:val="00771248"/>
    <w:rsid w:val="00771264"/>
    <w:rsid w:val="0077161A"/>
    <w:rsid w:val="007716B7"/>
    <w:rsid w:val="0077175B"/>
    <w:rsid w:val="00771857"/>
    <w:rsid w:val="00771BB8"/>
    <w:rsid w:val="00771E23"/>
    <w:rsid w:val="00771E5F"/>
    <w:rsid w:val="00771E79"/>
    <w:rsid w:val="007728F4"/>
    <w:rsid w:val="00772BC9"/>
    <w:rsid w:val="00772CB1"/>
    <w:rsid w:val="007733A9"/>
    <w:rsid w:val="00773520"/>
    <w:rsid w:val="007737C9"/>
    <w:rsid w:val="007738EE"/>
    <w:rsid w:val="00773B8F"/>
    <w:rsid w:val="00773E5A"/>
    <w:rsid w:val="00774128"/>
    <w:rsid w:val="00774202"/>
    <w:rsid w:val="007742B4"/>
    <w:rsid w:val="007743E1"/>
    <w:rsid w:val="00774744"/>
    <w:rsid w:val="007747E6"/>
    <w:rsid w:val="00774972"/>
    <w:rsid w:val="00774BC8"/>
    <w:rsid w:val="00774C22"/>
    <w:rsid w:val="0077509E"/>
    <w:rsid w:val="00775102"/>
    <w:rsid w:val="00775441"/>
    <w:rsid w:val="0077550F"/>
    <w:rsid w:val="0077556C"/>
    <w:rsid w:val="007756D1"/>
    <w:rsid w:val="00775DBB"/>
    <w:rsid w:val="00775F64"/>
    <w:rsid w:val="007767D9"/>
    <w:rsid w:val="0077686C"/>
    <w:rsid w:val="00776BC4"/>
    <w:rsid w:val="00776F0B"/>
    <w:rsid w:val="00776F80"/>
    <w:rsid w:val="00776FCB"/>
    <w:rsid w:val="00777638"/>
    <w:rsid w:val="007779FB"/>
    <w:rsid w:val="00777AEB"/>
    <w:rsid w:val="00777B76"/>
    <w:rsid w:val="00777B78"/>
    <w:rsid w:val="00777CA8"/>
    <w:rsid w:val="0078006D"/>
    <w:rsid w:val="00780219"/>
    <w:rsid w:val="007804F6"/>
    <w:rsid w:val="007808F9"/>
    <w:rsid w:val="00780BFF"/>
    <w:rsid w:val="00781B93"/>
    <w:rsid w:val="00781F60"/>
    <w:rsid w:val="00781F78"/>
    <w:rsid w:val="007826A1"/>
    <w:rsid w:val="007827A0"/>
    <w:rsid w:val="00782865"/>
    <w:rsid w:val="007829FB"/>
    <w:rsid w:val="00782A24"/>
    <w:rsid w:val="00782C02"/>
    <w:rsid w:val="00782C28"/>
    <w:rsid w:val="00782DC1"/>
    <w:rsid w:val="00783139"/>
    <w:rsid w:val="00783170"/>
    <w:rsid w:val="007837D4"/>
    <w:rsid w:val="00783FAB"/>
    <w:rsid w:val="007840A0"/>
    <w:rsid w:val="00784B34"/>
    <w:rsid w:val="00785929"/>
    <w:rsid w:val="00785B4B"/>
    <w:rsid w:val="00785BCB"/>
    <w:rsid w:val="007861E2"/>
    <w:rsid w:val="00786CAA"/>
    <w:rsid w:val="00786F17"/>
    <w:rsid w:val="00787070"/>
    <w:rsid w:val="0078729A"/>
    <w:rsid w:val="007875A0"/>
    <w:rsid w:val="00787755"/>
    <w:rsid w:val="00787C7F"/>
    <w:rsid w:val="00787CB4"/>
    <w:rsid w:val="00787D92"/>
    <w:rsid w:val="00790594"/>
    <w:rsid w:val="0079101C"/>
    <w:rsid w:val="007913D9"/>
    <w:rsid w:val="00791445"/>
    <w:rsid w:val="0079177B"/>
    <w:rsid w:val="007919DA"/>
    <w:rsid w:val="0079220E"/>
    <w:rsid w:val="007924C3"/>
    <w:rsid w:val="00792670"/>
    <w:rsid w:val="007927DE"/>
    <w:rsid w:val="00792D1C"/>
    <w:rsid w:val="00792DA6"/>
    <w:rsid w:val="00792EB1"/>
    <w:rsid w:val="00793270"/>
    <w:rsid w:val="007933A6"/>
    <w:rsid w:val="00793791"/>
    <w:rsid w:val="00793851"/>
    <w:rsid w:val="0079392F"/>
    <w:rsid w:val="0079427F"/>
    <w:rsid w:val="00794561"/>
    <w:rsid w:val="007947D8"/>
    <w:rsid w:val="00794A61"/>
    <w:rsid w:val="00794E44"/>
    <w:rsid w:val="007954AA"/>
    <w:rsid w:val="00795DE8"/>
    <w:rsid w:val="00795FA5"/>
    <w:rsid w:val="00795FBA"/>
    <w:rsid w:val="00795FED"/>
    <w:rsid w:val="00796A6B"/>
    <w:rsid w:val="00796B90"/>
    <w:rsid w:val="00796EC5"/>
    <w:rsid w:val="00796F99"/>
    <w:rsid w:val="00797081"/>
    <w:rsid w:val="00797279"/>
    <w:rsid w:val="00797678"/>
    <w:rsid w:val="007976DC"/>
    <w:rsid w:val="00797AD2"/>
    <w:rsid w:val="007A0059"/>
    <w:rsid w:val="007A0216"/>
    <w:rsid w:val="007A022B"/>
    <w:rsid w:val="007A0268"/>
    <w:rsid w:val="007A08B2"/>
    <w:rsid w:val="007A08E3"/>
    <w:rsid w:val="007A13E9"/>
    <w:rsid w:val="007A267C"/>
    <w:rsid w:val="007A268D"/>
    <w:rsid w:val="007A26FF"/>
    <w:rsid w:val="007A2986"/>
    <w:rsid w:val="007A2B29"/>
    <w:rsid w:val="007A2DD6"/>
    <w:rsid w:val="007A318B"/>
    <w:rsid w:val="007A3235"/>
    <w:rsid w:val="007A39D4"/>
    <w:rsid w:val="007A39FE"/>
    <w:rsid w:val="007A3A9A"/>
    <w:rsid w:val="007A3B3E"/>
    <w:rsid w:val="007A3BAD"/>
    <w:rsid w:val="007A400D"/>
    <w:rsid w:val="007A43B7"/>
    <w:rsid w:val="007A47B3"/>
    <w:rsid w:val="007A49F8"/>
    <w:rsid w:val="007A4E7F"/>
    <w:rsid w:val="007A5030"/>
    <w:rsid w:val="007A544D"/>
    <w:rsid w:val="007A599B"/>
    <w:rsid w:val="007A621D"/>
    <w:rsid w:val="007A6292"/>
    <w:rsid w:val="007A66CF"/>
    <w:rsid w:val="007A755A"/>
    <w:rsid w:val="007A78DE"/>
    <w:rsid w:val="007A7F87"/>
    <w:rsid w:val="007B0064"/>
    <w:rsid w:val="007B0275"/>
    <w:rsid w:val="007B07BE"/>
    <w:rsid w:val="007B08A1"/>
    <w:rsid w:val="007B11F7"/>
    <w:rsid w:val="007B148D"/>
    <w:rsid w:val="007B16CD"/>
    <w:rsid w:val="007B1BD3"/>
    <w:rsid w:val="007B1EC5"/>
    <w:rsid w:val="007B2333"/>
    <w:rsid w:val="007B2691"/>
    <w:rsid w:val="007B2882"/>
    <w:rsid w:val="007B46F0"/>
    <w:rsid w:val="007B4A8A"/>
    <w:rsid w:val="007B4DE7"/>
    <w:rsid w:val="007B4F87"/>
    <w:rsid w:val="007B4FFE"/>
    <w:rsid w:val="007B52E5"/>
    <w:rsid w:val="007B5B7F"/>
    <w:rsid w:val="007B5E45"/>
    <w:rsid w:val="007B616B"/>
    <w:rsid w:val="007B6326"/>
    <w:rsid w:val="007B6766"/>
    <w:rsid w:val="007B67A7"/>
    <w:rsid w:val="007B6A8F"/>
    <w:rsid w:val="007B75D3"/>
    <w:rsid w:val="007B76E4"/>
    <w:rsid w:val="007C00E6"/>
    <w:rsid w:val="007C0496"/>
    <w:rsid w:val="007C049C"/>
    <w:rsid w:val="007C078B"/>
    <w:rsid w:val="007C0CB6"/>
    <w:rsid w:val="007C1187"/>
    <w:rsid w:val="007C18B0"/>
    <w:rsid w:val="007C1AA5"/>
    <w:rsid w:val="007C1BAB"/>
    <w:rsid w:val="007C1E28"/>
    <w:rsid w:val="007C1F1F"/>
    <w:rsid w:val="007C20E4"/>
    <w:rsid w:val="007C235A"/>
    <w:rsid w:val="007C2988"/>
    <w:rsid w:val="007C29F6"/>
    <w:rsid w:val="007C2BB9"/>
    <w:rsid w:val="007C3915"/>
    <w:rsid w:val="007C3ADF"/>
    <w:rsid w:val="007C3CEE"/>
    <w:rsid w:val="007C3FE6"/>
    <w:rsid w:val="007C490D"/>
    <w:rsid w:val="007C49B9"/>
    <w:rsid w:val="007C509D"/>
    <w:rsid w:val="007C51E7"/>
    <w:rsid w:val="007C57A1"/>
    <w:rsid w:val="007C5913"/>
    <w:rsid w:val="007C5CAD"/>
    <w:rsid w:val="007C5F04"/>
    <w:rsid w:val="007C6313"/>
    <w:rsid w:val="007C6992"/>
    <w:rsid w:val="007C6E4A"/>
    <w:rsid w:val="007C7273"/>
    <w:rsid w:val="007C7BE7"/>
    <w:rsid w:val="007D1431"/>
    <w:rsid w:val="007D1CD1"/>
    <w:rsid w:val="007D21B4"/>
    <w:rsid w:val="007D2A02"/>
    <w:rsid w:val="007D2AE2"/>
    <w:rsid w:val="007D2C2D"/>
    <w:rsid w:val="007D2C75"/>
    <w:rsid w:val="007D306D"/>
    <w:rsid w:val="007D34EE"/>
    <w:rsid w:val="007D3841"/>
    <w:rsid w:val="007D3DAF"/>
    <w:rsid w:val="007D3EF2"/>
    <w:rsid w:val="007D41D3"/>
    <w:rsid w:val="007D4254"/>
    <w:rsid w:val="007D4854"/>
    <w:rsid w:val="007D488E"/>
    <w:rsid w:val="007D4999"/>
    <w:rsid w:val="007D499F"/>
    <w:rsid w:val="007D5485"/>
    <w:rsid w:val="007D55DB"/>
    <w:rsid w:val="007D5732"/>
    <w:rsid w:val="007D6463"/>
    <w:rsid w:val="007D6BA0"/>
    <w:rsid w:val="007D70D5"/>
    <w:rsid w:val="007D725E"/>
    <w:rsid w:val="007D7359"/>
    <w:rsid w:val="007D743F"/>
    <w:rsid w:val="007D7748"/>
    <w:rsid w:val="007D78B2"/>
    <w:rsid w:val="007D7F92"/>
    <w:rsid w:val="007E069A"/>
    <w:rsid w:val="007E074F"/>
    <w:rsid w:val="007E0E3E"/>
    <w:rsid w:val="007E0F10"/>
    <w:rsid w:val="007E1366"/>
    <w:rsid w:val="007E13D3"/>
    <w:rsid w:val="007E167C"/>
    <w:rsid w:val="007E1D41"/>
    <w:rsid w:val="007E20A7"/>
    <w:rsid w:val="007E211B"/>
    <w:rsid w:val="007E2823"/>
    <w:rsid w:val="007E2C77"/>
    <w:rsid w:val="007E2D4C"/>
    <w:rsid w:val="007E2E6A"/>
    <w:rsid w:val="007E40F3"/>
    <w:rsid w:val="007E4399"/>
    <w:rsid w:val="007E48D4"/>
    <w:rsid w:val="007E4AEC"/>
    <w:rsid w:val="007E4D4C"/>
    <w:rsid w:val="007E4EDD"/>
    <w:rsid w:val="007E5101"/>
    <w:rsid w:val="007E51EA"/>
    <w:rsid w:val="007E52EC"/>
    <w:rsid w:val="007E539C"/>
    <w:rsid w:val="007E560C"/>
    <w:rsid w:val="007E573B"/>
    <w:rsid w:val="007E58DB"/>
    <w:rsid w:val="007E5ADA"/>
    <w:rsid w:val="007E5C9F"/>
    <w:rsid w:val="007E5DBF"/>
    <w:rsid w:val="007E5ECC"/>
    <w:rsid w:val="007E6437"/>
    <w:rsid w:val="007E64C4"/>
    <w:rsid w:val="007E69CB"/>
    <w:rsid w:val="007E6C0E"/>
    <w:rsid w:val="007E7045"/>
    <w:rsid w:val="007E70C4"/>
    <w:rsid w:val="007E79C0"/>
    <w:rsid w:val="007F02CF"/>
    <w:rsid w:val="007F0399"/>
    <w:rsid w:val="007F05EF"/>
    <w:rsid w:val="007F15D6"/>
    <w:rsid w:val="007F1FB1"/>
    <w:rsid w:val="007F2255"/>
    <w:rsid w:val="007F2529"/>
    <w:rsid w:val="007F2533"/>
    <w:rsid w:val="007F2557"/>
    <w:rsid w:val="007F2BF7"/>
    <w:rsid w:val="007F2F55"/>
    <w:rsid w:val="007F2F6D"/>
    <w:rsid w:val="007F2FE1"/>
    <w:rsid w:val="007F3333"/>
    <w:rsid w:val="007F344D"/>
    <w:rsid w:val="007F37C9"/>
    <w:rsid w:val="007F3A1F"/>
    <w:rsid w:val="007F3E30"/>
    <w:rsid w:val="007F40EA"/>
    <w:rsid w:val="007F433E"/>
    <w:rsid w:val="007F469A"/>
    <w:rsid w:val="007F47F0"/>
    <w:rsid w:val="007F4E04"/>
    <w:rsid w:val="007F520C"/>
    <w:rsid w:val="007F5591"/>
    <w:rsid w:val="007F5704"/>
    <w:rsid w:val="007F5760"/>
    <w:rsid w:val="007F60BA"/>
    <w:rsid w:val="007F6217"/>
    <w:rsid w:val="007F63D8"/>
    <w:rsid w:val="007F6484"/>
    <w:rsid w:val="007F66BD"/>
    <w:rsid w:val="007F66E6"/>
    <w:rsid w:val="007F7136"/>
    <w:rsid w:val="007F769E"/>
    <w:rsid w:val="007F76EB"/>
    <w:rsid w:val="008000C5"/>
    <w:rsid w:val="0080014C"/>
    <w:rsid w:val="008002AA"/>
    <w:rsid w:val="00800368"/>
    <w:rsid w:val="008003D4"/>
    <w:rsid w:val="008003EA"/>
    <w:rsid w:val="008004B2"/>
    <w:rsid w:val="00800686"/>
    <w:rsid w:val="008009A2"/>
    <w:rsid w:val="00800F64"/>
    <w:rsid w:val="008011CE"/>
    <w:rsid w:val="008012B6"/>
    <w:rsid w:val="00801EC2"/>
    <w:rsid w:val="00802359"/>
    <w:rsid w:val="008024E5"/>
    <w:rsid w:val="00802934"/>
    <w:rsid w:val="00802CE6"/>
    <w:rsid w:val="00802D2B"/>
    <w:rsid w:val="008034FC"/>
    <w:rsid w:val="008043FB"/>
    <w:rsid w:val="0080442E"/>
    <w:rsid w:val="0080452D"/>
    <w:rsid w:val="00804A53"/>
    <w:rsid w:val="0080524A"/>
    <w:rsid w:val="008054F4"/>
    <w:rsid w:val="00805842"/>
    <w:rsid w:val="00805AEE"/>
    <w:rsid w:val="00805CB8"/>
    <w:rsid w:val="0080605F"/>
    <w:rsid w:val="008063BF"/>
    <w:rsid w:val="00806D62"/>
    <w:rsid w:val="00806D9E"/>
    <w:rsid w:val="008072A6"/>
    <w:rsid w:val="00807959"/>
    <w:rsid w:val="00807B09"/>
    <w:rsid w:val="00807BB0"/>
    <w:rsid w:val="008103E4"/>
    <w:rsid w:val="008105FB"/>
    <w:rsid w:val="008107D5"/>
    <w:rsid w:val="00811099"/>
    <w:rsid w:val="008112A8"/>
    <w:rsid w:val="008112E3"/>
    <w:rsid w:val="008113D4"/>
    <w:rsid w:val="00811893"/>
    <w:rsid w:val="00811B75"/>
    <w:rsid w:val="00811BBC"/>
    <w:rsid w:val="00811F81"/>
    <w:rsid w:val="00812209"/>
    <w:rsid w:val="0081227F"/>
    <w:rsid w:val="008124DD"/>
    <w:rsid w:val="0081263C"/>
    <w:rsid w:val="00812645"/>
    <w:rsid w:val="00812935"/>
    <w:rsid w:val="00812AF6"/>
    <w:rsid w:val="00812DC7"/>
    <w:rsid w:val="0081340E"/>
    <w:rsid w:val="00813422"/>
    <w:rsid w:val="00813730"/>
    <w:rsid w:val="008137DE"/>
    <w:rsid w:val="008138E4"/>
    <w:rsid w:val="008140CE"/>
    <w:rsid w:val="0081414B"/>
    <w:rsid w:val="00814675"/>
    <w:rsid w:val="008146F2"/>
    <w:rsid w:val="00814752"/>
    <w:rsid w:val="0081485D"/>
    <w:rsid w:val="00814A2C"/>
    <w:rsid w:val="00814DCB"/>
    <w:rsid w:val="00814FD2"/>
    <w:rsid w:val="00815295"/>
    <w:rsid w:val="00815515"/>
    <w:rsid w:val="008156BB"/>
    <w:rsid w:val="00815975"/>
    <w:rsid w:val="00815987"/>
    <w:rsid w:val="00815C69"/>
    <w:rsid w:val="00815EBC"/>
    <w:rsid w:val="00815F2B"/>
    <w:rsid w:val="00816584"/>
    <w:rsid w:val="00816C3C"/>
    <w:rsid w:val="00816E17"/>
    <w:rsid w:val="00816F22"/>
    <w:rsid w:val="00816F8A"/>
    <w:rsid w:val="00817391"/>
    <w:rsid w:val="00817462"/>
    <w:rsid w:val="0081786A"/>
    <w:rsid w:val="00817C04"/>
    <w:rsid w:val="00817E51"/>
    <w:rsid w:val="0082052F"/>
    <w:rsid w:val="008209F2"/>
    <w:rsid w:val="00820BFD"/>
    <w:rsid w:val="00820D63"/>
    <w:rsid w:val="00820F24"/>
    <w:rsid w:val="0082112F"/>
    <w:rsid w:val="0082116F"/>
    <w:rsid w:val="00822232"/>
    <w:rsid w:val="00822375"/>
    <w:rsid w:val="008223A1"/>
    <w:rsid w:val="008224DB"/>
    <w:rsid w:val="0082287C"/>
    <w:rsid w:val="008229FA"/>
    <w:rsid w:val="008233BC"/>
    <w:rsid w:val="00823419"/>
    <w:rsid w:val="0082342D"/>
    <w:rsid w:val="00823448"/>
    <w:rsid w:val="00823B44"/>
    <w:rsid w:val="00823C39"/>
    <w:rsid w:val="00823FC4"/>
    <w:rsid w:val="00824017"/>
    <w:rsid w:val="00824090"/>
    <w:rsid w:val="008243C1"/>
    <w:rsid w:val="0082442C"/>
    <w:rsid w:val="00824496"/>
    <w:rsid w:val="0082463A"/>
    <w:rsid w:val="00824C5B"/>
    <w:rsid w:val="00824FDE"/>
    <w:rsid w:val="00825125"/>
    <w:rsid w:val="008252AF"/>
    <w:rsid w:val="008253A5"/>
    <w:rsid w:val="00825540"/>
    <w:rsid w:val="00825852"/>
    <w:rsid w:val="00825DB4"/>
    <w:rsid w:val="0082636D"/>
    <w:rsid w:val="008263EF"/>
    <w:rsid w:val="00826420"/>
    <w:rsid w:val="008264C2"/>
    <w:rsid w:val="00826728"/>
    <w:rsid w:val="0082715C"/>
    <w:rsid w:val="0082728C"/>
    <w:rsid w:val="008279B6"/>
    <w:rsid w:val="00830021"/>
    <w:rsid w:val="008303CB"/>
    <w:rsid w:val="008309D9"/>
    <w:rsid w:val="00830D8B"/>
    <w:rsid w:val="00830ED0"/>
    <w:rsid w:val="00831018"/>
    <w:rsid w:val="00831478"/>
    <w:rsid w:val="0083163E"/>
    <w:rsid w:val="0083167B"/>
    <w:rsid w:val="008316AA"/>
    <w:rsid w:val="008316BC"/>
    <w:rsid w:val="00831DE7"/>
    <w:rsid w:val="00831E7C"/>
    <w:rsid w:val="00832325"/>
    <w:rsid w:val="0083276E"/>
    <w:rsid w:val="008328B2"/>
    <w:rsid w:val="00832CA6"/>
    <w:rsid w:val="00832F64"/>
    <w:rsid w:val="00832FD8"/>
    <w:rsid w:val="00833082"/>
    <w:rsid w:val="008331C3"/>
    <w:rsid w:val="00833287"/>
    <w:rsid w:val="00833445"/>
    <w:rsid w:val="0083379A"/>
    <w:rsid w:val="0083388C"/>
    <w:rsid w:val="008339F6"/>
    <w:rsid w:val="00833A6F"/>
    <w:rsid w:val="00833C53"/>
    <w:rsid w:val="00833D84"/>
    <w:rsid w:val="00833E78"/>
    <w:rsid w:val="008343E3"/>
    <w:rsid w:val="008344AD"/>
    <w:rsid w:val="00834822"/>
    <w:rsid w:val="00834BAF"/>
    <w:rsid w:val="00834C42"/>
    <w:rsid w:val="00834CAA"/>
    <w:rsid w:val="00834E8E"/>
    <w:rsid w:val="00834F8E"/>
    <w:rsid w:val="00835DA8"/>
    <w:rsid w:val="00835E88"/>
    <w:rsid w:val="00836041"/>
    <w:rsid w:val="008363D6"/>
    <w:rsid w:val="0083642D"/>
    <w:rsid w:val="008366B7"/>
    <w:rsid w:val="0083678C"/>
    <w:rsid w:val="008368AC"/>
    <w:rsid w:val="008368DC"/>
    <w:rsid w:val="00836A78"/>
    <w:rsid w:val="0083754C"/>
    <w:rsid w:val="008376BC"/>
    <w:rsid w:val="00837855"/>
    <w:rsid w:val="00837E33"/>
    <w:rsid w:val="0084066F"/>
    <w:rsid w:val="008409E2"/>
    <w:rsid w:val="00840B5C"/>
    <w:rsid w:val="00840EBA"/>
    <w:rsid w:val="008410E6"/>
    <w:rsid w:val="008412A6"/>
    <w:rsid w:val="008412BC"/>
    <w:rsid w:val="00841BFE"/>
    <w:rsid w:val="00841DFA"/>
    <w:rsid w:val="00842479"/>
    <w:rsid w:val="008426F7"/>
    <w:rsid w:val="0084274F"/>
    <w:rsid w:val="008435B2"/>
    <w:rsid w:val="00843851"/>
    <w:rsid w:val="00843AA2"/>
    <w:rsid w:val="00843DBF"/>
    <w:rsid w:val="00843E9D"/>
    <w:rsid w:val="00843FF9"/>
    <w:rsid w:val="008443C5"/>
    <w:rsid w:val="00844959"/>
    <w:rsid w:val="00844B32"/>
    <w:rsid w:val="00844C38"/>
    <w:rsid w:val="00844C86"/>
    <w:rsid w:val="008454DE"/>
    <w:rsid w:val="00845585"/>
    <w:rsid w:val="00845EEC"/>
    <w:rsid w:val="008464D6"/>
    <w:rsid w:val="00846823"/>
    <w:rsid w:val="008469C8"/>
    <w:rsid w:val="00846D59"/>
    <w:rsid w:val="0084712D"/>
    <w:rsid w:val="00847174"/>
    <w:rsid w:val="008471E9"/>
    <w:rsid w:val="00847492"/>
    <w:rsid w:val="008475FB"/>
    <w:rsid w:val="00847778"/>
    <w:rsid w:val="008478B2"/>
    <w:rsid w:val="00847940"/>
    <w:rsid w:val="00847A13"/>
    <w:rsid w:val="00847B12"/>
    <w:rsid w:val="00847D70"/>
    <w:rsid w:val="00847D7D"/>
    <w:rsid w:val="008501AD"/>
    <w:rsid w:val="00850CE8"/>
    <w:rsid w:val="00851412"/>
    <w:rsid w:val="008515C7"/>
    <w:rsid w:val="00851F5D"/>
    <w:rsid w:val="00852190"/>
    <w:rsid w:val="00852321"/>
    <w:rsid w:val="00852669"/>
    <w:rsid w:val="008526FF"/>
    <w:rsid w:val="00852965"/>
    <w:rsid w:val="008529D1"/>
    <w:rsid w:val="00852B1E"/>
    <w:rsid w:val="00852DD4"/>
    <w:rsid w:val="0085316D"/>
    <w:rsid w:val="00853842"/>
    <w:rsid w:val="00853D50"/>
    <w:rsid w:val="00853FAE"/>
    <w:rsid w:val="00854090"/>
    <w:rsid w:val="00854177"/>
    <w:rsid w:val="008542AE"/>
    <w:rsid w:val="00854336"/>
    <w:rsid w:val="00854A3D"/>
    <w:rsid w:val="0085539F"/>
    <w:rsid w:val="00855434"/>
    <w:rsid w:val="00855563"/>
    <w:rsid w:val="00855606"/>
    <w:rsid w:val="00855643"/>
    <w:rsid w:val="00855DD9"/>
    <w:rsid w:val="00855E5B"/>
    <w:rsid w:val="00856B42"/>
    <w:rsid w:val="00856B47"/>
    <w:rsid w:val="00856B7C"/>
    <w:rsid w:val="0085760C"/>
    <w:rsid w:val="0085799E"/>
    <w:rsid w:val="00857A89"/>
    <w:rsid w:val="00857B72"/>
    <w:rsid w:val="00857B97"/>
    <w:rsid w:val="00857C58"/>
    <w:rsid w:val="00860400"/>
    <w:rsid w:val="00860440"/>
    <w:rsid w:val="008607CA"/>
    <w:rsid w:val="00860A86"/>
    <w:rsid w:val="00860EF7"/>
    <w:rsid w:val="00861151"/>
    <w:rsid w:val="008612DA"/>
    <w:rsid w:val="00861343"/>
    <w:rsid w:val="008617F3"/>
    <w:rsid w:val="008618A9"/>
    <w:rsid w:val="0086197D"/>
    <w:rsid w:val="008621D8"/>
    <w:rsid w:val="00862937"/>
    <w:rsid w:val="008632BB"/>
    <w:rsid w:val="00863739"/>
    <w:rsid w:val="00863F19"/>
    <w:rsid w:val="00863F60"/>
    <w:rsid w:val="0086415E"/>
    <w:rsid w:val="00864241"/>
    <w:rsid w:val="008644E5"/>
    <w:rsid w:val="00864620"/>
    <w:rsid w:val="00864CD6"/>
    <w:rsid w:val="00864FE4"/>
    <w:rsid w:val="0086549E"/>
    <w:rsid w:val="008654D8"/>
    <w:rsid w:val="00865752"/>
    <w:rsid w:val="00865EE1"/>
    <w:rsid w:val="00865EE8"/>
    <w:rsid w:val="00865F8C"/>
    <w:rsid w:val="00866AB1"/>
    <w:rsid w:val="00866B32"/>
    <w:rsid w:val="00866B56"/>
    <w:rsid w:val="00866D0B"/>
    <w:rsid w:val="00866D2B"/>
    <w:rsid w:val="0086723F"/>
    <w:rsid w:val="0086754F"/>
    <w:rsid w:val="00867626"/>
    <w:rsid w:val="00867637"/>
    <w:rsid w:val="00867D0B"/>
    <w:rsid w:val="00867E28"/>
    <w:rsid w:val="0087022C"/>
    <w:rsid w:val="00870878"/>
    <w:rsid w:val="0087090E"/>
    <w:rsid w:val="00870AAD"/>
    <w:rsid w:val="00870B02"/>
    <w:rsid w:val="00870C2C"/>
    <w:rsid w:val="00870CCA"/>
    <w:rsid w:val="008714C9"/>
    <w:rsid w:val="00871A15"/>
    <w:rsid w:val="00871F92"/>
    <w:rsid w:val="00872AC9"/>
    <w:rsid w:val="00873008"/>
    <w:rsid w:val="008733BB"/>
    <w:rsid w:val="00874101"/>
    <w:rsid w:val="00874B57"/>
    <w:rsid w:val="00874B82"/>
    <w:rsid w:val="00874FFD"/>
    <w:rsid w:val="008756FA"/>
    <w:rsid w:val="00875851"/>
    <w:rsid w:val="00875A3F"/>
    <w:rsid w:val="00875DA0"/>
    <w:rsid w:val="00875DA5"/>
    <w:rsid w:val="008760CD"/>
    <w:rsid w:val="00876247"/>
    <w:rsid w:val="008765AD"/>
    <w:rsid w:val="008768DB"/>
    <w:rsid w:val="00876F19"/>
    <w:rsid w:val="00877075"/>
    <w:rsid w:val="00877099"/>
    <w:rsid w:val="00877292"/>
    <w:rsid w:val="008772F0"/>
    <w:rsid w:val="0087777D"/>
    <w:rsid w:val="00877A05"/>
    <w:rsid w:val="00877A73"/>
    <w:rsid w:val="00877DBE"/>
    <w:rsid w:val="00877E87"/>
    <w:rsid w:val="008800D1"/>
    <w:rsid w:val="00880217"/>
    <w:rsid w:val="008813E9"/>
    <w:rsid w:val="008814F6"/>
    <w:rsid w:val="00881E0D"/>
    <w:rsid w:val="00881E4F"/>
    <w:rsid w:val="008825CF"/>
    <w:rsid w:val="008826B7"/>
    <w:rsid w:val="008828AB"/>
    <w:rsid w:val="00882C6E"/>
    <w:rsid w:val="00882CF2"/>
    <w:rsid w:val="00883280"/>
    <w:rsid w:val="008832A6"/>
    <w:rsid w:val="008838B6"/>
    <w:rsid w:val="0088420B"/>
    <w:rsid w:val="008844BD"/>
    <w:rsid w:val="00884C58"/>
    <w:rsid w:val="00884DB9"/>
    <w:rsid w:val="00884F2C"/>
    <w:rsid w:val="00884FA3"/>
    <w:rsid w:val="008852A6"/>
    <w:rsid w:val="008853AD"/>
    <w:rsid w:val="00885445"/>
    <w:rsid w:val="0088650E"/>
    <w:rsid w:val="00886A22"/>
    <w:rsid w:val="00886F64"/>
    <w:rsid w:val="00887293"/>
    <w:rsid w:val="00887377"/>
    <w:rsid w:val="008874E3"/>
    <w:rsid w:val="00887A23"/>
    <w:rsid w:val="00887C91"/>
    <w:rsid w:val="00890840"/>
    <w:rsid w:val="00890A00"/>
    <w:rsid w:val="00890B4A"/>
    <w:rsid w:val="00890CB8"/>
    <w:rsid w:val="00891028"/>
    <w:rsid w:val="008910F3"/>
    <w:rsid w:val="0089147D"/>
    <w:rsid w:val="0089151D"/>
    <w:rsid w:val="008917A5"/>
    <w:rsid w:val="00891F17"/>
    <w:rsid w:val="0089205C"/>
    <w:rsid w:val="008920E6"/>
    <w:rsid w:val="008922A1"/>
    <w:rsid w:val="008922E9"/>
    <w:rsid w:val="008923BF"/>
    <w:rsid w:val="00892606"/>
    <w:rsid w:val="00892B68"/>
    <w:rsid w:val="00893035"/>
    <w:rsid w:val="0089311B"/>
    <w:rsid w:val="00893283"/>
    <w:rsid w:val="0089361D"/>
    <w:rsid w:val="00893912"/>
    <w:rsid w:val="008939D8"/>
    <w:rsid w:val="00893A96"/>
    <w:rsid w:val="00893EB5"/>
    <w:rsid w:val="00893ED0"/>
    <w:rsid w:val="00894236"/>
    <w:rsid w:val="00894433"/>
    <w:rsid w:val="00894762"/>
    <w:rsid w:val="00894FBB"/>
    <w:rsid w:val="0089535C"/>
    <w:rsid w:val="00895475"/>
    <w:rsid w:val="008954B7"/>
    <w:rsid w:val="008958E4"/>
    <w:rsid w:val="008959CE"/>
    <w:rsid w:val="00895B63"/>
    <w:rsid w:val="00895E6D"/>
    <w:rsid w:val="008962C8"/>
    <w:rsid w:val="008968D0"/>
    <w:rsid w:val="00896981"/>
    <w:rsid w:val="00896A58"/>
    <w:rsid w:val="00896AF7"/>
    <w:rsid w:val="00896CE8"/>
    <w:rsid w:val="00897433"/>
    <w:rsid w:val="00897B30"/>
    <w:rsid w:val="00897BA6"/>
    <w:rsid w:val="00897D95"/>
    <w:rsid w:val="008A0340"/>
    <w:rsid w:val="008A0552"/>
    <w:rsid w:val="008A0647"/>
    <w:rsid w:val="008A0EBD"/>
    <w:rsid w:val="008A1027"/>
    <w:rsid w:val="008A194B"/>
    <w:rsid w:val="008A280C"/>
    <w:rsid w:val="008A2D33"/>
    <w:rsid w:val="008A3417"/>
    <w:rsid w:val="008A3C72"/>
    <w:rsid w:val="008A3D28"/>
    <w:rsid w:val="008A431F"/>
    <w:rsid w:val="008A4491"/>
    <w:rsid w:val="008A452A"/>
    <w:rsid w:val="008A4BBA"/>
    <w:rsid w:val="008A4E69"/>
    <w:rsid w:val="008A4F8E"/>
    <w:rsid w:val="008A50FF"/>
    <w:rsid w:val="008A52FC"/>
    <w:rsid w:val="008A5782"/>
    <w:rsid w:val="008A5786"/>
    <w:rsid w:val="008A57B9"/>
    <w:rsid w:val="008A5944"/>
    <w:rsid w:val="008A5B49"/>
    <w:rsid w:val="008A5F1F"/>
    <w:rsid w:val="008A5FEF"/>
    <w:rsid w:val="008A61F0"/>
    <w:rsid w:val="008A6299"/>
    <w:rsid w:val="008A6456"/>
    <w:rsid w:val="008A65C3"/>
    <w:rsid w:val="008A6652"/>
    <w:rsid w:val="008A712D"/>
    <w:rsid w:val="008A7406"/>
    <w:rsid w:val="008A75E3"/>
    <w:rsid w:val="008A7751"/>
    <w:rsid w:val="008A7C54"/>
    <w:rsid w:val="008A7DFE"/>
    <w:rsid w:val="008B0183"/>
    <w:rsid w:val="008B0340"/>
    <w:rsid w:val="008B046D"/>
    <w:rsid w:val="008B0555"/>
    <w:rsid w:val="008B068E"/>
    <w:rsid w:val="008B0A20"/>
    <w:rsid w:val="008B1374"/>
    <w:rsid w:val="008B13DF"/>
    <w:rsid w:val="008B1598"/>
    <w:rsid w:val="008B1B52"/>
    <w:rsid w:val="008B1E35"/>
    <w:rsid w:val="008B237A"/>
    <w:rsid w:val="008B2428"/>
    <w:rsid w:val="008B27BE"/>
    <w:rsid w:val="008B28FF"/>
    <w:rsid w:val="008B2DDB"/>
    <w:rsid w:val="008B4824"/>
    <w:rsid w:val="008B4A64"/>
    <w:rsid w:val="008B4B60"/>
    <w:rsid w:val="008B4C71"/>
    <w:rsid w:val="008B4E3F"/>
    <w:rsid w:val="008B4E8D"/>
    <w:rsid w:val="008B4F66"/>
    <w:rsid w:val="008B50FA"/>
    <w:rsid w:val="008B54A8"/>
    <w:rsid w:val="008B55CD"/>
    <w:rsid w:val="008B6317"/>
    <w:rsid w:val="008B6E36"/>
    <w:rsid w:val="008B70BD"/>
    <w:rsid w:val="008B70D2"/>
    <w:rsid w:val="008B72A4"/>
    <w:rsid w:val="008B7405"/>
    <w:rsid w:val="008B74AB"/>
    <w:rsid w:val="008B756B"/>
    <w:rsid w:val="008B7C85"/>
    <w:rsid w:val="008C0192"/>
    <w:rsid w:val="008C0A8E"/>
    <w:rsid w:val="008C0B74"/>
    <w:rsid w:val="008C0F35"/>
    <w:rsid w:val="008C119D"/>
    <w:rsid w:val="008C1208"/>
    <w:rsid w:val="008C19CD"/>
    <w:rsid w:val="008C2672"/>
    <w:rsid w:val="008C2C50"/>
    <w:rsid w:val="008C2D3B"/>
    <w:rsid w:val="008C2EB6"/>
    <w:rsid w:val="008C315D"/>
    <w:rsid w:val="008C3AF0"/>
    <w:rsid w:val="008C3D67"/>
    <w:rsid w:val="008C3E41"/>
    <w:rsid w:val="008C3E87"/>
    <w:rsid w:val="008C41F5"/>
    <w:rsid w:val="008C4339"/>
    <w:rsid w:val="008C462D"/>
    <w:rsid w:val="008C4E75"/>
    <w:rsid w:val="008C4E7B"/>
    <w:rsid w:val="008C508C"/>
    <w:rsid w:val="008C52B5"/>
    <w:rsid w:val="008C5850"/>
    <w:rsid w:val="008C5E7D"/>
    <w:rsid w:val="008C62D5"/>
    <w:rsid w:val="008C63E1"/>
    <w:rsid w:val="008C684D"/>
    <w:rsid w:val="008C6874"/>
    <w:rsid w:val="008C69CA"/>
    <w:rsid w:val="008C6AF0"/>
    <w:rsid w:val="008C6BEA"/>
    <w:rsid w:val="008C75F4"/>
    <w:rsid w:val="008C7712"/>
    <w:rsid w:val="008C7FD2"/>
    <w:rsid w:val="008D0264"/>
    <w:rsid w:val="008D03F0"/>
    <w:rsid w:val="008D041E"/>
    <w:rsid w:val="008D0447"/>
    <w:rsid w:val="008D05E8"/>
    <w:rsid w:val="008D0BB6"/>
    <w:rsid w:val="008D0ED1"/>
    <w:rsid w:val="008D11FE"/>
    <w:rsid w:val="008D1247"/>
    <w:rsid w:val="008D149B"/>
    <w:rsid w:val="008D14AF"/>
    <w:rsid w:val="008D152C"/>
    <w:rsid w:val="008D18D8"/>
    <w:rsid w:val="008D1CC9"/>
    <w:rsid w:val="008D1F62"/>
    <w:rsid w:val="008D1FBA"/>
    <w:rsid w:val="008D22E5"/>
    <w:rsid w:val="008D2742"/>
    <w:rsid w:val="008D2880"/>
    <w:rsid w:val="008D29F4"/>
    <w:rsid w:val="008D2AC3"/>
    <w:rsid w:val="008D2B34"/>
    <w:rsid w:val="008D2C55"/>
    <w:rsid w:val="008D2FBB"/>
    <w:rsid w:val="008D31DD"/>
    <w:rsid w:val="008D34D4"/>
    <w:rsid w:val="008D3C19"/>
    <w:rsid w:val="008D3DE6"/>
    <w:rsid w:val="008D445E"/>
    <w:rsid w:val="008D45F1"/>
    <w:rsid w:val="008D4BF8"/>
    <w:rsid w:val="008D508B"/>
    <w:rsid w:val="008D5F81"/>
    <w:rsid w:val="008D62C4"/>
    <w:rsid w:val="008D679C"/>
    <w:rsid w:val="008D6A18"/>
    <w:rsid w:val="008D6C8B"/>
    <w:rsid w:val="008D6FD8"/>
    <w:rsid w:val="008D7058"/>
    <w:rsid w:val="008D74A5"/>
    <w:rsid w:val="008D765D"/>
    <w:rsid w:val="008D7B1E"/>
    <w:rsid w:val="008D7B64"/>
    <w:rsid w:val="008E0687"/>
    <w:rsid w:val="008E08AE"/>
    <w:rsid w:val="008E105C"/>
    <w:rsid w:val="008E1A57"/>
    <w:rsid w:val="008E1D77"/>
    <w:rsid w:val="008E1D93"/>
    <w:rsid w:val="008E21FF"/>
    <w:rsid w:val="008E245B"/>
    <w:rsid w:val="008E2490"/>
    <w:rsid w:val="008E2807"/>
    <w:rsid w:val="008E29FD"/>
    <w:rsid w:val="008E2B19"/>
    <w:rsid w:val="008E2CA8"/>
    <w:rsid w:val="008E2DAB"/>
    <w:rsid w:val="008E2F22"/>
    <w:rsid w:val="008E3057"/>
    <w:rsid w:val="008E3950"/>
    <w:rsid w:val="008E3A4D"/>
    <w:rsid w:val="008E3CBF"/>
    <w:rsid w:val="008E41BE"/>
    <w:rsid w:val="008E44B9"/>
    <w:rsid w:val="008E49B7"/>
    <w:rsid w:val="008E49DA"/>
    <w:rsid w:val="008E4A63"/>
    <w:rsid w:val="008E4C30"/>
    <w:rsid w:val="008E5002"/>
    <w:rsid w:val="008E518C"/>
    <w:rsid w:val="008E524E"/>
    <w:rsid w:val="008E534E"/>
    <w:rsid w:val="008E5408"/>
    <w:rsid w:val="008E5BAD"/>
    <w:rsid w:val="008E628F"/>
    <w:rsid w:val="008E62E8"/>
    <w:rsid w:val="008E6373"/>
    <w:rsid w:val="008E64E7"/>
    <w:rsid w:val="008E65B7"/>
    <w:rsid w:val="008E6643"/>
    <w:rsid w:val="008E6723"/>
    <w:rsid w:val="008E6779"/>
    <w:rsid w:val="008E6F57"/>
    <w:rsid w:val="008E6FC8"/>
    <w:rsid w:val="008E6FD7"/>
    <w:rsid w:val="008E72AA"/>
    <w:rsid w:val="008E759C"/>
    <w:rsid w:val="008E75D8"/>
    <w:rsid w:val="008E7B46"/>
    <w:rsid w:val="008E7DE4"/>
    <w:rsid w:val="008E7E65"/>
    <w:rsid w:val="008F001A"/>
    <w:rsid w:val="008F0633"/>
    <w:rsid w:val="008F089E"/>
    <w:rsid w:val="008F09D2"/>
    <w:rsid w:val="008F0B88"/>
    <w:rsid w:val="008F1401"/>
    <w:rsid w:val="008F1646"/>
    <w:rsid w:val="008F17E1"/>
    <w:rsid w:val="008F1BA6"/>
    <w:rsid w:val="008F1BB1"/>
    <w:rsid w:val="008F20BD"/>
    <w:rsid w:val="008F2167"/>
    <w:rsid w:val="008F2666"/>
    <w:rsid w:val="008F27FE"/>
    <w:rsid w:val="008F29CF"/>
    <w:rsid w:val="008F2BF6"/>
    <w:rsid w:val="008F2D41"/>
    <w:rsid w:val="008F2E60"/>
    <w:rsid w:val="008F2F35"/>
    <w:rsid w:val="008F2F3C"/>
    <w:rsid w:val="008F306B"/>
    <w:rsid w:val="008F308C"/>
    <w:rsid w:val="008F4053"/>
    <w:rsid w:val="008F4267"/>
    <w:rsid w:val="008F43F2"/>
    <w:rsid w:val="008F488A"/>
    <w:rsid w:val="008F48E8"/>
    <w:rsid w:val="008F4BA5"/>
    <w:rsid w:val="008F4E33"/>
    <w:rsid w:val="008F4F5C"/>
    <w:rsid w:val="008F5445"/>
    <w:rsid w:val="008F580F"/>
    <w:rsid w:val="008F617E"/>
    <w:rsid w:val="008F6866"/>
    <w:rsid w:val="008F6A36"/>
    <w:rsid w:val="008F70AD"/>
    <w:rsid w:val="008F72AC"/>
    <w:rsid w:val="008F745C"/>
    <w:rsid w:val="008F75C0"/>
    <w:rsid w:val="008F77DF"/>
    <w:rsid w:val="008F7838"/>
    <w:rsid w:val="008F7851"/>
    <w:rsid w:val="008F7B1A"/>
    <w:rsid w:val="008F7E2F"/>
    <w:rsid w:val="008F7E7D"/>
    <w:rsid w:val="008F7FF3"/>
    <w:rsid w:val="0090042D"/>
    <w:rsid w:val="009004B3"/>
    <w:rsid w:val="00900524"/>
    <w:rsid w:val="00900B52"/>
    <w:rsid w:val="00901092"/>
    <w:rsid w:val="00901139"/>
    <w:rsid w:val="009014A6"/>
    <w:rsid w:val="00901706"/>
    <w:rsid w:val="00901996"/>
    <w:rsid w:val="00901D13"/>
    <w:rsid w:val="009020D4"/>
    <w:rsid w:val="009021A1"/>
    <w:rsid w:val="009021D4"/>
    <w:rsid w:val="009022C8"/>
    <w:rsid w:val="0090246B"/>
    <w:rsid w:val="00902A2D"/>
    <w:rsid w:val="00903261"/>
    <w:rsid w:val="00903D65"/>
    <w:rsid w:val="00904A81"/>
    <w:rsid w:val="00904EF7"/>
    <w:rsid w:val="009051F6"/>
    <w:rsid w:val="0090551C"/>
    <w:rsid w:val="009057C3"/>
    <w:rsid w:val="009060AF"/>
    <w:rsid w:val="009060E3"/>
    <w:rsid w:val="00906250"/>
    <w:rsid w:val="0090631D"/>
    <w:rsid w:val="00906604"/>
    <w:rsid w:val="00906C4B"/>
    <w:rsid w:val="00906D27"/>
    <w:rsid w:val="0090704A"/>
    <w:rsid w:val="009070C0"/>
    <w:rsid w:val="00907217"/>
    <w:rsid w:val="009073C0"/>
    <w:rsid w:val="009074BA"/>
    <w:rsid w:val="009074C5"/>
    <w:rsid w:val="00907898"/>
    <w:rsid w:val="00907A7A"/>
    <w:rsid w:val="00907F12"/>
    <w:rsid w:val="009100DF"/>
    <w:rsid w:val="009106C0"/>
    <w:rsid w:val="009108AE"/>
    <w:rsid w:val="009108CF"/>
    <w:rsid w:val="00910E1B"/>
    <w:rsid w:val="00910EB0"/>
    <w:rsid w:val="00910FF4"/>
    <w:rsid w:val="0091131F"/>
    <w:rsid w:val="00911649"/>
    <w:rsid w:val="009117D8"/>
    <w:rsid w:val="00911889"/>
    <w:rsid w:val="00911893"/>
    <w:rsid w:val="00911B4A"/>
    <w:rsid w:val="00911BF1"/>
    <w:rsid w:val="00911E33"/>
    <w:rsid w:val="00912016"/>
    <w:rsid w:val="009120BB"/>
    <w:rsid w:val="009121C8"/>
    <w:rsid w:val="00912297"/>
    <w:rsid w:val="009123ED"/>
    <w:rsid w:val="00912E6C"/>
    <w:rsid w:val="00912E70"/>
    <w:rsid w:val="00912F01"/>
    <w:rsid w:val="0091310B"/>
    <w:rsid w:val="00913529"/>
    <w:rsid w:val="0091359F"/>
    <w:rsid w:val="009136C4"/>
    <w:rsid w:val="00913708"/>
    <w:rsid w:val="009139C7"/>
    <w:rsid w:val="00913AE3"/>
    <w:rsid w:val="00913E29"/>
    <w:rsid w:val="00914217"/>
    <w:rsid w:val="009146EF"/>
    <w:rsid w:val="0091472F"/>
    <w:rsid w:val="009147E1"/>
    <w:rsid w:val="00914819"/>
    <w:rsid w:val="00914A2A"/>
    <w:rsid w:val="009157D3"/>
    <w:rsid w:val="009157FA"/>
    <w:rsid w:val="0091610B"/>
    <w:rsid w:val="00916B87"/>
    <w:rsid w:val="00916CD7"/>
    <w:rsid w:val="00916F82"/>
    <w:rsid w:val="00917659"/>
    <w:rsid w:val="00917C4A"/>
    <w:rsid w:val="009200F0"/>
    <w:rsid w:val="009207FF"/>
    <w:rsid w:val="00921037"/>
    <w:rsid w:val="00921549"/>
    <w:rsid w:val="009215BC"/>
    <w:rsid w:val="00921C10"/>
    <w:rsid w:val="00921D38"/>
    <w:rsid w:val="00921E46"/>
    <w:rsid w:val="00922103"/>
    <w:rsid w:val="0092229E"/>
    <w:rsid w:val="00922608"/>
    <w:rsid w:val="009227B7"/>
    <w:rsid w:val="00922C5A"/>
    <w:rsid w:val="00922F73"/>
    <w:rsid w:val="00922F9E"/>
    <w:rsid w:val="00923216"/>
    <w:rsid w:val="009233C4"/>
    <w:rsid w:val="009233DA"/>
    <w:rsid w:val="00923668"/>
    <w:rsid w:val="009238AC"/>
    <w:rsid w:val="00923B14"/>
    <w:rsid w:val="00923BD8"/>
    <w:rsid w:val="00923F64"/>
    <w:rsid w:val="00924291"/>
    <w:rsid w:val="0092441D"/>
    <w:rsid w:val="00924608"/>
    <w:rsid w:val="00924828"/>
    <w:rsid w:val="00924F43"/>
    <w:rsid w:val="00925468"/>
    <w:rsid w:val="009255FC"/>
    <w:rsid w:val="00925F1E"/>
    <w:rsid w:val="009266DC"/>
    <w:rsid w:val="009266EF"/>
    <w:rsid w:val="0092677A"/>
    <w:rsid w:val="00926A84"/>
    <w:rsid w:val="00926F39"/>
    <w:rsid w:val="0092716E"/>
    <w:rsid w:val="009275CD"/>
    <w:rsid w:val="009279B4"/>
    <w:rsid w:val="00927B7B"/>
    <w:rsid w:val="00927BFF"/>
    <w:rsid w:val="00927FDD"/>
    <w:rsid w:val="00930772"/>
    <w:rsid w:val="00930957"/>
    <w:rsid w:val="00930ACB"/>
    <w:rsid w:val="00930ADB"/>
    <w:rsid w:val="00930BA0"/>
    <w:rsid w:val="00930F44"/>
    <w:rsid w:val="00931015"/>
    <w:rsid w:val="00931262"/>
    <w:rsid w:val="009313C2"/>
    <w:rsid w:val="00931A07"/>
    <w:rsid w:val="00931E50"/>
    <w:rsid w:val="0093211C"/>
    <w:rsid w:val="009322CC"/>
    <w:rsid w:val="0093250F"/>
    <w:rsid w:val="0093257C"/>
    <w:rsid w:val="0093261A"/>
    <w:rsid w:val="00932839"/>
    <w:rsid w:val="009329CC"/>
    <w:rsid w:val="00932BC6"/>
    <w:rsid w:val="00932E0D"/>
    <w:rsid w:val="009339ED"/>
    <w:rsid w:val="00933C11"/>
    <w:rsid w:val="00933C7E"/>
    <w:rsid w:val="00933DF9"/>
    <w:rsid w:val="009347B3"/>
    <w:rsid w:val="00934A39"/>
    <w:rsid w:val="00934BCF"/>
    <w:rsid w:val="00934C22"/>
    <w:rsid w:val="00934D09"/>
    <w:rsid w:val="00935142"/>
    <w:rsid w:val="0093520F"/>
    <w:rsid w:val="00935256"/>
    <w:rsid w:val="0093598C"/>
    <w:rsid w:val="00935E29"/>
    <w:rsid w:val="00936019"/>
    <w:rsid w:val="009361F8"/>
    <w:rsid w:val="00936248"/>
    <w:rsid w:val="00936797"/>
    <w:rsid w:val="009368D7"/>
    <w:rsid w:val="00937021"/>
    <w:rsid w:val="009371D7"/>
    <w:rsid w:val="0093736A"/>
    <w:rsid w:val="009374D4"/>
    <w:rsid w:val="009376B5"/>
    <w:rsid w:val="00937834"/>
    <w:rsid w:val="00937855"/>
    <w:rsid w:val="00937BC1"/>
    <w:rsid w:val="00937F7A"/>
    <w:rsid w:val="009405E4"/>
    <w:rsid w:val="00940618"/>
    <w:rsid w:val="00940925"/>
    <w:rsid w:val="00940A85"/>
    <w:rsid w:val="00940AE0"/>
    <w:rsid w:val="00940C86"/>
    <w:rsid w:val="0094110A"/>
    <w:rsid w:val="00941276"/>
    <w:rsid w:val="009418D8"/>
    <w:rsid w:val="00941EFF"/>
    <w:rsid w:val="00941F1D"/>
    <w:rsid w:val="00941F23"/>
    <w:rsid w:val="00941F7B"/>
    <w:rsid w:val="0094201B"/>
    <w:rsid w:val="00942271"/>
    <w:rsid w:val="00942586"/>
    <w:rsid w:val="00942694"/>
    <w:rsid w:val="009426CA"/>
    <w:rsid w:val="00942C95"/>
    <w:rsid w:val="00942DBC"/>
    <w:rsid w:val="009431A1"/>
    <w:rsid w:val="0094398D"/>
    <w:rsid w:val="00943AFD"/>
    <w:rsid w:val="00943D1D"/>
    <w:rsid w:val="00943D1E"/>
    <w:rsid w:val="009446EE"/>
    <w:rsid w:val="00944783"/>
    <w:rsid w:val="00944EF0"/>
    <w:rsid w:val="00945674"/>
    <w:rsid w:val="00945CE8"/>
    <w:rsid w:val="00945D3B"/>
    <w:rsid w:val="00945E77"/>
    <w:rsid w:val="00945F3B"/>
    <w:rsid w:val="009462FF"/>
    <w:rsid w:val="00946ED5"/>
    <w:rsid w:val="00946FFA"/>
    <w:rsid w:val="009477FC"/>
    <w:rsid w:val="00947923"/>
    <w:rsid w:val="00947C92"/>
    <w:rsid w:val="009500D9"/>
    <w:rsid w:val="00950514"/>
    <w:rsid w:val="009506DA"/>
    <w:rsid w:val="009507A3"/>
    <w:rsid w:val="00950B24"/>
    <w:rsid w:val="00950D0B"/>
    <w:rsid w:val="00951091"/>
    <w:rsid w:val="009510C5"/>
    <w:rsid w:val="009514D5"/>
    <w:rsid w:val="00951931"/>
    <w:rsid w:val="00951D87"/>
    <w:rsid w:val="00951D8C"/>
    <w:rsid w:val="00951DFB"/>
    <w:rsid w:val="009524BB"/>
    <w:rsid w:val="0095253C"/>
    <w:rsid w:val="00952BAC"/>
    <w:rsid w:val="00952C32"/>
    <w:rsid w:val="00952F2C"/>
    <w:rsid w:val="00953245"/>
    <w:rsid w:val="009535E7"/>
    <w:rsid w:val="00953652"/>
    <w:rsid w:val="00953776"/>
    <w:rsid w:val="009538F7"/>
    <w:rsid w:val="00953C72"/>
    <w:rsid w:val="00953F59"/>
    <w:rsid w:val="00954C04"/>
    <w:rsid w:val="00954D6E"/>
    <w:rsid w:val="00954E0B"/>
    <w:rsid w:val="009555F8"/>
    <w:rsid w:val="00955BAF"/>
    <w:rsid w:val="009564D1"/>
    <w:rsid w:val="009566F3"/>
    <w:rsid w:val="00956844"/>
    <w:rsid w:val="00956C57"/>
    <w:rsid w:val="0095797A"/>
    <w:rsid w:val="00957D98"/>
    <w:rsid w:val="0096064A"/>
    <w:rsid w:val="00960844"/>
    <w:rsid w:val="009608A6"/>
    <w:rsid w:val="00960E28"/>
    <w:rsid w:val="00960EB6"/>
    <w:rsid w:val="00961929"/>
    <w:rsid w:val="009619D4"/>
    <w:rsid w:val="00961BE7"/>
    <w:rsid w:val="00961C71"/>
    <w:rsid w:val="00961E3A"/>
    <w:rsid w:val="00962119"/>
    <w:rsid w:val="00962499"/>
    <w:rsid w:val="00962E5D"/>
    <w:rsid w:val="00962EAE"/>
    <w:rsid w:val="00962F40"/>
    <w:rsid w:val="009631D7"/>
    <w:rsid w:val="00963322"/>
    <w:rsid w:val="0096336C"/>
    <w:rsid w:val="009633F8"/>
    <w:rsid w:val="00963AA3"/>
    <w:rsid w:val="00963D0F"/>
    <w:rsid w:val="00963E00"/>
    <w:rsid w:val="0096414C"/>
    <w:rsid w:val="009641B1"/>
    <w:rsid w:val="00964390"/>
    <w:rsid w:val="009644CB"/>
    <w:rsid w:val="009646DD"/>
    <w:rsid w:val="009646E3"/>
    <w:rsid w:val="00964788"/>
    <w:rsid w:val="00964CD2"/>
    <w:rsid w:val="00964E06"/>
    <w:rsid w:val="00964E1B"/>
    <w:rsid w:val="00965764"/>
    <w:rsid w:val="009658E7"/>
    <w:rsid w:val="00965AC0"/>
    <w:rsid w:val="00966263"/>
    <w:rsid w:val="009663E1"/>
    <w:rsid w:val="009667A3"/>
    <w:rsid w:val="00966971"/>
    <w:rsid w:val="00966B0B"/>
    <w:rsid w:val="00966CFB"/>
    <w:rsid w:val="00966D44"/>
    <w:rsid w:val="009673B0"/>
    <w:rsid w:val="009675B2"/>
    <w:rsid w:val="0096760F"/>
    <w:rsid w:val="00967969"/>
    <w:rsid w:val="00967C13"/>
    <w:rsid w:val="00967E03"/>
    <w:rsid w:val="009700CF"/>
    <w:rsid w:val="00970267"/>
    <w:rsid w:val="00970609"/>
    <w:rsid w:val="009709B4"/>
    <w:rsid w:val="00970BD9"/>
    <w:rsid w:val="00970C25"/>
    <w:rsid w:val="00971801"/>
    <w:rsid w:val="0097192A"/>
    <w:rsid w:val="009719CA"/>
    <w:rsid w:val="009719FD"/>
    <w:rsid w:val="009722D9"/>
    <w:rsid w:val="00972343"/>
    <w:rsid w:val="00972412"/>
    <w:rsid w:val="00972666"/>
    <w:rsid w:val="009726D6"/>
    <w:rsid w:val="00972C29"/>
    <w:rsid w:val="00972CA5"/>
    <w:rsid w:val="00973183"/>
    <w:rsid w:val="009733EA"/>
    <w:rsid w:val="00973402"/>
    <w:rsid w:val="0097367A"/>
    <w:rsid w:val="00973743"/>
    <w:rsid w:val="0097381A"/>
    <w:rsid w:val="00973B36"/>
    <w:rsid w:val="00973CEA"/>
    <w:rsid w:val="00974533"/>
    <w:rsid w:val="009749B1"/>
    <w:rsid w:val="00974B73"/>
    <w:rsid w:val="00975040"/>
    <w:rsid w:val="00975682"/>
    <w:rsid w:val="009757EC"/>
    <w:rsid w:val="009758BB"/>
    <w:rsid w:val="00975B1D"/>
    <w:rsid w:val="00975DF4"/>
    <w:rsid w:val="0097632A"/>
    <w:rsid w:val="0097642E"/>
    <w:rsid w:val="009764A2"/>
    <w:rsid w:val="00976548"/>
    <w:rsid w:val="009766AA"/>
    <w:rsid w:val="00976756"/>
    <w:rsid w:val="00976999"/>
    <w:rsid w:val="00976CE5"/>
    <w:rsid w:val="00976E61"/>
    <w:rsid w:val="009770C8"/>
    <w:rsid w:val="00977153"/>
    <w:rsid w:val="00977578"/>
    <w:rsid w:val="00977789"/>
    <w:rsid w:val="00977AF0"/>
    <w:rsid w:val="00977E26"/>
    <w:rsid w:val="00977F9C"/>
    <w:rsid w:val="00980135"/>
    <w:rsid w:val="0098027B"/>
    <w:rsid w:val="00980BC5"/>
    <w:rsid w:val="009810AD"/>
    <w:rsid w:val="00981210"/>
    <w:rsid w:val="0098145A"/>
    <w:rsid w:val="009815EA"/>
    <w:rsid w:val="0098179E"/>
    <w:rsid w:val="00982528"/>
    <w:rsid w:val="00982708"/>
    <w:rsid w:val="00982AC6"/>
    <w:rsid w:val="00982ADE"/>
    <w:rsid w:val="00983561"/>
    <w:rsid w:val="00983C22"/>
    <w:rsid w:val="00983CDA"/>
    <w:rsid w:val="00984247"/>
    <w:rsid w:val="009844B9"/>
    <w:rsid w:val="00984751"/>
    <w:rsid w:val="0098497F"/>
    <w:rsid w:val="00984EB6"/>
    <w:rsid w:val="00985232"/>
    <w:rsid w:val="00985312"/>
    <w:rsid w:val="0098533C"/>
    <w:rsid w:val="0098544B"/>
    <w:rsid w:val="00985668"/>
    <w:rsid w:val="0098590A"/>
    <w:rsid w:val="009859C4"/>
    <w:rsid w:val="009859F6"/>
    <w:rsid w:val="00985B4C"/>
    <w:rsid w:val="00985E4A"/>
    <w:rsid w:val="009860BA"/>
    <w:rsid w:val="009863C4"/>
    <w:rsid w:val="009867EA"/>
    <w:rsid w:val="00986851"/>
    <w:rsid w:val="00986913"/>
    <w:rsid w:val="0098693F"/>
    <w:rsid w:val="00986D12"/>
    <w:rsid w:val="00986E61"/>
    <w:rsid w:val="00986F6D"/>
    <w:rsid w:val="00987363"/>
    <w:rsid w:val="0099047F"/>
    <w:rsid w:val="00990587"/>
    <w:rsid w:val="00991024"/>
    <w:rsid w:val="0099110E"/>
    <w:rsid w:val="009913EC"/>
    <w:rsid w:val="009915FD"/>
    <w:rsid w:val="009918EE"/>
    <w:rsid w:val="00991B94"/>
    <w:rsid w:val="00991B9F"/>
    <w:rsid w:val="00991EC2"/>
    <w:rsid w:val="009920F5"/>
    <w:rsid w:val="0099243D"/>
    <w:rsid w:val="00992472"/>
    <w:rsid w:val="00992879"/>
    <w:rsid w:val="009928F9"/>
    <w:rsid w:val="00992BB1"/>
    <w:rsid w:val="00992E04"/>
    <w:rsid w:val="00993239"/>
    <w:rsid w:val="0099340B"/>
    <w:rsid w:val="00993812"/>
    <w:rsid w:val="00993AC6"/>
    <w:rsid w:val="00994676"/>
    <w:rsid w:val="0099477D"/>
    <w:rsid w:val="00994D4D"/>
    <w:rsid w:val="00994E4C"/>
    <w:rsid w:val="00994EA7"/>
    <w:rsid w:val="00995511"/>
    <w:rsid w:val="009955CA"/>
    <w:rsid w:val="009955CD"/>
    <w:rsid w:val="00995668"/>
    <w:rsid w:val="009957E0"/>
    <w:rsid w:val="00995807"/>
    <w:rsid w:val="0099596F"/>
    <w:rsid w:val="00995AE7"/>
    <w:rsid w:val="00995D58"/>
    <w:rsid w:val="00995ECF"/>
    <w:rsid w:val="00995F84"/>
    <w:rsid w:val="00995FC6"/>
    <w:rsid w:val="0099602F"/>
    <w:rsid w:val="00996097"/>
    <w:rsid w:val="009961F6"/>
    <w:rsid w:val="0099621A"/>
    <w:rsid w:val="00996631"/>
    <w:rsid w:val="009967B3"/>
    <w:rsid w:val="009969B1"/>
    <w:rsid w:val="009972A4"/>
    <w:rsid w:val="0099743B"/>
    <w:rsid w:val="00997484"/>
    <w:rsid w:val="00997DB4"/>
    <w:rsid w:val="009A06F6"/>
    <w:rsid w:val="009A0969"/>
    <w:rsid w:val="009A0FF0"/>
    <w:rsid w:val="009A13AA"/>
    <w:rsid w:val="009A14D0"/>
    <w:rsid w:val="009A1765"/>
    <w:rsid w:val="009A17F9"/>
    <w:rsid w:val="009A1933"/>
    <w:rsid w:val="009A19FA"/>
    <w:rsid w:val="009A1AFA"/>
    <w:rsid w:val="009A1B1B"/>
    <w:rsid w:val="009A1BED"/>
    <w:rsid w:val="009A1C6E"/>
    <w:rsid w:val="009A24C5"/>
    <w:rsid w:val="009A2540"/>
    <w:rsid w:val="009A2547"/>
    <w:rsid w:val="009A2A98"/>
    <w:rsid w:val="009A2DFB"/>
    <w:rsid w:val="009A3159"/>
    <w:rsid w:val="009A31E4"/>
    <w:rsid w:val="009A330A"/>
    <w:rsid w:val="009A3613"/>
    <w:rsid w:val="009A36B9"/>
    <w:rsid w:val="009A36E5"/>
    <w:rsid w:val="009A3A86"/>
    <w:rsid w:val="009A3FB1"/>
    <w:rsid w:val="009A4483"/>
    <w:rsid w:val="009A4AB5"/>
    <w:rsid w:val="009A4BE3"/>
    <w:rsid w:val="009A4C4F"/>
    <w:rsid w:val="009A50A7"/>
    <w:rsid w:val="009A589E"/>
    <w:rsid w:val="009A5A72"/>
    <w:rsid w:val="009A5CB4"/>
    <w:rsid w:val="009A5D08"/>
    <w:rsid w:val="009A5EA5"/>
    <w:rsid w:val="009A60C2"/>
    <w:rsid w:val="009A65C8"/>
    <w:rsid w:val="009A6742"/>
    <w:rsid w:val="009A6778"/>
    <w:rsid w:val="009A6AD1"/>
    <w:rsid w:val="009A7011"/>
    <w:rsid w:val="009A7489"/>
    <w:rsid w:val="009A7605"/>
    <w:rsid w:val="009A7976"/>
    <w:rsid w:val="009A7BCD"/>
    <w:rsid w:val="009A7C58"/>
    <w:rsid w:val="009A7E5A"/>
    <w:rsid w:val="009B03BF"/>
    <w:rsid w:val="009B0591"/>
    <w:rsid w:val="009B0599"/>
    <w:rsid w:val="009B147E"/>
    <w:rsid w:val="009B159E"/>
    <w:rsid w:val="009B16D4"/>
    <w:rsid w:val="009B1AAD"/>
    <w:rsid w:val="009B1D3B"/>
    <w:rsid w:val="009B1F0E"/>
    <w:rsid w:val="009B21E9"/>
    <w:rsid w:val="009B24C7"/>
    <w:rsid w:val="009B2761"/>
    <w:rsid w:val="009B2849"/>
    <w:rsid w:val="009B2A8A"/>
    <w:rsid w:val="009B2C4C"/>
    <w:rsid w:val="009B2E06"/>
    <w:rsid w:val="009B3264"/>
    <w:rsid w:val="009B3440"/>
    <w:rsid w:val="009B3928"/>
    <w:rsid w:val="009B4186"/>
    <w:rsid w:val="009B4307"/>
    <w:rsid w:val="009B4812"/>
    <w:rsid w:val="009B493A"/>
    <w:rsid w:val="009B4AD2"/>
    <w:rsid w:val="009B4BCF"/>
    <w:rsid w:val="009B50F9"/>
    <w:rsid w:val="009B5432"/>
    <w:rsid w:val="009B561B"/>
    <w:rsid w:val="009B5719"/>
    <w:rsid w:val="009B5EE5"/>
    <w:rsid w:val="009B6213"/>
    <w:rsid w:val="009B66BD"/>
    <w:rsid w:val="009B6B9B"/>
    <w:rsid w:val="009B6C1B"/>
    <w:rsid w:val="009B6C6F"/>
    <w:rsid w:val="009B6DED"/>
    <w:rsid w:val="009B706C"/>
    <w:rsid w:val="009B716E"/>
    <w:rsid w:val="009B7361"/>
    <w:rsid w:val="009B765B"/>
    <w:rsid w:val="009B7806"/>
    <w:rsid w:val="009B780D"/>
    <w:rsid w:val="009B7907"/>
    <w:rsid w:val="009B79C3"/>
    <w:rsid w:val="009B7F00"/>
    <w:rsid w:val="009C0640"/>
    <w:rsid w:val="009C0656"/>
    <w:rsid w:val="009C0F47"/>
    <w:rsid w:val="009C1049"/>
    <w:rsid w:val="009C110E"/>
    <w:rsid w:val="009C1138"/>
    <w:rsid w:val="009C13A0"/>
    <w:rsid w:val="009C185A"/>
    <w:rsid w:val="009C194C"/>
    <w:rsid w:val="009C1985"/>
    <w:rsid w:val="009C1A7F"/>
    <w:rsid w:val="009C1DCE"/>
    <w:rsid w:val="009C20C7"/>
    <w:rsid w:val="009C2199"/>
    <w:rsid w:val="009C2423"/>
    <w:rsid w:val="009C2973"/>
    <w:rsid w:val="009C29A7"/>
    <w:rsid w:val="009C2BCB"/>
    <w:rsid w:val="009C2E81"/>
    <w:rsid w:val="009C2E98"/>
    <w:rsid w:val="009C353E"/>
    <w:rsid w:val="009C38A5"/>
    <w:rsid w:val="009C391A"/>
    <w:rsid w:val="009C3CD6"/>
    <w:rsid w:val="009C4162"/>
    <w:rsid w:val="009C41E8"/>
    <w:rsid w:val="009C4577"/>
    <w:rsid w:val="009C48F1"/>
    <w:rsid w:val="009C502F"/>
    <w:rsid w:val="009C5135"/>
    <w:rsid w:val="009C517E"/>
    <w:rsid w:val="009C557C"/>
    <w:rsid w:val="009C5941"/>
    <w:rsid w:val="009C5D3B"/>
    <w:rsid w:val="009C695A"/>
    <w:rsid w:val="009C6A88"/>
    <w:rsid w:val="009C6C27"/>
    <w:rsid w:val="009C6CE5"/>
    <w:rsid w:val="009C6D1A"/>
    <w:rsid w:val="009C71A7"/>
    <w:rsid w:val="009C7831"/>
    <w:rsid w:val="009C78D9"/>
    <w:rsid w:val="009C7C2F"/>
    <w:rsid w:val="009D016A"/>
    <w:rsid w:val="009D0282"/>
    <w:rsid w:val="009D035A"/>
    <w:rsid w:val="009D0514"/>
    <w:rsid w:val="009D05D4"/>
    <w:rsid w:val="009D0788"/>
    <w:rsid w:val="009D0867"/>
    <w:rsid w:val="009D0CB5"/>
    <w:rsid w:val="009D0CCE"/>
    <w:rsid w:val="009D1127"/>
    <w:rsid w:val="009D144E"/>
    <w:rsid w:val="009D15C8"/>
    <w:rsid w:val="009D16F2"/>
    <w:rsid w:val="009D1B91"/>
    <w:rsid w:val="009D1D95"/>
    <w:rsid w:val="009D1F68"/>
    <w:rsid w:val="009D1FC1"/>
    <w:rsid w:val="009D2184"/>
    <w:rsid w:val="009D21A9"/>
    <w:rsid w:val="009D2BCB"/>
    <w:rsid w:val="009D2F55"/>
    <w:rsid w:val="009D3195"/>
    <w:rsid w:val="009D327B"/>
    <w:rsid w:val="009D328D"/>
    <w:rsid w:val="009D32DB"/>
    <w:rsid w:val="009D3410"/>
    <w:rsid w:val="009D3665"/>
    <w:rsid w:val="009D37E8"/>
    <w:rsid w:val="009D3D7B"/>
    <w:rsid w:val="009D43BE"/>
    <w:rsid w:val="009D48E0"/>
    <w:rsid w:val="009D5096"/>
    <w:rsid w:val="009D542D"/>
    <w:rsid w:val="009D566B"/>
    <w:rsid w:val="009D5789"/>
    <w:rsid w:val="009D6689"/>
    <w:rsid w:val="009D6BAD"/>
    <w:rsid w:val="009D73E5"/>
    <w:rsid w:val="009D7517"/>
    <w:rsid w:val="009D7546"/>
    <w:rsid w:val="009D7825"/>
    <w:rsid w:val="009D78C5"/>
    <w:rsid w:val="009D7F57"/>
    <w:rsid w:val="009E01FE"/>
    <w:rsid w:val="009E0AD7"/>
    <w:rsid w:val="009E0C57"/>
    <w:rsid w:val="009E1312"/>
    <w:rsid w:val="009E13E7"/>
    <w:rsid w:val="009E1502"/>
    <w:rsid w:val="009E1A6C"/>
    <w:rsid w:val="009E1D0F"/>
    <w:rsid w:val="009E1EEF"/>
    <w:rsid w:val="009E221E"/>
    <w:rsid w:val="009E225D"/>
    <w:rsid w:val="009E23E5"/>
    <w:rsid w:val="009E244B"/>
    <w:rsid w:val="009E26EE"/>
    <w:rsid w:val="009E2B90"/>
    <w:rsid w:val="009E3241"/>
    <w:rsid w:val="009E340C"/>
    <w:rsid w:val="009E38A4"/>
    <w:rsid w:val="009E38AF"/>
    <w:rsid w:val="009E3C47"/>
    <w:rsid w:val="009E3C6F"/>
    <w:rsid w:val="009E3E2E"/>
    <w:rsid w:val="009E3EDE"/>
    <w:rsid w:val="009E4B3A"/>
    <w:rsid w:val="009E5031"/>
    <w:rsid w:val="009E54CC"/>
    <w:rsid w:val="009E556A"/>
    <w:rsid w:val="009E5959"/>
    <w:rsid w:val="009E598E"/>
    <w:rsid w:val="009E5C0D"/>
    <w:rsid w:val="009E6818"/>
    <w:rsid w:val="009E6BF4"/>
    <w:rsid w:val="009E6E40"/>
    <w:rsid w:val="009E717C"/>
    <w:rsid w:val="009E71EE"/>
    <w:rsid w:val="009E7392"/>
    <w:rsid w:val="009E7399"/>
    <w:rsid w:val="009E73CC"/>
    <w:rsid w:val="009E7DB0"/>
    <w:rsid w:val="009F0124"/>
    <w:rsid w:val="009F0164"/>
    <w:rsid w:val="009F03E6"/>
    <w:rsid w:val="009F03F8"/>
    <w:rsid w:val="009F0E90"/>
    <w:rsid w:val="009F0F69"/>
    <w:rsid w:val="009F1660"/>
    <w:rsid w:val="009F1952"/>
    <w:rsid w:val="009F1971"/>
    <w:rsid w:val="009F1995"/>
    <w:rsid w:val="009F1C29"/>
    <w:rsid w:val="009F2668"/>
    <w:rsid w:val="009F26DC"/>
    <w:rsid w:val="009F2896"/>
    <w:rsid w:val="009F291C"/>
    <w:rsid w:val="009F297A"/>
    <w:rsid w:val="009F2A03"/>
    <w:rsid w:val="009F3153"/>
    <w:rsid w:val="009F332C"/>
    <w:rsid w:val="009F33E3"/>
    <w:rsid w:val="009F34FF"/>
    <w:rsid w:val="009F3A40"/>
    <w:rsid w:val="009F3AD3"/>
    <w:rsid w:val="009F44D8"/>
    <w:rsid w:val="009F46B6"/>
    <w:rsid w:val="009F4DDE"/>
    <w:rsid w:val="009F5400"/>
    <w:rsid w:val="009F5527"/>
    <w:rsid w:val="009F557A"/>
    <w:rsid w:val="009F5762"/>
    <w:rsid w:val="009F5BA8"/>
    <w:rsid w:val="009F5E98"/>
    <w:rsid w:val="009F6010"/>
    <w:rsid w:val="009F60BB"/>
    <w:rsid w:val="009F64A5"/>
    <w:rsid w:val="009F68F0"/>
    <w:rsid w:val="009F7060"/>
    <w:rsid w:val="009F752A"/>
    <w:rsid w:val="009F79D9"/>
    <w:rsid w:val="009F7AA0"/>
    <w:rsid w:val="009F7C66"/>
    <w:rsid w:val="009F7FA3"/>
    <w:rsid w:val="00A00C3B"/>
    <w:rsid w:val="00A00E34"/>
    <w:rsid w:val="00A017B4"/>
    <w:rsid w:val="00A01CB2"/>
    <w:rsid w:val="00A01CD5"/>
    <w:rsid w:val="00A01EC8"/>
    <w:rsid w:val="00A02054"/>
    <w:rsid w:val="00A0272F"/>
    <w:rsid w:val="00A02A59"/>
    <w:rsid w:val="00A02B47"/>
    <w:rsid w:val="00A02CCF"/>
    <w:rsid w:val="00A02D4D"/>
    <w:rsid w:val="00A02DFB"/>
    <w:rsid w:val="00A0320F"/>
    <w:rsid w:val="00A034B1"/>
    <w:rsid w:val="00A03603"/>
    <w:rsid w:val="00A03B84"/>
    <w:rsid w:val="00A03E6B"/>
    <w:rsid w:val="00A041A8"/>
    <w:rsid w:val="00A047C5"/>
    <w:rsid w:val="00A04EB5"/>
    <w:rsid w:val="00A04F0E"/>
    <w:rsid w:val="00A04FC5"/>
    <w:rsid w:val="00A0546F"/>
    <w:rsid w:val="00A056BE"/>
    <w:rsid w:val="00A05928"/>
    <w:rsid w:val="00A065D8"/>
    <w:rsid w:val="00A06CB8"/>
    <w:rsid w:val="00A06FC8"/>
    <w:rsid w:val="00A07266"/>
    <w:rsid w:val="00A07539"/>
    <w:rsid w:val="00A07BB6"/>
    <w:rsid w:val="00A07DAF"/>
    <w:rsid w:val="00A10175"/>
    <w:rsid w:val="00A10195"/>
    <w:rsid w:val="00A10374"/>
    <w:rsid w:val="00A10588"/>
    <w:rsid w:val="00A11237"/>
    <w:rsid w:val="00A1138E"/>
    <w:rsid w:val="00A113D1"/>
    <w:rsid w:val="00A1155C"/>
    <w:rsid w:val="00A11569"/>
    <w:rsid w:val="00A11C28"/>
    <w:rsid w:val="00A11CBB"/>
    <w:rsid w:val="00A11DB4"/>
    <w:rsid w:val="00A120AF"/>
    <w:rsid w:val="00A12311"/>
    <w:rsid w:val="00A12726"/>
    <w:rsid w:val="00A12C50"/>
    <w:rsid w:val="00A12EEE"/>
    <w:rsid w:val="00A13505"/>
    <w:rsid w:val="00A13ABC"/>
    <w:rsid w:val="00A13AD9"/>
    <w:rsid w:val="00A13DB2"/>
    <w:rsid w:val="00A13DD9"/>
    <w:rsid w:val="00A142A6"/>
    <w:rsid w:val="00A143A7"/>
    <w:rsid w:val="00A146D2"/>
    <w:rsid w:val="00A14803"/>
    <w:rsid w:val="00A14808"/>
    <w:rsid w:val="00A14F76"/>
    <w:rsid w:val="00A15434"/>
    <w:rsid w:val="00A15D8E"/>
    <w:rsid w:val="00A16186"/>
    <w:rsid w:val="00A16671"/>
    <w:rsid w:val="00A168A8"/>
    <w:rsid w:val="00A16A9A"/>
    <w:rsid w:val="00A16BE4"/>
    <w:rsid w:val="00A16C78"/>
    <w:rsid w:val="00A16C88"/>
    <w:rsid w:val="00A170A5"/>
    <w:rsid w:val="00A174CD"/>
    <w:rsid w:val="00A177F2"/>
    <w:rsid w:val="00A17C9E"/>
    <w:rsid w:val="00A200A2"/>
    <w:rsid w:val="00A20458"/>
    <w:rsid w:val="00A2054F"/>
    <w:rsid w:val="00A2055A"/>
    <w:rsid w:val="00A214AA"/>
    <w:rsid w:val="00A2156B"/>
    <w:rsid w:val="00A2165D"/>
    <w:rsid w:val="00A21724"/>
    <w:rsid w:val="00A2192E"/>
    <w:rsid w:val="00A219ED"/>
    <w:rsid w:val="00A21B69"/>
    <w:rsid w:val="00A21D4E"/>
    <w:rsid w:val="00A2231D"/>
    <w:rsid w:val="00A22C3E"/>
    <w:rsid w:val="00A22DBA"/>
    <w:rsid w:val="00A234E7"/>
    <w:rsid w:val="00A236F5"/>
    <w:rsid w:val="00A23A88"/>
    <w:rsid w:val="00A23D6D"/>
    <w:rsid w:val="00A2445B"/>
    <w:rsid w:val="00A2446B"/>
    <w:rsid w:val="00A246F1"/>
    <w:rsid w:val="00A24B06"/>
    <w:rsid w:val="00A25115"/>
    <w:rsid w:val="00A25590"/>
    <w:rsid w:val="00A260A3"/>
    <w:rsid w:val="00A2646D"/>
    <w:rsid w:val="00A26A4E"/>
    <w:rsid w:val="00A271DD"/>
    <w:rsid w:val="00A27666"/>
    <w:rsid w:val="00A300A3"/>
    <w:rsid w:val="00A30662"/>
    <w:rsid w:val="00A309C5"/>
    <w:rsid w:val="00A30A58"/>
    <w:rsid w:val="00A30A7E"/>
    <w:rsid w:val="00A3106C"/>
    <w:rsid w:val="00A31089"/>
    <w:rsid w:val="00A31479"/>
    <w:rsid w:val="00A314D7"/>
    <w:rsid w:val="00A31752"/>
    <w:rsid w:val="00A324C9"/>
    <w:rsid w:val="00A3296E"/>
    <w:rsid w:val="00A33453"/>
    <w:rsid w:val="00A3345F"/>
    <w:rsid w:val="00A33F15"/>
    <w:rsid w:val="00A3461B"/>
    <w:rsid w:val="00A34669"/>
    <w:rsid w:val="00A350EE"/>
    <w:rsid w:val="00A3526D"/>
    <w:rsid w:val="00A353CB"/>
    <w:rsid w:val="00A3543B"/>
    <w:rsid w:val="00A35623"/>
    <w:rsid w:val="00A35751"/>
    <w:rsid w:val="00A35A4E"/>
    <w:rsid w:val="00A35DEC"/>
    <w:rsid w:val="00A35DF0"/>
    <w:rsid w:val="00A360E0"/>
    <w:rsid w:val="00A36818"/>
    <w:rsid w:val="00A36A24"/>
    <w:rsid w:val="00A36A48"/>
    <w:rsid w:val="00A36AAA"/>
    <w:rsid w:val="00A36B58"/>
    <w:rsid w:val="00A370B3"/>
    <w:rsid w:val="00A3716A"/>
    <w:rsid w:val="00A37213"/>
    <w:rsid w:val="00A37223"/>
    <w:rsid w:val="00A3731F"/>
    <w:rsid w:val="00A37328"/>
    <w:rsid w:val="00A3753E"/>
    <w:rsid w:val="00A37844"/>
    <w:rsid w:val="00A37A8B"/>
    <w:rsid w:val="00A37D67"/>
    <w:rsid w:val="00A406F9"/>
    <w:rsid w:val="00A409B4"/>
    <w:rsid w:val="00A40D1D"/>
    <w:rsid w:val="00A40DC7"/>
    <w:rsid w:val="00A41019"/>
    <w:rsid w:val="00A41343"/>
    <w:rsid w:val="00A414D0"/>
    <w:rsid w:val="00A4189B"/>
    <w:rsid w:val="00A43024"/>
    <w:rsid w:val="00A430E9"/>
    <w:rsid w:val="00A4347E"/>
    <w:rsid w:val="00A438E2"/>
    <w:rsid w:val="00A43906"/>
    <w:rsid w:val="00A43C5F"/>
    <w:rsid w:val="00A442E2"/>
    <w:rsid w:val="00A44352"/>
    <w:rsid w:val="00A44633"/>
    <w:rsid w:val="00A44F13"/>
    <w:rsid w:val="00A44F15"/>
    <w:rsid w:val="00A4500B"/>
    <w:rsid w:val="00A451A5"/>
    <w:rsid w:val="00A4539B"/>
    <w:rsid w:val="00A454DB"/>
    <w:rsid w:val="00A45535"/>
    <w:rsid w:val="00A456FC"/>
    <w:rsid w:val="00A45865"/>
    <w:rsid w:val="00A458B2"/>
    <w:rsid w:val="00A459B7"/>
    <w:rsid w:val="00A45C0B"/>
    <w:rsid w:val="00A46079"/>
    <w:rsid w:val="00A473AA"/>
    <w:rsid w:val="00A4758A"/>
    <w:rsid w:val="00A47E3B"/>
    <w:rsid w:val="00A50440"/>
    <w:rsid w:val="00A5078A"/>
    <w:rsid w:val="00A5094F"/>
    <w:rsid w:val="00A50ADD"/>
    <w:rsid w:val="00A50E44"/>
    <w:rsid w:val="00A50E93"/>
    <w:rsid w:val="00A50FBF"/>
    <w:rsid w:val="00A51017"/>
    <w:rsid w:val="00A5198B"/>
    <w:rsid w:val="00A52377"/>
    <w:rsid w:val="00A52427"/>
    <w:rsid w:val="00A52BB0"/>
    <w:rsid w:val="00A52D27"/>
    <w:rsid w:val="00A53213"/>
    <w:rsid w:val="00A532AB"/>
    <w:rsid w:val="00A5372A"/>
    <w:rsid w:val="00A53781"/>
    <w:rsid w:val="00A5478D"/>
    <w:rsid w:val="00A54C25"/>
    <w:rsid w:val="00A5541E"/>
    <w:rsid w:val="00A5551C"/>
    <w:rsid w:val="00A5573C"/>
    <w:rsid w:val="00A55CBF"/>
    <w:rsid w:val="00A55D68"/>
    <w:rsid w:val="00A55F8F"/>
    <w:rsid w:val="00A56782"/>
    <w:rsid w:val="00A56A70"/>
    <w:rsid w:val="00A56C63"/>
    <w:rsid w:val="00A56D28"/>
    <w:rsid w:val="00A56F72"/>
    <w:rsid w:val="00A57843"/>
    <w:rsid w:val="00A578E9"/>
    <w:rsid w:val="00A57F76"/>
    <w:rsid w:val="00A57FA2"/>
    <w:rsid w:val="00A605D6"/>
    <w:rsid w:val="00A60622"/>
    <w:rsid w:val="00A60BFF"/>
    <w:rsid w:val="00A60CA9"/>
    <w:rsid w:val="00A60E2D"/>
    <w:rsid w:val="00A61619"/>
    <w:rsid w:val="00A628A7"/>
    <w:rsid w:val="00A62AFA"/>
    <w:rsid w:val="00A62B09"/>
    <w:rsid w:val="00A62B31"/>
    <w:rsid w:val="00A63126"/>
    <w:rsid w:val="00A63693"/>
    <w:rsid w:val="00A63A78"/>
    <w:rsid w:val="00A63BC8"/>
    <w:rsid w:val="00A6450A"/>
    <w:rsid w:val="00A645FE"/>
    <w:rsid w:val="00A64ABF"/>
    <w:rsid w:val="00A654CD"/>
    <w:rsid w:val="00A65911"/>
    <w:rsid w:val="00A65AA2"/>
    <w:rsid w:val="00A6602E"/>
    <w:rsid w:val="00A665BD"/>
    <w:rsid w:val="00A667C9"/>
    <w:rsid w:val="00A668EB"/>
    <w:rsid w:val="00A66F26"/>
    <w:rsid w:val="00A66F6F"/>
    <w:rsid w:val="00A67010"/>
    <w:rsid w:val="00A6736F"/>
    <w:rsid w:val="00A6742C"/>
    <w:rsid w:val="00A67552"/>
    <w:rsid w:val="00A675C2"/>
    <w:rsid w:val="00A67852"/>
    <w:rsid w:val="00A67D1F"/>
    <w:rsid w:val="00A67D2A"/>
    <w:rsid w:val="00A7009F"/>
    <w:rsid w:val="00A7018D"/>
    <w:rsid w:val="00A702AA"/>
    <w:rsid w:val="00A702B1"/>
    <w:rsid w:val="00A7039B"/>
    <w:rsid w:val="00A705C9"/>
    <w:rsid w:val="00A71E9B"/>
    <w:rsid w:val="00A71F71"/>
    <w:rsid w:val="00A72486"/>
    <w:rsid w:val="00A724BC"/>
    <w:rsid w:val="00A72A05"/>
    <w:rsid w:val="00A7356E"/>
    <w:rsid w:val="00A7391F"/>
    <w:rsid w:val="00A73A7B"/>
    <w:rsid w:val="00A73EB2"/>
    <w:rsid w:val="00A745E3"/>
    <w:rsid w:val="00A748F0"/>
    <w:rsid w:val="00A74954"/>
    <w:rsid w:val="00A74C15"/>
    <w:rsid w:val="00A74F28"/>
    <w:rsid w:val="00A7608D"/>
    <w:rsid w:val="00A762CF"/>
    <w:rsid w:val="00A7650A"/>
    <w:rsid w:val="00A765A6"/>
    <w:rsid w:val="00A76D83"/>
    <w:rsid w:val="00A76E70"/>
    <w:rsid w:val="00A775C4"/>
    <w:rsid w:val="00A77709"/>
    <w:rsid w:val="00A77F2C"/>
    <w:rsid w:val="00A800EE"/>
    <w:rsid w:val="00A8037B"/>
    <w:rsid w:val="00A80506"/>
    <w:rsid w:val="00A8071A"/>
    <w:rsid w:val="00A80998"/>
    <w:rsid w:val="00A80ADC"/>
    <w:rsid w:val="00A80C1E"/>
    <w:rsid w:val="00A8114E"/>
    <w:rsid w:val="00A813E1"/>
    <w:rsid w:val="00A81562"/>
    <w:rsid w:val="00A815DC"/>
    <w:rsid w:val="00A816AC"/>
    <w:rsid w:val="00A81B6C"/>
    <w:rsid w:val="00A822B5"/>
    <w:rsid w:val="00A82620"/>
    <w:rsid w:val="00A827ED"/>
    <w:rsid w:val="00A8280E"/>
    <w:rsid w:val="00A82832"/>
    <w:rsid w:val="00A82EF5"/>
    <w:rsid w:val="00A83134"/>
    <w:rsid w:val="00A831D8"/>
    <w:rsid w:val="00A83375"/>
    <w:rsid w:val="00A835BD"/>
    <w:rsid w:val="00A83AB9"/>
    <w:rsid w:val="00A83B6C"/>
    <w:rsid w:val="00A83BB2"/>
    <w:rsid w:val="00A84376"/>
    <w:rsid w:val="00A84496"/>
    <w:rsid w:val="00A84D43"/>
    <w:rsid w:val="00A84EAF"/>
    <w:rsid w:val="00A84EDE"/>
    <w:rsid w:val="00A850EC"/>
    <w:rsid w:val="00A8522C"/>
    <w:rsid w:val="00A857B4"/>
    <w:rsid w:val="00A858D4"/>
    <w:rsid w:val="00A85DFA"/>
    <w:rsid w:val="00A85F88"/>
    <w:rsid w:val="00A85FCF"/>
    <w:rsid w:val="00A86460"/>
    <w:rsid w:val="00A86BE8"/>
    <w:rsid w:val="00A86EE0"/>
    <w:rsid w:val="00A86F01"/>
    <w:rsid w:val="00A8705E"/>
    <w:rsid w:val="00A87133"/>
    <w:rsid w:val="00A872DF"/>
    <w:rsid w:val="00A8730F"/>
    <w:rsid w:val="00A87435"/>
    <w:rsid w:val="00A874F6"/>
    <w:rsid w:val="00A90031"/>
    <w:rsid w:val="00A9004D"/>
    <w:rsid w:val="00A90125"/>
    <w:rsid w:val="00A90328"/>
    <w:rsid w:val="00A90DA9"/>
    <w:rsid w:val="00A9131B"/>
    <w:rsid w:val="00A91485"/>
    <w:rsid w:val="00A91498"/>
    <w:rsid w:val="00A91621"/>
    <w:rsid w:val="00A91986"/>
    <w:rsid w:val="00A9218D"/>
    <w:rsid w:val="00A923B1"/>
    <w:rsid w:val="00A924C9"/>
    <w:rsid w:val="00A92771"/>
    <w:rsid w:val="00A9278F"/>
    <w:rsid w:val="00A927F5"/>
    <w:rsid w:val="00A92DD4"/>
    <w:rsid w:val="00A9316E"/>
    <w:rsid w:val="00A93285"/>
    <w:rsid w:val="00A93294"/>
    <w:rsid w:val="00A9332A"/>
    <w:rsid w:val="00A93FFF"/>
    <w:rsid w:val="00A9430F"/>
    <w:rsid w:val="00A94323"/>
    <w:rsid w:val="00A94D11"/>
    <w:rsid w:val="00A952DF"/>
    <w:rsid w:val="00A95371"/>
    <w:rsid w:val="00A95696"/>
    <w:rsid w:val="00A956DC"/>
    <w:rsid w:val="00A95A9A"/>
    <w:rsid w:val="00A95B47"/>
    <w:rsid w:val="00A95F31"/>
    <w:rsid w:val="00A9603C"/>
    <w:rsid w:val="00A9661D"/>
    <w:rsid w:val="00A966FB"/>
    <w:rsid w:val="00A9695D"/>
    <w:rsid w:val="00A96BDD"/>
    <w:rsid w:val="00A97274"/>
    <w:rsid w:val="00A9763D"/>
    <w:rsid w:val="00A97A88"/>
    <w:rsid w:val="00A97AFB"/>
    <w:rsid w:val="00A97FC5"/>
    <w:rsid w:val="00AA0048"/>
    <w:rsid w:val="00AA0481"/>
    <w:rsid w:val="00AA0482"/>
    <w:rsid w:val="00AA0499"/>
    <w:rsid w:val="00AA07BB"/>
    <w:rsid w:val="00AA0D65"/>
    <w:rsid w:val="00AA1214"/>
    <w:rsid w:val="00AA1253"/>
    <w:rsid w:val="00AA1272"/>
    <w:rsid w:val="00AA1436"/>
    <w:rsid w:val="00AA15B9"/>
    <w:rsid w:val="00AA1694"/>
    <w:rsid w:val="00AA1B2C"/>
    <w:rsid w:val="00AA1F1B"/>
    <w:rsid w:val="00AA1FEA"/>
    <w:rsid w:val="00AA2A2A"/>
    <w:rsid w:val="00AA2EB6"/>
    <w:rsid w:val="00AA2FD6"/>
    <w:rsid w:val="00AA33E3"/>
    <w:rsid w:val="00AA4F32"/>
    <w:rsid w:val="00AA4F4E"/>
    <w:rsid w:val="00AA5102"/>
    <w:rsid w:val="00AA55CF"/>
    <w:rsid w:val="00AA578B"/>
    <w:rsid w:val="00AA5889"/>
    <w:rsid w:val="00AA592E"/>
    <w:rsid w:val="00AA602C"/>
    <w:rsid w:val="00AA63FB"/>
    <w:rsid w:val="00AA648C"/>
    <w:rsid w:val="00AA6561"/>
    <w:rsid w:val="00AA69F1"/>
    <w:rsid w:val="00AA6ADF"/>
    <w:rsid w:val="00AA6D5A"/>
    <w:rsid w:val="00AA6D87"/>
    <w:rsid w:val="00AA6D8E"/>
    <w:rsid w:val="00AA6EDC"/>
    <w:rsid w:val="00AA70CD"/>
    <w:rsid w:val="00AA71B2"/>
    <w:rsid w:val="00AA766A"/>
    <w:rsid w:val="00AA7951"/>
    <w:rsid w:val="00AA7981"/>
    <w:rsid w:val="00AA7AB3"/>
    <w:rsid w:val="00AA7B17"/>
    <w:rsid w:val="00AB01EB"/>
    <w:rsid w:val="00AB047B"/>
    <w:rsid w:val="00AB086F"/>
    <w:rsid w:val="00AB0C3A"/>
    <w:rsid w:val="00AB1069"/>
    <w:rsid w:val="00AB10F4"/>
    <w:rsid w:val="00AB1343"/>
    <w:rsid w:val="00AB1A7D"/>
    <w:rsid w:val="00AB1CC5"/>
    <w:rsid w:val="00AB20AB"/>
    <w:rsid w:val="00AB20BB"/>
    <w:rsid w:val="00AB2829"/>
    <w:rsid w:val="00AB2E9A"/>
    <w:rsid w:val="00AB315C"/>
    <w:rsid w:val="00AB3484"/>
    <w:rsid w:val="00AB3D1A"/>
    <w:rsid w:val="00AB3D8A"/>
    <w:rsid w:val="00AB3DAF"/>
    <w:rsid w:val="00AB4012"/>
    <w:rsid w:val="00AB4229"/>
    <w:rsid w:val="00AB4334"/>
    <w:rsid w:val="00AB55F4"/>
    <w:rsid w:val="00AB574A"/>
    <w:rsid w:val="00AB587C"/>
    <w:rsid w:val="00AB5B22"/>
    <w:rsid w:val="00AB60EC"/>
    <w:rsid w:val="00AB6178"/>
    <w:rsid w:val="00AB6583"/>
    <w:rsid w:val="00AB677B"/>
    <w:rsid w:val="00AB6792"/>
    <w:rsid w:val="00AB6A04"/>
    <w:rsid w:val="00AB6D97"/>
    <w:rsid w:val="00AB6DC3"/>
    <w:rsid w:val="00AB6E33"/>
    <w:rsid w:val="00AB6EB6"/>
    <w:rsid w:val="00AB7339"/>
    <w:rsid w:val="00AB775D"/>
    <w:rsid w:val="00AB7B03"/>
    <w:rsid w:val="00AB7F9E"/>
    <w:rsid w:val="00AC010E"/>
    <w:rsid w:val="00AC0734"/>
    <w:rsid w:val="00AC0A85"/>
    <w:rsid w:val="00AC0E93"/>
    <w:rsid w:val="00AC0F4A"/>
    <w:rsid w:val="00AC0F9D"/>
    <w:rsid w:val="00AC1151"/>
    <w:rsid w:val="00AC1231"/>
    <w:rsid w:val="00AC1352"/>
    <w:rsid w:val="00AC13F6"/>
    <w:rsid w:val="00AC15A1"/>
    <w:rsid w:val="00AC1A0C"/>
    <w:rsid w:val="00AC1D58"/>
    <w:rsid w:val="00AC1EF8"/>
    <w:rsid w:val="00AC2103"/>
    <w:rsid w:val="00AC21C3"/>
    <w:rsid w:val="00AC2289"/>
    <w:rsid w:val="00AC2305"/>
    <w:rsid w:val="00AC23D1"/>
    <w:rsid w:val="00AC3383"/>
    <w:rsid w:val="00AC33D9"/>
    <w:rsid w:val="00AC35B8"/>
    <w:rsid w:val="00AC3928"/>
    <w:rsid w:val="00AC3BF3"/>
    <w:rsid w:val="00AC3D22"/>
    <w:rsid w:val="00AC3F61"/>
    <w:rsid w:val="00AC41AF"/>
    <w:rsid w:val="00AC428A"/>
    <w:rsid w:val="00AC450C"/>
    <w:rsid w:val="00AC45DD"/>
    <w:rsid w:val="00AC472A"/>
    <w:rsid w:val="00AC4792"/>
    <w:rsid w:val="00AC4B91"/>
    <w:rsid w:val="00AC4CE1"/>
    <w:rsid w:val="00AC504F"/>
    <w:rsid w:val="00AC5294"/>
    <w:rsid w:val="00AC58AB"/>
    <w:rsid w:val="00AC5AD1"/>
    <w:rsid w:val="00AC5AE9"/>
    <w:rsid w:val="00AC5B47"/>
    <w:rsid w:val="00AC6177"/>
    <w:rsid w:val="00AC673F"/>
    <w:rsid w:val="00AC69C5"/>
    <w:rsid w:val="00AC6A93"/>
    <w:rsid w:val="00AC7022"/>
    <w:rsid w:val="00AC7368"/>
    <w:rsid w:val="00AC764C"/>
    <w:rsid w:val="00AC7744"/>
    <w:rsid w:val="00AC77A3"/>
    <w:rsid w:val="00AD0797"/>
    <w:rsid w:val="00AD0CE6"/>
    <w:rsid w:val="00AD1187"/>
    <w:rsid w:val="00AD11B8"/>
    <w:rsid w:val="00AD1571"/>
    <w:rsid w:val="00AD15CD"/>
    <w:rsid w:val="00AD16A1"/>
    <w:rsid w:val="00AD16D8"/>
    <w:rsid w:val="00AD1862"/>
    <w:rsid w:val="00AD1D34"/>
    <w:rsid w:val="00AD21D1"/>
    <w:rsid w:val="00AD2A7D"/>
    <w:rsid w:val="00AD2E5D"/>
    <w:rsid w:val="00AD2EB7"/>
    <w:rsid w:val="00AD3152"/>
    <w:rsid w:val="00AD3164"/>
    <w:rsid w:val="00AD3678"/>
    <w:rsid w:val="00AD3718"/>
    <w:rsid w:val="00AD39BB"/>
    <w:rsid w:val="00AD3B9A"/>
    <w:rsid w:val="00AD3F51"/>
    <w:rsid w:val="00AD422B"/>
    <w:rsid w:val="00AD4C9F"/>
    <w:rsid w:val="00AD4CFC"/>
    <w:rsid w:val="00AD5176"/>
    <w:rsid w:val="00AD53CE"/>
    <w:rsid w:val="00AD55DC"/>
    <w:rsid w:val="00AD5889"/>
    <w:rsid w:val="00AD5DB7"/>
    <w:rsid w:val="00AD5DD4"/>
    <w:rsid w:val="00AD5EE8"/>
    <w:rsid w:val="00AD5F8A"/>
    <w:rsid w:val="00AD5FA1"/>
    <w:rsid w:val="00AD64DA"/>
    <w:rsid w:val="00AD672F"/>
    <w:rsid w:val="00AD676A"/>
    <w:rsid w:val="00AD6958"/>
    <w:rsid w:val="00AD6C69"/>
    <w:rsid w:val="00AD6D7B"/>
    <w:rsid w:val="00AD6FFA"/>
    <w:rsid w:val="00AD72EB"/>
    <w:rsid w:val="00AD7699"/>
    <w:rsid w:val="00AD798C"/>
    <w:rsid w:val="00AD7ACB"/>
    <w:rsid w:val="00AD7B3A"/>
    <w:rsid w:val="00AD7D33"/>
    <w:rsid w:val="00AE0224"/>
    <w:rsid w:val="00AE0413"/>
    <w:rsid w:val="00AE087E"/>
    <w:rsid w:val="00AE09C1"/>
    <w:rsid w:val="00AE09FF"/>
    <w:rsid w:val="00AE0B71"/>
    <w:rsid w:val="00AE0F88"/>
    <w:rsid w:val="00AE1548"/>
    <w:rsid w:val="00AE179E"/>
    <w:rsid w:val="00AE181E"/>
    <w:rsid w:val="00AE20E6"/>
    <w:rsid w:val="00AE22A1"/>
    <w:rsid w:val="00AE232A"/>
    <w:rsid w:val="00AE2484"/>
    <w:rsid w:val="00AE253E"/>
    <w:rsid w:val="00AE2885"/>
    <w:rsid w:val="00AE2C29"/>
    <w:rsid w:val="00AE2C5B"/>
    <w:rsid w:val="00AE3385"/>
    <w:rsid w:val="00AE34C4"/>
    <w:rsid w:val="00AE34EC"/>
    <w:rsid w:val="00AE3597"/>
    <w:rsid w:val="00AE3C77"/>
    <w:rsid w:val="00AE41A8"/>
    <w:rsid w:val="00AE4685"/>
    <w:rsid w:val="00AE489D"/>
    <w:rsid w:val="00AE4A9D"/>
    <w:rsid w:val="00AE4F90"/>
    <w:rsid w:val="00AE5548"/>
    <w:rsid w:val="00AE55D9"/>
    <w:rsid w:val="00AE6F25"/>
    <w:rsid w:val="00AE74B1"/>
    <w:rsid w:val="00AE77A0"/>
    <w:rsid w:val="00AE7BBA"/>
    <w:rsid w:val="00AF0185"/>
    <w:rsid w:val="00AF0534"/>
    <w:rsid w:val="00AF0628"/>
    <w:rsid w:val="00AF0D8C"/>
    <w:rsid w:val="00AF0FE3"/>
    <w:rsid w:val="00AF14FC"/>
    <w:rsid w:val="00AF1778"/>
    <w:rsid w:val="00AF1B98"/>
    <w:rsid w:val="00AF1BA0"/>
    <w:rsid w:val="00AF1C59"/>
    <w:rsid w:val="00AF1F5A"/>
    <w:rsid w:val="00AF1FEE"/>
    <w:rsid w:val="00AF23E5"/>
    <w:rsid w:val="00AF23EB"/>
    <w:rsid w:val="00AF2773"/>
    <w:rsid w:val="00AF3379"/>
    <w:rsid w:val="00AF365D"/>
    <w:rsid w:val="00AF3955"/>
    <w:rsid w:val="00AF3C27"/>
    <w:rsid w:val="00AF3C7F"/>
    <w:rsid w:val="00AF3DFE"/>
    <w:rsid w:val="00AF402C"/>
    <w:rsid w:val="00AF44A2"/>
    <w:rsid w:val="00AF4754"/>
    <w:rsid w:val="00AF4AA3"/>
    <w:rsid w:val="00AF4DD7"/>
    <w:rsid w:val="00AF5330"/>
    <w:rsid w:val="00AF5D03"/>
    <w:rsid w:val="00AF6374"/>
    <w:rsid w:val="00AF6806"/>
    <w:rsid w:val="00AF7114"/>
    <w:rsid w:val="00AF72C0"/>
    <w:rsid w:val="00AF7374"/>
    <w:rsid w:val="00AF766D"/>
    <w:rsid w:val="00AF7F22"/>
    <w:rsid w:val="00B00B6B"/>
    <w:rsid w:val="00B00F75"/>
    <w:rsid w:val="00B013DB"/>
    <w:rsid w:val="00B0154A"/>
    <w:rsid w:val="00B01676"/>
    <w:rsid w:val="00B01BE4"/>
    <w:rsid w:val="00B01DB2"/>
    <w:rsid w:val="00B01EEA"/>
    <w:rsid w:val="00B02191"/>
    <w:rsid w:val="00B0229E"/>
    <w:rsid w:val="00B023EC"/>
    <w:rsid w:val="00B02B4C"/>
    <w:rsid w:val="00B02D0B"/>
    <w:rsid w:val="00B02EAE"/>
    <w:rsid w:val="00B02F1F"/>
    <w:rsid w:val="00B02FA8"/>
    <w:rsid w:val="00B03316"/>
    <w:rsid w:val="00B0348F"/>
    <w:rsid w:val="00B03639"/>
    <w:rsid w:val="00B039A2"/>
    <w:rsid w:val="00B04159"/>
    <w:rsid w:val="00B04241"/>
    <w:rsid w:val="00B042FD"/>
    <w:rsid w:val="00B04611"/>
    <w:rsid w:val="00B04A2B"/>
    <w:rsid w:val="00B04C40"/>
    <w:rsid w:val="00B052BC"/>
    <w:rsid w:val="00B05317"/>
    <w:rsid w:val="00B059BE"/>
    <w:rsid w:val="00B05B36"/>
    <w:rsid w:val="00B05CAF"/>
    <w:rsid w:val="00B065F4"/>
    <w:rsid w:val="00B06C99"/>
    <w:rsid w:val="00B06D6C"/>
    <w:rsid w:val="00B0742A"/>
    <w:rsid w:val="00B07D68"/>
    <w:rsid w:val="00B07EA6"/>
    <w:rsid w:val="00B101AD"/>
    <w:rsid w:val="00B10214"/>
    <w:rsid w:val="00B109BA"/>
    <w:rsid w:val="00B10E53"/>
    <w:rsid w:val="00B110F5"/>
    <w:rsid w:val="00B1188E"/>
    <w:rsid w:val="00B11947"/>
    <w:rsid w:val="00B11FFB"/>
    <w:rsid w:val="00B12226"/>
    <w:rsid w:val="00B1233F"/>
    <w:rsid w:val="00B12453"/>
    <w:rsid w:val="00B12D42"/>
    <w:rsid w:val="00B12F13"/>
    <w:rsid w:val="00B13088"/>
    <w:rsid w:val="00B13161"/>
    <w:rsid w:val="00B13B12"/>
    <w:rsid w:val="00B13CA4"/>
    <w:rsid w:val="00B13D78"/>
    <w:rsid w:val="00B13E5A"/>
    <w:rsid w:val="00B14A64"/>
    <w:rsid w:val="00B14EB4"/>
    <w:rsid w:val="00B15079"/>
    <w:rsid w:val="00B1541C"/>
    <w:rsid w:val="00B154C1"/>
    <w:rsid w:val="00B15A22"/>
    <w:rsid w:val="00B15EBE"/>
    <w:rsid w:val="00B15FAF"/>
    <w:rsid w:val="00B15FEB"/>
    <w:rsid w:val="00B160A5"/>
    <w:rsid w:val="00B1645A"/>
    <w:rsid w:val="00B1669A"/>
    <w:rsid w:val="00B17812"/>
    <w:rsid w:val="00B17883"/>
    <w:rsid w:val="00B17B5D"/>
    <w:rsid w:val="00B17B74"/>
    <w:rsid w:val="00B17B7E"/>
    <w:rsid w:val="00B17E94"/>
    <w:rsid w:val="00B20278"/>
    <w:rsid w:val="00B202C2"/>
    <w:rsid w:val="00B20341"/>
    <w:rsid w:val="00B203A7"/>
    <w:rsid w:val="00B2096D"/>
    <w:rsid w:val="00B2127D"/>
    <w:rsid w:val="00B21550"/>
    <w:rsid w:val="00B21766"/>
    <w:rsid w:val="00B21918"/>
    <w:rsid w:val="00B21F45"/>
    <w:rsid w:val="00B22081"/>
    <w:rsid w:val="00B22208"/>
    <w:rsid w:val="00B22379"/>
    <w:rsid w:val="00B22585"/>
    <w:rsid w:val="00B22C4D"/>
    <w:rsid w:val="00B22F27"/>
    <w:rsid w:val="00B22FD8"/>
    <w:rsid w:val="00B2303C"/>
    <w:rsid w:val="00B2319A"/>
    <w:rsid w:val="00B2355D"/>
    <w:rsid w:val="00B2358A"/>
    <w:rsid w:val="00B23A92"/>
    <w:rsid w:val="00B23E23"/>
    <w:rsid w:val="00B2441A"/>
    <w:rsid w:val="00B246D6"/>
    <w:rsid w:val="00B2494B"/>
    <w:rsid w:val="00B24B7B"/>
    <w:rsid w:val="00B2553F"/>
    <w:rsid w:val="00B255FB"/>
    <w:rsid w:val="00B258BB"/>
    <w:rsid w:val="00B25A40"/>
    <w:rsid w:val="00B25A74"/>
    <w:rsid w:val="00B2651E"/>
    <w:rsid w:val="00B267C2"/>
    <w:rsid w:val="00B267E5"/>
    <w:rsid w:val="00B268E1"/>
    <w:rsid w:val="00B26AED"/>
    <w:rsid w:val="00B26CCA"/>
    <w:rsid w:val="00B26D24"/>
    <w:rsid w:val="00B27550"/>
    <w:rsid w:val="00B278CA"/>
    <w:rsid w:val="00B278FA"/>
    <w:rsid w:val="00B27A5B"/>
    <w:rsid w:val="00B27AD5"/>
    <w:rsid w:val="00B307D3"/>
    <w:rsid w:val="00B30EBC"/>
    <w:rsid w:val="00B310A2"/>
    <w:rsid w:val="00B310D7"/>
    <w:rsid w:val="00B31199"/>
    <w:rsid w:val="00B319D9"/>
    <w:rsid w:val="00B31B04"/>
    <w:rsid w:val="00B31BC8"/>
    <w:rsid w:val="00B32098"/>
    <w:rsid w:val="00B3218F"/>
    <w:rsid w:val="00B322F9"/>
    <w:rsid w:val="00B32384"/>
    <w:rsid w:val="00B3241A"/>
    <w:rsid w:val="00B32BEC"/>
    <w:rsid w:val="00B32D05"/>
    <w:rsid w:val="00B3345C"/>
    <w:rsid w:val="00B3384C"/>
    <w:rsid w:val="00B3394D"/>
    <w:rsid w:val="00B33F33"/>
    <w:rsid w:val="00B34245"/>
    <w:rsid w:val="00B343B1"/>
    <w:rsid w:val="00B344F8"/>
    <w:rsid w:val="00B3463C"/>
    <w:rsid w:val="00B34837"/>
    <w:rsid w:val="00B34852"/>
    <w:rsid w:val="00B348DF"/>
    <w:rsid w:val="00B34A78"/>
    <w:rsid w:val="00B34C77"/>
    <w:rsid w:val="00B34C92"/>
    <w:rsid w:val="00B34D74"/>
    <w:rsid w:val="00B34D9C"/>
    <w:rsid w:val="00B3511C"/>
    <w:rsid w:val="00B355A7"/>
    <w:rsid w:val="00B355B0"/>
    <w:rsid w:val="00B35661"/>
    <w:rsid w:val="00B35CAF"/>
    <w:rsid w:val="00B367E2"/>
    <w:rsid w:val="00B36A87"/>
    <w:rsid w:val="00B36B13"/>
    <w:rsid w:val="00B36C6D"/>
    <w:rsid w:val="00B36E8D"/>
    <w:rsid w:val="00B36FCA"/>
    <w:rsid w:val="00B37234"/>
    <w:rsid w:val="00B373F3"/>
    <w:rsid w:val="00B374BF"/>
    <w:rsid w:val="00B375FC"/>
    <w:rsid w:val="00B376B5"/>
    <w:rsid w:val="00B37850"/>
    <w:rsid w:val="00B37D18"/>
    <w:rsid w:val="00B40186"/>
    <w:rsid w:val="00B4036B"/>
    <w:rsid w:val="00B40802"/>
    <w:rsid w:val="00B41404"/>
    <w:rsid w:val="00B41C68"/>
    <w:rsid w:val="00B41CDD"/>
    <w:rsid w:val="00B41DE6"/>
    <w:rsid w:val="00B41E08"/>
    <w:rsid w:val="00B41E1B"/>
    <w:rsid w:val="00B41E1C"/>
    <w:rsid w:val="00B4294F"/>
    <w:rsid w:val="00B42ECC"/>
    <w:rsid w:val="00B42FC6"/>
    <w:rsid w:val="00B434BE"/>
    <w:rsid w:val="00B43578"/>
    <w:rsid w:val="00B43A51"/>
    <w:rsid w:val="00B43D18"/>
    <w:rsid w:val="00B43FAB"/>
    <w:rsid w:val="00B44214"/>
    <w:rsid w:val="00B44590"/>
    <w:rsid w:val="00B446E7"/>
    <w:rsid w:val="00B44B48"/>
    <w:rsid w:val="00B45219"/>
    <w:rsid w:val="00B4532C"/>
    <w:rsid w:val="00B45349"/>
    <w:rsid w:val="00B45750"/>
    <w:rsid w:val="00B45E80"/>
    <w:rsid w:val="00B4657B"/>
    <w:rsid w:val="00B46996"/>
    <w:rsid w:val="00B4796B"/>
    <w:rsid w:val="00B47AE1"/>
    <w:rsid w:val="00B47D29"/>
    <w:rsid w:val="00B5088B"/>
    <w:rsid w:val="00B50D51"/>
    <w:rsid w:val="00B50D61"/>
    <w:rsid w:val="00B51A43"/>
    <w:rsid w:val="00B52275"/>
    <w:rsid w:val="00B527E8"/>
    <w:rsid w:val="00B52F5B"/>
    <w:rsid w:val="00B536E8"/>
    <w:rsid w:val="00B537C6"/>
    <w:rsid w:val="00B53DB0"/>
    <w:rsid w:val="00B540E5"/>
    <w:rsid w:val="00B54151"/>
    <w:rsid w:val="00B5426E"/>
    <w:rsid w:val="00B5432F"/>
    <w:rsid w:val="00B54359"/>
    <w:rsid w:val="00B543F0"/>
    <w:rsid w:val="00B5444C"/>
    <w:rsid w:val="00B547BD"/>
    <w:rsid w:val="00B54A06"/>
    <w:rsid w:val="00B54F0B"/>
    <w:rsid w:val="00B55346"/>
    <w:rsid w:val="00B55B7C"/>
    <w:rsid w:val="00B55B7D"/>
    <w:rsid w:val="00B55D24"/>
    <w:rsid w:val="00B56347"/>
    <w:rsid w:val="00B56474"/>
    <w:rsid w:val="00B56555"/>
    <w:rsid w:val="00B56A4E"/>
    <w:rsid w:val="00B56A82"/>
    <w:rsid w:val="00B56B2C"/>
    <w:rsid w:val="00B56B41"/>
    <w:rsid w:val="00B56B43"/>
    <w:rsid w:val="00B56CC2"/>
    <w:rsid w:val="00B56FBE"/>
    <w:rsid w:val="00B5703E"/>
    <w:rsid w:val="00B573F0"/>
    <w:rsid w:val="00B57505"/>
    <w:rsid w:val="00B5754D"/>
    <w:rsid w:val="00B575CE"/>
    <w:rsid w:val="00B5768D"/>
    <w:rsid w:val="00B5782E"/>
    <w:rsid w:val="00B57E41"/>
    <w:rsid w:val="00B57EDB"/>
    <w:rsid w:val="00B60319"/>
    <w:rsid w:val="00B60415"/>
    <w:rsid w:val="00B606A0"/>
    <w:rsid w:val="00B60D7C"/>
    <w:rsid w:val="00B61300"/>
    <w:rsid w:val="00B61426"/>
    <w:rsid w:val="00B61A68"/>
    <w:rsid w:val="00B61C44"/>
    <w:rsid w:val="00B61C50"/>
    <w:rsid w:val="00B62314"/>
    <w:rsid w:val="00B62591"/>
    <w:rsid w:val="00B625F1"/>
    <w:rsid w:val="00B62AAB"/>
    <w:rsid w:val="00B62D7C"/>
    <w:rsid w:val="00B62EE7"/>
    <w:rsid w:val="00B6351D"/>
    <w:rsid w:val="00B635B5"/>
    <w:rsid w:val="00B63620"/>
    <w:rsid w:val="00B63858"/>
    <w:rsid w:val="00B639E0"/>
    <w:rsid w:val="00B63ACE"/>
    <w:rsid w:val="00B63B2A"/>
    <w:rsid w:val="00B63ED3"/>
    <w:rsid w:val="00B6421D"/>
    <w:rsid w:val="00B64698"/>
    <w:rsid w:val="00B64883"/>
    <w:rsid w:val="00B64B57"/>
    <w:rsid w:val="00B64E4C"/>
    <w:rsid w:val="00B64E67"/>
    <w:rsid w:val="00B653E4"/>
    <w:rsid w:val="00B659A6"/>
    <w:rsid w:val="00B65EB9"/>
    <w:rsid w:val="00B65FA6"/>
    <w:rsid w:val="00B66073"/>
    <w:rsid w:val="00B666D7"/>
    <w:rsid w:val="00B666FF"/>
    <w:rsid w:val="00B66770"/>
    <w:rsid w:val="00B66E3A"/>
    <w:rsid w:val="00B6782F"/>
    <w:rsid w:val="00B67D89"/>
    <w:rsid w:val="00B7021D"/>
    <w:rsid w:val="00B7022A"/>
    <w:rsid w:val="00B702C4"/>
    <w:rsid w:val="00B705B9"/>
    <w:rsid w:val="00B709B8"/>
    <w:rsid w:val="00B70A43"/>
    <w:rsid w:val="00B70CD8"/>
    <w:rsid w:val="00B70DFD"/>
    <w:rsid w:val="00B7114E"/>
    <w:rsid w:val="00B7129F"/>
    <w:rsid w:val="00B712B2"/>
    <w:rsid w:val="00B7139C"/>
    <w:rsid w:val="00B71A8D"/>
    <w:rsid w:val="00B71AFA"/>
    <w:rsid w:val="00B71FBF"/>
    <w:rsid w:val="00B725A6"/>
    <w:rsid w:val="00B729AA"/>
    <w:rsid w:val="00B72CC2"/>
    <w:rsid w:val="00B72D16"/>
    <w:rsid w:val="00B72DB5"/>
    <w:rsid w:val="00B730D7"/>
    <w:rsid w:val="00B73123"/>
    <w:rsid w:val="00B7362F"/>
    <w:rsid w:val="00B73774"/>
    <w:rsid w:val="00B737AC"/>
    <w:rsid w:val="00B73C0B"/>
    <w:rsid w:val="00B74766"/>
    <w:rsid w:val="00B74865"/>
    <w:rsid w:val="00B749DB"/>
    <w:rsid w:val="00B751B3"/>
    <w:rsid w:val="00B7571E"/>
    <w:rsid w:val="00B757C2"/>
    <w:rsid w:val="00B757E5"/>
    <w:rsid w:val="00B75849"/>
    <w:rsid w:val="00B7590F"/>
    <w:rsid w:val="00B75AFA"/>
    <w:rsid w:val="00B762B4"/>
    <w:rsid w:val="00B76320"/>
    <w:rsid w:val="00B763F9"/>
    <w:rsid w:val="00B76740"/>
    <w:rsid w:val="00B767D5"/>
    <w:rsid w:val="00B76888"/>
    <w:rsid w:val="00B76A8A"/>
    <w:rsid w:val="00B76BA8"/>
    <w:rsid w:val="00B76E42"/>
    <w:rsid w:val="00B76E4F"/>
    <w:rsid w:val="00B76FE4"/>
    <w:rsid w:val="00B77293"/>
    <w:rsid w:val="00B77435"/>
    <w:rsid w:val="00B774EC"/>
    <w:rsid w:val="00B77728"/>
    <w:rsid w:val="00B77BE3"/>
    <w:rsid w:val="00B77C23"/>
    <w:rsid w:val="00B77C9A"/>
    <w:rsid w:val="00B80012"/>
    <w:rsid w:val="00B80026"/>
    <w:rsid w:val="00B802F7"/>
    <w:rsid w:val="00B8041C"/>
    <w:rsid w:val="00B807CD"/>
    <w:rsid w:val="00B82050"/>
    <w:rsid w:val="00B820E7"/>
    <w:rsid w:val="00B821D2"/>
    <w:rsid w:val="00B826C4"/>
    <w:rsid w:val="00B826D1"/>
    <w:rsid w:val="00B82A61"/>
    <w:rsid w:val="00B82F5A"/>
    <w:rsid w:val="00B8327E"/>
    <w:rsid w:val="00B83426"/>
    <w:rsid w:val="00B83908"/>
    <w:rsid w:val="00B83A51"/>
    <w:rsid w:val="00B83AD8"/>
    <w:rsid w:val="00B84135"/>
    <w:rsid w:val="00B84247"/>
    <w:rsid w:val="00B844B3"/>
    <w:rsid w:val="00B8480F"/>
    <w:rsid w:val="00B84999"/>
    <w:rsid w:val="00B849FB"/>
    <w:rsid w:val="00B84A46"/>
    <w:rsid w:val="00B84CD8"/>
    <w:rsid w:val="00B85293"/>
    <w:rsid w:val="00B85355"/>
    <w:rsid w:val="00B85689"/>
    <w:rsid w:val="00B85716"/>
    <w:rsid w:val="00B86172"/>
    <w:rsid w:val="00B86198"/>
    <w:rsid w:val="00B86587"/>
    <w:rsid w:val="00B865A1"/>
    <w:rsid w:val="00B86BF3"/>
    <w:rsid w:val="00B86F7A"/>
    <w:rsid w:val="00B8714D"/>
    <w:rsid w:val="00B87460"/>
    <w:rsid w:val="00B874EB"/>
    <w:rsid w:val="00B87BFA"/>
    <w:rsid w:val="00B87E9A"/>
    <w:rsid w:val="00B9028C"/>
    <w:rsid w:val="00B90363"/>
    <w:rsid w:val="00B903AD"/>
    <w:rsid w:val="00B9059C"/>
    <w:rsid w:val="00B9098B"/>
    <w:rsid w:val="00B909EC"/>
    <w:rsid w:val="00B90EBC"/>
    <w:rsid w:val="00B90F4B"/>
    <w:rsid w:val="00B91215"/>
    <w:rsid w:val="00B91B7D"/>
    <w:rsid w:val="00B91D71"/>
    <w:rsid w:val="00B91EF3"/>
    <w:rsid w:val="00B92136"/>
    <w:rsid w:val="00B92141"/>
    <w:rsid w:val="00B92181"/>
    <w:rsid w:val="00B92398"/>
    <w:rsid w:val="00B9276D"/>
    <w:rsid w:val="00B9301A"/>
    <w:rsid w:val="00B9321D"/>
    <w:rsid w:val="00B94075"/>
    <w:rsid w:val="00B946E3"/>
    <w:rsid w:val="00B94CD4"/>
    <w:rsid w:val="00B94CFE"/>
    <w:rsid w:val="00B95100"/>
    <w:rsid w:val="00B9549C"/>
    <w:rsid w:val="00B9590E"/>
    <w:rsid w:val="00B959EC"/>
    <w:rsid w:val="00B95EDF"/>
    <w:rsid w:val="00B966F5"/>
    <w:rsid w:val="00B96822"/>
    <w:rsid w:val="00B9697A"/>
    <w:rsid w:val="00B96AA9"/>
    <w:rsid w:val="00B972C0"/>
    <w:rsid w:val="00B974CB"/>
    <w:rsid w:val="00B9774E"/>
    <w:rsid w:val="00B97923"/>
    <w:rsid w:val="00B97C06"/>
    <w:rsid w:val="00BA03F7"/>
    <w:rsid w:val="00BA0769"/>
    <w:rsid w:val="00BA18D9"/>
    <w:rsid w:val="00BA196A"/>
    <w:rsid w:val="00BA1C31"/>
    <w:rsid w:val="00BA1FB9"/>
    <w:rsid w:val="00BA2095"/>
    <w:rsid w:val="00BA29F2"/>
    <w:rsid w:val="00BA2AE8"/>
    <w:rsid w:val="00BA2F85"/>
    <w:rsid w:val="00BA30B1"/>
    <w:rsid w:val="00BA30DA"/>
    <w:rsid w:val="00BA3275"/>
    <w:rsid w:val="00BA3BB7"/>
    <w:rsid w:val="00BA3E10"/>
    <w:rsid w:val="00BA3EFD"/>
    <w:rsid w:val="00BA3F62"/>
    <w:rsid w:val="00BA4069"/>
    <w:rsid w:val="00BA4305"/>
    <w:rsid w:val="00BA43BD"/>
    <w:rsid w:val="00BA47F2"/>
    <w:rsid w:val="00BA48C7"/>
    <w:rsid w:val="00BA49B0"/>
    <w:rsid w:val="00BA4A73"/>
    <w:rsid w:val="00BA4B67"/>
    <w:rsid w:val="00BA5833"/>
    <w:rsid w:val="00BA5BE8"/>
    <w:rsid w:val="00BA5CCE"/>
    <w:rsid w:val="00BA5E72"/>
    <w:rsid w:val="00BA5F02"/>
    <w:rsid w:val="00BA5FF3"/>
    <w:rsid w:val="00BA60CF"/>
    <w:rsid w:val="00BA6250"/>
    <w:rsid w:val="00BA6B62"/>
    <w:rsid w:val="00BA72EC"/>
    <w:rsid w:val="00BA732B"/>
    <w:rsid w:val="00BA7692"/>
    <w:rsid w:val="00BA773A"/>
    <w:rsid w:val="00BA776A"/>
    <w:rsid w:val="00BA7DE7"/>
    <w:rsid w:val="00BA7F5C"/>
    <w:rsid w:val="00BB00ED"/>
    <w:rsid w:val="00BB027E"/>
    <w:rsid w:val="00BB058F"/>
    <w:rsid w:val="00BB09C6"/>
    <w:rsid w:val="00BB0C74"/>
    <w:rsid w:val="00BB0CD0"/>
    <w:rsid w:val="00BB0E49"/>
    <w:rsid w:val="00BB0F4B"/>
    <w:rsid w:val="00BB1078"/>
    <w:rsid w:val="00BB10C4"/>
    <w:rsid w:val="00BB1375"/>
    <w:rsid w:val="00BB19B4"/>
    <w:rsid w:val="00BB1CE7"/>
    <w:rsid w:val="00BB2201"/>
    <w:rsid w:val="00BB24E0"/>
    <w:rsid w:val="00BB2A23"/>
    <w:rsid w:val="00BB2BBB"/>
    <w:rsid w:val="00BB2DEB"/>
    <w:rsid w:val="00BB2DF1"/>
    <w:rsid w:val="00BB2E88"/>
    <w:rsid w:val="00BB2EA7"/>
    <w:rsid w:val="00BB2F4D"/>
    <w:rsid w:val="00BB3259"/>
    <w:rsid w:val="00BB35F1"/>
    <w:rsid w:val="00BB3615"/>
    <w:rsid w:val="00BB372C"/>
    <w:rsid w:val="00BB38A0"/>
    <w:rsid w:val="00BB38E8"/>
    <w:rsid w:val="00BB3D7B"/>
    <w:rsid w:val="00BB3EA4"/>
    <w:rsid w:val="00BB4210"/>
    <w:rsid w:val="00BB466B"/>
    <w:rsid w:val="00BB47FA"/>
    <w:rsid w:val="00BB4E85"/>
    <w:rsid w:val="00BB51A2"/>
    <w:rsid w:val="00BB55B1"/>
    <w:rsid w:val="00BB5B9F"/>
    <w:rsid w:val="00BB608B"/>
    <w:rsid w:val="00BB61F9"/>
    <w:rsid w:val="00BB62FA"/>
    <w:rsid w:val="00BB6351"/>
    <w:rsid w:val="00BB6403"/>
    <w:rsid w:val="00BB6503"/>
    <w:rsid w:val="00BB6777"/>
    <w:rsid w:val="00BB6C84"/>
    <w:rsid w:val="00BB73AD"/>
    <w:rsid w:val="00BB75A3"/>
    <w:rsid w:val="00BB7A62"/>
    <w:rsid w:val="00BB7C53"/>
    <w:rsid w:val="00BB7F39"/>
    <w:rsid w:val="00BB7FCA"/>
    <w:rsid w:val="00BC0354"/>
    <w:rsid w:val="00BC058E"/>
    <w:rsid w:val="00BC0A09"/>
    <w:rsid w:val="00BC0C96"/>
    <w:rsid w:val="00BC0E54"/>
    <w:rsid w:val="00BC123F"/>
    <w:rsid w:val="00BC15A0"/>
    <w:rsid w:val="00BC15D3"/>
    <w:rsid w:val="00BC1736"/>
    <w:rsid w:val="00BC1B3A"/>
    <w:rsid w:val="00BC2310"/>
    <w:rsid w:val="00BC258B"/>
    <w:rsid w:val="00BC2757"/>
    <w:rsid w:val="00BC283D"/>
    <w:rsid w:val="00BC2976"/>
    <w:rsid w:val="00BC3480"/>
    <w:rsid w:val="00BC3691"/>
    <w:rsid w:val="00BC389E"/>
    <w:rsid w:val="00BC3CD3"/>
    <w:rsid w:val="00BC3EB6"/>
    <w:rsid w:val="00BC410E"/>
    <w:rsid w:val="00BC43ED"/>
    <w:rsid w:val="00BC4572"/>
    <w:rsid w:val="00BC45E4"/>
    <w:rsid w:val="00BC48F2"/>
    <w:rsid w:val="00BC4C35"/>
    <w:rsid w:val="00BC4DB3"/>
    <w:rsid w:val="00BC53E5"/>
    <w:rsid w:val="00BC58D9"/>
    <w:rsid w:val="00BC5CBC"/>
    <w:rsid w:val="00BC5D60"/>
    <w:rsid w:val="00BC5D72"/>
    <w:rsid w:val="00BC627A"/>
    <w:rsid w:val="00BC63F8"/>
    <w:rsid w:val="00BC6950"/>
    <w:rsid w:val="00BC6CC0"/>
    <w:rsid w:val="00BC6CCB"/>
    <w:rsid w:val="00BC6E5D"/>
    <w:rsid w:val="00BC6FE2"/>
    <w:rsid w:val="00BC7258"/>
    <w:rsid w:val="00BC748B"/>
    <w:rsid w:val="00BC76FB"/>
    <w:rsid w:val="00BC780D"/>
    <w:rsid w:val="00BC7845"/>
    <w:rsid w:val="00BC7C86"/>
    <w:rsid w:val="00BD001F"/>
    <w:rsid w:val="00BD01F9"/>
    <w:rsid w:val="00BD037E"/>
    <w:rsid w:val="00BD0D4E"/>
    <w:rsid w:val="00BD100F"/>
    <w:rsid w:val="00BD10A8"/>
    <w:rsid w:val="00BD19B0"/>
    <w:rsid w:val="00BD1BAD"/>
    <w:rsid w:val="00BD1C81"/>
    <w:rsid w:val="00BD1C88"/>
    <w:rsid w:val="00BD1D2F"/>
    <w:rsid w:val="00BD2228"/>
    <w:rsid w:val="00BD25A4"/>
    <w:rsid w:val="00BD269E"/>
    <w:rsid w:val="00BD2B6F"/>
    <w:rsid w:val="00BD2BE9"/>
    <w:rsid w:val="00BD2C87"/>
    <w:rsid w:val="00BD2E29"/>
    <w:rsid w:val="00BD2F49"/>
    <w:rsid w:val="00BD3034"/>
    <w:rsid w:val="00BD3191"/>
    <w:rsid w:val="00BD349B"/>
    <w:rsid w:val="00BD47D4"/>
    <w:rsid w:val="00BD4C24"/>
    <w:rsid w:val="00BD4D3F"/>
    <w:rsid w:val="00BD52D5"/>
    <w:rsid w:val="00BD555B"/>
    <w:rsid w:val="00BD563C"/>
    <w:rsid w:val="00BD581B"/>
    <w:rsid w:val="00BD5C83"/>
    <w:rsid w:val="00BD5ECC"/>
    <w:rsid w:val="00BD6C7C"/>
    <w:rsid w:val="00BD735C"/>
    <w:rsid w:val="00BD7681"/>
    <w:rsid w:val="00BD78AF"/>
    <w:rsid w:val="00BD7912"/>
    <w:rsid w:val="00BE002A"/>
    <w:rsid w:val="00BE04C1"/>
    <w:rsid w:val="00BE097A"/>
    <w:rsid w:val="00BE0C15"/>
    <w:rsid w:val="00BE0DCB"/>
    <w:rsid w:val="00BE158B"/>
    <w:rsid w:val="00BE1BE6"/>
    <w:rsid w:val="00BE21CA"/>
    <w:rsid w:val="00BE294A"/>
    <w:rsid w:val="00BE2957"/>
    <w:rsid w:val="00BE2CCF"/>
    <w:rsid w:val="00BE2F99"/>
    <w:rsid w:val="00BE319C"/>
    <w:rsid w:val="00BE3B1A"/>
    <w:rsid w:val="00BE45F3"/>
    <w:rsid w:val="00BE471A"/>
    <w:rsid w:val="00BE48FB"/>
    <w:rsid w:val="00BE4E1B"/>
    <w:rsid w:val="00BE5207"/>
    <w:rsid w:val="00BE528F"/>
    <w:rsid w:val="00BE5454"/>
    <w:rsid w:val="00BE55EA"/>
    <w:rsid w:val="00BE563D"/>
    <w:rsid w:val="00BE573B"/>
    <w:rsid w:val="00BE5775"/>
    <w:rsid w:val="00BE5824"/>
    <w:rsid w:val="00BE5939"/>
    <w:rsid w:val="00BE5EE9"/>
    <w:rsid w:val="00BE5F06"/>
    <w:rsid w:val="00BE5F92"/>
    <w:rsid w:val="00BE651B"/>
    <w:rsid w:val="00BE6B99"/>
    <w:rsid w:val="00BE6F70"/>
    <w:rsid w:val="00BE6F7E"/>
    <w:rsid w:val="00BE7003"/>
    <w:rsid w:val="00BE740B"/>
    <w:rsid w:val="00BE75E9"/>
    <w:rsid w:val="00BE780A"/>
    <w:rsid w:val="00BE78AE"/>
    <w:rsid w:val="00BE7AB0"/>
    <w:rsid w:val="00BE7EDE"/>
    <w:rsid w:val="00BE7FA5"/>
    <w:rsid w:val="00BF0DED"/>
    <w:rsid w:val="00BF0E77"/>
    <w:rsid w:val="00BF1048"/>
    <w:rsid w:val="00BF12B3"/>
    <w:rsid w:val="00BF1AF4"/>
    <w:rsid w:val="00BF1EA1"/>
    <w:rsid w:val="00BF2463"/>
    <w:rsid w:val="00BF2A35"/>
    <w:rsid w:val="00BF2C78"/>
    <w:rsid w:val="00BF3006"/>
    <w:rsid w:val="00BF3051"/>
    <w:rsid w:val="00BF310D"/>
    <w:rsid w:val="00BF35F7"/>
    <w:rsid w:val="00BF3B25"/>
    <w:rsid w:val="00BF3EE9"/>
    <w:rsid w:val="00BF4466"/>
    <w:rsid w:val="00BF4563"/>
    <w:rsid w:val="00BF4B16"/>
    <w:rsid w:val="00BF4C2E"/>
    <w:rsid w:val="00BF536A"/>
    <w:rsid w:val="00BF58CA"/>
    <w:rsid w:val="00BF5EA5"/>
    <w:rsid w:val="00BF60D7"/>
    <w:rsid w:val="00BF6317"/>
    <w:rsid w:val="00BF6D12"/>
    <w:rsid w:val="00BF72DA"/>
    <w:rsid w:val="00BF79A0"/>
    <w:rsid w:val="00BF79E1"/>
    <w:rsid w:val="00BF7C7D"/>
    <w:rsid w:val="00C00261"/>
    <w:rsid w:val="00C002B5"/>
    <w:rsid w:val="00C00CCF"/>
    <w:rsid w:val="00C00CF4"/>
    <w:rsid w:val="00C01DEB"/>
    <w:rsid w:val="00C01DF9"/>
    <w:rsid w:val="00C021B0"/>
    <w:rsid w:val="00C0297C"/>
    <w:rsid w:val="00C029C7"/>
    <w:rsid w:val="00C034F7"/>
    <w:rsid w:val="00C03572"/>
    <w:rsid w:val="00C0379E"/>
    <w:rsid w:val="00C038C4"/>
    <w:rsid w:val="00C03A7D"/>
    <w:rsid w:val="00C03D29"/>
    <w:rsid w:val="00C03F36"/>
    <w:rsid w:val="00C040B7"/>
    <w:rsid w:val="00C04759"/>
    <w:rsid w:val="00C04968"/>
    <w:rsid w:val="00C04AEA"/>
    <w:rsid w:val="00C04D06"/>
    <w:rsid w:val="00C04FA7"/>
    <w:rsid w:val="00C05079"/>
    <w:rsid w:val="00C0534B"/>
    <w:rsid w:val="00C05758"/>
    <w:rsid w:val="00C057F8"/>
    <w:rsid w:val="00C05966"/>
    <w:rsid w:val="00C05A43"/>
    <w:rsid w:val="00C06187"/>
    <w:rsid w:val="00C06525"/>
    <w:rsid w:val="00C068AF"/>
    <w:rsid w:val="00C06AF2"/>
    <w:rsid w:val="00C07120"/>
    <w:rsid w:val="00C0756D"/>
    <w:rsid w:val="00C07C7E"/>
    <w:rsid w:val="00C100D4"/>
    <w:rsid w:val="00C104A2"/>
    <w:rsid w:val="00C10E11"/>
    <w:rsid w:val="00C10FE0"/>
    <w:rsid w:val="00C11183"/>
    <w:rsid w:val="00C116A5"/>
    <w:rsid w:val="00C1175D"/>
    <w:rsid w:val="00C11810"/>
    <w:rsid w:val="00C11A52"/>
    <w:rsid w:val="00C11B39"/>
    <w:rsid w:val="00C11F57"/>
    <w:rsid w:val="00C1216B"/>
    <w:rsid w:val="00C122BD"/>
    <w:rsid w:val="00C12636"/>
    <w:rsid w:val="00C13117"/>
    <w:rsid w:val="00C13173"/>
    <w:rsid w:val="00C131CC"/>
    <w:rsid w:val="00C137E8"/>
    <w:rsid w:val="00C13C43"/>
    <w:rsid w:val="00C13F80"/>
    <w:rsid w:val="00C144FD"/>
    <w:rsid w:val="00C14F1B"/>
    <w:rsid w:val="00C15856"/>
    <w:rsid w:val="00C15874"/>
    <w:rsid w:val="00C15875"/>
    <w:rsid w:val="00C1591D"/>
    <w:rsid w:val="00C15B22"/>
    <w:rsid w:val="00C15DAC"/>
    <w:rsid w:val="00C1602F"/>
    <w:rsid w:val="00C1631E"/>
    <w:rsid w:val="00C16376"/>
    <w:rsid w:val="00C1637D"/>
    <w:rsid w:val="00C16432"/>
    <w:rsid w:val="00C16453"/>
    <w:rsid w:val="00C1669D"/>
    <w:rsid w:val="00C1683A"/>
    <w:rsid w:val="00C16910"/>
    <w:rsid w:val="00C16B61"/>
    <w:rsid w:val="00C16FB3"/>
    <w:rsid w:val="00C1719B"/>
    <w:rsid w:val="00C1775D"/>
    <w:rsid w:val="00C178EA"/>
    <w:rsid w:val="00C17B0E"/>
    <w:rsid w:val="00C17E98"/>
    <w:rsid w:val="00C201CE"/>
    <w:rsid w:val="00C20527"/>
    <w:rsid w:val="00C20574"/>
    <w:rsid w:val="00C20BB2"/>
    <w:rsid w:val="00C20C7D"/>
    <w:rsid w:val="00C211EA"/>
    <w:rsid w:val="00C2131F"/>
    <w:rsid w:val="00C21385"/>
    <w:rsid w:val="00C21B38"/>
    <w:rsid w:val="00C21C34"/>
    <w:rsid w:val="00C222B0"/>
    <w:rsid w:val="00C22695"/>
    <w:rsid w:val="00C22C1F"/>
    <w:rsid w:val="00C22D47"/>
    <w:rsid w:val="00C231B2"/>
    <w:rsid w:val="00C23266"/>
    <w:rsid w:val="00C234EE"/>
    <w:rsid w:val="00C23657"/>
    <w:rsid w:val="00C238D6"/>
    <w:rsid w:val="00C241BD"/>
    <w:rsid w:val="00C242F2"/>
    <w:rsid w:val="00C248AA"/>
    <w:rsid w:val="00C24E22"/>
    <w:rsid w:val="00C25172"/>
    <w:rsid w:val="00C2589C"/>
    <w:rsid w:val="00C25E5B"/>
    <w:rsid w:val="00C2666E"/>
    <w:rsid w:val="00C266CF"/>
    <w:rsid w:val="00C26C0F"/>
    <w:rsid w:val="00C2708F"/>
    <w:rsid w:val="00C27298"/>
    <w:rsid w:val="00C27470"/>
    <w:rsid w:val="00C27592"/>
    <w:rsid w:val="00C277BE"/>
    <w:rsid w:val="00C27C9A"/>
    <w:rsid w:val="00C3004A"/>
    <w:rsid w:val="00C301DF"/>
    <w:rsid w:val="00C302A9"/>
    <w:rsid w:val="00C306A1"/>
    <w:rsid w:val="00C30B50"/>
    <w:rsid w:val="00C311D8"/>
    <w:rsid w:val="00C3133C"/>
    <w:rsid w:val="00C31516"/>
    <w:rsid w:val="00C31702"/>
    <w:rsid w:val="00C31A0F"/>
    <w:rsid w:val="00C3208A"/>
    <w:rsid w:val="00C32B2C"/>
    <w:rsid w:val="00C32D0C"/>
    <w:rsid w:val="00C32D42"/>
    <w:rsid w:val="00C32D9E"/>
    <w:rsid w:val="00C32E5A"/>
    <w:rsid w:val="00C3314D"/>
    <w:rsid w:val="00C33150"/>
    <w:rsid w:val="00C332E7"/>
    <w:rsid w:val="00C33414"/>
    <w:rsid w:val="00C3345C"/>
    <w:rsid w:val="00C33D93"/>
    <w:rsid w:val="00C33F08"/>
    <w:rsid w:val="00C341C1"/>
    <w:rsid w:val="00C34257"/>
    <w:rsid w:val="00C34462"/>
    <w:rsid w:val="00C347A9"/>
    <w:rsid w:val="00C347E0"/>
    <w:rsid w:val="00C351AB"/>
    <w:rsid w:val="00C35341"/>
    <w:rsid w:val="00C35CEA"/>
    <w:rsid w:val="00C35E56"/>
    <w:rsid w:val="00C35F43"/>
    <w:rsid w:val="00C3609C"/>
    <w:rsid w:val="00C36B0B"/>
    <w:rsid w:val="00C36C9D"/>
    <w:rsid w:val="00C36C9F"/>
    <w:rsid w:val="00C37474"/>
    <w:rsid w:val="00C37531"/>
    <w:rsid w:val="00C379F6"/>
    <w:rsid w:val="00C37AD6"/>
    <w:rsid w:val="00C4064A"/>
    <w:rsid w:val="00C40685"/>
    <w:rsid w:val="00C40AA4"/>
    <w:rsid w:val="00C40FB9"/>
    <w:rsid w:val="00C40FF8"/>
    <w:rsid w:val="00C41364"/>
    <w:rsid w:val="00C414C6"/>
    <w:rsid w:val="00C414C7"/>
    <w:rsid w:val="00C41581"/>
    <w:rsid w:val="00C41F38"/>
    <w:rsid w:val="00C421DE"/>
    <w:rsid w:val="00C42925"/>
    <w:rsid w:val="00C42AC9"/>
    <w:rsid w:val="00C42D8B"/>
    <w:rsid w:val="00C42EE6"/>
    <w:rsid w:val="00C43051"/>
    <w:rsid w:val="00C439AD"/>
    <w:rsid w:val="00C43BA6"/>
    <w:rsid w:val="00C43E37"/>
    <w:rsid w:val="00C43E55"/>
    <w:rsid w:val="00C44956"/>
    <w:rsid w:val="00C44B86"/>
    <w:rsid w:val="00C44C51"/>
    <w:rsid w:val="00C45263"/>
    <w:rsid w:val="00C4597E"/>
    <w:rsid w:val="00C45E38"/>
    <w:rsid w:val="00C45EA8"/>
    <w:rsid w:val="00C46ACF"/>
    <w:rsid w:val="00C46F42"/>
    <w:rsid w:val="00C4702D"/>
    <w:rsid w:val="00C474A0"/>
    <w:rsid w:val="00C47687"/>
    <w:rsid w:val="00C47DC2"/>
    <w:rsid w:val="00C502EA"/>
    <w:rsid w:val="00C50548"/>
    <w:rsid w:val="00C50E53"/>
    <w:rsid w:val="00C50FD7"/>
    <w:rsid w:val="00C5125A"/>
    <w:rsid w:val="00C515D6"/>
    <w:rsid w:val="00C5208C"/>
    <w:rsid w:val="00C520C2"/>
    <w:rsid w:val="00C5230B"/>
    <w:rsid w:val="00C52829"/>
    <w:rsid w:val="00C52CD4"/>
    <w:rsid w:val="00C53A08"/>
    <w:rsid w:val="00C543CB"/>
    <w:rsid w:val="00C546B3"/>
    <w:rsid w:val="00C54AB0"/>
    <w:rsid w:val="00C54B7C"/>
    <w:rsid w:val="00C54FE1"/>
    <w:rsid w:val="00C55707"/>
    <w:rsid w:val="00C55771"/>
    <w:rsid w:val="00C55E05"/>
    <w:rsid w:val="00C563F1"/>
    <w:rsid w:val="00C56577"/>
    <w:rsid w:val="00C56641"/>
    <w:rsid w:val="00C566C8"/>
    <w:rsid w:val="00C56727"/>
    <w:rsid w:val="00C56A2D"/>
    <w:rsid w:val="00C56C79"/>
    <w:rsid w:val="00C571CF"/>
    <w:rsid w:val="00C57B8D"/>
    <w:rsid w:val="00C60191"/>
    <w:rsid w:val="00C6077E"/>
    <w:rsid w:val="00C608E2"/>
    <w:rsid w:val="00C609C1"/>
    <w:rsid w:val="00C60C8C"/>
    <w:rsid w:val="00C60FD5"/>
    <w:rsid w:val="00C61132"/>
    <w:rsid w:val="00C6116D"/>
    <w:rsid w:val="00C611C1"/>
    <w:rsid w:val="00C611CD"/>
    <w:rsid w:val="00C614AD"/>
    <w:rsid w:val="00C61546"/>
    <w:rsid w:val="00C615AB"/>
    <w:rsid w:val="00C61CE6"/>
    <w:rsid w:val="00C62696"/>
    <w:rsid w:val="00C62D41"/>
    <w:rsid w:val="00C62F3C"/>
    <w:rsid w:val="00C63486"/>
    <w:rsid w:val="00C636D1"/>
    <w:rsid w:val="00C63906"/>
    <w:rsid w:val="00C63910"/>
    <w:rsid w:val="00C63B4E"/>
    <w:rsid w:val="00C63F68"/>
    <w:rsid w:val="00C64222"/>
    <w:rsid w:val="00C642ED"/>
    <w:rsid w:val="00C64534"/>
    <w:rsid w:val="00C64E2C"/>
    <w:rsid w:val="00C651BD"/>
    <w:rsid w:val="00C65476"/>
    <w:rsid w:val="00C65555"/>
    <w:rsid w:val="00C6593F"/>
    <w:rsid w:val="00C65D22"/>
    <w:rsid w:val="00C65F61"/>
    <w:rsid w:val="00C66282"/>
    <w:rsid w:val="00C662B9"/>
    <w:rsid w:val="00C66357"/>
    <w:rsid w:val="00C66425"/>
    <w:rsid w:val="00C66CC2"/>
    <w:rsid w:val="00C67222"/>
    <w:rsid w:val="00C672CC"/>
    <w:rsid w:val="00C678FA"/>
    <w:rsid w:val="00C67D5F"/>
    <w:rsid w:val="00C701D4"/>
    <w:rsid w:val="00C70264"/>
    <w:rsid w:val="00C70403"/>
    <w:rsid w:val="00C705DC"/>
    <w:rsid w:val="00C707C5"/>
    <w:rsid w:val="00C70E07"/>
    <w:rsid w:val="00C711AF"/>
    <w:rsid w:val="00C714AB"/>
    <w:rsid w:val="00C71718"/>
    <w:rsid w:val="00C71A8B"/>
    <w:rsid w:val="00C71DA7"/>
    <w:rsid w:val="00C722B9"/>
    <w:rsid w:val="00C72657"/>
    <w:rsid w:val="00C72AF0"/>
    <w:rsid w:val="00C72BCC"/>
    <w:rsid w:val="00C730FF"/>
    <w:rsid w:val="00C73770"/>
    <w:rsid w:val="00C737D4"/>
    <w:rsid w:val="00C73892"/>
    <w:rsid w:val="00C74219"/>
    <w:rsid w:val="00C7460D"/>
    <w:rsid w:val="00C747FE"/>
    <w:rsid w:val="00C74C9C"/>
    <w:rsid w:val="00C74D01"/>
    <w:rsid w:val="00C74EDB"/>
    <w:rsid w:val="00C7535F"/>
    <w:rsid w:val="00C753E1"/>
    <w:rsid w:val="00C75A3F"/>
    <w:rsid w:val="00C75B52"/>
    <w:rsid w:val="00C763B0"/>
    <w:rsid w:val="00C76489"/>
    <w:rsid w:val="00C768F4"/>
    <w:rsid w:val="00C769AD"/>
    <w:rsid w:val="00C76B46"/>
    <w:rsid w:val="00C76C61"/>
    <w:rsid w:val="00C770C6"/>
    <w:rsid w:val="00C778FD"/>
    <w:rsid w:val="00C77D3A"/>
    <w:rsid w:val="00C77DA6"/>
    <w:rsid w:val="00C77ED5"/>
    <w:rsid w:val="00C80599"/>
    <w:rsid w:val="00C805F7"/>
    <w:rsid w:val="00C806B7"/>
    <w:rsid w:val="00C80C99"/>
    <w:rsid w:val="00C80DF8"/>
    <w:rsid w:val="00C8126E"/>
    <w:rsid w:val="00C81C2A"/>
    <w:rsid w:val="00C81FDF"/>
    <w:rsid w:val="00C821D8"/>
    <w:rsid w:val="00C8254F"/>
    <w:rsid w:val="00C82606"/>
    <w:rsid w:val="00C828A6"/>
    <w:rsid w:val="00C82AB0"/>
    <w:rsid w:val="00C82C96"/>
    <w:rsid w:val="00C82CFE"/>
    <w:rsid w:val="00C82EBD"/>
    <w:rsid w:val="00C8313F"/>
    <w:rsid w:val="00C83C22"/>
    <w:rsid w:val="00C83D24"/>
    <w:rsid w:val="00C83E9D"/>
    <w:rsid w:val="00C84A83"/>
    <w:rsid w:val="00C84BC8"/>
    <w:rsid w:val="00C85B5B"/>
    <w:rsid w:val="00C85B63"/>
    <w:rsid w:val="00C8600D"/>
    <w:rsid w:val="00C86041"/>
    <w:rsid w:val="00C86473"/>
    <w:rsid w:val="00C86B3B"/>
    <w:rsid w:val="00C86D71"/>
    <w:rsid w:val="00C86F90"/>
    <w:rsid w:val="00C86FA3"/>
    <w:rsid w:val="00C870BD"/>
    <w:rsid w:val="00C87E21"/>
    <w:rsid w:val="00C902BF"/>
    <w:rsid w:val="00C90705"/>
    <w:rsid w:val="00C90783"/>
    <w:rsid w:val="00C907BA"/>
    <w:rsid w:val="00C908C5"/>
    <w:rsid w:val="00C90902"/>
    <w:rsid w:val="00C90AF5"/>
    <w:rsid w:val="00C90DA5"/>
    <w:rsid w:val="00C90E6C"/>
    <w:rsid w:val="00C90F39"/>
    <w:rsid w:val="00C9149A"/>
    <w:rsid w:val="00C9149D"/>
    <w:rsid w:val="00C91A63"/>
    <w:rsid w:val="00C91D30"/>
    <w:rsid w:val="00C91D4B"/>
    <w:rsid w:val="00C9226C"/>
    <w:rsid w:val="00C92592"/>
    <w:rsid w:val="00C92A1D"/>
    <w:rsid w:val="00C92D36"/>
    <w:rsid w:val="00C92FE2"/>
    <w:rsid w:val="00C93010"/>
    <w:rsid w:val="00C930B1"/>
    <w:rsid w:val="00C933C0"/>
    <w:rsid w:val="00C936D3"/>
    <w:rsid w:val="00C937C9"/>
    <w:rsid w:val="00C93B8A"/>
    <w:rsid w:val="00C93E34"/>
    <w:rsid w:val="00C94090"/>
    <w:rsid w:val="00C946D3"/>
    <w:rsid w:val="00C9499B"/>
    <w:rsid w:val="00C94EA5"/>
    <w:rsid w:val="00C950A3"/>
    <w:rsid w:val="00C95334"/>
    <w:rsid w:val="00C95894"/>
    <w:rsid w:val="00C95E70"/>
    <w:rsid w:val="00C95F4F"/>
    <w:rsid w:val="00C97154"/>
    <w:rsid w:val="00C971F1"/>
    <w:rsid w:val="00C97944"/>
    <w:rsid w:val="00C97CF7"/>
    <w:rsid w:val="00C97E1C"/>
    <w:rsid w:val="00C97FD7"/>
    <w:rsid w:val="00CA0177"/>
    <w:rsid w:val="00CA01B9"/>
    <w:rsid w:val="00CA01CE"/>
    <w:rsid w:val="00CA0E14"/>
    <w:rsid w:val="00CA0FB9"/>
    <w:rsid w:val="00CA1010"/>
    <w:rsid w:val="00CA20AB"/>
    <w:rsid w:val="00CA2150"/>
    <w:rsid w:val="00CA2BFC"/>
    <w:rsid w:val="00CA2D76"/>
    <w:rsid w:val="00CA3272"/>
    <w:rsid w:val="00CA334D"/>
    <w:rsid w:val="00CA33C6"/>
    <w:rsid w:val="00CA389D"/>
    <w:rsid w:val="00CA3A25"/>
    <w:rsid w:val="00CA3F9F"/>
    <w:rsid w:val="00CA4343"/>
    <w:rsid w:val="00CA441E"/>
    <w:rsid w:val="00CA5005"/>
    <w:rsid w:val="00CA5781"/>
    <w:rsid w:val="00CA5838"/>
    <w:rsid w:val="00CA62F6"/>
    <w:rsid w:val="00CA67D2"/>
    <w:rsid w:val="00CA740B"/>
    <w:rsid w:val="00CA7722"/>
    <w:rsid w:val="00CA7725"/>
    <w:rsid w:val="00CA779C"/>
    <w:rsid w:val="00CA7906"/>
    <w:rsid w:val="00CA7CCA"/>
    <w:rsid w:val="00CA7D47"/>
    <w:rsid w:val="00CA7E75"/>
    <w:rsid w:val="00CB07A4"/>
    <w:rsid w:val="00CB07BB"/>
    <w:rsid w:val="00CB0856"/>
    <w:rsid w:val="00CB09D4"/>
    <w:rsid w:val="00CB0B86"/>
    <w:rsid w:val="00CB0C8C"/>
    <w:rsid w:val="00CB0EC4"/>
    <w:rsid w:val="00CB0FEF"/>
    <w:rsid w:val="00CB1130"/>
    <w:rsid w:val="00CB1EDA"/>
    <w:rsid w:val="00CB2210"/>
    <w:rsid w:val="00CB2528"/>
    <w:rsid w:val="00CB2619"/>
    <w:rsid w:val="00CB2799"/>
    <w:rsid w:val="00CB2E59"/>
    <w:rsid w:val="00CB3185"/>
    <w:rsid w:val="00CB331D"/>
    <w:rsid w:val="00CB3A9D"/>
    <w:rsid w:val="00CB3FF3"/>
    <w:rsid w:val="00CB49B6"/>
    <w:rsid w:val="00CB5334"/>
    <w:rsid w:val="00CB5358"/>
    <w:rsid w:val="00CB55B2"/>
    <w:rsid w:val="00CB5633"/>
    <w:rsid w:val="00CB580D"/>
    <w:rsid w:val="00CB5ACC"/>
    <w:rsid w:val="00CB5CBC"/>
    <w:rsid w:val="00CB5DDB"/>
    <w:rsid w:val="00CB625C"/>
    <w:rsid w:val="00CB63DD"/>
    <w:rsid w:val="00CB660A"/>
    <w:rsid w:val="00CB701D"/>
    <w:rsid w:val="00CB703F"/>
    <w:rsid w:val="00CB7265"/>
    <w:rsid w:val="00CB732B"/>
    <w:rsid w:val="00CB747D"/>
    <w:rsid w:val="00CB7E38"/>
    <w:rsid w:val="00CC00CD"/>
    <w:rsid w:val="00CC0113"/>
    <w:rsid w:val="00CC03A6"/>
    <w:rsid w:val="00CC10C8"/>
    <w:rsid w:val="00CC15FC"/>
    <w:rsid w:val="00CC17D5"/>
    <w:rsid w:val="00CC1C6E"/>
    <w:rsid w:val="00CC1DF6"/>
    <w:rsid w:val="00CC1E96"/>
    <w:rsid w:val="00CC1F8C"/>
    <w:rsid w:val="00CC2044"/>
    <w:rsid w:val="00CC21A2"/>
    <w:rsid w:val="00CC22E9"/>
    <w:rsid w:val="00CC2564"/>
    <w:rsid w:val="00CC279F"/>
    <w:rsid w:val="00CC2824"/>
    <w:rsid w:val="00CC292B"/>
    <w:rsid w:val="00CC2CC6"/>
    <w:rsid w:val="00CC2EF9"/>
    <w:rsid w:val="00CC350B"/>
    <w:rsid w:val="00CC39C7"/>
    <w:rsid w:val="00CC3DCA"/>
    <w:rsid w:val="00CC3DE5"/>
    <w:rsid w:val="00CC4055"/>
    <w:rsid w:val="00CC4218"/>
    <w:rsid w:val="00CC4292"/>
    <w:rsid w:val="00CC4831"/>
    <w:rsid w:val="00CC4D37"/>
    <w:rsid w:val="00CC4EAF"/>
    <w:rsid w:val="00CC5017"/>
    <w:rsid w:val="00CC5344"/>
    <w:rsid w:val="00CC542A"/>
    <w:rsid w:val="00CC5656"/>
    <w:rsid w:val="00CC625C"/>
    <w:rsid w:val="00CC65E8"/>
    <w:rsid w:val="00CC6EA7"/>
    <w:rsid w:val="00CC7024"/>
    <w:rsid w:val="00CC7033"/>
    <w:rsid w:val="00CC706C"/>
    <w:rsid w:val="00CC74C9"/>
    <w:rsid w:val="00CC7526"/>
    <w:rsid w:val="00CC7AE5"/>
    <w:rsid w:val="00CC7B11"/>
    <w:rsid w:val="00CC7C0F"/>
    <w:rsid w:val="00CC7CFD"/>
    <w:rsid w:val="00CD01D8"/>
    <w:rsid w:val="00CD02BA"/>
    <w:rsid w:val="00CD0312"/>
    <w:rsid w:val="00CD0AE5"/>
    <w:rsid w:val="00CD172C"/>
    <w:rsid w:val="00CD1BCA"/>
    <w:rsid w:val="00CD1D53"/>
    <w:rsid w:val="00CD1E5D"/>
    <w:rsid w:val="00CD20A4"/>
    <w:rsid w:val="00CD20D0"/>
    <w:rsid w:val="00CD231B"/>
    <w:rsid w:val="00CD261C"/>
    <w:rsid w:val="00CD26E2"/>
    <w:rsid w:val="00CD2958"/>
    <w:rsid w:val="00CD34BF"/>
    <w:rsid w:val="00CD3721"/>
    <w:rsid w:val="00CD3966"/>
    <w:rsid w:val="00CD39C8"/>
    <w:rsid w:val="00CD3A86"/>
    <w:rsid w:val="00CD3AA1"/>
    <w:rsid w:val="00CD3FBE"/>
    <w:rsid w:val="00CD4410"/>
    <w:rsid w:val="00CD4448"/>
    <w:rsid w:val="00CD4566"/>
    <w:rsid w:val="00CD505E"/>
    <w:rsid w:val="00CD5549"/>
    <w:rsid w:val="00CD59C3"/>
    <w:rsid w:val="00CD5AE5"/>
    <w:rsid w:val="00CD5B87"/>
    <w:rsid w:val="00CD6140"/>
    <w:rsid w:val="00CD62CA"/>
    <w:rsid w:val="00CD67F1"/>
    <w:rsid w:val="00CD693F"/>
    <w:rsid w:val="00CD6B16"/>
    <w:rsid w:val="00CD6BC7"/>
    <w:rsid w:val="00CD6DAB"/>
    <w:rsid w:val="00CD7995"/>
    <w:rsid w:val="00CD7B92"/>
    <w:rsid w:val="00CD7E15"/>
    <w:rsid w:val="00CD7E8A"/>
    <w:rsid w:val="00CE01C5"/>
    <w:rsid w:val="00CE1253"/>
    <w:rsid w:val="00CE12EB"/>
    <w:rsid w:val="00CE12F6"/>
    <w:rsid w:val="00CE1AAC"/>
    <w:rsid w:val="00CE1BE9"/>
    <w:rsid w:val="00CE1C75"/>
    <w:rsid w:val="00CE2D57"/>
    <w:rsid w:val="00CE2ED4"/>
    <w:rsid w:val="00CE3096"/>
    <w:rsid w:val="00CE335C"/>
    <w:rsid w:val="00CE375E"/>
    <w:rsid w:val="00CE386E"/>
    <w:rsid w:val="00CE3B6F"/>
    <w:rsid w:val="00CE3CA7"/>
    <w:rsid w:val="00CE3EC2"/>
    <w:rsid w:val="00CE428A"/>
    <w:rsid w:val="00CE438D"/>
    <w:rsid w:val="00CE4A16"/>
    <w:rsid w:val="00CE4C58"/>
    <w:rsid w:val="00CE4E21"/>
    <w:rsid w:val="00CE5099"/>
    <w:rsid w:val="00CE5FF7"/>
    <w:rsid w:val="00CE6C31"/>
    <w:rsid w:val="00CE6C94"/>
    <w:rsid w:val="00CE6FAF"/>
    <w:rsid w:val="00CE702C"/>
    <w:rsid w:val="00CE7067"/>
    <w:rsid w:val="00CE7429"/>
    <w:rsid w:val="00CE7731"/>
    <w:rsid w:val="00CE7839"/>
    <w:rsid w:val="00CE7F1E"/>
    <w:rsid w:val="00CE7FE4"/>
    <w:rsid w:val="00CF04AF"/>
    <w:rsid w:val="00CF0580"/>
    <w:rsid w:val="00CF06A9"/>
    <w:rsid w:val="00CF09AC"/>
    <w:rsid w:val="00CF10CE"/>
    <w:rsid w:val="00CF14D5"/>
    <w:rsid w:val="00CF1F99"/>
    <w:rsid w:val="00CF22E8"/>
    <w:rsid w:val="00CF243F"/>
    <w:rsid w:val="00CF24AC"/>
    <w:rsid w:val="00CF27D9"/>
    <w:rsid w:val="00CF2E2A"/>
    <w:rsid w:val="00CF2F38"/>
    <w:rsid w:val="00CF2FFB"/>
    <w:rsid w:val="00CF3117"/>
    <w:rsid w:val="00CF38FA"/>
    <w:rsid w:val="00CF3986"/>
    <w:rsid w:val="00CF3EE8"/>
    <w:rsid w:val="00CF3F6F"/>
    <w:rsid w:val="00CF475F"/>
    <w:rsid w:val="00CF4B9E"/>
    <w:rsid w:val="00CF4DF6"/>
    <w:rsid w:val="00CF55C1"/>
    <w:rsid w:val="00CF562F"/>
    <w:rsid w:val="00CF57C7"/>
    <w:rsid w:val="00CF597B"/>
    <w:rsid w:val="00CF5C26"/>
    <w:rsid w:val="00CF5D53"/>
    <w:rsid w:val="00CF5F08"/>
    <w:rsid w:val="00CF6161"/>
    <w:rsid w:val="00CF61CD"/>
    <w:rsid w:val="00CF6415"/>
    <w:rsid w:val="00CF701F"/>
    <w:rsid w:val="00CF7052"/>
    <w:rsid w:val="00CF7085"/>
    <w:rsid w:val="00CF7097"/>
    <w:rsid w:val="00CF732E"/>
    <w:rsid w:val="00CF750B"/>
    <w:rsid w:val="00CF7E5C"/>
    <w:rsid w:val="00D00C03"/>
    <w:rsid w:val="00D00C37"/>
    <w:rsid w:val="00D00DBF"/>
    <w:rsid w:val="00D00E2D"/>
    <w:rsid w:val="00D00E3E"/>
    <w:rsid w:val="00D00EB1"/>
    <w:rsid w:val="00D00F34"/>
    <w:rsid w:val="00D0167E"/>
    <w:rsid w:val="00D01924"/>
    <w:rsid w:val="00D01B9C"/>
    <w:rsid w:val="00D01C47"/>
    <w:rsid w:val="00D01D85"/>
    <w:rsid w:val="00D01F41"/>
    <w:rsid w:val="00D02861"/>
    <w:rsid w:val="00D02A56"/>
    <w:rsid w:val="00D02DB2"/>
    <w:rsid w:val="00D0331C"/>
    <w:rsid w:val="00D033B8"/>
    <w:rsid w:val="00D03A7E"/>
    <w:rsid w:val="00D03C1B"/>
    <w:rsid w:val="00D03C53"/>
    <w:rsid w:val="00D04367"/>
    <w:rsid w:val="00D04E1A"/>
    <w:rsid w:val="00D0576F"/>
    <w:rsid w:val="00D0580C"/>
    <w:rsid w:val="00D05B09"/>
    <w:rsid w:val="00D05B38"/>
    <w:rsid w:val="00D0627C"/>
    <w:rsid w:val="00D06986"/>
    <w:rsid w:val="00D06F6C"/>
    <w:rsid w:val="00D0767D"/>
    <w:rsid w:val="00D07AC2"/>
    <w:rsid w:val="00D07C07"/>
    <w:rsid w:val="00D07E8D"/>
    <w:rsid w:val="00D101BA"/>
    <w:rsid w:val="00D10567"/>
    <w:rsid w:val="00D10781"/>
    <w:rsid w:val="00D10A8F"/>
    <w:rsid w:val="00D10B34"/>
    <w:rsid w:val="00D10E73"/>
    <w:rsid w:val="00D113C9"/>
    <w:rsid w:val="00D115AA"/>
    <w:rsid w:val="00D116A1"/>
    <w:rsid w:val="00D11890"/>
    <w:rsid w:val="00D11BAF"/>
    <w:rsid w:val="00D11D59"/>
    <w:rsid w:val="00D11F02"/>
    <w:rsid w:val="00D12188"/>
    <w:rsid w:val="00D12440"/>
    <w:rsid w:val="00D12767"/>
    <w:rsid w:val="00D12C1B"/>
    <w:rsid w:val="00D12FE3"/>
    <w:rsid w:val="00D13243"/>
    <w:rsid w:val="00D13B67"/>
    <w:rsid w:val="00D13D12"/>
    <w:rsid w:val="00D13EB4"/>
    <w:rsid w:val="00D1417C"/>
    <w:rsid w:val="00D14445"/>
    <w:rsid w:val="00D145AF"/>
    <w:rsid w:val="00D14625"/>
    <w:rsid w:val="00D14790"/>
    <w:rsid w:val="00D148F7"/>
    <w:rsid w:val="00D14BDC"/>
    <w:rsid w:val="00D150BF"/>
    <w:rsid w:val="00D1516C"/>
    <w:rsid w:val="00D15582"/>
    <w:rsid w:val="00D15799"/>
    <w:rsid w:val="00D15939"/>
    <w:rsid w:val="00D16192"/>
    <w:rsid w:val="00D16932"/>
    <w:rsid w:val="00D16E2D"/>
    <w:rsid w:val="00D17713"/>
    <w:rsid w:val="00D17ABC"/>
    <w:rsid w:val="00D200F6"/>
    <w:rsid w:val="00D203D8"/>
    <w:rsid w:val="00D206DD"/>
    <w:rsid w:val="00D208A3"/>
    <w:rsid w:val="00D20AB8"/>
    <w:rsid w:val="00D20C7A"/>
    <w:rsid w:val="00D212FA"/>
    <w:rsid w:val="00D2189F"/>
    <w:rsid w:val="00D21C10"/>
    <w:rsid w:val="00D21DAC"/>
    <w:rsid w:val="00D22368"/>
    <w:rsid w:val="00D227BF"/>
    <w:rsid w:val="00D22945"/>
    <w:rsid w:val="00D22B67"/>
    <w:rsid w:val="00D22D6C"/>
    <w:rsid w:val="00D2344C"/>
    <w:rsid w:val="00D23B3A"/>
    <w:rsid w:val="00D24123"/>
    <w:rsid w:val="00D241A2"/>
    <w:rsid w:val="00D24AB7"/>
    <w:rsid w:val="00D24B44"/>
    <w:rsid w:val="00D24E81"/>
    <w:rsid w:val="00D25239"/>
    <w:rsid w:val="00D257E8"/>
    <w:rsid w:val="00D25B7B"/>
    <w:rsid w:val="00D25CCC"/>
    <w:rsid w:val="00D26225"/>
    <w:rsid w:val="00D268F5"/>
    <w:rsid w:val="00D26BAF"/>
    <w:rsid w:val="00D26D50"/>
    <w:rsid w:val="00D2705A"/>
    <w:rsid w:val="00D27345"/>
    <w:rsid w:val="00D2798F"/>
    <w:rsid w:val="00D27F6A"/>
    <w:rsid w:val="00D302E2"/>
    <w:rsid w:val="00D30650"/>
    <w:rsid w:val="00D306D1"/>
    <w:rsid w:val="00D30BCA"/>
    <w:rsid w:val="00D3133A"/>
    <w:rsid w:val="00D315D9"/>
    <w:rsid w:val="00D317D9"/>
    <w:rsid w:val="00D31C60"/>
    <w:rsid w:val="00D3212E"/>
    <w:rsid w:val="00D329B5"/>
    <w:rsid w:val="00D32D3E"/>
    <w:rsid w:val="00D32FF2"/>
    <w:rsid w:val="00D33083"/>
    <w:rsid w:val="00D3316D"/>
    <w:rsid w:val="00D33927"/>
    <w:rsid w:val="00D3400C"/>
    <w:rsid w:val="00D34018"/>
    <w:rsid w:val="00D34395"/>
    <w:rsid w:val="00D3447A"/>
    <w:rsid w:val="00D3452A"/>
    <w:rsid w:val="00D34587"/>
    <w:rsid w:val="00D34737"/>
    <w:rsid w:val="00D34BCA"/>
    <w:rsid w:val="00D34D95"/>
    <w:rsid w:val="00D34DCE"/>
    <w:rsid w:val="00D34E2A"/>
    <w:rsid w:val="00D34EB8"/>
    <w:rsid w:val="00D34F89"/>
    <w:rsid w:val="00D351D8"/>
    <w:rsid w:val="00D353A0"/>
    <w:rsid w:val="00D356B7"/>
    <w:rsid w:val="00D3570A"/>
    <w:rsid w:val="00D35840"/>
    <w:rsid w:val="00D359F6"/>
    <w:rsid w:val="00D35CA5"/>
    <w:rsid w:val="00D35FA4"/>
    <w:rsid w:val="00D360AE"/>
    <w:rsid w:val="00D3620A"/>
    <w:rsid w:val="00D36387"/>
    <w:rsid w:val="00D367FA"/>
    <w:rsid w:val="00D36BAE"/>
    <w:rsid w:val="00D371CA"/>
    <w:rsid w:val="00D3754E"/>
    <w:rsid w:val="00D37922"/>
    <w:rsid w:val="00D37B0F"/>
    <w:rsid w:val="00D37E15"/>
    <w:rsid w:val="00D37EBC"/>
    <w:rsid w:val="00D37EDA"/>
    <w:rsid w:val="00D37F54"/>
    <w:rsid w:val="00D37FCC"/>
    <w:rsid w:val="00D40514"/>
    <w:rsid w:val="00D409A6"/>
    <w:rsid w:val="00D40B06"/>
    <w:rsid w:val="00D4137F"/>
    <w:rsid w:val="00D413FC"/>
    <w:rsid w:val="00D4143C"/>
    <w:rsid w:val="00D41491"/>
    <w:rsid w:val="00D416F0"/>
    <w:rsid w:val="00D417E8"/>
    <w:rsid w:val="00D41D1F"/>
    <w:rsid w:val="00D421DF"/>
    <w:rsid w:val="00D421FF"/>
    <w:rsid w:val="00D42273"/>
    <w:rsid w:val="00D42359"/>
    <w:rsid w:val="00D43270"/>
    <w:rsid w:val="00D433CA"/>
    <w:rsid w:val="00D43748"/>
    <w:rsid w:val="00D43C11"/>
    <w:rsid w:val="00D43C92"/>
    <w:rsid w:val="00D43D0A"/>
    <w:rsid w:val="00D43EF1"/>
    <w:rsid w:val="00D44329"/>
    <w:rsid w:val="00D44469"/>
    <w:rsid w:val="00D446AA"/>
    <w:rsid w:val="00D44705"/>
    <w:rsid w:val="00D44714"/>
    <w:rsid w:val="00D447EF"/>
    <w:rsid w:val="00D453E1"/>
    <w:rsid w:val="00D455E7"/>
    <w:rsid w:val="00D456F8"/>
    <w:rsid w:val="00D4583C"/>
    <w:rsid w:val="00D45852"/>
    <w:rsid w:val="00D45C6B"/>
    <w:rsid w:val="00D45DAE"/>
    <w:rsid w:val="00D45E38"/>
    <w:rsid w:val="00D46138"/>
    <w:rsid w:val="00D4645F"/>
    <w:rsid w:val="00D465C6"/>
    <w:rsid w:val="00D467CD"/>
    <w:rsid w:val="00D46819"/>
    <w:rsid w:val="00D468E3"/>
    <w:rsid w:val="00D47232"/>
    <w:rsid w:val="00D47558"/>
    <w:rsid w:val="00D47C1C"/>
    <w:rsid w:val="00D47C2F"/>
    <w:rsid w:val="00D5060C"/>
    <w:rsid w:val="00D50611"/>
    <w:rsid w:val="00D50850"/>
    <w:rsid w:val="00D5088C"/>
    <w:rsid w:val="00D51218"/>
    <w:rsid w:val="00D512EA"/>
    <w:rsid w:val="00D5132A"/>
    <w:rsid w:val="00D51611"/>
    <w:rsid w:val="00D51768"/>
    <w:rsid w:val="00D517DB"/>
    <w:rsid w:val="00D51C0F"/>
    <w:rsid w:val="00D51C67"/>
    <w:rsid w:val="00D51D0F"/>
    <w:rsid w:val="00D521FA"/>
    <w:rsid w:val="00D523A5"/>
    <w:rsid w:val="00D526DA"/>
    <w:rsid w:val="00D52827"/>
    <w:rsid w:val="00D529C7"/>
    <w:rsid w:val="00D529E9"/>
    <w:rsid w:val="00D52CD6"/>
    <w:rsid w:val="00D52E52"/>
    <w:rsid w:val="00D53364"/>
    <w:rsid w:val="00D53676"/>
    <w:rsid w:val="00D53817"/>
    <w:rsid w:val="00D538E2"/>
    <w:rsid w:val="00D538E7"/>
    <w:rsid w:val="00D53984"/>
    <w:rsid w:val="00D53AFA"/>
    <w:rsid w:val="00D53B32"/>
    <w:rsid w:val="00D53E1B"/>
    <w:rsid w:val="00D54071"/>
    <w:rsid w:val="00D545DF"/>
    <w:rsid w:val="00D54639"/>
    <w:rsid w:val="00D54B39"/>
    <w:rsid w:val="00D54BEE"/>
    <w:rsid w:val="00D54C0E"/>
    <w:rsid w:val="00D54C4A"/>
    <w:rsid w:val="00D54D9D"/>
    <w:rsid w:val="00D5543B"/>
    <w:rsid w:val="00D554F1"/>
    <w:rsid w:val="00D555BC"/>
    <w:rsid w:val="00D55866"/>
    <w:rsid w:val="00D55955"/>
    <w:rsid w:val="00D55CBE"/>
    <w:rsid w:val="00D55D29"/>
    <w:rsid w:val="00D55F89"/>
    <w:rsid w:val="00D570F1"/>
    <w:rsid w:val="00D572F7"/>
    <w:rsid w:val="00D57465"/>
    <w:rsid w:val="00D575A3"/>
    <w:rsid w:val="00D5775D"/>
    <w:rsid w:val="00D57A90"/>
    <w:rsid w:val="00D57B27"/>
    <w:rsid w:val="00D57D78"/>
    <w:rsid w:val="00D57E52"/>
    <w:rsid w:val="00D60353"/>
    <w:rsid w:val="00D60808"/>
    <w:rsid w:val="00D61539"/>
    <w:rsid w:val="00D618C4"/>
    <w:rsid w:val="00D6191C"/>
    <w:rsid w:val="00D61B93"/>
    <w:rsid w:val="00D61C0A"/>
    <w:rsid w:val="00D61E26"/>
    <w:rsid w:val="00D62A76"/>
    <w:rsid w:val="00D62AB7"/>
    <w:rsid w:val="00D62DBE"/>
    <w:rsid w:val="00D63312"/>
    <w:rsid w:val="00D63378"/>
    <w:rsid w:val="00D64E53"/>
    <w:rsid w:val="00D64F5D"/>
    <w:rsid w:val="00D64F66"/>
    <w:rsid w:val="00D652D4"/>
    <w:rsid w:val="00D65B51"/>
    <w:rsid w:val="00D65BEA"/>
    <w:rsid w:val="00D65DBA"/>
    <w:rsid w:val="00D65E54"/>
    <w:rsid w:val="00D661D4"/>
    <w:rsid w:val="00D6623D"/>
    <w:rsid w:val="00D66771"/>
    <w:rsid w:val="00D667CE"/>
    <w:rsid w:val="00D67304"/>
    <w:rsid w:val="00D675D4"/>
    <w:rsid w:val="00D67752"/>
    <w:rsid w:val="00D677FE"/>
    <w:rsid w:val="00D67A2B"/>
    <w:rsid w:val="00D67BB6"/>
    <w:rsid w:val="00D67C2E"/>
    <w:rsid w:val="00D701C0"/>
    <w:rsid w:val="00D70278"/>
    <w:rsid w:val="00D70369"/>
    <w:rsid w:val="00D7099B"/>
    <w:rsid w:val="00D70CAB"/>
    <w:rsid w:val="00D70D92"/>
    <w:rsid w:val="00D71019"/>
    <w:rsid w:val="00D71138"/>
    <w:rsid w:val="00D71238"/>
    <w:rsid w:val="00D71634"/>
    <w:rsid w:val="00D71FF0"/>
    <w:rsid w:val="00D720A4"/>
    <w:rsid w:val="00D72849"/>
    <w:rsid w:val="00D728A6"/>
    <w:rsid w:val="00D728B3"/>
    <w:rsid w:val="00D72A52"/>
    <w:rsid w:val="00D72C0E"/>
    <w:rsid w:val="00D72C64"/>
    <w:rsid w:val="00D731E4"/>
    <w:rsid w:val="00D73409"/>
    <w:rsid w:val="00D73486"/>
    <w:rsid w:val="00D7357D"/>
    <w:rsid w:val="00D73929"/>
    <w:rsid w:val="00D73BEC"/>
    <w:rsid w:val="00D73F32"/>
    <w:rsid w:val="00D73F8D"/>
    <w:rsid w:val="00D74189"/>
    <w:rsid w:val="00D742D7"/>
    <w:rsid w:val="00D743A3"/>
    <w:rsid w:val="00D7507E"/>
    <w:rsid w:val="00D7581F"/>
    <w:rsid w:val="00D75C22"/>
    <w:rsid w:val="00D75C91"/>
    <w:rsid w:val="00D75D63"/>
    <w:rsid w:val="00D75E40"/>
    <w:rsid w:val="00D75EE3"/>
    <w:rsid w:val="00D762F5"/>
    <w:rsid w:val="00D7637F"/>
    <w:rsid w:val="00D76799"/>
    <w:rsid w:val="00D76AEC"/>
    <w:rsid w:val="00D76F02"/>
    <w:rsid w:val="00D77118"/>
    <w:rsid w:val="00D774FB"/>
    <w:rsid w:val="00D77844"/>
    <w:rsid w:val="00D77B05"/>
    <w:rsid w:val="00D77CD2"/>
    <w:rsid w:val="00D77E78"/>
    <w:rsid w:val="00D804EA"/>
    <w:rsid w:val="00D8052A"/>
    <w:rsid w:val="00D8062F"/>
    <w:rsid w:val="00D809F7"/>
    <w:rsid w:val="00D80BBB"/>
    <w:rsid w:val="00D80BDB"/>
    <w:rsid w:val="00D814A8"/>
    <w:rsid w:val="00D817FA"/>
    <w:rsid w:val="00D817FE"/>
    <w:rsid w:val="00D81B67"/>
    <w:rsid w:val="00D81EA0"/>
    <w:rsid w:val="00D82464"/>
    <w:rsid w:val="00D827A2"/>
    <w:rsid w:val="00D82DDB"/>
    <w:rsid w:val="00D831F6"/>
    <w:rsid w:val="00D83383"/>
    <w:rsid w:val="00D833B5"/>
    <w:rsid w:val="00D834DA"/>
    <w:rsid w:val="00D83A0F"/>
    <w:rsid w:val="00D850B5"/>
    <w:rsid w:val="00D8550A"/>
    <w:rsid w:val="00D85859"/>
    <w:rsid w:val="00D86088"/>
    <w:rsid w:val="00D86324"/>
    <w:rsid w:val="00D865BC"/>
    <w:rsid w:val="00D87267"/>
    <w:rsid w:val="00D876C6"/>
    <w:rsid w:val="00D8788B"/>
    <w:rsid w:val="00D87A39"/>
    <w:rsid w:val="00D9008D"/>
    <w:rsid w:val="00D90673"/>
    <w:rsid w:val="00D90968"/>
    <w:rsid w:val="00D90C21"/>
    <w:rsid w:val="00D90CB9"/>
    <w:rsid w:val="00D90D1D"/>
    <w:rsid w:val="00D90D5F"/>
    <w:rsid w:val="00D90D7A"/>
    <w:rsid w:val="00D9158B"/>
    <w:rsid w:val="00D9166F"/>
    <w:rsid w:val="00D91CB8"/>
    <w:rsid w:val="00D9267A"/>
    <w:rsid w:val="00D927C9"/>
    <w:rsid w:val="00D9287F"/>
    <w:rsid w:val="00D92C49"/>
    <w:rsid w:val="00D92D16"/>
    <w:rsid w:val="00D92DDA"/>
    <w:rsid w:val="00D92EA7"/>
    <w:rsid w:val="00D930BB"/>
    <w:rsid w:val="00D93179"/>
    <w:rsid w:val="00D93670"/>
    <w:rsid w:val="00D937DC"/>
    <w:rsid w:val="00D937FF"/>
    <w:rsid w:val="00D93ED5"/>
    <w:rsid w:val="00D940AB"/>
    <w:rsid w:val="00D940CE"/>
    <w:rsid w:val="00D94189"/>
    <w:rsid w:val="00D94223"/>
    <w:rsid w:val="00D94408"/>
    <w:rsid w:val="00D94D8A"/>
    <w:rsid w:val="00D951DD"/>
    <w:rsid w:val="00D95BA1"/>
    <w:rsid w:val="00D95E38"/>
    <w:rsid w:val="00D9657F"/>
    <w:rsid w:val="00D96CD7"/>
    <w:rsid w:val="00D96D95"/>
    <w:rsid w:val="00D96EBF"/>
    <w:rsid w:val="00D970A6"/>
    <w:rsid w:val="00D9724F"/>
    <w:rsid w:val="00D972ED"/>
    <w:rsid w:val="00D974C8"/>
    <w:rsid w:val="00D975A5"/>
    <w:rsid w:val="00D97E54"/>
    <w:rsid w:val="00DA0061"/>
    <w:rsid w:val="00DA0237"/>
    <w:rsid w:val="00DA03BC"/>
    <w:rsid w:val="00DA0568"/>
    <w:rsid w:val="00DA12F0"/>
    <w:rsid w:val="00DA140D"/>
    <w:rsid w:val="00DA176F"/>
    <w:rsid w:val="00DA1E53"/>
    <w:rsid w:val="00DA1F4C"/>
    <w:rsid w:val="00DA222F"/>
    <w:rsid w:val="00DA231A"/>
    <w:rsid w:val="00DA2D4B"/>
    <w:rsid w:val="00DA367E"/>
    <w:rsid w:val="00DA3732"/>
    <w:rsid w:val="00DA3DBE"/>
    <w:rsid w:val="00DA3E72"/>
    <w:rsid w:val="00DA3FA4"/>
    <w:rsid w:val="00DA422A"/>
    <w:rsid w:val="00DA470E"/>
    <w:rsid w:val="00DA48B5"/>
    <w:rsid w:val="00DA4AA7"/>
    <w:rsid w:val="00DA4BEA"/>
    <w:rsid w:val="00DA4CD3"/>
    <w:rsid w:val="00DA4DDA"/>
    <w:rsid w:val="00DA4E99"/>
    <w:rsid w:val="00DA52B0"/>
    <w:rsid w:val="00DA5D6F"/>
    <w:rsid w:val="00DA61D6"/>
    <w:rsid w:val="00DA6443"/>
    <w:rsid w:val="00DA64E3"/>
    <w:rsid w:val="00DA6745"/>
    <w:rsid w:val="00DA6EFB"/>
    <w:rsid w:val="00DA7837"/>
    <w:rsid w:val="00DA793C"/>
    <w:rsid w:val="00DA7BDA"/>
    <w:rsid w:val="00DB01E7"/>
    <w:rsid w:val="00DB0355"/>
    <w:rsid w:val="00DB0410"/>
    <w:rsid w:val="00DB06E8"/>
    <w:rsid w:val="00DB08E6"/>
    <w:rsid w:val="00DB0C2E"/>
    <w:rsid w:val="00DB1416"/>
    <w:rsid w:val="00DB175C"/>
    <w:rsid w:val="00DB1B29"/>
    <w:rsid w:val="00DB1C42"/>
    <w:rsid w:val="00DB1D5F"/>
    <w:rsid w:val="00DB24FF"/>
    <w:rsid w:val="00DB26F2"/>
    <w:rsid w:val="00DB2754"/>
    <w:rsid w:val="00DB281A"/>
    <w:rsid w:val="00DB2938"/>
    <w:rsid w:val="00DB29EB"/>
    <w:rsid w:val="00DB2B3A"/>
    <w:rsid w:val="00DB2F7F"/>
    <w:rsid w:val="00DB326D"/>
    <w:rsid w:val="00DB363C"/>
    <w:rsid w:val="00DB36D1"/>
    <w:rsid w:val="00DB36F5"/>
    <w:rsid w:val="00DB3976"/>
    <w:rsid w:val="00DB39E8"/>
    <w:rsid w:val="00DB3A0C"/>
    <w:rsid w:val="00DB3B31"/>
    <w:rsid w:val="00DB3DA1"/>
    <w:rsid w:val="00DB3F2B"/>
    <w:rsid w:val="00DB4650"/>
    <w:rsid w:val="00DB47AA"/>
    <w:rsid w:val="00DB4B85"/>
    <w:rsid w:val="00DB4E30"/>
    <w:rsid w:val="00DB4FB7"/>
    <w:rsid w:val="00DB520A"/>
    <w:rsid w:val="00DB544C"/>
    <w:rsid w:val="00DB5544"/>
    <w:rsid w:val="00DB56AC"/>
    <w:rsid w:val="00DB5ADD"/>
    <w:rsid w:val="00DB5EB1"/>
    <w:rsid w:val="00DB626E"/>
    <w:rsid w:val="00DB6468"/>
    <w:rsid w:val="00DB6919"/>
    <w:rsid w:val="00DB6A1C"/>
    <w:rsid w:val="00DB6E3D"/>
    <w:rsid w:val="00DB6FCB"/>
    <w:rsid w:val="00DB7B2F"/>
    <w:rsid w:val="00DB7D60"/>
    <w:rsid w:val="00DB7E55"/>
    <w:rsid w:val="00DB7E85"/>
    <w:rsid w:val="00DC024D"/>
    <w:rsid w:val="00DC0411"/>
    <w:rsid w:val="00DC055D"/>
    <w:rsid w:val="00DC0578"/>
    <w:rsid w:val="00DC05D8"/>
    <w:rsid w:val="00DC0626"/>
    <w:rsid w:val="00DC0C3E"/>
    <w:rsid w:val="00DC101E"/>
    <w:rsid w:val="00DC1083"/>
    <w:rsid w:val="00DC119E"/>
    <w:rsid w:val="00DC1387"/>
    <w:rsid w:val="00DC14AA"/>
    <w:rsid w:val="00DC1659"/>
    <w:rsid w:val="00DC1682"/>
    <w:rsid w:val="00DC1AA2"/>
    <w:rsid w:val="00DC1E73"/>
    <w:rsid w:val="00DC1ED8"/>
    <w:rsid w:val="00DC21B8"/>
    <w:rsid w:val="00DC2258"/>
    <w:rsid w:val="00DC2ED9"/>
    <w:rsid w:val="00DC33E7"/>
    <w:rsid w:val="00DC35A9"/>
    <w:rsid w:val="00DC3D70"/>
    <w:rsid w:val="00DC44BF"/>
    <w:rsid w:val="00DC4709"/>
    <w:rsid w:val="00DC488E"/>
    <w:rsid w:val="00DC540C"/>
    <w:rsid w:val="00DC5A2D"/>
    <w:rsid w:val="00DC5D51"/>
    <w:rsid w:val="00DC5F0E"/>
    <w:rsid w:val="00DC5FDA"/>
    <w:rsid w:val="00DC605D"/>
    <w:rsid w:val="00DC6220"/>
    <w:rsid w:val="00DC64DC"/>
    <w:rsid w:val="00DC6594"/>
    <w:rsid w:val="00DC69B4"/>
    <w:rsid w:val="00DC727C"/>
    <w:rsid w:val="00DC75CA"/>
    <w:rsid w:val="00DC7921"/>
    <w:rsid w:val="00DD036F"/>
    <w:rsid w:val="00DD047A"/>
    <w:rsid w:val="00DD0548"/>
    <w:rsid w:val="00DD0768"/>
    <w:rsid w:val="00DD07C5"/>
    <w:rsid w:val="00DD0B60"/>
    <w:rsid w:val="00DD0BBA"/>
    <w:rsid w:val="00DD0C86"/>
    <w:rsid w:val="00DD1828"/>
    <w:rsid w:val="00DD1A02"/>
    <w:rsid w:val="00DD1BC7"/>
    <w:rsid w:val="00DD2BD5"/>
    <w:rsid w:val="00DD3260"/>
    <w:rsid w:val="00DD35C6"/>
    <w:rsid w:val="00DD39E9"/>
    <w:rsid w:val="00DD3D9C"/>
    <w:rsid w:val="00DD4350"/>
    <w:rsid w:val="00DD4997"/>
    <w:rsid w:val="00DD4D26"/>
    <w:rsid w:val="00DD53CF"/>
    <w:rsid w:val="00DD5780"/>
    <w:rsid w:val="00DD5A9C"/>
    <w:rsid w:val="00DD5C25"/>
    <w:rsid w:val="00DD6249"/>
    <w:rsid w:val="00DD639D"/>
    <w:rsid w:val="00DD6D14"/>
    <w:rsid w:val="00DD7494"/>
    <w:rsid w:val="00DD7D01"/>
    <w:rsid w:val="00DD7E53"/>
    <w:rsid w:val="00DD7EA6"/>
    <w:rsid w:val="00DE0501"/>
    <w:rsid w:val="00DE0768"/>
    <w:rsid w:val="00DE09B5"/>
    <w:rsid w:val="00DE0E13"/>
    <w:rsid w:val="00DE1628"/>
    <w:rsid w:val="00DE18AF"/>
    <w:rsid w:val="00DE1E9F"/>
    <w:rsid w:val="00DE1EBC"/>
    <w:rsid w:val="00DE201E"/>
    <w:rsid w:val="00DE20B9"/>
    <w:rsid w:val="00DE2403"/>
    <w:rsid w:val="00DE24BF"/>
    <w:rsid w:val="00DE2540"/>
    <w:rsid w:val="00DE2880"/>
    <w:rsid w:val="00DE3086"/>
    <w:rsid w:val="00DE3284"/>
    <w:rsid w:val="00DE34EB"/>
    <w:rsid w:val="00DE366D"/>
    <w:rsid w:val="00DE37BE"/>
    <w:rsid w:val="00DE3CBD"/>
    <w:rsid w:val="00DE3F3E"/>
    <w:rsid w:val="00DE4780"/>
    <w:rsid w:val="00DE491A"/>
    <w:rsid w:val="00DE4EF4"/>
    <w:rsid w:val="00DE4FD3"/>
    <w:rsid w:val="00DE5119"/>
    <w:rsid w:val="00DE57DC"/>
    <w:rsid w:val="00DE5C6E"/>
    <w:rsid w:val="00DE5D5C"/>
    <w:rsid w:val="00DE5E08"/>
    <w:rsid w:val="00DE6595"/>
    <w:rsid w:val="00DE691F"/>
    <w:rsid w:val="00DE6B9F"/>
    <w:rsid w:val="00DE72B9"/>
    <w:rsid w:val="00DE7340"/>
    <w:rsid w:val="00DE75D4"/>
    <w:rsid w:val="00DE7AF9"/>
    <w:rsid w:val="00DE7E18"/>
    <w:rsid w:val="00DE7E7F"/>
    <w:rsid w:val="00DF01FE"/>
    <w:rsid w:val="00DF03B2"/>
    <w:rsid w:val="00DF07E2"/>
    <w:rsid w:val="00DF083B"/>
    <w:rsid w:val="00DF08B0"/>
    <w:rsid w:val="00DF08DB"/>
    <w:rsid w:val="00DF0ABE"/>
    <w:rsid w:val="00DF1505"/>
    <w:rsid w:val="00DF1538"/>
    <w:rsid w:val="00DF1604"/>
    <w:rsid w:val="00DF1713"/>
    <w:rsid w:val="00DF1EC1"/>
    <w:rsid w:val="00DF20F0"/>
    <w:rsid w:val="00DF2663"/>
    <w:rsid w:val="00DF2C0A"/>
    <w:rsid w:val="00DF34DF"/>
    <w:rsid w:val="00DF3596"/>
    <w:rsid w:val="00DF35FB"/>
    <w:rsid w:val="00DF3807"/>
    <w:rsid w:val="00DF3950"/>
    <w:rsid w:val="00DF3FB0"/>
    <w:rsid w:val="00DF3FE3"/>
    <w:rsid w:val="00DF418E"/>
    <w:rsid w:val="00DF43CB"/>
    <w:rsid w:val="00DF4794"/>
    <w:rsid w:val="00DF4811"/>
    <w:rsid w:val="00DF48D6"/>
    <w:rsid w:val="00DF4D16"/>
    <w:rsid w:val="00DF4F7F"/>
    <w:rsid w:val="00DF4FAA"/>
    <w:rsid w:val="00DF50E2"/>
    <w:rsid w:val="00DF54C9"/>
    <w:rsid w:val="00DF5AF7"/>
    <w:rsid w:val="00DF601F"/>
    <w:rsid w:val="00DF6105"/>
    <w:rsid w:val="00DF63E6"/>
    <w:rsid w:val="00DF6628"/>
    <w:rsid w:val="00DF670A"/>
    <w:rsid w:val="00DF6D81"/>
    <w:rsid w:val="00DF7170"/>
    <w:rsid w:val="00DF748D"/>
    <w:rsid w:val="00DF7753"/>
    <w:rsid w:val="00DF7CB5"/>
    <w:rsid w:val="00E00053"/>
    <w:rsid w:val="00E008C7"/>
    <w:rsid w:val="00E00D04"/>
    <w:rsid w:val="00E00E25"/>
    <w:rsid w:val="00E01230"/>
    <w:rsid w:val="00E014F5"/>
    <w:rsid w:val="00E016AE"/>
    <w:rsid w:val="00E017F8"/>
    <w:rsid w:val="00E0193F"/>
    <w:rsid w:val="00E01DBF"/>
    <w:rsid w:val="00E02119"/>
    <w:rsid w:val="00E0221E"/>
    <w:rsid w:val="00E023FB"/>
    <w:rsid w:val="00E024E5"/>
    <w:rsid w:val="00E0267F"/>
    <w:rsid w:val="00E02693"/>
    <w:rsid w:val="00E02958"/>
    <w:rsid w:val="00E02CFB"/>
    <w:rsid w:val="00E0319C"/>
    <w:rsid w:val="00E032EA"/>
    <w:rsid w:val="00E03457"/>
    <w:rsid w:val="00E034D7"/>
    <w:rsid w:val="00E03B5D"/>
    <w:rsid w:val="00E03E2D"/>
    <w:rsid w:val="00E04078"/>
    <w:rsid w:val="00E046E5"/>
    <w:rsid w:val="00E0495A"/>
    <w:rsid w:val="00E04F11"/>
    <w:rsid w:val="00E05246"/>
    <w:rsid w:val="00E05567"/>
    <w:rsid w:val="00E055AA"/>
    <w:rsid w:val="00E05B94"/>
    <w:rsid w:val="00E05C52"/>
    <w:rsid w:val="00E05E4D"/>
    <w:rsid w:val="00E05E9B"/>
    <w:rsid w:val="00E061DD"/>
    <w:rsid w:val="00E06702"/>
    <w:rsid w:val="00E068C1"/>
    <w:rsid w:val="00E068DC"/>
    <w:rsid w:val="00E06A42"/>
    <w:rsid w:val="00E076FB"/>
    <w:rsid w:val="00E07850"/>
    <w:rsid w:val="00E1085C"/>
    <w:rsid w:val="00E10C88"/>
    <w:rsid w:val="00E10CD9"/>
    <w:rsid w:val="00E10D36"/>
    <w:rsid w:val="00E10F7D"/>
    <w:rsid w:val="00E110CA"/>
    <w:rsid w:val="00E110E8"/>
    <w:rsid w:val="00E11591"/>
    <w:rsid w:val="00E11E05"/>
    <w:rsid w:val="00E124CF"/>
    <w:rsid w:val="00E128CB"/>
    <w:rsid w:val="00E12F1D"/>
    <w:rsid w:val="00E1322B"/>
    <w:rsid w:val="00E13418"/>
    <w:rsid w:val="00E13551"/>
    <w:rsid w:val="00E13568"/>
    <w:rsid w:val="00E13747"/>
    <w:rsid w:val="00E13C4D"/>
    <w:rsid w:val="00E13D47"/>
    <w:rsid w:val="00E13E1E"/>
    <w:rsid w:val="00E13F2C"/>
    <w:rsid w:val="00E141D9"/>
    <w:rsid w:val="00E1495E"/>
    <w:rsid w:val="00E15049"/>
    <w:rsid w:val="00E150D4"/>
    <w:rsid w:val="00E158F1"/>
    <w:rsid w:val="00E15A89"/>
    <w:rsid w:val="00E15AAE"/>
    <w:rsid w:val="00E15C91"/>
    <w:rsid w:val="00E166CC"/>
    <w:rsid w:val="00E17160"/>
    <w:rsid w:val="00E173EA"/>
    <w:rsid w:val="00E173FC"/>
    <w:rsid w:val="00E175D3"/>
    <w:rsid w:val="00E17839"/>
    <w:rsid w:val="00E17919"/>
    <w:rsid w:val="00E179F3"/>
    <w:rsid w:val="00E17B4F"/>
    <w:rsid w:val="00E20156"/>
    <w:rsid w:val="00E20910"/>
    <w:rsid w:val="00E20961"/>
    <w:rsid w:val="00E20C86"/>
    <w:rsid w:val="00E21086"/>
    <w:rsid w:val="00E210AC"/>
    <w:rsid w:val="00E211BE"/>
    <w:rsid w:val="00E2129F"/>
    <w:rsid w:val="00E2198E"/>
    <w:rsid w:val="00E21990"/>
    <w:rsid w:val="00E21B72"/>
    <w:rsid w:val="00E21BC9"/>
    <w:rsid w:val="00E21BFD"/>
    <w:rsid w:val="00E21CE0"/>
    <w:rsid w:val="00E22654"/>
    <w:rsid w:val="00E22676"/>
    <w:rsid w:val="00E227F1"/>
    <w:rsid w:val="00E2285C"/>
    <w:rsid w:val="00E228C6"/>
    <w:rsid w:val="00E22ABB"/>
    <w:rsid w:val="00E22AE0"/>
    <w:rsid w:val="00E22AE4"/>
    <w:rsid w:val="00E22BD1"/>
    <w:rsid w:val="00E230E2"/>
    <w:rsid w:val="00E235E9"/>
    <w:rsid w:val="00E2373C"/>
    <w:rsid w:val="00E23809"/>
    <w:rsid w:val="00E23911"/>
    <w:rsid w:val="00E2394E"/>
    <w:rsid w:val="00E23A34"/>
    <w:rsid w:val="00E23A89"/>
    <w:rsid w:val="00E23DBB"/>
    <w:rsid w:val="00E23E3E"/>
    <w:rsid w:val="00E23E72"/>
    <w:rsid w:val="00E244AD"/>
    <w:rsid w:val="00E244B2"/>
    <w:rsid w:val="00E24902"/>
    <w:rsid w:val="00E24A8F"/>
    <w:rsid w:val="00E24DC1"/>
    <w:rsid w:val="00E25683"/>
    <w:rsid w:val="00E25871"/>
    <w:rsid w:val="00E25932"/>
    <w:rsid w:val="00E259FC"/>
    <w:rsid w:val="00E25BE0"/>
    <w:rsid w:val="00E2610B"/>
    <w:rsid w:val="00E26166"/>
    <w:rsid w:val="00E268AA"/>
    <w:rsid w:val="00E26F60"/>
    <w:rsid w:val="00E26F93"/>
    <w:rsid w:val="00E27223"/>
    <w:rsid w:val="00E272ED"/>
    <w:rsid w:val="00E273C7"/>
    <w:rsid w:val="00E27587"/>
    <w:rsid w:val="00E275F9"/>
    <w:rsid w:val="00E276E3"/>
    <w:rsid w:val="00E27787"/>
    <w:rsid w:val="00E27D1B"/>
    <w:rsid w:val="00E27DE4"/>
    <w:rsid w:val="00E3005F"/>
    <w:rsid w:val="00E30170"/>
    <w:rsid w:val="00E3034D"/>
    <w:rsid w:val="00E307B1"/>
    <w:rsid w:val="00E30B92"/>
    <w:rsid w:val="00E31159"/>
    <w:rsid w:val="00E32CBD"/>
    <w:rsid w:val="00E32DA5"/>
    <w:rsid w:val="00E32DCC"/>
    <w:rsid w:val="00E32E0C"/>
    <w:rsid w:val="00E32F76"/>
    <w:rsid w:val="00E32F94"/>
    <w:rsid w:val="00E32FC3"/>
    <w:rsid w:val="00E333E7"/>
    <w:rsid w:val="00E33452"/>
    <w:rsid w:val="00E335CF"/>
    <w:rsid w:val="00E3391E"/>
    <w:rsid w:val="00E33A24"/>
    <w:rsid w:val="00E33AE7"/>
    <w:rsid w:val="00E33CE0"/>
    <w:rsid w:val="00E33E63"/>
    <w:rsid w:val="00E33F85"/>
    <w:rsid w:val="00E341CE"/>
    <w:rsid w:val="00E343FE"/>
    <w:rsid w:val="00E344CD"/>
    <w:rsid w:val="00E34AB1"/>
    <w:rsid w:val="00E34CEE"/>
    <w:rsid w:val="00E35297"/>
    <w:rsid w:val="00E356E9"/>
    <w:rsid w:val="00E3579A"/>
    <w:rsid w:val="00E3590A"/>
    <w:rsid w:val="00E3594E"/>
    <w:rsid w:val="00E359A7"/>
    <w:rsid w:val="00E359AF"/>
    <w:rsid w:val="00E35A89"/>
    <w:rsid w:val="00E35D43"/>
    <w:rsid w:val="00E35D65"/>
    <w:rsid w:val="00E36092"/>
    <w:rsid w:val="00E36150"/>
    <w:rsid w:val="00E36910"/>
    <w:rsid w:val="00E36E38"/>
    <w:rsid w:val="00E36E52"/>
    <w:rsid w:val="00E370D4"/>
    <w:rsid w:val="00E372B9"/>
    <w:rsid w:val="00E374FC"/>
    <w:rsid w:val="00E37514"/>
    <w:rsid w:val="00E375B4"/>
    <w:rsid w:val="00E40082"/>
    <w:rsid w:val="00E40B56"/>
    <w:rsid w:val="00E40B6F"/>
    <w:rsid w:val="00E41096"/>
    <w:rsid w:val="00E4125C"/>
    <w:rsid w:val="00E41525"/>
    <w:rsid w:val="00E41551"/>
    <w:rsid w:val="00E42787"/>
    <w:rsid w:val="00E42E81"/>
    <w:rsid w:val="00E431A2"/>
    <w:rsid w:val="00E43FBE"/>
    <w:rsid w:val="00E44029"/>
    <w:rsid w:val="00E4410A"/>
    <w:rsid w:val="00E444F7"/>
    <w:rsid w:val="00E4505B"/>
    <w:rsid w:val="00E45140"/>
    <w:rsid w:val="00E45264"/>
    <w:rsid w:val="00E45559"/>
    <w:rsid w:val="00E461E2"/>
    <w:rsid w:val="00E464C8"/>
    <w:rsid w:val="00E467FD"/>
    <w:rsid w:val="00E468FB"/>
    <w:rsid w:val="00E46CD0"/>
    <w:rsid w:val="00E46F66"/>
    <w:rsid w:val="00E47532"/>
    <w:rsid w:val="00E47CAF"/>
    <w:rsid w:val="00E5003D"/>
    <w:rsid w:val="00E500BE"/>
    <w:rsid w:val="00E50294"/>
    <w:rsid w:val="00E50CA7"/>
    <w:rsid w:val="00E50CC1"/>
    <w:rsid w:val="00E50F02"/>
    <w:rsid w:val="00E50F09"/>
    <w:rsid w:val="00E51471"/>
    <w:rsid w:val="00E51B44"/>
    <w:rsid w:val="00E51B4B"/>
    <w:rsid w:val="00E5292C"/>
    <w:rsid w:val="00E52CE0"/>
    <w:rsid w:val="00E52EDD"/>
    <w:rsid w:val="00E52F45"/>
    <w:rsid w:val="00E53098"/>
    <w:rsid w:val="00E532B7"/>
    <w:rsid w:val="00E5348D"/>
    <w:rsid w:val="00E53C0E"/>
    <w:rsid w:val="00E53CA6"/>
    <w:rsid w:val="00E53CC6"/>
    <w:rsid w:val="00E53D08"/>
    <w:rsid w:val="00E53D8A"/>
    <w:rsid w:val="00E54013"/>
    <w:rsid w:val="00E543D0"/>
    <w:rsid w:val="00E544AB"/>
    <w:rsid w:val="00E54691"/>
    <w:rsid w:val="00E546E5"/>
    <w:rsid w:val="00E549D2"/>
    <w:rsid w:val="00E5523E"/>
    <w:rsid w:val="00E5548D"/>
    <w:rsid w:val="00E556CA"/>
    <w:rsid w:val="00E5576D"/>
    <w:rsid w:val="00E55A70"/>
    <w:rsid w:val="00E55C62"/>
    <w:rsid w:val="00E55D5E"/>
    <w:rsid w:val="00E5602E"/>
    <w:rsid w:val="00E5614F"/>
    <w:rsid w:val="00E56620"/>
    <w:rsid w:val="00E568C4"/>
    <w:rsid w:val="00E569E6"/>
    <w:rsid w:val="00E56A99"/>
    <w:rsid w:val="00E56C38"/>
    <w:rsid w:val="00E56E3A"/>
    <w:rsid w:val="00E56FFE"/>
    <w:rsid w:val="00E5709B"/>
    <w:rsid w:val="00E5725B"/>
    <w:rsid w:val="00E574CD"/>
    <w:rsid w:val="00E5798D"/>
    <w:rsid w:val="00E57ACE"/>
    <w:rsid w:val="00E57C6F"/>
    <w:rsid w:val="00E57F36"/>
    <w:rsid w:val="00E60070"/>
    <w:rsid w:val="00E6068F"/>
    <w:rsid w:val="00E60C09"/>
    <w:rsid w:val="00E61411"/>
    <w:rsid w:val="00E61536"/>
    <w:rsid w:val="00E619AF"/>
    <w:rsid w:val="00E61E38"/>
    <w:rsid w:val="00E622B4"/>
    <w:rsid w:val="00E6254C"/>
    <w:rsid w:val="00E625A5"/>
    <w:rsid w:val="00E63424"/>
    <w:rsid w:val="00E63543"/>
    <w:rsid w:val="00E63571"/>
    <w:rsid w:val="00E63CF9"/>
    <w:rsid w:val="00E6428C"/>
    <w:rsid w:val="00E64391"/>
    <w:rsid w:val="00E64816"/>
    <w:rsid w:val="00E649D8"/>
    <w:rsid w:val="00E64FC0"/>
    <w:rsid w:val="00E65692"/>
    <w:rsid w:val="00E6589B"/>
    <w:rsid w:val="00E65B6C"/>
    <w:rsid w:val="00E65B9D"/>
    <w:rsid w:val="00E65BB3"/>
    <w:rsid w:val="00E65BFD"/>
    <w:rsid w:val="00E65D2C"/>
    <w:rsid w:val="00E65DDB"/>
    <w:rsid w:val="00E661AF"/>
    <w:rsid w:val="00E666BD"/>
    <w:rsid w:val="00E66738"/>
    <w:rsid w:val="00E668CE"/>
    <w:rsid w:val="00E66BC9"/>
    <w:rsid w:val="00E66BF9"/>
    <w:rsid w:val="00E66C03"/>
    <w:rsid w:val="00E6734F"/>
    <w:rsid w:val="00E67A38"/>
    <w:rsid w:val="00E67D63"/>
    <w:rsid w:val="00E67F17"/>
    <w:rsid w:val="00E702E7"/>
    <w:rsid w:val="00E707AE"/>
    <w:rsid w:val="00E70B06"/>
    <w:rsid w:val="00E70E67"/>
    <w:rsid w:val="00E71929"/>
    <w:rsid w:val="00E72019"/>
    <w:rsid w:val="00E72404"/>
    <w:rsid w:val="00E72653"/>
    <w:rsid w:val="00E72778"/>
    <w:rsid w:val="00E72886"/>
    <w:rsid w:val="00E72C25"/>
    <w:rsid w:val="00E72C58"/>
    <w:rsid w:val="00E72D00"/>
    <w:rsid w:val="00E732B2"/>
    <w:rsid w:val="00E73337"/>
    <w:rsid w:val="00E733A0"/>
    <w:rsid w:val="00E739BA"/>
    <w:rsid w:val="00E73DBF"/>
    <w:rsid w:val="00E74520"/>
    <w:rsid w:val="00E74549"/>
    <w:rsid w:val="00E74853"/>
    <w:rsid w:val="00E748BA"/>
    <w:rsid w:val="00E74FF2"/>
    <w:rsid w:val="00E7538D"/>
    <w:rsid w:val="00E7543F"/>
    <w:rsid w:val="00E756FF"/>
    <w:rsid w:val="00E75951"/>
    <w:rsid w:val="00E75A0A"/>
    <w:rsid w:val="00E75A64"/>
    <w:rsid w:val="00E760ED"/>
    <w:rsid w:val="00E7657B"/>
    <w:rsid w:val="00E76A64"/>
    <w:rsid w:val="00E76F58"/>
    <w:rsid w:val="00E77272"/>
    <w:rsid w:val="00E773F1"/>
    <w:rsid w:val="00E77F6D"/>
    <w:rsid w:val="00E8021C"/>
    <w:rsid w:val="00E80487"/>
    <w:rsid w:val="00E80533"/>
    <w:rsid w:val="00E8076A"/>
    <w:rsid w:val="00E807C6"/>
    <w:rsid w:val="00E8081E"/>
    <w:rsid w:val="00E80D36"/>
    <w:rsid w:val="00E81140"/>
    <w:rsid w:val="00E813CF"/>
    <w:rsid w:val="00E817D7"/>
    <w:rsid w:val="00E81F09"/>
    <w:rsid w:val="00E81F66"/>
    <w:rsid w:val="00E820B9"/>
    <w:rsid w:val="00E82109"/>
    <w:rsid w:val="00E822CA"/>
    <w:rsid w:val="00E82337"/>
    <w:rsid w:val="00E826BF"/>
    <w:rsid w:val="00E82BB1"/>
    <w:rsid w:val="00E82F73"/>
    <w:rsid w:val="00E830D0"/>
    <w:rsid w:val="00E8316E"/>
    <w:rsid w:val="00E838B6"/>
    <w:rsid w:val="00E838F3"/>
    <w:rsid w:val="00E83A40"/>
    <w:rsid w:val="00E83E05"/>
    <w:rsid w:val="00E83F1F"/>
    <w:rsid w:val="00E84802"/>
    <w:rsid w:val="00E84899"/>
    <w:rsid w:val="00E849AE"/>
    <w:rsid w:val="00E84EE1"/>
    <w:rsid w:val="00E85285"/>
    <w:rsid w:val="00E8567F"/>
    <w:rsid w:val="00E8569C"/>
    <w:rsid w:val="00E85B8B"/>
    <w:rsid w:val="00E85F93"/>
    <w:rsid w:val="00E86033"/>
    <w:rsid w:val="00E86182"/>
    <w:rsid w:val="00E869E1"/>
    <w:rsid w:val="00E86F92"/>
    <w:rsid w:val="00E86FED"/>
    <w:rsid w:val="00E87410"/>
    <w:rsid w:val="00E87427"/>
    <w:rsid w:val="00E874F9"/>
    <w:rsid w:val="00E875BB"/>
    <w:rsid w:val="00E87B7E"/>
    <w:rsid w:val="00E87B99"/>
    <w:rsid w:val="00E9003D"/>
    <w:rsid w:val="00E9052C"/>
    <w:rsid w:val="00E908FA"/>
    <w:rsid w:val="00E90A87"/>
    <w:rsid w:val="00E90CDE"/>
    <w:rsid w:val="00E90D2F"/>
    <w:rsid w:val="00E910F2"/>
    <w:rsid w:val="00E912B5"/>
    <w:rsid w:val="00E91303"/>
    <w:rsid w:val="00E914A7"/>
    <w:rsid w:val="00E9154D"/>
    <w:rsid w:val="00E91555"/>
    <w:rsid w:val="00E9181F"/>
    <w:rsid w:val="00E919B1"/>
    <w:rsid w:val="00E92A36"/>
    <w:rsid w:val="00E92F41"/>
    <w:rsid w:val="00E92F87"/>
    <w:rsid w:val="00E92F95"/>
    <w:rsid w:val="00E934D5"/>
    <w:rsid w:val="00E93789"/>
    <w:rsid w:val="00E93CCE"/>
    <w:rsid w:val="00E93E36"/>
    <w:rsid w:val="00E94330"/>
    <w:rsid w:val="00E944AC"/>
    <w:rsid w:val="00E94891"/>
    <w:rsid w:val="00E94AEA"/>
    <w:rsid w:val="00E94D3B"/>
    <w:rsid w:val="00E950BE"/>
    <w:rsid w:val="00E95447"/>
    <w:rsid w:val="00E95931"/>
    <w:rsid w:val="00E959C0"/>
    <w:rsid w:val="00E95DA1"/>
    <w:rsid w:val="00E95DAD"/>
    <w:rsid w:val="00E967DE"/>
    <w:rsid w:val="00E96A40"/>
    <w:rsid w:val="00E96AAE"/>
    <w:rsid w:val="00E96BBA"/>
    <w:rsid w:val="00E96CE6"/>
    <w:rsid w:val="00E973D5"/>
    <w:rsid w:val="00E977FC"/>
    <w:rsid w:val="00E9780B"/>
    <w:rsid w:val="00E97D54"/>
    <w:rsid w:val="00EA05B2"/>
    <w:rsid w:val="00EA09EA"/>
    <w:rsid w:val="00EA0A1E"/>
    <w:rsid w:val="00EA0B00"/>
    <w:rsid w:val="00EA0E63"/>
    <w:rsid w:val="00EA0E6E"/>
    <w:rsid w:val="00EA137A"/>
    <w:rsid w:val="00EA14AC"/>
    <w:rsid w:val="00EA14FB"/>
    <w:rsid w:val="00EA1722"/>
    <w:rsid w:val="00EA1890"/>
    <w:rsid w:val="00EA1F2D"/>
    <w:rsid w:val="00EA202D"/>
    <w:rsid w:val="00EA223A"/>
    <w:rsid w:val="00EA247B"/>
    <w:rsid w:val="00EA25AB"/>
    <w:rsid w:val="00EA29D9"/>
    <w:rsid w:val="00EA2FD8"/>
    <w:rsid w:val="00EA386A"/>
    <w:rsid w:val="00EA38E0"/>
    <w:rsid w:val="00EA3B92"/>
    <w:rsid w:val="00EA3EDE"/>
    <w:rsid w:val="00EA411A"/>
    <w:rsid w:val="00EA45A6"/>
    <w:rsid w:val="00EA45EA"/>
    <w:rsid w:val="00EA468E"/>
    <w:rsid w:val="00EA47A3"/>
    <w:rsid w:val="00EA4AFD"/>
    <w:rsid w:val="00EA50D1"/>
    <w:rsid w:val="00EA5935"/>
    <w:rsid w:val="00EA5C54"/>
    <w:rsid w:val="00EA5DD1"/>
    <w:rsid w:val="00EA5ED7"/>
    <w:rsid w:val="00EA62C5"/>
    <w:rsid w:val="00EA678D"/>
    <w:rsid w:val="00EA6A4A"/>
    <w:rsid w:val="00EA6ABD"/>
    <w:rsid w:val="00EA730D"/>
    <w:rsid w:val="00EA77CD"/>
    <w:rsid w:val="00EA7A8D"/>
    <w:rsid w:val="00EB0047"/>
    <w:rsid w:val="00EB1116"/>
    <w:rsid w:val="00EB1DE4"/>
    <w:rsid w:val="00EB1E24"/>
    <w:rsid w:val="00EB1ECB"/>
    <w:rsid w:val="00EB24BB"/>
    <w:rsid w:val="00EB24D0"/>
    <w:rsid w:val="00EB2602"/>
    <w:rsid w:val="00EB261B"/>
    <w:rsid w:val="00EB29A9"/>
    <w:rsid w:val="00EB2BB1"/>
    <w:rsid w:val="00EB2D6A"/>
    <w:rsid w:val="00EB2D8B"/>
    <w:rsid w:val="00EB2E9D"/>
    <w:rsid w:val="00EB34B6"/>
    <w:rsid w:val="00EB35B9"/>
    <w:rsid w:val="00EB3706"/>
    <w:rsid w:val="00EB3B39"/>
    <w:rsid w:val="00EB3E16"/>
    <w:rsid w:val="00EB4465"/>
    <w:rsid w:val="00EB44B7"/>
    <w:rsid w:val="00EB48C3"/>
    <w:rsid w:val="00EB5093"/>
    <w:rsid w:val="00EB51EE"/>
    <w:rsid w:val="00EB5309"/>
    <w:rsid w:val="00EB533C"/>
    <w:rsid w:val="00EB5481"/>
    <w:rsid w:val="00EB54D8"/>
    <w:rsid w:val="00EB5DCC"/>
    <w:rsid w:val="00EB6275"/>
    <w:rsid w:val="00EB656E"/>
    <w:rsid w:val="00EB66A7"/>
    <w:rsid w:val="00EB6E8A"/>
    <w:rsid w:val="00EB70BA"/>
    <w:rsid w:val="00EB71A2"/>
    <w:rsid w:val="00EB7560"/>
    <w:rsid w:val="00EB76F0"/>
    <w:rsid w:val="00EC0176"/>
    <w:rsid w:val="00EC023E"/>
    <w:rsid w:val="00EC06BF"/>
    <w:rsid w:val="00EC0D62"/>
    <w:rsid w:val="00EC0E26"/>
    <w:rsid w:val="00EC0FFC"/>
    <w:rsid w:val="00EC141A"/>
    <w:rsid w:val="00EC1648"/>
    <w:rsid w:val="00EC1C54"/>
    <w:rsid w:val="00EC1F6E"/>
    <w:rsid w:val="00EC2A25"/>
    <w:rsid w:val="00EC2AA3"/>
    <w:rsid w:val="00EC2B02"/>
    <w:rsid w:val="00EC2E97"/>
    <w:rsid w:val="00EC33A4"/>
    <w:rsid w:val="00EC3445"/>
    <w:rsid w:val="00EC37A1"/>
    <w:rsid w:val="00EC3CD2"/>
    <w:rsid w:val="00EC41A1"/>
    <w:rsid w:val="00EC4AB1"/>
    <w:rsid w:val="00EC4BBF"/>
    <w:rsid w:val="00EC4BCF"/>
    <w:rsid w:val="00EC4F70"/>
    <w:rsid w:val="00EC512D"/>
    <w:rsid w:val="00EC540D"/>
    <w:rsid w:val="00EC5939"/>
    <w:rsid w:val="00EC5E83"/>
    <w:rsid w:val="00EC5F2D"/>
    <w:rsid w:val="00EC644F"/>
    <w:rsid w:val="00EC69E2"/>
    <w:rsid w:val="00EC6A2D"/>
    <w:rsid w:val="00EC6B8B"/>
    <w:rsid w:val="00EC6D0D"/>
    <w:rsid w:val="00EC6E29"/>
    <w:rsid w:val="00EC6F7A"/>
    <w:rsid w:val="00EC7470"/>
    <w:rsid w:val="00EC74AF"/>
    <w:rsid w:val="00EC765C"/>
    <w:rsid w:val="00EC775D"/>
    <w:rsid w:val="00EC783A"/>
    <w:rsid w:val="00EC7843"/>
    <w:rsid w:val="00EC78FB"/>
    <w:rsid w:val="00EC7947"/>
    <w:rsid w:val="00EC7A7B"/>
    <w:rsid w:val="00EC7E28"/>
    <w:rsid w:val="00EC7EB9"/>
    <w:rsid w:val="00EC7F81"/>
    <w:rsid w:val="00ED02DD"/>
    <w:rsid w:val="00ED0699"/>
    <w:rsid w:val="00ED1009"/>
    <w:rsid w:val="00ED10FA"/>
    <w:rsid w:val="00ED16A7"/>
    <w:rsid w:val="00ED16BC"/>
    <w:rsid w:val="00ED1CA4"/>
    <w:rsid w:val="00ED24CE"/>
    <w:rsid w:val="00ED2826"/>
    <w:rsid w:val="00ED2970"/>
    <w:rsid w:val="00ED2B73"/>
    <w:rsid w:val="00ED3105"/>
    <w:rsid w:val="00ED3469"/>
    <w:rsid w:val="00ED3CC7"/>
    <w:rsid w:val="00ED3F2C"/>
    <w:rsid w:val="00ED46EF"/>
    <w:rsid w:val="00ED485F"/>
    <w:rsid w:val="00ED4AC8"/>
    <w:rsid w:val="00ED4B6F"/>
    <w:rsid w:val="00ED4C05"/>
    <w:rsid w:val="00ED51D5"/>
    <w:rsid w:val="00ED52AC"/>
    <w:rsid w:val="00ED5AA8"/>
    <w:rsid w:val="00ED5EFE"/>
    <w:rsid w:val="00ED62E0"/>
    <w:rsid w:val="00ED6370"/>
    <w:rsid w:val="00ED65A2"/>
    <w:rsid w:val="00ED6DEC"/>
    <w:rsid w:val="00ED701C"/>
    <w:rsid w:val="00ED7396"/>
    <w:rsid w:val="00ED73DE"/>
    <w:rsid w:val="00ED7482"/>
    <w:rsid w:val="00ED7C77"/>
    <w:rsid w:val="00EE0143"/>
    <w:rsid w:val="00EE0331"/>
    <w:rsid w:val="00EE1E0B"/>
    <w:rsid w:val="00EE20AB"/>
    <w:rsid w:val="00EE23E4"/>
    <w:rsid w:val="00EE2435"/>
    <w:rsid w:val="00EE24B8"/>
    <w:rsid w:val="00EE26F7"/>
    <w:rsid w:val="00EE280B"/>
    <w:rsid w:val="00EE30C3"/>
    <w:rsid w:val="00EE3247"/>
    <w:rsid w:val="00EE333E"/>
    <w:rsid w:val="00EE3368"/>
    <w:rsid w:val="00EE33BE"/>
    <w:rsid w:val="00EE371F"/>
    <w:rsid w:val="00EE384A"/>
    <w:rsid w:val="00EE3B33"/>
    <w:rsid w:val="00EE40A6"/>
    <w:rsid w:val="00EE41E2"/>
    <w:rsid w:val="00EE491E"/>
    <w:rsid w:val="00EE4B0D"/>
    <w:rsid w:val="00EE4B54"/>
    <w:rsid w:val="00EE4C0B"/>
    <w:rsid w:val="00EE4CED"/>
    <w:rsid w:val="00EE4E47"/>
    <w:rsid w:val="00EE5068"/>
    <w:rsid w:val="00EE5977"/>
    <w:rsid w:val="00EE5E98"/>
    <w:rsid w:val="00EE6329"/>
    <w:rsid w:val="00EE6844"/>
    <w:rsid w:val="00EE6A5B"/>
    <w:rsid w:val="00EE6A72"/>
    <w:rsid w:val="00EE6AF7"/>
    <w:rsid w:val="00EE76C7"/>
    <w:rsid w:val="00EE76EF"/>
    <w:rsid w:val="00EF0375"/>
    <w:rsid w:val="00EF039D"/>
    <w:rsid w:val="00EF05B3"/>
    <w:rsid w:val="00EF07A7"/>
    <w:rsid w:val="00EF0A25"/>
    <w:rsid w:val="00EF129D"/>
    <w:rsid w:val="00EF15A2"/>
    <w:rsid w:val="00EF1CAD"/>
    <w:rsid w:val="00EF218B"/>
    <w:rsid w:val="00EF2763"/>
    <w:rsid w:val="00EF2F15"/>
    <w:rsid w:val="00EF2F4D"/>
    <w:rsid w:val="00EF2FDA"/>
    <w:rsid w:val="00EF3019"/>
    <w:rsid w:val="00EF3041"/>
    <w:rsid w:val="00EF3138"/>
    <w:rsid w:val="00EF3426"/>
    <w:rsid w:val="00EF3725"/>
    <w:rsid w:val="00EF3A70"/>
    <w:rsid w:val="00EF3C81"/>
    <w:rsid w:val="00EF3DA5"/>
    <w:rsid w:val="00EF4D8E"/>
    <w:rsid w:val="00EF59B8"/>
    <w:rsid w:val="00EF59BC"/>
    <w:rsid w:val="00EF5BA1"/>
    <w:rsid w:val="00EF5BA2"/>
    <w:rsid w:val="00EF5CF8"/>
    <w:rsid w:val="00EF5DA7"/>
    <w:rsid w:val="00EF612F"/>
    <w:rsid w:val="00EF61ED"/>
    <w:rsid w:val="00EF61EF"/>
    <w:rsid w:val="00EF6B97"/>
    <w:rsid w:val="00EF71E6"/>
    <w:rsid w:val="00EF7227"/>
    <w:rsid w:val="00EF755B"/>
    <w:rsid w:val="00EF7E7A"/>
    <w:rsid w:val="00F00301"/>
    <w:rsid w:val="00F006CD"/>
    <w:rsid w:val="00F00785"/>
    <w:rsid w:val="00F007A6"/>
    <w:rsid w:val="00F00D3E"/>
    <w:rsid w:val="00F00FE5"/>
    <w:rsid w:val="00F01044"/>
    <w:rsid w:val="00F01953"/>
    <w:rsid w:val="00F01DCA"/>
    <w:rsid w:val="00F02158"/>
    <w:rsid w:val="00F02530"/>
    <w:rsid w:val="00F0270C"/>
    <w:rsid w:val="00F028C1"/>
    <w:rsid w:val="00F02B19"/>
    <w:rsid w:val="00F02B4B"/>
    <w:rsid w:val="00F02B75"/>
    <w:rsid w:val="00F02D7B"/>
    <w:rsid w:val="00F02DA8"/>
    <w:rsid w:val="00F02E20"/>
    <w:rsid w:val="00F0350E"/>
    <w:rsid w:val="00F035F6"/>
    <w:rsid w:val="00F03841"/>
    <w:rsid w:val="00F03A84"/>
    <w:rsid w:val="00F03BEB"/>
    <w:rsid w:val="00F03C2C"/>
    <w:rsid w:val="00F03E97"/>
    <w:rsid w:val="00F03F9C"/>
    <w:rsid w:val="00F043F0"/>
    <w:rsid w:val="00F046BD"/>
    <w:rsid w:val="00F046D9"/>
    <w:rsid w:val="00F04931"/>
    <w:rsid w:val="00F04E69"/>
    <w:rsid w:val="00F04EE5"/>
    <w:rsid w:val="00F05CB7"/>
    <w:rsid w:val="00F05E45"/>
    <w:rsid w:val="00F063F1"/>
    <w:rsid w:val="00F06703"/>
    <w:rsid w:val="00F068CE"/>
    <w:rsid w:val="00F06ACF"/>
    <w:rsid w:val="00F06F2B"/>
    <w:rsid w:val="00F07408"/>
    <w:rsid w:val="00F07743"/>
    <w:rsid w:val="00F07934"/>
    <w:rsid w:val="00F07D07"/>
    <w:rsid w:val="00F07EE1"/>
    <w:rsid w:val="00F10049"/>
    <w:rsid w:val="00F10DFB"/>
    <w:rsid w:val="00F1187D"/>
    <w:rsid w:val="00F12033"/>
    <w:rsid w:val="00F128DF"/>
    <w:rsid w:val="00F129C4"/>
    <w:rsid w:val="00F12A3B"/>
    <w:rsid w:val="00F12A9B"/>
    <w:rsid w:val="00F12DF2"/>
    <w:rsid w:val="00F12E37"/>
    <w:rsid w:val="00F131C8"/>
    <w:rsid w:val="00F1328B"/>
    <w:rsid w:val="00F13337"/>
    <w:rsid w:val="00F1380C"/>
    <w:rsid w:val="00F141D2"/>
    <w:rsid w:val="00F14A4B"/>
    <w:rsid w:val="00F14B6B"/>
    <w:rsid w:val="00F157B0"/>
    <w:rsid w:val="00F15859"/>
    <w:rsid w:val="00F15874"/>
    <w:rsid w:val="00F158BD"/>
    <w:rsid w:val="00F15939"/>
    <w:rsid w:val="00F16091"/>
    <w:rsid w:val="00F16BB5"/>
    <w:rsid w:val="00F172BB"/>
    <w:rsid w:val="00F17901"/>
    <w:rsid w:val="00F17A73"/>
    <w:rsid w:val="00F17C1E"/>
    <w:rsid w:val="00F17CC8"/>
    <w:rsid w:val="00F17DC0"/>
    <w:rsid w:val="00F17DDC"/>
    <w:rsid w:val="00F20112"/>
    <w:rsid w:val="00F202AD"/>
    <w:rsid w:val="00F20C69"/>
    <w:rsid w:val="00F2149C"/>
    <w:rsid w:val="00F215D9"/>
    <w:rsid w:val="00F21BEA"/>
    <w:rsid w:val="00F21CB9"/>
    <w:rsid w:val="00F221DA"/>
    <w:rsid w:val="00F222D1"/>
    <w:rsid w:val="00F22416"/>
    <w:rsid w:val="00F224C1"/>
    <w:rsid w:val="00F22623"/>
    <w:rsid w:val="00F22628"/>
    <w:rsid w:val="00F22C32"/>
    <w:rsid w:val="00F22D70"/>
    <w:rsid w:val="00F230BC"/>
    <w:rsid w:val="00F2339A"/>
    <w:rsid w:val="00F23457"/>
    <w:rsid w:val="00F23A22"/>
    <w:rsid w:val="00F23AAE"/>
    <w:rsid w:val="00F23BB1"/>
    <w:rsid w:val="00F245A3"/>
    <w:rsid w:val="00F24B80"/>
    <w:rsid w:val="00F24C91"/>
    <w:rsid w:val="00F24CC1"/>
    <w:rsid w:val="00F24EFC"/>
    <w:rsid w:val="00F25212"/>
    <w:rsid w:val="00F2535D"/>
    <w:rsid w:val="00F256FA"/>
    <w:rsid w:val="00F25A00"/>
    <w:rsid w:val="00F25AC2"/>
    <w:rsid w:val="00F25F80"/>
    <w:rsid w:val="00F2601D"/>
    <w:rsid w:val="00F260F5"/>
    <w:rsid w:val="00F262D4"/>
    <w:rsid w:val="00F26D27"/>
    <w:rsid w:val="00F2748B"/>
    <w:rsid w:val="00F2749A"/>
    <w:rsid w:val="00F27BC0"/>
    <w:rsid w:val="00F27CAC"/>
    <w:rsid w:val="00F27D6A"/>
    <w:rsid w:val="00F27E6E"/>
    <w:rsid w:val="00F3030B"/>
    <w:rsid w:val="00F3188B"/>
    <w:rsid w:val="00F31923"/>
    <w:rsid w:val="00F31A20"/>
    <w:rsid w:val="00F31D19"/>
    <w:rsid w:val="00F3209D"/>
    <w:rsid w:val="00F32499"/>
    <w:rsid w:val="00F32557"/>
    <w:rsid w:val="00F3255B"/>
    <w:rsid w:val="00F32744"/>
    <w:rsid w:val="00F32B55"/>
    <w:rsid w:val="00F331E4"/>
    <w:rsid w:val="00F331FE"/>
    <w:rsid w:val="00F332A1"/>
    <w:rsid w:val="00F332EE"/>
    <w:rsid w:val="00F334FE"/>
    <w:rsid w:val="00F3358E"/>
    <w:rsid w:val="00F33764"/>
    <w:rsid w:val="00F3390C"/>
    <w:rsid w:val="00F33D63"/>
    <w:rsid w:val="00F341E5"/>
    <w:rsid w:val="00F3474B"/>
    <w:rsid w:val="00F34C5E"/>
    <w:rsid w:val="00F34FC9"/>
    <w:rsid w:val="00F355D0"/>
    <w:rsid w:val="00F35735"/>
    <w:rsid w:val="00F35A00"/>
    <w:rsid w:val="00F35A4A"/>
    <w:rsid w:val="00F3631D"/>
    <w:rsid w:val="00F36C47"/>
    <w:rsid w:val="00F36C84"/>
    <w:rsid w:val="00F37592"/>
    <w:rsid w:val="00F40077"/>
    <w:rsid w:val="00F40101"/>
    <w:rsid w:val="00F40174"/>
    <w:rsid w:val="00F4026B"/>
    <w:rsid w:val="00F40406"/>
    <w:rsid w:val="00F404B5"/>
    <w:rsid w:val="00F40519"/>
    <w:rsid w:val="00F40594"/>
    <w:rsid w:val="00F40E86"/>
    <w:rsid w:val="00F41045"/>
    <w:rsid w:val="00F41177"/>
    <w:rsid w:val="00F41522"/>
    <w:rsid w:val="00F41900"/>
    <w:rsid w:val="00F41E05"/>
    <w:rsid w:val="00F422A4"/>
    <w:rsid w:val="00F42370"/>
    <w:rsid w:val="00F425F7"/>
    <w:rsid w:val="00F42774"/>
    <w:rsid w:val="00F427F6"/>
    <w:rsid w:val="00F430DF"/>
    <w:rsid w:val="00F4321D"/>
    <w:rsid w:val="00F43260"/>
    <w:rsid w:val="00F4348E"/>
    <w:rsid w:val="00F43555"/>
    <w:rsid w:val="00F43B47"/>
    <w:rsid w:val="00F441B0"/>
    <w:rsid w:val="00F442C0"/>
    <w:rsid w:val="00F4445C"/>
    <w:rsid w:val="00F44D69"/>
    <w:rsid w:val="00F4575D"/>
    <w:rsid w:val="00F459EC"/>
    <w:rsid w:val="00F45B82"/>
    <w:rsid w:val="00F45C2E"/>
    <w:rsid w:val="00F46159"/>
    <w:rsid w:val="00F4678E"/>
    <w:rsid w:val="00F470E2"/>
    <w:rsid w:val="00F473F5"/>
    <w:rsid w:val="00F4747D"/>
    <w:rsid w:val="00F47558"/>
    <w:rsid w:val="00F4768C"/>
    <w:rsid w:val="00F47AF0"/>
    <w:rsid w:val="00F47EE5"/>
    <w:rsid w:val="00F47F24"/>
    <w:rsid w:val="00F500F9"/>
    <w:rsid w:val="00F502B1"/>
    <w:rsid w:val="00F50C9D"/>
    <w:rsid w:val="00F51045"/>
    <w:rsid w:val="00F51266"/>
    <w:rsid w:val="00F51899"/>
    <w:rsid w:val="00F5191B"/>
    <w:rsid w:val="00F51BFA"/>
    <w:rsid w:val="00F51D4C"/>
    <w:rsid w:val="00F525CD"/>
    <w:rsid w:val="00F5269D"/>
    <w:rsid w:val="00F52723"/>
    <w:rsid w:val="00F5295A"/>
    <w:rsid w:val="00F52A35"/>
    <w:rsid w:val="00F52AD7"/>
    <w:rsid w:val="00F53721"/>
    <w:rsid w:val="00F53A3D"/>
    <w:rsid w:val="00F53F29"/>
    <w:rsid w:val="00F54C55"/>
    <w:rsid w:val="00F55031"/>
    <w:rsid w:val="00F553EB"/>
    <w:rsid w:val="00F55461"/>
    <w:rsid w:val="00F559C8"/>
    <w:rsid w:val="00F55E9E"/>
    <w:rsid w:val="00F55EDF"/>
    <w:rsid w:val="00F56079"/>
    <w:rsid w:val="00F5607A"/>
    <w:rsid w:val="00F57851"/>
    <w:rsid w:val="00F57E9A"/>
    <w:rsid w:val="00F6072D"/>
    <w:rsid w:val="00F6087B"/>
    <w:rsid w:val="00F60A67"/>
    <w:rsid w:val="00F6110A"/>
    <w:rsid w:val="00F611A7"/>
    <w:rsid w:val="00F6124D"/>
    <w:rsid w:val="00F613A3"/>
    <w:rsid w:val="00F61653"/>
    <w:rsid w:val="00F6186B"/>
    <w:rsid w:val="00F61A3D"/>
    <w:rsid w:val="00F6210E"/>
    <w:rsid w:val="00F62A50"/>
    <w:rsid w:val="00F62C09"/>
    <w:rsid w:val="00F63917"/>
    <w:rsid w:val="00F63A16"/>
    <w:rsid w:val="00F63C73"/>
    <w:rsid w:val="00F6457F"/>
    <w:rsid w:val="00F64AB2"/>
    <w:rsid w:val="00F64C6F"/>
    <w:rsid w:val="00F64D29"/>
    <w:rsid w:val="00F64D95"/>
    <w:rsid w:val="00F65026"/>
    <w:rsid w:val="00F65276"/>
    <w:rsid w:val="00F65491"/>
    <w:rsid w:val="00F65D7D"/>
    <w:rsid w:val="00F65E10"/>
    <w:rsid w:val="00F66450"/>
    <w:rsid w:val="00F6647B"/>
    <w:rsid w:val="00F666DF"/>
    <w:rsid w:val="00F66A99"/>
    <w:rsid w:val="00F66C84"/>
    <w:rsid w:val="00F66F12"/>
    <w:rsid w:val="00F676AD"/>
    <w:rsid w:val="00F67B81"/>
    <w:rsid w:val="00F701BD"/>
    <w:rsid w:val="00F70261"/>
    <w:rsid w:val="00F704BB"/>
    <w:rsid w:val="00F705A7"/>
    <w:rsid w:val="00F705F0"/>
    <w:rsid w:val="00F707F6"/>
    <w:rsid w:val="00F70B04"/>
    <w:rsid w:val="00F7139E"/>
    <w:rsid w:val="00F71405"/>
    <w:rsid w:val="00F714AB"/>
    <w:rsid w:val="00F714BF"/>
    <w:rsid w:val="00F71648"/>
    <w:rsid w:val="00F7191D"/>
    <w:rsid w:val="00F71E33"/>
    <w:rsid w:val="00F721C6"/>
    <w:rsid w:val="00F728F2"/>
    <w:rsid w:val="00F73262"/>
    <w:rsid w:val="00F73366"/>
    <w:rsid w:val="00F735C3"/>
    <w:rsid w:val="00F739EF"/>
    <w:rsid w:val="00F741AF"/>
    <w:rsid w:val="00F741B5"/>
    <w:rsid w:val="00F742D9"/>
    <w:rsid w:val="00F7451A"/>
    <w:rsid w:val="00F74555"/>
    <w:rsid w:val="00F7526E"/>
    <w:rsid w:val="00F7526F"/>
    <w:rsid w:val="00F75315"/>
    <w:rsid w:val="00F7575F"/>
    <w:rsid w:val="00F75F05"/>
    <w:rsid w:val="00F763DE"/>
    <w:rsid w:val="00F764C7"/>
    <w:rsid w:val="00F76622"/>
    <w:rsid w:val="00F76BC4"/>
    <w:rsid w:val="00F76C5E"/>
    <w:rsid w:val="00F76CB9"/>
    <w:rsid w:val="00F76E72"/>
    <w:rsid w:val="00F76F7B"/>
    <w:rsid w:val="00F770A6"/>
    <w:rsid w:val="00F7719B"/>
    <w:rsid w:val="00F77AF2"/>
    <w:rsid w:val="00F800AA"/>
    <w:rsid w:val="00F80367"/>
    <w:rsid w:val="00F80665"/>
    <w:rsid w:val="00F806FF"/>
    <w:rsid w:val="00F80892"/>
    <w:rsid w:val="00F808B2"/>
    <w:rsid w:val="00F8106D"/>
    <w:rsid w:val="00F810A0"/>
    <w:rsid w:val="00F81128"/>
    <w:rsid w:val="00F81425"/>
    <w:rsid w:val="00F81845"/>
    <w:rsid w:val="00F818A3"/>
    <w:rsid w:val="00F81C8C"/>
    <w:rsid w:val="00F81DFB"/>
    <w:rsid w:val="00F8218F"/>
    <w:rsid w:val="00F8239C"/>
    <w:rsid w:val="00F82809"/>
    <w:rsid w:val="00F82859"/>
    <w:rsid w:val="00F82B4A"/>
    <w:rsid w:val="00F82E72"/>
    <w:rsid w:val="00F82EFC"/>
    <w:rsid w:val="00F83074"/>
    <w:rsid w:val="00F83976"/>
    <w:rsid w:val="00F83B29"/>
    <w:rsid w:val="00F83BC0"/>
    <w:rsid w:val="00F845C7"/>
    <w:rsid w:val="00F84665"/>
    <w:rsid w:val="00F848F1"/>
    <w:rsid w:val="00F84C40"/>
    <w:rsid w:val="00F84CA2"/>
    <w:rsid w:val="00F84DBA"/>
    <w:rsid w:val="00F84E3B"/>
    <w:rsid w:val="00F851DF"/>
    <w:rsid w:val="00F85C83"/>
    <w:rsid w:val="00F85E1C"/>
    <w:rsid w:val="00F86167"/>
    <w:rsid w:val="00F862B9"/>
    <w:rsid w:val="00F86961"/>
    <w:rsid w:val="00F86CF9"/>
    <w:rsid w:val="00F86CFF"/>
    <w:rsid w:val="00F86DAA"/>
    <w:rsid w:val="00F86F05"/>
    <w:rsid w:val="00F86FF7"/>
    <w:rsid w:val="00F874D1"/>
    <w:rsid w:val="00F87543"/>
    <w:rsid w:val="00F877FF"/>
    <w:rsid w:val="00F87D5C"/>
    <w:rsid w:val="00F87E44"/>
    <w:rsid w:val="00F90A0C"/>
    <w:rsid w:val="00F91271"/>
    <w:rsid w:val="00F912DD"/>
    <w:rsid w:val="00F91445"/>
    <w:rsid w:val="00F91C56"/>
    <w:rsid w:val="00F92724"/>
    <w:rsid w:val="00F9292A"/>
    <w:rsid w:val="00F9292D"/>
    <w:rsid w:val="00F92935"/>
    <w:rsid w:val="00F92C63"/>
    <w:rsid w:val="00F92F6A"/>
    <w:rsid w:val="00F9334F"/>
    <w:rsid w:val="00F936DF"/>
    <w:rsid w:val="00F9398B"/>
    <w:rsid w:val="00F93CCE"/>
    <w:rsid w:val="00F942FA"/>
    <w:rsid w:val="00F9451A"/>
    <w:rsid w:val="00F945FD"/>
    <w:rsid w:val="00F94860"/>
    <w:rsid w:val="00F94F83"/>
    <w:rsid w:val="00F9539D"/>
    <w:rsid w:val="00F95403"/>
    <w:rsid w:val="00F95646"/>
    <w:rsid w:val="00F9568E"/>
    <w:rsid w:val="00F95693"/>
    <w:rsid w:val="00F956EF"/>
    <w:rsid w:val="00F95824"/>
    <w:rsid w:val="00F95875"/>
    <w:rsid w:val="00F95C10"/>
    <w:rsid w:val="00F95C2B"/>
    <w:rsid w:val="00F95CDE"/>
    <w:rsid w:val="00F963F1"/>
    <w:rsid w:val="00F9641A"/>
    <w:rsid w:val="00F9652E"/>
    <w:rsid w:val="00F966E9"/>
    <w:rsid w:val="00F96E41"/>
    <w:rsid w:val="00F96E6F"/>
    <w:rsid w:val="00F97069"/>
    <w:rsid w:val="00F9759B"/>
    <w:rsid w:val="00F97692"/>
    <w:rsid w:val="00F9776F"/>
    <w:rsid w:val="00F97788"/>
    <w:rsid w:val="00F979C2"/>
    <w:rsid w:val="00F97B6F"/>
    <w:rsid w:val="00FA0203"/>
    <w:rsid w:val="00FA0608"/>
    <w:rsid w:val="00FA0A7C"/>
    <w:rsid w:val="00FA0B7B"/>
    <w:rsid w:val="00FA0E40"/>
    <w:rsid w:val="00FA1737"/>
    <w:rsid w:val="00FA17CB"/>
    <w:rsid w:val="00FA28E4"/>
    <w:rsid w:val="00FA2F17"/>
    <w:rsid w:val="00FA3138"/>
    <w:rsid w:val="00FA327F"/>
    <w:rsid w:val="00FA33EF"/>
    <w:rsid w:val="00FA3811"/>
    <w:rsid w:val="00FA3B5C"/>
    <w:rsid w:val="00FA3D5E"/>
    <w:rsid w:val="00FA488A"/>
    <w:rsid w:val="00FA48C7"/>
    <w:rsid w:val="00FA4C2C"/>
    <w:rsid w:val="00FA5318"/>
    <w:rsid w:val="00FA55EA"/>
    <w:rsid w:val="00FA56A2"/>
    <w:rsid w:val="00FA5725"/>
    <w:rsid w:val="00FA5947"/>
    <w:rsid w:val="00FA59B1"/>
    <w:rsid w:val="00FA5A96"/>
    <w:rsid w:val="00FA5D74"/>
    <w:rsid w:val="00FA5EBA"/>
    <w:rsid w:val="00FA5EDB"/>
    <w:rsid w:val="00FA6260"/>
    <w:rsid w:val="00FA6F84"/>
    <w:rsid w:val="00FA7267"/>
    <w:rsid w:val="00FA728E"/>
    <w:rsid w:val="00FA73DD"/>
    <w:rsid w:val="00FA7464"/>
    <w:rsid w:val="00FA7675"/>
    <w:rsid w:val="00FA77BA"/>
    <w:rsid w:val="00FB0432"/>
    <w:rsid w:val="00FB0637"/>
    <w:rsid w:val="00FB0665"/>
    <w:rsid w:val="00FB0742"/>
    <w:rsid w:val="00FB0AF4"/>
    <w:rsid w:val="00FB0E77"/>
    <w:rsid w:val="00FB13C9"/>
    <w:rsid w:val="00FB14B9"/>
    <w:rsid w:val="00FB1808"/>
    <w:rsid w:val="00FB191E"/>
    <w:rsid w:val="00FB1C41"/>
    <w:rsid w:val="00FB2174"/>
    <w:rsid w:val="00FB2A19"/>
    <w:rsid w:val="00FB2BAF"/>
    <w:rsid w:val="00FB2BD1"/>
    <w:rsid w:val="00FB328F"/>
    <w:rsid w:val="00FB393C"/>
    <w:rsid w:val="00FB3E5A"/>
    <w:rsid w:val="00FB3FE9"/>
    <w:rsid w:val="00FB4192"/>
    <w:rsid w:val="00FB4378"/>
    <w:rsid w:val="00FB4522"/>
    <w:rsid w:val="00FB4A06"/>
    <w:rsid w:val="00FB4BBA"/>
    <w:rsid w:val="00FB4D14"/>
    <w:rsid w:val="00FB5350"/>
    <w:rsid w:val="00FB53B8"/>
    <w:rsid w:val="00FB55DF"/>
    <w:rsid w:val="00FB55ED"/>
    <w:rsid w:val="00FB573E"/>
    <w:rsid w:val="00FB658E"/>
    <w:rsid w:val="00FB6823"/>
    <w:rsid w:val="00FB6899"/>
    <w:rsid w:val="00FB6EA5"/>
    <w:rsid w:val="00FB6FFE"/>
    <w:rsid w:val="00FB725A"/>
    <w:rsid w:val="00FB735F"/>
    <w:rsid w:val="00FB76A8"/>
    <w:rsid w:val="00FB7826"/>
    <w:rsid w:val="00FB79D6"/>
    <w:rsid w:val="00FB7BCD"/>
    <w:rsid w:val="00FB7C94"/>
    <w:rsid w:val="00FC01F2"/>
    <w:rsid w:val="00FC0348"/>
    <w:rsid w:val="00FC04E7"/>
    <w:rsid w:val="00FC05A1"/>
    <w:rsid w:val="00FC0677"/>
    <w:rsid w:val="00FC06A3"/>
    <w:rsid w:val="00FC0817"/>
    <w:rsid w:val="00FC08E9"/>
    <w:rsid w:val="00FC0CE2"/>
    <w:rsid w:val="00FC0E52"/>
    <w:rsid w:val="00FC19F8"/>
    <w:rsid w:val="00FC1C56"/>
    <w:rsid w:val="00FC1E88"/>
    <w:rsid w:val="00FC228F"/>
    <w:rsid w:val="00FC2871"/>
    <w:rsid w:val="00FC297A"/>
    <w:rsid w:val="00FC2B72"/>
    <w:rsid w:val="00FC2C3B"/>
    <w:rsid w:val="00FC2FFB"/>
    <w:rsid w:val="00FC379B"/>
    <w:rsid w:val="00FC3912"/>
    <w:rsid w:val="00FC3B19"/>
    <w:rsid w:val="00FC3C36"/>
    <w:rsid w:val="00FC3E46"/>
    <w:rsid w:val="00FC43B2"/>
    <w:rsid w:val="00FC4402"/>
    <w:rsid w:val="00FC48B4"/>
    <w:rsid w:val="00FC48E6"/>
    <w:rsid w:val="00FC4F38"/>
    <w:rsid w:val="00FC5458"/>
    <w:rsid w:val="00FC56CF"/>
    <w:rsid w:val="00FC5ACF"/>
    <w:rsid w:val="00FC63EC"/>
    <w:rsid w:val="00FC6459"/>
    <w:rsid w:val="00FC6A71"/>
    <w:rsid w:val="00FC6B65"/>
    <w:rsid w:val="00FC6D5E"/>
    <w:rsid w:val="00FC6EDD"/>
    <w:rsid w:val="00FC7069"/>
    <w:rsid w:val="00FC719D"/>
    <w:rsid w:val="00FC76CD"/>
    <w:rsid w:val="00FC780B"/>
    <w:rsid w:val="00FC7989"/>
    <w:rsid w:val="00FC7A1A"/>
    <w:rsid w:val="00FC7D2F"/>
    <w:rsid w:val="00FC7E1C"/>
    <w:rsid w:val="00FD0069"/>
    <w:rsid w:val="00FD03E9"/>
    <w:rsid w:val="00FD04AA"/>
    <w:rsid w:val="00FD0541"/>
    <w:rsid w:val="00FD0929"/>
    <w:rsid w:val="00FD0996"/>
    <w:rsid w:val="00FD0BE7"/>
    <w:rsid w:val="00FD0D7D"/>
    <w:rsid w:val="00FD10AB"/>
    <w:rsid w:val="00FD1188"/>
    <w:rsid w:val="00FD14BB"/>
    <w:rsid w:val="00FD1550"/>
    <w:rsid w:val="00FD18E3"/>
    <w:rsid w:val="00FD194C"/>
    <w:rsid w:val="00FD19C5"/>
    <w:rsid w:val="00FD1B75"/>
    <w:rsid w:val="00FD1E5A"/>
    <w:rsid w:val="00FD22C8"/>
    <w:rsid w:val="00FD2490"/>
    <w:rsid w:val="00FD25C5"/>
    <w:rsid w:val="00FD27B8"/>
    <w:rsid w:val="00FD3067"/>
    <w:rsid w:val="00FD3081"/>
    <w:rsid w:val="00FD322B"/>
    <w:rsid w:val="00FD3DF4"/>
    <w:rsid w:val="00FD42D1"/>
    <w:rsid w:val="00FD4369"/>
    <w:rsid w:val="00FD4396"/>
    <w:rsid w:val="00FD473F"/>
    <w:rsid w:val="00FD4920"/>
    <w:rsid w:val="00FD49D5"/>
    <w:rsid w:val="00FD50C4"/>
    <w:rsid w:val="00FD50D4"/>
    <w:rsid w:val="00FD5105"/>
    <w:rsid w:val="00FD55D8"/>
    <w:rsid w:val="00FD6155"/>
    <w:rsid w:val="00FD65BB"/>
    <w:rsid w:val="00FD6606"/>
    <w:rsid w:val="00FD686B"/>
    <w:rsid w:val="00FD6A4C"/>
    <w:rsid w:val="00FD6A86"/>
    <w:rsid w:val="00FD6D3E"/>
    <w:rsid w:val="00FD6D91"/>
    <w:rsid w:val="00FD716D"/>
    <w:rsid w:val="00FD7192"/>
    <w:rsid w:val="00FD757D"/>
    <w:rsid w:val="00FD78FD"/>
    <w:rsid w:val="00FD79D4"/>
    <w:rsid w:val="00FE01D6"/>
    <w:rsid w:val="00FE0634"/>
    <w:rsid w:val="00FE0AC5"/>
    <w:rsid w:val="00FE0B46"/>
    <w:rsid w:val="00FE0CA0"/>
    <w:rsid w:val="00FE0D26"/>
    <w:rsid w:val="00FE0E98"/>
    <w:rsid w:val="00FE0F0F"/>
    <w:rsid w:val="00FE0F60"/>
    <w:rsid w:val="00FE0FA6"/>
    <w:rsid w:val="00FE10ED"/>
    <w:rsid w:val="00FE156A"/>
    <w:rsid w:val="00FE1745"/>
    <w:rsid w:val="00FE17AA"/>
    <w:rsid w:val="00FE1FA5"/>
    <w:rsid w:val="00FE2058"/>
    <w:rsid w:val="00FE2250"/>
    <w:rsid w:val="00FE2470"/>
    <w:rsid w:val="00FE2669"/>
    <w:rsid w:val="00FE26FA"/>
    <w:rsid w:val="00FE2E61"/>
    <w:rsid w:val="00FE2F75"/>
    <w:rsid w:val="00FE3090"/>
    <w:rsid w:val="00FE322B"/>
    <w:rsid w:val="00FE3441"/>
    <w:rsid w:val="00FE3A96"/>
    <w:rsid w:val="00FE3B53"/>
    <w:rsid w:val="00FE3E03"/>
    <w:rsid w:val="00FE3FC7"/>
    <w:rsid w:val="00FE42E9"/>
    <w:rsid w:val="00FE450F"/>
    <w:rsid w:val="00FE4711"/>
    <w:rsid w:val="00FE495E"/>
    <w:rsid w:val="00FE49CD"/>
    <w:rsid w:val="00FE4D76"/>
    <w:rsid w:val="00FE4F6F"/>
    <w:rsid w:val="00FE540E"/>
    <w:rsid w:val="00FE547C"/>
    <w:rsid w:val="00FE5574"/>
    <w:rsid w:val="00FE558D"/>
    <w:rsid w:val="00FE5823"/>
    <w:rsid w:val="00FE5899"/>
    <w:rsid w:val="00FE5B1C"/>
    <w:rsid w:val="00FE5BD1"/>
    <w:rsid w:val="00FE6678"/>
    <w:rsid w:val="00FE6CCB"/>
    <w:rsid w:val="00FE704B"/>
    <w:rsid w:val="00FE70F3"/>
    <w:rsid w:val="00FE754A"/>
    <w:rsid w:val="00FE760B"/>
    <w:rsid w:val="00FE7785"/>
    <w:rsid w:val="00FE7842"/>
    <w:rsid w:val="00FE7CCC"/>
    <w:rsid w:val="00FE7FD2"/>
    <w:rsid w:val="00FF00B4"/>
    <w:rsid w:val="00FF01B0"/>
    <w:rsid w:val="00FF062A"/>
    <w:rsid w:val="00FF0762"/>
    <w:rsid w:val="00FF0833"/>
    <w:rsid w:val="00FF09E8"/>
    <w:rsid w:val="00FF0C50"/>
    <w:rsid w:val="00FF0C7B"/>
    <w:rsid w:val="00FF0FC1"/>
    <w:rsid w:val="00FF1159"/>
    <w:rsid w:val="00FF1C41"/>
    <w:rsid w:val="00FF1D1B"/>
    <w:rsid w:val="00FF1D85"/>
    <w:rsid w:val="00FF1E0D"/>
    <w:rsid w:val="00FF29F4"/>
    <w:rsid w:val="00FF2B6B"/>
    <w:rsid w:val="00FF2EAB"/>
    <w:rsid w:val="00FF336D"/>
    <w:rsid w:val="00FF341B"/>
    <w:rsid w:val="00FF3470"/>
    <w:rsid w:val="00FF362B"/>
    <w:rsid w:val="00FF366B"/>
    <w:rsid w:val="00FF3A1C"/>
    <w:rsid w:val="00FF3AFD"/>
    <w:rsid w:val="00FF3EF5"/>
    <w:rsid w:val="00FF4150"/>
    <w:rsid w:val="00FF4E84"/>
    <w:rsid w:val="00FF550F"/>
    <w:rsid w:val="00FF5607"/>
    <w:rsid w:val="00FF599F"/>
    <w:rsid w:val="00FF5CA6"/>
    <w:rsid w:val="00FF5F35"/>
    <w:rsid w:val="00FF6109"/>
    <w:rsid w:val="00FF642B"/>
    <w:rsid w:val="00FF64FB"/>
    <w:rsid w:val="00FF6812"/>
    <w:rsid w:val="00FF6B16"/>
    <w:rsid w:val="00FF6D22"/>
    <w:rsid w:val="00FF74F4"/>
    <w:rsid w:val="00FF7522"/>
    <w:rsid w:val="00FF77B5"/>
    <w:rsid w:val="00FF7888"/>
    <w:rsid w:val="00FF78B1"/>
    <w:rsid w:val="00FF7A34"/>
    <w:rsid w:val="00FF7CC0"/>
    <w:rsid w:val="00FF7FA0"/>
    <w:rsid w:val="01050B1C"/>
    <w:rsid w:val="01135950"/>
    <w:rsid w:val="012446F6"/>
    <w:rsid w:val="0127533C"/>
    <w:rsid w:val="01313B7F"/>
    <w:rsid w:val="01374E54"/>
    <w:rsid w:val="01483BCD"/>
    <w:rsid w:val="014D02BA"/>
    <w:rsid w:val="016D6D8D"/>
    <w:rsid w:val="01822573"/>
    <w:rsid w:val="01883901"/>
    <w:rsid w:val="01A54AC7"/>
    <w:rsid w:val="01B6773D"/>
    <w:rsid w:val="01BD0B56"/>
    <w:rsid w:val="01BD3F1D"/>
    <w:rsid w:val="01C33295"/>
    <w:rsid w:val="01C7267B"/>
    <w:rsid w:val="01C86E5C"/>
    <w:rsid w:val="01CA216C"/>
    <w:rsid w:val="01CE3A0A"/>
    <w:rsid w:val="01CF32DE"/>
    <w:rsid w:val="01E33D23"/>
    <w:rsid w:val="01E5270E"/>
    <w:rsid w:val="02001FEA"/>
    <w:rsid w:val="02096717"/>
    <w:rsid w:val="02190EA9"/>
    <w:rsid w:val="02313300"/>
    <w:rsid w:val="023C2450"/>
    <w:rsid w:val="02421152"/>
    <w:rsid w:val="02486C9B"/>
    <w:rsid w:val="02493090"/>
    <w:rsid w:val="024A56FE"/>
    <w:rsid w:val="024C2805"/>
    <w:rsid w:val="02511F45"/>
    <w:rsid w:val="02674F74"/>
    <w:rsid w:val="026877B8"/>
    <w:rsid w:val="026B44A1"/>
    <w:rsid w:val="026C5510"/>
    <w:rsid w:val="026F264D"/>
    <w:rsid w:val="02704AC1"/>
    <w:rsid w:val="027B3650"/>
    <w:rsid w:val="028306B9"/>
    <w:rsid w:val="02860FCA"/>
    <w:rsid w:val="02935372"/>
    <w:rsid w:val="029C1412"/>
    <w:rsid w:val="02A17CAE"/>
    <w:rsid w:val="02BE0622"/>
    <w:rsid w:val="02BE7E2E"/>
    <w:rsid w:val="02C733AE"/>
    <w:rsid w:val="02E144D4"/>
    <w:rsid w:val="02E9710A"/>
    <w:rsid w:val="0321050F"/>
    <w:rsid w:val="03215443"/>
    <w:rsid w:val="03240E72"/>
    <w:rsid w:val="03295023"/>
    <w:rsid w:val="032C7F5F"/>
    <w:rsid w:val="032D7E7D"/>
    <w:rsid w:val="0330205D"/>
    <w:rsid w:val="034C2738"/>
    <w:rsid w:val="034C2D52"/>
    <w:rsid w:val="03522F71"/>
    <w:rsid w:val="036665D0"/>
    <w:rsid w:val="037316D0"/>
    <w:rsid w:val="03764221"/>
    <w:rsid w:val="037979A5"/>
    <w:rsid w:val="037C136A"/>
    <w:rsid w:val="037C35DF"/>
    <w:rsid w:val="038242C4"/>
    <w:rsid w:val="038A7E08"/>
    <w:rsid w:val="038C67D0"/>
    <w:rsid w:val="038E6A80"/>
    <w:rsid w:val="03B43F80"/>
    <w:rsid w:val="03BC7B92"/>
    <w:rsid w:val="03C34D47"/>
    <w:rsid w:val="03C65213"/>
    <w:rsid w:val="03D1333D"/>
    <w:rsid w:val="03D841AA"/>
    <w:rsid w:val="03DA616D"/>
    <w:rsid w:val="03E12037"/>
    <w:rsid w:val="03EC469E"/>
    <w:rsid w:val="042C75F9"/>
    <w:rsid w:val="0432735E"/>
    <w:rsid w:val="04365896"/>
    <w:rsid w:val="0456062C"/>
    <w:rsid w:val="04596BEA"/>
    <w:rsid w:val="045B05A0"/>
    <w:rsid w:val="046A014A"/>
    <w:rsid w:val="046A0D0C"/>
    <w:rsid w:val="047343F5"/>
    <w:rsid w:val="04741A11"/>
    <w:rsid w:val="04807DC0"/>
    <w:rsid w:val="048D65A3"/>
    <w:rsid w:val="0491110B"/>
    <w:rsid w:val="04956871"/>
    <w:rsid w:val="049C62CE"/>
    <w:rsid w:val="04A30B28"/>
    <w:rsid w:val="04B213C1"/>
    <w:rsid w:val="04B35139"/>
    <w:rsid w:val="04B652BC"/>
    <w:rsid w:val="04BB7313"/>
    <w:rsid w:val="04C5798F"/>
    <w:rsid w:val="04E53EFF"/>
    <w:rsid w:val="04EB13B0"/>
    <w:rsid w:val="04F83525"/>
    <w:rsid w:val="05190E98"/>
    <w:rsid w:val="051C17F5"/>
    <w:rsid w:val="052B5C65"/>
    <w:rsid w:val="052E1F38"/>
    <w:rsid w:val="05340533"/>
    <w:rsid w:val="054963A1"/>
    <w:rsid w:val="05643AFA"/>
    <w:rsid w:val="057A0870"/>
    <w:rsid w:val="057D131F"/>
    <w:rsid w:val="057D3858"/>
    <w:rsid w:val="058768CB"/>
    <w:rsid w:val="058B47CE"/>
    <w:rsid w:val="05A056BD"/>
    <w:rsid w:val="05A308A0"/>
    <w:rsid w:val="05AD2791"/>
    <w:rsid w:val="05B64C4F"/>
    <w:rsid w:val="05D37841"/>
    <w:rsid w:val="05E03CD4"/>
    <w:rsid w:val="05E57F6A"/>
    <w:rsid w:val="05FD666C"/>
    <w:rsid w:val="060A2B37"/>
    <w:rsid w:val="061022BE"/>
    <w:rsid w:val="06141C07"/>
    <w:rsid w:val="0628671E"/>
    <w:rsid w:val="062B7EF1"/>
    <w:rsid w:val="06461E34"/>
    <w:rsid w:val="06533DE6"/>
    <w:rsid w:val="06555145"/>
    <w:rsid w:val="0660692B"/>
    <w:rsid w:val="0661324D"/>
    <w:rsid w:val="066427DB"/>
    <w:rsid w:val="066D366C"/>
    <w:rsid w:val="06734EE4"/>
    <w:rsid w:val="068C1176"/>
    <w:rsid w:val="0694120F"/>
    <w:rsid w:val="069B0BC5"/>
    <w:rsid w:val="06A46B03"/>
    <w:rsid w:val="06A55A51"/>
    <w:rsid w:val="06C13744"/>
    <w:rsid w:val="06C61153"/>
    <w:rsid w:val="06CA5B09"/>
    <w:rsid w:val="06CC0A53"/>
    <w:rsid w:val="06D1048B"/>
    <w:rsid w:val="06E93E78"/>
    <w:rsid w:val="06FA2D30"/>
    <w:rsid w:val="06FB0409"/>
    <w:rsid w:val="06FC7440"/>
    <w:rsid w:val="06FF2B5E"/>
    <w:rsid w:val="07105195"/>
    <w:rsid w:val="07123BF3"/>
    <w:rsid w:val="07181283"/>
    <w:rsid w:val="0718709F"/>
    <w:rsid w:val="071A2D7B"/>
    <w:rsid w:val="071F16D1"/>
    <w:rsid w:val="073D17CF"/>
    <w:rsid w:val="0752035E"/>
    <w:rsid w:val="07580347"/>
    <w:rsid w:val="0768045D"/>
    <w:rsid w:val="07710E94"/>
    <w:rsid w:val="07780848"/>
    <w:rsid w:val="0779534F"/>
    <w:rsid w:val="077E0AE9"/>
    <w:rsid w:val="078A21B3"/>
    <w:rsid w:val="07B423BD"/>
    <w:rsid w:val="07BF01CB"/>
    <w:rsid w:val="07C3740D"/>
    <w:rsid w:val="07C81A8B"/>
    <w:rsid w:val="07DB000F"/>
    <w:rsid w:val="07F332A0"/>
    <w:rsid w:val="07FB67F7"/>
    <w:rsid w:val="08011D7A"/>
    <w:rsid w:val="08067C59"/>
    <w:rsid w:val="080C08C6"/>
    <w:rsid w:val="081128A2"/>
    <w:rsid w:val="0837258D"/>
    <w:rsid w:val="084326D3"/>
    <w:rsid w:val="08457A88"/>
    <w:rsid w:val="08463A02"/>
    <w:rsid w:val="085C6693"/>
    <w:rsid w:val="08616FD4"/>
    <w:rsid w:val="0869448C"/>
    <w:rsid w:val="086C6B64"/>
    <w:rsid w:val="088A42A7"/>
    <w:rsid w:val="088D60A5"/>
    <w:rsid w:val="08914317"/>
    <w:rsid w:val="08A32222"/>
    <w:rsid w:val="08A7106F"/>
    <w:rsid w:val="08AD5A82"/>
    <w:rsid w:val="08BE0023"/>
    <w:rsid w:val="08C37481"/>
    <w:rsid w:val="08D12032"/>
    <w:rsid w:val="08E13E00"/>
    <w:rsid w:val="08E92ED7"/>
    <w:rsid w:val="08FB2386"/>
    <w:rsid w:val="0900105C"/>
    <w:rsid w:val="093F0D3A"/>
    <w:rsid w:val="09491785"/>
    <w:rsid w:val="094940F5"/>
    <w:rsid w:val="094D3A58"/>
    <w:rsid w:val="095371C2"/>
    <w:rsid w:val="096739E7"/>
    <w:rsid w:val="09811362"/>
    <w:rsid w:val="098A46BA"/>
    <w:rsid w:val="098C2D20"/>
    <w:rsid w:val="098F0A6D"/>
    <w:rsid w:val="099D0853"/>
    <w:rsid w:val="09B1006D"/>
    <w:rsid w:val="09C01C6D"/>
    <w:rsid w:val="09C311CC"/>
    <w:rsid w:val="09C47829"/>
    <w:rsid w:val="09C70868"/>
    <w:rsid w:val="09DA2AE1"/>
    <w:rsid w:val="09E0567E"/>
    <w:rsid w:val="09F578BD"/>
    <w:rsid w:val="09F77D7D"/>
    <w:rsid w:val="0A170B5B"/>
    <w:rsid w:val="0A2D3298"/>
    <w:rsid w:val="0A36039E"/>
    <w:rsid w:val="0A39397B"/>
    <w:rsid w:val="0A684972"/>
    <w:rsid w:val="0A6F5483"/>
    <w:rsid w:val="0A706A36"/>
    <w:rsid w:val="0A7E3981"/>
    <w:rsid w:val="0A8F70D7"/>
    <w:rsid w:val="0A965E05"/>
    <w:rsid w:val="0A9D16B2"/>
    <w:rsid w:val="0AA3208E"/>
    <w:rsid w:val="0AB473D4"/>
    <w:rsid w:val="0ACF51C8"/>
    <w:rsid w:val="0AE3692D"/>
    <w:rsid w:val="0B041993"/>
    <w:rsid w:val="0B080638"/>
    <w:rsid w:val="0B0B5C34"/>
    <w:rsid w:val="0B106E41"/>
    <w:rsid w:val="0B1D3933"/>
    <w:rsid w:val="0B1E47A6"/>
    <w:rsid w:val="0B2648F2"/>
    <w:rsid w:val="0B2D02D1"/>
    <w:rsid w:val="0B3127DA"/>
    <w:rsid w:val="0B354034"/>
    <w:rsid w:val="0B426472"/>
    <w:rsid w:val="0B481904"/>
    <w:rsid w:val="0B4F7548"/>
    <w:rsid w:val="0B5239B3"/>
    <w:rsid w:val="0B5C6765"/>
    <w:rsid w:val="0B624113"/>
    <w:rsid w:val="0B6A3A6E"/>
    <w:rsid w:val="0B6B4ECE"/>
    <w:rsid w:val="0B7E56AE"/>
    <w:rsid w:val="0B971310"/>
    <w:rsid w:val="0BAD584F"/>
    <w:rsid w:val="0BB10EF3"/>
    <w:rsid w:val="0BB13DE9"/>
    <w:rsid w:val="0BBA5444"/>
    <w:rsid w:val="0BC84C9D"/>
    <w:rsid w:val="0BDA50F9"/>
    <w:rsid w:val="0BE43ACC"/>
    <w:rsid w:val="0BF30E43"/>
    <w:rsid w:val="0BF73B5D"/>
    <w:rsid w:val="0C2B1A5A"/>
    <w:rsid w:val="0C367C3A"/>
    <w:rsid w:val="0C522133"/>
    <w:rsid w:val="0C591627"/>
    <w:rsid w:val="0C6D0574"/>
    <w:rsid w:val="0C782EF0"/>
    <w:rsid w:val="0C7C6A0E"/>
    <w:rsid w:val="0C840CC8"/>
    <w:rsid w:val="0C8F46DD"/>
    <w:rsid w:val="0C9874C3"/>
    <w:rsid w:val="0CB63A18"/>
    <w:rsid w:val="0CC21DC8"/>
    <w:rsid w:val="0CC2294A"/>
    <w:rsid w:val="0CC36E1D"/>
    <w:rsid w:val="0CE05FFC"/>
    <w:rsid w:val="0CE64B50"/>
    <w:rsid w:val="0CEC5053"/>
    <w:rsid w:val="0D042E0A"/>
    <w:rsid w:val="0D0758F2"/>
    <w:rsid w:val="0D19320D"/>
    <w:rsid w:val="0D1C7D1F"/>
    <w:rsid w:val="0D234620"/>
    <w:rsid w:val="0D322DA4"/>
    <w:rsid w:val="0D5B4BF8"/>
    <w:rsid w:val="0D7B5711"/>
    <w:rsid w:val="0D8747CA"/>
    <w:rsid w:val="0D96054D"/>
    <w:rsid w:val="0DA43871"/>
    <w:rsid w:val="0DAC0AF7"/>
    <w:rsid w:val="0DB163DF"/>
    <w:rsid w:val="0DBC6E0C"/>
    <w:rsid w:val="0DDE3227"/>
    <w:rsid w:val="0DDF43E6"/>
    <w:rsid w:val="0E051CCB"/>
    <w:rsid w:val="0E0C6C52"/>
    <w:rsid w:val="0E0F6328"/>
    <w:rsid w:val="0E167AA4"/>
    <w:rsid w:val="0E5D50F9"/>
    <w:rsid w:val="0E63197E"/>
    <w:rsid w:val="0E822C2E"/>
    <w:rsid w:val="0EAB14D5"/>
    <w:rsid w:val="0EC030A0"/>
    <w:rsid w:val="0EC2127C"/>
    <w:rsid w:val="0ECA37AB"/>
    <w:rsid w:val="0ED67E42"/>
    <w:rsid w:val="0EDD20F3"/>
    <w:rsid w:val="0EEF508F"/>
    <w:rsid w:val="0F2151FF"/>
    <w:rsid w:val="0F3C555D"/>
    <w:rsid w:val="0F440681"/>
    <w:rsid w:val="0F4B30B0"/>
    <w:rsid w:val="0F4D12E7"/>
    <w:rsid w:val="0F5F135D"/>
    <w:rsid w:val="0F6A6695"/>
    <w:rsid w:val="0F6D06F9"/>
    <w:rsid w:val="0F6E5F2E"/>
    <w:rsid w:val="0F76748F"/>
    <w:rsid w:val="0F786F25"/>
    <w:rsid w:val="0F802482"/>
    <w:rsid w:val="0FB279D7"/>
    <w:rsid w:val="0FC87CEA"/>
    <w:rsid w:val="0FD83BE4"/>
    <w:rsid w:val="0FE0379B"/>
    <w:rsid w:val="0FE061B1"/>
    <w:rsid w:val="0FF1437A"/>
    <w:rsid w:val="0FF33C51"/>
    <w:rsid w:val="1002080B"/>
    <w:rsid w:val="100631DC"/>
    <w:rsid w:val="100C460B"/>
    <w:rsid w:val="102578C6"/>
    <w:rsid w:val="10472A9F"/>
    <w:rsid w:val="1052632A"/>
    <w:rsid w:val="10653977"/>
    <w:rsid w:val="106E6581"/>
    <w:rsid w:val="10876B53"/>
    <w:rsid w:val="1090632E"/>
    <w:rsid w:val="1094030E"/>
    <w:rsid w:val="109450EE"/>
    <w:rsid w:val="10BD6332"/>
    <w:rsid w:val="10BF6D95"/>
    <w:rsid w:val="10E52842"/>
    <w:rsid w:val="10F22195"/>
    <w:rsid w:val="110758D4"/>
    <w:rsid w:val="11127485"/>
    <w:rsid w:val="11281182"/>
    <w:rsid w:val="11460C76"/>
    <w:rsid w:val="11480214"/>
    <w:rsid w:val="11522AAC"/>
    <w:rsid w:val="1163217B"/>
    <w:rsid w:val="1172613A"/>
    <w:rsid w:val="11763776"/>
    <w:rsid w:val="117E7631"/>
    <w:rsid w:val="11847C41"/>
    <w:rsid w:val="118607E5"/>
    <w:rsid w:val="119864D7"/>
    <w:rsid w:val="119C6E23"/>
    <w:rsid w:val="11A345CD"/>
    <w:rsid w:val="11BE6D7D"/>
    <w:rsid w:val="11CC55F5"/>
    <w:rsid w:val="11D24E50"/>
    <w:rsid w:val="11D75C84"/>
    <w:rsid w:val="11E60B10"/>
    <w:rsid w:val="11EE4B5A"/>
    <w:rsid w:val="11F5004A"/>
    <w:rsid w:val="12046D2D"/>
    <w:rsid w:val="1217599D"/>
    <w:rsid w:val="122A6EB1"/>
    <w:rsid w:val="122D6661"/>
    <w:rsid w:val="123443CA"/>
    <w:rsid w:val="12422C16"/>
    <w:rsid w:val="12425838"/>
    <w:rsid w:val="124D56CF"/>
    <w:rsid w:val="126D121E"/>
    <w:rsid w:val="126D2DCB"/>
    <w:rsid w:val="12734BCA"/>
    <w:rsid w:val="12775109"/>
    <w:rsid w:val="127C428B"/>
    <w:rsid w:val="12824424"/>
    <w:rsid w:val="12942BED"/>
    <w:rsid w:val="12960AE8"/>
    <w:rsid w:val="129E532F"/>
    <w:rsid w:val="12AA512C"/>
    <w:rsid w:val="12B02035"/>
    <w:rsid w:val="12B87B60"/>
    <w:rsid w:val="12C1179F"/>
    <w:rsid w:val="12D313B7"/>
    <w:rsid w:val="12DD16AE"/>
    <w:rsid w:val="12E86AD0"/>
    <w:rsid w:val="12EA5CDF"/>
    <w:rsid w:val="12EB06E3"/>
    <w:rsid w:val="12F14026"/>
    <w:rsid w:val="12F348D5"/>
    <w:rsid w:val="12F74641"/>
    <w:rsid w:val="13054DB2"/>
    <w:rsid w:val="133C2EA4"/>
    <w:rsid w:val="134E4BA6"/>
    <w:rsid w:val="13601F85"/>
    <w:rsid w:val="136A557F"/>
    <w:rsid w:val="139C3CDC"/>
    <w:rsid w:val="13AB6B50"/>
    <w:rsid w:val="13CE5F77"/>
    <w:rsid w:val="13DF1AED"/>
    <w:rsid w:val="13E5363F"/>
    <w:rsid w:val="13F957A3"/>
    <w:rsid w:val="13FB24E3"/>
    <w:rsid w:val="14165BDF"/>
    <w:rsid w:val="142C044E"/>
    <w:rsid w:val="144A0024"/>
    <w:rsid w:val="144E079B"/>
    <w:rsid w:val="145965E7"/>
    <w:rsid w:val="146161B3"/>
    <w:rsid w:val="148512A5"/>
    <w:rsid w:val="14982607"/>
    <w:rsid w:val="149933FC"/>
    <w:rsid w:val="14A800EA"/>
    <w:rsid w:val="14B55D8D"/>
    <w:rsid w:val="14B66CA8"/>
    <w:rsid w:val="14BC1DE8"/>
    <w:rsid w:val="14C8253B"/>
    <w:rsid w:val="14D0012C"/>
    <w:rsid w:val="14D50B61"/>
    <w:rsid w:val="14D76FD1"/>
    <w:rsid w:val="14E06B49"/>
    <w:rsid w:val="14E40F75"/>
    <w:rsid w:val="14E54E9B"/>
    <w:rsid w:val="14ED44D0"/>
    <w:rsid w:val="14FA1807"/>
    <w:rsid w:val="150C18E9"/>
    <w:rsid w:val="151316B2"/>
    <w:rsid w:val="151E1DC8"/>
    <w:rsid w:val="152C0D1B"/>
    <w:rsid w:val="153215DF"/>
    <w:rsid w:val="15363948"/>
    <w:rsid w:val="154E6A88"/>
    <w:rsid w:val="15613095"/>
    <w:rsid w:val="157851F4"/>
    <w:rsid w:val="157A6364"/>
    <w:rsid w:val="15963E4E"/>
    <w:rsid w:val="15A73744"/>
    <w:rsid w:val="15AB63A1"/>
    <w:rsid w:val="15AB7C60"/>
    <w:rsid w:val="15AD6FC9"/>
    <w:rsid w:val="15B021E9"/>
    <w:rsid w:val="15B03E52"/>
    <w:rsid w:val="15BF0431"/>
    <w:rsid w:val="15CA20C7"/>
    <w:rsid w:val="15E1290F"/>
    <w:rsid w:val="15E56E12"/>
    <w:rsid w:val="15EF12D4"/>
    <w:rsid w:val="1612688B"/>
    <w:rsid w:val="16183C2B"/>
    <w:rsid w:val="161C320C"/>
    <w:rsid w:val="165023EB"/>
    <w:rsid w:val="16523617"/>
    <w:rsid w:val="165744A4"/>
    <w:rsid w:val="165C3B8D"/>
    <w:rsid w:val="16604A29"/>
    <w:rsid w:val="16737986"/>
    <w:rsid w:val="167474FE"/>
    <w:rsid w:val="167A1613"/>
    <w:rsid w:val="168129A1"/>
    <w:rsid w:val="169E1E67"/>
    <w:rsid w:val="16A24B17"/>
    <w:rsid w:val="16BC338B"/>
    <w:rsid w:val="16C758D2"/>
    <w:rsid w:val="16E430CB"/>
    <w:rsid w:val="16E862B8"/>
    <w:rsid w:val="16E955C7"/>
    <w:rsid w:val="16F140FD"/>
    <w:rsid w:val="16FA0123"/>
    <w:rsid w:val="17043840"/>
    <w:rsid w:val="17296555"/>
    <w:rsid w:val="17440139"/>
    <w:rsid w:val="175207E1"/>
    <w:rsid w:val="17630EBA"/>
    <w:rsid w:val="17690557"/>
    <w:rsid w:val="17707B93"/>
    <w:rsid w:val="17996410"/>
    <w:rsid w:val="179F4C19"/>
    <w:rsid w:val="17AB3B73"/>
    <w:rsid w:val="17AF310F"/>
    <w:rsid w:val="17B941FB"/>
    <w:rsid w:val="17BA52F7"/>
    <w:rsid w:val="17C541B2"/>
    <w:rsid w:val="17CE0530"/>
    <w:rsid w:val="17D2359E"/>
    <w:rsid w:val="17DE205D"/>
    <w:rsid w:val="17FA37A5"/>
    <w:rsid w:val="17FC4EDA"/>
    <w:rsid w:val="18035FE3"/>
    <w:rsid w:val="18215D93"/>
    <w:rsid w:val="1823365D"/>
    <w:rsid w:val="18273A1C"/>
    <w:rsid w:val="182E04A7"/>
    <w:rsid w:val="185D631E"/>
    <w:rsid w:val="1867206B"/>
    <w:rsid w:val="18887254"/>
    <w:rsid w:val="18A1732B"/>
    <w:rsid w:val="18A23307"/>
    <w:rsid w:val="18AB1AA7"/>
    <w:rsid w:val="18AD2173"/>
    <w:rsid w:val="18B1464C"/>
    <w:rsid w:val="18B1734C"/>
    <w:rsid w:val="18CD6371"/>
    <w:rsid w:val="18D15EC5"/>
    <w:rsid w:val="18D41D91"/>
    <w:rsid w:val="18DA283C"/>
    <w:rsid w:val="18E0746C"/>
    <w:rsid w:val="18EC55D2"/>
    <w:rsid w:val="18F273AE"/>
    <w:rsid w:val="18F43B3A"/>
    <w:rsid w:val="18F534BD"/>
    <w:rsid w:val="1902000D"/>
    <w:rsid w:val="190E73B1"/>
    <w:rsid w:val="190F0738"/>
    <w:rsid w:val="19151112"/>
    <w:rsid w:val="1915717B"/>
    <w:rsid w:val="19263D80"/>
    <w:rsid w:val="192C44FB"/>
    <w:rsid w:val="192D57FB"/>
    <w:rsid w:val="19375EE1"/>
    <w:rsid w:val="19570C30"/>
    <w:rsid w:val="195E2A75"/>
    <w:rsid w:val="1962069B"/>
    <w:rsid w:val="196565AA"/>
    <w:rsid w:val="196E67D3"/>
    <w:rsid w:val="1971042F"/>
    <w:rsid w:val="198033E4"/>
    <w:rsid w:val="19835E88"/>
    <w:rsid w:val="19A610A3"/>
    <w:rsid w:val="19AA695E"/>
    <w:rsid w:val="19AD57B1"/>
    <w:rsid w:val="19AF6E85"/>
    <w:rsid w:val="19CD5149"/>
    <w:rsid w:val="19F57A56"/>
    <w:rsid w:val="19F805E9"/>
    <w:rsid w:val="19FC7F0C"/>
    <w:rsid w:val="1A053C0D"/>
    <w:rsid w:val="1A0D2C56"/>
    <w:rsid w:val="1A1307E6"/>
    <w:rsid w:val="1A187C79"/>
    <w:rsid w:val="1A273A2E"/>
    <w:rsid w:val="1A2B0878"/>
    <w:rsid w:val="1A2D0B91"/>
    <w:rsid w:val="1A310B82"/>
    <w:rsid w:val="1A313772"/>
    <w:rsid w:val="1A343E00"/>
    <w:rsid w:val="1A4A57A0"/>
    <w:rsid w:val="1A584591"/>
    <w:rsid w:val="1A5C115B"/>
    <w:rsid w:val="1A5E474D"/>
    <w:rsid w:val="1A675266"/>
    <w:rsid w:val="1A6D7949"/>
    <w:rsid w:val="1A723F9A"/>
    <w:rsid w:val="1A7A0EFB"/>
    <w:rsid w:val="1A7B1BCA"/>
    <w:rsid w:val="1A807414"/>
    <w:rsid w:val="1A8F6FA9"/>
    <w:rsid w:val="1A9547BE"/>
    <w:rsid w:val="1AAB7086"/>
    <w:rsid w:val="1AB24A9E"/>
    <w:rsid w:val="1AB76BD9"/>
    <w:rsid w:val="1ABB5010"/>
    <w:rsid w:val="1AC3103F"/>
    <w:rsid w:val="1AC85FE0"/>
    <w:rsid w:val="1ACA77DB"/>
    <w:rsid w:val="1ACE1D2E"/>
    <w:rsid w:val="1ACE38C1"/>
    <w:rsid w:val="1ACF1CB0"/>
    <w:rsid w:val="1AD92351"/>
    <w:rsid w:val="1ADD5746"/>
    <w:rsid w:val="1ADE140A"/>
    <w:rsid w:val="1AEF317B"/>
    <w:rsid w:val="1AF907B0"/>
    <w:rsid w:val="1B0D4669"/>
    <w:rsid w:val="1B171A80"/>
    <w:rsid w:val="1B233700"/>
    <w:rsid w:val="1B26620D"/>
    <w:rsid w:val="1B317240"/>
    <w:rsid w:val="1B3C104D"/>
    <w:rsid w:val="1B3C3D77"/>
    <w:rsid w:val="1B4862E8"/>
    <w:rsid w:val="1B4B06D5"/>
    <w:rsid w:val="1B4E0AF8"/>
    <w:rsid w:val="1B6233DF"/>
    <w:rsid w:val="1B632FBD"/>
    <w:rsid w:val="1B75323D"/>
    <w:rsid w:val="1B8371BB"/>
    <w:rsid w:val="1B950FE0"/>
    <w:rsid w:val="1BA61859"/>
    <w:rsid w:val="1BBF1E70"/>
    <w:rsid w:val="1BC04C2D"/>
    <w:rsid w:val="1BC75846"/>
    <w:rsid w:val="1BCD2F48"/>
    <w:rsid w:val="1BD54AD5"/>
    <w:rsid w:val="1BE13EE2"/>
    <w:rsid w:val="1BEB474D"/>
    <w:rsid w:val="1BEE4318"/>
    <w:rsid w:val="1BF12377"/>
    <w:rsid w:val="1BFE6252"/>
    <w:rsid w:val="1C184C71"/>
    <w:rsid w:val="1C221E6D"/>
    <w:rsid w:val="1C237D76"/>
    <w:rsid w:val="1C2B5404"/>
    <w:rsid w:val="1C323977"/>
    <w:rsid w:val="1C324A7C"/>
    <w:rsid w:val="1C364780"/>
    <w:rsid w:val="1C4137A3"/>
    <w:rsid w:val="1C637325"/>
    <w:rsid w:val="1C8B457A"/>
    <w:rsid w:val="1C8E06F7"/>
    <w:rsid w:val="1C9D3D7E"/>
    <w:rsid w:val="1CA1448E"/>
    <w:rsid w:val="1CAD51CD"/>
    <w:rsid w:val="1CB75514"/>
    <w:rsid w:val="1CB7714D"/>
    <w:rsid w:val="1CBA42F1"/>
    <w:rsid w:val="1CCB0649"/>
    <w:rsid w:val="1CD10C61"/>
    <w:rsid w:val="1CE35DDC"/>
    <w:rsid w:val="1CFB5CF7"/>
    <w:rsid w:val="1D0B7468"/>
    <w:rsid w:val="1D4856B8"/>
    <w:rsid w:val="1D4C69B1"/>
    <w:rsid w:val="1D532A47"/>
    <w:rsid w:val="1D537A75"/>
    <w:rsid w:val="1D544796"/>
    <w:rsid w:val="1D6843CC"/>
    <w:rsid w:val="1D684EC4"/>
    <w:rsid w:val="1D6D6E6D"/>
    <w:rsid w:val="1D7019C1"/>
    <w:rsid w:val="1D7602A9"/>
    <w:rsid w:val="1D7A68B9"/>
    <w:rsid w:val="1D8B33F5"/>
    <w:rsid w:val="1D8C4B7A"/>
    <w:rsid w:val="1DB21C07"/>
    <w:rsid w:val="1DB76CBA"/>
    <w:rsid w:val="1DC5307C"/>
    <w:rsid w:val="1DC75A85"/>
    <w:rsid w:val="1DCC16FD"/>
    <w:rsid w:val="1DCC2C62"/>
    <w:rsid w:val="1DD47F02"/>
    <w:rsid w:val="1DEA29BD"/>
    <w:rsid w:val="1DFE2347"/>
    <w:rsid w:val="1E1F12D6"/>
    <w:rsid w:val="1E2B778A"/>
    <w:rsid w:val="1E3B2AB3"/>
    <w:rsid w:val="1E437263"/>
    <w:rsid w:val="1E622472"/>
    <w:rsid w:val="1E7A0D6B"/>
    <w:rsid w:val="1E7C1D5C"/>
    <w:rsid w:val="1E9C6FA8"/>
    <w:rsid w:val="1EB312B5"/>
    <w:rsid w:val="1EE0437B"/>
    <w:rsid w:val="1EE950A1"/>
    <w:rsid w:val="1EF21678"/>
    <w:rsid w:val="1EFA3A17"/>
    <w:rsid w:val="1EFB21C6"/>
    <w:rsid w:val="1F0C7DA1"/>
    <w:rsid w:val="1F122D30"/>
    <w:rsid w:val="1F130856"/>
    <w:rsid w:val="1F1A5702"/>
    <w:rsid w:val="1F424155"/>
    <w:rsid w:val="1F5B1A74"/>
    <w:rsid w:val="1F616ACE"/>
    <w:rsid w:val="1F6509EC"/>
    <w:rsid w:val="1F675482"/>
    <w:rsid w:val="1F72281E"/>
    <w:rsid w:val="1F803AE0"/>
    <w:rsid w:val="1F805990"/>
    <w:rsid w:val="1F8B5098"/>
    <w:rsid w:val="1F8F5A4D"/>
    <w:rsid w:val="1F9E2DB3"/>
    <w:rsid w:val="1FAB4F33"/>
    <w:rsid w:val="1FD57A0A"/>
    <w:rsid w:val="1FDB61BB"/>
    <w:rsid w:val="200B107B"/>
    <w:rsid w:val="200E549B"/>
    <w:rsid w:val="20121681"/>
    <w:rsid w:val="20142AD8"/>
    <w:rsid w:val="202D6831"/>
    <w:rsid w:val="20331C48"/>
    <w:rsid w:val="204C397A"/>
    <w:rsid w:val="204D5901"/>
    <w:rsid w:val="20547378"/>
    <w:rsid w:val="20590F53"/>
    <w:rsid w:val="206D3F96"/>
    <w:rsid w:val="20884B8A"/>
    <w:rsid w:val="208B7064"/>
    <w:rsid w:val="20943271"/>
    <w:rsid w:val="20975A27"/>
    <w:rsid w:val="20983709"/>
    <w:rsid w:val="20A6341F"/>
    <w:rsid w:val="20A736CC"/>
    <w:rsid w:val="20AD7746"/>
    <w:rsid w:val="20CE712B"/>
    <w:rsid w:val="20D92047"/>
    <w:rsid w:val="20DC38FA"/>
    <w:rsid w:val="20DD614E"/>
    <w:rsid w:val="20E74B25"/>
    <w:rsid w:val="20EC022D"/>
    <w:rsid w:val="20FE1CE8"/>
    <w:rsid w:val="20FF5C7E"/>
    <w:rsid w:val="2100790E"/>
    <w:rsid w:val="210C5FBB"/>
    <w:rsid w:val="21183668"/>
    <w:rsid w:val="212426C7"/>
    <w:rsid w:val="212C1CC0"/>
    <w:rsid w:val="212C3E51"/>
    <w:rsid w:val="21522BE7"/>
    <w:rsid w:val="21582C99"/>
    <w:rsid w:val="215C5862"/>
    <w:rsid w:val="215D73B2"/>
    <w:rsid w:val="2167047F"/>
    <w:rsid w:val="216E76E9"/>
    <w:rsid w:val="21756D10"/>
    <w:rsid w:val="21765DC0"/>
    <w:rsid w:val="217F4C20"/>
    <w:rsid w:val="21905C97"/>
    <w:rsid w:val="2198414E"/>
    <w:rsid w:val="21986669"/>
    <w:rsid w:val="219B5015"/>
    <w:rsid w:val="219C71ED"/>
    <w:rsid w:val="21A40D22"/>
    <w:rsid w:val="21A73264"/>
    <w:rsid w:val="21D544E9"/>
    <w:rsid w:val="21E11D16"/>
    <w:rsid w:val="22077B82"/>
    <w:rsid w:val="22121F08"/>
    <w:rsid w:val="22200C99"/>
    <w:rsid w:val="222835AB"/>
    <w:rsid w:val="22414F2A"/>
    <w:rsid w:val="226265D2"/>
    <w:rsid w:val="22634828"/>
    <w:rsid w:val="22BD4794"/>
    <w:rsid w:val="22C67589"/>
    <w:rsid w:val="22CD57C0"/>
    <w:rsid w:val="22F70C04"/>
    <w:rsid w:val="22FA67AC"/>
    <w:rsid w:val="231554F9"/>
    <w:rsid w:val="232E08E1"/>
    <w:rsid w:val="234578D5"/>
    <w:rsid w:val="23472DE2"/>
    <w:rsid w:val="23623B5A"/>
    <w:rsid w:val="236A2B26"/>
    <w:rsid w:val="236E625F"/>
    <w:rsid w:val="236E6BC4"/>
    <w:rsid w:val="2378655A"/>
    <w:rsid w:val="237C3769"/>
    <w:rsid w:val="237E7857"/>
    <w:rsid w:val="23887A65"/>
    <w:rsid w:val="23973F25"/>
    <w:rsid w:val="23A41C70"/>
    <w:rsid w:val="23AE6241"/>
    <w:rsid w:val="23B224E2"/>
    <w:rsid w:val="23C70AF9"/>
    <w:rsid w:val="23E12CD1"/>
    <w:rsid w:val="23E83B88"/>
    <w:rsid w:val="23E90516"/>
    <w:rsid w:val="23F30E11"/>
    <w:rsid w:val="24062738"/>
    <w:rsid w:val="24105EC7"/>
    <w:rsid w:val="24133AB3"/>
    <w:rsid w:val="2428502B"/>
    <w:rsid w:val="242A3E67"/>
    <w:rsid w:val="243C013A"/>
    <w:rsid w:val="243F5650"/>
    <w:rsid w:val="24471A2D"/>
    <w:rsid w:val="244812EF"/>
    <w:rsid w:val="244A7E45"/>
    <w:rsid w:val="245637C6"/>
    <w:rsid w:val="246A7145"/>
    <w:rsid w:val="24802A74"/>
    <w:rsid w:val="24900F59"/>
    <w:rsid w:val="249B7A11"/>
    <w:rsid w:val="24A81B68"/>
    <w:rsid w:val="24B77F4E"/>
    <w:rsid w:val="24CE537C"/>
    <w:rsid w:val="24CF03AD"/>
    <w:rsid w:val="24D93FDC"/>
    <w:rsid w:val="24DC5E58"/>
    <w:rsid w:val="24E532C6"/>
    <w:rsid w:val="24FE4520"/>
    <w:rsid w:val="25024031"/>
    <w:rsid w:val="25160AC4"/>
    <w:rsid w:val="25183F6A"/>
    <w:rsid w:val="25261F79"/>
    <w:rsid w:val="25281273"/>
    <w:rsid w:val="25305194"/>
    <w:rsid w:val="25333A42"/>
    <w:rsid w:val="25351AA7"/>
    <w:rsid w:val="2540268C"/>
    <w:rsid w:val="254C4653"/>
    <w:rsid w:val="25627E42"/>
    <w:rsid w:val="256520DD"/>
    <w:rsid w:val="256F5A78"/>
    <w:rsid w:val="25776C32"/>
    <w:rsid w:val="25815883"/>
    <w:rsid w:val="259A6CBD"/>
    <w:rsid w:val="25A419D3"/>
    <w:rsid w:val="25A51D88"/>
    <w:rsid w:val="25AE1CCD"/>
    <w:rsid w:val="25BA7004"/>
    <w:rsid w:val="25C15C5D"/>
    <w:rsid w:val="25CB3C39"/>
    <w:rsid w:val="25D22C44"/>
    <w:rsid w:val="25D60FA1"/>
    <w:rsid w:val="25EB6EB6"/>
    <w:rsid w:val="25EE5B79"/>
    <w:rsid w:val="25F0596E"/>
    <w:rsid w:val="260A2C95"/>
    <w:rsid w:val="260B04D9"/>
    <w:rsid w:val="26172C74"/>
    <w:rsid w:val="2632088A"/>
    <w:rsid w:val="26482985"/>
    <w:rsid w:val="265713C1"/>
    <w:rsid w:val="266B1949"/>
    <w:rsid w:val="266D783B"/>
    <w:rsid w:val="268875D7"/>
    <w:rsid w:val="26AB3989"/>
    <w:rsid w:val="26B541F3"/>
    <w:rsid w:val="26C82BA9"/>
    <w:rsid w:val="26C92747"/>
    <w:rsid w:val="26CC7C68"/>
    <w:rsid w:val="26F31F45"/>
    <w:rsid w:val="26FB6908"/>
    <w:rsid w:val="26FB7C46"/>
    <w:rsid w:val="26FF28C0"/>
    <w:rsid w:val="270C190D"/>
    <w:rsid w:val="27185138"/>
    <w:rsid w:val="271A4143"/>
    <w:rsid w:val="27263281"/>
    <w:rsid w:val="272730F1"/>
    <w:rsid w:val="272A5FE6"/>
    <w:rsid w:val="272B1DC8"/>
    <w:rsid w:val="27895B59"/>
    <w:rsid w:val="27AF5CBC"/>
    <w:rsid w:val="27BB17E9"/>
    <w:rsid w:val="27D80C28"/>
    <w:rsid w:val="27DD7DC8"/>
    <w:rsid w:val="27DE2E8A"/>
    <w:rsid w:val="27E31E72"/>
    <w:rsid w:val="27F041B7"/>
    <w:rsid w:val="27FB367A"/>
    <w:rsid w:val="2801521D"/>
    <w:rsid w:val="28033B5E"/>
    <w:rsid w:val="281F745B"/>
    <w:rsid w:val="282749BF"/>
    <w:rsid w:val="28441D7A"/>
    <w:rsid w:val="28490C38"/>
    <w:rsid w:val="285D609D"/>
    <w:rsid w:val="286454FC"/>
    <w:rsid w:val="286B4B64"/>
    <w:rsid w:val="28811C7E"/>
    <w:rsid w:val="2892056A"/>
    <w:rsid w:val="28A20223"/>
    <w:rsid w:val="28A341A1"/>
    <w:rsid w:val="28A40771"/>
    <w:rsid w:val="28A93906"/>
    <w:rsid w:val="28A94697"/>
    <w:rsid w:val="28BB61E6"/>
    <w:rsid w:val="28CC1F43"/>
    <w:rsid w:val="28CF423B"/>
    <w:rsid w:val="28E079FB"/>
    <w:rsid w:val="28F3112C"/>
    <w:rsid w:val="2900009D"/>
    <w:rsid w:val="29015E41"/>
    <w:rsid w:val="29023EB5"/>
    <w:rsid w:val="29074474"/>
    <w:rsid w:val="29134D4F"/>
    <w:rsid w:val="292401BD"/>
    <w:rsid w:val="29350876"/>
    <w:rsid w:val="293A138A"/>
    <w:rsid w:val="297120E4"/>
    <w:rsid w:val="297B56DF"/>
    <w:rsid w:val="29826232"/>
    <w:rsid w:val="298363BF"/>
    <w:rsid w:val="29880A98"/>
    <w:rsid w:val="298B0453"/>
    <w:rsid w:val="29900AA1"/>
    <w:rsid w:val="299463C7"/>
    <w:rsid w:val="29A02D2F"/>
    <w:rsid w:val="29D07A70"/>
    <w:rsid w:val="29D271EA"/>
    <w:rsid w:val="29E92017"/>
    <w:rsid w:val="29E96D83"/>
    <w:rsid w:val="29EB5E0D"/>
    <w:rsid w:val="29F86E5A"/>
    <w:rsid w:val="29FB4868"/>
    <w:rsid w:val="2A1541A7"/>
    <w:rsid w:val="2A170C1E"/>
    <w:rsid w:val="2A234372"/>
    <w:rsid w:val="2A375D41"/>
    <w:rsid w:val="2A4E4E38"/>
    <w:rsid w:val="2A53086B"/>
    <w:rsid w:val="2A5644A4"/>
    <w:rsid w:val="2A6F1684"/>
    <w:rsid w:val="2A707E55"/>
    <w:rsid w:val="2A7E7BAA"/>
    <w:rsid w:val="2A8A01BF"/>
    <w:rsid w:val="2A8E449E"/>
    <w:rsid w:val="2A905451"/>
    <w:rsid w:val="2A95034D"/>
    <w:rsid w:val="2AA37102"/>
    <w:rsid w:val="2AB772B4"/>
    <w:rsid w:val="2ABA0FBE"/>
    <w:rsid w:val="2ABA42B2"/>
    <w:rsid w:val="2AC540F5"/>
    <w:rsid w:val="2AD215C5"/>
    <w:rsid w:val="2AD4284C"/>
    <w:rsid w:val="2ADE3804"/>
    <w:rsid w:val="2AE259A2"/>
    <w:rsid w:val="2AE27915"/>
    <w:rsid w:val="2B077C70"/>
    <w:rsid w:val="2B0D4CF3"/>
    <w:rsid w:val="2B123627"/>
    <w:rsid w:val="2B144153"/>
    <w:rsid w:val="2B2D34B7"/>
    <w:rsid w:val="2B2F179D"/>
    <w:rsid w:val="2B3E675D"/>
    <w:rsid w:val="2B4363C0"/>
    <w:rsid w:val="2B440E9D"/>
    <w:rsid w:val="2B6531C0"/>
    <w:rsid w:val="2B695B7E"/>
    <w:rsid w:val="2B6E67BC"/>
    <w:rsid w:val="2B7235E8"/>
    <w:rsid w:val="2B77289C"/>
    <w:rsid w:val="2B80383A"/>
    <w:rsid w:val="2B904AF1"/>
    <w:rsid w:val="2B9B3057"/>
    <w:rsid w:val="2BA46AC2"/>
    <w:rsid w:val="2BBB02AC"/>
    <w:rsid w:val="2BBF306F"/>
    <w:rsid w:val="2BC61376"/>
    <w:rsid w:val="2BC61EF5"/>
    <w:rsid w:val="2BE75544"/>
    <w:rsid w:val="2BEB20E9"/>
    <w:rsid w:val="2C0638B6"/>
    <w:rsid w:val="2C105573"/>
    <w:rsid w:val="2C2C5834"/>
    <w:rsid w:val="2C4922D7"/>
    <w:rsid w:val="2C6A6978"/>
    <w:rsid w:val="2C6D3C9C"/>
    <w:rsid w:val="2C751C05"/>
    <w:rsid w:val="2C77062D"/>
    <w:rsid w:val="2C7E330E"/>
    <w:rsid w:val="2C882884"/>
    <w:rsid w:val="2CA10598"/>
    <w:rsid w:val="2CB107D4"/>
    <w:rsid w:val="2CBC7D3C"/>
    <w:rsid w:val="2CC2171F"/>
    <w:rsid w:val="2CCB7E5E"/>
    <w:rsid w:val="2CD17573"/>
    <w:rsid w:val="2CE56B2C"/>
    <w:rsid w:val="2D0B1622"/>
    <w:rsid w:val="2D2E6800"/>
    <w:rsid w:val="2D3769AA"/>
    <w:rsid w:val="2D3940FD"/>
    <w:rsid w:val="2D3F4A32"/>
    <w:rsid w:val="2D530B34"/>
    <w:rsid w:val="2D657A82"/>
    <w:rsid w:val="2D664B3E"/>
    <w:rsid w:val="2D6A0878"/>
    <w:rsid w:val="2D7A129D"/>
    <w:rsid w:val="2D80656B"/>
    <w:rsid w:val="2D825525"/>
    <w:rsid w:val="2DCA549D"/>
    <w:rsid w:val="2DCE0D75"/>
    <w:rsid w:val="2DCF18A9"/>
    <w:rsid w:val="2DD52DA1"/>
    <w:rsid w:val="2DDA76E1"/>
    <w:rsid w:val="2DDC5E7F"/>
    <w:rsid w:val="2DE4448E"/>
    <w:rsid w:val="2DE7182C"/>
    <w:rsid w:val="2DF83A39"/>
    <w:rsid w:val="2DFE7FF3"/>
    <w:rsid w:val="2E083618"/>
    <w:rsid w:val="2E1B7727"/>
    <w:rsid w:val="2E345FC1"/>
    <w:rsid w:val="2E356A84"/>
    <w:rsid w:val="2E4C2152"/>
    <w:rsid w:val="2E69097D"/>
    <w:rsid w:val="2E6B5624"/>
    <w:rsid w:val="2E6C7612"/>
    <w:rsid w:val="2E7022CC"/>
    <w:rsid w:val="2E781952"/>
    <w:rsid w:val="2E93254F"/>
    <w:rsid w:val="2E99429C"/>
    <w:rsid w:val="2EA03A3B"/>
    <w:rsid w:val="2EC20511"/>
    <w:rsid w:val="2ED022C0"/>
    <w:rsid w:val="2ED3261D"/>
    <w:rsid w:val="2EDC41F0"/>
    <w:rsid w:val="2EE5476B"/>
    <w:rsid w:val="2EF12DE7"/>
    <w:rsid w:val="2EF62E9B"/>
    <w:rsid w:val="2EF9703C"/>
    <w:rsid w:val="2F074609"/>
    <w:rsid w:val="2F2B7E66"/>
    <w:rsid w:val="2F301FFE"/>
    <w:rsid w:val="2F383707"/>
    <w:rsid w:val="2F4019EF"/>
    <w:rsid w:val="2F42364F"/>
    <w:rsid w:val="2F66267B"/>
    <w:rsid w:val="2F732A27"/>
    <w:rsid w:val="2F74082C"/>
    <w:rsid w:val="2F794705"/>
    <w:rsid w:val="2F944FDD"/>
    <w:rsid w:val="2F996B56"/>
    <w:rsid w:val="2FA855DF"/>
    <w:rsid w:val="2FAC5CA2"/>
    <w:rsid w:val="2FB71D2E"/>
    <w:rsid w:val="2FC15919"/>
    <w:rsid w:val="2FCD1B12"/>
    <w:rsid w:val="2FCE23A3"/>
    <w:rsid w:val="2FD53EB8"/>
    <w:rsid w:val="2FF97A3F"/>
    <w:rsid w:val="2FFF10AF"/>
    <w:rsid w:val="300E0983"/>
    <w:rsid w:val="30234671"/>
    <w:rsid w:val="30495C05"/>
    <w:rsid w:val="305F0B63"/>
    <w:rsid w:val="306B2EA8"/>
    <w:rsid w:val="3076046A"/>
    <w:rsid w:val="30803872"/>
    <w:rsid w:val="30943796"/>
    <w:rsid w:val="309A0DD7"/>
    <w:rsid w:val="30A57072"/>
    <w:rsid w:val="30A578BB"/>
    <w:rsid w:val="30A86D7D"/>
    <w:rsid w:val="30AB50E7"/>
    <w:rsid w:val="30AE03DF"/>
    <w:rsid w:val="30AF4E0E"/>
    <w:rsid w:val="30B03034"/>
    <w:rsid w:val="30B5488D"/>
    <w:rsid w:val="30BE4A68"/>
    <w:rsid w:val="30C34BC5"/>
    <w:rsid w:val="30C50381"/>
    <w:rsid w:val="30C9346B"/>
    <w:rsid w:val="30C95219"/>
    <w:rsid w:val="30DE0915"/>
    <w:rsid w:val="30EC49E5"/>
    <w:rsid w:val="30F80A04"/>
    <w:rsid w:val="312D0D02"/>
    <w:rsid w:val="313074A1"/>
    <w:rsid w:val="31345A46"/>
    <w:rsid w:val="31510AAE"/>
    <w:rsid w:val="315125BB"/>
    <w:rsid w:val="31643AA0"/>
    <w:rsid w:val="3172632E"/>
    <w:rsid w:val="317D06E1"/>
    <w:rsid w:val="317D6258"/>
    <w:rsid w:val="319E3545"/>
    <w:rsid w:val="31AC72B9"/>
    <w:rsid w:val="31B107C4"/>
    <w:rsid w:val="31BD6589"/>
    <w:rsid w:val="31C00E03"/>
    <w:rsid w:val="31C93E8A"/>
    <w:rsid w:val="31D228D0"/>
    <w:rsid w:val="31D91EA6"/>
    <w:rsid w:val="31D9510F"/>
    <w:rsid w:val="31EA6150"/>
    <w:rsid w:val="31F12C79"/>
    <w:rsid w:val="32036508"/>
    <w:rsid w:val="32093B1C"/>
    <w:rsid w:val="320D7387"/>
    <w:rsid w:val="321B4143"/>
    <w:rsid w:val="324C3EEF"/>
    <w:rsid w:val="324C6101"/>
    <w:rsid w:val="325D06D7"/>
    <w:rsid w:val="326029E4"/>
    <w:rsid w:val="3271353A"/>
    <w:rsid w:val="327569BC"/>
    <w:rsid w:val="32821B23"/>
    <w:rsid w:val="32A63AD6"/>
    <w:rsid w:val="32BA454D"/>
    <w:rsid w:val="32C51DFD"/>
    <w:rsid w:val="32DA5B3E"/>
    <w:rsid w:val="32DA6605"/>
    <w:rsid w:val="32DF72DB"/>
    <w:rsid w:val="32EE0F67"/>
    <w:rsid w:val="32F7793F"/>
    <w:rsid w:val="33122EA7"/>
    <w:rsid w:val="33257177"/>
    <w:rsid w:val="33257416"/>
    <w:rsid w:val="332F4FE4"/>
    <w:rsid w:val="33302012"/>
    <w:rsid w:val="33337BAE"/>
    <w:rsid w:val="33472F9B"/>
    <w:rsid w:val="334D4507"/>
    <w:rsid w:val="334E5712"/>
    <w:rsid w:val="33501C21"/>
    <w:rsid w:val="33675DD5"/>
    <w:rsid w:val="33694A10"/>
    <w:rsid w:val="337F7518"/>
    <w:rsid w:val="338B11BC"/>
    <w:rsid w:val="33994A8D"/>
    <w:rsid w:val="33AB66A0"/>
    <w:rsid w:val="33AD0485"/>
    <w:rsid w:val="33B03B0E"/>
    <w:rsid w:val="33BE46A4"/>
    <w:rsid w:val="33C47949"/>
    <w:rsid w:val="33DA6042"/>
    <w:rsid w:val="33EA6E74"/>
    <w:rsid w:val="33F1598A"/>
    <w:rsid w:val="340C4DA1"/>
    <w:rsid w:val="3412107F"/>
    <w:rsid w:val="3425383D"/>
    <w:rsid w:val="34476B80"/>
    <w:rsid w:val="345968B4"/>
    <w:rsid w:val="3461426D"/>
    <w:rsid w:val="346742E3"/>
    <w:rsid w:val="34742735"/>
    <w:rsid w:val="34766943"/>
    <w:rsid w:val="34811643"/>
    <w:rsid w:val="348F3081"/>
    <w:rsid w:val="34C84BB7"/>
    <w:rsid w:val="34DE0124"/>
    <w:rsid w:val="34E00D83"/>
    <w:rsid w:val="35142487"/>
    <w:rsid w:val="352549E8"/>
    <w:rsid w:val="3529097C"/>
    <w:rsid w:val="353C06AF"/>
    <w:rsid w:val="354C6D50"/>
    <w:rsid w:val="35564CCE"/>
    <w:rsid w:val="35593494"/>
    <w:rsid w:val="355E0166"/>
    <w:rsid w:val="355E0C9B"/>
    <w:rsid w:val="355E68B5"/>
    <w:rsid w:val="356E0A47"/>
    <w:rsid w:val="35A117D4"/>
    <w:rsid w:val="35B30F60"/>
    <w:rsid w:val="35B83908"/>
    <w:rsid w:val="35BB77A9"/>
    <w:rsid w:val="35C11523"/>
    <w:rsid w:val="35C90511"/>
    <w:rsid w:val="35CB156F"/>
    <w:rsid w:val="35CB5FCD"/>
    <w:rsid w:val="35CE469D"/>
    <w:rsid w:val="35CF48F7"/>
    <w:rsid w:val="35D15B62"/>
    <w:rsid w:val="35DC68F7"/>
    <w:rsid w:val="35E3536D"/>
    <w:rsid w:val="35ED0F4B"/>
    <w:rsid w:val="3600597B"/>
    <w:rsid w:val="3613736D"/>
    <w:rsid w:val="36160F00"/>
    <w:rsid w:val="361840D8"/>
    <w:rsid w:val="363449C4"/>
    <w:rsid w:val="3635090F"/>
    <w:rsid w:val="363F5BE5"/>
    <w:rsid w:val="364026C2"/>
    <w:rsid w:val="3640319C"/>
    <w:rsid w:val="36407D2B"/>
    <w:rsid w:val="36523AB8"/>
    <w:rsid w:val="36584736"/>
    <w:rsid w:val="3660599D"/>
    <w:rsid w:val="36631BEF"/>
    <w:rsid w:val="3675524D"/>
    <w:rsid w:val="367B6432"/>
    <w:rsid w:val="367E6AA5"/>
    <w:rsid w:val="368E78A4"/>
    <w:rsid w:val="36A655F7"/>
    <w:rsid w:val="36AE738B"/>
    <w:rsid w:val="36B27012"/>
    <w:rsid w:val="36DA1F5A"/>
    <w:rsid w:val="37076491"/>
    <w:rsid w:val="370B12F8"/>
    <w:rsid w:val="371A4A20"/>
    <w:rsid w:val="374D2F3D"/>
    <w:rsid w:val="376229B4"/>
    <w:rsid w:val="3772660A"/>
    <w:rsid w:val="37816E26"/>
    <w:rsid w:val="378A6959"/>
    <w:rsid w:val="379322D3"/>
    <w:rsid w:val="37A8170E"/>
    <w:rsid w:val="37B24623"/>
    <w:rsid w:val="37C01FF5"/>
    <w:rsid w:val="37C82710"/>
    <w:rsid w:val="37D41EA8"/>
    <w:rsid w:val="37E63634"/>
    <w:rsid w:val="37E72477"/>
    <w:rsid w:val="37EB3205"/>
    <w:rsid w:val="37EC3AE7"/>
    <w:rsid w:val="38076D26"/>
    <w:rsid w:val="382F0BD3"/>
    <w:rsid w:val="38312D69"/>
    <w:rsid w:val="38744509"/>
    <w:rsid w:val="38853C59"/>
    <w:rsid w:val="388E0F4D"/>
    <w:rsid w:val="389E4737"/>
    <w:rsid w:val="38AA688E"/>
    <w:rsid w:val="38B30C56"/>
    <w:rsid w:val="38B81AD6"/>
    <w:rsid w:val="38C33344"/>
    <w:rsid w:val="38C56C0D"/>
    <w:rsid w:val="38C8161B"/>
    <w:rsid w:val="38CA3D30"/>
    <w:rsid w:val="38CA7A4E"/>
    <w:rsid w:val="38D55808"/>
    <w:rsid w:val="39032887"/>
    <w:rsid w:val="39180AEB"/>
    <w:rsid w:val="39185CA5"/>
    <w:rsid w:val="394B2C13"/>
    <w:rsid w:val="3951774E"/>
    <w:rsid w:val="39570DCA"/>
    <w:rsid w:val="395964C1"/>
    <w:rsid w:val="396F09F1"/>
    <w:rsid w:val="39702BC9"/>
    <w:rsid w:val="397D2175"/>
    <w:rsid w:val="398141BD"/>
    <w:rsid w:val="398C3287"/>
    <w:rsid w:val="3992328F"/>
    <w:rsid w:val="39A1262C"/>
    <w:rsid w:val="39A514B0"/>
    <w:rsid w:val="39A700C1"/>
    <w:rsid w:val="39AE6463"/>
    <w:rsid w:val="39BD1693"/>
    <w:rsid w:val="39C60290"/>
    <w:rsid w:val="39C81872"/>
    <w:rsid w:val="39CF2BF2"/>
    <w:rsid w:val="39D54E39"/>
    <w:rsid w:val="39E6723B"/>
    <w:rsid w:val="39F97CC0"/>
    <w:rsid w:val="39FB73C7"/>
    <w:rsid w:val="3A027D74"/>
    <w:rsid w:val="3A041542"/>
    <w:rsid w:val="3A105020"/>
    <w:rsid w:val="3A123D1C"/>
    <w:rsid w:val="3A1F4CBD"/>
    <w:rsid w:val="3A222D8F"/>
    <w:rsid w:val="3A300C01"/>
    <w:rsid w:val="3A3C4F96"/>
    <w:rsid w:val="3A47484C"/>
    <w:rsid w:val="3A4E2ACD"/>
    <w:rsid w:val="3A620613"/>
    <w:rsid w:val="3A7E1E72"/>
    <w:rsid w:val="3A8F6FBC"/>
    <w:rsid w:val="3A922B1F"/>
    <w:rsid w:val="3AA33C23"/>
    <w:rsid w:val="3AB0271A"/>
    <w:rsid w:val="3AB81074"/>
    <w:rsid w:val="3AB85B54"/>
    <w:rsid w:val="3ABA76E6"/>
    <w:rsid w:val="3ABB64F7"/>
    <w:rsid w:val="3AC07BA7"/>
    <w:rsid w:val="3ACD0C77"/>
    <w:rsid w:val="3AE75E04"/>
    <w:rsid w:val="3AF23CCC"/>
    <w:rsid w:val="3AFE5B99"/>
    <w:rsid w:val="3B014F9B"/>
    <w:rsid w:val="3B0167A0"/>
    <w:rsid w:val="3B0F73FA"/>
    <w:rsid w:val="3B1A3ACF"/>
    <w:rsid w:val="3B1B4355"/>
    <w:rsid w:val="3B4C178D"/>
    <w:rsid w:val="3B5933EF"/>
    <w:rsid w:val="3B6446D0"/>
    <w:rsid w:val="3B787F67"/>
    <w:rsid w:val="3B7A05B3"/>
    <w:rsid w:val="3B7A6AB6"/>
    <w:rsid w:val="3BB23388"/>
    <w:rsid w:val="3BB645EB"/>
    <w:rsid w:val="3BBA2E14"/>
    <w:rsid w:val="3BC17B71"/>
    <w:rsid w:val="3BCC096F"/>
    <w:rsid w:val="3BD8279A"/>
    <w:rsid w:val="3BDC3966"/>
    <w:rsid w:val="3BE95600"/>
    <w:rsid w:val="3BE97801"/>
    <w:rsid w:val="3BF012F0"/>
    <w:rsid w:val="3BF27A68"/>
    <w:rsid w:val="3C0435A9"/>
    <w:rsid w:val="3C06639F"/>
    <w:rsid w:val="3C08753D"/>
    <w:rsid w:val="3C1643CD"/>
    <w:rsid w:val="3C1F3252"/>
    <w:rsid w:val="3C2105FF"/>
    <w:rsid w:val="3C2611F3"/>
    <w:rsid w:val="3C413E29"/>
    <w:rsid w:val="3C464599"/>
    <w:rsid w:val="3C50579C"/>
    <w:rsid w:val="3C561714"/>
    <w:rsid w:val="3C5B6581"/>
    <w:rsid w:val="3C5C1969"/>
    <w:rsid w:val="3C6139BE"/>
    <w:rsid w:val="3C771888"/>
    <w:rsid w:val="3CA342AE"/>
    <w:rsid w:val="3CB21BEE"/>
    <w:rsid w:val="3CB9305F"/>
    <w:rsid w:val="3CBC7A0E"/>
    <w:rsid w:val="3CC12CB7"/>
    <w:rsid w:val="3CCD5FF6"/>
    <w:rsid w:val="3CD451A7"/>
    <w:rsid w:val="3CD673B9"/>
    <w:rsid w:val="3CE22171"/>
    <w:rsid w:val="3CF46C9A"/>
    <w:rsid w:val="3CFA6455"/>
    <w:rsid w:val="3D3B245D"/>
    <w:rsid w:val="3D4479FF"/>
    <w:rsid w:val="3D455985"/>
    <w:rsid w:val="3D491BBB"/>
    <w:rsid w:val="3D537CEE"/>
    <w:rsid w:val="3D8B6DD8"/>
    <w:rsid w:val="3D9B7F3D"/>
    <w:rsid w:val="3D9D36AD"/>
    <w:rsid w:val="3D9E364F"/>
    <w:rsid w:val="3DAE66AD"/>
    <w:rsid w:val="3DC02991"/>
    <w:rsid w:val="3E1008BE"/>
    <w:rsid w:val="3E1D4DF6"/>
    <w:rsid w:val="3E2C3F1A"/>
    <w:rsid w:val="3E2E2B5F"/>
    <w:rsid w:val="3E3D2DA2"/>
    <w:rsid w:val="3E562C90"/>
    <w:rsid w:val="3E5A7F76"/>
    <w:rsid w:val="3E633A38"/>
    <w:rsid w:val="3E636CAD"/>
    <w:rsid w:val="3E6B790F"/>
    <w:rsid w:val="3E7F160D"/>
    <w:rsid w:val="3E86299B"/>
    <w:rsid w:val="3E8A2268"/>
    <w:rsid w:val="3E8C5CE0"/>
    <w:rsid w:val="3E9100CF"/>
    <w:rsid w:val="3E9C21FA"/>
    <w:rsid w:val="3E9C6989"/>
    <w:rsid w:val="3EA80B63"/>
    <w:rsid w:val="3EAC7EE8"/>
    <w:rsid w:val="3EAD3A51"/>
    <w:rsid w:val="3EAD7B7F"/>
    <w:rsid w:val="3EBC5C79"/>
    <w:rsid w:val="3EDC63BB"/>
    <w:rsid w:val="3EF63600"/>
    <w:rsid w:val="3EFB3B53"/>
    <w:rsid w:val="3EFC2C5D"/>
    <w:rsid w:val="3F1779D4"/>
    <w:rsid w:val="3F2E56AD"/>
    <w:rsid w:val="3F2F4DE1"/>
    <w:rsid w:val="3F483648"/>
    <w:rsid w:val="3F544847"/>
    <w:rsid w:val="3F67457A"/>
    <w:rsid w:val="3F914C7B"/>
    <w:rsid w:val="3F9D1413"/>
    <w:rsid w:val="3F9E5AC2"/>
    <w:rsid w:val="3F9F5A9F"/>
    <w:rsid w:val="3FA40A46"/>
    <w:rsid w:val="3FAB5C0D"/>
    <w:rsid w:val="3FB12CF4"/>
    <w:rsid w:val="3FBD7991"/>
    <w:rsid w:val="3FD52DD6"/>
    <w:rsid w:val="3FD925E7"/>
    <w:rsid w:val="3FDA11F0"/>
    <w:rsid w:val="3FEC5956"/>
    <w:rsid w:val="3FFD0B96"/>
    <w:rsid w:val="40045C2E"/>
    <w:rsid w:val="4013698B"/>
    <w:rsid w:val="401660EB"/>
    <w:rsid w:val="402A61D7"/>
    <w:rsid w:val="402C1113"/>
    <w:rsid w:val="404911AB"/>
    <w:rsid w:val="40614B69"/>
    <w:rsid w:val="40625E5B"/>
    <w:rsid w:val="407C3303"/>
    <w:rsid w:val="40842F0A"/>
    <w:rsid w:val="40B66862"/>
    <w:rsid w:val="40BE4D25"/>
    <w:rsid w:val="40C15F0C"/>
    <w:rsid w:val="40CA0C23"/>
    <w:rsid w:val="40CE248C"/>
    <w:rsid w:val="40DA1C0D"/>
    <w:rsid w:val="40EA5463"/>
    <w:rsid w:val="40EA59E3"/>
    <w:rsid w:val="40F64737"/>
    <w:rsid w:val="40FB141E"/>
    <w:rsid w:val="40FB42C4"/>
    <w:rsid w:val="4123511C"/>
    <w:rsid w:val="412758B7"/>
    <w:rsid w:val="41416F00"/>
    <w:rsid w:val="415154E2"/>
    <w:rsid w:val="415350DF"/>
    <w:rsid w:val="4156087A"/>
    <w:rsid w:val="415B3B83"/>
    <w:rsid w:val="41700EC4"/>
    <w:rsid w:val="4173274C"/>
    <w:rsid w:val="417A5FC0"/>
    <w:rsid w:val="41833A08"/>
    <w:rsid w:val="41957111"/>
    <w:rsid w:val="419929E5"/>
    <w:rsid w:val="419D4ED4"/>
    <w:rsid w:val="41B96C66"/>
    <w:rsid w:val="41C163AD"/>
    <w:rsid w:val="41C37A62"/>
    <w:rsid w:val="41C45D98"/>
    <w:rsid w:val="41DB092D"/>
    <w:rsid w:val="41E55C2A"/>
    <w:rsid w:val="41F96604"/>
    <w:rsid w:val="41FB544E"/>
    <w:rsid w:val="420049D2"/>
    <w:rsid w:val="42042555"/>
    <w:rsid w:val="420460B1"/>
    <w:rsid w:val="420E42B9"/>
    <w:rsid w:val="42295368"/>
    <w:rsid w:val="42310E70"/>
    <w:rsid w:val="423A6A75"/>
    <w:rsid w:val="42503D5B"/>
    <w:rsid w:val="426D1D88"/>
    <w:rsid w:val="42707BEA"/>
    <w:rsid w:val="42775863"/>
    <w:rsid w:val="427A6DAA"/>
    <w:rsid w:val="42820147"/>
    <w:rsid w:val="428B6EDF"/>
    <w:rsid w:val="428E4F88"/>
    <w:rsid w:val="429C44D8"/>
    <w:rsid w:val="429E1933"/>
    <w:rsid w:val="42A4130B"/>
    <w:rsid w:val="42A525C7"/>
    <w:rsid w:val="42AD7D8D"/>
    <w:rsid w:val="42B06E3E"/>
    <w:rsid w:val="42B517E2"/>
    <w:rsid w:val="42B917BE"/>
    <w:rsid w:val="42C13C35"/>
    <w:rsid w:val="42CA2CB4"/>
    <w:rsid w:val="42D30A8D"/>
    <w:rsid w:val="42E741BB"/>
    <w:rsid w:val="42F360CD"/>
    <w:rsid w:val="43126FDE"/>
    <w:rsid w:val="43284665"/>
    <w:rsid w:val="43374264"/>
    <w:rsid w:val="43447CD0"/>
    <w:rsid w:val="434E44A7"/>
    <w:rsid w:val="437031D0"/>
    <w:rsid w:val="437D03E1"/>
    <w:rsid w:val="4396705F"/>
    <w:rsid w:val="43A82A78"/>
    <w:rsid w:val="43AC6AF6"/>
    <w:rsid w:val="43AE3605"/>
    <w:rsid w:val="43EE2239"/>
    <w:rsid w:val="440714B2"/>
    <w:rsid w:val="440E60B6"/>
    <w:rsid w:val="442B1B78"/>
    <w:rsid w:val="442D19B1"/>
    <w:rsid w:val="443C0F2B"/>
    <w:rsid w:val="443D1905"/>
    <w:rsid w:val="444A1F44"/>
    <w:rsid w:val="444E3F5B"/>
    <w:rsid w:val="445B2775"/>
    <w:rsid w:val="445C5A54"/>
    <w:rsid w:val="446072F5"/>
    <w:rsid w:val="446B261E"/>
    <w:rsid w:val="446F1B82"/>
    <w:rsid w:val="44747743"/>
    <w:rsid w:val="448E6B67"/>
    <w:rsid w:val="44A37683"/>
    <w:rsid w:val="44B76004"/>
    <w:rsid w:val="44C647C7"/>
    <w:rsid w:val="44DE708D"/>
    <w:rsid w:val="44FD062D"/>
    <w:rsid w:val="44FF6887"/>
    <w:rsid w:val="45261C5D"/>
    <w:rsid w:val="453448C6"/>
    <w:rsid w:val="45346258"/>
    <w:rsid w:val="45365A36"/>
    <w:rsid w:val="453E3F5F"/>
    <w:rsid w:val="454A6FB3"/>
    <w:rsid w:val="454F7167"/>
    <w:rsid w:val="45525385"/>
    <w:rsid w:val="45565205"/>
    <w:rsid w:val="455D140A"/>
    <w:rsid w:val="45623781"/>
    <w:rsid w:val="456357E4"/>
    <w:rsid w:val="457D4CF4"/>
    <w:rsid w:val="458D6F50"/>
    <w:rsid w:val="458E2AB7"/>
    <w:rsid w:val="45987D9F"/>
    <w:rsid w:val="459C0CF6"/>
    <w:rsid w:val="45B85970"/>
    <w:rsid w:val="45BE747B"/>
    <w:rsid w:val="45C94B69"/>
    <w:rsid w:val="45D106AD"/>
    <w:rsid w:val="45DA3BCA"/>
    <w:rsid w:val="45E67D9C"/>
    <w:rsid w:val="46022C31"/>
    <w:rsid w:val="46024FFD"/>
    <w:rsid w:val="460D510C"/>
    <w:rsid w:val="461B1C1B"/>
    <w:rsid w:val="462C7F0E"/>
    <w:rsid w:val="463E2B7F"/>
    <w:rsid w:val="465D5D03"/>
    <w:rsid w:val="465F6D66"/>
    <w:rsid w:val="46603AD2"/>
    <w:rsid w:val="4663002F"/>
    <w:rsid w:val="467008EE"/>
    <w:rsid w:val="467C331D"/>
    <w:rsid w:val="46893608"/>
    <w:rsid w:val="468B6E77"/>
    <w:rsid w:val="46941D03"/>
    <w:rsid w:val="46997E9F"/>
    <w:rsid w:val="46A936CA"/>
    <w:rsid w:val="46D81CA3"/>
    <w:rsid w:val="46E52615"/>
    <w:rsid w:val="46EE5581"/>
    <w:rsid w:val="46FF0988"/>
    <w:rsid w:val="470730D8"/>
    <w:rsid w:val="47090C5C"/>
    <w:rsid w:val="470B675F"/>
    <w:rsid w:val="4710374A"/>
    <w:rsid w:val="47232C7D"/>
    <w:rsid w:val="472E20E1"/>
    <w:rsid w:val="473F568E"/>
    <w:rsid w:val="47450803"/>
    <w:rsid w:val="474F7E72"/>
    <w:rsid w:val="475E02B3"/>
    <w:rsid w:val="47704ED5"/>
    <w:rsid w:val="47780858"/>
    <w:rsid w:val="47841B24"/>
    <w:rsid w:val="47990466"/>
    <w:rsid w:val="479E1809"/>
    <w:rsid w:val="47AC1753"/>
    <w:rsid w:val="47B02A25"/>
    <w:rsid w:val="47BD6E3A"/>
    <w:rsid w:val="47BF6850"/>
    <w:rsid w:val="47DA3502"/>
    <w:rsid w:val="47DA3CBF"/>
    <w:rsid w:val="47DB78B4"/>
    <w:rsid w:val="47E96C73"/>
    <w:rsid w:val="47F170D7"/>
    <w:rsid w:val="48051E3A"/>
    <w:rsid w:val="482B2C56"/>
    <w:rsid w:val="484B6097"/>
    <w:rsid w:val="485B6C46"/>
    <w:rsid w:val="48736FF4"/>
    <w:rsid w:val="487967E3"/>
    <w:rsid w:val="488232C0"/>
    <w:rsid w:val="48841996"/>
    <w:rsid w:val="488A25ED"/>
    <w:rsid w:val="48924FAE"/>
    <w:rsid w:val="4893564E"/>
    <w:rsid w:val="48A60A26"/>
    <w:rsid w:val="48AF7C19"/>
    <w:rsid w:val="48C64B27"/>
    <w:rsid w:val="48CD3817"/>
    <w:rsid w:val="48E266E0"/>
    <w:rsid w:val="48E307AD"/>
    <w:rsid w:val="48F57FB1"/>
    <w:rsid w:val="48F806D2"/>
    <w:rsid w:val="49103584"/>
    <w:rsid w:val="49107A31"/>
    <w:rsid w:val="49117CAA"/>
    <w:rsid w:val="49440E4F"/>
    <w:rsid w:val="495C2D33"/>
    <w:rsid w:val="49634D5F"/>
    <w:rsid w:val="49694EE9"/>
    <w:rsid w:val="497501A7"/>
    <w:rsid w:val="498241D9"/>
    <w:rsid w:val="49844A14"/>
    <w:rsid w:val="498E6640"/>
    <w:rsid w:val="49A3785C"/>
    <w:rsid w:val="49B11E03"/>
    <w:rsid w:val="49BC0A8C"/>
    <w:rsid w:val="49DB7F79"/>
    <w:rsid w:val="49E429BB"/>
    <w:rsid w:val="49F64E79"/>
    <w:rsid w:val="49F96717"/>
    <w:rsid w:val="49FE1156"/>
    <w:rsid w:val="4A0E6C36"/>
    <w:rsid w:val="4A1B140D"/>
    <w:rsid w:val="4A1E7F2C"/>
    <w:rsid w:val="4A1F6EE8"/>
    <w:rsid w:val="4A4554B8"/>
    <w:rsid w:val="4A5C78AF"/>
    <w:rsid w:val="4A7A7599"/>
    <w:rsid w:val="4A7C3C30"/>
    <w:rsid w:val="4A881849"/>
    <w:rsid w:val="4A896EDA"/>
    <w:rsid w:val="4A982428"/>
    <w:rsid w:val="4A9D32CF"/>
    <w:rsid w:val="4AA5064D"/>
    <w:rsid w:val="4AA76981"/>
    <w:rsid w:val="4AA86C46"/>
    <w:rsid w:val="4AA90AEB"/>
    <w:rsid w:val="4AAE4790"/>
    <w:rsid w:val="4ABA2FD6"/>
    <w:rsid w:val="4AED4D01"/>
    <w:rsid w:val="4AF13F64"/>
    <w:rsid w:val="4AF6025D"/>
    <w:rsid w:val="4B031E9C"/>
    <w:rsid w:val="4B0B4AFC"/>
    <w:rsid w:val="4B2109B6"/>
    <w:rsid w:val="4B234CF3"/>
    <w:rsid w:val="4B237456"/>
    <w:rsid w:val="4B24465B"/>
    <w:rsid w:val="4B285A97"/>
    <w:rsid w:val="4B2E7102"/>
    <w:rsid w:val="4B44341B"/>
    <w:rsid w:val="4B5300A9"/>
    <w:rsid w:val="4B627817"/>
    <w:rsid w:val="4B751DCD"/>
    <w:rsid w:val="4B7636D8"/>
    <w:rsid w:val="4B86222C"/>
    <w:rsid w:val="4B8939E3"/>
    <w:rsid w:val="4BA50E29"/>
    <w:rsid w:val="4BA559C6"/>
    <w:rsid w:val="4BA7611D"/>
    <w:rsid w:val="4BAA5D2B"/>
    <w:rsid w:val="4BAD551E"/>
    <w:rsid w:val="4BB40B20"/>
    <w:rsid w:val="4BBA44B3"/>
    <w:rsid w:val="4BBB2822"/>
    <w:rsid w:val="4BC603D9"/>
    <w:rsid w:val="4BD225B6"/>
    <w:rsid w:val="4BD764BD"/>
    <w:rsid w:val="4BF036B5"/>
    <w:rsid w:val="4BF16DC9"/>
    <w:rsid w:val="4BFF19BC"/>
    <w:rsid w:val="4C087DF8"/>
    <w:rsid w:val="4C0A5E6B"/>
    <w:rsid w:val="4C2B5EA0"/>
    <w:rsid w:val="4C2D27D0"/>
    <w:rsid w:val="4C2F0D06"/>
    <w:rsid w:val="4C3B0668"/>
    <w:rsid w:val="4C4202D5"/>
    <w:rsid w:val="4C6D4301"/>
    <w:rsid w:val="4C7B19CA"/>
    <w:rsid w:val="4C856040"/>
    <w:rsid w:val="4C955C9B"/>
    <w:rsid w:val="4C9D782D"/>
    <w:rsid w:val="4CA12161"/>
    <w:rsid w:val="4CAF3693"/>
    <w:rsid w:val="4CB30DFF"/>
    <w:rsid w:val="4CB340F5"/>
    <w:rsid w:val="4CC73E65"/>
    <w:rsid w:val="4CCE3C34"/>
    <w:rsid w:val="4CD13393"/>
    <w:rsid w:val="4CE760BC"/>
    <w:rsid w:val="4CF8344A"/>
    <w:rsid w:val="4CFE5FF1"/>
    <w:rsid w:val="4D173A05"/>
    <w:rsid w:val="4D1D51A1"/>
    <w:rsid w:val="4D212EE6"/>
    <w:rsid w:val="4D265DD8"/>
    <w:rsid w:val="4D2A714F"/>
    <w:rsid w:val="4D2B5E1C"/>
    <w:rsid w:val="4D2D7829"/>
    <w:rsid w:val="4D3D04F4"/>
    <w:rsid w:val="4D4C2939"/>
    <w:rsid w:val="4D5506D3"/>
    <w:rsid w:val="4D6151EC"/>
    <w:rsid w:val="4D6934BE"/>
    <w:rsid w:val="4D8308E7"/>
    <w:rsid w:val="4DA60964"/>
    <w:rsid w:val="4DAB0561"/>
    <w:rsid w:val="4DB7491F"/>
    <w:rsid w:val="4DCF7EBB"/>
    <w:rsid w:val="4DD324B8"/>
    <w:rsid w:val="4DDA23BB"/>
    <w:rsid w:val="4DDB7D1F"/>
    <w:rsid w:val="4DF47C64"/>
    <w:rsid w:val="4E050D9E"/>
    <w:rsid w:val="4E0C2107"/>
    <w:rsid w:val="4E112E9F"/>
    <w:rsid w:val="4E1572A4"/>
    <w:rsid w:val="4E17314E"/>
    <w:rsid w:val="4E2E44B5"/>
    <w:rsid w:val="4E4B094C"/>
    <w:rsid w:val="4E661EA1"/>
    <w:rsid w:val="4E6A1774"/>
    <w:rsid w:val="4E6C2C8D"/>
    <w:rsid w:val="4E6D523F"/>
    <w:rsid w:val="4E7F55C6"/>
    <w:rsid w:val="4E8E4B44"/>
    <w:rsid w:val="4E976064"/>
    <w:rsid w:val="4EAA3D54"/>
    <w:rsid w:val="4EAC3E11"/>
    <w:rsid w:val="4EC16D6E"/>
    <w:rsid w:val="4EC703CB"/>
    <w:rsid w:val="4ED97DE9"/>
    <w:rsid w:val="4EE04698"/>
    <w:rsid w:val="4EE52DBC"/>
    <w:rsid w:val="4EE66743"/>
    <w:rsid w:val="4EEE6062"/>
    <w:rsid w:val="4EEF25EE"/>
    <w:rsid w:val="4F064A09"/>
    <w:rsid w:val="4F112A7C"/>
    <w:rsid w:val="4F1C2E7C"/>
    <w:rsid w:val="4F1E277A"/>
    <w:rsid w:val="4F215FAC"/>
    <w:rsid w:val="4F6110DC"/>
    <w:rsid w:val="4F612613"/>
    <w:rsid w:val="4F6D25AA"/>
    <w:rsid w:val="4F762F45"/>
    <w:rsid w:val="4F9C60B1"/>
    <w:rsid w:val="4FA035DB"/>
    <w:rsid w:val="4FAD090B"/>
    <w:rsid w:val="4FB36542"/>
    <w:rsid w:val="4FB629B4"/>
    <w:rsid w:val="4FC338EB"/>
    <w:rsid w:val="4FD931D9"/>
    <w:rsid w:val="4FDB4050"/>
    <w:rsid w:val="4FDE03FB"/>
    <w:rsid w:val="4FE021C4"/>
    <w:rsid w:val="4FE76B0F"/>
    <w:rsid w:val="4FEB74AF"/>
    <w:rsid w:val="4FED6AAB"/>
    <w:rsid w:val="50051785"/>
    <w:rsid w:val="5034794E"/>
    <w:rsid w:val="50414974"/>
    <w:rsid w:val="50444262"/>
    <w:rsid w:val="5045259B"/>
    <w:rsid w:val="504B78F2"/>
    <w:rsid w:val="505C175A"/>
    <w:rsid w:val="507B3B09"/>
    <w:rsid w:val="507C09E3"/>
    <w:rsid w:val="507E6BAF"/>
    <w:rsid w:val="5081018E"/>
    <w:rsid w:val="50974594"/>
    <w:rsid w:val="50B23838"/>
    <w:rsid w:val="50BF21D4"/>
    <w:rsid w:val="50CA111E"/>
    <w:rsid w:val="50D5386F"/>
    <w:rsid w:val="50D6330E"/>
    <w:rsid w:val="51000403"/>
    <w:rsid w:val="51010291"/>
    <w:rsid w:val="510D2AA8"/>
    <w:rsid w:val="51184992"/>
    <w:rsid w:val="51193F9F"/>
    <w:rsid w:val="511B668F"/>
    <w:rsid w:val="512D11B7"/>
    <w:rsid w:val="51476011"/>
    <w:rsid w:val="51557ECE"/>
    <w:rsid w:val="516875FE"/>
    <w:rsid w:val="516D4C2E"/>
    <w:rsid w:val="51844B18"/>
    <w:rsid w:val="51A12333"/>
    <w:rsid w:val="51A63000"/>
    <w:rsid w:val="51A7727E"/>
    <w:rsid w:val="51D54467"/>
    <w:rsid w:val="51D70F4D"/>
    <w:rsid w:val="51E07503"/>
    <w:rsid w:val="51F02E40"/>
    <w:rsid w:val="51FA13A6"/>
    <w:rsid w:val="52241380"/>
    <w:rsid w:val="52287864"/>
    <w:rsid w:val="524747B4"/>
    <w:rsid w:val="525B2D08"/>
    <w:rsid w:val="52656D41"/>
    <w:rsid w:val="526861E8"/>
    <w:rsid w:val="526B6504"/>
    <w:rsid w:val="52740E18"/>
    <w:rsid w:val="5279537E"/>
    <w:rsid w:val="52847A0C"/>
    <w:rsid w:val="5296385A"/>
    <w:rsid w:val="529D38B6"/>
    <w:rsid w:val="52AF3FE4"/>
    <w:rsid w:val="52B706F7"/>
    <w:rsid w:val="52B810D5"/>
    <w:rsid w:val="52C269BE"/>
    <w:rsid w:val="52DA6C6E"/>
    <w:rsid w:val="52DD39CC"/>
    <w:rsid w:val="52EB4AAD"/>
    <w:rsid w:val="52F23FCE"/>
    <w:rsid w:val="530652A9"/>
    <w:rsid w:val="531156D9"/>
    <w:rsid w:val="532C3A25"/>
    <w:rsid w:val="532F1863"/>
    <w:rsid w:val="53382671"/>
    <w:rsid w:val="533D408B"/>
    <w:rsid w:val="533D5666"/>
    <w:rsid w:val="534C2B02"/>
    <w:rsid w:val="53745DB3"/>
    <w:rsid w:val="537C7669"/>
    <w:rsid w:val="5381780D"/>
    <w:rsid w:val="539041E0"/>
    <w:rsid w:val="53A46B79"/>
    <w:rsid w:val="53A6710C"/>
    <w:rsid w:val="53AE40CE"/>
    <w:rsid w:val="53AF5AA8"/>
    <w:rsid w:val="53BC6CCF"/>
    <w:rsid w:val="53C27B7A"/>
    <w:rsid w:val="53C47D96"/>
    <w:rsid w:val="53C77F57"/>
    <w:rsid w:val="53D22AA9"/>
    <w:rsid w:val="53DE197A"/>
    <w:rsid w:val="53ED7C0D"/>
    <w:rsid w:val="53F578E5"/>
    <w:rsid w:val="53FC0C91"/>
    <w:rsid w:val="54061961"/>
    <w:rsid w:val="54080E8D"/>
    <w:rsid w:val="540E1011"/>
    <w:rsid w:val="54131BEC"/>
    <w:rsid w:val="54190E25"/>
    <w:rsid w:val="54445AE0"/>
    <w:rsid w:val="544523B3"/>
    <w:rsid w:val="544570D0"/>
    <w:rsid w:val="544E6835"/>
    <w:rsid w:val="545032F6"/>
    <w:rsid w:val="5454111A"/>
    <w:rsid w:val="5486329D"/>
    <w:rsid w:val="54926F64"/>
    <w:rsid w:val="54A41D5A"/>
    <w:rsid w:val="54A83213"/>
    <w:rsid w:val="54AB2AA2"/>
    <w:rsid w:val="54BB381F"/>
    <w:rsid w:val="54BD7930"/>
    <w:rsid w:val="54D14EA7"/>
    <w:rsid w:val="54E829F1"/>
    <w:rsid w:val="54F5471B"/>
    <w:rsid w:val="54F621D1"/>
    <w:rsid w:val="54F709F0"/>
    <w:rsid w:val="54FE1AD7"/>
    <w:rsid w:val="552503C0"/>
    <w:rsid w:val="552561E7"/>
    <w:rsid w:val="5528460A"/>
    <w:rsid w:val="55317CA3"/>
    <w:rsid w:val="55320703"/>
    <w:rsid w:val="55322B33"/>
    <w:rsid w:val="553E2A96"/>
    <w:rsid w:val="554D21CF"/>
    <w:rsid w:val="55572496"/>
    <w:rsid w:val="55754F1F"/>
    <w:rsid w:val="558B10F4"/>
    <w:rsid w:val="558F1CDD"/>
    <w:rsid w:val="55971A86"/>
    <w:rsid w:val="559E6B4F"/>
    <w:rsid w:val="55A93FFB"/>
    <w:rsid w:val="55AD7820"/>
    <w:rsid w:val="55B350BC"/>
    <w:rsid w:val="55B37861"/>
    <w:rsid w:val="55BB39A8"/>
    <w:rsid w:val="55C02826"/>
    <w:rsid w:val="55D906BB"/>
    <w:rsid w:val="55E04FE5"/>
    <w:rsid w:val="55E14385"/>
    <w:rsid w:val="55E43EFE"/>
    <w:rsid w:val="55E769DB"/>
    <w:rsid w:val="55E8250C"/>
    <w:rsid w:val="55E86E45"/>
    <w:rsid w:val="55EA5CDC"/>
    <w:rsid w:val="55ED1840"/>
    <w:rsid w:val="55EE640B"/>
    <w:rsid w:val="560063AE"/>
    <w:rsid w:val="560E52F8"/>
    <w:rsid w:val="560F0B67"/>
    <w:rsid w:val="5617575F"/>
    <w:rsid w:val="56222B52"/>
    <w:rsid w:val="562516B6"/>
    <w:rsid w:val="563E100E"/>
    <w:rsid w:val="56414F9E"/>
    <w:rsid w:val="56476AF2"/>
    <w:rsid w:val="56497FC2"/>
    <w:rsid w:val="56815665"/>
    <w:rsid w:val="56911DD3"/>
    <w:rsid w:val="5694745C"/>
    <w:rsid w:val="569F7D3E"/>
    <w:rsid w:val="56BA1747"/>
    <w:rsid w:val="56C63E25"/>
    <w:rsid w:val="56D83AEA"/>
    <w:rsid w:val="56DF76BE"/>
    <w:rsid w:val="56EA5A67"/>
    <w:rsid w:val="56F7143B"/>
    <w:rsid w:val="56F87A79"/>
    <w:rsid w:val="570A1D7A"/>
    <w:rsid w:val="570E742F"/>
    <w:rsid w:val="570F7F9E"/>
    <w:rsid w:val="57134C3B"/>
    <w:rsid w:val="57137332"/>
    <w:rsid w:val="571445C0"/>
    <w:rsid w:val="57325016"/>
    <w:rsid w:val="573656B3"/>
    <w:rsid w:val="574F0ED8"/>
    <w:rsid w:val="57596A47"/>
    <w:rsid w:val="576C24C4"/>
    <w:rsid w:val="577279C9"/>
    <w:rsid w:val="577E0FB2"/>
    <w:rsid w:val="57811AFA"/>
    <w:rsid w:val="5787202E"/>
    <w:rsid w:val="578E71BD"/>
    <w:rsid w:val="57A8352A"/>
    <w:rsid w:val="57C22E94"/>
    <w:rsid w:val="57CC7219"/>
    <w:rsid w:val="57F329F7"/>
    <w:rsid w:val="580D6FE5"/>
    <w:rsid w:val="58102661"/>
    <w:rsid w:val="581431A9"/>
    <w:rsid w:val="581840B2"/>
    <w:rsid w:val="58252C6C"/>
    <w:rsid w:val="582E2A70"/>
    <w:rsid w:val="583927D5"/>
    <w:rsid w:val="583A1D13"/>
    <w:rsid w:val="583A6878"/>
    <w:rsid w:val="584D1F68"/>
    <w:rsid w:val="58501F7D"/>
    <w:rsid w:val="585E3BBA"/>
    <w:rsid w:val="58607961"/>
    <w:rsid w:val="58626D86"/>
    <w:rsid w:val="58723C2B"/>
    <w:rsid w:val="589F492D"/>
    <w:rsid w:val="589F4E9A"/>
    <w:rsid w:val="58B44B09"/>
    <w:rsid w:val="58BD3E5D"/>
    <w:rsid w:val="58E03B3E"/>
    <w:rsid w:val="58E46579"/>
    <w:rsid w:val="58F033DB"/>
    <w:rsid w:val="58FC187F"/>
    <w:rsid w:val="590333AC"/>
    <w:rsid w:val="59106C91"/>
    <w:rsid w:val="591128C1"/>
    <w:rsid w:val="592D018B"/>
    <w:rsid w:val="592F6224"/>
    <w:rsid w:val="59307FE7"/>
    <w:rsid w:val="594972F0"/>
    <w:rsid w:val="594C3926"/>
    <w:rsid w:val="594D5833"/>
    <w:rsid w:val="59655C71"/>
    <w:rsid w:val="596838F5"/>
    <w:rsid w:val="596E36CE"/>
    <w:rsid w:val="59723DF0"/>
    <w:rsid w:val="597778A4"/>
    <w:rsid w:val="597B2CA5"/>
    <w:rsid w:val="5982034A"/>
    <w:rsid w:val="598B5A2F"/>
    <w:rsid w:val="598C1AFF"/>
    <w:rsid w:val="599817FB"/>
    <w:rsid w:val="59B45199"/>
    <w:rsid w:val="59C06580"/>
    <w:rsid w:val="59C42B5F"/>
    <w:rsid w:val="59C53C2E"/>
    <w:rsid w:val="59C74DD2"/>
    <w:rsid w:val="59D77B99"/>
    <w:rsid w:val="59FB5802"/>
    <w:rsid w:val="5A03269A"/>
    <w:rsid w:val="5A154262"/>
    <w:rsid w:val="5A382E8D"/>
    <w:rsid w:val="5A5A79CF"/>
    <w:rsid w:val="5A5E09C0"/>
    <w:rsid w:val="5A6312A8"/>
    <w:rsid w:val="5A633E34"/>
    <w:rsid w:val="5A642790"/>
    <w:rsid w:val="5A697BFB"/>
    <w:rsid w:val="5A7900BD"/>
    <w:rsid w:val="5A7B5601"/>
    <w:rsid w:val="5A822668"/>
    <w:rsid w:val="5A984AFF"/>
    <w:rsid w:val="5AB346C0"/>
    <w:rsid w:val="5AB47F9F"/>
    <w:rsid w:val="5ABB4EBE"/>
    <w:rsid w:val="5AC37FD5"/>
    <w:rsid w:val="5AC46264"/>
    <w:rsid w:val="5ACB42A7"/>
    <w:rsid w:val="5AD366D4"/>
    <w:rsid w:val="5AD52F33"/>
    <w:rsid w:val="5AEC70B0"/>
    <w:rsid w:val="5AEF6C7D"/>
    <w:rsid w:val="5AF32B6B"/>
    <w:rsid w:val="5AF820D3"/>
    <w:rsid w:val="5B0324F7"/>
    <w:rsid w:val="5B0F7DFC"/>
    <w:rsid w:val="5B105A50"/>
    <w:rsid w:val="5B2E7266"/>
    <w:rsid w:val="5B3C394A"/>
    <w:rsid w:val="5B447729"/>
    <w:rsid w:val="5B5B7DA3"/>
    <w:rsid w:val="5B6F5125"/>
    <w:rsid w:val="5B7163A9"/>
    <w:rsid w:val="5B720AB4"/>
    <w:rsid w:val="5B756EDA"/>
    <w:rsid w:val="5B765E19"/>
    <w:rsid w:val="5B7723EF"/>
    <w:rsid w:val="5B90055D"/>
    <w:rsid w:val="5B915E77"/>
    <w:rsid w:val="5B9B762E"/>
    <w:rsid w:val="5BA730F5"/>
    <w:rsid w:val="5BF163AA"/>
    <w:rsid w:val="5BF325E0"/>
    <w:rsid w:val="5BF80AFE"/>
    <w:rsid w:val="5BFE5C93"/>
    <w:rsid w:val="5C016CE9"/>
    <w:rsid w:val="5C217D40"/>
    <w:rsid w:val="5C2A2B41"/>
    <w:rsid w:val="5C317F92"/>
    <w:rsid w:val="5C337099"/>
    <w:rsid w:val="5C451288"/>
    <w:rsid w:val="5C7D74A5"/>
    <w:rsid w:val="5C803754"/>
    <w:rsid w:val="5C8242CF"/>
    <w:rsid w:val="5CB34BDD"/>
    <w:rsid w:val="5CB411D3"/>
    <w:rsid w:val="5CB75E55"/>
    <w:rsid w:val="5CB932F0"/>
    <w:rsid w:val="5CC21DB3"/>
    <w:rsid w:val="5CC43EA3"/>
    <w:rsid w:val="5CC47433"/>
    <w:rsid w:val="5CD252D1"/>
    <w:rsid w:val="5CE302A7"/>
    <w:rsid w:val="5D1B3BAA"/>
    <w:rsid w:val="5D215911"/>
    <w:rsid w:val="5D26770E"/>
    <w:rsid w:val="5D2D1B50"/>
    <w:rsid w:val="5D2E78C2"/>
    <w:rsid w:val="5D305FF9"/>
    <w:rsid w:val="5D32274C"/>
    <w:rsid w:val="5D374728"/>
    <w:rsid w:val="5D4B5084"/>
    <w:rsid w:val="5D5D5EF3"/>
    <w:rsid w:val="5D615E42"/>
    <w:rsid w:val="5D7312C1"/>
    <w:rsid w:val="5D760FC8"/>
    <w:rsid w:val="5D786678"/>
    <w:rsid w:val="5D7C3FE0"/>
    <w:rsid w:val="5D813A16"/>
    <w:rsid w:val="5D8E2377"/>
    <w:rsid w:val="5D9053B5"/>
    <w:rsid w:val="5D975223"/>
    <w:rsid w:val="5D9A4445"/>
    <w:rsid w:val="5DA21255"/>
    <w:rsid w:val="5DA3089A"/>
    <w:rsid w:val="5DA91741"/>
    <w:rsid w:val="5DC15E1F"/>
    <w:rsid w:val="5DC310BE"/>
    <w:rsid w:val="5DE72317"/>
    <w:rsid w:val="5DF24F1C"/>
    <w:rsid w:val="5DF93420"/>
    <w:rsid w:val="5E01379A"/>
    <w:rsid w:val="5E0948E2"/>
    <w:rsid w:val="5E122818"/>
    <w:rsid w:val="5E1E11DD"/>
    <w:rsid w:val="5E34730C"/>
    <w:rsid w:val="5E4C2EF5"/>
    <w:rsid w:val="5E6F0C25"/>
    <w:rsid w:val="5E7B3AA0"/>
    <w:rsid w:val="5E813525"/>
    <w:rsid w:val="5E8358D8"/>
    <w:rsid w:val="5EAA4A55"/>
    <w:rsid w:val="5EAE7678"/>
    <w:rsid w:val="5EB64F1F"/>
    <w:rsid w:val="5EB92730"/>
    <w:rsid w:val="5EC337B6"/>
    <w:rsid w:val="5EDA0C51"/>
    <w:rsid w:val="5EE16635"/>
    <w:rsid w:val="5EE65064"/>
    <w:rsid w:val="5EE86C59"/>
    <w:rsid w:val="5F11646E"/>
    <w:rsid w:val="5F41398D"/>
    <w:rsid w:val="5F756F35"/>
    <w:rsid w:val="5F7C438F"/>
    <w:rsid w:val="5F7F4A2A"/>
    <w:rsid w:val="5F8038E9"/>
    <w:rsid w:val="5F8373D4"/>
    <w:rsid w:val="5F8E3006"/>
    <w:rsid w:val="5F944AC0"/>
    <w:rsid w:val="5FA47EEC"/>
    <w:rsid w:val="5FB7068F"/>
    <w:rsid w:val="5FD37C6E"/>
    <w:rsid w:val="5FE26C68"/>
    <w:rsid w:val="5FE902A2"/>
    <w:rsid w:val="5FF65CEA"/>
    <w:rsid w:val="602467F3"/>
    <w:rsid w:val="602C2F4B"/>
    <w:rsid w:val="60352F23"/>
    <w:rsid w:val="60481095"/>
    <w:rsid w:val="605B4FC2"/>
    <w:rsid w:val="60657D02"/>
    <w:rsid w:val="607248DB"/>
    <w:rsid w:val="60780338"/>
    <w:rsid w:val="607B1885"/>
    <w:rsid w:val="608B66F5"/>
    <w:rsid w:val="608D150F"/>
    <w:rsid w:val="608D3DD3"/>
    <w:rsid w:val="609D1752"/>
    <w:rsid w:val="609D3D4F"/>
    <w:rsid w:val="60AB40E2"/>
    <w:rsid w:val="60B91210"/>
    <w:rsid w:val="60E209F5"/>
    <w:rsid w:val="60E21665"/>
    <w:rsid w:val="60F4177A"/>
    <w:rsid w:val="60FA4277"/>
    <w:rsid w:val="61113EEE"/>
    <w:rsid w:val="61132C99"/>
    <w:rsid w:val="611D6E8E"/>
    <w:rsid w:val="61433328"/>
    <w:rsid w:val="6144264B"/>
    <w:rsid w:val="614B41C2"/>
    <w:rsid w:val="614C2FB0"/>
    <w:rsid w:val="61526019"/>
    <w:rsid w:val="615945F9"/>
    <w:rsid w:val="615F53BF"/>
    <w:rsid w:val="616466DC"/>
    <w:rsid w:val="618E2AB5"/>
    <w:rsid w:val="61A25E55"/>
    <w:rsid w:val="61B56F70"/>
    <w:rsid w:val="61B62E3E"/>
    <w:rsid w:val="61CE1DDF"/>
    <w:rsid w:val="61DE0B6F"/>
    <w:rsid w:val="61E32239"/>
    <w:rsid w:val="61EA79DC"/>
    <w:rsid w:val="61FE1742"/>
    <w:rsid w:val="620101D2"/>
    <w:rsid w:val="620548B1"/>
    <w:rsid w:val="620E5F16"/>
    <w:rsid w:val="623728CA"/>
    <w:rsid w:val="624D3A93"/>
    <w:rsid w:val="625C75BE"/>
    <w:rsid w:val="62602AAB"/>
    <w:rsid w:val="62650996"/>
    <w:rsid w:val="6270123F"/>
    <w:rsid w:val="627222EF"/>
    <w:rsid w:val="629D4AAD"/>
    <w:rsid w:val="629F3123"/>
    <w:rsid w:val="62A67A24"/>
    <w:rsid w:val="62CE5E46"/>
    <w:rsid w:val="62DC3E60"/>
    <w:rsid w:val="62DF24F6"/>
    <w:rsid w:val="62F31AFE"/>
    <w:rsid w:val="630464D6"/>
    <w:rsid w:val="630E06E5"/>
    <w:rsid w:val="63301912"/>
    <w:rsid w:val="63444FA0"/>
    <w:rsid w:val="634935E7"/>
    <w:rsid w:val="63530770"/>
    <w:rsid w:val="63566883"/>
    <w:rsid w:val="637A5D7B"/>
    <w:rsid w:val="63A02F40"/>
    <w:rsid w:val="63A30181"/>
    <w:rsid w:val="63A64DC2"/>
    <w:rsid w:val="63A9050C"/>
    <w:rsid w:val="63B224AD"/>
    <w:rsid w:val="63C71633"/>
    <w:rsid w:val="63E863CD"/>
    <w:rsid w:val="63F073E0"/>
    <w:rsid w:val="64041F60"/>
    <w:rsid w:val="64092871"/>
    <w:rsid w:val="641904D8"/>
    <w:rsid w:val="64242888"/>
    <w:rsid w:val="64522045"/>
    <w:rsid w:val="645328AB"/>
    <w:rsid w:val="64635275"/>
    <w:rsid w:val="64880F06"/>
    <w:rsid w:val="649857ED"/>
    <w:rsid w:val="64987DEE"/>
    <w:rsid w:val="64A1025F"/>
    <w:rsid w:val="64B266AE"/>
    <w:rsid w:val="64CC0718"/>
    <w:rsid w:val="64CF0C9A"/>
    <w:rsid w:val="64E47E40"/>
    <w:rsid w:val="65026E4B"/>
    <w:rsid w:val="650742CD"/>
    <w:rsid w:val="650A532B"/>
    <w:rsid w:val="65165479"/>
    <w:rsid w:val="65177DDD"/>
    <w:rsid w:val="651F1D8D"/>
    <w:rsid w:val="65266094"/>
    <w:rsid w:val="652C2400"/>
    <w:rsid w:val="6531300A"/>
    <w:rsid w:val="653528A1"/>
    <w:rsid w:val="653661D8"/>
    <w:rsid w:val="653F4DA6"/>
    <w:rsid w:val="65416355"/>
    <w:rsid w:val="654749A2"/>
    <w:rsid w:val="65634799"/>
    <w:rsid w:val="65644F35"/>
    <w:rsid w:val="656960A7"/>
    <w:rsid w:val="657131E3"/>
    <w:rsid w:val="657D6390"/>
    <w:rsid w:val="65893289"/>
    <w:rsid w:val="658B0E08"/>
    <w:rsid w:val="658C6239"/>
    <w:rsid w:val="659B0F3F"/>
    <w:rsid w:val="65B412AE"/>
    <w:rsid w:val="65C43737"/>
    <w:rsid w:val="65C93C6C"/>
    <w:rsid w:val="65DC66D8"/>
    <w:rsid w:val="65E03F8B"/>
    <w:rsid w:val="65EB1000"/>
    <w:rsid w:val="65F01167"/>
    <w:rsid w:val="65F33E5A"/>
    <w:rsid w:val="65F570F4"/>
    <w:rsid w:val="66031B1C"/>
    <w:rsid w:val="66157FDD"/>
    <w:rsid w:val="661F2D9B"/>
    <w:rsid w:val="66206279"/>
    <w:rsid w:val="66233C33"/>
    <w:rsid w:val="66240220"/>
    <w:rsid w:val="662639F1"/>
    <w:rsid w:val="66270E8A"/>
    <w:rsid w:val="6635708C"/>
    <w:rsid w:val="66405BB9"/>
    <w:rsid w:val="66417F95"/>
    <w:rsid w:val="6645012C"/>
    <w:rsid w:val="666265F1"/>
    <w:rsid w:val="66690FC7"/>
    <w:rsid w:val="666B51EB"/>
    <w:rsid w:val="666F3517"/>
    <w:rsid w:val="6677474F"/>
    <w:rsid w:val="667A5E48"/>
    <w:rsid w:val="668238AC"/>
    <w:rsid w:val="66852827"/>
    <w:rsid w:val="66893592"/>
    <w:rsid w:val="669076A6"/>
    <w:rsid w:val="66930C1D"/>
    <w:rsid w:val="66934306"/>
    <w:rsid w:val="66960E43"/>
    <w:rsid w:val="6696773E"/>
    <w:rsid w:val="669C425A"/>
    <w:rsid w:val="66B73CA4"/>
    <w:rsid w:val="66C1464B"/>
    <w:rsid w:val="66F90326"/>
    <w:rsid w:val="67006EDF"/>
    <w:rsid w:val="67054DB1"/>
    <w:rsid w:val="6715040C"/>
    <w:rsid w:val="6716400D"/>
    <w:rsid w:val="67204E8B"/>
    <w:rsid w:val="673B28D7"/>
    <w:rsid w:val="676323F6"/>
    <w:rsid w:val="67672ABA"/>
    <w:rsid w:val="67697725"/>
    <w:rsid w:val="67875C5B"/>
    <w:rsid w:val="679218F4"/>
    <w:rsid w:val="679715EF"/>
    <w:rsid w:val="67AB2F75"/>
    <w:rsid w:val="67AC4C29"/>
    <w:rsid w:val="67AF1239"/>
    <w:rsid w:val="67C019F6"/>
    <w:rsid w:val="67C45C3F"/>
    <w:rsid w:val="67D4409A"/>
    <w:rsid w:val="67D839B8"/>
    <w:rsid w:val="67DA7730"/>
    <w:rsid w:val="67F73E3E"/>
    <w:rsid w:val="68034B64"/>
    <w:rsid w:val="68040309"/>
    <w:rsid w:val="680901FC"/>
    <w:rsid w:val="680B0B7F"/>
    <w:rsid w:val="68194915"/>
    <w:rsid w:val="6825536A"/>
    <w:rsid w:val="6830454E"/>
    <w:rsid w:val="683763FA"/>
    <w:rsid w:val="683E4156"/>
    <w:rsid w:val="685F0D5A"/>
    <w:rsid w:val="68622CEC"/>
    <w:rsid w:val="68641EF1"/>
    <w:rsid w:val="68AA554B"/>
    <w:rsid w:val="68B25322"/>
    <w:rsid w:val="68CE40AE"/>
    <w:rsid w:val="68F24A4A"/>
    <w:rsid w:val="68FE6ED3"/>
    <w:rsid w:val="68FF1A35"/>
    <w:rsid w:val="690633C4"/>
    <w:rsid w:val="69083568"/>
    <w:rsid w:val="69083E29"/>
    <w:rsid w:val="69136C51"/>
    <w:rsid w:val="69143BFF"/>
    <w:rsid w:val="692D1AE1"/>
    <w:rsid w:val="69417B15"/>
    <w:rsid w:val="69417D57"/>
    <w:rsid w:val="694F2F69"/>
    <w:rsid w:val="6958090C"/>
    <w:rsid w:val="695D4220"/>
    <w:rsid w:val="696349E1"/>
    <w:rsid w:val="696C2E89"/>
    <w:rsid w:val="69731BEA"/>
    <w:rsid w:val="6975173A"/>
    <w:rsid w:val="69797DDF"/>
    <w:rsid w:val="69850B6B"/>
    <w:rsid w:val="698570CA"/>
    <w:rsid w:val="69931515"/>
    <w:rsid w:val="69936B49"/>
    <w:rsid w:val="69C62397"/>
    <w:rsid w:val="69E91EAC"/>
    <w:rsid w:val="69F77C7F"/>
    <w:rsid w:val="6A162DF8"/>
    <w:rsid w:val="6A252F35"/>
    <w:rsid w:val="6A2D7FEB"/>
    <w:rsid w:val="6A351853"/>
    <w:rsid w:val="6A455040"/>
    <w:rsid w:val="6A6637DF"/>
    <w:rsid w:val="6A845767"/>
    <w:rsid w:val="6AA200A1"/>
    <w:rsid w:val="6AA94ECB"/>
    <w:rsid w:val="6AB204F0"/>
    <w:rsid w:val="6AB93D5C"/>
    <w:rsid w:val="6ABC6E10"/>
    <w:rsid w:val="6AC16A1E"/>
    <w:rsid w:val="6AC66FFB"/>
    <w:rsid w:val="6ACD532A"/>
    <w:rsid w:val="6AD63FFA"/>
    <w:rsid w:val="6AE9740E"/>
    <w:rsid w:val="6B07045F"/>
    <w:rsid w:val="6B073204"/>
    <w:rsid w:val="6B202B38"/>
    <w:rsid w:val="6B2541A9"/>
    <w:rsid w:val="6B2E4163"/>
    <w:rsid w:val="6B3B3580"/>
    <w:rsid w:val="6B403D4E"/>
    <w:rsid w:val="6B6457A7"/>
    <w:rsid w:val="6B80261B"/>
    <w:rsid w:val="6B8754D9"/>
    <w:rsid w:val="6B8A5D84"/>
    <w:rsid w:val="6B8F2794"/>
    <w:rsid w:val="6B94507B"/>
    <w:rsid w:val="6B9D7597"/>
    <w:rsid w:val="6B9F2E83"/>
    <w:rsid w:val="6BA92C56"/>
    <w:rsid w:val="6BB107A8"/>
    <w:rsid w:val="6BB50986"/>
    <w:rsid w:val="6BC26987"/>
    <w:rsid w:val="6BD022F0"/>
    <w:rsid w:val="6BD4289E"/>
    <w:rsid w:val="6BD70516"/>
    <w:rsid w:val="6BFB2DED"/>
    <w:rsid w:val="6BFF67E0"/>
    <w:rsid w:val="6C011EC8"/>
    <w:rsid w:val="6C101849"/>
    <w:rsid w:val="6C182F3A"/>
    <w:rsid w:val="6C1A4CD7"/>
    <w:rsid w:val="6C1F5D73"/>
    <w:rsid w:val="6C382346"/>
    <w:rsid w:val="6C490CED"/>
    <w:rsid w:val="6C524672"/>
    <w:rsid w:val="6C68063E"/>
    <w:rsid w:val="6C712050"/>
    <w:rsid w:val="6C751B62"/>
    <w:rsid w:val="6C7E5C37"/>
    <w:rsid w:val="6C870721"/>
    <w:rsid w:val="6CA11A0F"/>
    <w:rsid w:val="6CA23D5B"/>
    <w:rsid w:val="6CA52DF4"/>
    <w:rsid w:val="6CAD725C"/>
    <w:rsid w:val="6CB5780E"/>
    <w:rsid w:val="6CB80E34"/>
    <w:rsid w:val="6CD72490"/>
    <w:rsid w:val="6CD96208"/>
    <w:rsid w:val="6CE433B6"/>
    <w:rsid w:val="6CE71523"/>
    <w:rsid w:val="6CF066C7"/>
    <w:rsid w:val="6CFD1196"/>
    <w:rsid w:val="6CFE20B7"/>
    <w:rsid w:val="6D445B39"/>
    <w:rsid w:val="6D512807"/>
    <w:rsid w:val="6D6C1B3F"/>
    <w:rsid w:val="6D741E1F"/>
    <w:rsid w:val="6D746268"/>
    <w:rsid w:val="6D8964A7"/>
    <w:rsid w:val="6DB371CF"/>
    <w:rsid w:val="6DCB6770"/>
    <w:rsid w:val="6E2E3B7D"/>
    <w:rsid w:val="6E4B2922"/>
    <w:rsid w:val="6E5D7BFD"/>
    <w:rsid w:val="6E644AEF"/>
    <w:rsid w:val="6E663EF9"/>
    <w:rsid w:val="6E71357C"/>
    <w:rsid w:val="6E737409"/>
    <w:rsid w:val="6E767C46"/>
    <w:rsid w:val="6E786C74"/>
    <w:rsid w:val="6E8D3916"/>
    <w:rsid w:val="6E8E6D93"/>
    <w:rsid w:val="6E917BD9"/>
    <w:rsid w:val="6EBD30B9"/>
    <w:rsid w:val="6EBD6C17"/>
    <w:rsid w:val="6EC105EE"/>
    <w:rsid w:val="6ECD58EE"/>
    <w:rsid w:val="6ED969A8"/>
    <w:rsid w:val="6EEA6FD3"/>
    <w:rsid w:val="6EED5F9B"/>
    <w:rsid w:val="6EF7479D"/>
    <w:rsid w:val="6EFF7787"/>
    <w:rsid w:val="6F0069D0"/>
    <w:rsid w:val="6F1315A9"/>
    <w:rsid w:val="6F183AC7"/>
    <w:rsid w:val="6F24647E"/>
    <w:rsid w:val="6F2C6029"/>
    <w:rsid w:val="6F374C35"/>
    <w:rsid w:val="6F38585F"/>
    <w:rsid w:val="6F3E05A4"/>
    <w:rsid w:val="6F426BDB"/>
    <w:rsid w:val="6F65301A"/>
    <w:rsid w:val="6F6A2EF6"/>
    <w:rsid w:val="6F70543C"/>
    <w:rsid w:val="6F9D176F"/>
    <w:rsid w:val="6FA01193"/>
    <w:rsid w:val="6FB22665"/>
    <w:rsid w:val="6FD00A6F"/>
    <w:rsid w:val="6FE23626"/>
    <w:rsid w:val="6FEA5987"/>
    <w:rsid w:val="6FFF1CBF"/>
    <w:rsid w:val="7009416E"/>
    <w:rsid w:val="700C1392"/>
    <w:rsid w:val="70116232"/>
    <w:rsid w:val="7014768D"/>
    <w:rsid w:val="7016539A"/>
    <w:rsid w:val="70223DF2"/>
    <w:rsid w:val="702B04F4"/>
    <w:rsid w:val="70300353"/>
    <w:rsid w:val="70362643"/>
    <w:rsid w:val="70373629"/>
    <w:rsid w:val="703F50A5"/>
    <w:rsid w:val="7048486D"/>
    <w:rsid w:val="705377E1"/>
    <w:rsid w:val="705E52BF"/>
    <w:rsid w:val="706165AE"/>
    <w:rsid w:val="70632303"/>
    <w:rsid w:val="70667FBE"/>
    <w:rsid w:val="70674990"/>
    <w:rsid w:val="706E7D4A"/>
    <w:rsid w:val="707024FA"/>
    <w:rsid w:val="70875362"/>
    <w:rsid w:val="70904E30"/>
    <w:rsid w:val="70A162A7"/>
    <w:rsid w:val="70A1647A"/>
    <w:rsid w:val="70BF4D60"/>
    <w:rsid w:val="70C64CF5"/>
    <w:rsid w:val="70D95E0E"/>
    <w:rsid w:val="70E14DEB"/>
    <w:rsid w:val="70E92792"/>
    <w:rsid w:val="70F37702"/>
    <w:rsid w:val="70F968D2"/>
    <w:rsid w:val="71042FF3"/>
    <w:rsid w:val="71083C7D"/>
    <w:rsid w:val="710F56D6"/>
    <w:rsid w:val="71413A04"/>
    <w:rsid w:val="71500A63"/>
    <w:rsid w:val="71505530"/>
    <w:rsid w:val="715C325B"/>
    <w:rsid w:val="71760164"/>
    <w:rsid w:val="71770456"/>
    <w:rsid w:val="7178008A"/>
    <w:rsid w:val="71985C43"/>
    <w:rsid w:val="71987ADB"/>
    <w:rsid w:val="71992DE9"/>
    <w:rsid w:val="719A7281"/>
    <w:rsid w:val="719B7F30"/>
    <w:rsid w:val="71A4694F"/>
    <w:rsid w:val="71A616F3"/>
    <w:rsid w:val="71BC19C4"/>
    <w:rsid w:val="71D97B67"/>
    <w:rsid w:val="71DD6CB9"/>
    <w:rsid w:val="71E87EDA"/>
    <w:rsid w:val="71E9591C"/>
    <w:rsid w:val="71EB3D06"/>
    <w:rsid w:val="720A5E6E"/>
    <w:rsid w:val="7210365E"/>
    <w:rsid w:val="72115D78"/>
    <w:rsid w:val="72167397"/>
    <w:rsid w:val="72293E4C"/>
    <w:rsid w:val="722F0678"/>
    <w:rsid w:val="72307FEE"/>
    <w:rsid w:val="72461D98"/>
    <w:rsid w:val="72472CF0"/>
    <w:rsid w:val="724C7A91"/>
    <w:rsid w:val="72530783"/>
    <w:rsid w:val="7260194B"/>
    <w:rsid w:val="72636E73"/>
    <w:rsid w:val="726400A7"/>
    <w:rsid w:val="727A682B"/>
    <w:rsid w:val="728C7F8A"/>
    <w:rsid w:val="728D678B"/>
    <w:rsid w:val="72A1376F"/>
    <w:rsid w:val="72A815A9"/>
    <w:rsid w:val="72AB2CC7"/>
    <w:rsid w:val="72AE4344"/>
    <w:rsid w:val="72AF688E"/>
    <w:rsid w:val="72B15531"/>
    <w:rsid w:val="72C25048"/>
    <w:rsid w:val="72C27B50"/>
    <w:rsid w:val="72CF2C3C"/>
    <w:rsid w:val="72D9325C"/>
    <w:rsid w:val="72DE3410"/>
    <w:rsid w:val="72F90046"/>
    <w:rsid w:val="730B2601"/>
    <w:rsid w:val="730F282A"/>
    <w:rsid w:val="73121643"/>
    <w:rsid w:val="73211344"/>
    <w:rsid w:val="73214465"/>
    <w:rsid w:val="73433BE0"/>
    <w:rsid w:val="734714CA"/>
    <w:rsid w:val="73506988"/>
    <w:rsid w:val="736A7E1C"/>
    <w:rsid w:val="7379604F"/>
    <w:rsid w:val="7390186E"/>
    <w:rsid w:val="739F6E99"/>
    <w:rsid w:val="73AE68F7"/>
    <w:rsid w:val="73B7445A"/>
    <w:rsid w:val="73BE6791"/>
    <w:rsid w:val="73CA4E4B"/>
    <w:rsid w:val="73D73080"/>
    <w:rsid w:val="73DE3C89"/>
    <w:rsid w:val="73E01FB6"/>
    <w:rsid w:val="73E91AD4"/>
    <w:rsid w:val="74033B6B"/>
    <w:rsid w:val="740F10F9"/>
    <w:rsid w:val="741349B6"/>
    <w:rsid w:val="74192099"/>
    <w:rsid w:val="74287452"/>
    <w:rsid w:val="742A10F7"/>
    <w:rsid w:val="742A1B07"/>
    <w:rsid w:val="742D275C"/>
    <w:rsid w:val="74640AAD"/>
    <w:rsid w:val="747826E9"/>
    <w:rsid w:val="747A1BC5"/>
    <w:rsid w:val="74B03710"/>
    <w:rsid w:val="74B12817"/>
    <w:rsid w:val="74C04395"/>
    <w:rsid w:val="74D32436"/>
    <w:rsid w:val="74D90638"/>
    <w:rsid w:val="74E501BE"/>
    <w:rsid w:val="74ED5560"/>
    <w:rsid w:val="74F2294A"/>
    <w:rsid w:val="74FF1B65"/>
    <w:rsid w:val="75011A5A"/>
    <w:rsid w:val="75285C43"/>
    <w:rsid w:val="75304B83"/>
    <w:rsid w:val="754617E3"/>
    <w:rsid w:val="75534F02"/>
    <w:rsid w:val="755A4D97"/>
    <w:rsid w:val="75636230"/>
    <w:rsid w:val="758C0C3B"/>
    <w:rsid w:val="759876A6"/>
    <w:rsid w:val="75AC199D"/>
    <w:rsid w:val="75C0279E"/>
    <w:rsid w:val="75C15A8B"/>
    <w:rsid w:val="75C550E4"/>
    <w:rsid w:val="75D01855"/>
    <w:rsid w:val="75D753F8"/>
    <w:rsid w:val="75E0038B"/>
    <w:rsid w:val="75F0310B"/>
    <w:rsid w:val="75FF383E"/>
    <w:rsid w:val="762D2CF8"/>
    <w:rsid w:val="764C55FD"/>
    <w:rsid w:val="764E67BC"/>
    <w:rsid w:val="766A1C7F"/>
    <w:rsid w:val="76706B98"/>
    <w:rsid w:val="76785E70"/>
    <w:rsid w:val="7680042F"/>
    <w:rsid w:val="769460D0"/>
    <w:rsid w:val="76960031"/>
    <w:rsid w:val="76966BB8"/>
    <w:rsid w:val="76983B42"/>
    <w:rsid w:val="769E5B2D"/>
    <w:rsid w:val="76A53AF7"/>
    <w:rsid w:val="76B634CC"/>
    <w:rsid w:val="76C2755B"/>
    <w:rsid w:val="76EC3D82"/>
    <w:rsid w:val="76F251C9"/>
    <w:rsid w:val="76F32641"/>
    <w:rsid w:val="7702066A"/>
    <w:rsid w:val="770601A3"/>
    <w:rsid w:val="770C5719"/>
    <w:rsid w:val="77272BC8"/>
    <w:rsid w:val="77324E93"/>
    <w:rsid w:val="773C68DB"/>
    <w:rsid w:val="773F7DFB"/>
    <w:rsid w:val="77433E76"/>
    <w:rsid w:val="7751272E"/>
    <w:rsid w:val="77581536"/>
    <w:rsid w:val="775A1CF3"/>
    <w:rsid w:val="775D7A32"/>
    <w:rsid w:val="77757F71"/>
    <w:rsid w:val="77851330"/>
    <w:rsid w:val="778847A6"/>
    <w:rsid w:val="778947BD"/>
    <w:rsid w:val="77A6318B"/>
    <w:rsid w:val="77B05EFB"/>
    <w:rsid w:val="77BE0BD6"/>
    <w:rsid w:val="77C875A5"/>
    <w:rsid w:val="77CB0E43"/>
    <w:rsid w:val="77D168EE"/>
    <w:rsid w:val="77E02297"/>
    <w:rsid w:val="77FC45F6"/>
    <w:rsid w:val="78085BF3"/>
    <w:rsid w:val="781520BE"/>
    <w:rsid w:val="78153E6C"/>
    <w:rsid w:val="782A1D5D"/>
    <w:rsid w:val="783B7D77"/>
    <w:rsid w:val="784C1F84"/>
    <w:rsid w:val="785A4FBB"/>
    <w:rsid w:val="785E774A"/>
    <w:rsid w:val="787A589B"/>
    <w:rsid w:val="787D1225"/>
    <w:rsid w:val="78855831"/>
    <w:rsid w:val="788F4185"/>
    <w:rsid w:val="78900EEB"/>
    <w:rsid w:val="789C1B98"/>
    <w:rsid w:val="78B3723F"/>
    <w:rsid w:val="78C86860"/>
    <w:rsid w:val="78CD7CE5"/>
    <w:rsid w:val="78CE010D"/>
    <w:rsid w:val="78D3262B"/>
    <w:rsid w:val="78DA5FAA"/>
    <w:rsid w:val="78EA56BB"/>
    <w:rsid w:val="79097102"/>
    <w:rsid w:val="790C72C3"/>
    <w:rsid w:val="791D2F31"/>
    <w:rsid w:val="7921217D"/>
    <w:rsid w:val="79244B28"/>
    <w:rsid w:val="79470294"/>
    <w:rsid w:val="794E5E4F"/>
    <w:rsid w:val="796D15D3"/>
    <w:rsid w:val="79870D9A"/>
    <w:rsid w:val="799363EA"/>
    <w:rsid w:val="79A443E4"/>
    <w:rsid w:val="79B65D27"/>
    <w:rsid w:val="79CC24B0"/>
    <w:rsid w:val="79FC1788"/>
    <w:rsid w:val="7A024D1C"/>
    <w:rsid w:val="7A116793"/>
    <w:rsid w:val="7A710A59"/>
    <w:rsid w:val="7A7F1EAE"/>
    <w:rsid w:val="7A806980"/>
    <w:rsid w:val="7A8F7F06"/>
    <w:rsid w:val="7A954356"/>
    <w:rsid w:val="7A9618D6"/>
    <w:rsid w:val="7AA93854"/>
    <w:rsid w:val="7AC71B08"/>
    <w:rsid w:val="7ACD542F"/>
    <w:rsid w:val="7AD45352"/>
    <w:rsid w:val="7AD87AFF"/>
    <w:rsid w:val="7ADB0F29"/>
    <w:rsid w:val="7ADB4648"/>
    <w:rsid w:val="7AE553AE"/>
    <w:rsid w:val="7AE75E97"/>
    <w:rsid w:val="7AE82F84"/>
    <w:rsid w:val="7AED6175"/>
    <w:rsid w:val="7AF52AE5"/>
    <w:rsid w:val="7AF54004"/>
    <w:rsid w:val="7B013B44"/>
    <w:rsid w:val="7B0C356A"/>
    <w:rsid w:val="7B13356E"/>
    <w:rsid w:val="7B192669"/>
    <w:rsid w:val="7B2563E9"/>
    <w:rsid w:val="7B2C7E4B"/>
    <w:rsid w:val="7B5055A3"/>
    <w:rsid w:val="7B5D7D5C"/>
    <w:rsid w:val="7B6A44AA"/>
    <w:rsid w:val="7B715CEE"/>
    <w:rsid w:val="7B741552"/>
    <w:rsid w:val="7B7C1502"/>
    <w:rsid w:val="7B7D2454"/>
    <w:rsid w:val="7B7F6110"/>
    <w:rsid w:val="7B9003DA"/>
    <w:rsid w:val="7BA2546B"/>
    <w:rsid w:val="7BAA7B79"/>
    <w:rsid w:val="7BDF6925"/>
    <w:rsid w:val="7BEE3258"/>
    <w:rsid w:val="7BF85BBA"/>
    <w:rsid w:val="7C12314D"/>
    <w:rsid w:val="7C1E4ED7"/>
    <w:rsid w:val="7C233142"/>
    <w:rsid w:val="7C350A4F"/>
    <w:rsid w:val="7C376AA7"/>
    <w:rsid w:val="7C565F51"/>
    <w:rsid w:val="7C5E314C"/>
    <w:rsid w:val="7C6905C0"/>
    <w:rsid w:val="7C693166"/>
    <w:rsid w:val="7C76255B"/>
    <w:rsid w:val="7C7819D0"/>
    <w:rsid w:val="7C7B6E44"/>
    <w:rsid w:val="7C844032"/>
    <w:rsid w:val="7C8B1863"/>
    <w:rsid w:val="7CA05542"/>
    <w:rsid w:val="7CA24EAF"/>
    <w:rsid w:val="7CA53A11"/>
    <w:rsid w:val="7CA61041"/>
    <w:rsid w:val="7CAE42AA"/>
    <w:rsid w:val="7CB028D3"/>
    <w:rsid w:val="7CB25748"/>
    <w:rsid w:val="7CCD740C"/>
    <w:rsid w:val="7CCE591B"/>
    <w:rsid w:val="7CD01CDE"/>
    <w:rsid w:val="7CD70070"/>
    <w:rsid w:val="7CDC31AB"/>
    <w:rsid w:val="7CFC6474"/>
    <w:rsid w:val="7D2863F0"/>
    <w:rsid w:val="7D3356A2"/>
    <w:rsid w:val="7D347B63"/>
    <w:rsid w:val="7D366731"/>
    <w:rsid w:val="7D3B20CE"/>
    <w:rsid w:val="7D536F9A"/>
    <w:rsid w:val="7D5C0482"/>
    <w:rsid w:val="7D68378A"/>
    <w:rsid w:val="7D75659B"/>
    <w:rsid w:val="7D7A320F"/>
    <w:rsid w:val="7D7B2BF0"/>
    <w:rsid w:val="7D7F2B52"/>
    <w:rsid w:val="7D8137AF"/>
    <w:rsid w:val="7D823CB3"/>
    <w:rsid w:val="7D981D7F"/>
    <w:rsid w:val="7DA05293"/>
    <w:rsid w:val="7DAA5894"/>
    <w:rsid w:val="7DB93C3A"/>
    <w:rsid w:val="7DC10D1E"/>
    <w:rsid w:val="7DC72963"/>
    <w:rsid w:val="7DE56BEE"/>
    <w:rsid w:val="7DE66B8E"/>
    <w:rsid w:val="7DF05214"/>
    <w:rsid w:val="7DF47D1D"/>
    <w:rsid w:val="7E063A23"/>
    <w:rsid w:val="7E127593"/>
    <w:rsid w:val="7E242A30"/>
    <w:rsid w:val="7E2D63EA"/>
    <w:rsid w:val="7E2E2BDF"/>
    <w:rsid w:val="7E392CD3"/>
    <w:rsid w:val="7E3B56DC"/>
    <w:rsid w:val="7E3C567E"/>
    <w:rsid w:val="7E5C349D"/>
    <w:rsid w:val="7E677F76"/>
    <w:rsid w:val="7E822E78"/>
    <w:rsid w:val="7E8E2C5C"/>
    <w:rsid w:val="7E963E58"/>
    <w:rsid w:val="7EA664A0"/>
    <w:rsid w:val="7EBE525E"/>
    <w:rsid w:val="7EC65EC0"/>
    <w:rsid w:val="7ECA0BC4"/>
    <w:rsid w:val="7EE11BED"/>
    <w:rsid w:val="7EE2719E"/>
    <w:rsid w:val="7EF172F2"/>
    <w:rsid w:val="7F083C45"/>
    <w:rsid w:val="7F134F2C"/>
    <w:rsid w:val="7F2C03C2"/>
    <w:rsid w:val="7F32648A"/>
    <w:rsid w:val="7F3A6B47"/>
    <w:rsid w:val="7F3B68AE"/>
    <w:rsid w:val="7F435763"/>
    <w:rsid w:val="7F4B0997"/>
    <w:rsid w:val="7F592F25"/>
    <w:rsid w:val="7F69084D"/>
    <w:rsid w:val="7F6A1C6B"/>
    <w:rsid w:val="7F6B1E62"/>
    <w:rsid w:val="7F717558"/>
    <w:rsid w:val="7F7A7547"/>
    <w:rsid w:val="7F930C8B"/>
    <w:rsid w:val="7F9538DD"/>
    <w:rsid w:val="7FA640C5"/>
    <w:rsid w:val="7FAC4AA6"/>
    <w:rsid w:val="7FB45DD8"/>
    <w:rsid w:val="7FBA1CFE"/>
    <w:rsid w:val="7FBC791E"/>
    <w:rsid w:val="7FC63C76"/>
    <w:rsid w:val="7FCB5E84"/>
    <w:rsid w:val="7FCE4686"/>
    <w:rsid w:val="7FD31698"/>
    <w:rsid w:val="7FD855A6"/>
    <w:rsid w:val="7FEE7FB5"/>
    <w:rsid w:val="7FF914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qFormat="1" w:unhideWhenUsed="0" w:uiPriority="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qFormat="1" w:unhideWhenUsed="0" w:uiPriority="0"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qFormat="1" w:unhideWhenUsed="0" w:uiPriority="0" w:semiHidden="0" w:name="macro"/>
    <w:lsdException w:uiPriority="99"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uiPriority="99"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iPriority="0" w:semiHidden="0" w:name="Body Text 3"/>
    <w:lsdException w:qFormat="1" w:unhideWhenUsed="0" w:uiPriority="99"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iPriority="99"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qFormat="1" w:unhideWhenUsed="0" w:uiPriority="0" w:semiHidden="0"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qFormat="1" w:unhideWhenUsed="0" w:uiPriority="0" w:semiHidden="0"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pPr>
    <w:rPr>
      <w:rFonts w:ascii="Times New Roman" w:hAnsi="Times New Roman" w:eastAsia="宋体" w:cs="Times New Roman"/>
      <w:kern w:val="2"/>
      <w:sz w:val="24"/>
      <w:szCs w:val="22"/>
      <w:lang w:val="en-US" w:eastAsia="zh-CN" w:bidi="ar-SA"/>
    </w:rPr>
  </w:style>
  <w:style w:type="paragraph" w:styleId="4">
    <w:name w:val="heading 1"/>
    <w:basedOn w:val="1"/>
    <w:next w:val="1"/>
    <w:link w:val="79"/>
    <w:qFormat/>
    <w:uiPriority w:val="0"/>
    <w:pPr>
      <w:keepNext/>
      <w:widowControl/>
      <w:ind w:firstLine="150" w:firstLineChars="150"/>
      <w:outlineLvl w:val="0"/>
    </w:pPr>
    <w:rPr>
      <w:rFonts w:eastAsia="黑体" w:cs="Arial"/>
      <w:bCs/>
      <w:kern w:val="32"/>
      <w:sz w:val="30"/>
      <w:szCs w:val="32"/>
      <w:lang w:eastAsia="en-US" w:bidi="en-US"/>
    </w:rPr>
  </w:style>
  <w:style w:type="paragraph" w:styleId="5">
    <w:name w:val="heading 2"/>
    <w:basedOn w:val="1"/>
    <w:next w:val="1"/>
    <w:link w:val="81"/>
    <w:qFormat/>
    <w:uiPriority w:val="0"/>
    <w:pPr>
      <w:keepNext/>
      <w:keepLines/>
      <w:ind w:firstLine="0" w:firstLineChars="0"/>
      <w:outlineLvl w:val="1"/>
    </w:pPr>
    <w:rPr>
      <w:rFonts w:ascii="Cambria" w:hAnsi="Cambria"/>
      <w:b/>
      <w:bCs/>
      <w:kern w:val="0"/>
      <w:sz w:val="30"/>
      <w:szCs w:val="32"/>
    </w:rPr>
  </w:style>
  <w:style w:type="paragraph" w:styleId="6">
    <w:name w:val="heading 3"/>
    <w:basedOn w:val="1"/>
    <w:next w:val="1"/>
    <w:link w:val="82"/>
    <w:qFormat/>
    <w:uiPriority w:val="0"/>
    <w:pPr>
      <w:keepNext/>
      <w:keepLines/>
      <w:spacing w:beforeLines="50" w:afterLines="50"/>
      <w:ind w:firstLine="0" w:firstLineChars="0"/>
      <w:outlineLvl w:val="2"/>
    </w:pPr>
    <w:rPr>
      <w:rFonts w:eastAsia="华文楷体"/>
      <w:b/>
      <w:bCs/>
      <w:kern w:val="0"/>
      <w:sz w:val="32"/>
      <w:szCs w:val="32"/>
    </w:rPr>
  </w:style>
  <w:style w:type="paragraph" w:styleId="7">
    <w:name w:val="heading 4"/>
    <w:basedOn w:val="1"/>
    <w:next w:val="1"/>
    <w:link w:val="84"/>
    <w:qFormat/>
    <w:uiPriority w:val="9"/>
    <w:pPr>
      <w:keepNext/>
      <w:keepLines/>
      <w:spacing w:before="280" w:after="290" w:line="376" w:lineRule="atLeast"/>
      <w:outlineLvl w:val="3"/>
    </w:pPr>
    <w:rPr>
      <w:rFonts w:ascii="Cambria" w:hAnsi="Cambria"/>
      <w:b/>
      <w:bCs/>
      <w:kern w:val="0"/>
      <w:sz w:val="28"/>
      <w:szCs w:val="28"/>
    </w:rPr>
  </w:style>
  <w:style w:type="paragraph" w:styleId="8">
    <w:name w:val="heading 5"/>
    <w:basedOn w:val="1"/>
    <w:next w:val="1"/>
    <w:link w:val="85"/>
    <w:qFormat/>
    <w:uiPriority w:val="9"/>
    <w:pPr>
      <w:widowControl/>
      <w:spacing w:before="240" w:after="60"/>
      <w:outlineLvl w:val="4"/>
    </w:pPr>
    <w:rPr>
      <w:rFonts w:eastAsia="仿宋_GB2312"/>
      <w:b/>
      <w:bCs/>
      <w:i/>
      <w:iCs/>
      <w:kern w:val="0"/>
      <w:sz w:val="26"/>
      <w:szCs w:val="26"/>
    </w:rPr>
  </w:style>
  <w:style w:type="paragraph" w:styleId="9">
    <w:name w:val="heading 6"/>
    <w:basedOn w:val="1"/>
    <w:next w:val="1"/>
    <w:link w:val="86"/>
    <w:qFormat/>
    <w:uiPriority w:val="9"/>
    <w:pPr>
      <w:widowControl/>
      <w:ind w:hanging="100" w:hangingChars="100"/>
      <w:outlineLvl w:val="5"/>
    </w:pPr>
    <w:rPr>
      <w:rFonts w:eastAsia="仿宋_GB2312"/>
      <w:b/>
      <w:bCs/>
      <w:kern w:val="0"/>
      <w:sz w:val="20"/>
      <w:szCs w:val="20"/>
    </w:rPr>
  </w:style>
  <w:style w:type="paragraph" w:styleId="10">
    <w:name w:val="heading 7"/>
    <w:basedOn w:val="1"/>
    <w:next w:val="1"/>
    <w:link w:val="87"/>
    <w:qFormat/>
    <w:uiPriority w:val="9"/>
    <w:pPr>
      <w:widowControl/>
      <w:spacing w:before="240" w:after="60"/>
      <w:outlineLvl w:val="6"/>
    </w:pPr>
    <w:rPr>
      <w:rFonts w:eastAsia="仿宋_GB2312"/>
      <w:kern w:val="0"/>
      <w:szCs w:val="24"/>
    </w:rPr>
  </w:style>
  <w:style w:type="paragraph" w:styleId="11">
    <w:name w:val="heading 8"/>
    <w:basedOn w:val="1"/>
    <w:next w:val="1"/>
    <w:link w:val="88"/>
    <w:qFormat/>
    <w:uiPriority w:val="9"/>
    <w:pPr>
      <w:widowControl/>
      <w:spacing w:before="240" w:after="60"/>
      <w:outlineLvl w:val="7"/>
    </w:pPr>
    <w:rPr>
      <w:rFonts w:eastAsia="仿宋_GB2312"/>
      <w:i/>
      <w:iCs/>
      <w:kern w:val="0"/>
      <w:szCs w:val="24"/>
    </w:rPr>
  </w:style>
  <w:style w:type="paragraph" w:styleId="12">
    <w:name w:val="heading 9"/>
    <w:basedOn w:val="1"/>
    <w:next w:val="1"/>
    <w:link w:val="89"/>
    <w:qFormat/>
    <w:uiPriority w:val="9"/>
    <w:pPr>
      <w:widowControl/>
      <w:spacing w:before="240" w:after="60"/>
      <w:outlineLvl w:val="8"/>
    </w:pPr>
    <w:rPr>
      <w:rFonts w:ascii="Cambria" w:hAnsi="Cambria" w:eastAsia="仿宋_GB2312"/>
      <w:kern w:val="0"/>
      <w:sz w:val="20"/>
      <w:szCs w:val="20"/>
    </w:rPr>
  </w:style>
  <w:style w:type="character" w:default="1" w:styleId="67">
    <w:name w:val="Default Paragraph Font"/>
    <w:semiHidden/>
    <w:unhideWhenUsed/>
    <w:qFormat/>
    <w:uiPriority w:val="1"/>
  </w:style>
  <w:style w:type="table" w:default="1" w:styleId="61">
    <w:name w:val="Normal Table"/>
    <w:semiHidden/>
    <w:unhideWhenUsed/>
    <w:qFormat/>
    <w:uiPriority w:val="99"/>
    <w:tblPr>
      <w:tblLayout w:type="fixed"/>
      <w:tblCellMar>
        <w:top w:w="0" w:type="dxa"/>
        <w:left w:w="108" w:type="dxa"/>
        <w:bottom w:w="0" w:type="dxa"/>
        <w:right w:w="108" w:type="dxa"/>
      </w:tblCellMar>
    </w:tblPr>
  </w:style>
  <w:style w:type="paragraph" w:styleId="2">
    <w:name w:val="Plain Text"/>
    <w:basedOn w:val="1"/>
    <w:next w:val="1"/>
    <w:link w:val="132"/>
    <w:qFormat/>
    <w:uiPriority w:val="0"/>
    <w:pPr>
      <w:widowControl/>
    </w:pPr>
    <w:rPr>
      <w:rFonts w:ascii="Courier New" w:hAnsi="Courier New"/>
      <w:kern w:val="0"/>
      <w:szCs w:val="20"/>
      <w:lang w:eastAsia="en-US" w:bidi="en-US"/>
    </w:rPr>
  </w:style>
  <w:style w:type="paragraph" w:styleId="3">
    <w:name w:val="macro"/>
    <w:link w:val="345"/>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13">
    <w:name w:val="List 3"/>
    <w:basedOn w:val="1"/>
    <w:qFormat/>
    <w:uiPriority w:val="0"/>
    <w:pPr>
      <w:spacing w:line="240" w:lineRule="auto"/>
      <w:ind w:left="100" w:leftChars="400" w:hanging="200" w:hangingChars="200"/>
    </w:pPr>
    <w:rPr>
      <w:szCs w:val="24"/>
    </w:rPr>
  </w:style>
  <w:style w:type="paragraph" w:styleId="14">
    <w:name w:val="toc 7"/>
    <w:basedOn w:val="1"/>
    <w:next w:val="1"/>
    <w:qFormat/>
    <w:uiPriority w:val="39"/>
    <w:pPr>
      <w:widowControl/>
      <w:ind w:left="1260"/>
    </w:pPr>
    <w:rPr>
      <w:kern w:val="0"/>
      <w:sz w:val="18"/>
      <w:szCs w:val="18"/>
      <w:lang w:eastAsia="en-US" w:bidi="en-US"/>
    </w:rPr>
  </w:style>
  <w:style w:type="paragraph" w:styleId="15">
    <w:name w:val="List Number 2"/>
    <w:basedOn w:val="1"/>
    <w:qFormat/>
    <w:uiPriority w:val="0"/>
    <w:pPr>
      <w:tabs>
        <w:tab w:val="left" w:pos="780"/>
      </w:tabs>
      <w:spacing w:line="240" w:lineRule="auto"/>
      <w:ind w:left="780" w:leftChars="200" w:hanging="360" w:hangingChars="200"/>
    </w:pPr>
    <w:rPr>
      <w:szCs w:val="24"/>
    </w:rPr>
  </w:style>
  <w:style w:type="paragraph" w:styleId="16">
    <w:name w:val="Note Heading"/>
    <w:basedOn w:val="1"/>
    <w:next w:val="1"/>
    <w:link w:val="270"/>
    <w:qFormat/>
    <w:uiPriority w:val="0"/>
    <w:pPr>
      <w:spacing w:line="240" w:lineRule="auto"/>
      <w:jc w:val="center"/>
    </w:pPr>
    <w:rPr>
      <w:kern w:val="0"/>
      <w:sz w:val="20"/>
      <w:szCs w:val="24"/>
    </w:rPr>
  </w:style>
  <w:style w:type="paragraph" w:styleId="17">
    <w:name w:val="List Bullet 4"/>
    <w:basedOn w:val="1"/>
    <w:qFormat/>
    <w:uiPriority w:val="0"/>
    <w:pPr>
      <w:tabs>
        <w:tab w:val="left" w:pos="1620"/>
      </w:tabs>
      <w:spacing w:line="240" w:lineRule="auto"/>
      <w:ind w:left="1620" w:leftChars="600" w:hanging="360" w:hangingChars="200"/>
    </w:pPr>
    <w:rPr>
      <w:rFonts w:eastAsia="仿宋_GB2312"/>
      <w:snapToGrid w:val="0"/>
      <w:color w:val="000000"/>
      <w:kern w:val="0"/>
      <w:sz w:val="28"/>
      <w:szCs w:val="32"/>
    </w:rPr>
  </w:style>
  <w:style w:type="paragraph" w:styleId="18">
    <w:name w:val="List Number"/>
    <w:basedOn w:val="1"/>
    <w:qFormat/>
    <w:uiPriority w:val="0"/>
    <w:pPr>
      <w:ind w:left="1200" w:hanging="720"/>
    </w:pPr>
    <w:rPr>
      <w:rFonts w:ascii="仿宋_GB2312" w:eastAsia="仿宋_GB2312"/>
      <w:sz w:val="28"/>
      <w:szCs w:val="24"/>
    </w:rPr>
  </w:style>
  <w:style w:type="paragraph" w:styleId="19">
    <w:name w:val="Normal Indent"/>
    <w:basedOn w:val="1"/>
    <w:link w:val="197"/>
    <w:qFormat/>
    <w:uiPriority w:val="0"/>
    <w:pPr>
      <w:widowControl/>
      <w:ind w:firstLine="420"/>
    </w:pPr>
    <w:rPr>
      <w:kern w:val="0"/>
      <w:szCs w:val="24"/>
      <w:lang w:eastAsia="en-US" w:bidi="en-US"/>
    </w:rPr>
  </w:style>
  <w:style w:type="paragraph" w:styleId="20">
    <w:name w:val="caption"/>
    <w:basedOn w:val="1"/>
    <w:next w:val="1"/>
    <w:qFormat/>
    <w:uiPriority w:val="0"/>
    <w:pPr>
      <w:spacing w:line="240" w:lineRule="auto"/>
    </w:pPr>
    <w:rPr>
      <w:rFonts w:ascii="Arial" w:hAnsi="Arial" w:eastAsia="黑体" w:cs="Arial"/>
      <w:sz w:val="20"/>
      <w:szCs w:val="20"/>
    </w:rPr>
  </w:style>
  <w:style w:type="paragraph" w:styleId="21">
    <w:name w:val="List Bullet"/>
    <w:basedOn w:val="1"/>
    <w:qFormat/>
    <w:uiPriority w:val="0"/>
    <w:pPr>
      <w:numPr>
        <w:ilvl w:val="0"/>
        <w:numId w:val="1"/>
      </w:numPr>
      <w:spacing w:line="240" w:lineRule="auto"/>
    </w:pPr>
    <w:rPr>
      <w:szCs w:val="24"/>
    </w:rPr>
  </w:style>
  <w:style w:type="paragraph" w:styleId="22">
    <w:name w:val="Document Map"/>
    <w:basedOn w:val="1"/>
    <w:link w:val="80"/>
    <w:unhideWhenUsed/>
    <w:qFormat/>
    <w:uiPriority w:val="99"/>
    <w:rPr>
      <w:rFonts w:ascii="宋体"/>
      <w:kern w:val="0"/>
      <w:sz w:val="18"/>
      <w:szCs w:val="18"/>
    </w:rPr>
  </w:style>
  <w:style w:type="paragraph" w:styleId="23">
    <w:name w:val="annotation text"/>
    <w:basedOn w:val="1"/>
    <w:link w:val="202"/>
    <w:qFormat/>
    <w:uiPriority w:val="0"/>
    <w:pPr>
      <w:spacing w:line="240" w:lineRule="auto"/>
    </w:pPr>
    <w:rPr>
      <w:kern w:val="0"/>
      <w:sz w:val="20"/>
      <w:szCs w:val="24"/>
    </w:rPr>
  </w:style>
  <w:style w:type="paragraph" w:styleId="24">
    <w:name w:val="Body Text 3"/>
    <w:basedOn w:val="1"/>
    <w:link w:val="193"/>
    <w:unhideWhenUsed/>
    <w:qFormat/>
    <w:uiPriority w:val="0"/>
    <w:pPr>
      <w:spacing w:after="120"/>
    </w:pPr>
    <w:rPr>
      <w:kern w:val="0"/>
      <w:sz w:val="16"/>
      <w:szCs w:val="16"/>
    </w:rPr>
  </w:style>
  <w:style w:type="paragraph" w:styleId="25">
    <w:name w:val="List Bullet 3"/>
    <w:basedOn w:val="1"/>
    <w:qFormat/>
    <w:uiPriority w:val="0"/>
    <w:pPr>
      <w:numPr>
        <w:ilvl w:val="0"/>
        <w:numId w:val="2"/>
      </w:numPr>
      <w:spacing w:line="240" w:lineRule="auto"/>
    </w:pPr>
    <w:rPr>
      <w:szCs w:val="24"/>
    </w:rPr>
  </w:style>
  <w:style w:type="paragraph" w:styleId="26">
    <w:name w:val="Body Text"/>
    <w:basedOn w:val="1"/>
    <w:next w:val="1"/>
    <w:link w:val="97"/>
    <w:unhideWhenUsed/>
    <w:qFormat/>
    <w:uiPriority w:val="99"/>
    <w:pPr>
      <w:widowControl/>
      <w:spacing w:after="120"/>
    </w:pPr>
    <w:rPr>
      <w:rFonts w:eastAsia="仿宋_GB2312"/>
      <w:kern w:val="0"/>
      <w:szCs w:val="24"/>
      <w:lang w:eastAsia="en-US" w:bidi="en-US"/>
    </w:rPr>
  </w:style>
  <w:style w:type="paragraph" w:styleId="27">
    <w:name w:val="Body Text Indent"/>
    <w:basedOn w:val="1"/>
    <w:link w:val="124"/>
    <w:qFormat/>
    <w:uiPriority w:val="0"/>
    <w:pPr>
      <w:widowControl/>
      <w:spacing w:after="120"/>
      <w:ind w:left="420" w:leftChars="200"/>
    </w:pPr>
    <w:rPr>
      <w:kern w:val="0"/>
      <w:szCs w:val="24"/>
      <w:lang w:eastAsia="en-US" w:bidi="en-US"/>
    </w:rPr>
  </w:style>
  <w:style w:type="paragraph" w:styleId="28">
    <w:name w:val="List Number 3"/>
    <w:basedOn w:val="1"/>
    <w:qFormat/>
    <w:uiPriority w:val="0"/>
    <w:pPr>
      <w:tabs>
        <w:tab w:val="left" w:pos="1200"/>
      </w:tabs>
      <w:spacing w:line="240" w:lineRule="auto"/>
      <w:ind w:left="1200" w:leftChars="400" w:hanging="360" w:hangingChars="200"/>
    </w:pPr>
    <w:rPr>
      <w:szCs w:val="24"/>
    </w:rPr>
  </w:style>
  <w:style w:type="paragraph" w:styleId="29">
    <w:name w:val="List 2"/>
    <w:basedOn w:val="1"/>
    <w:qFormat/>
    <w:uiPriority w:val="0"/>
    <w:pPr>
      <w:widowControl/>
      <w:ind w:left="100" w:leftChars="200" w:hanging="200" w:hangingChars="200"/>
    </w:pPr>
    <w:rPr>
      <w:kern w:val="0"/>
      <w:szCs w:val="24"/>
      <w:lang w:eastAsia="en-US" w:bidi="en-US"/>
    </w:rPr>
  </w:style>
  <w:style w:type="paragraph" w:styleId="30">
    <w:name w:val="Block Text"/>
    <w:basedOn w:val="1"/>
    <w:qFormat/>
    <w:uiPriority w:val="0"/>
    <w:pPr>
      <w:widowControl/>
      <w:tabs>
        <w:tab w:val="left" w:pos="3969"/>
        <w:tab w:val="left" w:pos="5670"/>
      </w:tabs>
      <w:spacing w:line="240" w:lineRule="auto"/>
      <w:ind w:left="3969" w:right="141" w:hanging="3969"/>
    </w:pPr>
    <w:rPr>
      <w:rFonts w:ascii="Arial" w:hAnsi="Arial"/>
      <w:kern w:val="0"/>
      <w:sz w:val="20"/>
      <w:szCs w:val="20"/>
      <w:lang w:val="de-DE" w:eastAsia="de-DE"/>
    </w:rPr>
  </w:style>
  <w:style w:type="paragraph" w:styleId="31">
    <w:name w:val="List Bullet 2"/>
    <w:basedOn w:val="1"/>
    <w:qFormat/>
    <w:uiPriority w:val="0"/>
    <w:pPr>
      <w:numPr>
        <w:ilvl w:val="0"/>
        <w:numId w:val="3"/>
      </w:numPr>
      <w:spacing w:line="240" w:lineRule="auto"/>
    </w:pPr>
    <w:rPr>
      <w:szCs w:val="24"/>
    </w:rPr>
  </w:style>
  <w:style w:type="paragraph" w:styleId="32">
    <w:name w:val="toc 5"/>
    <w:basedOn w:val="1"/>
    <w:next w:val="1"/>
    <w:qFormat/>
    <w:uiPriority w:val="39"/>
    <w:pPr>
      <w:widowControl/>
      <w:ind w:left="840"/>
    </w:pPr>
    <w:rPr>
      <w:kern w:val="0"/>
      <w:sz w:val="18"/>
      <w:szCs w:val="18"/>
      <w:lang w:eastAsia="en-US" w:bidi="en-US"/>
    </w:rPr>
  </w:style>
  <w:style w:type="paragraph" w:styleId="33">
    <w:name w:val="toc 3"/>
    <w:basedOn w:val="1"/>
    <w:next w:val="1"/>
    <w:qFormat/>
    <w:uiPriority w:val="39"/>
    <w:pPr>
      <w:widowControl/>
      <w:tabs>
        <w:tab w:val="right" w:leader="dot" w:pos="8302"/>
      </w:tabs>
      <w:ind w:left="420" w:firstLine="420"/>
    </w:pPr>
    <w:rPr>
      <w:rFonts w:eastAsiaTheme="minorEastAsia"/>
      <w:bCs/>
      <w:iCs/>
      <w:color w:val="00B0F0"/>
      <w:kern w:val="0"/>
      <w:sz w:val="21"/>
      <w:szCs w:val="21"/>
      <w:lang w:eastAsia="en-US" w:bidi="en-US"/>
    </w:rPr>
  </w:style>
  <w:style w:type="paragraph" w:styleId="34">
    <w:name w:val="List Bullet 5"/>
    <w:basedOn w:val="1"/>
    <w:qFormat/>
    <w:uiPriority w:val="0"/>
    <w:pPr>
      <w:tabs>
        <w:tab w:val="left" w:pos="720"/>
      </w:tabs>
      <w:spacing w:line="240" w:lineRule="auto"/>
      <w:ind w:left="720" w:hanging="720"/>
    </w:pPr>
    <w:rPr>
      <w:szCs w:val="24"/>
    </w:rPr>
  </w:style>
  <w:style w:type="paragraph" w:styleId="35">
    <w:name w:val="List Number 4"/>
    <w:basedOn w:val="1"/>
    <w:qFormat/>
    <w:uiPriority w:val="0"/>
    <w:pPr>
      <w:tabs>
        <w:tab w:val="left" w:pos="1620"/>
      </w:tabs>
      <w:spacing w:line="240" w:lineRule="auto"/>
      <w:ind w:left="1620" w:leftChars="600" w:hanging="360" w:hangingChars="200"/>
    </w:pPr>
    <w:rPr>
      <w:szCs w:val="24"/>
    </w:rPr>
  </w:style>
  <w:style w:type="paragraph" w:styleId="36">
    <w:name w:val="toc 8"/>
    <w:basedOn w:val="1"/>
    <w:next w:val="1"/>
    <w:qFormat/>
    <w:uiPriority w:val="39"/>
    <w:pPr>
      <w:widowControl/>
      <w:ind w:left="1470"/>
    </w:pPr>
    <w:rPr>
      <w:kern w:val="0"/>
      <w:sz w:val="18"/>
      <w:szCs w:val="18"/>
      <w:lang w:eastAsia="en-US" w:bidi="en-US"/>
    </w:rPr>
  </w:style>
  <w:style w:type="paragraph" w:styleId="37">
    <w:name w:val="Date"/>
    <w:basedOn w:val="1"/>
    <w:next w:val="1"/>
    <w:link w:val="120"/>
    <w:unhideWhenUsed/>
    <w:qFormat/>
    <w:uiPriority w:val="99"/>
    <w:pPr>
      <w:widowControl/>
      <w:ind w:left="100" w:leftChars="2500"/>
    </w:pPr>
    <w:rPr>
      <w:rFonts w:eastAsia="仿宋_GB2312"/>
      <w:kern w:val="0"/>
      <w:szCs w:val="24"/>
      <w:lang w:eastAsia="en-US" w:bidi="en-US"/>
    </w:rPr>
  </w:style>
  <w:style w:type="paragraph" w:styleId="38">
    <w:name w:val="Body Text Indent 2"/>
    <w:basedOn w:val="1"/>
    <w:link w:val="117"/>
    <w:qFormat/>
    <w:uiPriority w:val="99"/>
    <w:pPr>
      <w:widowControl/>
      <w:spacing w:after="120" w:line="480" w:lineRule="auto"/>
      <w:ind w:left="420" w:leftChars="200"/>
    </w:pPr>
    <w:rPr>
      <w:rFonts w:ascii="Arial" w:hAnsi="Arial"/>
      <w:kern w:val="0"/>
      <w:szCs w:val="24"/>
      <w:lang w:eastAsia="en-US" w:bidi="en-US"/>
    </w:rPr>
  </w:style>
  <w:style w:type="paragraph" w:styleId="39">
    <w:name w:val="Balloon Text"/>
    <w:basedOn w:val="1"/>
    <w:link w:val="122"/>
    <w:unhideWhenUsed/>
    <w:qFormat/>
    <w:uiPriority w:val="99"/>
    <w:pPr>
      <w:widowControl/>
      <w:spacing w:line="240" w:lineRule="auto"/>
    </w:pPr>
    <w:rPr>
      <w:rFonts w:eastAsia="仿宋_GB2312"/>
      <w:kern w:val="0"/>
      <w:sz w:val="18"/>
      <w:szCs w:val="18"/>
      <w:lang w:eastAsia="en-US" w:bidi="en-US"/>
    </w:rPr>
  </w:style>
  <w:style w:type="paragraph" w:styleId="40">
    <w:name w:val="footer"/>
    <w:basedOn w:val="1"/>
    <w:link w:val="114"/>
    <w:unhideWhenUsed/>
    <w:qFormat/>
    <w:uiPriority w:val="99"/>
    <w:pPr>
      <w:widowControl/>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rFonts w:eastAsia="仿宋_GB2312"/>
      <w:kern w:val="0"/>
      <w:sz w:val="18"/>
      <w:szCs w:val="18"/>
      <w:lang w:eastAsia="en-US" w:bidi="en-US"/>
    </w:rPr>
  </w:style>
  <w:style w:type="paragraph" w:styleId="41">
    <w:name w:val="header"/>
    <w:basedOn w:val="1"/>
    <w:next w:val="42"/>
    <w:link w:val="113"/>
    <w:unhideWhenUsed/>
    <w:qFormat/>
    <w:uiPriority w:val="99"/>
    <w:pPr>
      <w:widowControl/>
      <w:pBdr>
        <w:bottom w:val="single" w:color="auto" w:sz="6" w:space="1"/>
      </w:pBdr>
      <w:tabs>
        <w:tab w:val="center" w:pos="4153"/>
        <w:tab w:val="right" w:pos="8306"/>
      </w:tabs>
      <w:snapToGrid w:val="0"/>
      <w:jc w:val="center"/>
    </w:pPr>
    <w:rPr>
      <w:rFonts w:eastAsia="仿宋_GB2312"/>
      <w:kern w:val="0"/>
      <w:sz w:val="18"/>
      <w:szCs w:val="18"/>
      <w:lang w:eastAsia="en-US" w:bidi="en-US"/>
    </w:rPr>
  </w:style>
  <w:style w:type="paragraph" w:styleId="42">
    <w:name w:val="index heading"/>
    <w:basedOn w:val="1"/>
    <w:next w:val="43"/>
    <w:semiHidden/>
    <w:qFormat/>
    <w:uiPriority w:val="0"/>
    <w:pPr>
      <w:spacing w:line="240" w:lineRule="auto"/>
    </w:pPr>
    <w:rPr>
      <w:szCs w:val="20"/>
    </w:rPr>
  </w:style>
  <w:style w:type="paragraph" w:styleId="43">
    <w:name w:val="index 1"/>
    <w:basedOn w:val="1"/>
    <w:next w:val="1"/>
    <w:semiHidden/>
    <w:qFormat/>
    <w:uiPriority w:val="0"/>
    <w:pPr>
      <w:widowControl/>
      <w:ind w:right="-54" w:rightChars="-54"/>
      <w:jc w:val="center"/>
    </w:pPr>
    <w:rPr>
      <w:rFonts w:ascii="Arial" w:hAnsi="Arial" w:cs="Arial"/>
      <w:color w:val="000000"/>
      <w:kern w:val="0"/>
      <w:szCs w:val="21"/>
      <w:lang w:eastAsia="en-US" w:bidi="en-US"/>
    </w:rPr>
  </w:style>
  <w:style w:type="paragraph" w:styleId="44">
    <w:name w:val="toc 1"/>
    <w:basedOn w:val="1"/>
    <w:next w:val="1"/>
    <w:qFormat/>
    <w:uiPriority w:val="39"/>
    <w:pPr>
      <w:widowControl/>
      <w:tabs>
        <w:tab w:val="right" w:leader="dot" w:pos="8296"/>
      </w:tabs>
      <w:spacing w:beforeLines="20" w:line="300" w:lineRule="auto"/>
      <w:ind w:firstLine="422"/>
    </w:pPr>
    <w:rPr>
      <w:rFonts w:eastAsiaTheme="minorEastAsia"/>
      <w:b/>
      <w:bCs/>
      <w:caps/>
      <w:color w:val="00B0F0"/>
      <w:kern w:val="0"/>
      <w:sz w:val="21"/>
      <w:szCs w:val="21"/>
      <w:lang w:bidi="en-US"/>
    </w:rPr>
  </w:style>
  <w:style w:type="paragraph" w:styleId="45">
    <w:name w:val="toc 4"/>
    <w:basedOn w:val="1"/>
    <w:next w:val="1"/>
    <w:qFormat/>
    <w:uiPriority w:val="39"/>
    <w:pPr>
      <w:widowControl/>
      <w:ind w:left="630"/>
    </w:pPr>
    <w:rPr>
      <w:kern w:val="0"/>
      <w:sz w:val="18"/>
      <w:szCs w:val="18"/>
      <w:lang w:eastAsia="en-US" w:bidi="en-US"/>
    </w:rPr>
  </w:style>
  <w:style w:type="paragraph" w:styleId="46">
    <w:name w:val="Subtitle"/>
    <w:basedOn w:val="1"/>
    <w:next w:val="1"/>
    <w:link w:val="103"/>
    <w:qFormat/>
    <w:uiPriority w:val="11"/>
    <w:pPr>
      <w:widowControl/>
      <w:spacing w:after="60"/>
      <w:jc w:val="center"/>
      <w:outlineLvl w:val="1"/>
    </w:pPr>
    <w:rPr>
      <w:rFonts w:ascii="Cambria" w:hAnsi="Cambria" w:eastAsia="仿宋_GB2312"/>
      <w:kern w:val="0"/>
      <w:szCs w:val="24"/>
    </w:rPr>
  </w:style>
  <w:style w:type="paragraph" w:styleId="47">
    <w:name w:val="List Number 5"/>
    <w:basedOn w:val="1"/>
    <w:qFormat/>
    <w:uiPriority w:val="0"/>
    <w:pPr>
      <w:tabs>
        <w:tab w:val="left" w:pos="2040"/>
      </w:tabs>
      <w:spacing w:line="240" w:lineRule="auto"/>
      <w:ind w:left="2040" w:leftChars="800" w:hanging="360" w:hangingChars="200"/>
    </w:pPr>
    <w:rPr>
      <w:szCs w:val="24"/>
    </w:rPr>
  </w:style>
  <w:style w:type="paragraph" w:styleId="48">
    <w:name w:val="List"/>
    <w:basedOn w:val="1"/>
    <w:qFormat/>
    <w:uiPriority w:val="0"/>
    <w:pPr>
      <w:widowControl/>
      <w:ind w:left="200" w:hanging="200" w:hangingChars="200"/>
    </w:pPr>
    <w:rPr>
      <w:kern w:val="0"/>
      <w:szCs w:val="24"/>
      <w:lang w:eastAsia="en-US" w:bidi="en-US"/>
    </w:rPr>
  </w:style>
  <w:style w:type="paragraph" w:styleId="49">
    <w:name w:val="toc 6"/>
    <w:basedOn w:val="1"/>
    <w:next w:val="1"/>
    <w:qFormat/>
    <w:uiPriority w:val="39"/>
    <w:pPr>
      <w:widowControl/>
      <w:ind w:left="1050"/>
    </w:pPr>
    <w:rPr>
      <w:kern w:val="0"/>
      <w:sz w:val="18"/>
      <w:szCs w:val="18"/>
      <w:lang w:eastAsia="en-US" w:bidi="en-US"/>
    </w:rPr>
  </w:style>
  <w:style w:type="paragraph" w:styleId="50">
    <w:name w:val="Body Text Indent 3"/>
    <w:basedOn w:val="1"/>
    <w:link w:val="218"/>
    <w:qFormat/>
    <w:uiPriority w:val="0"/>
    <w:pPr>
      <w:spacing w:after="120" w:line="240" w:lineRule="auto"/>
      <w:ind w:left="420" w:leftChars="200"/>
    </w:pPr>
    <w:rPr>
      <w:kern w:val="0"/>
      <w:sz w:val="16"/>
      <w:szCs w:val="16"/>
    </w:rPr>
  </w:style>
  <w:style w:type="paragraph" w:styleId="51">
    <w:name w:val="toc 2"/>
    <w:basedOn w:val="1"/>
    <w:next w:val="1"/>
    <w:qFormat/>
    <w:uiPriority w:val="39"/>
    <w:pPr>
      <w:widowControl/>
      <w:tabs>
        <w:tab w:val="right" w:leader="dot" w:pos="8302"/>
      </w:tabs>
      <w:ind w:left="210" w:firstLine="420"/>
    </w:pPr>
    <w:rPr>
      <w:rFonts w:eastAsiaTheme="minorEastAsia"/>
      <w:smallCaps/>
      <w:color w:val="00B0F0"/>
      <w:kern w:val="0"/>
      <w:sz w:val="21"/>
      <w:szCs w:val="21"/>
      <w:lang w:eastAsia="en-US" w:bidi="en-US"/>
    </w:rPr>
  </w:style>
  <w:style w:type="paragraph" w:styleId="52">
    <w:name w:val="toc 9"/>
    <w:basedOn w:val="1"/>
    <w:next w:val="1"/>
    <w:qFormat/>
    <w:uiPriority w:val="39"/>
    <w:pPr>
      <w:widowControl/>
      <w:ind w:left="1680"/>
    </w:pPr>
    <w:rPr>
      <w:kern w:val="0"/>
      <w:sz w:val="18"/>
      <w:szCs w:val="18"/>
      <w:lang w:eastAsia="en-US" w:bidi="en-US"/>
    </w:rPr>
  </w:style>
  <w:style w:type="paragraph" w:styleId="53">
    <w:name w:val="Body Text 2"/>
    <w:basedOn w:val="1"/>
    <w:link w:val="125"/>
    <w:qFormat/>
    <w:uiPriority w:val="0"/>
    <w:pPr>
      <w:widowControl/>
      <w:spacing w:after="120" w:line="480" w:lineRule="auto"/>
    </w:pPr>
    <w:rPr>
      <w:kern w:val="0"/>
      <w:szCs w:val="24"/>
      <w:lang w:eastAsia="en-US" w:bidi="en-US"/>
    </w:rPr>
  </w:style>
  <w:style w:type="paragraph" w:styleId="54">
    <w:name w:val="List 4"/>
    <w:basedOn w:val="1"/>
    <w:qFormat/>
    <w:uiPriority w:val="0"/>
    <w:pPr>
      <w:spacing w:line="240" w:lineRule="auto"/>
      <w:ind w:left="100" w:leftChars="600" w:hanging="200" w:hangingChars="200"/>
    </w:pPr>
    <w:rPr>
      <w:szCs w:val="24"/>
    </w:rPr>
  </w:style>
  <w:style w:type="paragraph" w:styleId="55">
    <w:name w:val="HTML Preformatted"/>
    <w:basedOn w:val="1"/>
    <w:link w:val="32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Arial Unicode MS" w:hAnsi="Arial Unicode MS" w:eastAsia="Arial Unicode MS"/>
      <w:kern w:val="0"/>
      <w:sz w:val="20"/>
      <w:szCs w:val="20"/>
    </w:rPr>
  </w:style>
  <w:style w:type="paragraph" w:styleId="56">
    <w:name w:val="Normal (Web)"/>
    <w:basedOn w:val="1"/>
    <w:qFormat/>
    <w:uiPriority w:val="99"/>
    <w:pPr>
      <w:widowControl/>
      <w:spacing w:beforeAutospacing="1" w:after="100" w:afterAutospacing="1"/>
    </w:pPr>
    <w:rPr>
      <w:rFonts w:ascii="宋体" w:hAnsi="宋体" w:cs="宋体"/>
      <w:kern w:val="0"/>
      <w:szCs w:val="24"/>
      <w:lang w:eastAsia="en-US" w:bidi="en-US"/>
    </w:rPr>
  </w:style>
  <w:style w:type="paragraph" w:styleId="57">
    <w:name w:val="Title"/>
    <w:basedOn w:val="1"/>
    <w:next w:val="1"/>
    <w:link w:val="102"/>
    <w:qFormat/>
    <w:uiPriority w:val="10"/>
    <w:pPr>
      <w:widowControl/>
      <w:spacing w:before="240" w:after="60"/>
      <w:jc w:val="center"/>
      <w:outlineLvl w:val="0"/>
    </w:pPr>
    <w:rPr>
      <w:rFonts w:ascii="Cambria" w:hAnsi="Cambria" w:eastAsia="仿宋_GB2312"/>
      <w:b/>
      <w:bCs/>
      <w:kern w:val="28"/>
      <w:sz w:val="32"/>
      <w:szCs w:val="32"/>
    </w:rPr>
  </w:style>
  <w:style w:type="paragraph" w:styleId="58">
    <w:name w:val="annotation subject"/>
    <w:basedOn w:val="23"/>
    <w:next w:val="23"/>
    <w:link w:val="317"/>
    <w:qFormat/>
    <w:uiPriority w:val="0"/>
    <w:pPr>
      <w:adjustRightInd w:val="0"/>
      <w:spacing w:line="312" w:lineRule="atLeast"/>
      <w:textAlignment w:val="baseline"/>
    </w:pPr>
    <w:rPr>
      <w:rFonts w:ascii="Arial Narrow" w:hAnsi="Arial"/>
      <w:b/>
      <w:sz w:val="24"/>
      <w:szCs w:val="20"/>
    </w:rPr>
  </w:style>
  <w:style w:type="paragraph" w:styleId="59">
    <w:name w:val="Body Text First Indent"/>
    <w:basedOn w:val="26"/>
    <w:next w:val="1"/>
    <w:link w:val="155"/>
    <w:qFormat/>
    <w:uiPriority w:val="0"/>
    <w:pPr>
      <w:spacing w:line="240" w:lineRule="auto"/>
      <w:ind w:firstLine="420" w:firstLineChars="100"/>
    </w:pPr>
    <w:rPr>
      <w:rFonts w:eastAsia="宋体"/>
    </w:rPr>
  </w:style>
  <w:style w:type="paragraph" w:styleId="60">
    <w:name w:val="Body Text First Indent 2"/>
    <w:basedOn w:val="1"/>
    <w:next w:val="59"/>
    <w:link w:val="160"/>
    <w:qFormat/>
    <w:uiPriority w:val="0"/>
    <w:pPr>
      <w:adjustRightInd w:val="0"/>
      <w:ind w:firstLine="420"/>
      <w:textAlignment w:val="baseline"/>
    </w:pPr>
    <w:rPr>
      <w:szCs w:val="20"/>
    </w:rPr>
  </w:style>
  <w:style w:type="table" w:styleId="62">
    <w:name w:val="Table Grid"/>
    <w:basedOn w:val="61"/>
    <w:qFormat/>
    <w:uiPriority w:val="59"/>
    <w:pPr>
      <w:widowControl w:val="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styleId="63">
    <w:name w:val="Table Theme"/>
    <w:basedOn w:val="61"/>
    <w:qFormat/>
    <w:uiPriority w:val="0"/>
    <w:pPr>
      <w:widowControl w:val="0"/>
    </w:pPr>
    <w:rPr>
      <w:rFonts w:ascii="Arial" w:hAnsi="Arial"/>
    </w:rPr>
    <w:tblPr>
      <w:tblBorders>
        <w:top w:val="thinThickSmallGap" w:color="auto" w:sz="12" w:space="0"/>
        <w:bottom w:val="thickThinSmallGap" w:color="auto" w:sz="12" w:space="0"/>
        <w:insideH w:val="single" w:color="auto" w:sz="6" w:space="0"/>
        <w:insideV w:val="single" w:color="auto" w:sz="6" w:space="0"/>
      </w:tblBorders>
      <w:tblLayout w:type="fixed"/>
      <w:tblCellMar>
        <w:top w:w="0" w:type="dxa"/>
        <w:left w:w="108" w:type="dxa"/>
        <w:bottom w:w="0" w:type="dxa"/>
        <w:right w:w="108" w:type="dxa"/>
      </w:tblCellMar>
    </w:tblPr>
  </w:style>
  <w:style w:type="table" w:styleId="64">
    <w:name w:val="Table List 5"/>
    <w:basedOn w:val="61"/>
    <w:qFormat/>
    <w:uiPriority w:val="0"/>
    <w:pPr>
      <w:widowControl w:val="0"/>
    </w:pPr>
    <w:tblPr>
      <w:tblBorders>
        <w:top w:val="single" w:color="000000" w:sz="6" w:space="0"/>
        <w:left w:val="single" w:color="000000" w:sz="6" w:space="0"/>
        <w:bottom w:val="single" w:color="000000" w:sz="6" w:space="0"/>
        <w:right w:val="single" w:color="000000" w:sz="6" w:space="0"/>
        <w:insideH w:val="single" w:color="000000" w:sz="6" w:space="0"/>
      </w:tblBorders>
      <w:tblLayout w:type="fixed"/>
      <w:tblCellMar>
        <w:top w:w="0" w:type="dxa"/>
        <w:left w:w="108" w:type="dxa"/>
        <w:bottom w:w="0" w:type="dxa"/>
        <w:right w:w="108" w:type="dxa"/>
      </w:tblCellMar>
    </w:tblPr>
    <w:tcPr>
      <w:shd w:val="clear" w:color="auto" w:fill="auto"/>
    </w:tcPr>
    <w:tblStylePr w:type="firstRow">
      <w:rPr>
        <w:b/>
        <w:bCs/>
      </w:rPr>
      <w:tblPr>
        <w:tblLayout w:type="fixed"/>
      </w:tblPr>
      <w:tcPr>
        <w:tcBorders>
          <w:bottom w:val="single" w:color="000000" w:sz="12" w:space="0"/>
          <w:tl2br w:val="nil"/>
          <w:tr2bl w:val="nil"/>
        </w:tcBorders>
      </w:tcPr>
    </w:tblStylePr>
    <w:tblStylePr w:type="firstCol">
      <w:rPr>
        <w:b/>
        <w:bCs/>
      </w:rPr>
      <w:tblPr>
        <w:tblLayout w:type="fixed"/>
      </w:tblPr>
      <w:tcPr>
        <w:tcBorders>
          <w:tl2br w:val="nil"/>
          <w:tr2bl w:val="nil"/>
        </w:tcBorders>
      </w:tcPr>
    </w:tblStylePr>
  </w:style>
  <w:style w:type="table" w:styleId="65">
    <w:name w:val="Table Grid 1"/>
    <w:basedOn w:val="61"/>
    <w:qFormat/>
    <w:uiPriority w:val="0"/>
    <w:pPr>
      <w:widowControl w:val="0"/>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lastRow">
      <w:rPr>
        <w:i/>
        <w:iCs/>
      </w:rPr>
      <w:tblPr>
        <w:tblLayout w:type="fixed"/>
      </w:tblPr>
      <w:tcPr>
        <w:tcBorders>
          <w:tl2br w:val="nil"/>
          <w:tr2bl w:val="nil"/>
        </w:tcBorders>
      </w:tcPr>
    </w:tblStylePr>
    <w:tblStylePr w:type="lastCol">
      <w:rPr>
        <w:i/>
        <w:i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table" w:styleId="66">
    <w:name w:val="Table Grid 5"/>
    <w:basedOn w:val="61"/>
    <w:qFormat/>
    <w:uiPriority w:val="0"/>
    <w:pPr>
      <w:widowControl w:val="0"/>
      <w:jc w:val="center"/>
    </w:pPr>
    <w:rPr>
      <w:sz w:val="18"/>
    </w:rPr>
    <w:tblPr>
      <w:tblBorders>
        <w:top w:val="single" w:color="000000" w:sz="12" w:space="0"/>
        <w:bottom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vAlign w:val="center"/>
    </w:tcPr>
    <w:tblStylePr w:type="firstRow">
      <w:pPr>
        <w:wordWrap/>
        <w:spacing w:beforeLines="0" w:beforeAutospacing="0" w:afterLines="0" w:afterAutospacing="0" w:line="240" w:lineRule="auto"/>
        <w:ind w:left="0" w:leftChars="0" w:right="0" w:rightChars="0" w:firstLine="0" w:firstLineChars="0"/>
        <w:contextualSpacing w:val="0"/>
      </w:pPr>
      <w:rPr>
        <w:rFonts w:eastAsia="宋体"/>
        <w:b/>
        <w:sz w:val="18"/>
      </w:rPr>
      <w:tblPr>
        <w:tblLayout w:type="fixed"/>
      </w:tblPr>
      <w:tcPr>
        <w:tcBorders>
          <w:bottom w:val="single" w:color="000000" w:sz="12" w:space="0"/>
          <w:tl2br w:val="nil"/>
          <w:tr2bl w:val="nil"/>
        </w:tcBorders>
      </w:tcPr>
    </w:tblStylePr>
    <w:tblStylePr w:type="lastRow">
      <w:rPr>
        <w:b/>
        <w:bCs/>
      </w:rPr>
      <w:tblPr>
        <w:tblLayout w:type="fixed"/>
      </w:tblPr>
      <w:tcPr>
        <w:tcBorders>
          <w:tl2br w:val="nil"/>
          <w:tr2bl w:val="nil"/>
        </w:tcBorders>
      </w:tcPr>
    </w:tblStylePr>
    <w:tblStylePr w:type="lastCol">
      <w:rPr>
        <w:b/>
        <w:bCs/>
      </w:rPr>
      <w:tblPr>
        <w:tblLayout w:type="fixed"/>
      </w:tblPr>
      <w:tcPr>
        <w:tcBorders>
          <w:tl2br w:val="nil"/>
          <w:tr2bl w:val="nil"/>
        </w:tcBorders>
      </w:tcPr>
    </w:tblStylePr>
    <w:tblStylePr w:type="nwCell">
      <w:tblPr>
        <w:tblLayout w:type="fixed"/>
      </w:tblPr>
      <w:tcPr>
        <w:tcBorders>
          <w:tl2br w:val="single" w:color="000000" w:sz="6" w:space="0"/>
          <w:tr2bl w:val="nil"/>
        </w:tcBorders>
      </w:tcPr>
    </w:tblStylePr>
  </w:style>
  <w:style w:type="character" w:styleId="68">
    <w:name w:val="Strong"/>
    <w:basedOn w:val="67"/>
    <w:qFormat/>
    <w:uiPriority w:val="0"/>
    <w:rPr>
      <w:b/>
      <w:bCs/>
    </w:rPr>
  </w:style>
  <w:style w:type="character" w:styleId="69">
    <w:name w:val="page number"/>
    <w:basedOn w:val="67"/>
    <w:qFormat/>
    <w:uiPriority w:val="0"/>
  </w:style>
  <w:style w:type="character" w:styleId="70">
    <w:name w:val="FollowedHyperlink"/>
    <w:basedOn w:val="67"/>
    <w:qFormat/>
    <w:uiPriority w:val="0"/>
    <w:rPr>
      <w:color w:val="900B09"/>
      <w:u w:val="none"/>
    </w:rPr>
  </w:style>
  <w:style w:type="character" w:styleId="71">
    <w:name w:val="Emphasis"/>
    <w:qFormat/>
    <w:uiPriority w:val="20"/>
    <w:rPr>
      <w:rFonts w:ascii="Calibri" w:hAnsi="Calibri"/>
      <w:b/>
      <w:i/>
      <w:iCs/>
    </w:rPr>
  </w:style>
  <w:style w:type="character" w:styleId="72">
    <w:name w:val="Hyperlink"/>
    <w:basedOn w:val="67"/>
    <w:qFormat/>
    <w:uiPriority w:val="99"/>
    <w:rPr>
      <w:color w:val="000000"/>
      <w:u w:val="none"/>
    </w:rPr>
  </w:style>
  <w:style w:type="character" w:styleId="73">
    <w:name w:val="annotation reference"/>
    <w:qFormat/>
    <w:uiPriority w:val="0"/>
    <w:rPr>
      <w:sz w:val="21"/>
      <w:szCs w:val="21"/>
    </w:rPr>
  </w:style>
  <w:style w:type="paragraph" w:customStyle="1" w:styleId="74">
    <w:name w:val="明显引用1"/>
    <w:basedOn w:val="1"/>
    <w:next w:val="1"/>
    <w:link w:val="106"/>
    <w:qFormat/>
    <w:uiPriority w:val="30"/>
    <w:pPr>
      <w:widowControl/>
      <w:ind w:left="720" w:right="720"/>
    </w:pPr>
    <w:rPr>
      <w:rFonts w:eastAsia="仿宋_GB2312"/>
      <w:b/>
      <w:i/>
      <w:kern w:val="0"/>
      <w:szCs w:val="20"/>
    </w:rPr>
  </w:style>
  <w:style w:type="paragraph" w:customStyle="1" w:styleId="75">
    <w:name w:val="样式 标题 1 + 四号 段前: 0 磅 段后: 0 磅 行距: 1.5 倍行距"/>
    <w:basedOn w:val="76"/>
    <w:next w:val="77"/>
    <w:qFormat/>
    <w:uiPriority w:val="0"/>
    <w:pPr>
      <w:jc w:val="center"/>
    </w:pPr>
    <w:rPr>
      <w:sz w:val="28"/>
    </w:rPr>
  </w:style>
  <w:style w:type="paragraph" w:customStyle="1" w:styleId="76">
    <w:name w:val="1正文"/>
    <w:basedOn w:val="1"/>
    <w:link w:val="416"/>
    <w:qFormat/>
    <w:uiPriority w:val="0"/>
    <w:pPr>
      <w:ind w:firstLine="588" w:firstLineChars="196"/>
    </w:pPr>
    <w:rPr>
      <w:rFonts w:eastAsia="楷体_GB2312"/>
      <w:sz w:val="30"/>
      <w:szCs w:val="30"/>
    </w:rPr>
  </w:style>
  <w:style w:type="paragraph" w:customStyle="1" w:styleId="77">
    <w:name w:val="文本正文"/>
    <w:basedOn w:val="1"/>
    <w:qFormat/>
    <w:uiPriority w:val="0"/>
    <w:pPr>
      <w:snapToGrid w:val="0"/>
      <w:ind w:firstLine="510"/>
    </w:pPr>
    <w:rPr>
      <w:spacing w:val="4"/>
      <w:kern w:val="24"/>
      <w:szCs w:val="24"/>
      <w:lang w:val="zh-CN"/>
    </w:rPr>
  </w:style>
  <w:style w:type="paragraph" w:customStyle="1" w:styleId="78">
    <w:name w:val="Normal Indent1"/>
    <w:basedOn w:val="1"/>
    <w:qFormat/>
    <w:uiPriority w:val="0"/>
    <w:pPr>
      <w:ind w:firstLine="420"/>
    </w:pPr>
  </w:style>
  <w:style w:type="character" w:customStyle="1" w:styleId="79">
    <w:name w:val="标题 1 Char"/>
    <w:link w:val="4"/>
    <w:qFormat/>
    <w:uiPriority w:val="0"/>
    <w:rPr>
      <w:rFonts w:ascii="Times New Roman" w:hAnsi="Times New Roman" w:eastAsia="黑体" w:cs="Arial"/>
      <w:bCs/>
      <w:kern w:val="32"/>
      <w:sz w:val="30"/>
      <w:szCs w:val="32"/>
      <w:lang w:eastAsia="en-US" w:bidi="en-US"/>
    </w:rPr>
  </w:style>
  <w:style w:type="character" w:customStyle="1" w:styleId="80">
    <w:name w:val="文档结构图 Char"/>
    <w:link w:val="22"/>
    <w:qFormat/>
    <w:uiPriority w:val="99"/>
    <w:rPr>
      <w:rFonts w:ascii="宋体" w:eastAsia="宋体"/>
      <w:sz w:val="18"/>
      <w:szCs w:val="18"/>
    </w:rPr>
  </w:style>
  <w:style w:type="character" w:customStyle="1" w:styleId="81">
    <w:name w:val="标题 2 Char"/>
    <w:link w:val="5"/>
    <w:qFormat/>
    <w:uiPriority w:val="0"/>
    <w:rPr>
      <w:rFonts w:ascii="Cambria" w:hAnsi="Cambria" w:eastAsia="宋体"/>
      <w:b/>
      <w:bCs/>
      <w:sz w:val="30"/>
      <w:szCs w:val="32"/>
    </w:rPr>
  </w:style>
  <w:style w:type="character" w:customStyle="1" w:styleId="82">
    <w:name w:val="标题 3 Char"/>
    <w:link w:val="6"/>
    <w:qFormat/>
    <w:uiPriority w:val="0"/>
    <w:rPr>
      <w:rFonts w:ascii="Times New Roman" w:hAnsi="Times New Roman" w:eastAsia="华文楷体"/>
      <w:b/>
      <w:bCs/>
      <w:sz w:val="32"/>
      <w:szCs w:val="32"/>
    </w:rPr>
  </w:style>
  <w:style w:type="character" w:customStyle="1" w:styleId="83">
    <w:name w:val="p15"/>
    <w:basedOn w:val="67"/>
    <w:qFormat/>
    <w:uiPriority w:val="0"/>
  </w:style>
  <w:style w:type="character" w:customStyle="1" w:styleId="84">
    <w:name w:val="标题 4 Char"/>
    <w:link w:val="7"/>
    <w:qFormat/>
    <w:uiPriority w:val="9"/>
    <w:rPr>
      <w:rFonts w:ascii="Cambria" w:hAnsi="Cambria" w:eastAsia="宋体" w:cs="Times New Roman"/>
      <w:b/>
      <w:bCs/>
      <w:sz w:val="28"/>
      <w:szCs w:val="28"/>
    </w:rPr>
  </w:style>
  <w:style w:type="character" w:customStyle="1" w:styleId="85">
    <w:name w:val="标题 5 Char"/>
    <w:link w:val="8"/>
    <w:qFormat/>
    <w:uiPriority w:val="9"/>
    <w:rPr>
      <w:rFonts w:ascii="Times New Roman" w:hAnsi="Times New Roman" w:eastAsia="仿宋_GB2312" w:cs="Times New Roman"/>
      <w:b/>
      <w:bCs/>
      <w:i/>
      <w:iCs/>
      <w:kern w:val="0"/>
      <w:sz w:val="26"/>
      <w:szCs w:val="26"/>
    </w:rPr>
  </w:style>
  <w:style w:type="character" w:customStyle="1" w:styleId="86">
    <w:name w:val="标题 6 Char"/>
    <w:link w:val="9"/>
    <w:qFormat/>
    <w:uiPriority w:val="9"/>
    <w:rPr>
      <w:rFonts w:ascii="Times New Roman" w:hAnsi="Times New Roman" w:eastAsia="仿宋_GB2312"/>
      <w:b/>
      <w:bCs/>
    </w:rPr>
  </w:style>
  <w:style w:type="character" w:customStyle="1" w:styleId="87">
    <w:name w:val="标题 7 Char"/>
    <w:link w:val="10"/>
    <w:qFormat/>
    <w:uiPriority w:val="9"/>
    <w:rPr>
      <w:rFonts w:ascii="Times New Roman" w:hAnsi="Times New Roman" w:eastAsia="仿宋_GB2312" w:cs="Times New Roman"/>
      <w:kern w:val="0"/>
      <w:sz w:val="24"/>
      <w:szCs w:val="24"/>
    </w:rPr>
  </w:style>
  <w:style w:type="character" w:customStyle="1" w:styleId="88">
    <w:name w:val="标题 8 Char"/>
    <w:link w:val="11"/>
    <w:qFormat/>
    <w:uiPriority w:val="9"/>
    <w:rPr>
      <w:rFonts w:ascii="Times New Roman" w:hAnsi="Times New Roman" w:eastAsia="仿宋_GB2312" w:cs="Times New Roman"/>
      <w:i/>
      <w:iCs/>
      <w:kern w:val="0"/>
      <w:sz w:val="24"/>
      <w:szCs w:val="24"/>
    </w:rPr>
  </w:style>
  <w:style w:type="character" w:customStyle="1" w:styleId="89">
    <w:name w:val="标题 9 Char"/>
    <w:link w:val="12"/>
    <w:qFormat/>
    <w:uiPriority w:val="9"/>
    <w:rPr>
      <w:rFonts w:ascii="Cambria" w:hAnsi="Cambria" w:eastAsia="仿宋_GB2312" w:cs="Times New Roman"/>
      <w:kern w:val="0"/>
      <w:sz w:val="20"/>
      <w:szCs w:val="20"/>
    </w:rPr>
  </w:style>
  <w:style w:type="character" w:customStyle="1" w:styleId="90">
    <w:name w:val="标题 2 Char1"/>
    <w:qFormat/>
    <w:uiPriority w:val="9"/>
    <w:rPr>
      <w:rFonts w:ascii="Times New Roman" w:hAnsi="Times New Roman" w:eastAsia="仿宋_GB2312"/>
      <w:b/>
      <w:bCs/>
      <w:iCs/>
      <w:sz w:val="24"/>
      <w:szCs w:val="28"/>
      <w:lang w:eastAsia="en-US" w:bidi="en-US"/>
    </w:rPr>
  </w:style>
  <w:style w:type="character" w:customStyle="1" w:styleId="91">
    <w:name w:val="标题 3 Char1"/>
    <w:qFormat/>
    <w:uiPriority w:val="0"/>
    <w:rPr>
      <w:rFonts w:ascii="Times New Roman" w:hAnsi="Times New Roman" w:eastAsia="仿宋_GB2312"/>
      <w:bCs/>
      <w:sz w:val="24"/>
      <w:szCs w:val="26"/>
      <w:lang w:eastAsia="en-US" w:bidi="en-US"/>
    </w:rPr>
  </w:style>
  <w:style w:type="paragraph" w:customStyle="1" w:styleId="92">
    <w:name w:val="无间隔1"/>
    <w:basedOn w:val="1"/>
    <w:link w:val="93"/>
    <w:qFormat/>
    <w:uiPriority w:val="1"/>
    <w:pPr>
      <w:widowControl/>
    </w:pPr>
    <w:rPr>
      <w:rFonts w:eastAsia="仿宋_GB2312"/>
      <w:kern w:val="0"/>
      <w:szCs w:val="32"/>
      <w:lang w:eastAsia="en-US" w:bidi="en-US"/>
    </w:rPr>
  </w:style>
  <w:style w:type="character" w:customStyle="1" w:styleId="93">
    <w:name w:val="无间隔 Char"/>
    <w:link w:val="92"/>
    <w:qFormat/>
    <w:uiPriority w:val="1"/>
    <w:rPr>
      <w:rFonts w:ascii="Times New Roman" w:hAnsi="Times New Roman" w:eastAsia="仿宋_GB2312" w:cs="Times New Roman"/>
      <w:kern w:val="0"/>
      <w:sz w:val="24"/>
      <w:szCs w:val="32"/>
      <w:lang w:eastAsia="en-US" w:bidi="en-US"/>
    </w:rPr>
  </w:style>
  <w:style w:type="paragraph" w:customStyle="1" w:styleId="94">
    <w:name w:val="列出段落1"/>
    <w:basedOn w:val="1"/>
    <w:qFormat/>
    <w:uiPriority w:val="34"/>
    <w:pPr>
      <w:widowControl/>
      <w:ind w:left="720"/>
      <w:contextualSpacing/>
    </w:pPr>
    <w:rPr>
      <w:rFonts w:eastAsia="仿宋_GB2312"/>
      <w:kern w:val="0"/>
      <w:szCs w:val="24"/>
      <w:lang w:eastAsia="en-US" w:bidi="en-US"/>
    </w:rPr>
  </w:style>
  <w:style w:type="paragraph" w:customStyle="1" w:styleId="95">
    <w:name w:val="1"/>
    <w:basedOn w:val="4"/>
    <w:link w:val="96"/>
    <w:qFormat/>
    <w:uiPriority w:val="0"/>
    <w:rPr>
      <w:szCs w:val="24"/>
    </w:rPr>
  </w:style>
  <w:style w:type="character" w:customStyle="1" w:styleId="96">
    <w:name w:val="1 Char"/>
    <w:link w:val="95"/>
    <w:qFormat/>
    <w:uiPriority w:val="0"/>
    <w:rPr>
      <w:rFonts w:ascii="Times New Roman" w:hAnsi="Times New Roman" w:eastAsia="黑体" w:cs="Arial"/>
      <w:bCs/>
      <w:kern w:val="32"/>
      <w:sz w:val="28"/>
      <w:szCs w:val="24"/>
      <w:lang w:eastAsia="en-US" w:bidi="en-US"/>
    </w:rPr>
  </w:style>
  <w:style w:type="character" w:customStyle="1" w:styleId="97">
    <w:name w:val="正文文本 Char"/>
    <w:link w:val="26"/>
    <w:qFormat/>
    <w:uiPriority w:val="99"/>
    <w:rPr>
      <w:rFonts w:ascii="Times New Roman" w:hAnsi="Times New Roman" w:eastAsia="仿宋_GB2312" w:cs="Times New Roman"/>
      <w:kern w:val="0"/>
      <w:sz w:val="24"/>
      <w:szCs w:val="24"/>
      <w:lang w:eastAsia="en-US" w:bidi="en-US"/>
    </w:rPr>
  </w:style>
  <w:style w:type="paragraph" w:customStyle="1" w:styleId="98">
    <w:name w:val="2"/>
    <w:basedOn w:val="5"/>
    <w:next w:val="26"/>
    <w:link w:val="99"/>
    <w:qFormat/>
    <w:uiPriority w:val="0"/>
    <w:pPr>
      <w:keepLines w:val="0"/>
      <w:widowControl/>
      <w:spacing w:beforeLines="50"/>
    </w:pPr>
    <w:rPr>
      <w:rFonts w:ascii="Times New Roman" w:hAnsi="Times New Roman" w:eastAsia="仿宋_GB2312"/>
      <w:iCs/>
      <w:szCs w:val="24"/>
      <w:lang w:eastAsia="en-US" w:bidi="en-US"/>
    </w:rPr>
  </w:style>
  <w:style w:type="character" w:customStyle="1" w:styleId="99">
    <w:name w:val="2 Char"/>
    <w:link w:val="98"/>
    <w:qFormat/>
    <w:uiPriority w:val="0"/>
    <w:rPr>
      <w:rFonts w:ascii="Times New Roman" w:hAnsi="Times New Roman" w:eastAsia="仿宋_GB2312" w:cs="Times New Roman"/>
      <w:b/>
      <w:bCs/>
      <w:iCs/>
      <w:kern w:val="0"/>
      <w:sz w:val="24"/>
      <w:szCs w:val="24"/>
      <w:lang w:eastAsia="en-US" w:bidi="en-US"/>
    </w:rPr>
  </w:style>
  <w:style w:type="paragraph" w:customStyle="1" w:styleId="100">
    <w:name w:val="3"/>
    <w:basedOn w:val="6"/>
    <w:next w:val="26"/>
    <w:link w:val="101"/>
    <w:qFormat/>
    <w:uiPriority w:val="0"/>
    <w:pPr>
      <w:keepLines w:val="0"/>
      <w:widowControl/>
      <w:adjustRightInd w:val="0"/>
      <w:snapToGrid w:val="0"/>
    </w:pPr>
    <w:rPr>
      <w:rFonts w:eastAsia="仿宋_GB2312"/>
      <w:sz w:val="24"/>
      <w:szCs w:val="24"/>
      <w:lang w:eastAsia="en-US" w:bidi="en-US"/>
    </w:rPr>
  </w:style>
  <w:style w:type="character" w:customStyle="1" w:styleId="101">
    <w:name w:val="3 Char"/>
    <w:link w:val="100"/>
    <w:qFormat/>
    <w:uiPriority w:val="0"/>
    <w:rPr>
      <w:rFonts w:ascii="Times New Roman" w:hAnsi="Times New Roman" w:eastAsia="仿宋_GB2312" w:cs="Times New Roman"/>
      <w:b/>
      <w:bCs/>
      <w:kern w:val="0"/>
      <w:sz w:val="24"/>
      <w:szCs w:val="24"/>
      <w:lang w:eastAsia="en-US" w:bidi="en-US"/>
    </w:rPr>
  </w:style>
  <w:style w:type="character" w:customStyle="1" w:styleId="102">
    <w:name w:val="标题 Char"/>
    <w:link w:val="57"/>
    <w:qFormat/>
    <w:uiPriority w:val="10"/>
    <w:rPr>
      <w:rFonts w:ascii="Cambria" w:hAnsi="Cambria" w:eastAsia="仿宋_GB2312" w:cs="Times New Roman"/>
      <w:b/>
      <w:bCs/>
      <w:kern w:val="28"/>
      <w:sz w:val="32"/>
      <w:szCs w:val="32"/>
    </w:rPr>
  </w:style>
  <w:style w:type="character" w:customStyle="1" w:styleId="103">
    <w:name w:val="副标题 Char"/>
    <w:link w:val="46"/>
    <w:qFormat/>
    <w:uiPriority w:val="11"/>
    <w:rPr>
      <w:rFonts w:ascii="Cambria" w:hAnsi="Cambria" w:eastAsia="仿宋_GB2312" w:cs="Times New Roman"/>
      <w:kern w:val="0"/>
      <w:sz w:val="24"/>
      <w:szCs w:val="24"/>
    </w:rPr>
  </w:style>
  <w:style w:type="paragraph" w:customStyle="1" w:styleId="104">
    <w:name w:val="引用1"/>
    <w:basedOn w:val="1"/>
    <w:next w:val="1"/>
    <w:link w:val="105"/>
    <w:qFormat/>
    <w:uiPriority w:val="29"/>
    <w:pPr>
      <w:widowControl/>
    </w:pPr>
    <w:rPr>
      <w:rFonts w:eastAsia="仿宋_GB2312"/>
      <w:i/>
      <w:kern w:val="0"/>
      <w:szCs w:val="24"/>
    </w:rPr>
  </w:style>
  <w:style w:type="character" w:customStyle="1" w:styleId="105">
    <w:name w:val="引用 Char"/>
    <w:link w:val="104"/>
    <w:qFormat/>
    <w:uiPriority w:val="29"/>
    <w:rPr>
      <w:rFonts w:ascii="Times New Roman" w:hAnsi="Times New Roman" w:eastAsia="仿宋_GB2312" w:cs="Times New Roman"/>
      <w:i/>
      <w:kern w:val="0"/>
      <w:sz w:val="24"/>
      <w:szCs w:val="24"/>
    </w:rPr>
  </w:style>
  <w:style w:type="character" w:customStyle="1" w:styleId="106">
    <w:name w:val="明显引用 Char"/>
    <w:link w:val="74"/>
    <w:qFormat/>
    <w:uiPriority w:val="30"/>
    <w:rPr>
      <w:rFonts w:ascii="Times New Roman" w:hAnsi="Times New Roman" w:eastAsia="仿宋_GB2312" w:cs="Times New Roman"/>
      <w:b/>
      <w:i/>
      <w:kern w:val="0"/>
      <w:sz w:val="24"/>
      <w:szCs w:val="20"/>
    </w:rPr>
  </w:style>
  <w:style w:type="character" w:customStyle="1" w:styleId="107">
    <w:name w:val="不明显强调1"/>
    <w:qFormat/>
    <w:uiPriority w:val="19"/>
    <w:rPr>
      <w:i/>
      <w:color w:val="5A5A5A"/>
    </w:rPr>
  </w:style>
  <w:style w:type="character" w:customStyle="1" w:styleId="108">
    <w:name w:val="明显强调1"/>
    <w:qFormat/>
    <w:uiPriority w:val="21"/>
    <w:rPr>
      <w:b/>
      <w:i/>
      <w:sz w:val="24"/>
      <w:szCs w:val="24"/>
      <w:u w:val="single"/>
    </w:rPr>
  </w:style>
  <w:style w:type="character" w:customStyle="1" w:styleId="109">
    <w:name w:val="不明显参考1"/>
    <w:qFormat/>
    <w:uiPriority w:val="31"/>
    <w:rPr>
      <w:sz w:val="24"/>
      <w:szCs w:val="24"/>
      <w:u w:val="single"/>
    </w:rPr>
  </w:style>
  <w:style w:type="character" w:customStyle="1" w:styleId="110">
    <w:name w:val="明显参考1"/>
    <w:qFormat/>
    <w:uiPriority w:val="32"/>
    <w:rPr>
      <w:b/>
      <w:sz w:val="24"/>
      <w:u w:val="single"/>
    </w:rPr>
  </w:style>
  <w:style w:type="character" w:customStyle="1" w:styleId="111">
    <w:name w:val="书籍标题1"/>
    <w:qFormat/>
    <w:uiPriority w:val="33"/>
    <w:rPr>
      <w:rFonts w:ascii="Cambria" w:hAnsi="Cambria" w:eastAsia="宋体"/>
      <w:b/>
      <w:i/>
      <w:sz w:val="24"/>
      <w:szCs w:val="24"/>
    </w:rPr>
  </w:style>
  <w:style w:type="paragraph" w:customStyle="1" w:styleId="112">
    <w:name w:val="TOC 标题1"/>
    <w:basedOn w:val="4"/>
    <w:next w:val="1"/>
    <w:qFormat/>
    <w:uiPriority w:val="39"/>
    <w:pPr>
      <w:outlineLvl w:val="9"/>
    </w:pPr>
    <w:rPr>
      <w:rFonts w:cs="Times New Roman"/>
    </w:rPr>
  </w:style>
  <w:style w:type="character" w:customStyle="1" w:styleId="113">
    <w:name w:val="页眉 Char"/>
    <w:link w:val="41"/>
    <w:qFormat/>
    <w:uiPriority w:val="99"/>
    <w:rPr>
      <w:rFonts w:ascii="Times New Roman" w:hAnsi="Times New Roman" w:eastAsia="仿宋_GB2312" w:cs="Times New Roman"/>
      <w:kern w:val="0"/>
      <w:sz w:val="18"/>
      <w:szCs w:val="18"/>
      <w:lang w:eastAsia="en-US" w:bidi="en-US"/>
    </w:rPr>
  </w:style>
  <w:style w:type="character" w:customStyle="1" w:styleId="114">
    <w:name w:val="页脚 Char"/>
    <w:link w:val="40"/>
    <w:qFormat/>
    <w:uiPriority w:val="99"/>
    <w:rPr>
      <w:rFonts w:ascii="Times New Roman" w:hAnsi="Times New Roman" w:eastAsia="仿宋_GB2312" w:cs="Times New Roman"/>
      <w:kern w:val="0"/>
      <w:sz w:val="18"/>
      <w:szCs w:val="18"/>
      <w:lang w:eastAsia="en-US" w:bidi="en-US"/>
    </w:rPr>
  </w:style>
  <w:style w:type="paragraph" w:customStyle="1" w:styleId="115">
    <w:name w:val="样式1"/>
    <w:basedOn w:val="1"/>
    <w:link w:val="116"/>
    <w:qFormat/>
    <w:uiPriority w:val="0"/>
    <w:pPr>
      <w:widowControl/>
      <w:spacing w:beforeLines="50"/>
    </w:pPr>
    <w:rPr>
      <w:rFonts w:eastAsia="黑体"/>
      <w:kern w:val="0"/>
      <w:sz w:val="28"/>
      <w:szCs w:val="28"/>
      <w:lang w:bidi="en-US"/>
    </w:rPr>
  </w:style>
  <w:style w:type="character" w:customStyle="1" w:styleId="116">
    <w:name w:val="样式1 Char"/>
    <w:link w:val="115"/>
    <w:qFormat/>
    <w:uiPriority w:val="0"/>
    <w:rPr>
      <w:rFonts w:ascii="Times New Roman" w:hAnsi="Times New Roman" w:eastAsia="黑体" w:cs="Times New Roman"/>
      <w:kern w:val="0"/>
      <w:sz w:val="28"/>
      <w:szCs w:val="28"/>
      <w:lang w:bidi="en-US"/>
    </w:rPr>
  </w:style>
  <w:style w:type="character" w:customStyle="1" w:styleId="117">
    <w:name w:val="正文文本缩进 2 Char"/>
    <w:link w:val="38"/>
    <w:qFormat/>
    <w:uiPriority w:val="99"/>
    <w:rPr>
      <w:rFonts w:ascii="Arial" w:hAnsi="Arial" w:eastAsia="宋体" w:cs="Times New Roman"/>
      <w:kern w:val="0"/>
      <w:sz w:val="24"/>
      <w:szCs w:val="24"/>
      <w:lang w:eastAsia="en-US" w:bidi="en-US"/>
    </w:rPr>
  </w:style>
  <w:style w:type="paragraph" w:customStyle="1" w:styleId="118">
    <w:name w:val="表文字"/>
    <w:basedOn w:val="1"/>
    <w:link w:val="119"/>
    <w:qFormat/>
    <w:uiPriority w:val="99"/>
    <w:pPr>
      <w:widowControl/>
      <w:topLinePunct/>
      <w:adjustRightInd w:val="0"/>
      <w:spacing w:line="240" w:lineRule="exact"/>
      <w:jc w:val="center"/>
      <w:textAlignment w:val="baseline"/>
    </w:pPr>
    <w:rPr>
      <w:kern w:val="0"/>
      <w:szCs w:val="21"/>
      <w:lang w:eastAsia="en-US" w:bidi="en-US"/>
    </w:rPr>
  </w:style>
  <w:style w:type="character" w:customStyle="1" w:styleId="119">
    <w:name w:val="表文字 Char"/>
    <w:link w:val="118"/>
    <w:qFormat/>
    <w:uiPriority w:val="99"/>
    <w:rPr>
      <w:rFonts w:ascii="Times New Roman" w:hAnsi="Times New Roman" w:eastAsia="宋体" w:cs="Times New Roman"/>
      <w:kern w:val="0"/>
      <w:sz w:val="24"/>
      <w:szCs w:val="21"/>
      <w:lang w:eastAsia="en-US" w:bidi="en-US"/>
    </w:rPr>
  </w:style>
  <w:style w:type="character" w:customStyle="1" w:styleId="120">
    <w:name w:val="日期 Char"/>
    <w:link w:val="37"/>
    <w:qFormat/>
    <w:uiPriority w:val="99"/>
    <w:rPr>
      <w:rFonts w:ascii="Times New Roman" w:hAnsi="Times New Roman" w:eastAsia="仿宋_GB2312" w:cs="Times New Roman"/>
      <w:kern w:val="0"/>
      <w:sz w:val="24"/>
      <w:szCs w:val="24"/>
      <w:lang w:eastAsia="en-US" w:bidi="en-US"/>
    </w:rPr>
  </w:style>
  <w:style w:type="paragraph" w:customStyle="1" w:styleId="121">
    <w:name w:val="xl24"/>
    <w:basedOn w:val="1"/>
    <w:qFormat/>
    <w:uiPriority w:val="0"/>
    <w:pPr>
      <w:widowControl/>
      <w:pBdr>
        <w:left w:val="single" w:color="auto" w:sz="4" w:space="0"/>
        <w:bottom w:val="single" w:color="auto" w:sz="4" w:space="0"/>
        <w:right w:val="single" w:color="auto" w:sz="4" w:space="0"/>
      </w:pBdr>
      <w:spacing w:beforeAutospacing="1" w:after="100" w:afterAutospacing="1"/>
      <w:jc w:val="center"/>
    </w:pPr>
    <w:rPr>
      <w:kern w:val="0"/>
      <w:szCs w:val="21"/>
      <w:lang w:eastAsia="en-US" w:bidi="en-US"/>
    </w:rPr>
  </w:style>
  <w:style w:type="character" w:customStyle="1" w:styleId="122">
    <w:name w:val="批注框文本 Char"/>
    <w:link w:val="39"/>
    <w:qFormat/>
    <w:uiPriority w:val="99"/>
    <w:rPr>
      <w:rFonts w:ascii="Times New Roman" w:hAnsi="Times New Roman" w:eastAsia="仿宋_GB2312" w:cs="Times New Roman"/>
      <w:kern w:val="0"/>
      <w:sz w:val="18"/>
      <w:szCs w:val="18"/>
      <w:lang w:eastAsia="en-US" w:bidi="en-US"/>
    </w:rPr>
  </w:style>
  <w:style w:type="character" w:customStyle="1" w:styleId="123">
    <w:name w:val="apple-style-span"/>
    <w:basedOn w:val="67"/>
    <w:qFormat/>
    <w:uiPriority w:val="0"/>
  </w:style>
  <w:style w:type="character" w:customStyle="1" w:styleId="124">
    <w:name w:val="正文文本缩进 Char"/>
    <w:link w:val="27"/>
    <w:qFormat/>
    <w:uiPriority w:val="0"/>
    <w:rPr>
      <w:rFonts w:ascii="Times New Roman" w:hAnsi="Times New Roman" w:eastAsia="宋体" w:cs="Times New Roman"/>
      <w:kern w:val="0"/>
      <w:sz w:val="24"/>
      <w:szCs w:val="24"/>
      <w:lang w:eastAsia="en-US" w:bidi="en-US"/>
    </w:rPr>
  </w:style>
  <w:style w:type="character" w:customStyle="1" w:styleId="125">
    <w:name w:val="正文文本 2 Char"/>
    <w:link w:val="53"/>
    <w:qFormat/>
    <w:uiPriority w:val="0"/>
    <w:rPr>
      <w:rFonts w:ascii="Times New Roman" w:hAnsi="Times New Roman" w:eastAsia="宋体" w:cs="Times New Roman"/>
      <w:kern w:val="0"/>
      <w:sz w:val="24"/>
      <w:szCs w:val="24"/>
      <w:lang w:eastAsia="en-US" w:bidi="en-US"/>
    </w:rPr>
  </w:style>
  <w:style w:type="paragraph" w:customStyle="1" w:styleId="126">
    <w:name w:val="表格文字"/>
    <w:basedOn w:val="127"/>
    <w:link w:val="204"/>
    <w:qFormat/>
    <w:uiPriority w:val="0"/>
    <w:pPr>
      <w:widowControl/>
      <w:spacing w:line="240" w:lineRule="auto"/>
      <w:ind w:firstLine="0" w:firstLineChars="0"/>
      <w:jc w:val="center"/>
    </w:pPr>
    <w:rPr>
      <w:kern w:val="0"/>
      <w:sz w:val="21"/>
      <w:szCs w:val="21"/>
      <w:lang w:eastAsia="en-US" w:bidi="en-US"/>
    </w:rPr>
  </w:style>
  <w:style w:type="paragraph" w:customStyle="1" w:styleId="127">
    <w:name w:val="正文格式"/>
    <w:basedOn w:val="1"/>
    <w:link w:val="581"/>
    <w:qFormat/>
    <w:uiPriority w:val="0"/>
    <w:pPr>
      <w:ind w:firstLine="480"/>
    </w:pPr>
    <w:rPr>
      <w:rFonts w:eastAsia="仿宋_GB2312"/>
    </w:rPr>
  </w:style>
  <w:style w:type="paragraph" w:customStyle="1" w:styleId="128">
    <w:name w:val="标格标题"/>
    <w:basedOn w:val="126"/>
    <w:next w:val="126"/>
    <w:link w:val="214"/>
    <w:qFormat/>
    <w:uiPriority w:val="0"/>
    <w:rPr>
      <w:b/>
    </w:rPr>
  </w:style>
  <w:style w:type="table" w:customStyle="1" w:styleId="129">
    <w:name w:val="表格样式1"/>
    <w:basedOn w:val="62"/>
    <w:qFormat/>
    <w:uiPriority w:val="0"/>
    <w:pPr>
      <w:jc w:val="center"/>
    </w:pPr>
    <w:rPr>
      <w:rFonts w:ascii="Arial" w:hAnsi="Arial"/>
      <w:sz w:val="21"/>
    </w:rPr>
    <w:tblPr>
      <w:tblBorders>
        <w:top w:val="thinThickSmallGap" w:color="auto" w:sz="12" w:space="0"/>
        <w:bottom w:val="thickThinSmallGap" w:color="auto" w:sz="12" w:space="0"/>
        <w:insideH w:val="single" w:color="auto" w:sz="6" w:space="0"/>
        <w:insideV w:val="single" w:color="auto" w:sz="6" w:space="0"/>
      </w:tblBorders>
      <w:tblLayout w:type="fixed"/>
      <w:tblCellMar>
        <w:top w:w="0" w:type="dxa"/>
        <w:left w:w="108" w:type="dxa"/>
        <w:bottom w:w="0" w:type="dxa"/>
        <w:right w:w="108" w:type="dxa"/>
      </w:tblCellMar>
    </w:tblPr>
    <w:tcPr>
      <w:vAlign w:val="center"/>
    </w:tcPr>
  </w:style>
  <w:style w:type="paragraph" w:customStyle="1" w:styleId="130">
    <w:name w:val="纯文本1"/>
    <w:basedOn w:val="1"/>
    <w:qFormat/>
    <w:uiPriority w:val="0"/>
    <w:pPr>
      <w:widowControl/>
      <w:adjustRightInd w:val="0"/>
      <w:textAlignment w:val="baseline"/>
    </w:pPr>
    <w:rPr>
      <w:rFonts w:ascii="宋体" w:hAnsi="Courier New"/>
      <w:kern w:val="0"/>
      <w:szCs w:val="20"/>
      <w:lang w:eastAsia="en-US" w:bidi="en-US"/>
    </w:rPr>
  </w:style>
  <w:style w:type="paragraph" w:customStyle="1" w:styleId="131">
    <w:name w:val="样式 宋体 居中"/>
    <w:basedOn w:val="1"/>
    <w:qFormat/>
    <w:uiPriority w:val="0"/>
    <w:pPr>
      <w:widowControl/>
      <w:adjustRightInd w:val="0"/>
      <w:jc w:val="center"/>
      <w:textAlignment w:val="baseline"/>
    </w:pPr>
    <w:rPr>
      <w:rFonts w:ascii="宋体" w:hAnsi="宋体"/>
      <w:kern w:val="21"/>
      <w:szCs w:val="20"/>
      <w:lang w:eastAsia="en-US" w:bidi="en-US"/>
    </w:rPr>
  </w:style>
  <w:style w:type="character" w:customStyle="1" w:styleId="132">
    <w:name w:val="纯文本 Char"/>
    <w:link w:val="2"/>
    <w:qFormat/>
    <w:uiPriority w:val="0"/>
    <w:rPr>
      <w:rFonts w:ascii="Courier New" w:hAnsi="Courier New" w:eastAsia="宋体" w:cs="Times New Roman"/>
      <w:kern w:val="0"/>
      <w:sz w:val="24"/>
      <w:szCs w:val="20"/>
      <w:lang w:eastAsia="en-US" w:bidi="en-US"/>
    </w:rPr>
  </w:style>
  <w:style w:type="paragraph" w:customStyle="1" w:styleId="133">
    <w:name w:val="Char Char Char2 Char"/>
    <w:basedOn w:val="1"/>
    <w:qFormat/>
    <w:uiPriority w:val="0"/>
    <w:pPr>
      <w:widowControl/>
    </w:pPr>
    <w:rPr>
      <w:kern w:val="0"/>
      <w:szCs w:val="24"/>
      <w:lang w:eastAsia="en-US" w:bidi="en-US"/>
    </w:rPr>
  </w:style>
  <w:style w:type="paragraph" w:customStyle="1" w:styleId="134">
    <w:name w:val="正文1"/>
    <w:link w:val="423"/>
    <w:qFormat/>
    <w:uiPriority w:val="0"/>
    <w:pPr>
      <w:widowControl w:val="0"/>
      <w:adjustRightInd w:val="0"/>
      <w:spacing w:line="360" w:lineRule="auto"/>
      <w:ind w:firstLine="200" w:firstLineChars="200"/>
      <w:jc w:val="both"/>
      <w:textAlignment w:val="baseline"/>
    </w:pPr>
    <w:rPr>
      <w:rFonts w:ascii="Times New Roman" w:hAnsi="Times New Roman" w:eastAsia="宋体" w:cs="Times New Roman"/>
      <w:sz w:val="24"/>
      <w:szCs w:val="22"/>
      <w:lang w:val="en-US" w:eastAsia="zh-CN" w:bidi="ar-SA"/>
    </w:rPr>
  </w:style>
  <w:style w:type="paragraph" w:customStyle="1" w:styleId="135">
    <w:name w:val="正文文字缩进 2"/>
    <w:basedOn w:val="1"/>
    <w:qFormat/>
    <w:uiPriority w:val="0"/>
    <w:pPr>
      <w:widowControl/>
      <w:spacing w:line="351" w:lineRule="atLeast"/>
      <w:ind w:firstLine="481"/>
      <w:textAlignment w:val="baseline"/>
    </w:pPr>
    <w:rPr>
      <w:rFonts w:ascii="宋体"/>
      <w:color w:val="000000"/>
      <w:kern w:val="0"/>
      <w:szCs w:val="20"/>
      <w:u w:color="000000"/>
      <w:lang w:eastAsia="en-US" w:bidi="en-US"/>
    </w:rPr>
  </w:style>
  <w:style w:type="paragraph" w:customStyle="1" w:styleId="136">
    <w:name w:val="表格正文"/>
    <w:basedOn w:val="1"/>
    <w:next w:val="1"/>
    <w:qFormat/>
    <w:uiPriority w:val="0"/>
    <w:pPr>
      <w:widowControl/>
      <w:adjustRightInd w:val="0"/>
      <w:snapToGrid w:val="0"/>
      <w:jc w:val="center"/>
      <w:textAlignment w:val="baseline"/>
    </w:pPr>
    <w:rPr>
      <w:rFonts w:ascii="宋体" w:hAnsi="宋体"/>
      <w:snapToGrid w:val="0"/>
      <w:spacing w:val="4"/>
      <w:w w:val="90"/>
      <w:kern w:val="0"/>
      <w:szCs w:val="24"/>
      <w:lang w:eastAsia="en-US" w:bidi="en-US"/>
    </w:rPr>
  </w:style>
  <w:style w:type="character" w:customStyle="1" w:styleId="137">
    <w:name w:val="Char Char"/>
    <w:qFormat/>
    <w:uiPriority w:val="0"/>
    <w:rPr>
      <w:rFonts w:eastAsia="宋体"/>
      <w:kern w:val="2"/>
      <w:sz w:val="21"/>
      <w:szCs w:val="24"/>
      <w:lang w:val="en-US" w:eastAsia="zh-CN" w:bidi="ar-SA"/>
    </w:rPr>
  </w:style>
  <w:style w:type="character" w:customStyle="1" w:styleId="138">
    <w:name w:val="正文（首行缩进两字） Char"/>
    <w:qFormat/>
    <w:uiPriority w:val="0"/>
    <w:rPr>
      <w:rFonts w:eastAsia="宋体"/>
      <w:kern w:val="2"/>
      <w:sz w:val="28"/>
      <w:szCs w:val="24"/>
      <w:lang w:val="en-US" w:eastAsia="zh-CN" w:bidi="ar-SA"/>
    </w:rPr>
  </w:style>
  <w:style w:type="paragraph" w:customStyle="1" w:styleId="139">
    <w:name w:val="标题4"/>
    <w:basedOn w:val="1"/>
    <w:qFormat/>
    <w:uiPriority w:val="0"/>
    <w:pPr>
      <w:widowControl/>
      <w:spacing w:beforeLines="50" w:afterLines="50"/>
      <w:ind w:firstLine="0" w:firstLineChars="0"/>
      <w:outlineLvl w:val="3"/>
    </w:pPr>
    <w:rPr>
      <w:b/>
      <w:kern w:val="0"/>
      <w:sz w:val="28"/>
      <w:szCs w:val="21"/>
      <w:lang w:bidi="en-US"/>
    </w:rPr>
  </w:style>
  <w:style w:type="paragraph" w:customStyle="1" w:styleId="140">
    <w:name w:val="报告表正文"/>
    <w:basedOn w:val="1"/>
    <w:qFormat/>
    <w:uiPriority w:val="0"/>
    <w:pPr>
      <w:widowControl/>
      <w:adjustRightInd w:val="0"/>
      <w:spacing w:line="300" w:lineRule="auto"/>
      <w:ind w:left="113" w:right="113"/>
      <w:textAlignment w:val="baseline"/>
    </w:pPr>
    <w:rPr>
      <w:kern w:val="0"/>
      <w:szCs w:val="20"/>
      <w:lang w:eastAsia="en-US" w:bidi="en-US"/>
    </w:rPr>
  </w:style>
  <w:style w:type="paragraph" w:customStyle="1" w:styleId="141">
    <w:name w:val="项目号1)"/>
    <w:basedOn w:val="1"/>
    <w:qFormat/>
    <w:uiPriority w:val="0"/>
    <w:pPr>
      <w:widowControl/>
      <w:tabs>
        <w:tab w:val="left" w:pos="360"/>
        <w:tab w:val="left" w:pos="495"/>
        <w:tab w:val="left" w:pos="1050"/>
      </w:tabs>
      <w:spacing w:line="288" w:lineRule="auto"/>
      <w:ind w:left="1050" w:hanging="450"/>
    </w:pPr>
    <w:rPr>
      <w:kern w:val="0"/>
      <w:sz w:val="28"/>
      <w:szCs w:val="20"/>
      <w:lang w:eastAsia="en-US" w:bidi="en-US"/>
    </w:rPr>
  </w:style>
  <w:style w:type="paragraph" w:customStyle="1" w:styleId="142">
    <w:name w:val="项目号a)"/>
    <w:basedOn w:val="1"/>
    <w:qFormat/>
    <w:uiPriority w:val="0"/>
    <w:pPr>
      <w:widowControl/>
      <w:tabs>
        <w:tab w:val="left" w:pos="920"/>
      </w:tabs>
      <w:spacing w:line="288" w:lineRule="auto"/>
      <w:ind w:left="920" w:hanging="360"/>
    </w:pPr>
    <w:rPr>
      <w:kern w:val="0"/>
      <w:sz w:val="28"/>
      <w:szCs w:val="20"/>
      <w:lang w:eastAsia="en-US" w:bidi="en-US"/>
    </w:rPr>
  </w:style>
  <w:style w:type="paragraph" w:customStyle="1" w:styleId="143">
    <w:name w:val="文本块1"/>
    <w:basedOn w:val="1"/>
    <w:qFormat/>
    <w:uiPriority w:val="0"/>
    <w:pPr>
      <w:widowControl/>
      <w:tabs>
        <w:tab w:val="left" w:pos="5275"/>
      </w:tabs>
      <w:adjustRightInd w:val="0"/>
      <w:spacing w:line="27" w:lineRule="atLeast"/>
      <w:ind w:left="5275" w:right="119" w:hanging="795"/>
      <w:textAlignment w:val="baseline"/>
    </w:pPr>
    <w:rPr>
      <w:rFonts w:ascii="宋体"/>
      <w:spacing w:val="25"/>
      <w:kern w:val="0"/>
      <w:szCs w:val="20"/>
      <w:lang w:eastAsia="en-US" w:bidi="en-US"/>
    </w:rPr>
  </w:style>
  <w:style w:type="paragraph" w:customStyle="1" w:styleId="144">
    <w:name w:val="表格"/>
    <w:basedOn w:val="1"/>
    <w:link w:val="413"/>
    <w:qFormat/>
    <w:uiPriority w:val="0"/>
    <w:pPr>
      <w:widowControl/>
      <w:adjustRightInd w:val="0"/>
      <w:snapToGrid w:val="0"/>
      <w:spacing w:line="240" w:lineRule="auto"/>
      <w:jc w:val="center"/>
      <w:textAlignment w:val="baseline"/>
    </w:pPr>
    <w:rPr>
      <w:rFonts w:ascii="仿宋_GB2312" w:eastAsia="仿宋_GB2312"/>
      <w:spacing w:val="-10"/>
      <w:kern w:val="0"/>
      <w:szCs w:val="20"/>
      <w:lang w:eastAsia="en-US" w:bidi="en-US"/>
    </w:rPr>
  </w:style>
  <w:style w:type="paragraph" w:customStyle="1" w:styleId="145">
    <w:name w:val="Char Char Char Char Char Char Char"/>
    <w:basedOn w:val="1"/>
    <w:qFormat/>
    <w:uiPriority w:val="0"/>
    <w:pPr>
      <w:widowControl/>
    </w:pPr>
    <w:rPr>
      <w:rFonts w:ascii="Tahoma" w:hAnsi="Tahoma"/>
      <w:kern w:val="0"/>
      <w:szCs w:val="20"/>
      <w:lang w:eastAsia="en-US" w:bidi="en-US"/>
    </w:rPr>
  </w:style>
  <w:style w:type="paragraph" w:customStyle="1" w:styleId="146">
    <w:name w:val="引言"/>
    <w:basedOn w:val="1"/>
    <w:next w:val="1"/>
    <w:qFormat/>
    <w:uiPriority w:val="0"/>
    <w:pPr>
      <w:widowControl/>
      <w:autoSpaceDE w:val="0"/>
      <w:autoSpaceDN w:val="0"/>
      <w:adjustRightInd w:val="0"/>
      <w:spacing w:line="480" w:lineRule="exact"/>
      <w:jc w:val="center"/>
    </w:pPr>
    <w:rPr>
      <w:kern w:val="0"/>
      <w:szCs w:val="21"/>
      <w:lang w:eastAsia="en-US" w:bidi="en-US"/>
    </w:rPr>
  </w:style>
  <w:style w:type="paragraph" w:customStyle="1" w:styleId="147">
    <w:name w:val="Char Char Char Char"/>
    <w:basedOn w:val="1"/>
    <w:qFormat/>
    <w:uiPriority w:val="0"/>
    <w:pPr>
      <w:widowControl/>
    </w:pPr>
    <w:rPr>
      <w:rFonts w:ascii="Tahoma" w:hAnsi="Tahoma"/>
      <w:kern w:val="0"/>
      <w:szCs w:val="20"/>
      <w:lang w:eastAsia="en-US" w:bidi="en-US"/>
    </w:rPr>
  </w:style>
  <w:style w:type="character" w:customStyle="1" w:styleId="148">
    <w:name w:val="标题2 Char Char"/>
    <w:qFormat/>
    <w:uiPriority w:val="0"/>
    <w:rPr>
      <w:rFonts w:ascii="Times New Roman" w:hAnsi="Times New Roman" w:eastAsia="楷体"/>
      <w:b/>
      <w:bCs/>
      <w:kern w:val="2"/>
      <w:sz w:val="36"/>
      <w:szCs w:val="32"/>
      <w:lang w:val="en-US" w:eastAsia="zh-CN" w:bidi="ar-SA"/>
    </w:rPr>
  </w:style>
  <w:style w:type="paragraph" w:customStyle="1" w:styleId="149">
    <w:name w:val="zxz5"/>
    <w:next w:val="1"/>
    <w:qFormat/>
    <w:uiPriority w:val="0"/>
    <w:pPr>
      <w:tabs>
        <w:tab w:val="left" w:pos="0"/>
      </w:tabs>
      <w:spacing w:after="200" w:line="276" w:lineRule="auto"/>
      <w:jc w:val="center"/>
    </w:pPr>
    <w:rPr>
      <w:rFonts w:ascii="宋体" w:hAnsi="宋体" w:eastAsia="Times New Roman" w:cs="宋体"/>
      <w:bCs/>
      <w:kern w:val="2"/>
      <w:sz w:val="18"/>
      <w:szCs w:val="18"/>
      <w:lang w:val="en-US" w:eastAsia="zh-CN" w:bidi="ar-SA"/>
    </w:rPr>
  </w:style>
  <w:style w:type="paragraph" w:customStyle="1" w:styleId="150">
    <w:name w:val="正文表格"/>
    <w:basedOn w:val="1"/>
    <w:qFormat/>
    <w:uiPriority w:val="0"/>
    <w:pPr>
      <w:keepNext/>
      <w:keepLines/>
      <w:widowControl/>
      <w:tabs>
        <w:tab w:val="center" w:pos="6804"/>
      </w:tabs>
      <w:overflowPunct w:val="0"/>
      <w:adjustRightInd w:val="0"/>
      <w:spacing w:before="80"/>
      <w:jc w:val="center"/>
      <w:textAlignment w:val="bottom"/>
    </w:pPr>
    <w:rPr>
      <w:kern w:val="0"/>
      <w:szCs w:val="20"/>
      <w:lang w:eastAsia="en-US" w:bidi="en-US"/>
    </w:rPr>
  </w:style>
  <w:style w:type="paragraph" w:customStyle="1" w:styleId="151">
    <w:name w:val="Char Char Char Char Char Char1 Char"/>
    <w:basedOn w:val="1"/>
    <w:qFormat/>
    <w:uiPriority w:val="0"/>
    <w:pPr>
      <w:widowControl/>
    </w:pPr>
    <w:rPr>
      <w:kern w:val="0"/>
      <w:szCs w:val="24"/>
      <w:lang w:eastAsia="en-US" w:bidi="en-US"/>
    </w:rPr>
  </w:style>
  <w:style w:type="paragraph" w:customStyle="1" w:styleId="152">
    <w:name w:val="Char Char Char Char Char Char1 Char1"/>
    <w:basedOn w:val="5"/>
    <w:qFormat/>
    <w:uiPriority w:val="0"/>
    <w:pPr>
      <w:keepLines w:val="0"/>
      <w:widowControl/>
      <w:spacing w:line="415" w:lineRule="auto"/>
      <w:ind w:firstLine="420"/>
    </w:pPr>
    <w:rPr>
      <w:rFonts w:ascii="Times New Roman" w:hAnsi="Times New Roman"/>
      <w:iCs/>
      <w:sz w:val="28"/>
      <w:szCs w:val="28"/>
      <w:lang w:eastAsia="en-US" w:bidi="en-US"/>
    </w:rPr>
  </w:style>
  <w:style w:type="paragraph" w:customStyle="1" w:styleId="153">
    <w:name w:val="正文11"/>
    <w:basedOn w:val="1"/>
    <w:qFormat/>
    <w:uiPriority w:val="0"/>
    <w:pPr>
      <w:widowControl/>
      <w:adjustRightInd w:val="0"/>
      <w:ind w:firstLine="567"/>
      <w:jc w:val="center"/>
      <w:textAlignment w:val="baseline"/>
    </w:pPr>
    <w:rPr>
      <w:kern w:val="0"/>
      <w:szCs w:val="20"/>
      <w:lang w:eastAsia="en-US" w:bidi="en-US"/>
    </w:rPr>
  </w:style>
  <w:style w:type="paragraph" w:customStyle="1" w:styleId="154">
    <w:name w:val="lff"/>
    <w:basedOn w:val="59"/>
    <w:link w:val="156"/>
    <w:qFormat/>
    <w:uiPriority w:val="0"/>
    <w:pPr>
      <w:snapToGrid w:val="0"/>
      <w:spacing w:after="0" w:line="360" w:lineRule="auto"/>
      <w:ind w:firstLine="422" w:firstLineChars="200"/>
    </w:pPr>
    <w:rPr>
      <w:rFonts w:ascii="宋体" w:hAnsi="宋体"/>
      <w:b/>
      <w:color w:val="0000FF"/>
      <w:sz w:val="20"/>
      <w:szCs w:val="21"/>
    </w:rPr>
  </w:style>
  <w:style w:type="character" w:customStyle="1" w:styleId="155">
    <w:name w:val="正文首行缩进 Char"/>
    <w:link w:val="59"/>
    <w:qFormat/>
    <w:uiPriority w:val="0"/>
    <w:rPr>
      <w:rFonts w:ascii="Times New Roman" w:hAnsi="Times New Roman" w:eastAsia="宋体" w:cs="Times New Roman"/>
      <w:kern w:val="0"/>
      <w:sz w:val="24"/>
      <w:szCs w:val="24"/>
      <w:lang w:eastAsia="en-US" w:bidi="en-US"/>
    </w:rPr>
  </w:style>
  <w:style w:type="character" w:customStyle="1" w:styleId="156">
    <w:name w:val="lff Char"/>
    <w:link w:val="154"/>
    <w:qFormat/>
    <w:uiPriority w:val="0"/>
    <w:rPr>
      <w:rFonts w:ascii="宋体" w:hAnsi="宋体" w:eastAsia="宋体" w:cs="Times New Roman"/>
      <w:b/>
      <w:color w:val="0000FF"/>
      <w:kern w:val="0"/>
      <w:szCs w:val="21"/>
      <w:lang w:eastAsia="en-US" w:bidi="en-US"/>
    </w:rPr>
  </w:style>
  <w:style w:type="paragraph" w:customStyle="1" w:styleId="157">
    <w:name w:val="xl60"/>
    <w:basedOn w:val="1"/>
    <w:qFormat/>
    <w:uiPriority w:val="0"/>
    <w:pPr>
      <w:widowControl/>
      <w:pBdr>
        <w:left w:val="single" w:color="auto" w:sz="8" w:space="0"/>
        <w:right w:val="single" w:color="auto" w:sz="4" w:space="0"/>
      </w:pBdr>
      <w:spacing w:beforeAutospacing="1" w:after="100" w:afterAutospacing="1"/>
      <w:jc w:val="center"/>
      <w:textAlignment w:val="top"/>
    </w:pPr>
    <w:rPr>
      <w:kern w:val="0"/>
      <w:szCs w:val="24"/>
      <w:lang w:eastAsia="en-US" w:bidi="en-US"/>
    </w:rPr>
  </w:style>
  <w:style w:type="character" w:customStyle="1" w:styleId="158">
    <w:name w:val="Char Char Char"/>
    <w:qFormat/>
    <w:uiPriority w:val="0"/>
    <w:rPr>
      <w:rFonts w:ascii="宋体" w:hAnsi="Courier New" w:eastAsia="宋体"/>
      <w:kern w:val="2"/>
      <w:sz w:val="21"/>
      <w:lang w:val="en-US" w:eastAsia="zh-CN" w:bidi="ar-SA"/>
    </w:rPr>
  </w:style>
  <w:style w:type="paragraph" w:customStyle="1" w:styleId="159">
    <w:name w:val="表格小四"/>
    <w:basedOn w:val="1"/>
    <w:qFormat/>
    <w:uiPriority w:val="0"/>
    <w:pPr>
      <w:widowControl/>
      <w:adjustRightInd w:val="0"/>
      <w:snapToGrid w:val="0"/>
      <w:spacing w:beforeLines="20" w:afterLines="20"/>
      <w:jc w:val="center"/>
    </w:pPr>
    <w:rPr>
      <w:rFonts w:ascii="宋体" w:hAnsi="宋体"/>
      <w:color w:val="0000FF"/>
      <w:spacing w:val="6"/>
      <w:kern w:val="0"/>
      <w:szCs w:val="21"/>
      <w:lang w:eastAsia="en-US" w:bidi="en-US"/>
    </w:rPr>
  </w:style>
  <w:style w:type="character" w:customStyle="1" w:styleId="160">
    <w:name w:val="正文首行缩进 2 Char"/>
    <w:link w:val="60"/>
    <w:qFormat/>
    <w:uiPriority w:val="0"/>
    <w:rPr>
      <w:rFonts w:ascii="Times New Roman" w:hAnsi="Times New Roman" w:eastAsia="宋体" w:cs="Times New Roman"/>
      <w:kern w:val="0"/>
      <w:sz w:val="24"/>
      <w:szCs w:val="20"/>
      <w:lang w:eastAsia="en-US" w:bidi="en-US"/>
    </w:rPr>
  </w:style>
  <w:style w:type="paragraph" w:customStyle="1" w:styleId="161">
    <w:name w:val="xl27"/>
    <w:basedOn w:val="1"/>
    <w:qFormat/>
    <w:uiPriority w:val="0"/>
    <w:pPr>
      <w:widowControl/>
      <w:pBdr>
        <w:bottom w:val="single" w:color="auto" w:sz="4" w:space="0"/>
        <w:right w:val="single" w:color="auto" w:sz="4" w:space="0"/>
      </w:pBdr>
      <w:spacing w:after="100"/>
      <w:jc w:val="center"/>
      <w:textAlignment w:val="center"/>
    </w:pPr>
    <w:rPr>
      <w:rFonts w:ascii="Arial" w:hAnsi="Arial"/>
      <w:kern w:val="0"/>
      <w:szCs w:val="20"/>
      <w:lang w:eastAsia="en-US" w:bidi="en-US"/>
    </w:rPr>
  </w:style>
  <w:style w:type="paragraph" w:customStyle="1" w:styleId="162">
    <w:name w:val="表格文字2"/>
    <w:basedOn w:val="1"/>
    <w:qFormat/>
    <w:uiPriority w:val="0"/>
    <w:pPr>
      <w:widowControl/>
      <w:tabs>
        <w:tab w:val="left" w:pos="8640"/>
      </w:tabs>
      <w:adjustRightInd w:val="0"/>
      <w:snapToGrid w:val="0"/>
      <w:spacing w:beforeLines="20" w:afterLines="20"/>
      <w:jc w:val="center"/>
      <w:textAlignment w:val="center"/>
    </w:pPr>
    <w:rPr>
      <w:rFonts w:ascii="宋体" w:hAnsi="宋体" w:cs="宋体"/>
      <w:snapToGrid w:val="0"/>
      <w:color w:val="3366FF"/>
      <w:spacing w:val="6"/>
      <w:kern w:val="0"/>
      <w:szCs w:val="21"/>
      <w:lang w:eastAsia="en-US" w:bidi="en-US"/>
    </w:rPr>
  </w:style>
  <w:style w:type="paragraph" w:customStyle="1" w:styleId="163">
    <w:name w:val="样式5"/>
    <w:basedOn w:val="1"/>
    <w:link w:val="164"/>
    <w:qFormat/>
    <w:uiPriority w:val="0"/>
    <w:pPr>
      <w:widowControl/>
      <w:ind w:firstLine="480"/>
    </w:pPr>
    <w:rPr>
      <w:rFonts w:eastAsia="仿宋_GB2312"/>
      <w:kern w:val="0"/>
      <w:szCs w:val="24"/>
      <w:lang w:eastAsia="en-US" w:bidi="en-US"/>
    </w:rPr>
  </w:style>
  <w:style w:type="character" w:customStyle="1" w:styleId="164">
    <w:name w:val="样式5 Char"/>
    <w:link w:val="163"/>
    <w:qFormat/>
    <w:uiPriority w:val="0"/>
    <w:rPr>
      <w:rFonts w:ascii="Times New Roman" w:hAnsi="Times New Roman" w:eastAsia="仿宋_GB2312" w:cs="Times New Roman"/>
      <w:kern w:val="0"/>
      <w:sz w:val="24"/>
      <w:szCs w:val="24"/>
      <w:lang w:eastAsia="en-US" w:bidi="en-US"/>
    </w:rPr>
  </w:style>
  <w:style w:type="paragraph" w:customStyle="1" w:styleId="165">
    <w:name w:val="编号4号"/>
    <w:basedOn w:val="1"/>
    <w:qFormat/>
    <w:uiPriority w:val="0"/>
    <w:pPr>
      <w:widowControl/>
      <w:snapToGrid w:val="0"/>
      <w:spacing w:line="312" w:lineRule="auto"/>
    </w:pPr>
    <w:rPr>
      <w:rFonts w:ascii="Arial" w:hAnsi="Arial" w:cs="Arial"/>
      <w:kern w:val="0"/>
      <w:szCs w:val="24"/>
      <w:lang w:eastAsia="en-US" w:bidi="en-US"/>
    </w:rPr>
  </w:style>
  <w:style w:type="paragraph" w:customStyle="1" w:styleId="166">
    <w:name w:val="表格内容"/>
    <w:basedOn w:val="1"/>
    <w:qFormat/>
    <w:uiPriority w:val="0"/>
    <w:pPr>
      <w:widowControl/>
      <w:adjustRightInd w:val="0"/>
      <w:snapToGrid w:val="0"/>
      <w:spacing w:line="280" w:lineRule="exact"/>
      <w:ind w:left="-31" w:leftChars="-15" w:right="-31" w:rightChars="-15"/>
      <w:jc w:val="center"/>
    </w:pPr>
    <w:rPr>
      <w:color w:val="000000"/>
      <w:kern w:val="0"/>
      <w:sz w:val="18"/>
      <w:szCs w:val="18"/>
      <w:lang w:eastAsia="en-US" w:bidi="en-US"/>
    </w:rPr>
  </w:style>
  <w:style w:type="character" w:customStyle="1" w:styleId="167">
    <w:name w:val="large"/>
    <w:basedOn w:val="67"/>
    <w:qFormat/>
    <w:uiPriority w:val="0"/>
  </w:style>
  <w:style w:type="paragraph" w:customStyle="1" w:styleId="168">
    <w:name w:val="样式 首行缩进:  0.99 厘米"/>
    <w:basedOn w:val="1"/>
    <w:qFormat/>
    <w:uiPriority w:val="0"/>
    <w:pPr>
      <w:widowControl/>
      <w:adjustRightInd w:val="0"/>
      <w:snapToGrid w:val="0"/>
      <w:ind w:firstLine="560"/>
    </w:pPr>
    <w:rPr>
      <w:rFonts w:ascii="仿宋_GB2312" w:eastAsia="仿宋_GB2312"/>
      <w:color w:val="000000"/>
      <w:kern w:val="0"/>
      <w:sz w:val="28"/>
      <w:szCs w:val="24"/>
      <w:lang w:eastAsia="en-US" w:bidi="en-US"/>
    </w:rPr>
  </w:style>
  <w:style w:type="paragraph" w:customStyle="1" w:styleId="169">
    <w:name w:val="正文王"/>
    <w:basedOn w:val="1"/>
    <w:qFormat/>
    <w:uiPriority w:val="0"/>
    <w:pPr>
      <w:widowControl/>
      <w:adjustRightInd w:val="0"/>
      <w:snapToGrid w:val="0"/>
    </w:pPr>
    <w:rPr>
      <w:kern w:val="0"/>
      <w:szCs w:val="24"/>
      <w:lang w:eastAsia="en-US" w:bidi="en-US"/>
    </w:rPr>
  </w:style>
  <w:style w:type="paragraph" w:customStyle="1" w:styleId="170">
    <w:name w:val="表文左对齐"/>
    <w:basedOn w:val="1"/>
    <w:qFormat/>
    <w:uiPriority w:val="0"/>
    <w:pPr>
      <w:widowControl/>
    </w:pPr>
    <w:rPr>
      <w:rFonts w:eastAsia="仿宋_GB2312"/>
      <w:kern w:val="0"/>
      <w:szCs w:val="21"/>
      <w:lang w:eastAsia="en-US" w:bidi="en-US"/>
    </w:rPr>
  </w:style>
  <w:style w:type="paragraph" w:customStyle="1" w:styleId="171">
    <w:name w:val="样式 标题 1 + 首行缩进:  0.74 厘米"/>
    <w:basedOn w:val="4"/>
    <w:qFormat/>
    <w:uiPriority w:val="0"/>
    <w:pPr>
      <w:spacing w:line="240" w:lineRule="exact"/>
      <w:ind w:firstLine="422" w:firstLineChars="0"/>
    </w:pPr>
    <w:rPr>
      <w:rFonts w:eastAsia="宋体" w:cs="宋体"/>
      <w:b/>
      <w:sz w:val="32"/>
      <w:szCs w:val="20"/>
    </w:rPr>
  </w:style>
  <w:style w:type="paragraph" w:customStyle="1" w:styleId="172">
    <w:name w:val="样式 标题 21标题2H2h2第一层条1.1标题 2节标题 1.11.1标题2节标题 1.1 Char1.1..."/>
    <w:basedOn w:val="5"/>
    <w:link w:val="173"/>
    <w:qFormat/>
    <w:uiPriority w:val="0"/>
    <w:pPr>
      <w:keepLines w:val="0"/>
      <w:widowControl/>
      <w:spacing w:line="415" w:lineRule="auto"/>
      <w:ind w:firstLine="420"/>
    </w:pPr>
    <w:rPr>
      <w:rFonts w:ascii="Times New Roman" w:hAnsi="Times New Roman" w:cs="宋体"/>
      <w:iCs/>
      <w:szCs w:val="20"/>
      <w:lang w:eastAsia="en-US" w:bidi="en-US"/>
    </w:rPr>
  </w:style>
  <w:style w:type="character" w:customStyle="1" w:styleId="173">
    <w:name w:val="样式 标题 21标题2H2h2第一层条1.1标题 2节标题 1.11.1标题2节标题 1.1 Char1.1... Char"/>
    <w:link w:val="172"/>
    <w:qFormat/>
    <w:uiPriority w:val="0"/>
    <w:rPr>
      <w:rFonts w:ascii="Times New Roman" w:hAnsi="Times New Roman" w:eastAsia="宋体" w:cs="宋体"/>
      <w:b/>
      <w:bCs/>
      <w:iCs/>
      <w:kern w:val="0"/>
      <w:sz w:val="30"/>
      <w:szCs w:val="20"/>
      <w:lang w:val="en-US" w:eastAsia="en-US" w:bidi="en-US"/>
    </w:rPr>
  </w:style>
  <w:style w:type="paragraph" w:customStyle="1" w:styleId="174">
    <w:name w:val="样式 样式 标题 21标题2H2h2第一层条1.1标题 2节标题 1.11.1标题2节标题 1.1 Char1.1... + 加..."/>
    <w:basedOn w:val="172"/>
    <w:link w:val="175"/>
    <w:qFormat/>
    <w:uiPriority w:val="0"/>
    <w:rPr>
      <w:spacing w:val="8"/>
      <w:sz w:val="28"/>
    </w:rPr>
  </w:style>
  <w:style w:type="character" w:customStyle="1" w:styleId="175">
    <w:name w:val="样式 样式 标题 21标题2H2h2第一层条1.1标题 2节标题 1.11.1标题2节标题 1.1 Char1.1... + 加... Char"/>
    <w:link w:val="174"/>
    <w:qFormat/>
    <w:uiPriority w:val="0"/>
    <w:rPr>
      <w:rFonts w:ascii="Times New Roman" w:hAnsi="Times New Roman" w:eastAsia="宋体" w:cs="宋体"/>
      <w:b/>
      <w:bCs/>
      <w:iCs/>
      <w:spacing w:val="8"/>
      <w:kern w:val="0"/>
      <w:sz w:val="28"/>
      <w:szCs w:val="20"/>
      <w:lang w:val="en-US" w:eastAsia="en-US" w:bidi="en-US"/>
    </w:rPr>
  </w:style>
  <w:style w:type="paragraph" w:customStyle="1" w:styleId="176">
    <w:name w:val="样式 标题 1 + 三号"/>
    <w:basedOn w:val="4"/>
    <w:qFormat/>
    <w:uiPriority w:val="0"/>
    <w:pPr>
      <w:spacing w:line="240" w:lineRule="exact"/>
      <w:ind w:firstLine="0" w:firstLineChars="0"/>
    </w:pPr>
    <w:rPr>
      <w:rFonts w:eastAsia="宋体"/>
      <w:b/>
      <w:sz w:val="36"/>
    </w:rPr>
  </w:style>
  <w:style w:type="paragraph" w:customStyle="1" w:styleId="177">
    <w:name w:val="样式 标题 3 + 首行缩进:  0.74 厘米"/>
    <w:basedOn w:val="6"/>
    <w:qFormat/>
    <w:uiPriority w:val="0"/>
    <w:pPr>
      <w:keepLines w:val="0"/>
      <w:widowControl/>
      <w:spacing w:line="240" w:lineRule="auto"/>
      <w:ind w:firstLine="420"/>
    </w:pPr>
    <w:rPr>
      <w:rFonts w:cs="宋体"/>
      <w:sz w:val="28"/>
      <w:szCs w:val="20"/>
      <w:lang w:eastAsia="en-US" w:bidi="en-US"/>
    </w:rPr>
  </w:style>
  <w:style w:type="paragraph" w:customStyle="1" w:styleId="178">
    <w:name w:val="Title1"/>
    <w:basedOn w:val="1"/>
    <w:qFormat/>
    <w:uiPriority w:val="0"/>
    <w:pPr>
      <w:keepNext/>
      <w:widowControl/>
      <w:tabs>
        <w:tab w:val="left" w:pos="936"/>
      </w:tabs>
      <w:overflowPunct w:val="0"/>
      <w:autoSpaceDE w:val="0"/>
      <w:autoSpaceDN w:val="0"/>
      <w:adjustRightInd w:val="0"/>
      <w:spacing w:before="160" w:after="80"/>
      <w:textAlignment w:val="baseline"/>
    </w:pPr>
    <w:rPr>
      <w:rFonts w:eastAsia="Mincho"/>
      <w:b/>
      <w:kern w:val="0"/>
      <w:szCs w:val="20"/>
      <w:lang w:eastAsia="ja-JP" w:bidi="en-US"/>
    </w:rPr>
  </w:style>
  <w:style w:type="paragraph" w:customStyle="1" w:styleId="179">
    <w:name w:val="默认段落字体 Para Char Char Char Char"/>
    <w:basedOn w:val="1"/>
    <w:qFormat/>
    <w:uiPriority w:val="0"/>
    <w:pPr>
      <w:widowControl/>
    </w:pPr>
    <w:rPr>
      <w:kern w:val="0"/>
      <w:szCs w:val="24"/>
      <w:lang w:eastAsia="en-US" w:bidi="en-US"/>
    </w:rPr>
  </w:style>
  <w:style w:type="character" w:customStyle="1" w:styleId="180">
    <w:name w:val="二级标题 Char1"/>
    <w:link w:val="181"/>
    <w:qFormat/>
    <w:uiPriority w:val="0"/>
    <w:rPr>
      <w:rFonts w:ascii="Arial" w:hAnsi="Arial" w:eastAsia="黑体"/>
      <w:b/>
      <w:bCs/>
      <w:kern w:val="2"/>
      <w:sz w:val="32"/>
      <w:szCs w:val="32"/>
      <w:lang w:val="en-US" w:eastAsia="zh-CN" w:bidi="ar-SA"/>
    </w:rPr>
  </w:style>
  <w:style w:type="paragraph" w:customStyle="1" w:styleId="181">
    <w:name w:val="表标题"/>
    <w:basedOn w:val="1"/>
    <w:next w:val="1"/>
    <w:link w:val="180"/>
    <w:qFormat/>
    <w:uiPriority w:val="0"/>
    <w:pPr>
      <w:adjustRightInd w:val="0"/>
      <w:snapToGrid w:val="0"/>
      <w:spacing w:line="240" w:lineRule="auto"/>
      <w:textAlignment w:val="baseline"/>
    </w:pPr>
    <w:rPr>
      <w:rFonts w:ascii="Arial" w:hAnsi="Arial" w:eastAsia="黑体"/>
      <w:b/>
      <w:bCs/>
      <w:sz w:val="32"/>
      <w:szCs w:val="32"/>
    </w:rPr>
  </w:style>
  <w:style w:type="paragraph" w:customStyle="1" w:styleId="182">
    <w:name w:val="正文 小四 行距: 1.5 倍行距"/>
    <w:basedOn w:val="1"/>
    <w:qFormat/>
    <w:uiPriority w:val="0"/>
    <w:pPr>
      <w:widowControl/>
      <w:ind w:firstLine="480"/>
    </w:pPr>
    <w:rPr>
      <w:rFonts w:cs="宋体"/>
      <w:kern w:val="0"/>
      <w:szCs w:val="20"/>
      <w:lang w:eastAsia="en-US" w:bidi="en-US"/>
    </w:rPr>
  </w:style>
  <w:style w:type="paragraph" w:customStyle="1" w:styleId="183">
    <w:name w:val="14"/>
    <w:basedOn w:val="1"/>
    <w:next w:val="2"/>
    <w:qFormat/>
    <w:uiPriority w:val="0"/>
    <w:pPr>
      <w:widowControl/>
    </w:pPr>
    <w:rPr>
      <w:rFonts w:ascii="宋体" w:hAnsi="Courier New"/>
      <w:kern w:val="0"/>
      <w:szCs w:val="20"/>
      <w:lang w:eastAsia="en-US" w:bidi="en-US"/>
    </w:rPr>
  </w:style>
  <w:style w:type="character" w:customStyle="1" w:styleId="184">
    <w:name w:val="style11"/>
    <w:qFormat/>
    <w:uiPriority w:val="0"/>
    <w:rPr>
      <w:sz w:val="24"/>
      <w:szCs w:val="24"/>
    </w:rPr>
  </w:style>
  <w:style w:type="paragraph" w:customStyle="1" w:styleId="185">
    <w:name w:val="段"/>
    <w:qFormat/>
    <w:uiPriority w:val="0"/>
    <w:pPr>
      <w:autoSpaceDE w:val="0"/>
      <w:autoSpaceDN w:val="0"/>
      <w:spacing w:after="200" w:line="276" w:lineRule="auto"/>
      <w:ind w:firstLine="200" w:firstLineChars="200"/>
      <w:jc w:val="both"/>
    </w:pPr>
    <w:rPr>
      <w:rFonts w:ascii="宋体" w:hAnsi="Calibri" w:eastAsia="宋体" w:cs="Times New Roman"/>
      <w:sz w:val="21"/>
      <w:szCs w:val="22"/>
      <w:lang w:val="en-US" w:eastAsia="zh-CN" w:bidi="ar-SA"/>
    </w:rPr>
  </w:style>
  <w:style w:type="paragraph" w:customStyle="1" w:styleId="186">
    <w:name w:val="msonormalcxspmiddle"/>
    <w:basedOn w:val="1"/>
    <w:qFormat/>
    <w:uiPriority w:val="0"/>
    <w:pPr>
      <w:widowControl/>
      <w:spacing w:beforeAutospacing="1" w:after="100" w:afterAutospacing="1"/>
    </w:pPr>
    <w:rPr>
      <w:rFonts w:ascii="宋体" w:hAnsi="宋体" w:cs="宋体"/>
      <w:kern w:val="0"/>
      <w:szCs w:val="24"/>
      <w:lang w:eastAsia="en-US" w:bidi="en-US"/>
    </w:rPr>
  </w:style>
  <w:style w:type="character" w:customStyle="1" w:styleId="187">
    <w:name w:val="Char Char14"/>
    <w:qFormat/>
    <w:uiPriority w:val="0"/>
    <w:rPr>
      <w:rFonts w:eastAsia="黑体"/>
      <w:bCs/>
      <w:kern w:val="2"/>
      <w:sz w:val="28"/>
      <w:szCs w:val="28"/>
      <w:lang w:val="en-US" w:eastAsia="zh-CN" w:bidi="ar-SA"/>
    </w:rPr>
  </w:style>
  <w:style w:type="character" w:customStyle="1" w:styleId="188">
    <w:name w:val="news1"/>
    <w:qFormat/>
    <w:uiPriority w:val="0"/>
    <w:rPr>
      <w:color w:val="000000"/>
      <w:sz w:val="21"/>
      <w:szCs w:val="21"/>
      <w:u w:val="none"/>
    </w:rPr>
  </w:style>
  <w:style w:type="paragraph" w:customStyle="1" w:styleId="189">
    <w:name w:val="表格中"/>
    <w:basedOn w:val="1"/>
    <w:qFormat/>
    <w:uiPriority w:val="0"/>
    <w:pPr>
      <w:widowControl/>
      <w:ind w:right="326" w:rightChars="136"/>
      <w:jc w:val="center"/>
    </w:pPr>
    <w:rPr>
      <w:rFonts w:ascii="宋体"/>
      <w:kern w:val="0"/>
      <w:sz w:val="18"/>
      <w:szCs w:val="24"/>
      <w:lang w:eastAsia="en-US" w:bidi="en-US"/>
    </w:rPr>
  </w:style>
  <w:style w:type="paragraph" w:customStyle="1" w:styleId="190">
    <w:name w:val="表、图名"/>
    <w:basedOn w:val="1"/>
    <w:qFormat/>
    <w:uiPriority w:val="0"/>
    <w:pPr>
      <w:widowControl/>
      <w:adjustRightInd w:val="0"/>
      <w:snapToGrid w:val="0"/>
      <w:spacing w:line="240" w:lineRule="exact"/>
      <w:jc w:val="center"/>
    </w:pPr>
    <w:rPr>
      <w:rFonts w:ascii="宋体" w:hAnsi="宋体"/>
      <w:kern w:val="0"/>
      <w:szCs w:val="21"/>
      <w:lang w:eastAsia="en-US" w:bidi="en-US"/>
    </w:rPr>
  </w:style>
  <w:style w:type="paragraph" w:customStyle="1" w:styleId="191">
    <w:name w:val="样式6"/>
    <w:basedOn w:val="7"/>
    <w:qFormat/>
    <w:uiPriority w:val="0"/>
    <w:pPr>
      <w:keepLines w:val="0"/>
      <w:widowControl/>
      <w:spacing w:before="240" w:after="120" w:line="240" w:lineRule="auto"/>
    </w:pPr>
    <w:rPr>
      <w:rFonts w:ascii="宋体" w:hAnsi="宋体"/>
      <w:color w:val="000000"/>
      <w:sz w:val="24"/>
      <w:lang w:eastAsia="en-US" w:bidi="en-US"/>
    </w:rPr>
  </w:style>
  <w:style w:type="character" w:customStyle="1" w:styleId="192">
    <w:name w:val="apple-converted-space"/>
    <w:basedOn w:val="67"/>
    <w:qFormat/>
    <w:uiPriority w:val="0"/>
  </w:style>
  <w:style w:type="character" w:customStyle="1" w:styleId="193">
    <w:name w:val="正文文本 3 Char"/>
    <w:link w:val="24"/>
    <w:qFormat/>
    <w:uiPriority w:val="0"/>
    <w:rPr>
      <w:rFonts w:ascii="Times New Roman" w:hAnsi="Times New Roman" w:eastAsia="宋体" w:cs="Times New Roman"/>
      <w:sz w:val="16"/>
      <w:szCs w:val="16"/>
    </w:rPr>
  </w:style>
  <w:style w:type="paragraph" w:customStyle="1" w:styleId="194">
    <w:name w:val="表样式1"/>
    <w:basedOn w:val="1"/>
    <w:qFormat/>
    <w:uiPriority w:val="0"/>
    <w:pPr>
      <w:spacing w:line="380" w:lineRule="exact"/>
      <w:ind w:right="-275" w:rightChars="-131"/>
    </w:pPr>
    <w:rPr>
      <w:rFonts w:ascii="宋体" w:hAnsi="宋体"/>
      <w:szCs w:val="21"/>
    </w:rPr>
  </w:style>
  <w:style w:type="paragraph" w:customStyle="1" w:styleId="195">
    <w:name w:val="正文2"/>
    <w:basedOn w:val="1"/>
    <w:link w:val="196"/>
    <w:qFormat/>
    <w:uiPriority w:val="0"/>
    <w:rPr>
      <w:rFonts w:eastAsia="仿宋_GB2312"/>
      <w:kern w:val="0"/>
      <w:szCs w:val="24"/>
      <w:lang w:bidi="en-US"/>
    </w:rPr>
  </w:style>
  <w:style w:type="character" w:customStyle="1" w:styleId="196">
    <w:name w:val="正文 Char"/>
    <w:link w:val="195"/>
    <w:qFormat/>
    <w:uiPriority w:val="0"/>
    <w:rPr>
      <w:rFonts w:ascii="Times New Roman" w:hAnsi="Times New Roman" w:eastAsia="仿宋_GB2312" w:cs="Times New Roman"/>
      <w:kern w:val="0"/>
      <w:sz w:val="24"/>
      <w:szCs w:val="24"/>
      <w:lang w:bidi="en-US"/>
    </w:rPr>
  </w:style>
  <w:style w:type="character" w:customStyle="1" w:styleId="197">
    <w:name w:val="正文缩进 Char"/>
    <w:link w:val="19"/>
    <w:qFormat/>
    <w:uiPriority w:val="0"/>
    <w:rPr>
      <w:rFonts w:ascii="Times New Roman" w:hAnsi="Times New Roman" w:eastAsia="宋体" w:cs="Times New Roman"/>
      <w:kern w:val="0"/>
      <w:sz w:val="24"/>
      <w:szCs w:val="24"/>
      <w:lang w:eastAsia="en-US" w:bidi="en-US"/>
    </w:rPr>
  </w:style>
  <w:style w:type="paragraph" w:customStyle="1" w:styleId="198">
    <w:name w:val="标题三"/>
    <w:basedOn w:val="6"/>
    <w:qFormat/>
    <w:uiPriority w:val="0"/>
    <w:pPr>
      <w:spacing w:line="440" w:lineRule="exact"/>
    </w:pPr>
    <w:rPr>
      <w:rFonts w:ascii="黑体" w:eastAsia="黑体"/>
      <w:bCs w:val="0"/>
      <w:sz w:val="24"/>
      <w:szCs w:val="20"/>
    </w:rPr>
  </w:style>
  <w:style w:type="paragraph" w:customStyle="1" w:styleId="199">
    <w:name w:val="正常段落"/>
    <w:basedOn w:val="19"/>
    <w:link w:val="200"/>
    <w:qFormat/>
    <w:uiPriority w:val="0"/>
    <w:pPr>
      <w:widowControl w:val="0"/>
      <w:spacing w:line="440" w:lineRule="exact"/>
      <w:ind w:firstLine="0" w:firstLineChars="0"/>
      <w:jc w:val="both"/>
    </w:pPr>
    <w:rPr>
      <w:rFonts w:ascii="宋体"/>
      <w:szCs w:val="20"/>
    </w:rPr>
  </w:style>
  <w:style w:type="character" w:customStyle="1" w:styleId="200">
    <w:name w:val="正常段落 Char"/>
    <w:link w:val="199"/>
    <w:qFormat/>
    <w:uiPriority w:val="0"/>
    <w:rPr>
      <w:rFonts w:ascii="宋体" w:hAnsi="Times New Roman" w:eastAsia="宋体" w:cs="Times New Roman"/>
      <w:kern w:val="0"/>
      <w:sz w:val="24"/>
      <w:szCs w:val="20"/>
      <w:lang w:eastAsia="en-US" w:bidi="en-US"/>
    </w:rPr>
  </w:style>
  <w:style w:type="character" w:customStyle="1" w:styleId="201">
    <w:name w:val="标题四 Char"/>
    <w:qFormat/>
    <w:uiPriority w:val="0"/>
    <w:rPr>
      <w:rFonts w:ascii="黑体" w:hAnsi="Courier New" w:eastAsia="黑体" w:cs="Courier New"/>
      <w:b/>
      <w:bCs/>
      <w:kern w:val="44"/>
      <w:sz w:val="24"/>
      <w:szCs w:val="21"/>
      <w:lang w:val="en-US" w:eastAsia="zh-CN" w:bidi="ar-SA"/>
    </w:rPr>
  </w:style>
  <w:style w:type="character" w:customStyle="1" w:styleId="202">
    <w:name w:val="批注文字 Char"/>
    <w:link w:val="23"/>
    <w:qFormat/>
    <w:uiPriority w:val="0"/>
    <w:rPr>
      <w:rFonts w:ascii="Times New Roman" w:hAnsi="Times New Roman" w:eastAsia="宋体" w:cs="Times New Roman"/>
      <w:szCs w:val="24"/>
    </w:rPr>
  </w:style>
  <w:style w:type="paragraph" w:customStyle="1" w:styleId="203">
    <w:name w:val="标题二"/>
    <w:basedOn w:val="5"/>
    <w:qFormat/>
    <w:uiPriority w:val="0"/>
    <w:pPr>
      <w:tabs>
        <w:tab w:val="left" w:pos="2223"/>
        <w:tab w:val="left" w:pos="2558"/>
      </w:tabs>
      <w:spacing w:beforeLines="100" w:afterLines="50" w:line="440" w:lineRule="exact"/>
    </w:pPr>
    <w:rPr>
      <w:rFonts w:ascii="黑体" w:hAnsi="Arial" w:eastAsia="黑体"/>
      <w:bCs w:val="0"/>
      <w:sz w:val="28"/>
      <w:szCs w:val="20"/>
    </w:rPr>
  </w:style>
  <w:style w:type="character" w:customStyle="1" w:styleId="204">
    <w:name w:val="表格文字 Char"/>
    <w:link w:val="126"/>
    <w:qFormat/>
    <w:uiPriority w:val="0"/>
    <w:rPr>
      <w:rFonts w:ascii="Times New Roman" w:hAnsi="Times New Roman"/>
      <w:sz w:val="21"/>
      <w:szCs w:val="21"/>
      <w:lang w:eastAsia="en-US" w:bidi="en-US"/>
    </w:rPr>
  </w:style>
  <w:style w:type="character" w:customStyle="1" w:styleId="205">
    <w:name w:val="标题 4 Char1"/>
    <w:qFormat/>
    <w:uiPriority w:val="0"/>
    <w:rPr>
      <w:rFonts w:ascii="Arial" w:hAnsi="Arial" w:eastAsia="黑体"/>
      <w:b/>
      <w:bCs/>
      <w:kern w:val="2"/>
      <w:sz w:val="28"/>
      <w:szCs w:val="28"/>
      <w:lang w:val="en-US" w:eastAsia="zh-CN" w:bidi="ar-SA"/>
    </w:rPr>
  </w:style>
  <w:style w:type="paragraph" w:customStyle="1" w:styleId="206">
    <w:name w:val="正文段落"/>
    <w:basedOn w:val="19"/>
    <w:qFormat/>
    <w:uiPriority w:val="0"/>
    <w:pPr>
      <w:widowControl w:val="0"/>
      <w:spacing w:line="440" w:lineRule="exact"/>
      <w:ind w:firstLine="0" w:firstLineChars="0"/>
      <w:jc w:val="both"/>
    </w:pPr>
    <w:rPr>
      <w:rFonts w:ascii="宋体"/>
      <w:kern w:val="2"/>
      <w:szCs w:val="20"/>
      <w:lang w:eastAsia="zh-CN" w:bidi="ar-SA"/>
    </w:rPr>
  </w:style>
  <w:style w:type="paragraph" w:customStyle="1" w:styleId="207">
    <w:name w:val="标题一"/>
    <w:basedOn w:val="4"/>
    <w:qFormat/>
    <w:uiPriority w:val="0"/>
    <w:pPr>
      <w:keepLines/>
      <w:widowControl w:val="0"/>
      <w:spacing w:beforeLines="200" w:afterLines="100" w:line="440" w:lineRule="exact"/>
      <w:ind w:firstLine="0" w:firstLineChars="0"/>
      <w:jc w:val="center"/>
    </w:pPr>
    <w:rPr>
      <w:rFonts w:ascii="黑体" w:cs="Times New Roman"/>
      <w:b/>
      <w:bCs w:val="0"/>
      <w:kern w:val="44"/>
      <w:sz w:val="32"/>
      <w:szCs w:val="20"/>
      <w:lang w:eastAsia="zh-CN" w:bidi="ar-SA"/>
    </w:rPr>
  </w:style>
  <w:style w:type="character" w:customStyle="1" w:styleId="208">
    <w:name w:val="标题1"/>
    <w:qFormat/>
    <w:uiPriority w:val="0"/>
    <w:rPr>
      <w:rFonts w:ascii="Times New Roman" w:hAnsi="Times New Roman" w:eastAsia="楷体" w:cs="Arial"/>
      <w:b/>
      <w:bCs/>
      <w:kern w:val="32"/>
      <w:sz w:val="44"/>
      <w:szCs w:val="32"/>
      <w:lang w:eastAsia="en-US" w:bidi="en-US"/>
    </w:rPr>
  </w:style>
  <w:style w:type="paragraph" w:customStyle="1" w:styleId="209">
    <w:name w:val="正文文本 31"/>
    <w:basedOn w:val="1"/>
    <w:qFormat/>
    <w:uiPriority w:val="0"/>
    <w:pPr>
      <w:numPr>
        <w:ilvl w:val="0"/>
        <w:numId w:val="4"/>
      </w:numPr>
      <w:adjustRightInd w:val="0"/>
      <w:spacing w:line="240" w:lineRule="auto"/>
      <w:ind w:left="0" w:firstLine="0" w:firstLineChars="0"/>
      <w:jc w:val="center"/>
      <w:textAlignment w:val="baseline"/>
    </w:pPr>
    <w:rPr>
      <w:rFonts w:ascii="宋体" w:hAnsi="宋体"/>
      <w:bCs/>
      <w:kern w:val="0"/>
      <w:szCs w:val="20"/>
    </w:rPr>
  </w:style>
  <w:style w:type="paragraph" w:customStyle="1" w:styleId="210">
    <w:name w:val="xl25"/>
    <w:basedOn w:val="1"/>
    <w:qFormat/>
    <w:uiPriority w:val="0"/>
    <w:pPr>
      <w:widowControl/>
      <w:spacing w:beforeAutospacing="1" w:after="100" w:afterAutospacing="1" w:line="240" w:lineRule="auto"/>
      <w:jc w:val="center"/>
    </w:pPr>
    <w:rPr>
      <w:kern w:val="0"/>
      <w:szCs w:val="21"/>
    </w:rPr>
  </w:style>
  <w:style w:type="character" w:customStyle="1" w:styleId="211">
    <w:name w:val="正文文本 Char1"/>
    <w:qFormat/>
    <w:uiPriority w:val="0"/>
    <w:rPr>
      <w:rFonts w:ascii="Arial" w:hAnsi="Arial" w:eastAsia="宋体"/>
      <w:kern w:val="2"/>
      <w:sz w:val="13"/>
      <w:szCs w:val="24"/>
      <w:lang w:val="en-US" w:eastAsia="zh-CN" w:bidi="ar-SA"/>
    </w:rPr>
  </w:style>
  <w:style w:type="paragraph" w:customStyle="1" w:styleId="212">
    <w:name w:val="样式 正文首行缩进正文首行缩进 Char Char正文首行缩进 Char1 + 段前: 0.5 行 段后: 0.5 行"/>
    <w:basedOn w:val="59"/>
    <w:qFormat/>
    <w:uiPriority w:val="0"/>
    <w:pPr>
      <w:adjustRightInd w:val="0"/>
      <w:snapToGrid w:val="0"/>
      <w:spacing w:beforeLines="50" w:afterLines="50" w:line="360" w:lineRule="auto"/>
      <w:ind w:firstLine="567" w:firstLineChars="0"/>
      <w:jc w:val="both"/>
    </w:pPr>
    <w:rPr>
      <w:rFonts w:ascii="Arial" w:hAnsi="Arial" w:cs="宋体"/>
      <w:kern w:val="2"/>
      <w:szCs w:val="20"/>
      <w:lang w:eastAsia="zh-CN" w:bidi="ar-SA"/>
    </w:rPr>
  </w:style>
  <w:style w:type="paragraph" w:customStyle="1" w:styleId="213">
    <w:name w:val="4"/>
    <w:basedOn w:val="1"/>
    <w:next w:val="19"/>
    <w:qFormat/>
    <w:uiPriority w:val="0"/>
    <w:pPr>
      <w:spacing w:line="440" w:lineRule="exact"/>
      <w:ind w:firstLine="420"/>
    </w:pPr>
    <w:rPr>
      <w:rFonts w:ascii="宋体"/>
      <w:szCs w:val="20"/>
    </w:rPr>
  </w:style>
  <w:style w:type="character" w:customStyle="1" w:styleId="214">
    <w:name w:val="标格标题 Char"/>
    <w:link w:val="128"/>
    <w:qFormat/>
    <w:uiPriority w:val="0"/>
    <w:rPr>
      <w:rFonts w:ascii="Times New Roman" w:hAnsi="Times New Roman" w:eastAsia="宋体" w:cs="Times New Roman"/>
      <w:b/>
      <w:kern w:val="0"/>
      <w:sz w:val="24"/>
      <w:szCs w:val="21"/>
      <w:lang w:eastAsia="en-US" w:bidi="en-US"/>
    </w:rPr>
  </w:style>
  <w:style w:type="paragraph" w:customStyle="1" w:styleId="215">
    <w:name w:val="样式 表格文字 +"/>
    <w:basedOn w:val="126"/>
    <w:qFormat/>
    <w:uiPriority w:val="0"/>
    <w:pPr>
      <w:widowControl w:val="0"/>
      <w:adjustRightInd w:val="0"/>
      <w:snapToGrid w:val="0"/>
    </w:pPr>
    <w:rPr>
      <w:rFonts w:ascii="Arial" w:hAnsi="Arial"/>
      <w:szCs w:val="24"/>
      <w:lang w:eastAsia="zh-CN" w:bidi="ar-SA"/>
    </w:rPr>
  </w:style>
  <w:style w:type="paragraph" w:customStyle="1" w:styleId="216">
    <w:name w:val="表格文字（小）"/>
    <w:basedOn w:val="1"/>
    <w:qFormat/>
    <w:uiPriority w:val="0"/>
    <w:pPr>
      <w:adjustRightInd w:val="0"/>
      <w:snapToGrid w:val="0"/>
      <w:spacing w:line="240" w:lineRule="auto"/>
      <w:jc w:val="center"/>
    </w:pPr>
    <w:rPr>
      <w:rFonts w:ascii="Arial" w:hAnsi="Arial"/>
      <w:sz w:val="15"/>
      <w:szCs w:val="21"/>
    </w:rPr>
  </w:style>
  <w:style w:type="character" w:customStyle="1" w:styleId="217">
    <w:name w:val="正文缩进2"/>
    <w:qFormat/>
    <w:uiPriority w:val="0"/>
    <w:rPr>
      <w:rFonts w:ascii="宋体" w:eastAsia="宋体"/>
      <w:kern w:val="2"/>
      <w:sz w:val="24"/>
      <w:lang w:val="en-US" w:eastAsia="zh-CN" w:bidi="ar-SA"/>
    </w:rPr>
  </w:style>
  <w:style w:type="character" w:customStyle="1" w:styleId="218">
    <w:name w:val="正文文本缩进 3 Char"/>
    <w:link w:val="50"/>
    <w:qFormat/>
    <w:uiPriority w:val="0"/>
    <w:rPr>
      <w:rFonts w:ascii="Times New Roman" w:hAnsi="Times New Roman" w:eastAsia="宋体" w:cs="Times New Roman"/>
      <w:sz w:val="16"/>
      <w:szCs w:val="16"/>
    </w:rPr>
  </w:style>
  <w:style w:type="paragraph" w:customStyle="1" w:styleId="219">
    <w:name w:val="样式 标题 2 + 段前: 5 磅 段后: 5 磅"/>
    <w:basedOn w:val="5"/>
    <w:qFormat/>
    <w:uiPriority w:val="0"/>
    <w:pPr>
      <w:spacing w:before="480" w:after="100"/>
    </w:pPr>
    <w:rPr>
      <w:rFonts w:ascii="宋体" w:hAnsi="宋体" w:eastAsia="黑体"/>
      <w:sz w:val="28"/>
      <w:szCs w:val="20"/>
    </w:rPr>
  </w:style>
  <w:style w:type="paragraph" w:customStyle="1" w:styleId="220">
    <w:name w:val="样式 样式 标题 3 + 段后: 7.8 磅 + 段前: 1 行"/>
    <w:basedOn w:val="221"/>
    <w:qFormat/>
    <w:uiPriority w:val="0"/>
    <w:pPr>
      <w:spacing w:before="312"/>
    </w:pPr>
  </w:style>
  <w:style w:type="paragraph" w:customStyle="1" w:styleId="221">
    <w:name w:val="样式 标题 3 + 段后: 7.8 磅"/>
    <w:basedOn w:val="6"/>
    <w:qFormat/>
    <w:uiPriority w:val="0"/>
    <w:pPr>
      <w:spacing w:line="520" w:lineRule="exact"/>
    </w:pPr>
    <w:rPr>
      <w:rFonts w:ascii="黑体" w:hAnsi="宋体" w:eastAsia="黑体"/>
      <w:b w:val="0"/>
      <w:sz w:val="24"/>
      <w:szCs w:val="20"/>
    </w:rPr>
  </w:style>
  <w:style w:type="paragraph" w:customStyle="1" w:styleId="222">
    <w:name w:val="a3"/>
    <w:basedOn w:val="1"/>
    <w:qFormat/>
    <w:uiPriority w:val="0"/>
    <w:pPr>
      <w:widowControl/>
      <w:spacing w:beforeAutospacing="1" w:after="100" w:afterAutospacing="1" w:line="240" w:lineRule="auto"/>
    </w:pPr>
    <w:rPr>
      <w:rFonts w:ascii="宋体" w:hAnsi="宋体"/>
      <w:color w:val="000000"/>
      <w:kern w:val="0"/>
      <w:szCs w:val="24"/>
    </w:rPr>
  </w:style>
  <w:style w:type="paragraph" w:customStyle="1" w:styleId="223">
    <w:name w:val="dh2"/>
    <w:basedOn w:val="5"/>
    <w:qFormat/>
    <w:uiPriority w:val="0"/>
    <w:pPr>
      <w:keepLines w:val="0"/>
      <w:autoSpaceDE w:val="0"/>
      <w:autoSpaceDN w:val="0"/>
      <w:ind w:right="1"/>
    </w:pPr>
    <w:rPr>
      <w:rFonts w:ascii="宋体" w:hAnsi="宋体"/>
      <w:bCs w:val="0"/>
      <w:sz w:val="28"/>
      <w:szCs w:val="28"/>
    </w:rPr>
  </w:style>
  <w:style w:type="paragraph" w:customStyle="1" w:styleId="224">
    <w:name w:val="dh3"/>
    <w:basedOn w:val="6"/>
    <w:qFormat/>
    <w:uiPriority w:val="0"/>
    <w:pPr>
      <w:keepNext w:val="0"/>
      <w:keepLines w:val="0"/>
      <w:adjustRightInd w:val="0"/>
      <w:textAlignment w:val="baseline"/>
    </w:pPr>
    <w:rPr>
      <w:rFonts w:ascii="Roman" w:hAnsi="Arial"/>
      <w:b w:val="0"/>
      <w:bCs w:val="0"/>
      <w:sz w:val="28"/>
      <w:szCs w:val="20"/>
    </w:rPr>
  </w:style>
  <w:style w:type="character" w:customStyle="1" w:styleId="225">
    <w:name w:val="dz1"/>
    <w:qFormat/>
    <w:uiPriority w:val="0"/>
    <w:rPr>
      <w:rFonts w:hint="default" w:ascii="Geneva" w:hAnsi="Geneva"/>
      <w:spacing w:val="360"/>
      <w:sz w:val="20"/>
      <w:szCs w:val="20"/>
    </w:rPr>
  </w:style>
  <w:style w:type="paragraph" w:customStyle="1" w:styleId="226">
    <w:name w:val="首行缩进两字"/>
    <w:basedOn w:val="1"/>
    <w:qFormat/>
    <w:uiPriority w:val="0"/>
    <w:pPr>
      <w:spacing w:line="240" w:lineRule="auto"/>
    </w:pPr>
    <w:rPr>
      <w:rFonts w:ascii="宋体" w:hAnsi="宋体"/>
      <w:color w:val="000000"/>
      <w:sz w:val="28"/>
      <w:szCs w:val="24"/>
    </w:rPr>
  </w:style>
  <w:style w:type="paragraph" w:customStyle="1" w:styleId="227">
    <w:name w:val="dh1"/>
    <w:basedOn w:val="4"/>
    <w:qFormat/>
    <w:uiPriority w:val="0"/>
    <w:pPr>
      <w:keepNext w:val="0"/>
      <w:widowControl w:val="0"/>
      <w:adjustRightInd w:val="0"/>
      <w:spacing w:after="120"/>
      <w:ind w:firstLine="0" w:firstLineChars="0"/>
      <w:textAlignment w:val="baseline"/>
    </w:pPr>
    <w:rPr>
      <w:rFonts w:ascii="黑体" w:cs="Times New Roman"/>
      <w:b/>
      <w:bCs w:val="0"/>
      <w:kern w:val="44"/>
      <w:sz w:val="32"/>
      <w:szCs w:val="20"/>
      <w:lang w:eastAsia="zh-CN" w:bidi="ar-SA"/>
    </w:rPr>
  </w:style>
  <w:style w:type="paragraph" w:customStyle="1" w:styleId="228">
    <w:name w:val="表格1"/>
    <w:basedOn w:val="1"/>
    <w:qFormat/>
    <w:uiPriority w:val="0"/>
    <w:pPr>
      <w:adjustRightInd w:val="0"/>
      <w:spacing w:beforeLines="10" w:afterLines="10" w:line="240" w:lineRule="auto"/>
      <w:jc w:val="center"/>
      <w:textAlignment w:val="center"/>
    </w:pPr>
    <w:rPr>
      <w:kern w:val="0"/>
      <w:szCs w:val="20"/>
    </w:rPr>
  </w:style>
  <w:style w:type="paragraph" w:customStyle="1" w:styleId="229">
    <w:name w:val="正文3"/>
    <w:qFormat/>
    <w:uiPriority w:val="0"/>
    <w:pPr>
      <w:widowControl w:val="0"/>
      <w:adjustRightInd w:val="0"/>
      <w:spacing w:line="315" w:lineRule="atLeast"/>
      <w:jc w:val="both"/>
      <w:textAlignment w:val="baseline"/>
    </w:pPr>
    <w:rPr>
      <w:rFonts w:ascii="宋体" w:hAnsi="Times New Roman" w:eastAsia="宋体" w:cs="Times New Roman"/>
      <w:sz w:val="24"/>
      <w:lang w:val="en-US" w:eastAsia="zh-CN" w:bidi="ar-SA"/>
    </w:rPr>
  </w:style>
  <w:style w:type="character" w:customStyle="1" w:styleId="230">
    <w:name w:val="3zw1"/>
    <w:qFormat/>
    <w:uiPriority w:val="0"/>
    <w:rPr>
      <w:color w:val="000000"/>
      <w:spacing w:val="360"/>
      <w:sz w:val="21"/>
      <w:szCs w:val="21"/>
    </w:rPr>
  </w:style>
  <w:style w:type="paragraph" w:customStyle="1" w:styleId="231">
    <w:name w:val="文体框"/>
    <w:basedOn w:val="1"/>
    <w:qFormat/>
    <w:uiPriority w:val="0"/>
    <w:pPr>
      <w:spacing w:beforeLines="10" w:afterLines="10" w:line="240" w:lineRule="auto"/>
      <w:jc w:val="center"/>
    </w:pPr>
    <w:rPr>
      <w:szCs w:val="24"/>
    </w:rPr>
  </w:style>
  <w:style w:type="paragraph" w:customStyle="1" w:styleId="232">
    <w:name w:val="表头1"/>
    <w:basedOn w:val="1"/>
    <w:qFormat/>
    <w:uiPriority w:val="0"/>
    <w:pPr>
      <w:spacing w:line="520" w:lineRule="atLeast"/>
      <w:jc w:val="center"/>
    </w:pPr>
    <w:rPr>
      <w:b/>
      <w:bCs/>
      <w:color w:val="000000"/>
      <w:szCs w:val="24"/>
    </w:rPr>
  </w:style>
  <w:style w:type="paragraph" w:customStyle="1" w:styleId="233">
    <w:name w:val="font5"/>
    <w:basedOn w:val="1"/>
    <w:qFormat/>
    <w:uiPriority w:val="0"/>
    <w:pPr>
      <w:widowControl/>
      <w:spacing w:beforeAutospacing="1" w:after="100" w:afterAutospacing="1" w:line="240" w:lineRule="auto"/>
    </w:pPr>
    <w:rPr>
      <w:rFonts w:hint="eastAsia" w:ascii="宋体" w:hAnsi="宋体" w:cs="Arial Unicode MS"/>
      <w:kern w:val="0"/>
      <w:sz w:val="18"/>
      <w:szCs w:val="18"/>
    </w:rPr>
  </w:style>
  <w:style w:type="paragraph" w:customStyle="1" w:styleId="234">
    <w:name w:val="font6"/>
    <w:basedOn w:val="1"/>
    <w:qFormat/>
    <w:uiPriority w:val="0"/>
    <w:pPr>
      <w:widowControl/>
      <w:spacing w:beforeAutospacing="1" w:after="100" w:afterAutospacing="1" w:line="240" w:lineRule="auto"/>
    </w:pPr>
    <w:rPr>
      <w:rFonts w:eastAsia="Arial Unicode MS"/>
      <w:kern w:val="0"/>
      <w:szCs w:val="24"/>
    </w:rPr>
  </w:style>
  <w:style w:type="paragraph" w:customStyle="1" w:styleId="235">
    <w:name w:val="font7"/>
    <w:basedOn w:val="1"/>
    <w:qFormat/>
    <w:uiPriority w:val="0"/>
    <w:pPr>
      <w:widowControl/>
      <w:spacing w:beforeAutospacing="1" w:after="100" w:afterAutospacing="1" w:line="240" w:lineRule="auto"/>
    </w:pPr>
    <w:rPr>
      <w:rFonts w:hint="eastAsia" w:ascii="宋体" w:hAnsi="宋体" w:cs="Arial Unicode MS"/>
      <w:kern w:val="0"/>
      <w:szCs w:val="24"/>
    </w:rPr>
  </w:style>
  <w:style w:type="paragraph" w:customStyle="1" w:styleId="236">
    <w:name w:val="xl26"/>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textAlignment w:val="center"/>
    </w:pPr>
    <w:rPr>
      <w:rFonts w:eastAsia="Arial Unicode MS"/>
      <w:kern w:val="0"/>
      <w:szCs w:val="24"/>
    </w:rPr>
  </w:style>
  <w:style w:type="paragraph" w:customStyle="1" w:styleId="237">
    <w:name w:val="xl28"/>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textAlignment w:val="center"/>
    </w:pPr>
    <w:rPr>
      <w:rFonts w:eastAsia="Arial Unicode MS"/>
      <w:kern w:val="0"/>
      <w:szCs w:val="24"/>
    </w:rPr>
  </w:style>
  <w:style w:type="paragraph" w:customStyle="1" w:styleId="238">
    <w:name w:val="xl29"/>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textAlignment w:val="center"/>
    </w:pPr>
    <w:rPr>
      <w:rFonts w:eastAsia="Arial Unicode MS"/>
      <w:kern w:val="0"/>
      <w:szCs w:val="24"/>
    </w:rPr>
  </w:style>
  <w:style w:type="paragraph" w:customStyle="1" w:styleId="239">
    <w:name w:val="xl30"/>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textAlignment w:val="center"/>
    </w:pPr>
    <w:rPr>
      <w:rFonts w:eastAsia="Arial Unicode MS"/>
      <w:kern w:val="0"/>
      <w:szCs w:val="24"/>
    </w:rPr>
  </w:style>
  <w:style w:type="paragraph" w:customStyle="1" w:styleId="240">
    <w:name w:val="xl31"/>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textAlignment w:val="center"/>
    </w:pPr>
    <w:rPr>
      <w:rFonts w:eastAsia="Arial Unicode MS"/>
      <w:b/>
      <w:bCs/>
      <w:kern w:val="0"/>
      <w:szCs w:val="24"/>
    </w:rPr>
  </w:style>
  <w:style w:type="paragraph" w:customStyle="1" w:styleId="241">
    <w:name w:val="xl32"/>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textAlignment w:val="center"/>
    </w:pPr>
    <w:rPr>
      <w:rFonts w:eastAsia="Arial Unicode MS"/>
      <w:b/>
      <w:bCs/>
      <w:kern w:val="0"/>
      <w:szCs w:val="24"/>
    </w:rPr>
  </w:style>
  <w:style w:type="paragraph" w:customStyle="1" w:styleId="242">
    <w:name w:val="xl33"/>
    <w:basedOn w:val="1"/>
    <w:qFormat/>
    <w:uiPriority w:val="0"/>
    <w:pPr>
      <w:widowControl/>
      <w:pBdr>
        <w:bottom w:val="single" w:color="auto" w:sz="4" w:space="0"/>
      </w:pBdr>
      <w:spacing w:beforeAutospacing="1" w:after="100" w:afterAutospacing="1" w:line="240" w:lineRule="auto"/>
      <w:jc w:val="center"/>
    </w:pPr>
    <w:rPr>
      <w:rFonts w:eastAsia="Arial Unicode MS"/>
      <w:kern w:val="0"/>
      <w:szCs w:val="24"/>
    </w:rPr>
  </w:style>
  <w:style w:type="paragraph" w:customStyle="1" w:styleId="243">
    <w:name w:val="xl34"/>
    <w:basedOn w:val="1"/>
    <w:qFormat/>
    <w:uiPriority w:val="0"/>
    <w:pPr>
      <w:widowControl/>
      <w:pBdr>
        <w:bottom w:val="single" w:color="auto" w:sz="4" w:space="0"/>
      </w:pBdr>
      <w:spacing w:beforeAutospacing="1" w:after="100" w:afterAutospacing="1" w:line="240" w:lineRule="auto"/>
    </w:pPr>
    <w:rPr>
      <w:rFonts w:ascii="Arial Unicode MS" w:hAnsi="Arial Unicode MS" w:eastAsia="Arial Unicode MS" w:cs="Arial Unicode MS"/>
      <w:kern w:val="0"/>
      <w:szCs w:val="24"/>
    </w:rPr>
  </w:style>
  <w:style w:type="paragraph" w:customStyle="1" w:styleId="244">
    <w:name w:val="xl35"/>
    <w:basedOn w:val="1"/>
    <w:qFormat/>
    <w:uiPriority w:val="0"/>
    <w:pPr>
      <w:widowControl/>
      <w:pBdr>
        <w:left w:val="single" w:color="auto" w:sz="4" w:space="0"/>
        <w:bottom w:val="single" w:color="auto" w:sz="4" w:space="0"/>
        <w:right w:val="single" w:color="auto" w:sz="4" w:space="0"/>
      </w:pBdr>
      <w:spacing w:beforeAutospacing="1" w:after="100" w:afterAutospacing="1" w:line="240" w:lineRule="auto"/>
      <w:jc w:val="center"/>
      <w:textAlignment w:val="center"/>
    </w:pPr>
    <w:rPr>
      <w:rFonts w:ascii="Arial Unicode MS" w:hAnsi="Arial Unicode MS" w:eastAsia="Arial Unicode MS" w:cs="Arial Unicode MS"/>
      <w:b/>
      <w:bCs/>
      <w:kern w:val="0"/>
      <w:szCs w:val="24"/>
    </w:rPr>
  </w:style>
  <w:style w:type="paragraph" w:customStyle="1" w:styleId="245">
    <w:name w:val="xl36"/>
    <w:basedOn w:val="1"/>
    <w:qFormat/>
    <w:uiPriority w:val="0"/>
    <w:pPr>
      <w:widowControl/>
      <w:pBdr>
        <w:top w:val="single" w:color="auto" w:sz="4" w:space="0"/>
        <w:bottom w:val="single" w:color="auto" w:sz="4" w:space="0"/>
        <w:right w:val="single" w:color="auto" w:sz="4" w:space="0"/>
      </w:pBdr>
      <w:spacing w:beforeAutospacing="1" w:after="100" w:afterAutospacing="1" w:line="240" w:lineRule="auto"/>
      <w:jc w:val="center"/>
      <w:textAlignment w:val="center"/>
    </w:pPr>
    <w:rPr>
      <w:rFonts w:eastAsia="Arial Unicode MS"/>
      <w:kern w:val="0"/>
      <w:szCs w:val="24"/>
    </w:rPr>
  </w:style>
  <w:style w:type="paragraph" w:customStyle="1" w:styleId="246">
    <w:name w:val="xl37"/>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textAlignment w:val="center"/>
    </w:pPr>
    <w:rPr>
      <w:rFonts w:ascii="Arial Unicode MS" w:hAnsi="Arial Unicode MS" w:eastAsia="Arial Unicode MS" w:cs="Arial Unicode MS"/>
      <w:b/>
      <w:bCs/>
      <w:kern w:val="0"/>
      <w:szCs w:val="24"/>
    </w:rPr>
  </w:style>
  <w:style w:type="paragraph" w:customStyle="1" w:styleId="247">
    <w:name w:val="xl38"/>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textAlignment w:val="center"/>
    </w:pPr>
    <w:rPr>
      <w:rFonts w:ascii="Arial Unicode MS" w:hAnsi="Arial Unicode MS" w:eastAsia="Arial Unicode MS" w:cs="Arial Unicode MS"/>
      <w:kern w:val="0"/>
      <w:szCs w:val="24"/>
    </w:rPr>
  </w:style>
  <w:style w:type="paragraph" w:customStyle="1" w:styleId="248">
    <w:name w:val="xl39"/>
    <w:basedOn w:val="1"/>
    <w:qFormat/>
    <w:uiPriority w:val="0"/>
    <w:pPr>
      <w:widowControl/>
      <w:pBdr>
        <w:top w:val="single" w:color="auto" w:sz="4" w:space="0"/>
        <w:bottom w:val="single" w:color="auto" w:sz="4" w:space="0"/>
        <w:right w:val="single" w:color="auto" w:sz="4" w:space="0"/>
      </w:pBdr>
      <w:spacing w:beforeAutospacing="1" w:after="100" w:afterAutospacing="1" w:line="240" w:lineRule="auto"/>
      <w:jc w:val="center"/>
      <w:textAlignment w:val="center"/>
    </w:pPr>
    <w:rPr>
      <w:rFonts w:eastAsia="Arial Unicode MS"/>
      <w:b/>
      <w:bCs/>
      <w:kern w:val="0"/>
      <w:szCs w:val="24"/>
    </w:rPr>
  </w:style>
  <w:style w:type="paragraph" w:customStyle="1" w:styleId="249">
    <w:name w:val="xl40"/>
    <w:basedOn w:val="1"/>
    <w:qFormat/>
    <w:uiPriority w:val="0"/>
    <w:pPr>
      <w:widowControl/>
      <w:pBdr>
        <w:left w:val="single" w:color="auto" w:sz="4" w:space="0"/>
        <w:bottom w:val="single" w:color="auto" w:sz="4" w:space="0"/>
        <w:right w:val="single" w:color="auto" w:sz="4" w:space="0"/>
      </w:pBdr>
      <w:spacing w:beforeAutospacing="1" w:after="100" w:afterAutospacing="1" w:line="240" w:lineRule="auto"/>
      <w:jc w:val="center"/>
      <w:textAlignment w:val="center"/>
    </w:pPr>
    <w:rPr>
      <w:rFonts w:ascii="Arial Unicode MS" w:hAnsi="Arial Unicode MS" w:eastAsia="Arial Unicode MS" w:cs="Arial Unicode MS"/>
      <w:kern w:val="0"/>
      <w:szCs w:val="24"/>
    </w:rPr>
  </w:style>
  <w:style w:type="paragraph" w:customStyle="1" w:styleId="250">
    <w:name w:val="xl41"/>
    <w:basedOn w:val="1"/>
    <w:qFormat/>
    <w:uiPriority w:val="0"/>
    <w:pPr>
      <w:widowControl/>
      <w:pBdr>
        <w:left w:val="single" w:color="auto" w:sz="4" w:space="0"/>
        <w:bottom w:val="single" w:color="auto" w:sz="4" w:space="0"/>
        <w:right w:val="single" w:color="auto" w:sz="4" w:space="0"/>
      </w:pBdr>
      <w:spacing w:beforeAutospacing="1" w:after="100" w:afterAutospacing="1" w:line="240" w:lineRule="auto"/>
      <w:textAlignment w:val="center"/>
    </w:pPr>
    <w:rPr>
      <w:rFonts w:ascii="Arial Unicode MS" w:hAnsi="Arial Unicode MS" w:eastAsia="Arial Unicode MS" w:cs="Arial Unicode MS"/>
      <w:kern w:val="0"/>
      <w:szCs w:val="24"/>
    </w:rPr>
  </w:style>
  <w:style w:type="paragraph" w:customStyle="1" w:styleId="251">
    <w:name w:val="xl42"/>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right"/>
      <w:textAlignment w:val="center"/>
    </w:pPr>
    <w:rPr>
      <w:rFonts w:eastAsia="Arial Unicode MS"/>
      <w:kern w:val="0"/>
      <w:szCs w:val="24"/>
    </w:rPr>
  </w:style>
  <w:style w:type="paragraph" w:customStyle="1" w:styleId="252">
    <w:name w:val="xl43"/>
    <w:basedOn w:val="1"/>
    <w:qFormat/>
    <w:uiPriority w:val="0"/>
    <w:pPr>
      <w:widowControl/>
      <w:pBdr>
        <w:left w:val="single" w:color="auto" w:sz="4" w:space="0"/>
        <w:bottom w:val="single" w:color="auto" w:sz="4" w:space="0"/>
        <w:right w:val="single" w:color="auto" w:sz="4" w:space="0"/>
      </w:pBdr>
      <w:spacing w:beforeAutospacing="1" w:after="100" w:afterAutospacing="1" w:line="240" w:lineRule="auto"/>
      <w:jc w:val="right"/>
      <w:textAlignment w:val="center"/>
    </w:pPr>
    <w:rPr>
      <w:rFonts w:eastAsia="Arial Unicode MS"/>
      <w:kern w:val="0"/>
      <w:szCs w:val="24"/>
    </w:rPr>
  </w:style>
  <w:style w:type="paragraph" w:customStyle="1" w:styleId="253">
    <w:name w:val="xl44"/>
    <w:basedOn w:val="1"/>
    <w:qFormat/>
    <w:uiPriority w:val="0"/>
    <w:pPr>
      <w:widowControl/>
      <w:pBdr>
        <w:top w:val="single" w:color="auto" w:sz="4" w:space="0"/>
        <w:bottom w:val="single" w:color="auto" w:sz="4" w:space="0"/>
        <w:right w:val="single" w:color="auto" w:sz="4" w:space="0"/>
      </w:pBdr>
      <w:spacing w:beforeAutospacing="1" w:after="100" w:afterAutospacing="1" w:line="240" w:lineRule="auto"/>
      <w:jc w:val="right"/>
      <w:textAlignment w:val="center"/>
    </w:pPr>
    <w:rPr>
      <w:rFonts w:eastAsia="Arial Unicode MS"/>
      <w:kern w:val="0"/>
      <w:szCs w:val="24"/>
    </w:rPr>
  </w:style>
  <w:style w:type="paragraph" w:customStyle="1" w:styleId="254">
    <w:name w:val="xl45"/>
    <w:basedOn w:val="1"/>
    <w:qFormat/>
    <w:uiPriority w:val="0"/>
    <w:pPr>
      <w:widowControl/>
      <w:spacing w:beforeAutospacing="1" w:after="100" w:afterAutospacing="1" w:line="240" w:lineRule="auto"/>
      <w:jc w:val="center"/>
      <w:textAlignment w:val="center"/>
    </w:pPr>
    <w:rPr>
      <w:rFonts w:ascii="Arial Unicode MS" w:hAnsi="Arial Unicode MS" w:eastAsia="Arial Unicode MS" w:cs="Arial Unicode MS"/>
      <w:b/>
      <w:bCs/>
      <w:kern w:val="0"/>
      <w:szCs w:val="24"/>
    </w:rPr>
  </w:style>
  <w:style w:type="paragraph" w:customStyle="1" w:styleId="255">
    <w:name w:val="样式 标题 4 + 行距: 多倍行距 1.25 字行"/>
    <w:basedOn w:val="7"/>
    <w:qFormat/>
    <w:uiPriority w:val="0"/>
    <w:pPr>
      <w:tabs>
        <w:tab w:val="left" w:pos="0"/>
        <w:tab w:val="left" w:pos="210"/>
        <w:tab w:val="left" w:pos="2160"/>
      </w:tabs>
      <w:spacing w:before="0" w:after="0" w:line="300" w:lineRule="auto"/>
      <w:ind w:left="2160" w:hanging="420"/>
    </w:pPr>
    <w:rPr>
      <w:rFonts w:ascii="Arial" w:hAnsi="Arial"/>
      <w:bCs w:val="0"/>
      <w:sz w:val="24"/>
      <w:szCs w:val="20"/>
    </w:rPr>
  </w:style>
  <w:style w:type="character" w:customStyle="1" w:styleId="256">
    <w:name w:val="zw1"/>
    <w:qFormat/>
    <w:uiPriority w:val="0"/>
    <w:rPr>
      <w:color w:val="302F37"/>
      <w:spacing w:val="300"/>
      <w:sz w:val="21"/>
      <w:szCs w:val="21"/>
    </w:rPr>
  </w:style>
  <w:style w:type="paragraph" w:customStyle="1" w:styleId="257">
    <w:name w:val="文本框"/>
    <w:basedOn w:val="1"/>
    <w:qFormat/>
    <w:uiPriority w:val="0"/>
    <w:pPr>
      <w:adjustRightInd w:val="0"/>
      <w:spacing w:before="20" w:after="20" w:line="240" w:lineRule="auto"/>
      <w:jc w:val="center"/>
    </w:pPr>
    <w:rPr>
      <w:szCs w:val="20"/>
    </w:rPr>
  </w:style>
  <w:style w:type="paragraph" w:customStyle="1" w:styleId="258">
    <w:name w:val="样式4"/>
    <w:basedOn w:val="1"/>
    <w:link w:val="542"/>
    <w:qFormat/>
    <w:uiPriority w:val="0"/>
    <w:pPr>
      <w:spacing w:line="360" w:lineRule="exact"/>
      <w:jc w:val="center"/>
    </w:pPr>
    <w:rPr>
      <w:szCs w:val="21"/>
    </w:rPr>
  </w:style>
  <w:style w:type="paragraph" w:customStyle="1" w:styleId="259">
    <w:name w:val="样式7"/>
    <w:basedOn w:val="191"/>
    <w:qFormat/>
    <w:uiPriority w:val="0"/>
    <w:pPr>
      <w:keepNext w:val="0"/>
      <w:widowControl w:val="0"/>
      <w:spacing w:beforeLines="50" w:afterLines="50"/>
      <w:jc w:val="both"/>
      <w:outlineLvl w:val="9"/>
    </w:pPr>
    <w:rPr>
      <w:rFonts w:ascii="Times New Roman" w:hAnsi="Times New Roman"/>
      <w:b w:val="0"/>
      <w:bCs w:val="0"/>
      <w:color w:val="auto"/>
      <w:kern w:val="2"/>
      <w:szCs w:val="24"/>
      <w:lang w:eastAsia="zh-CN" w:bidi="ar-SA"/>
    </w:rPr>
  </w:style>
  <w:style w:type="paragraph" w:customStyle="1" w:styleId="260">
    <w:name w:val="样式2"/>
    <w:basedOn w:val="1"/>
    <w:qFormat/>
    <w:uiPriority w:val="0"/>
    <w:pPr>
      <w:spacing w:line="240" w:lineRule="auto"/>
      <w:ind w:firstLine="480"/>
    </w:pPr>
    <w:rPr>
      <w:szCs w:val="24"/>
    </w:rPr>
  </w:style>
  <w:style w:type="paragraph" w:customStyle="1" w:styleId="261">
    <w:name w:val="标准"/>
    <w:basedOn w:val="1"/>
    <w:qFormat/>
    <w:uiPriority w:val="0"/>
    <w:pPr>
      <w:tabs>
        <w:tab w:val="left" w:pos="720"/>
      </w:tabs>
      <w:adjustRightInd w:val="0"/>
      <w:spacing w:line="312" w:lineRule="atLeast"/>
      <w:textAlignment w:val="baseline"/>
    </w:pPr>
    <w:rPr>
      <w:kern w:val="0"/>
      <w:szCs w:val="20"/>
    </w:rPr>
  </w:style>
  <w:style w:type="paragraph" w:customStyle="1" w:styleId="262">
    <w:name w:val="xl22"/>
    <w:basedOn w:val="1"/>
    <w:qFormat/>
    <w:uiPriority w:val="0"/>
    <w:pPr>
      <w:widowControl/>
      <w:pBdr>
        <w:bottom w:val="single" w:color="auto" w:sz="4" w:space="0"/>
        <w:right w:val="single" w:color="auto" w:sz="4" w:space="0"/>
      </w:pBdr>
      <w:spacing w:beforeAutospacing="1" w:after="100" w:afterAutospacing="1" w:line="240" w:lineRule="auto"/>
      <w:jc w:val="center"/>
      <w:textAlignment w:val="top"/>
    </w:pPr>
    <w:rPr>
      <w:rFonts w:eastAsia="Arial Unicode MS"/>
      <w:color w:val="000000"/>
      <w:kern w:val="0"/>
      <w:szCs w:val="21"/>
    </w:rPr>
  </w:style>
  <w:style w:type="paragraph" w:customStyle="1" w:styleId="263">
    <w:name w:val="纯文本2"/>
    <w:basedOn w:val="1"/>
    <w:qFormat/>
    <w:uiPriority w:val="0"/>
    <w:pPr>
      <w:adjustRightInd w:val="0"/>
      <w:spacing w:line="240" w:lineRule="auto"/>
      <w:textAlignment w:val="baseline"/>
    </w:pPr>
    <w:rPr>
      <w:rFonts w:ascii="宋体" w:hAnsi="Courier New"/>
      <w:sz w:val="28"/>
      <w:szCs w:val="20"/>
    </w:rPr>
  </w:style>
  <w:style w:type="paragraph" w:customStyle="1" w:styleId="264">
    <w:name w:val="表格体"/>
    <w:basedOn w:val="1"/>
    <w:qFormat/>
    <w:uiPriority w:val="0"/>
    <w:pPr>
      <w:adjustRightInd w:val="0"/>
      <w:snapToGrid w:val="0"/>
      <w:spacing w:line="240" w:lineRule="auto"/>
      <w:jc w:val="center"/>
    </w:pPr>
    <w:rPr>
      <w:bCs/>
      <w:szCs w:val="24"/>
    </w:rPr>
  </w:style>
  <w:style w:type="paragraph" w:customStyle="1" w:styleId="265">
    <w:name w:val="正文（首行缩进两字）m"/>
    <w:basedOn w:val="19"/>
    <w:qFormat/>
    <w:uiPriority w:val="0"/>
    <w:pPr>
      <w:widowControl w:val="0"/>
      <w:tabs>
        <w:tab w:val="left" w:pos="560"/>
        <w:tab w:val="left" w:pos="1848"/>
        <w:tab w:val="left" w:pos="6061"/>
        <w:tab w:val="left" w:pos="8665"/>
      </w:tabs>
      <w:adjustRightInd w:val="0"/>
      <w:snapToGrid w:val="0"/>
      <w:spacing w:beforeLines="50" w:line="460" w:lineRule="exact"/>
      <w:ind w:firstLine="480"/>
      <w:jc w:val="both"/>
    </w:pPr>
    <w:rPr>
      <w:rFonts w:ascii="宋体" w:hAnsi="宋体"/>
      <w:kern w:val="2"/>
      <w:szCs w:val="20"/>
      <w:lang w:eastAsia="zh-CN" w:bidi="ar-SA"/>
    </w:rPr>
  </w:style>
  <w:style w:type="paragraph" w:customStyle="1" w:styleId="266">
    <w:name w:val="表"/>
    <w:basedOn w:val="1"/>
    <w:qFormat/>
    <w:uiPriority w:val="0"/>
    <w:pPr>
      <w:adjustRightInd w:val="0"/>
      <w:snapToGrid w:val="0"/>
      <w:spacing w:line="340" w:lineRule="exact"/>
      <w:jc w:val="center"/>
    </w:pPr>
    <w:rPr>
      <w:rFonts w:ascii="宋体" w:hAnsi="宋体"/>
      <w:szCs w:val="20"/>
    </w:rPr>
  </w:style>
  <w:style w:type="paragraph" w:customStyle="1" w:styleId="267">
    <w:name w:val="Char Char3 Char Char Char Char"/>
    <w:basedOn w:val="1"/>
    <w:qFormat/>
    <w:uiPriority w:val="0"/>
    <w:pPr>
      <w:widowControl/>
      <w:spacing w:after="160" w:line="240" w:lineRule="exact"/>
    </w:pPr>
    <w:rPr>
      <w:rFonts w:ascii="Verdana" w:hAnsi="Verdana" w:eastAsia="仿宋_GB2312"/>
      <w:kern w:val="0"/>
      <w:szCs w:val="20"/>
      <w:lang w:eastAsia="en-US"/>
    </w:rPr>
  </w:style>
  <w:style w:type="paragraph" w:customStyle="1" w:styleId="268">
    <w:name w:val="7"/>
    <w:basedOn w:val="1"/>
    <w:next w:val="19"/>
    <w:qFormat/>
    <w:uiPriority w:val="0"/>
    <w:pPr>
      <w:spacing w:line="440" w:lineRule="exact"/>
      <w:ind w:firstLine="420"/>
    </w:pPr>
    <w:rPr>
      <w:rFonts w:ascii="宋体"/>
      <w:szCs w:val="20"/>
    </w:rPr>
  </w:style>
  <w:style w:type="paragraph" w:customStyle="1" w:styleId="269">
    <w:name w:val="Char Char Char Char Char Char Char1"/>
    <w:basedOn w:val="1"/>
    <w:qFormat/>
    <w:uiPriority w:val="0"/>
    <w:pPr>
      <w:widowControl/>
      <w:spacing w:after="160" w:line="240" w:lineRule="exact"/>
    </w:pPr>
    <w:rPr>
      <w:rFonts w:ascii="Verdana" w:hAnsi="Verdana" w:eastAsia="仿宋_GB2312"/>
      <w:kern w:val="0"/>
      <w:szCs w:val="20"/>
      <w:lang w:eastAsia="en-US"/>
    </w:rPr>
  </w:style>
  <w:style w:type="character" w:customStyle="1" w:styleId="270">
    <w:name w:val="注释标题 Char"/>
    <w:link w:val="16"/>
    <w:qFormat/>
    <w:uiPriority w:val="0"/>
    <w:rPr>
      <w:rFonts w:ascii="Times New Roman" w:hAnsi="Times New Roman" w:eastAsia="宋体" w:cs="Times New Roman"/>
      <w:szCs w:val="24"/>
    </w:rPr>
  </w:style>
  <w:style w:type="paragraph" w:customStyle="1" w:styleId="271">
    <w:name w:val="正文01"/>
    <w:basedOn w:val="1"/>
    <w:qFormat/>
    <w:uiPriority w:val="0"/>
    <w:pPr>
      <w:spacing w:before="60" w:line="460" w:lineRule="exact"/>
      <w:ind w:firstLine="539"/>
    </w:pPr>
    <w:rPr>
      <w:sz w:val="27"/>
      <w:szCs w:val="20"/>
    </w:rPr>
  </w:style>
  <w:style w:type="paragraph" w:customStyle="1" w:styleId="272">
    <w:name w:val="无悬挂正文5号"/>
    <w:basedOn w:val="1"/>
    <w:qFormat/>
    <w:uiPriority w:val="0"/>
    <w:pPr>
      <w:spacing w:line="240" w:lineRule="auto"/>
      <w:jc w:val="center"/>
    </w:pPr>
    <w:rPr>
      <w:szCs w:val="24"/>
    </w:rPr>
  </w:style>
  <w:style w:type="character" w:customStyle="1" w:styleId="273">
    <w:name w:val="f141"/>
    <w:qFormat/>
    <w:uiPriority w:val="0"/>
    <w:rPr>
      <w:sz w:val="21"/>
      <w:szCs w:val="21"/>
    </w:rPr>
  </w:style>
  <w:style w:type="paragraph" w:customStyle="1" w:styleId="274">
    <w:name w:val="正文标题"/>
    <w:basedOn w:val="1"/>
    <w:qFormat/>
    <w:uiPriority w:val="0"/>
    <w:pPr>
      <w:numPr>
        <w:ilvl w:val="0"/>
        <w:numId w:val="5"/>
      </w:numPr>
      <w:tabs>
        <w:tab w:val="left" w:pos="1620"/>
      </w:tabs>
      <w:snapToGrid w:val="0"/>
      <w:spacing w:line="480" w:lineRule="exact"/>
    </w:pPr>
    <w:rPr>
      <w:szCs w:val="24"/>
    </w:rPr>
  </w:style>
  <w:style w:type="paragraph" w:customStyle="1" w:styleId="275">
    <w:name w:val="样式 标题 4 + 段前: 0.5 行 段后: 0.5 行"/>
    <w:basedOn w:val="7"/>
    <w:qFormat/>
    <w:uiPriority w:val="0"/>
    <w:pPr>
      <w:keepLines w:val="0"/>
      <w:spacing w:beforeLines="50" w:afterLines="50" w:line="240" w:lineRule="auto"/>
    </w:pPr>
    <w:rPr>
      <w:rFonts w:ascii="黑体" w:hAnsi="Courier New" w:eastAsia="黑体"/>
      <w:b w:val="0"/>
      <w:bCs w:val="0"/>
      <w:kern w:val="44"/>
      <w:sz w:val="24"/>
      <w:szCs w:val="20"/>
    </w:rPr>
  </w:style>
  <w:style w:type="paragraph" w:customStyle="1" w:styleId="276">
    <w:name w:val="附录一级条标题"/>
    <w:basedOn w:val="1"/>
    <w:next w:val="1"/>
    <w:qFormat/>
    <w:uiPriority w:val="0"/>
    <w:pPr>
      <w:widowControl/>
      <w:tabs>
        <w:tab w:val="left" w:pos="828"/>
        <w:tab w:val="left" w:pos="1260"/>
        <w:tab w:val="left" w:pos="1812"/>
        <w:tab w:val="left" w:pos="2160"/>
      </w:tabs>
      <w:wordWrap w:val="0"/>
      <w:overflowPunct w:val="0"/>
      <w:autoSpaceDE w:val="0"/>
      <w:autoSpaceDN w:val="0"/>
      <w:spacing w:line="240" w:lineRule="auto"/>
      <w:ind w:left="828" w:hanging="240"/>
      <w:textAlignment w:val="baseline"/>
      <w:outlineLvl w:val="2"/>
    </w:pPr>
    <w:rPr>
      <w:rFonts w:ascii="黑体" w:eastAsia="黑体"/>
      <w:kern w:val="21"/>
      <w:szCs w:val="20"/>
    </w:rPr>
  </w:style>
  <w:style w:type="paragraph" w:customStyle="1" w:styleId="277">
    <w:name w:val="附录标识"/>
    <w:basedOn w:val="1"/>
    <w:qFormat/>
    <w:uiPriority w:val="0"/>
    <w:pPr>
      <w:widowControl/>
      <w:numPr>
        <w:ilvl w:val="0"/>
        <w:numId w:val="6"/>
      </w:numPr>
      <w:shd w:val="clear" w:color="FFFFFF" w:fill="FFFFFF"/>
      <w:tabs>
        <w:tab w:val="left" w:pos="6405"/>
      </w:tabs>
      <w:spacing w:before="640" w:after="200" w:line="240" w:lineRule="auto"/>
      <w:jc w:val="center"/>
      <w:outlineLvl w:val="0"/>
    </w:pPr>
    <w:rPr>
      <w:rFonts w:ascii="黑体" w:eastAsia="黑体"/>
      <w:kern w:val="0"/>
      <w:szCs w:val="20"/>
    </w:rPr>
  </w:style>
  <w:style w:type="paragraph" w:customStyle="1" w:styleId="278">
    <w:name w:val="正文文本缩进 21"/>
    <w:basedOn w:val="1"/>
    <w:qFormat/>
    <w:uiPriority w:val="0"/>
    <w:pPr>
      <w:adjustRightInd w:val="0"/>
      <w:spacing w:before="240" w:line="480" w:lineRule="exact"/>
      <w:ind w:firstLine="480"/>
      <w:textAlignment w:val="baseline"/>
    </w:pPr>
    <w:rPr>
      <w:rFonts w:ascii="宋体"/>
      <w:szCs w:val="24"/>
    </w:rPr>
  </w:style>
  <w:style w:type="paragraph" w:customStyle="1" w:styleId="279">
    <w:name w:val="western"/>
    <w:basedOn w:val="1"/>
    <w:qFormat/>
    <w:uiPriority w:val="0"/>
    <w:pPr>
      <w:widowControl/>
      <w:spacing w:line="240" w:lineRule="auto"/>
    </w:pPr>
    <w:rPr>
      <w:rFonts w:ascii="Arial Unicode MS" w:hAnsi="Arial Unicode MS" w:eastAsia="Arial Unicode MS" w:cs="Arial Unicode MS"/>
      <w:kern w:val="0"/>
      <w:szCs w:val="24"/>
    </w:rPr>
  </w:style>
  <w:style w:type="paragraph" w:customStyle="1" w:styleId="280">
    <w:name w:val="Char Char Char Char Char Char Char Char Char Char"/>
    <w:basedOn w:val="1"/>
    <w:qFormat/>
    <w:uiPriority w:val="0"/>
    <w:pPr>
      <w:widowControl/>
      <w:spacing w:beforeLines="50" w:after="160" w:line="240" w:lineRule="exact"/>
      <w:ind w:firstLine="538" w:firstLineChars="192"/>
    </w:pPr>
    <w:rPr>
      <w:rFonts w:ascii="Tahoma" w:hAnsi="Tahoma"/>
      <w:kern w:val="0"/>
      <w:sz w:val="28"/>
      <w:szCs w:val="20"/>
      <w:shd w:val="clear" w:color="auto" w:fill="FF99CC"/>
      <w:lang w:eastAsia="en-US"/>
    </w:rPr>
  </w:style>
  <w:style w:type="paragraph" w:customStyle="1" w:styleId="281">
    <w:name w:val="正文文本缩进 31"/>
    <w:basedOn w:val="1"/>
    <w:qFormat/>
    <w:uiPriority w:val="0"/>
    <w:pPr>
      <w:adjustRightInd w:val="0"/>
      <w:spacing w:line="480" w:lineRule="exact"/>
      <w:ind w:firstLine="570"/>
      <w:textAlignment w:val="baseline"/>
    </w:pPr>
    <w:rPr>
      <w:rFonts w:hAnsi="宋体"/>
      <w:szCs w:val="24"/>
    </w:rPr>
  </w:style>
  <w:style w:type="paragraph" w:customStyle="1" w:styleId="282">
    <w:name w:val="段落中正文文本"/>
    <w:basedOn w:val="9"/>
    <w:qFormat/>
    <w:uiPriority w:val="0"/>
    <w:pPr>
      <w:keepNext/>
      <w:keepLines/>
      <w:widowControl w:val="0"/>
      <w:spacing w:before="312" w:after="156" w:line="320" w:lineRule="auto"/>
      <w:ind w:firstLine="0" w:firstLineChars="0"/>
      <w:jc w:val="both"/>
    </w:pPr>
    <w:rPr>
      <w:rFonts w:ascii="Arial" w:hAnsi="Arial" w:eastAsia="宋体"/>
      <w:b w:val="0"/>
      <w:kern w:val="2"/>
      <w:sz w:val="24"/>
      <w:szCs w:val="24"/>
    </w:rPr>
  </w:style>
  <w:style w:type="character" w:customStyle="1" w:styleId="283">
    <w:name w:val="a12"/>
    <w:basedOn w:val="67"/>
    <w:qFormat/>
    <w:uiPriority w:val="0"/>
  </w:style>
  <w:style w:type="paragraph" w:customStyle="1" w:styleId="284">
    <w:name w:val="Default"/>
    <w:link w:val="628"/>
    <w:qFormat/>
    <w:uiPriority w:val="0"/>
    <w:pPr>
      <w:widowControl w:val="0"/>
      <w:autoSpaceDE w:val="0"/>
      <w:autoSpaceDN w:val="0"/>
      <w:adjustRightInd w:val="0"/>
    </w:pPr>
    <w:rPr>
      <w:rFonts w:ascii="黑体" w:hAnsi="Times New Roman" w:eastAsia="黑体" w:cs="Times New Roman"/>
      <w:lang w:val="en-US" w:eastAsia="zh-CN" w:bidi="ar-SA"/>
    </w:rPr>
  </w:style>
  <w:style w:type="paragraph" w:customStyle="1" w:styleId="285">
    <w:name w:val="三级无标题条"/>
    <w:basedOn w:val="1"/>
    <w:qFormat/>
    <w:uiPriority w:val="0"/>
    <w:pPr>
      <w:numPr>
        <w:ilvl w:val="4"/>
        <w:numId w:val="7"/>
      </w:numPr>
      <w:spacing w:line="240" w:lineRule="auto"/>
    </w:pPr>
    <w:rPr>
      <w:szCs w:val="21"/>
    </w:rPr>
  </w:style>
  <w:style w:type="paragraph" w:customStyle="1" w:styleId="286">
    <w:name w:val="四级无标题条"/>
    <w:basedOn w:val="1"/>
    <w:qFormat/>
    <w:uiPriority w:val="0"/>
    <w:pPr>
      <w:numPr>
        <w:ilvl w:val="5"/>
        <w:numId w:val="7"/>
      </w:numPr>
      <w:spacing w:line="240" w:lineRule="auto"/>
    </w:pPr>
    <w:rPr>
      <w:szCs w:val="21"/>
    </w:rPr>
  </w:style>
  <w:style w:type="paragraph" w:customStyle="1" w:styleId="287">
    <w:name w:val="五级无标题条"/>
    <w:basedOn w:val="1"/>
    <w:qFormat/>
    <w:uiPriority w:val="0"/>
    <w:pPr>
      <w:numPr>
        <w:ilvl w:val="6"/>
        <w:numId w:val="7"/>
      </w:numPr>
      <w:spacing w:line="240" w:lineRule="auto"/>
    </w:pPr>
    <w:rPr>
      <w:szCs w:val="21"/>
    </w:rPr>
  </w:style>
  <w:style w:type="paragraph" w:customStyle="1" w:styleId="288">
    <w:name w:val="一级无标题条"/>
    <w:basedOn w:val="1"/>
    <w:qFormat/>
    <w:uiPriority w:val="0"/>
    <w:pPr>
      <w:numPr>
        <w:ilvl w:val="2"/>
        <w:numId w:val="7"/>
      </w:numPr>
      <w:spacing w:line="240" w:lineRule="auto"/>
    </w:pPr>
    <w:rPr>
      <w:szCs w:val="21"/>
    </w:rPr>
  </w:style>
  <w:style w:type="paragraph" w:customStyle="1" w:styleId="289">
    <w:name w:val="l_text"/>
    <w:basedOn w:val="1"/>
    <w:qFormat/>
    <w:uiPriority w:val="0"/>
    <w:pPr>
      <w:widowControl/>
      <w:overflowPunct w:val="0"/>
      <w:autoSpaceDE w:val="0"/>
      <w:autoSpaceDN w:val="0"/>
      <w:adjustRightInd w:val="0"/>
      <w:ind w:firstLine="561"/>
      <w:textAlignment w:val="baseline"/>
    </w:pPr>
    <w:rPr>
      <w:kern w:val="28"/>
      <w:sz w:val="28"/>
      <w:szCs w:val="28"/>
    </w:rPr>
  </w:style>
  <w:style w:type="paragraph" w:customStyle="1" w:styleId="290">
    <w:name w:val="图形对象"/>
    <w:basedOn w:val="1"/>
    <w:qFormat/>
    <w:uiPriority w:val="0"/>
    <w:pPr>
      <w:spacing w:line="240" w:lineRule="atLeast"/>
      <w:jc w:val="center"/>
    </w:pPr>
    <w:rPr>
      <w:sz w:val="18"/>
      <w:szCs w:val="20"/>
    </w:rPr>
  </w:style>
  <w:style w:type="paragraph" w:customStyle="1" w:styleId="291">
    <w:name w:val="author"/>
    <w:basedOn w:val="1"/>
    <w:qFormat/>
    <w:uiPriority w:val="0"/>
    <w:pPr>
      <w:widowControl/>
      <w:spacing w:beforeAutospacing="1" w:after="100" w:afterAutospacing="1" w:line="300" w:lineRule="atLeast"/>
    </w:pPr>
    <w:rPr>
      <w:b/>
      <w:bCs/>
      <w:kern w:val="0"/>
      <w:szCs w:val="24"/>
    </w:rPr>
  </w:style>
  <w:style w:type="paragraph" w:customStyle="1" w:styleId="292">
    <w:name w:val="环保"/>
    <w:basedOn w:val="50"/>
    <w:qFormat/>
    <w:uiPriority w:val="0"/>
    <w:pPr>
      <w:adjustRightInd w:val="0"/>
      <w:snapToGrid w:val="0"/>
      <w:spacing w:before="60" w:after="60" w:line="600" w:lineRule="exact"/>
      <w:ind w:left="0" w:leftChars="0"/>
    </w:pPr>
    <w:rPr>
      <w:rFonts w:ascii="宋体" w:hAnsi="宋体"/>
      <w:kern w:val="21"/>
      <w:sz w:val="21"/>
      <w:szCs w:val="20"/>
    </w:rPr>
  </w:style>
  <w:style w:type="character" w:customStyle="1" w:styleId="293">
    <w:name w:val="content1"/>
    <w:qFormat/>
    <w:uiPriority w:val="0"/>
    <w:rPr>
      <w:sz w:val="18"/>
      <w:szCs w:val="18"/>
    </w:rPr>
  </w:style>
  <w:style w:type="paragraph" w:customStyle="1" w:styleId="294">
    <w:name w:val="图框"/>
    <w:basedOn w:val="5"/>
    <w:qFormat/>
    <w:uiPriority w:val="0"/>
    <w:pPr>
      <w:autoSpaceDE w:val="0"/>
      <w:autoSpaceDN w:val="0"/>
      <w:adjustRightInd w:val="0"/>
      <w:spacing w:before="20" w:after="20" w:line="240" w:lineRule="auto"/>
      <w:jc w:val="center"/>
    </w:pPr>
    <w:rPr>
      <w:rFonts w:ascii="Arial" w:hAnsi="Arial"/>
      <w:b w:val="0"/>
      <w:bCs w:val="0"/>
      <w:color w:val="000000"/>
      <w:szCs w:val="20"/>
    </w:rPr>
  </w:style>
  <w:style w:type="paragraph" w:customStyle="1" w:styleId="295">
    <w:name w:val="小节标题"/>
    <w:basedOn w:val="1"/>
    <w:next w:val="1"/>
    <w:qFormat/>
    <w:uiPriority w:val="0"/>
    <w:pPr>
      <w:widowControl/>
      <w:spacing w:before="175" w:after="102" w:line="782" w:lineRule="atLeast"/>
    </w:pPr>
    <w:rPr>
      <w:rFonts w:eastAsia="黑体"/>
      <w:color w:val="000000"/>
      <w:kern w:val="0"/>
      <w:szCs w:val="20"/>
      <w:u w:color="000000"/>
    </w:rPr>
  </w:style>
  <w:style w:type="paragraph" w:customStyle="1" w:styleId="296">
    <w:name w:val="表格填充1"/>
    <w:basedOn w:val="1"/>
    <w:qFormat/>
    <w:uiPriority w:val="0"/>
    <w:pPr>
      <w:snapToGrid w:val="0"/>
      <w:spacing w:line="240" w:lineRule="auto"/>
      <w:jc w:val="center"/>
    </w:pPr>
    <w:rPr>
      <w:rFonts w:eastAsia="仿宋_GB2312"/>
      <w:snapToGrid w:val="0"/>
      <w:color w:val="000000"/>
      <w:sz w:val="30"/>
      <w:szCs w:val="32"/>
    </w:rPr>
  </w:style>
  <w:style w:type="character" w:customStyle="1" w:styleId="297">
    <w:name w:val="css33拷贝"/>
    <w:basedOn w:val="67"/>
    <w:qFormat/>
    <w:uiPriority w:val="0"/>
  </w:style>
  <w:style w:type="paragraph" w:customStyle="1" w:styleId="298">
    <w:name w:val="公式"/>
    <w:basedOn w:val="1"/>
    <w:next w:val="1"/>
    <w:qFormat/>
    <w:uiPriority w:val="0"/>
    <w:pPr>
      <w:snapToGrid w:val="0"/>
      <w:spacing w:before="120" w:after="120" w:line="240" w:lineRule="auto"/>
      <w:jc w:val="center"/>
    </w:pPr>
    <w:rPr>
      <w:rFonts w:eastAsia="仿宋_GB2312"/>
      <w:snapToGrid w:val="0"/>
      <w:color w:val="000000"/>
      <w:sz w:val="30"/>
      <w:szCs w:val="32"/>
    </w:rPr>
  </w:style>
  <w:style w:type="paragraph" w:customStyle="1" w:styleId="299">
    <w:name w:val="流程"/>
    <w:basedOn w:val="1"/>
    <w:qFormat/>
    <w:uiPriority w:val="0"/>
    <w:pPr>
      <w:adjustRightInd w:val="0"/>
      <w:snapToGrid w:val="0"/>
      <w:spacing w:line="240" w:lineRule="auto"/>
      <w:jc w:val="center"/>
    </w:pPr>
    <w:rPr>
      <w:rFonts w:eastAsia="仿宋_GB2312"/>
      <w:color w:val="000000"/>
      <w:szCs w:val="24"/>
    </w:rPr>
  </w:style>
  <w:style w:type="paragraph" w:customStyle="1" w:styleId="300">
    <w:name w:val="正文缩"/>
    <w:basedOn w:val="1"/>
    <w:qFormat/>
    <w:uiPriority w:val="0"/>
    <w:pPr>
      <w:adjustRightInd w:val="0"/>
      <w:snapToGrid w:val="0"/>
      <w:spacing w:line="480" w:lineRule="atLeast"/>
    </w:pPr>
    <w:rPr>
      <w:rFonts w:ascii="宋体"/>
      <w:snapToGrid w:val="0"/>
      <w:spacing w:val="6"/>
      <w:kern w:val="0"/>
      <w:sz w:val="28"/>
      <w:szCs w:val="24"/>
    </w:rPr>
  </w:style>
  <w:style w:type="paragraph" w:customStyle="1" w:styleId="301">
    <w:name w:val="表项"/>
    <w:basedOn w:val="1"/>
    <w:qFormat/>
    <w:uiPriority w:val="0"/>
    <w:pPr>
      <w:adjustRightInd w:val="0"/>
      <w:spacing w:before="60" w:after="60" w:line="288" w:lineRule="auto"/>
      <w:jc w:val="center"/>
      <w:textAlignment w:val="baseline"/>
    </w:pPr>
    <w:rPr>
      <w:rFonts w:eastAsia="楷体"/>
      <w:kern w:val="44"/>
      <w:sz w:val="18"/>
      <w:szCs w:val="20"/>
      <w:lang w:val="en-GB"/>
    </w:rPr>
  </w:style>
  <w:style w:type="paragraph" w:customStyle="1" w:styleId="302">
    <w:name w:val="宏福正文-2"/>
    <w:basedOn w:val="59"/>
    <w:qFormat/>
    <w:uiPriority w:val="0"/>
    <w:pPr>
      <w:widowControl w:val="0"/>
      <w:adjustRightInd w:val="0"/>
      <w:spacing w:before="240" w:after="0" w:line="400" w:lineRule="atLeast"/>
      <w:ind w:firstLine="567" w:firstLineChars="0"/>
      <w:textAlignment w:val="baseline"/>
    </w:pPr>
    <w:rPr>
      <w:kern w:val="2"/>
      <w:sz w:val="28"/>
      <w:szCs w:val="20"/>
      <w:lang w:eastAsia="zh-CN" w:bidi="ar-SA"/>
    </w:rPr>
  </w:style>
  <w:style w:type="paragraph" w:customStyle="1" w:styleId="303">
    <w:name w:val="宏福4"/>
    <w:basedOn w:val="302"/>
    <w:qFormat/>
    <w:uiPriority w:val="0"/>
    <w:pPr>
      <w:spacing w:before="0"/>
    </w:pPr>
  </w:style>
  <w:style w:type="character" w:customStyle="1" w:styleId="304">
    <w:name w:val="xb1"/>
    <w:qFormat/>
    <w:uiPriority w:val="0"/>
    <w:rPr>
      <w:sz w:val="20"/>
      <w:szCs w:val="20"/>
      <w:vertAlign w:val="subscript"/>
    </w:rPr>
  </w:style>
  <w:style w:type="character" w:customStyle="1" w:styleId="305">
    <w:name w:val="javascript"/>
    <w:basedOn w:val="67"/>
    <w:qFormat/>
    <w:uiPriority w:val="0"/>
  </w:style>
  <w:style w:type="character" w:customStyle="1" w:styleId="306">
    <w:name w:val="bb1"/>
    <w:qFormat/>
    <w:uiPriority w:val="0"/>
    <w:rPr>
      <w:sz w:val="30"/>
      <w:szCs w:val="30"/>
    </w:rPr>
  </w:style>
  <w:style w:type="paragraph" w:customStyle="1" w:styleId="307">
    <w:name w:val="新正文样式"/>
    <w:basedOn w:val="1"/>
    <w:qFormat/>
    <w:uiPriority w:val="0"/>
    <w:pPr>
      <w:tabs>
        <w:tab w:val="left" w:pos="567"/>
      </w:tabs>
      <w:ind w:firstLine="567"/>
    </w:pPr>
    <w:rPr>
      <w:spacing w:val="20"/>
      <w:szCs w:val="20"/>
    </w:rPr>
  </w:style>
  <w:style w:type="paragraph" w:customStyle="1" w:styleId="308">
    <w:name w:val="表内式样"/>
    <w:basedOn w:val="1"/>
    <w:qFormat/>
    <w:uiPriority w:val="0"/>
    <w:pPr>
      <w:spacing w:line="240" w:lineRule="exact"/>
      <w:ind w:left="-36" w:leftChars="-17" w:right="-105" w:rightChars="-50"/>
      <w:jc w:val="center"/>
    </w:pPr>
    <w:rPr>
      <w:rFonts w:ascii="宋体" w:hAnsi="宋体"/>
      <w:sz w:val="18"/>
      <w:szCs w:val="18"/>
    </w:rPr>
  </w:style>
  <w:style w:type="paragraph" w:customStyle="1" w:styleId="309">
    <w:name w:val="Char Char3 Char Char Char Char Char Char1 Char Char Char Char"/>
    <w:basedOn w:val="1"/>
    <w:qFormat/>
    <w:uiPriority w:val="0"/>
    <w:pPr>
      <w:widowControl/>
      <w:spacing w:after="160" w:line="240" w:lineRule="exact"/>
    </w:pPr>
    <w:rPr>
      <w:rFonts w:ascii="Verdana" w:hAnsi="Verdana" w:eastAsia="仿宋_GB2312"/>
      <w:kern w:val="0"/>
      <w:szCs w:val="20"/>
      <w:lang w:eastAsia="en-US"/>
    </w:rPr>
  </w:style>
  <w:style w:type="paragraph" w:customStyle="1" w:styleId="310">
    <w:name w:val="Char Char1 Char"/>
    <w:basedOn w:val="1"/>
    <w:qFormat/>
    <w:uiPriority w:val="0"/>
    <w:pPr>
      <w:widowControl/>
      <w:spacing w:after="160" w:line="240" w:lineRule="exact"/>
    </w:pPr>
    <w:rPr>
      <w:rFonts w:ascii="Verdana" w:hAnsi="Verdana" w:eastAsia="仿宋_GB2312"/>
      <w:kern w:val="0"/>
      <w:szCs w:val="20"/>
      <w:lang w:eastAsia="en-US"/>
    </w:rPr>
  </w:style>
  <w:style w:type="character" w:customStyle="1" w:styleId="311">
    <w:name w:val="orange1"/>
    <w:qFormat/>
    <w:uiPriority w:val="0"/>
    <w:rPr>
      <w:b/>
      <w:bCs/>
      <w:color w:val="FF3300"/>
      <w:sz w:val="21"/>
      <w:szCs w:val="21"/>
      <w:u w:val="none"/>
    </w:rPr>
  </w:style>
  <w:style w:type="paragraph" w:customStyle="1" w:styleId="312">
    <w:name w:val="样式 标题 3 + 自动设置"/>
    <w:basedOn w:val="6"/>
    <w:qFormat/>
    <w:uiPriority w:val="0"/>
    <w:pPr>
      <w:spacing w:line="440" w:lineRule="exact"/>
    </w:pPr>
    <w:rPr>
      <w:rFonts w:ascii="黑体" w:eastAsia="黑体"/>
      <w:sz w:val="24"/>
      <w:szCs w:val="20"/>
    </w:rPr>
  </w:style>
  <w:style w:type="character" w:customStyle="1" w:styleId="313">
    <w:name w:val="样式 标题 3 + 自动设置 Char"/>
    <w:qFormat/>
    <w:uiPriority w:val="0"/>
    <w:rPr>
      <w:rFonts w:ascii="黑体" w:eastAsia="黑体"/>
      <w:b/>
      <w:bCs/>
      <w:color w:val="0000FF"/>
      <w:kern w:val="2"/>
      <w:sz w:val="24"/>
      <w:lang w:val="en-US" w:eastAsia="zh-CN" w:bidi="ar-SA"/>
    </w:rPr>
  </w:style>
  <w:style w:type="paragraph" w:customStyle="1" w:styleId="314">
    <w:name w:val="6"/>
    <w:basedOn w:val="1"/>
    <w:next w:val="38"/>
    <w:qFormat/>
    <w:uiPriority w:val="0"/>
    <w:pPr>
      <w:spacing w:after="120" w:line="480" w:lineRule="auto"/>
      <w:ind w:left="420" w:leftChars="200"/>
    </w:pPr>
    <w:rPr>
      <w:szCs w:val="24"/>
    </w:rPr>
  </w:style>
  <w:style w:type="paragraph" w:customStyle="1" w:styleId="315">
    <w:name w:val="5"/>
    <w:basedOn w:val="1"/>
    <w:next w:val="19"/>
    <w:qFormat/>
    <w:uiPriority w:val="0"/>
    <w:pPr>
      <w:spacing w:line="440" w:lineRule="exact"/>
      <w:ind w:firstLine="420"/>
    </w:pPr>
    <w:rPr>
      <w:rFonts w:ascii="宋体"/>
      <w:szCs w:val="20"/>
    </w:rPr>
  </w:style>
  <w:style w:type="character" w:customStyle="1" w:styleId="316">
    <w:name w:val="f241"/>
    <w:qFormat/>
    <w:uiPriority w:val="0"/>
    <w:rPr>
      <w:sz w:val="29"/>
      <w:szCs w:val="29"/>
    </w:rPr>
  </w:style>
  <w:style w:type="character" w:customStyle="1" w:styleId="317">
    <w:name w:val="批注主题 Char"/>
    <w:link w:val="58"/>
    <w:qFormat/>
    <w:uiPriority w:val="0"/>
    <w:rPr>
      <w:rFonts w:ascii="Arial Narrow" w:hAnsi="Arial" w:eastAsia="宋体" w:cs="Times New Roman"/>
      <w:b/>
      <w:kern w:val="0"/>
      <w:sz w:val="24"/>
      <w:szCs w:val="20"/>
    </w:rPr>
  </w:style>
  <w:style w:type="paragraph" w:customStyle="1" w:styleId="318">
    <w:name w:val="表文"/>
    <w:basedOn w:val="1"/>
    <w:qFormat/>
    <w:uiPriority w:val="0"/>
    <w:pPr>
      <w:autoSpaceDE w:val="0"/>
      <w:autoSpaceDN w:val="0"/>
      <w:adjustRightInd w:val="0"/>
      <w:snapToGrid w:val="0"/>
      <w:spacing w:before="50" w:after="80" w:line="240" w:lineRule="auto"/>
      <w:jc w:val="center"/>
      <w:textAlignment w:val="baseline"/>
    </w:pPr>
    <w:rPr>
      <w:kern w:val="0"/>
      <w:szCs w:val="20"/>
    </w:rPr>
  </w:style>
  <w:style w:type="character" w:customStyle="1" w:styleId="319">
    <w:name w:val="grame"/>
    <w:basedOn w:val="67"/>
    <w:qFormat/>
    <w:uiPriority w:val="0"/>
  </w:style>
  <w:style w:type="paragraph" w:customStyle="1" w:styleId="320">
    <w:name w:val="环评表格样式"/>
    <w:basedOn w:val="1"/>
    <w:qFormat/>
    <w:uiPriority w:val="0"/>
    <w:pPr>
      <w:spacing w:line="680" w:lineRule="atLeast"/>
      <w:ind w:firstLine="573"/>
    </w:pPr>
    <w:rPr>
      <w:sz w:val="28"/>
      <w:szCs w:val="20"/>
    </w:rPr>
  </w:style>
  <w:style w:type="character" w:customStyle="1" w:styleId="321">
    <w:name w:val="HTML 预设格式 Char"/>
    <w:link w:val="55"/>
    <w:qFormat/>
    <w:uiPriority w:val="0"/>
    <w:rPr>
      <w:rFonts w:ascii="Arial Unicode MS" w:hAnsi="Arial Unicode MS" w:eastAsia="Arial Unicode MS" w:cs="Arial Unicode MS"/>
      <w:kern w:val="0"/>
      <w:sz w:val="20"/>
      <w:szCs w:val="20"/>
    </w:rPr>
  </w:style>
  <w:style w:type="paragraph" w:customStyle="1" w:styleId="322">
    <w:name w:val="章标题"/>
    <w:next w:val="185"/>
    <w:qFormat/>
    <w:uiPriority w:val="0"/>
    <w:pPr>
      <w:numPr>
        <w:ilvl w:val="1"/>
        <w:numId w:val="8"/>
      </w:numPr>
      <w:tabs>
        <w:tab w:val="left" w:pos="903"/>
      </w:tabs>
      <w:spacing w:before="50" w:after="50"/>
      <w:ind w:left="903" w:hanging="315"/>
      <w:jc w:val="both"/>
      <w:outlineLvl w:val="1"/>
    </w:pPr>
    <w:rPr>
      <w:rFonts w:ascii="黑体" w:hAnsi="Times New Roman" w:eastAsia="黑体" w:cs="黑体"/>
      <w:sz w:val="21"/>
      <w:szCs w:val="21"/>
      <w:lang w:val="en-US" w:eastAsia="zh-CN" w:bidi="ar-SA"/>
    </w:rPr>
  </w:style>
  <w:style w:type="paragraph" w:customStyle="1" w:styleId="323">
    <w:name w:val="前言、引言标题"/>
    <w:next w:val="1"/>
    <w:qFormat/>
    <w:uiPriority w:val="0"/>
    <w:pPr>
      <w:numPr>
        <w:ilvl w:val="0"/>
        <w:numId w:val="8"/>
      </w:numPr>
      <w:shd w:val="clear" w:color="FFFFFF" w:fill="FFFFFF"/>
      <w:tabs>
        <w:tab w:val="left" w:pos="903"/>
      </w:tabs>
      <w:spacing w:before="640" w:after="560"/>
      <w:ind w:left="903" w:hanging="315"/>
      <w:jc w:val="center"/>
      <w:outlineLvl w:val="0"/>
    </w:pPr>
    <w:rPr>
      <w:rFonts w:ascii="黑体" w:hAnsi="Times New Roman" w:eastAsia="黑体" w:cs="黑体"/>
      <w:sz w:val="32"/>
      <w:szCs w:val="32"/>
      <w:lang w:val="en-US" w:eastAsia="zh-CN" w:bidi="ar-SA"/>
    </w:rPr>
  </w:style>
  <w:style w:type="paragraph" w:customStyle="1" w:styleId="324">
    <w:name w:val="一级条标题"/>
    <w:basedOn w:val="322"/>
    <w:next w:val="1"/>
    <w:qFormat/>
    <w:uiPriority w:val="0"/>
    <w:pPr>
      <w:numPr>
        <w:ilvl w:val="2"/>
      </w:numPr>
      <w:tabs>
        <w:tab w:val="left" w:pos="1260"/>
      </w:tabs>
      <w:spacing w:before="0" w:after="0"/>
      <w:ind w:left="1260" w:hanging="420"/>
      <w:outlineLvl w:val="2"/>
    </w:pPr>
  </w:style>
  <w:style w:type="paragraph" w:customStyle="1" w:styleId="325">
    <w:name w:val="二级条标题"/>
    <w:basedOn w:val="324"/>
    <w:next w:val="1"/>
    <w:qFormat/>
    <w:uiPriority w:val="0"/>
    <w:pPr>
      <w:numPr>
        <w:ilvl w:val="3"/>
      </w:numPr>
      <w:tabs>
        <w:tab w:val="left" w:pos="1680"/>
      </w:tabs>
      <w:ind w:left="1680"/>
      <w:outlineLvl w:val="3"/>
    </w:pPr>
  </w:style>
  <w:style w:type="paragraph" w:customStyle="1" w:styleId="326">
    <w:name w:val="三级条标题"/>
    <w:basedOn w:val="325"/>
    <w:next w:val="1"/>
    <w:qFormat/>
    <w:uiPriority w:val="0"/>
    <w:pPr>
      <w:numPr>
        <w:ilvl w:val="4"/>
      </w:numPr>
      <w:tabs>
        <w:tab w:val="left" w:pos="2100"/>
      </w:tabs>
      <w:ind w:left="2100"/>
      <w:outlineLvl w:val="4"/>
    </w:pPr>
  </w:style>
  <w:style w:type="paragraph" w:customStyle="1" w:styleId="327">
    <w:name w:val="四级条标题"/>
    <w:basedOn w:val="326"/>
    <w:next w:val="1"/>
    <w:qFormat/>
    <w:uiPriority w:val="0"/>
    <w:pPr>
      <w:numPr>
        <w:ilvl w:val="5"/>
      </w:numPr>
      <w:tabs>
        <w:tab w:val="left" w:pos="2520"/>
      </w:tabs>
      <w:ind w:left="2520"/>
      <w:outlineLvl w:val="5"/>
    </w:pPr>
  </w:style>
  <w:style w:type="paragraph" w:customStyle="1" w:styleId="328">
    <w:name w:val="五级条标题"/>
    <w:basedOn w:val="327"/>
    <w:next w:val="1"/>
    <w:qFormat/>
    <w:uiPriority w:val="0"/>
    <w:pPr>
      <w:numPr>
        <w:ilvl w:val="6"/>
      </w:numPr>
      <w:tabs>
        <w:tab w:val="left" w:pos="2940"/>
      </w:tabs>
      <w:ind w:left="2940"/>
      <w:outlineLvl w:val="6"/>
    </w:pPr>
  </w:style>
  <w:style w:type="paragraph" w:customStyle="1" w:styleId="329">
    <w:name w:val="附录章标题"/>
    <w:next w:val="185"/>
    <w:qFormat/>
    <w:uiPriority w:val="0"/>
    <w:pPr>
      <w:wordWrap w:val="0"/>
      <w:overflowPunct w:val="0"/>
      <w:autoSpaceDE w:val="0"/>
      <w:spacing w:beforeLines="50" w:afterLines="50"/>
      <w:jc w:val="both"/>
      <w:textAlignment w:val="baseline"/>
      <w:outlineLvl w:val="1"/>
    </w:pPr>
    <w:rPr>
      <w:rFonts w:ascii="黑体" w:hAnsi="Times New Roman" w:eastAsia="黑体" w:cs="黑体"/>
      <w:kern w:val="21"/>
      <w:sz w:val="21"/>
      <w:szCs w:val="21"/>
      <w:lang w:val="en-US" w:eastAsia="zh-CN" w:bidi="ar-SA"/>
    </w:rPr>
  </w:style>
  <w:style w:type="paragraph" w:customStyle="1" w:styleId="330">
    <w:name w:val="附录二级条标题"/>
    <w:basedOn w:val="276"/>
    <w:next w:val="185"/>
    <w:qFormat/>
    <w:uiPriority w:val="0"/>
    <w:pPr>
      <w:tabs>
        <w:tab w:val="clear" w:pos="828"/>
        <w:tab w:val="clear" w:pos="1260"/>
        <w:tab w:val="clear" w:pos="1812"/>
        <w:tab w:val="clear" w:pos="2160"/>
      </w:tabs>
      <w:ind w:left="360" w:hanging="360"/>
      <w:outlineLvl w:val="3"/>
    </w:pPr>
    <w:rPr>
      <w:rFonts w:cs="黑体"/>
      <w:szCs w:val="21"/>
    </w:rPr>
  </w:style>
  <w:style w:type="paragraph" w:customStyle="1" w:styleId="331">
    <w:name w:val="附录三级条标题"/>
    <w:basedOn w:val="330"/>
    <w:next w:val="185"/>
    <w:qFormat/>
    <w:uiPriority w:val="0"/>
    <w:pPr>
      <w:tabs>
        <w:tab w:val="left" w:pos="1068"/>
      </w:tabs>
      <w:ind w:left="1068"/>
      <w:outlineLvl w:val="4"/>
    </w:pPr>
  </w:style>
  <w:style w:type="paragraph" w:customStyle="1" w:styleId="332">
    <w:name w:val="附录四级条标题"/>
    <w:basedOn w:val="331"/>
    <w:next w:val="185"/>
    <w:qFormat/>
    <w:uiPriority w:val="0"/>
    <w:pPr>
      <w:tabs>
        <w:tab w:val="left" w:pos="960"/>
        <w:tab w:val="clear" w:pos="1068"/>
      </w:tabs>
      <w:ind w:left="960"/>
      <w:outlineLvl w:val="5"/>
    </w:pPr>
  </w:style>
  <w:style w:type="paragraph" w:customStyle="1" w:styleId="333">
    <w:name w:val="附录五级条标题"/>
    <w:basedOn w:val="332"/>
    <w:next w:val="185"/>
    <w:qFormat/>
    <w:uiPriority w:val="0"/>
    <w:pPr>
      <w:tabs>
        <w:tab w:val="left" w:pos="435"/>
        <w:tab w:val="clear" w:pos="960"/>
      </w:tabs>
      <w:ind w:left="435" w:hanging="165"/>
      <w:outlineLvl w:val="6"/>
    </w:pPr>
  </w:style>
  <w:style w:type="paragraph" w:customStyle="1" w:styleId="334">
    <w:name w:val="列项——"/>
    <w:qFormat/>
    <w:uiPriority w:val="0"/>
    <w:pPr>
      <w:widowControl w:val="0"/>
      <w:numPr>
        <w:ilvl w:val="0"/>
        <w:numId w:val="9"/>
      </w:numPr>
      <w:tabs>
        <w:tab w:val="left" w:pos="854"/>
      </w:tabs>
      <w:ind w:left="200" w:leftChars="200" w:hanging="200" w:hangingChars="200"/>
      <w:jc w:val="both"/>
    </w:pPr>
    <w:rPr>
      <w:rFonts w:ascii="宋体" w:hAnsi="Times New Roman" w:eastAsia="宋体" w:cs="宋体"/>
      <w:sz w:val="21"/>
      <w:szCs w:val="21"/>
      <w:lang w:val="en-US" w:eastAsia="zh-CN" w:bidi="ar-SA"/>
    </w:rPr>
  </w:style>
  <w:style w:type="paragraph" w:customStyle="1" w:styleId="335">
    <w:name w:val="列项·"/>
    <w:qFormat/>
    <w:uiPriority w:val="0"/>
    <w:pPr>
      <w:numPr>
        <w:ilvl w:val="0"/>
        <w:numId w:val="10"/>
      </w:numPr>
      <w:tabs>
        <w:tab w:val="left" w:pos="840"/>
      </w:tabs>
      <w:ind w:left="840" w:leftChars="200" w:hanging="420" w:hangingChars="200"/>
      <w:jc w:val="both"/>
    </w:pPr>
    <w:rPr>
      <w:rFonts w:ascii="宋体" w:hAnsi="Times New Roman" w:eastAsia="宋体" w:cs="宋体"/>
      <w:sz w:val="21"/>
      <w:szCs w:val="21"/>
      <w:lang w:val="en-US" w:eastAsia="zh-CN" w:bidi="ar-SA"/>
    </w:rPr>
  </w:style>
  <w:style w:type="paragraph" w:customStyle="1" w:styleId="336">
    <w:name w:val="示例"/>
    <w:next w:val="185"/>
    <w:qFormat/>
    <w:uiPriority w:val="0"/>
    <w:pPr>
      <w:numPr>
        <w:ilvl w:val="0"/>
        <w:numId w:val="11"/>
      </w:numPr>
      <w:tabs>
        <w:tab w:val="left" w:pos="816"/>
      </w:tabs>
      <w:ind w:firstLine="419" w:firstLineChars="233"/>
      <w:jc w:val="both"/>
    </w:pPr>
    <w:rPr>
      <w:rFonts w:ascii="宋体" w:hAnsi="Times New Roman" w:eastAsia="宋体" w:cs="宋体"/>
      <w:sz w:val="18"/>
      <w:szCs w:val="18"/>
      <w:lang w:val="en-US" w:eastAsia="zh-CN" w:bidi="ar-SA"/>
    </w:rPr>
  </w:style>
  <w:style w:type="paragraph" w:customStyle="1" w:styleId="337">
    <w:name w:val="正文表标题"/>
    <w:next w:val="185"/>
    <w:qFormat/>
    <w:uiPriority w:val="0"/>
    <w:pPr>
      <w:numPr>
        <w:ilvl w:val="0"/>
        <w:numId w:val="12"/>
      </w:numPr>
      <w:jc w:val="center"/>
    </w:pPr>
    <w:rPr>
      <w:rFonts w:ascii="黑体" w:hAnsi="Times New Roman" w:eastAsia="黑体" w:cs="黑体"/>
      <w:sz w:val="21"/>
      <w:szCs w:val="21"/>
      <w:lang w:val="en-US" w:eastAsia="zh-CN" w:bidi="ar-SA"/>
    </w:rPr>
  </w:style>
  <w:style w:type="paragraph" w:customStyle="1" w:styleId="338">
    <w:name w:val="正文图标题"/>
    <w:next w:val="185"/>
    <w:qFormat/>
    <w:uiPriority w:val="0"/>
    <w:pPr>
      <w:numPr>
        <w:ilvl w:val="0"/>
        <w:numId w:val="13"/>
      </w:numPr>
      <w:jc w:val="center"/>
    </w:pPr>
    <w:rPr>
      <w:rFonts w:ascii="黑体" w:hAnsi="Times New Roman" w:eastAsia="黑体" w:cs="黑体"/>
      <w:sz w:val="21"/>
      <w:szCs w:val="21"/>
      <w:lang w:val="en-US" w:eastAsia="zh-CN" w:bidi="ar-SA"/>
    </w:rPr>
  </w:style>
  <w:style w:type="paragraph" w:customStyle="1" w:styleId="339">
    <w:name w:val="注："/>
    <w:next w:val="185"/>
    <w:qFormat/>
    <w:uiPriority w:val="0"/>
    <w:pPr>
      <w:widowControl w:val="0"/>
      <w:numPr>
        <w:ilvl w:val="0"/>
        <w:numId w:val="14"/>
      </w:numPr>
      <w:autoSpaceDE w:val="0"/>
      <w:autoSpaceDN w:val="0"/>
      <w:jc w:val="both"/>
    </w:pPr>
    <w:rPr>
      <w:rFonts w:ascii="宋体" w:hAnsi="Times New Roman" w:eastAsia="宋体" w:cs="宋体"/>
      <w:sz w:val="18"/>
      <w:szCs w:val="18"/>
      <w:lang w:val="en-US" w:eastAsia="zh-CN" w:bidi="ar-SA"/>
    </w:rPr>
  </w:style>
  <w:style w:type="paragraph" w:customStyle="1" w:styleId="340">
    <w:name w:val="注×："/>
    <w:qFormat/>
    <w:uiPriority w:val="0"/>
    <w:pPr>
      <w:widowControl w:val="0"/>
      <w:numPr>
        <w:ilvl w:val="0"/>
        <w:numId w:val="15"/>
      </w:numPr>
      <w:tabs>
        <w:tab w:val="left" w:pos="630"/>
      </w:tabs>
      <w:autoSpaceDE w:val="0"/>
      <w:autoSpaceDN w:val="0"/>
      <w:jc w:val="both"/>
    </w:pPr>
    <w:rPr>
      <w:rFonts w:ascii="宋体" w:hAnsi="Times New Roman" w:eastAsia="宋体" w:cs="宋体"/>
      <w:sz w:val="18"/>
      <w:szCs w:val="18"/>
      <w:lang w:val="en-US" w:eastAsia="zh-CN" w:bidi="ar-SA"/>
    </w:rPr>
  </w:style>
  <w:style w:type="paragraph" w:customStyle="1" w:styleId="341">
    <w:name w:val="正文文字2"/>
    <w:basedOn w:val="26"/>
    <w:qFormat/>
    <w:uiPriority w:val="0"/>
    <w:pPr>
      <w:widowControl w:val="0"/>
      <w:spacing w:after="0" w:line="240" w:lineRule="auto"/>
      <w:ind w:firstLine="0" w:firstLineChars="0"/>
      <w:jc w:val="center"/>
    </w:pPr>
    <w:rPr>
      <w:rFonts w:eastAsia="宋体"/>
      <w:kern w:val="2"/>
      <w:szCs w:val="20"/>
      <w:lang w:eastAsia="zh-CN" w:bidi="ar-SA"/>
    </w:rPr>
  </w:style>
  <w:style w:type="paragraph" w:customStyle="1" w:styleId="342">
    <w:name w:val="表标题1"/>
    <w:basedOn w:val="207"/>
    <w:qFormat/>
    <w:uiPriority w:val="0"/>
    <w:pPr>
      <w:spacing w:beforeLines="50" w:afterLines="50" w:line="360" w:lineRule="auto"/>
      <w:jc w:val="left"/>
    </w:pPr>
    <w:rPr>
      <w:rFonts w:ascii="Times New Roman" w:eastAsia="楷体_GB2312"/>
      <w:sz w:val="44"/>
    </w:rPr>
  </w:style>
  <w:style w:type="paragraph" w:customStyle="1" w:styleId="343">
    <w:name w:val="Char Char Char Char Char Char1 Char Char Char Char Char Char Char Char Char Char Char Char Char Char Char Char Char Char Char Char Char Char"/>
    <w:basedOn w:val="1"/>
    <w:qFormat/>
    <w:uiPriority w:val="0"/>
    <w:pPr>
      <w:spacing w:line="240" w:lineRule="auto"/>
    </w:pPr>
    <w:rPr>
      <w:szCs w:val="24"/>
    </w:rPr>
  </w:style>
  <w:style w:type="paragraph" w:customStyle="1" w:styleId="344">
    <w:name w:val="Char Char Char Char Char Char"/>
    <w:basedOn w:val="1"/>
    <w:next w:val="3"/>
    <w:qFormat/>
    <w:uiPriority w:val="0"/>
    <w:pPr>
      <w:spacing w:line="240" w:lineRule="auto"/>
    </w:pPr>
    <w:rPr>
      <w:sz w:val="28"/>
      <w:szCs w:val="28"/>
    </w:rPr>
  </w:style>
  <w:style w:type="character" w:customStyle="1" w:styleId="345">
    <w:name w:val="宏文本 Char"/>
    <w:link w:val="3"/>
    <w:qFormat/>
    <w:uiPriority w:val="0"/>
    <w:rPr>
      <w:rFonts w:ascii="Courier New" w:hAnsi="Courier New" w:cs="Courier New"/>
      <w:kern w:val="2"/>
      <w:sz w:val="24"/>
      <w:szCs w:val="24"/>
      <w:lang w:val="en-US" w:eastAsia="zh-CN" w:bidi="ar-SA"/>
    </w:rPr>
  </w:style>
  <w:style w:type="paragraph" w:customStyle="1" w:styleId="346">
    <w:name w:val="txtBox Char"/>
    <w:basedOn w:val="1"/>
    <w:qFormat/>
    <w:uiPriority w:val="0"/>
    <w:pPr>
      <w:spacing w:line="240" w:lineRule="auto"/>
      <w:jc w:val="center"/>
    </w:pPr>
    <w:rPr>
      <w:szCs w:val="24"/>
    </w:rPr>
  </w:style>
  <w:style w:type="paragraph" w:customStyle="1" w:styleId="347">
    <w:name w:val="样式 正文首行缩进正文首行缩进 Char + 段前: 0.5 行"/>
    <w:basedOn w:val="59"/>
    <w:qFormat/>
    <w:uiPriority w:val="0"/>
    <w:pPr>
      <w:widowControl w:val="0"/>
      <w:spacing w:beforeLines="50" w:after="0" w:line="360" w:lineRule="auto"/>
      <w:ind w:firstLine="567" w:firstLineChars="0"/>
      <w:jc w:val="both"/>
    </w:pPr>
    <w:rPr>
      <w:kern w:val="2"/>
      <w:sz w:val="28"/>
      <w:szCs w:val="20"/>
      <w:lang w:eastAsia="zh-CN" w:bidi="ar-SA"/>
    </w:rPr>
  </w:style>
  <w:style w:type="character" w:customStyle="1" w:styleId="348">
    <w:name w:val="bw1"/>
    <w:qFormat/>
    <w:uiPriority w:val="0"/>
    <w:rPr>
      <w:color w:val="000000"/>
      <w:sz w:val="24"/>
      <w:szCs w:val="24"/>
    </w:rPr>
  </w:style>
  <w:style w:type="paragraph" w:customStyle="1" w:styleId="349">
    <w:name w:val="15"/>
    <w:basedOn w:val="1"/>
    <w:next w:val="1"/>
    <w:qFormat/>
    <w:uiPriority w:val="0"/>
    <w:pPr>
      <w:snapToGrid w:val="0"/>
      <w:spacing w:line="288" w:lineRule="auto"/>
      <w:ind w:firstLine="480"/>
    </w:pPr>
    <w:rPr>
      <w:rFonts w:ascii="宋体" w:hAnsi="宋体"/>
      <w:szCs w:val="20"/>
    </w:rPr>
  </w:style>
  <w:style w:type="paragraph" w:customStyle="1" w:styleId="350">
    <w:name w:val="三级标题"/>
    <w:next w:val="1"/>
    <w:link w:val="351"/>
    <w:qFormat/>
    <w:uiPriority w:val="0"/>
    <w:pPr>
      <w:spacing w:beforeLines="30" w:afterLines="30"/>
    </w:pPr>
    <w:rPr>
      <w:rFonts w:ascii="Times New Roman" w:hAnsi="Times New Roman" w:eastAsia="黑体" w:cs="Times New Roman"/>
      <w:kern w:val="2"/>
      <w:sz w:val="28"/>
      <w:szCs w:val="24"/>
      <w:lang w:val="en-US" w:eastAsia="zh-CN" w:bidi="ar-SA"/>
    </w:rPr>
  </w:style>
  <w:style w:type="character" w:customStyle="1" w:styleId="351">
    <w:name w:val="三级标题 Char"/>
    <w:link w:val="350"/>
    <w:qFormat/>
    <w:uiPriority w:val="0"/>
    <w:rPr>
      <w:rFonts w:ascii="Times New Roman" w:hAnsi="Times New Roman" w:eastAsia="黑体"/>
      <w:kern w:val="2"/>
      <w:sz w:val="28"/>
      <w:szCs w:val="24"/>
      <w:lang w:val="en-US" w:eastAsia="zh-CN" w:bidi="ar-SA"/>
    </w:rPr>
  </w:style>
  <w:style w:type="paragraph" w:customStyle="1" w:styleId="352">
    <w:name w:val="Char Char Char1"/>
    <w:basedOn w:val="1"/>
    <w:qFormat/>
    <w:uiPriority w:val="0"/>
    <w:pPr>
      <w:spacing w:line="240" w:lineRule="auto"/>
    </w:pPr>
    <w:rPr>
      <w:szCs w:val="24"/>
    </w:rPr>
  </w:style>
  <w:style w:type="paragraph" w:customStyle="1" w:styleId="353">
    <w:name w:val="Char Char3 Char Char Char Char Char Char1 Char Char Char Char Char Char Char"/>
    <w:basedOn w:val="1"/>
    <w:qFormat/>
    <w:uiPriority w:val="0"/>
    <w:pPr>
      <w:widowControl/>
      <w:spacing w:after="160" w:line="240" w:lineRule="exact"/>
    </w:pPr>
    <w:rPr>
      <w:rFonts w:ascii="Verdana" w:hAnsi="Verdana" w:eastAsia="仿宋_GB2312"/>
      <w:kern w:val="0"/>
      <w:szCs w:val="20"/>
      <w:lang w:eastAsia="en-US"/>
    </w:rPr>
  </w:style>
  <w:style w:type="paragraph" w:customStyle="1" w:styleId="354">
    <w:name w:val="标准正文 Char"/>
    <w:basedOn w:val="1"/>
    <w:link w:val="355"/>
    <w:qFormat/>
    <w:uiPriority w:val="0"/>
    <w:pPr>
      <w:ind w:firstLine="560"/>
    </w:pPr>
    <w:rPr>
      <w:kern w:val="0"/>
      <w:sz w:val="28"/>
      <w:szCs w:val="28"/>
    </w:rPr>
  </w:style>
  <w:style w:type="character" w:customStyle="1" w:styleId="355">
    <w:name w:val="标准正文 Char Char"/>
    <w:link w:val="354"/>
    <w:qFormat/>
    <w:uiPriority w:val="0"/>
    <w:rPr>
      <w:rFonts w:ascii="Times New Roman" w:hAnsi="Times New Roman" w:eastAsia="宋体" w:cs="Times New Roman"/>
      <w:sz w:val="28"/>
      <w:szCs w:val="28"/>
    </w:rPr>
  </w:style>
  <w:style w:type="paragraph" w:customStyle="1" w:styleId="356">
    <w:name w:val="Char2 Char Char Char"/>
    <w:basedOn w:val="1"/>
    <w:qFormat/>
    <w:uiPriority w:val="0"/>
    <w:pPr>
      <w:spacing w:line="240" w:lineRule="auto"/>
    </w:pPr>
    <w:rPr>
      <w:szCs w:val="24"/>
    </w:rPr>
  </w:style>
  <w:style w:type="paragraph" w:customStyle="1" w:styleId="357">
    <w:name w:val="样式 标题 3  Times New Roman"/>
    <w:basedOn w:val="1"/>
    <w:link w:val="358"/>
    <w:qFormat/>
    <w:uiPriority w:val="0"/>
    <w:pPr>
      <w:keepNext/>
      <w:keepLines/>
      <w:tabs>
        <w:tab w:val="left" w:pos="709"/>
      </w:tabs>
      <w:spacing w:before="120" w:after="120"/>
      <w:ind w:left="709" w:hanging="709"/>
      <w:outlineLvl w:val="2"/>
    </w:pPr>
    <w:rPr>
      <w:rFonts w:eastAsia="黑体"/>
      <w:b/>
      <w:bCs/>
      <w:kern w:val="0"/>
      <w:szCs w:val="20"/>
    </w:rPr>
  </w:style>
  <w:style w:type="character" w:customStyle="1" w:styleId="358">
    <w:name w:val="样式 标题 3  Times New Roman Char"/>
    <w:link w:val="357"/>
    <w:qFormat/>
    <w:uiPriority w:val="0"/>
    <w:rPr>
      <w:rFonts w:ascii="Times New Roman" w:hAnsi="Times New Roman" w:eastAsia="黑体" w:cs="宋体"/>
      <w:b/>
      <w:bCs/>
      <w:sz w:val="24"/>
      <w:szCs w:val="20"/>
    </w:rPr>
  </w:style>
  <w:style w:type="character" w:customStyle="1" w:styleId="359">
    <w:name w:val="上标"/>
    <w:qFormat/>
    <w:uiPriority w:val="0"/>
    <w:rPr>
      <w:vertAlign w:val="superscript"/>
    </w:rPr>
  </w:style>
  <w:style w:type="paragraph" w:customStyle="1" w:styleId="360">
    <w:name w:val="缩进正文"/>
    <w:basedOn w:val="1"/>
    <w:qFormat/>
    <w:uiPriority w:val="0"/>
    <w:pPr>
      <w:adjustRightInd w:val="0"/>
      <w:snapToGrid w:val="0"/>
      <w:spacing w:line="580" w:lineRule="atLeast"/>
      <w:ind w:firstLine="482"/>
    </w:pPr>
    <w:rPr>
      <w:b/>
      <w:szCs w:val="20"/>
    </w:rPr>
  </w:style>
  <w:style w:type="paragraph" w:customStyle="1" w:styleId="361">
    <w:name w:val="Char Char Char1 Char"/>
    <w:basedOn w:val="1"/>
    <w:qFormat/>
    <w:uiPriority w:val="0"/>
    <w:pPr>
      <w:spacing w:line="240" w:lineRule="auto"/>
    </w:pPr>
    <w:rPr>
      <w:szCs w:val="24"/>
    </w:rPr>
  </w:style>
  <w:style w:type="character" w:customStyle="1" w:styleId="362">
    <w:name w:val="正文文字 Char Char"/>
    <w:qFormat/>
    <w:uiPriority w:val="0"/>
    <w:rPr>
      <w:rFonts w:ascii="Arial" w:hAnsi="Arial" w:eastAsia="宋体"/>
      <w:kern w:val="2"/>
      <w:sz w:val="13"/>
      <w:szCs w:val="24"/>
      <w:lang w:val="en-US" w:eastAsia="zh-CN" w:bidi="ar-SA"/>
    </w:rPr>
  </w:style>
  <w:style w:type="character" w:customStyle="1" w:styleId="363">
    <w:name w:val="正文5号 Char Char"/>
    <w:qFormat/>
    <w:uiPriority w:val="0"/>
    <w:rPr>
      <w:rFonts w:ascii="Arial" w:hAnsi="Arial" w:eastAsia="宋体"/>
      <w:kern w:val="2"/>
      <w:sz w:val="21"/>
      <w:szCs w:val="24"/>
      <w:lang w:val="en-US" w:eastAsia="zh-CN" w:bidi="ar-SA"/>
    </w:rPr>
  </w:style>
  <w:style w:type="character" w:customStyle="1" w:styleId="364">
    <w:name w:val="表内文字 Char"/>
    <w:qFormat/>
    <w:uiPriority w:val="0"/>
    <w:rPr>
      <w:rFonts w:ascii="宋体" w:hAnsi="Courier New" w:eastAsia="宋体" w:cs="Courier New"/>
      <w:kern w:val="2"/>
      <w:sz w:val="21"/>
      <w:szCs w:val="21"/>
      <w:lang w:val="en-US" w:eastAsia="zh-CN" w:bidi="ar-SA"/>
    </w:rPr>
  </w:style>
  <w:style w:type="paragraph" w:customStyle="1" w:styleId="365">
    <w:name w:val="Char Char Char Char Char Char Char Char Char1 Char Char Char Char Char Char Char Char Char Char Char"/>
    <w:basedOn w:val="1"/>
    <w:qFormat/>
    <w:uiPriority w:val="0"/>
    <w:pPr>
      <w:spacing w:line="240" w:lineRule="auto"/>
    </w:pPr>
    <w:rPr>
      <w:szCs w:val="21"/>
    </w:rPr>
  </w:style>
  <w:style w:type="character" w:customStyle="1" w:styleId="366">
    <w:name w:val="正文(缩进) Char"/>
    <w:qFormat/>
    <w:uiPriority w:val="0"/>
    <w:rPr>
      <w:rFonts w:ascii="宋体" w:eastAsia="宋体"/>
      <w:kern w:val="2"/>
      <w:sz w:val="24"/>
      <w:lang w:val="en-US" w:eastAsia="zh-CN" w:bidi="ar-SA"/>
    </w:rPr>
  </w:style>
  <w:style w:type="paragraph" w:customStyle="1" w:styleId="367">
    <w:name w:val="Char Char Char Char Char Char Char Char Char1 Char Char Char Char Char Char Char Char Char Char"/>
    <w:basedOn w:val="1"/>
    <w:qFormat/>
    <w:uiPriority w:val="0"/>
    <w:pPr>
      <w:spacing w:line="240" w:lineRule="auto"/>
    </w:pPr>
    <w:rPr>
      <w:szCs w:val="21"/>
    </w:rPr>
  </w:style>
  <w:style w:type="paragraph" w:customStyle="1" w:styleId="368">
    <w:name w:val="Char Char Char Char1"/>
    <w:basedOn w:val="1"/>
    <w:qFormat/>
    <w:uiPriority w:val="0"/>
    <w:pPr>
      <w:spacing w:line="240" w:lineRule="auto"/>
    </w:pPr>
    <w:rPr>
      <w:szCs w:val="24"/>
    </w:rPr>
  </w:style>
  <w:style w:type="paragraph" w:customStyle="1" w:styleId="369">
    <w:name w:val="lyy正文"/>
    <w:basedOn w:val="19"/>
    <w:qFormat/>
    <w:uiPriority w:val="0"/>
    <w:pPr>
      <w:widowControl w:val="0"/>
      <w:spacing w:line="440" w:lineRule="exact"/>
      <w:ind w:firstLine="0" w:firstLineChars="0"/>
      <w:jc w:val="both"/>
    </w:pPr>
    <w:rPr>
      <w:rFonts w:ascii="宋体"/>
      <w:kern w:val="2"/>
      <w:szCs w:val="20"/>
      <w:lang w:eastAsia="zh-CN" w:bidi="ar-SA"/>
    </w:rPr>
  </w:style>
  <w:style w:type="paragraph" w:customStyle="1" w:styleId="370">
    <w:name w:val="xx"/>
    <w:basedOn w:val="38"/>
    <w:qFormat/>
    <w:uiPriority w:val="0"/>
    <w:pPr>
      <w:widowControl w:val="0"/>
      <w:spacing w:after="0" w:line="360" w:lineRule="auto"/>
      <w:ind w:left="0" w:leftChars="0" w:firstLine="425"/>
      <w:jc w:val="both"/>
    </w:pPr>
    <w:rPr>
      <w:rFonts w:ascii="Times New Roman" w:hAnsi="Times New Roman"/>
      <w:kern w:val="2"/>
      <w:szCs w:val="20"/>
      <w:lang w:eastAsia="zh-CN" w:bidi="ar-SA"/>
    </w:rPr>
  </w:style>
  <w:style w:type="paragraph" w:customStyle="1" w:styleId="371">
    <w:name w:val="zg1"/>
    <w:basedOn w:val="1"/>
    <w:qFormat/>
    <w:uiPriority w:val="0"/>
    <w:pPr>
      <w:ind w:firstLine="425"/>
    </w:pPr>
    <w:rPr>
      <w:szCs w:val="20"/>
    </w:rPr>
  </w:style>
  <w:style w:type="paragraph" w:customStyle="1" w:styleId="372">
    <w:name w:val="Text1"/>
    <w:basedOn w:val="1"/>
    <w:qFormat/>
    <w:uiPriority w:val="0"/>
    <w:pPr>
      <w:widowControl/>
      <w:tabs>
        <w:tab w:val="left" w:pos="1701"/>
        <w:tab w:val="left" w:pos="4536"/>
        <w:tab w:val="left" w:pos="5103"/>
      </w:tabs>
      <w:spacing w:line="240" w:lineRule="auto"/>
      <w:ind w:left="1418"/>
    </w:pPr>
    <w:rPr>
      <w:rFonts w:ascii="Arial" w:hAnsi="Arial"/>
      <w:kern w:val="0"/>
      <w:sz w:val="22"/>
      <w:szCs w:val="20"/>
      <w:lang w:val="en-GB" w:eastAsia="de-DE"/>
    </w:rPr>
  </w:style>
  <w:style w:type="paragraph" w:customStyle="1" w:styleId="373">
    <w:name w:val="Technik-text"/>
    <w:basedOn w:val="1"/>
    <w:qFormat/>
    <w:uiPriority w:val="0"/>
    <w:pPr>
      <w:widowControl/>
      <w:tabs>
        <w:tab w:val="left" w:pos="1985"/>
        <w:tab w:val="left" w:pos="4820"/>
      </w:tabs>
      <w:spacing w:line="240" w:lineRule="auto"/>
      <w:ind w:left="1701"/>
    </w:pPr>
    <w:rPr>
      <w:rFonts w:ascii="Arial" w:hAnsi="Arial"/>
      <w:kern w:val="0"/>
      <w:sz w:val="22"/>
      <w:szCs w:val="20"/>
      <w:lang w:val="en-GB" w:eastAsia="de-DE"/>
    </w:rPr>
  </w:style>
  <w:style w:type="paragraph" w:customStyle="1" w:styleId="374">
    <w:name w:val="Technik-über."/>
    <w:basedOn w:val="1"/>
    <w:next w:val="373"/>
    <w:qFormat/>
    <w:uiPriority w:val="0"/>
    <w:pPr>
      <w:widowControl/>
      <w:tabs>
        <w:tab w:val="right" w:pos="1134"/>
        <w:tab w:val="left" w:pos="1702"/>
      </w:tabs>
      <w:spacing w:after="240" w:line="240" w:lineRule="auto"/>
      <w:ind w:right="1134"/>
    </w:pPr>
    <w:rPr>
      <w:rFonts w:ascii="Arial" w:hAnsi="Arial"/>
      <w:b/>
      <w:kern w:val="0"/>
      <w:sz w:val="22"/>
      <w:szCs w:val="20"/>
      <w:lang w:val="de-DE" w:eastAsia="de-DE"/>
    </w:rPr>
  </w:style>
  <w:style w:type="paragraph" w:customStyle="1" w:styleId="375">
    <w:name w:val="Technik-text1"/>
    <w:basedOn w:val="373"/>
    <w:qFormat/>
    <w:uiPriority w:val="0"/>
    <w:pPr>
      <w:tabs>
        <w:tab w:val="left" w:pos="4537"/>
        <w:tab w:val="clear" w:pos="1985"/>
        <w:tab w:val="clear" w:pos="4820"/>
      </w:tabs>
      <w:spacing w:after="240"/>
      <w:ind w:right="1134"/>
      <w:jc w:val="both"/>
    </w:pPr>
    <w:rPr>
      <w:b/>
      <w:lang w:val="de-DE"/>
    </w:rPr>
  </w:style>
  <w:style w:type="character" w:customStyle="1" w:styleId="376">
    <w:name w:val="Technik-text Char"/>
    <w:qFormat/>
    <w:uiPriority w:val="0"/>
    <w:rPr>
      <w:rFonts w:ascii="Arial" w:hAnsi="Arial"/>
      <w:sz w:val="22"/>
      <w:lang w:val="en-GB" w:eastAsia="de-DE" w:bidi="ar-SA"/>
    </w:rPr>
  </w:style>
  <w:style w:type="paragraph" w:customStyle="1" w:styleId="377">
    <w:name w:val="Überschrift 1.Haupt Überschrift.x"/>
    <w:basedOn w:val="1"/>
    <w:next w:val="1"/>
    <w:qFormat/>
    <w:uiPriority w:val="0"/>
    <w:pPr>
      <w:widowControl/>
      <w:tabs>
        <w:tab w:val="left" w:pos="993"/>
        <w:tab w:val="left" w:pos="1418"/>
      </w:tabs>
      <w:spacing w:after="240" w:line="240" w:lineRule="auto"/>
      <w:ind w:right="1133"/>
      <w:outlineLvl w:val="0"/>
    </w:pPr>
    <w:rPr>
      <w:rFonts w:ascii="Arial" w:hAnsi="Arial"/>
      <w:b/>
      <w:kern w:val="0"/>
      <w:sz w:val="22"/>
      <w:szCs w:val="20"/>
      <w:lang w:val="de-DE" w:eastAsia="de-DE"/>
    </w:rPr>
  </w:style>
  <w:style w:type="paragraph" w:customStyle="1" w:styleId="378">
    <w:name w:val="Preise1"/>
    <w:basedOn w:val="1"/>
    <w:qFormat/>
    <w:uiPriority w:val="0"/>
    <w:pPr>
      <w:widowControl/>
      <w:tabs>
        <w:tab w:val="right" w:pos="1361"/>
        <w:tab w:val="left" w:pos="1560"/>
        <w:tab w:val="decimal" w:pos="8732"/>
      </w:tabs>
      <w:spacing w:line="240" w:lineRule="auto"/>
    </w:pPr>
    <w:rPr>
      <w:rFonts w:ascii="Arial" w:hAnsi="Arial"/>
      <w:kern w:val="0"/>
      <w:sz w:val="22"/>
      <w:szCs w:val="20"/>
      <w:lang w:val="de-DE" w:eastAsia="de-DE"/>
    </w:rPr>
  </w:style>
  <w:style w:type="paragraph" w:customStyle="1" w:styleId="379">
    <w:name w:val="nachklappeinzug"/>
    <w:basedOn w:val="27"/>
    <w:qFormat/>
    <w:uiPriority w:val="0"/>
    <w:pPr>
      <w:spacing w:after="0" w:line="240" w:lineRule="auto"/>
      <w:ind w:left="0" w:leftChars="0" w:hanging="420"/>
    </w:pPr>
    <w:rPr>
      <w:rFonts w:ascii="Arial" w:hAnsi="Arial"/>
      <w:color w:val="000000"/>
      <w:sz w:val="22"/>
      <w:szCs w:val="20"/>
      <w:lang w:val="en-GB" w:eastAsia="de-DE" w:bidi="ar-SA"/>
    </w:rPr>
  </w:style>
  <w:style w:type="paragraph" w:customStyle="1" w:styleId="380">
    <w:name w:val="nachklapp"/>
    <w:basedOn w:val="1"/>
    <w:qFormat/>
    <w:uiPriority w:val="0"/>
    <w:pPr>
      <w:widowControl/>
      <w:numPr>
        <w:ilvl w:val="0"/>
        <w:numId w:val="16"/>
      </w:numPr>
      <w:tabs>
        <w:tab w:val="left" w:pos="3480"/>
        <w:tab w:val="left" w:pos="4440"/>
      </w:tabs>
      <w:spacing w:line="240" w:lineRule="auto"/>
      <w:ind w:left="0" w:firstLine="0"/>
    </w:pPr>
    <w:rPr>
      <w:rFonts w:ascii="Arial" w:hAnsi="Arial"/>
      <w:kern w:val="0"/>
      <w:sz w:val="22"/>
      <w:szCs w:val="20"/>
      <w:lang w:val="en-GB" w:eastAsia="de-DE"/>
    </w:rPr>
  </w:style>
  <w:style w:type="paragraph" w:customStyle="1" w:styleId="381">
    <w:name w:val="nummer"/>
    <w:basedOn w:val="1"/>
    <w:qFormat/>
    <w:uiPriority w:val="0"/>
    <w:pPr>
      <w:widowControl/>
      <w:tabs>
        <w:tab w:val="left" w:pos="480"/>
        <w:tab w:val="left" w:pos="960"/>
        <w:tab w:val="left" w:pos="1320"/>
      </w:tabs>
      <w:spacing w:line="240" w:lineRule="auto"/>
      <w:ind w:left="960" w:hanging="960"/>
    </w:pPr>
    <w:rPr>
      <w:rFonts w:ascii="Arial" w:hAnsi="Arial"/>
      <w:kern w:val="0"/>
      <w:sz w:val="22"/>
      <w:szCs w:val="20"/>
      <w:lang w:val="en-GB" w:eastAsia="de-DE"/>
    </w:rPr>
  </w:style>
  <w:style w:type="paragraph" w:customStyle="1" w:styleId="382">
    <w:name w:val="Preise2"/>
    <w:basedOn w:val="378"/>
    <w:qFormat/>
    <w:uiPriority w:val="0"/>
    <w:pPr>
      <w:tabs>
        <w:tab w:val="decimal" w:pos="7173"/>
      </w:tabs>
    </w:pPr>
  </w:style>
  <w:style w:type="paragraph" w:customStyle="1" w:styleId="383">
    <w:name w:val="Betreff"/>
    <w:basedOn w:val="1"/>
    <w:qFormat/>
    <w:uiPriority w:val="0"/>
    <w:pPr>
      <w:widowControl/>
      <w:tabs>
        <w:tab w:val="right" w:pos="851"/>
        <w:tab w:val="left" w:pos="992"/>
        <w:tab w:val="left" w:pos="4536"/>
        <w:tab w:val="decimal" w:pos="5954"/>
        <w:tab w:val="left" w:pos="7088"/>
        <w:tab w:val="decimal" w:pos="8505"/>
      </w:tabs>
      <w:spacing w:after="240" w:line="240" w:lineRule="auto"/>
    </w:pPr>
    <w:rPr>
      <w:rFonts w:ascii="Arial" w:hAnsi="Arial"/>
      <w:b/>
      <w:kern w:val="0"/>
      <w:sz w:val="22"/>
      <w:szCs w:val="20"/>
      <w:lang w:val="de-DE" w:eastAsia="de-DE"/>
    </w:rPr>
  </w:style>
  <w:style w:type="paragraph" w:customStyle="1" w:styleId="384">
    <w:name w:val="A 2 Ende ohne"/>
    <w:basedOn w:val="1"/>
    <w:qFormat/>
    <w:uiPriority w:val="0"/>
    <w:pPr>
      <w:widowControl/>
      <w:tabs>
        <w:tab w:val="left" w:pos="992"/>
        <w:tab w:val="right" w:pos="1418"/>
        <w:tab w:val="left" w:pos="1560"/>
        <w:tab w:val="left" w:pos="4536"/>
        <w:tab w:val="decimal" w:pos="5954"/>
        <w:tab w:val="left" w:pos="7088"/>
        <w:tab w:val="decimal" w:pos="8505"/>
      </w:tabs>
      <w:spacing w:line="240" w:lineRule="auto"/>
      <w:ind w:left="1559" w:hanging="567"/>
    </w:pPr>
    <w:rPr>
      <w:rFonts w:ascii="Arial" w:hAnsi="Arial"/>
      <w:kern w:val="0"/>
      <w:sz w:val="22"/>
      <w:szCs w:val="20"/>
      <w:lang w:val="de-DE" w:eastAsia="de-DE"/>
    </w:rPr>
  </w:style>
  <w:style w:type="paragraph" w:customStyle="1" w:styleId="385">
    <w:name w:val="A1 Ende 12er"/>
    <w:basedOn w:val="1"/>
    <w:qFormat/>
    <w:uiPriority w:val="0"/>
    <w:pPr>
      <w:widowControl/>
      <w:tabs>
        <w:tab w:val="right" w:pos="851"/>
        <w:tab w:val="left" w:pos="993"/>
        <w:tab w:val="left" w:pos="4536"/>
        <w:tab w:val="decimal" w:pos="5954"/>
        <w:tab w:val="left" w:pos="7088"/>
        <w:tab w:val="decimal" w:pos="8505"/>
      </w:tabs>
      <w:spacing w:after="240" w:line="240" w:lineRule="auto"/>
      <w:ind w:left="992" w:hanging="992"/>
    </w:pPr>
    <w:rPr>
      <w:rFonts w:ascii="Arial" w:hAnsi="Arial"/>
      <w:kern w:val="0"/>
      <w:sz w:val="22"/>
      <w:szCs w:val="20"/>
      <w:lang w:val="de-DE" w:eastAsia="de-DE"/>
    </w:rPr>
  </w:style>
  <w:style w:type="paragraph" w:customStyle="1" w:styleId="386">
    <w:name w:val="A2 Ende 12er"/>
    <w:basedOn w:val="1"/>
    <w:qFormat/>
    <w:uiPriority w:val="0"/>
    <w:pPr>
      <w:widowControl/>
      <w:tabs>
        <w:tab w:val="left" w:pos="993"/>
        <w:tab w:val="right" w:pos="1418"/>
        <w:tab w:val="left" w:pos="1560"/>
        <w:tab w:val="left" w:pos="4536"/>
        <w:tab w:val="decimal" w:pos="5954"/>
        <w:tab w:val="left" w:pos="7088"/>
        <w:tab w:val="decimal" w:pos="8505"/>
      </w:tabs>
      <w:spacing w:after="240" w:line="240" w:lineRule="auto"/>
      <w:ind w:left="1559" w:hanging="567"/>
    </w:pPr>
    <w:rPr>
      <w:rFonts w:ascii="Arial" w:hAnsi="Arial"/>
      <w:kern w:val="0"/>
      <w:sz w:val="22"/>
      <w:szCs w:val="20"/>
      <w:lang w:val="de-DE" w:eastAsia="de-DE"/>
    </w:rPr>
  </w:style>
  <w:style w:type="paragraph" w:customStyle="1" w:styleId="387">
    <w:name w:val="Text ag. ei. 12er"/>
    <w:basedOn w:val="1"/>
    <w:qFormat/>
    <w:uiPriority w:val="0"/>
    <w:pPr>
      <w:widowControl/>
      <w:tabs>
        <w:tab w:val="left" w:pos="851"/>
        <w:tab w:val="left" w:pos="992"/>
        <w:tab w:val="left" w:pos="4536"/>
        <w:tab w:val="decimal" w:pos="5954"/>
        <w:tab w:val="left" w:pos="7088"/>
        <w:tab w:val="left" w:pos="8505"/>
      </w:tabs>
      <w:spacing w:after="240" w:line="240" w:lineRule="auto"/>
      <w:ind w:left="992"/>
    </w:pPr>
    <w:rPr>
      <w:rFonts w:ascii="Arial" w:hAnsi="Arial"/>
      <w:kern w:val="0"/>
      <w:sz w:val="22"/>
      <w:szCs w:val="20"/>
      <w:lang w:val="de-DE" w:eastAsia="de-DE"/>
    </w:rPr>
  </w:style>
  <w:style w:type="character" w:customStyle="1" w:styleId="388">
    <w:name w:val="Standard F"/>
    <w:qFormat/>
    <w:uiPriority w:val="0"/>
    <w:rPr>
      <w:rFonts w:ascii="Times New Roman" w:hAnsi="Times New Roman"/>
      <w:b/>
      <w:spacing w:val="10"/>
      <w:sz w:val="24"/>
    </w:rPr>
  </w:style>
  <w:style w:type="paragraph" w:customStyle="1" w:styleId="389">
    <w:name w:val="Überschrift 2.Haupt Überschrift 2"/>
    <w:basedOn w:val="1"/>
    <w:next w:val="1"/>
    <w:qFormat/>
    <w:uiPriority w:val="0"/>
    <w:pPr>
      <w:widowControl/>
      <w:spacing w:before="120" w:after="60" w:line="240" w:lineRule="auto"/>
      <w:ind w:left="1701"/>
      <w:outlineLvl w:val="1"/>
    </w:pPr>
    <w:rPr>
      <w:rFonts w:ascii="Arial" w:hAnsi="Arial"/>
      <w:b/>
      <w:kern w:val="0"/>
      <w:sz w:val="22"/>
      <w:szCs w:val="20"/>
      <w:lang w:val="de-DE" w:eastAsia="de-DE"/>
    </w:rPr>
  </w:style>
  <w:style w:type="paragraph" w:customStyle="1" w:styleId="390">
    <w:name w:val="Text2"/>
    <w:basedOn w:val="372"/>
    <w:qFormat/>
    <w:uiPriority w:val="0"/>
    <w:pPr>
      <w:tabs>
        <w:tab w:val="left" w:pos="1985"/>
        <w:tab w:val="left" w:pos="2127"/>
        <w:tab w:val="clear" w:pos="1701"/>
        <w:tab w:val="clear" w:pos="4536"/>
      </w:tabs>
    </w:pPr>
  </w:style>
  <w:style w:type="paragraph" w:customStyle="1" w:styleId="391">
    <w:name w:val="Stichwort 12er"/>
    <w:basedOn w:val="1"/>
    <w:qFormat/>
    <w:uiPriority w:val="0"/>
    <w:pPr>
      <w:widowControl/>
      <w:tabs>
        <w:tab w:val="left" w:pos="1418"/>
        <w:tab w:val="left" w:pos="4536"/>
        <w:tab w:val="decimal" w:pos="5954"/>
        <w:tab w:val="left" w:pos="7088"/>
        <w:tab w:val="decimal" w:pos="8505"/>
      </w:tabs>
      <w:spacing w:after="240" w:line="240" w:lineRule="auto"/>
      <w:ind w:left="1418" w:hanging="1418"/>
    </w:pPr>
    <w:rPr>
      <w:rFonts w:ascii="Swiss742-SWC" w:hAnsi="Swiss742-SWC"/>
      <w:b/>
      <w:kern w:val="0"/>
      <w:sz w:val="22"/>
      <w:szCs w:val="20"/>
      <w:lang w:val="de-DE" w:eastAsia="de-DE"/>
    </w:rPr>
  </w:style>
  <w:style w:type="paragraph" w:customStyle="1" w:styleId="392">
    <w:name w:val="regel"/>
    <w:basedOn w:val="1"/>
    <w:qFormat/>
    <w:uiPriority w:val="0"/>
    <w:pPr>
      <w:widowControl/>
      <w:tabs>
        <w:tab w:val="left" w:pos="568"/>
        <w:tab w:val="left" w:pos="851"/>
        <w:tab w:val="left" w:pos="1080"/>
        <w:tab w:val="left" w:pos="3969"/>
      </w:tabs>
      <w:spacing w:line="240" w:lineRule="auto"/>
      <w:ind w:left="567" w:hanging="567"/>
    </w:pPr>
    <w:rPr>
      <w:rFonts w:ascii="Swiss742-SWC" w:hAnsi="Swiss742-SWC"/>
      <w:kern w:val="0"/>
      <w:sz w:val="22"/>
      <w:szCs w:val="20"/>
      <w:lang w:val="en-GB" w:eastAsia="de-DE"/>
    </w:rPr>
  </w:style>
  <w:style w:type="paragraph" w:customStyle="1" w:styleId="393">
    <w:name w:val="test1"/>
    <w:basedOn w:val="1"/>
    <w:qFormat/>
    <w:uiPriority w:val="0"/>
    <w:pPr>
      <w:widowControl/>
      <w:spacing w:line="240" w:lineRule="auto"/>
    </w:pPr>
    <w:rPr>
      <w:rFonts w:ascii="Arial" w:hAnsi="Arial"/>
      <w:color w:val="000000"/>
      <w:kern w:val="0"/>
      <w:sz w:val="22"/>
      <w:szCs w:val="20"/>
      <w:lang w:val="de-DE" w:eastAsia="de-DE"/>
    </w:rPr>
  </w:style>
  <w:style w:type="paragraph" w:customStyle="1" w:styleId="394">
    <w:name w:val="Body Text 21"/>
    <w:basedOn w:val="1"/>
    <w:qFormat/>
    <w:uiPriority w:val="0"/>
    <w:pPr>
      <w:widowControl/>
      <w:overflowPunct w:val="0"/>
      <w:autoSpaceDE w:val="0"/>
      <w:autoSpaceDN w:val="0"/>
      <w:adjustRightInd w:val="0"/>
      <w:spacing w:line="240" w:lineRule="auto"/>
      <w:textAlignment w:val="baseline"/>
    </w:pPr>
    <w:rPr>
      <w:rFonts w:ascii="Arial" w:hAnsi="Arial"/>
      <w:b/>
      <w:i/>
      <w:kern w:val="0"/>
      <w:szCs w:val="20"/>
      <w:lang w:val="de-DE" w:eastAsia="de-DE"/>
    </w:rPr>
  </w:style>
  <w:style w:type="paragraph" w:customStyle="1" w:styleId="395">
    <w:name w:val="test"/>
    <w:basedOn w:val="1"/>
    <w:qFormat/>
    <w:uiPriority w:val="0"/>
    <w:pPr>
      <w:widowControl/>
      <w:tabs>
        <w:tab w:val="left" w:pos="1134"/>
        <w:tab w:val="left" w:pos="1701"/>
        <w:tab w:val="decimal" w:pos="7939"/>
      </w:tabs>
      <w:spacing w:line="240" w:lineRule="auto"/>
    </w:pPr>
    <w:rPr>
      <w:rFonts w:ascii="Swiss742-SWC" w:hAnsi="Swiss742-SWC"/>
      <w:b/>
      <w:kern w:val="0"/>
      <w:sz w:val="22"/>
      <w:szCs w:val="20"/>
      <w:lang w:val="ru-RU" w:eastAsia="de-DE"/>
    </w:rPr>
  </w:style>
  <w:style w:type="paragraph" w:customStyle="1" w:styleId="396">
    <w:name w:val="样式3"/>
    <w:basedOn w:val="1"/>
    <w:qFormat/>
    <w:uiPriority w:val="0"/>
    <w:pPr>
      <w:suppressAutoHyphens/>
      <w:spacing w:line="240" w:lineRule="auto"/>
    </w:pPr>
    <w:rPr>
      <w:spacing w:val="24"/>
      <w:szCs w:val="20"/>
    </w:rPr>
  </w:style>
  <w:style w:type="paragraph" w:customStyle="1" w:styleId="397">
    <w:name w:val="1.1.1"/>
    <w:qFormat/>
    <w:uiPriority w:val="0"/>
    <w:pPr>
      <w:widowControl w:val="0"/>
      <w:numPr>
        <w:ilvl w:val="0"/>
        <w:numId w:val="17"/>
      </w:numPr>
      <w:jc w:val="both"/>
    </w:pPr>
    <w:rPr>
      <w:rFonts w:ascii="Times New Roman" w:hAnsi="Times New Roman" w:eastAsia="宋体" w:cs="Times New Roman"/>
      <w:kern w:val="2"/>
      <w:sz w:val="24"/>
      <w:lang w:val="en-US" w:eastAsia="zh-CN" w:bidi="ar-SA"/>
    </w:rPr>
  </w:style>
  <w:style w:type="paragraph" w:customStyle="1" w:styleId="398">
    <w:name w:val="宏福1"/>
    <w:basedOn w:val="4"/>
    <w:qFormat/>
    <w:uiPriority w:val="0"/>
    <w:pPr>
      <w:keepLines/>
      <w:pageBreakBefore/>
      <w:widowControl w:val="0"/>
      <w:adjustRightInd w:val="0"/>
      <w:snapToGrid w:val="0"/>
      <w:spacing w:after="40" w:line="240" w:lineRule="auto"/>
      <w:ind w:firstLine="595" w:firstLineChars="0"/>
      <w:jc w:val="center"/>
    </w:pPr>
    <w:rPr>
      <w:rFonts w:eastAsia="宋体" w:cs="Times New Roman"/>
      <w:b/>
      <w:bCs w:val="0"/>
      <w:kern w:val="44"/>
      <w:sz w:val="32"/>
      <w:szCs w:val="20"/>
      <w:lang w:eastAsia="zh-CN" w:bidi="ar-SA"/>
    </w:rPr>
  </w:style>
  <w:style w:type="paragraph" w:customStyle="1" w:styleId="399">
    <w:name w:val="宏福2"/>
    <w:basedOn w:val="5"/>
    <w:qFormat/>
    <w:uiPriority w:val="0"/>
    <w:pPr>
      <w:adjustRightInd w:val="0"/>
      <w:snapToGrid w:val="0"/>
      <w:spacing w:before="240" w:line="240" w:lineRule="auto"/>
    </w:pPr>
    <w:rPr>
      <w:rFonts w:ascii="Arial" w:hAnsi="Arial"/>
      <w:bCs w:val="0"/>
      <w:color w:val="FF0000"/>
      <w:szCs w:val="20"/>
    </w:rPr>
  </w:style>
  <w:style w:type="paragraph" w:customStyle="1" w:styleId="400">
    <w:name w:val="123"/>
    <w:basedOn w:val="1"/>
    <w:qFormat/>
    <w:uiPriority w:val="0"/>
    <w:pPr>
      <w:ind w:firstLine="454"/>
    </w:pPr>
    <w:rPr>
      <w:szCs w:val="20"/>
    </w:rPr>
  </w:style>
  <w:style w:type="paragraph" w:customStyle="1" w:styleId="401">
    <w:name w:val="Char2 Char Char"/>
    <w:basedOn w:val="1"/>
    <w:qFormat/>
    <w:uiPriority w:val="0"/>
    <w:pPr>
      <w:spacing w:line="240" w:lineRule="auto"/>
    </w:pPr>
    <w:rPr>
      <w:szCs w:val="24"/>
    </w:rPr>
  </w:style>
  <w:style w:type="paragraph" w:customStyle="1" w:styleId="402">
    <w:name w:val="_Style 11"/>
    <w:basedOn w:val="1"/>
    <w:next w:val="26"/>
    <w:qFormat/>
    <w:uiPriority w:val="0"/>
    <w:pPr>
      <w:spacing w:line="240" w:lineRule="auto"/>
      <w:jc w:val="center"/>
    </w:pPr>
    <w:rPr>
      <w:szCs w:val="20"/>
    </w:rPr>
  </w:style>
  <w:style w:type="paragraph" w:customStyle="1" w:styleId="403">
    <w:name w:val="正文-G Char Char"/>
    <w:basedOn w:val="1"/>
    <w:qFormat/>
    <w:uiPriority w:val="0"/>
    <w:pPr>
      <w:spacing w:line="400" w:lineRule="exact"/>
      <w:ind w:firstLine="480"/>
    </w:pPr>
    <w:rPr>
      <w:rFonts w:eastAsia="仿宋_GB2312"/>
      <w:kern w:val="0"/>
      <w:szCs w:val="20"/>
    </w:rPr>
  </w:style>
  <w:style w:type="paragraph" w:customStyle="1" w:styleId="404">
    <w:name w:val="样式"/>
    <w:basedOn w:val="1"/>
    <w:next w:val="1"/>
    <w:qFormat/>
    <w:uiPriority w:val="0"/>
    <w:pPr>
      <w:keepNext/>
      <w:keepLines/>
      <w:spacing w:before="260" w:after="260" w:line="416" w:lineRule="auto"/>
    </w:pPr>
    <w:rPr>
      <w:b/>
      <w:bCs/>
      <w:sz w:val="32"/>
      <w:szCs w:val="32"/>
    </w:rPr>
  </w:style>
  <w:style w:type="paragraph" w:customStyle="1" w:styleId="405">
    <w:name w:val="Char Char Char Char Char Char Char Char Char Char Char Char Char Char Char Char Char Char Char Char Char Char Char Char Char"/>
    <w:basedOn w:val="1"/>
    <w:semiHidden/>
    <w:qFormat/>
    <w:uiPriority w:val="0"/>
    <w:pPr>
      <w:spacing w:line="240" w:lineRule="auto"/>
    </w:pPr>
    <w:rPr>
      <w:szCs w:val="24"/>
    </w:rPr>
  </w:style>
  <w:style w:type="paragraph" w:customStyle="1" w:styleId="406">
    <w:name w:val="Char Char Char2"/>
    <w:basedOn w:val="1"/>
    <w:next w:val="3"/>
    <w:qFormat/>
    <w:uiPriority w:val="0"/>
    <w:pPr>
      <w:spacing w:line="240" w:lineRule="auto"/>
    </w:pPr>
    <w:rPr>
      <w:sz w:val="28"/>
      <w:szCs w:val="28"/>
    </w:rPr>
  </w:style>
  <w:style w:type="paragraph" w:customStyle="1" w:styleId="407">
    <w:name w:val="xl65"/>
    <w:basedOn w:val="1"/>
    <w:qFormat/>
    <w:uiPriority w:val="0"/>
    <w:pPr>
      <w:widowControl/>
      <w:pBdr>
        <w:left w:val="single" w:color="auto" w:sz="4" w:space="0"/>
      </w:pBdr>
      <w:spacing w:beforeAutospacing="1" w:after="100" w:afterAutospacing="1" w:line="240" w:lineRule="auto"/>
    </w:pPr>
    <w:rPr>
      <w:rFonts w:ascii="Arial Unicode MS" w:hAnsi="Arial Unicode MS" w:eastAsia="Arial Unicode MS"/>
      <w:kern w:val="0"/>
      <w:szCs w:val="21"/>
    </w:rPr>
  </w:style>
  <w:style w:type="paragraph" w:customStyle="1" w:styleId="408">
    <w:name w:val="Char Char Char Char Char Char Char Char Char Char Char Char Char Char Char Char Char Char Char Char Char Char Char Char Char1"/>
    <w:basedOn w:val="1"/>
    <w:semiHidden/>
    <w:qFormat/>
    <w:uiPriority w:val="0"/>
    <w:rPr>
      <w:szCs w:val="24"/>
    </w:rPr>
  </w:style>
  <w:style w:type="paragraph" w:customStyle="1" w:styleId="409">
    <w:name w:val="样式 两端对齐 首行缩进:  2 字符"/>
    <w:basedOn w:val="1"/>
    <w:qFormat/>
    <w:uiPriority w:val="0"/>
    <w:pPr>
      <w:widowControl/>
      <w:spacing w:line="240" w:lineRule="auto"/>
      <w:ind w:firstLine="560"/>
    </w:pPr>
    <w:rPr>
      <w:rFonts w:cs="宋体"/>
      <w:kern w:val="0"/>
      <w:sz w:val="28"/>
      <w:szCs w:val="28"/>
    </w:rPr>
  </w:style>
  <w:style w:type="paragraph" w:customStyle="1" w:styleId="410">
    <w:name w:val="样式540"/>
    <w:basedOn w:val="1"/>
    <w:qFormat/>
    <w:uiPriority w:val="0"/>
    <w:pPr>
      <w:spacing w:line="400" w:lineRule="exact"/>
    </w:pPr>
    <w:rPr>
      <w:rFonts w:ascii="宋体" w:hAnsi="宋体"/>
      <w:szCs w:val="24"/>
    </w:rPr>
  </w:style>
  <w:style w:type="paragraph" w:customStyle="1" w:styleId="411">
    <w:name w:val="样式 正文文本缩进 3 + 仿宋_GB2312"/>
    <w:basedOn w:val="50"/>
    <w:link w:val="412"/>
    <w:qFormat/>
    <w:uiPriority w:val="0"/>
    <w:pPr>
      <w:spacing w:after="0"/>
      <w:ind w:left="0" w:leftChars="0" w:firstLine="560"/>
    </w:pPr>
    <w:rPr>
      <w:rFonts w:ascii="仿宋_GB2312" w:hAnsi="宋体" w:eastAsia="仿宋_GB2312"/>
      <w:kern w:val="2"/>
      <w:sz w:val="28"/>
      <w:szCs w:val="24"/>
    </w:rPr>
  </w:style>
  <w:style w:type="character" w:customStyle="1" w:styleId="412">
    <w:name w:val="样式 正文文本缩进 3 + 仿宋_GB2312 Char"/>
    <w:link w:val="411"/>
    <w:qFormat/>
    <w:uiPriority w:val="0"/>
    <w:rPr>
      <w:rFonts w:ascii="仿宋_GB2312" w:hAnsi="宋体" w:eastAsia="仿宋_GB2312"/>
      <w:snapToGrid/>
      <w:kern w:val="2"/>
      <w:sz w:val="28"/>
      <w:szCs w:val="24"/>
    </w:rPr>
  </w:style>
  <w:style w:type="character" w:customStyle="1" w:styleId="413">
    <w:name w:val="表格 Char"/>
    <w:link w:val="144"/>
    <w:qFormat/>
    <w:uiPriority w:val="0"/>
    <w:rPr>
      <w:rFonts w:ascii="仿宋_GB2312" w:hAnsi="Times New Roman" w:eastAsia="仿宋_GB2312"/>
      <w:spacing w:val="-10"/>
      <w:sz w:val="24"/>
      <w:lang w:eastAsia="en-US" w:bidi="en-US"/>
    </w:rPr>
  </w:style>
  <w:style w:type="paragraph" w:customStyle="1" w:styleId="414">
    <w:name w:val="正文*"/>
    <w:basedOn w:val="1"/>
    <w:link w:val="415"/>
    <w:qFormat/>
    <w:uiPriority w:val="0"/>
    <w:pPr>
      <w:ind w:firstLine="588" w:firstLineChars="196"/>
    </w:pPr>
    <w:rPr>
      <w:rFonts w:eastAsia="楷体_GB2312"/>
      <w:sz w:val="30"/>
      <w:szCs w:val="30"/>
    </w:rPr>
  </w:style>
  <w:style w:type="character" w:customStyle="1" w:styleId="415">
    <w:name w:val="正文* Char"/>
    <w:link w:val="414"/>
    <w:qFormat/>
    <w:uiPriority w:val="0"/>
    <w:rPr>
      <w:rFonts w:ascii="Times New Roman" w:hAnsi="Times New Roman" w:eastAsia="楷体_GB2312"/>
      <w:kern w:val="2"/>
      <w:sz w:val="30"/>
      <w:szCs w:val="30"/>
    </w:rPr>
  </w:style>
  <w:style w:type="character" w:customStyle="1" w:styleId="416">
    <w:name w:val="1正文 Char"/>
    <w:link w:val="76"/>
    <w:qFormat/>
    <w:uiPriority w:val="0"/>
    <w:rPr>
      <w:rFonts w:ascii="Times New Roman" w:hAnsi="Times New Roman" w:eastAsia="楷体_GB2312"/>
      <w:kern w:val="2"/>
      <w:sz w:val="30"/>
      <w:szCs w:val="30"/>
    </w:rPr>
  </w:style>
  <w:style w:type="paragraph" w:customStyle="1" w:styleId="417">
    <w:name w:val="样式 样式 小四 段前: 7.8 磅 段后: 7.8 磅 行距: 1.5 倍行距 + 首行缩进:  2 字符"/>
    <w:basedOn w:val="1"/>
    <w:link w:val="418"/>
    <w:qFormat/>
    <w:uiPriority w:val="0"/>
    <w:pPr>
      <w:ind w:firstLine="480"/>
    </w:pPr>
    <w:rPr>
      <w:szCs w:val="24"/>
    </w:rPr>
  </w:style>
  <w:style w:type="character" w:customStyle="1" w:styleId="418">
    <w:name w:val="样式 样式 小四 段前: 7.8 磅 段后: 7.8 磅 行距: 1.5 倍行距 + 首行缩进:  2 字符 Char"/>
    <w:link w:val="417"/>
    <w:qFormat/>
    <w:uiPriority w:val="0"/>
    <w:rPr>
      <w:rFonts w:ascii="Times New Roman" w:hAnsi="Times New Roman"/>
      <w:kern w:val="2"/>
      <w:sz w:val="24"/>
      <w:szCs w:val="24"/>
    </w:rPr>
  </w:style>
  <w:style w:type="character" w:customStyle="1" w:styleId="419">
    <w:name w:val="样式 正文1 + 首行缩进:  2 字符 Char3"/>
    <w:link w:val="420"/>
    <w:qFormat/>
    <w:uiPriority w:val="0"/>
    <w:rPr>
      <w:rFonts w:ascii="宋体"/>
      <w:kern w:val="2"/>
      <w:sz w:val="24"/>
    </w:rPr>
  </w:style>
  <w:style w:type="paragraph" w:customStyle="1" w:styleId="420">
    <w:name w:val="样式 正文1 + 首行缩进:  2 字符"/>
    <w:basedOn w:val="1"/>
    <w:link w:val="419"/>
    <w:qFormat/>
    <w:uiPriority w:val="0"/>
    <w:rPr>
      <w:rFonts w:ascii="宋体"/>
      <w:szCs w:val="20"/>
    </w:rPr>
  </w:style>
  <w:style w:type="character" w:customStyle="1" w:styleId="421">
    <w:name w:val="样式5 Char3"/>
    <w:qFormat/>
    <w:uiPriority w:val="0"/>
    <w:rPr>
      <w:rFonts w:ascii="宋体" w:hAnsi="宋体" w:eastAsia="宋体" w:cs="宋体"/>
      <w:kern w:val="2"/>
      <w:sz w:val="24"/>
      <w:szCs w:val="24"/>
      <w:lang w:val="en-US" w:eastAsia="zh-CN"/>
    </w:rPr>
  </w:style>
  <w:style w:type="character" w:customStyle="1" w:styleId="422">
    <w:name w:val="样式 小四 行距: 1.5 倍行距"/>
    <w:basedOn w:val="67"/>
    <w:qFormat/>
    <w:uiPriority w:val="0"/>
  </w:style>
  <w:style w:type="character" w:customStyle="1" w:styleId="423">
    <w:name w:val="正文1 Char1"/>
    <w:link w:val="134"/>
    <w:qFormat/>
    <w:uiPriority w:val="0"/>
    <w:rPr>
      <w:rFonts w:ascii="Times New Roman" w:hAnsi="Times New Roman"/>
      <w:sz w:val="24"/>
      <w:szCs w:val="22"/>
    </w:rPr>
  </w:style>
  <w:style w:type="character" w:customStyle="1" w:styleId="424">
    <w:name w:val="文本 Char1"/>
    <w:qFormat/>
    <w:uiPriority w:val="0"/>
    <w:rPr>
      <w:rFonts w:ascii="宋体" w:eastAsia="宋体"/>
      <w:kern w:val="2"/>
      <w:sz w:val="24"/>
      <w:lang w:val="en-US" w:eastAsia="zh-CN" w:bidi="ar-SA"/>
    </w:rPr>
  </w:style>
  <w:style w:type="paragraph" w:customStyle="1" w:styleId="425">
    <w:name w:val="Char Char Char Char Char Char2"/>
    <w:basedOn w:val="1"/>
    <w:next w:val="3"/>
    <w:qFormat/>
    <w:uiPriority w:val="0"/>
    <w:pPr>
      <w:spacing w:line="240" w:lineRule="auto"/>
    </w:pPr>
    <w:rPr>
      <w:sz w:val="28"/>
      <w:szCs w:val="28"/>
    </w:rPr>
  </w:style>
  <w:style w:type="paragraph" w:customStyle="1" w:styleId="426">
    <w:name w:val="正文样式"/>
    <w:basedOn w:val="1"/>
    <w:link w:val="427"/>
    <w:qFormat/>
    <w:uiPriority w:val="0"/>
    <w:pPr>
      <w:ind w:firstLine="524" w:firstLineChars="187"/>
    </w:pPr>
    <w:rPr>
      <w:rFonts w:ascii="宋体" w:hAnsi="宋体"/>
      <w:kern w:val="0"/>
      <w:sz w:val="28"/>
      <w:szCs w:val="24"/>
    </w:rPr>
  </w:style>
  <w:style w:type="character" w:customStyle="1" w:styleId="427">
    <w:name w:val="正文样式 Char"/>
    <w:link w:val="426"/>
    <w:qFormat/>
    <w:uiPriority w:val="0"/>
    <w:rPr>
      <w:rFonts w:ascii="宋体" w:hAnsi="宋体"/>
      <w:sz w:val="28"/>
      <w:szCs w:val="24"/>
    </w:rPr>
  </w:style>
  <w:style w:type="paragraph" w:customStyle="1" w:styleId="428">
    <w:name w:val="Char Char Char Char2"/>
    <w:basedOn w:val="1"/>
    <w:next w:val="1"/>
    <w:link w:val="556"/>
    <w:qFormat/>
    <w:uiPriority w:val="0"/>
    <w:pPr>
      <w:widowControl/>
    </w:pPr>
    <w:rPr>
      <w:rFonts w:ascii="宋体" w:hAnsi="宋体"/>
      <w:kern w:val="0"/>
      <w:szCs w:val="24"/>
    </w:rPr>
  </w:style>
  <w:style w:type="paragraph" w:customStyle="1" w:styleId="429">
    <w:name w:val="默认段落字体 Para Char"/>
    <w:basedOn w:val="1"/>
    <w:qFormat/>
    <w:uiPriority w:val="0"/>
    <w:rPr>
      <w:rFonts w:ascii="宋体" w:hAnsi="宋体" w:cs="宋体"/>
      <w:szCs w:val="24"/>
    </w:rPr>
  </w:style>
  <w:style w:type="paragraph" w:customStyle="1" w:styleId="430">
    <w:name w:val="样式 样式 宋体 四号 左 行距: 固定值 25 磅 + 首行缩进:  2 字符"/>
    <w:basedOn w:val="1"/>
    <w:qFormat/>
    <w:uiPriority w:val="0"/>
    <w:pPr>
      <w:adjustRightInd w:val="0"/>
      <w:snapToGrid w:val="0"/>
      <w:spacing w:after="120"/>
      <w:ind w:firstLine="560"/>
    </w:pPr>
    <w:rPr>
      <w:rFonts w:ascii="宋体" w:hAnsi="宋体" w:cs="宋体"/>
      <w:snapToGrid w:val="0"/>
      <w:kern w:val="0"/>
      <w:sz w:val="28"/>
      <w:szCs w:val="28"/>
    </w:rPr>
  </w:style>
  <w:style w:type="character" w:customStyle="1" w:styleId="431">
    <w:name w:val="样式 报告正文 + 字符缩放: 110% Char"/>
    <w:link w:val="432"/>
    <w:qFormat/>
    <w:uiPriority w:val="0"/>
    <w:rPr>
      <w:kern w:val="2"/>
      <w:sz w:val="24"/>
    </w:rPr>
  </w:style>
  <w:style w:type="paragraph" w:customStyle="1" w:styleId="432">
    <w:name w:val="样式 报告正文 + 字符缩放: 110%"/>
    <w:basedOn w:val="1"/>
    <w:link w:val="431"/>
    <w:qFormat/>
    <w:uiPriority w:val="0"/>
    <w:pPr>
      <w:ind w:firstLine="536"/>
    </w:pPr>
    <w:rPr>
      <w:szCs w:val="20"/>
    </w:rPr>
  </w:style>
  <w:style w:type="paragraph" w:customStyle="1" w:styleId="433">
    <w:name w:val="文件"/>
    <w:basedOn w:val="1"/>
    <w:qFormat/>
    <w:uiPriority w:val="0"/>
    <w:pPr>
      <w:tabs>
        <w:tab w:val="left" w:pos="1440"/>
        <w:tab w:val="left" w:pos="1680"/>
      </w:tabs>
      <w:spacing w:before="120" w:after="120"/>
    </w:pPr>
    <w:rPr>
      <w:rFonts w:ascii="黑体" w:eastAsia="黑体"/>
      <w:spacing w:val="20"/>
      <w:kern w:val="0"/>
      <w:szCs w:val="20"/>
    </w:rPr>
  </w:style>
  <w:style w:type="paragraph" w:customStyle="1" w:styleId="434">
    <w:name w:val="Char Char Char2 Char Char Char Char"/>
    <w:basedOn w:val="1"/>
    <w:qFormat/>
    <w:uiPriority w:val="0"/>
    <w:pPr>
      <w:ind w:firstLine="536"/>
    </w:pPr>
    <w:rPr>
      <w:spacing w:val="14"/>
      <w:szCs w:val="20"/>
    </w:rPr>
  </w:style>
  <w:style w:type="paragraph" w:customStyle="1" w:styleId="435">
    <w:name w:val="简单回函地址"/>
    <w:basedOn w:val="1"/>
    <w:qFormat/>
    <w:uiPriority w:val="0"/>
    <w:pPr>
      <w:spacing w:line="240" w:lineRule="auto"/>
    </w:pPr>
    <w:rPr>
      <w:rFonts w:ascii="宋体" w:hAnsi="宋体"/>
      <w:szCs w:val="20"/>
    </w:rPr>
  </w:style>
  <w:style w:type="paragraph" w:customStyle="1" w:styleId="436">
    <w:name w:val="样式 样式 样式 正文1 + 首行缩进:  2 字符 + (符号) 宋体 首行缩进:  2 字符 + 首行缩进:  2 字符"/>
    <w:basedOn w:val="1"/>
    <w:link w:val="437"/>
    <w:qFormat/>
    <w:uiPriority w:val="0"/>
    <w:pPr>
      <w:ind w:firstLine="480"/>
    </w:pPr>
    <w:rPr>
      <w:rFonts w:ascii="宋体" w:hAnsi="宋体"/>
      <w:szCs w:val="20"/>
    </w:rPr>
  </w:style>
  <w:style w:type="character" w:customStyle="1" w:styleId="437">
    <w:name w:val="样式 样式 样式 正文1 + 首行缩进:  2 字符 + (符号) 宋体 首行缩进:  2 字符 + 首行缩进:  2 字符 Char"/>
    <w:link w:val="436"/>
    <w:qFormat/>
    <w:uiPriority w:val="0"/>
    <w:rPr>
      <w:rFonts w:ascii="宋体" w:hAnsi="宋体"/>
      <w:snapToGrid/>
      <w:kern w:val="2"/>
      <w:sz w:val="24"/>
    </w:rPr>
  </w:style>
  <w:style w:type="paragraph" w:customStyle="1" w:styleId="438">
    <w:name w:val="Char Char1 Char Char Char Char Char Char Char Char Char Char Char Char Char Char Char Char Char Char Char Char Char Char Char Char Char Char Char Char"/>
    <w:basedOn w:val="1"/>
    <w:qFormat/>
    <w:uiPriority w:val="0"/>
    <w:pPr>
      <w:spacing w:line="240" w:lineRule="auto"/>
    </w:pPr>
    <w:rPr>
      <w:szCs w:val="20"/>
    </w:rPr>
  </w:style>
  <w:style w:type="paragraph" w:customStyle="1" w:styleId="439">
    <w:name w:val="A4页面"/>
    <w:basedOn w:val="1"/>
    <w:qFormat/>
    <w:uiPriority w:val="0"/>
    <w:pPr>
      <w:spacing w:line="560" w:lineRule="exact"/>
      <w:ind w:firstLine="640"/>
    </w:pPr>
    <w:rPr>
      <w:rFonts w:eastAsia="仿宋_GB2312"/>
      <w:sz w:val="32"/>
      <w:szCs w:val="20"/>
    </w:rPr>
  </w:style>
  <w:style w:type="character" w:customStyle="1" w:styleId="440">
    <w:name w:val="批注主题 Char1"/>
    <w:qFormat/>
    <w:uiPriority w:val="0"/>
    <w:rPr>
      <w:rFonts w:ascii="Times New Roman" w:hAnsi="Times New Roman" w:eastAsia="宋体" w:cs="Times New Roman"/>
      <w:b/>
      <w:bCs/>
      <w:kern w:val="2"/>
      <w:sz w:val="21"/>
      <w:szCs w:val="24"/>
    </w:rPr>
  </w:style>
  <w:style w:type="paragraph" w:customStyle="1" w:styleId="441">
    <w:name w:val="样式 样式 正文1 + 首行缩进:  2 字符 + 首行缩进:  2 字符1"/>
    <w:basedOn w:val="420"/>
    <w:link w:val="442"/>
    <w:qFormat/>
    <w:uiPriority w:val="0"/>
    <w:pPr>
      <w:ind w:firstLine="480"/>
    </w:pPr>
  </w:style>
  <w:style w:type="character" w:customStyle="1" w:styleId="442">
    <w:name w:val="样式 样式 正文1 + 首行缩进:  2 字符 + 首行缩进:  2 字符1 Char"/>
    <w:link w:val="441"/>
    <w:qFormat/>
    <w:uiPriority w:val="0"/>
    <w:rPr>
      <w:rFonts w:ascii="宋体" w:cs="宋体"/>
      <w:kern w:val="2"/>
      <w:sz w:val="24"/>
    </w:rPr>
  </w:style>
  <w:style w:type="paragraph" w:customStyle="1" w:styleId="443">
    <w:name w:val="标题3"/>
    <w:basedOn w:val="6"/>
    <w:link w:val="444"/>
    <w:qFormat/>
    <w:uiPriority w:val="99"/>
    <w:pPr>
      <w:spacing w:before="156" w:after="156"/>
    </w:pPr>
    <w:rPr>
      <w:kern w:val="2"/>
      <w:szCs w:val="24"/>
    </w:rPr>
  </w:style>
  <w:style w:type="character" w:customStyle="1" w:styleId="444">
    <w:name w:val="标题3 Char"/>
    <w:link w:val="443"/>
    <w:qFormat/>
    <w:uiPriority w:val="99"/>
    <w:rPr>
      <w:rFonts w:ascii="Times New Roman" w:hAnsi="Times New Roman" w:eastAsia="华文楷体"/>
      <w:b/>
      <w:bCs/>
      <w:kern w:val="2"/>
      <w:sz w:val="32"/>
      <w:szCs w:val="24"/>
    </w:rPr>
  </w:style>
  <w:style w:type="paragraph" w:customStyle="1" w:styleId="445">
    <w:name w:val="font9"/>
    <w:basedOn w:val="1"/>
    <w:qFormat/>
    <w:uiPriority w:val="0"/>
    <w:pPr>
      <w:widowControl/>
      <w:spacing w:beforeAutospacing="1" w:after="100" w:afterAutospacing="1" w:line="240" w:lineRule="auto"/>
    </w:pPr>
    <w:rPr>
      <w:rFonts w:hint="eastAsia" w:ascii="宋体" w:hAnsi="宋体"/>
      <w:color w:val="FF0000"/>
      <w:kern w:val="0"/>
      <w:sz w:val="22"/>
    </w:rPr>
  </w:style>
  <w:style w:type="character" w:customStyle="1" w:styleId="446">
    <w:name w:val="样式 正文首行缩进2 + 首行缩进:  0.95 厘米 Char"/>
    <w:link w:val="447"/>
    <w:qFormat/>
    <w:uiPriority w:val="0"/>
    <w:rPr>
      <w:color w:val="000000"/>
      <w:spacing w:val="14"/>
      <w:kern w:val="2"/>
      <w:sz w:val="24"/>
      <w:szCs w:val="24"/>
    </w:rPr>
  </w:style>
  <w:style w:type="paragraph" w:customStyle="1" w:styleId="447">
    <w:name w:val="样式 正文首行缩进2 + 首行缩进:  0.95 厘米"/>
    <w:basedOn w:val="1"/>
    <w:link w:val="446"/>
    <w:qFormat/>
    <w:uiPriority w:val="0"/>
    <w:pPr>
      <w:adjustRightInd w:val="0"/>
      <w:snapToGrid w:val="0"/>
      <w:ind w:firstLine="536"/>
    </w:pPr>
    <w:rPr>
      <w:color w:val="000000"/>
      <w:spacing w:val="14"/>
      <w:szCs w:val="24"/>
    </w:rPr>
  </w:style>
  <w:style w:type="paragraph" w:customStyle="1" w:styleId="448">
    <w:name w:val="样式 段前: 0 磅 段后: 0 磅"/>
    <w:basedOn w:val="1"/>
    <w:link w:val="449"/>
    <w:qFormat/>
    <w:uiPriority w:val="0"/>
    <w:pPr>
      <w:adjustRightInd w:val="0"/>
      <w:snapToGrid w:val="0"/>
      <w:ind w:firstLine="567"/>
    </w:pPr>
    <w:rPr>
      <w:spacing w:val="14"/>
      <w:szCs w:val="24"/>
    </w:rPr>
  </w:style>
  <w:style w:type="character" w:customStyle="1" w:styleId="449">
    <w:name w:val="样式 段前: 0 磅 段后: 0 磅 Char"/>
    <w:link w:val="448"/>
    <w:qFormat/>
    <w:uiPriority w:val="0"/>
    <w:rPr>
      <w:rFonts w:cs="宋体"/>
      <w:spacing w:val="14"/>
      <w:kern w:val="2"/>
      <w:sz w:val="24"/>
      <w:szCs w:val="24"/>
    </w:rPr>
  </w:style>
  <w:style w:type="character" w:customStyle="1" w:styleId="450">
    <w:name w:val="正文＋首行缩进2字符 Char"/>
    <w:link w:val="451"/>
    <w:qFormat/>
    <w:uiPriority w:val="0"/>
    <w:rPr>
      <w:spacing w:val="14"/>
      <w:kern w:val="2"/>
      <w:sz w:val="24"/>
    </w:rPr>
  </w:style>
  <w:style w:type="paragraph" w:customStyle="1" w:styleId="451">
    <w:name w:val="正文＋首行缩进2字符"/>
    <w:basedOn w:val="1"/>
    <w:link w:val="450"/>
    <w:qFormat/>
    <w:uiPriority w:val="0"/>
    <w:rPr>
      <w:spacing w:val="14"/>
      <w:szCs w:val="20"/>
    </w:rPr>
  </w:style>
  <w:style w:type="paragraph" w:customStyle="1" w:styleId="452">
    <w:name w:val="样式 样式 正文1 + 首行缩进:  2 字符 + 首行缩进:  2 字符"/>
    <w:basedOn w:val="420"/>
    <w:link w:val="453"/>
    <w:qFormat/>
    <w:uiPriority w:val="0"/>
    <w:pPr>
      <w:ind w:firstLine="480"/>
    </w:pPr>
    <w:rPr>
      <w:rFonts w:cs="宋体"/>
    </w:rPr>
  </w:style>
  <w:style w:type="character" w:customStyle="1" w:styleId="453">
    <w:name w:val="样式 样式 正文1 + 首行缩进:  2 字符 + 首行缩进:  2 字符 Char"/>
    <w:link w:val="452"/>
    <w:qFormat/>
    <w:uiPriority w:val="0"/>
    <w:rPr>
      <w:rFonts w:ascii="宋体" w:eastAsia="宋体" w:cs="宋体"/>
      <w:kern w:val="2"/>
      <w:sz w:val="24"/>
      <w:szCs w:val="24"/>
      <w:lang w:val="en-US" w:eastAsia="zh-CN" w:bidi="ar-SA"/>
    </w:rPr>
  </w:style>
  <w:style w:type="character" w:customStyle="1" w:styleId="454">
    <w:name w:val="样式 正文1 + 首行缩进:  2 字符 Char"/>
    <w:qFormat/>
    <w:uiPriority w:val="0"/>
    <w:rPr>
      <w:rFonts w:ascii="宋体" w:eastAsia="宋体" w:cs="宋体"/>
      <w:kern w:val="2"/>
      <w:sz w:val="24"/>
      <w:szCs w:val="24"/>
      <w:lang w:val="en-US" w:eastAsia="zh-CN" w:bidi="ar-SA"/>
    </w:rPr>
  </w:style>
  <w:style w:type="paragraph" w:customStyle="1" w:styleId="455">
    <w:name w:val="样式 正文缩进文本正文缩进 Char Char正文缩进 Char Char Char Char Char Char正文缩..."/>
    <w:basedOn w:val="19"/>
    <w:link w:val="456"/>
    <w:qFormat/>
    <w:uiPriority w:val="0"/>
    <w:pPr>
      <w:widowControl w:val="0"/>
      <w:ind w:firstLine="200"/>
      <w:jc w:val="both"/>
    </w:pPr>
    <w:rPr>
      <w:spacing w:val="15"/>
      <w:kern w:val="2"/>
      <w:szCs w:val="20"/>
      <w:lang w:bidi="ar-SA"/>
    </w:rPr>
  </w:style>
  <w:style w:type="character" w:customStyle="1" w:styleId="456">
    <w:name w:val="样式 正文缩进文本正文缩进 Char Char正文缩进 Char Char Char Char Char Char正文缩... Char"/>
    <w:link w:val="455"/>
    <w:qFormat/>
    <w:uiPriority w:val="0"/>
    <w:rPr>
      <w:rFonts w:ascii="Times New Roman" w:hAnsi="Times New Roman"/>
      <w:spacing w:val="15"/>
      <w:kern w:val="2"/>
      <w:sz w:val="24"/>
    </w:rPr>
  </w:style>
  <w:style w:type="paragraph" w:customStyle="1" w:styleId="457">
    <w:name w:val="表内容"/>
    <w:basedOn w:val="1"/>
    <w:link w:val="458"/>
    <w:qFormat/>
    <w:uiPriority w:val="0"/>
    <w:pPr>
      <w:spacing w:line="280" w:lineRule="exact"/>
      <w:jc w:val="center"/>
    </w:pPr>
    <w:rPr>
      <w:spacing w:val="14"/>
      <w:szCs w:val="20"/>
    </w:rPr>
  </w:style>
  <w:style w:type="character" w:customStyle="1" w:styleId="458">
    <w:name w:val="表内容 Char"/>
    <w:link w:val="457"/>
    <w:qFormat/>
    <w:uiPriority w:val="0"/>
    <w:rPr>
      <w:rFonts w:ascii="Times New Roman" w:hAnsi="Times New Roman" w:cs="宋体"/>
      <w:spacing w:val="14"/>
      <w:kern w:val="2"/>
      <w:sz w:val="21"/>
    </w:rPr>
  </w:style>
  <w:style w:type="paragraph" w:customStyle="1" w:styleId="459">
    <w:name w:val="样式 样式5 + 首行缩进:  2 字符"/>
    <w:basedOn w:val="163"/>
    <w:link w:val="460"/>
    <w:qFormat/>
    <w:uiPriority w:val="0"/>
    <w:pPr>
      <w:widowControl w:val="0"/>
    </w:pPr>
    <w:rPr>
      <w:rFonts w:ascii="宋体" w:hAnsi="宋体" w:eastAsia="宋体"/>
      <w:kern w:val="2"/>
      <w:lang w:bidi="ar-SA"/>
    </w:rPr>
  </w:style>
  <w:style w:type="character" w:customStyle="1" w:styleId="460">
    <w:name w:val="样式 样式5 + 首行缩进:  2 字符 Char"/>
    <w:link w:val="459"/>
    <w:qFormat/>
    <w:uiPriority w:val="0"/>
    <w:rPr>
      <w:rFonts w:ascii="宋体" w:hAnsi="宋体" w:cs="宋体"/>
      <w:kern w:val="2"/>
      <w:sz w:val="24"/>
      <w:szCs w:val="24"/>
    </w:rPr>
  </w:style>
  <w:style w:type="paragraph" w:customStyle="1" w:styleId="461">
    <w:name w:val="0"/>
    <w:basedOn w:val="1"/>
    <w:qFormat/>
    <w:uiPriority w:val="0"/>
    <w:pPr>
      <w:widowControl/>
      <w:snapToGrid w:val="0"/>
      <w:spacing w:line="365" w:lineRule="atLeast"/>
      <w:ind w:left="1"/>
      <w:textAlignment w:val="bottom"/>
    </w:pPr>
    <w:rPr>
      <w:kern w:val="0"/>
      <w:sz w:val="20"/>
      <w:szCs w:val="20"/>
    </w:rPr>
  </w:style>
  <w:style w:type="paragraph" w:customStyle="1" w:styleId="462">
    <w:name w:val="正文样式1"/>
    <w:basedOn w:val="1"/>
    <w:qFormat/>
    <w:uiPriority w:val="0"/>
    <w:pPr>
      <w:adjustRightInd w:val="0"/>
      <w:snapToGrid w:val="0"/>
      <w:ind w:firstLine="482"/>
      <w:textAlignment w:val="baseline"/>
    </w:pPr>
    <w:rPr>
      <w:snapToGrid w:val="0"/>
      <w:spacing w:val="10"/>
      <w:kern w:val="0"/>
      <w:szCs w:val="24"/>
    </w:rPr>
  </w:style>
  <w:style w:type="character" w:customStyle="1" w:styleId="463">
    <w:name w:val="样式4 Char"/>
    <w:qFormat/>
    <w:uiPriority w:val="0"/>
    <w:rPr>
      <w:rFonts w:ascii="宋体" w:eastAsia="宋体"/>
      <w:kern w:val="2"/>
      <w:sz w:val="24"/>
      <w:lang w:val="en-US" w:eastAsia="zh-CN"/>
    </w:rPr>
  </w:style>
  <w:style w:type="character" w:customStyle="1" w:styleId="464">
    <w:name w:val="Char Char2"/>
    <w:qFormat/>
    <w:uiPriority w:val="0"/>
    <w:rPr>
      <w:rFonts w:eastAsia="宋体"/>
      <w:kern w:val="2"/>
      <w:sz w:val="18"/>
      <w:lang w:val="en-US" w:eastAsia="zh-CN"/>
    </w:rPr>
  </w:style>
  <w:style w:type="character" w:customStyle="1" w:styleId="465">
    <w:name w:val="李晓燕正文样式 Char"/>
    <w:link w:val="466"/>
    <w:qFormat/>
    <w:uiPriority w:val="0"/>
    <w:rPr>
      <w:rFonts w:ascii="黑体" w:hAnsi="黑体"/>
      <w:sz w:val="24"/>
    </w:rPr>
  </w:style>
  <w:style w:type="paragraph" w:customStyle="1" w:styleId="466">
    <w:name w:val="李晓燕正文样式"/>
    <w:basedOn w:val="26"/>
    <w:link w:val="465"/>
    <w:qFormat/>
    <w:uiPriority w:val="0"/>
    <w:pPr>
      <w:autoSpaceDE w:val="0"/>
      <w:autoSpaceDN w:val="0"/>
      <w:adjustRightInd w:val="0"/>
      <w:spacing w:beforeLines="20" w:afterLines="20"/>
      <w:ind w:firstLine="480"/>
      <w:jc w:val="both"/>
    </w:pPr>
    <w:rPr>
      <w:rFonts w:ascii="黑体" w:hAnsi="黑体" w:eastAsia="宋体"/>
      <w:szCs w:val="20"/>
      <w:lang w:bidi="ar-SA"/>
    </w:rPr>
  </w:style>
  <w:style w:type="paragraph" w:customStyle="1" w:styleId="467">
    <w:name w:val="font10"/>
    <w:basedOn w:val="1"/>
    <w:qFormat/>
    <w:uiPriority w:val="0"/>
    <w:pPr>
      <w:widowControl/>
      <w:spacing w:beforeAutospacing="1" w:after="100" w:afterAutospacing="1" w:line="240" w:lineRule="auto"/>
    </w:pPr>
    <w:rPr>
      <w:rFonts w:hint="eastAsia" w:ascii="宋体" w:hAnsi="宋体"/>
      <w:kern w:val="0"/>
      <w:sz w:val="22"/>
      <w:szCs w:val="20"/>
    </w:rPr>
  </w:style>
  <w:style w:type="paragraph" w:customStyle="1" w:styleId="468">
    <w:name w:val="xl49"/>
    <w:basedOn w:val="1"/>
    <w:qFormat/>
    <w:uiPriority w:val="0"/>
    <w:pPr>
      <w:widowControl/>
      <w:pBdr>
        <w:top w:val="single" w:color="auto" w:sz="4" w:space="0"/>
      </w:pBdr>
      <w:spacing w:beforeAutospacing="1" w:after="100" w:afterAutospacing="1" w:line="240" w:lineRule="auto"/>
    </w:pPr>
    <w:rPr>
      <w:rFonts w:ascii="宋体" w:hAnsi="宋体"/>
      <w:kern w:val="0"/>
      <w:sz w:val="22"/>
      <w:szCs w:val="20"/>
    </w:rPr>
  </w:style>
  <w:style w:type="paragraph" w:customStyle="1" w:styleId="469">
    <w:name w:val="xl64"/>
    <w:basedOn w:val="1"/>
    <w:qFormat/>
    <w:uiPriority w:val="0"/>
    <w:pPr>
      <w:widowControl/>
      <w:pBdr>
        <w:left w:val="single" w:color="auto" w:sz="4" w:space="0"/>
        <w:right w:val="single" w:color="auto" w:sz="4" w:space="0"/>
      </w:pBdr>
      <w:spacing w:beforeAutospacing="1" w:after="100" w:afterAutospacing="1" w:line="240" w:lineRule="auto"/>
      <w:jc w:val="center"/>
      <w:textAlignment w:val="center"/>
    </w:pPr>
    <w:rPr>
      <w:rFonts w:ascii="Arial Unicode MS" w:hAnsi="Arial Unicode MS" w:eastAsia="Arial Unicode MS"/>
      <w:color w:val="000000"/>
      <w:kern w:val="0"/>
      <w:szCs w:val="20"/>
    </w:rPr>
  </w:style>
  <w:style w:type="paragraph" w:customStyle="1" w:styleId="470">
    <w:name w:val="xl46"/>
    <w:basedOn w:val="1"/>
    <w:qFormat/>
    <w:uiPriority w:val="0"/>
    <w:pPr>
      <w:widowControl/>
      <w:pBdr>
        <w:left w:val="single" w:color="auto" w:sz="4" w:space="0"/>
        <w:bottom w:val="single" w:color="auto" w:sz="4" w:space="0"/>
        <w:right w:val="single" w:color="auto" w:sz="4" w:space="0"/>
      </w:pBdr>
      <w:spacing w:beforeAutospacing="1" w:after="100" w:afterAutospacing="1" w:line="240" w:lineRule="auto"/>
      <w:jc w:val="center"/>
      <w:textAlignment w:val="center"/>
    </w:pPr>
    <w:rPr>
      <w:rFonts w:ascii="宋体" w:hAnsi="宋体"/>
      <w:color w:val="FF0000"/>
      <w:kern w:val="0"/>
      <w:sz w:val="22"/>
      <w:szCs w:val="20"/>
    </w:rPr>
  </w:style>
  <w:style w:type="paragraph" w:customStyle="1" w:styleId="471">
    <w:name w:val="xl50"/>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textAlignment w:val="center"/>
    </w:pPr>
    <w:rPr>
      <w:rFonts w:ascii="宋体" w:hAnsi="宋体"/>
      <w:kern w:val="0"/>
      <w:sz w:val="18"/>
      <w:szCs w:val="20"/>
    </w:rPr>
  </w:style>
  <w:style w:type="paragraph" w:customStyle="1" w:styleId="472">
    <w:name w:val="样式 小四 段前: 7.8 磅 段后: 7.8 磅 行距: 1.5 倍行距"/>
    <w:basedOn w:val="1"/>
    <w:qFormat/>
    <w:uiPriority w:val="0"/>
    <w:pPr>
      <w:spacing w:before="156" w:after="156"/>
      <w:ind w:firstLine="536"/>
    </w:pPr>
    <w:rPr>
      <w:color w:val="FF0000"/>
      <w:spacing w:val="15"/>
      <w:szCs w:val="20"/>
    </w:rPr>
  </w:style>
  <w:style w:type="paragraph" w:customStyle="1" w:styleId="473">
    <w:name w:val="xl51"/>
    <w:basedOn w:val="1"/>
    <w:qFormat/>
    <w:uiPriority w:val="0"/>
    <w:pPr>
      <w:widowControl/>
      <w:pBdr>
        <w:top w:val="single" w:color="auto" w:sz="4" w:space="0"/>
      </w:pBdr>
      <w:spacing w:beforeAutospacing="1" w:after="100" w:afterAutospacing="1" w:line="240" w:lineRule="auto"/>
    </w:pPr>
    <w:rPr>
      <w:rFonts w:ascii="宋体" w:hAnsi="宋体"/>
      <w:kern w:val="0"/>
      <w:sz w:val="18"/>
      <w:szCs w:val="20"/>
    </w:rPr>
  </w:style>
  <w:style w:type="paragraph" w:customStyle="1" w:styleId="474">
    <w:name w:val="xl23"/>
    <w:basedOn w:val="1"/>
    <w:qFormat/>
    <w:uiPriority w:val="0"/>
    <w:pPr>
      <w:widowControl/>
      <w:pBdr>
        <w:top w:val="single" w:color="auto" w:sz="4" w:space="0"/>
        <w:left w:val="single" w:color="auto" w:sz="4" w:space="0"/>
        <w:right w:val="single" w:color="auto" w:sz="4" w:space="0"/>
      </w:pBdr>
      <w:spacing w:beforeAutospacing="1" w:after="100" w:afterAutospacing="1" w:line="240" w:lineRule="auto"/>
      <w:jc w:val="center"/>
    </w:pPr>
    <w:rPr>
      <w:rFonts w:ascii="宋体" w:hAnsi="宋体"/>
      <w:kern w:val="0"/>
      <w:sz w:val="22"/>
      <w:szCs w:val="20"/>
    </w:rPr>
  </w:style>
  <w:style w:type="paragraph" w:customStyle="1" w:styleId="475">
    <w:name w:val="title4"/>
    <w:basedOn w:val="1"/>
    <w:qFormat/>
    <w:uiPriority w:val="0"/>
    <w:pPr>
      <w:spacing w:beforeLines="50" w:line="480" w:lineRule="atLeast"/>
    </w:pPr>
    <w:rPr>
      <w:b/>
      <w:sz w:val="28"/>
      <w:szCs w:val="20"/>
    </w:rPr>
  </w:style>
  <w:style w:type="paragraph" w:customStyle="1" w:styleId="476">
    <w:name w:val="xl48"/>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textAlignment w:val="center"/>
    </w:pPr>
    <w:rPr>
      <w:kern w:val="0"/>
      <w:sz w:val="22"/>
      <w:szCs w:val="20"/>
    </w:rPr>
  </w:style>
  <w:style w:type="paragraph" w:customStyle="1" w:styleId="477">
    <w:name w:val="16"/>
    <w:basedOn w:val="1"/>
    <w:qFormat/>
    <w:uiPriority w:val="0"/>
    <w:pPr>
      <w:widowControl/>
      <w:snapToGrid w:val="0"/>
      <w:spacing w:beforeAutospacing="1" w:after="100" w:afterAutospacing="1"/>
    </w:pPr>
    <w:rPr>
      <w:b/>
      <w:kern w:val="0"/>
      <w:szCs w:val="20"/>
    </w:rPr>
  </w:style>
  <w:style w:type="paragraph" w:customStyle="1" w:styleId="478">
    <w:name w:val="xl66"/>
    <w:basedOn w:val="1"/>
    <w:qFormat/>
    <w:uiPriority w:val="0"/>
    <w:pPr>
      <w:widowControl/>
      <w:spacing w:beforeAutospacing="1" w:after="100" w:afterAutospacing="1" w:line="240" w:lineRule="auto"/>
      <w:jc w:val="center"/>
      <w:textAlignment w:val="bottom"/>
    </w:pPr>
    <w:rPr>
      <w:color w:val="000000"/>
      <w:kern w:val="0"/>
      <w:sz w:val="20"/>
      <w:szCs w:val="20"/>
    </w:rPr>
  </w:style>
  <w:style w:type="paragraph" w:customStyle="1" w:styleId="479">
    <w:name w:val="正文文字1"/>
    <w:basedOn w:val="1"/>
    <w:next w:val="2"/>
    <w:qFormat/>
    <w:uiPriority w:val="0"/>
    <w:pPr>
      <w:spacing w:line="240" w:lineRule="auto"/>
    </w:pPr>
    <w:rPr>
      <w:rFonts w:ascii="宋体" w:hAnsi="Courier New"/>
      <w:szCs w:val="20"/>
    </w:rPr>
  </w:style>
  <w:style w:type="paragraph" w:customStyle="1" w:styleId="480">
    <w:name w:val="font0"/>
    <w:basedOn w:val="7"/>
    <w:qFormat/>
    <w:uiPriority w:val="0"/>
    <w:pPr>
      <w:widowControl/>
      <w:spacing w:before="100" w:beforeAutospacing="1" w:after="100" w:afterAutospacing="1" w:line="377" w:lineRule="auto"/>
    </w:pPr>
    <w:rPr>
      <w:rFonts w:hint="eastAsia" w:ascii="宋体" w:hAnsi="宋体" w:eastAsia="黑体"/>
      <w:bCs w:val="0"/>
      <w:spacing w:val="20"/>
      <w:sz w:val="24"/>
      <w:szCs w:val="20"/>
    </w:rPr>
  </w:style>
  <w:style w:type="paragraph" w:customStyle="1" w:styleId="481">
    <w:name w:val="font1"/>
    <w:basedOn w:val="1"/>
    <w:qFormat/>
    <w:uiPriority w:val="0"/>
    <w:pPr>
      <w:widowControl/>
      <w:spacing w:beforeAutospacing="1" w:after="100" w:afterAutospacing="1" w:line="240" w:lineRule="auto"/>
    </w:pPr>
    <w:rPr>
      <w:rFonts w:hint="eastAsia" w:ascii="宋体" w:hAnsi="宋体"/>
      <w:kern w:val="0"/>
      <w:szCs w:val="20"/>
    </w:rPr>
  </w:style>
  <w:style w:type="paragraph" w:customStyle="1" w:styleId="482">
    <w:name w:val="xl47"/>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textAlignment w:val="center"/>
    </w:pPr>
    <w:rPr>
      <w:rFonts w:ascii="宋体" w:hAnsi="宋体"/>
      <w:kern w:val="0"/>
      <w:sz w:val="22"/>
      <w:szCs w:val="20"/>
    </w:rPr>
  </w:style>
  <w:style w:type="paragraph" w:customStyle="1" w:styleId="483">
    <w:name w:val="18"/>
    <w:basedOn w:val="1"/>
    <w:qFormat/>
    <w:uiPriority w:val="0"/>
    <w:pPr>
      <w:widowControl/>
      <w:snapToGrid w:val="0"/>
      <w:spacing w:beforeAutospacing="1" w:after="100" w:afterAutospacing="1"/>
    </w:pPr>
    <w:rPr>
      <w:rFonts w:ascii="宋体" w:hAnsi="宋体"/>
      <w:kern w:val="0"/>
      <w:szCs w:val="20"/>
    </w:rPr>
  </w:style>
  <w:style w:type="paragraph" w:customStyle="1" w:styleId="484">
    <w:name w:val="font8"/>
    <w:basedOn w:val="1"/>
    <w:qFormat/>
    <w:uiPriority w:val="0"/>
    <w:pPr>
      <w:widowControl/>
      <w:spacing w:beforeAutospacing="1" w:after="100" w:afterAutospacing="1" w:line="240" w:lineRule="auto"/>
    </w:pPr>
    <w:rPr>
      <w:kern w:val="0"/>
      <w:sz w:val="22"/>
      <w:szCs w:val="20"/>
    </w:rPr>
  </w:style>
  <w:style w:type="paragraph" w:customStyle="1" w:styleId="485">
    <w:name w:val="xl63"/>
    <w:basedOn w:val="1"/>
    <w:qFormat/>
    <w:uiPriority w:val="0"/>
    <w:pPr>
      <w:widowControl/>
      <w:spacing w:after="100" w:line="240" w:lineRule="auto"/>
      <w:jc w:val="center"/>
      <w:textAlignment w:val="center"/>
    </w:pPr>
    <w:rPr>
      <w:rFonts w:hint="eastAsia" w:ascii="黑体" w:hAnsi="宋体" w:eastAsia="黑体"/>
      <w:kern w:val="0"/>
      <w:szCs w:val="20"/>
    </w:rPr>
  </w:style>
  <w:style w:type="paragraph" w:customStyle="1" w:styleId="486">
    <w:name w:val="表样"/>
    <w:basedOn w:val="1"/>
    <w:qFormat/>
    <w:uiPriority w:val="0"/>
    <w:pPr>
      <w:adjustRightInd w:val="0"/>
      <w:snapToGrid w:val="0"/>
      <w:jc w:val="center"/>
      <w:textAlignment w:val="baseline"/>
    </w:pPr>
    <w:rPr>
      <w:kern w:val="0"/>
      <w:szCs w:val="20"/>
    </w:rPr>
  </w:style>
  <w:style w:type="paragraph" w:customStyle="1" w:styleId="487">
    <w:name w:val="表目录"/>
    <w:basedOn w:val="1"/>
    <w:qFormat/>
    <w:uiPriority w:val="0"/>
    <w:rPr>
      <w:rFonts w:eastAsia="黑体"/>
      <w:sz w:val="28"/>
      <w:szCs w:val="20"/>
    </w:rPr>
  </w:style>
  <w:style w:type="paragraph" w:customStyle="1" w:styleId="488">
    <w:name w:val="xl52"/>
    <w:basedOn w:val="1"/>
    <w:qFormat/>
    <w:uiPriority w:val="0"/>
    <w:pPr>
      <w:widowControl/>
      <w:pBdr>
        <w:left w:val="single" w:color="auto" w:sz="4" w:space="0"/>
        <w:bottom w:val="single" w:color="auto" w:sz="4" w:space="0"/>
        <w:right w:val="single" w:color="auto" w:sz="4" w:space="0"/>
      </w:pBdr>
      <w:spacing w:beforeAutospacing="1" w:after="100" w:afterAutospacing="1" w:line="240" w:lineRule="auto"/>
      <w:jc w:val="center"/>
      <w:textAlignment w:val="center"/>
    </w:pPr>
    <w:rPr>
      <w:rFonts w:ascii="宋体" w:hAnsi="宋体"/>
      <w:color w:val="FF00FF"/>
      <w:kern w:val="0"/>
      <w:sz w:val="20"/>
      <w:szCs w:val="20"/>
    </w:rPr>
  </w:style>
  <w:style w:type="paragraph" w:customStyle="1" w:styleId="489">
    <w:name w:val="Char Char Char Char Char Char Char Char Char Char Char Char Char Char Char Char Char Char Char Char Char Char Char Char Char Char Char Char Char Char Char Char Char Char Char Char Char Char Char Char Char Char Char Char Char Char"/>
    <w:basedOn w:val="1"/>
    <w:next w:val="1"/>
    <w:qFormat/>
    <w:uiPriority w:val="0"/>
    <w:pPr>
      <w:pBdr>
        <w:right w:val="single" w:color="auto" w:sz="12" w:space="4"/>
      </w:pBdr>
    </w:pPr>
    <w:rPr>
      <w:rFonts w:ascii="宋体" w:hAnsi="宋体" w:cs="宋体"/>
      <w:szCs w:val="24"/>
    </w:rPr>
  </w:style>
  <w:style w:type="paragraph" w:customStyle="1" w:styleId="490">
    <w:name w:val="样式 四号 行距: 固定值 30 磅"/>
    <w:basedOn w:val="1"/>
    <w:link w:val="491"/>
    <w:qFormat/>
    <w:uiPriority w:val="0"/>
    <w:pPr>
      <w:spacing w:line="440" w:lineRule="exact"/>
      <w:ind w:firstLine="464"/>
    </w:pPr>
    <w:rPr>
      <w:spacing w:val="-4"/>
      <w:szCs w:val="24"/>
    </w:rPr>
  </w:style>
  <w:style w:type="character" w:customStyle="1" w:styleId="491">
    <w:name w:val="样式 四号 行距: 固定值 30 磅 Char"/>
    <w:link w:val="490"/>
    <w:qFormat/>
    <w:uiPriority w:val="0"/>
    <w:rPr>
      <w:rFonts w:ascii="Times New Roman" w:hAnsi="Times New Roman"/>
      <w:spacing w:val="-4"/>
      <w:kern w:val="2"/>
      <w:sz w:val="24"/>
      <w:szCs w:val="24"/>
    </w:rPr>
  </w:style>
  <w:style w:type="paragraph" w:customStyle="1" w:styleId="492">
    <w:name w:val="Char Char Char Char Char Char Char Char Char Char Char Char Char Char Char Char"/>
    <w:basedOn w:val="1"/>
    <w:qFormat/>
    <w:uiPriority w:val="0"/>
    <w:pPr>
      <w:spacing w:line="240" w:lineRule="auto"/>
    </w:pPr>
    <w:rPr>
      <w:szCs w:val="24"/>
    </w:rPr>
  </w:style>
  <w:style w:type="paragraph" w:customStyle="1" w:styleId="493">
    <w:name w:val="xl67"/>
    <w:basedOn w:val="1"/>
    <w:qFormat/>
    <w:uiPriority w:val="0"/>
    <w:pPr>
      <w:widowControl/>
      <w:spacing w:beforeAutospacing="1" w:after="100" w:afterAutospacing="1" w:line="240" w:lineRule="auto"/>
    </w:pPr>
    <w:rPr>
      <w:rFonts w:ascii="宋体" w:hAnsi="宋体" w:cs="宋体"/>
      <w:b/>
      <w:bCs/>
      <w:kern w:val="0"/>
      <w:szCs w:val="24"/>
    </w:rPr>
  </w:style>
  <w:style w:type="paragraph" w:customStyle="1" w:styleId="494">
    <w:name w:val="xl68"/>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b/>
      <w:bCs/>
      <w:color w:val="FF0000"/>
      <w:kern w:val="0"/>
      <w:szCs w:val="21"/>
    </w:rPr>
  </w:style>
  <w:style w:type="paragraph" w:customStyle="1" w:styleId="495">
    <w:name w:val="xl69"/>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color w:val="FF0000"/>
      <w:kern w:val="0"/>
      <w:szCs w:val="21"/>
    </w:rPr>
  </w:style>
  <w:style w:type="paragraph" w:customStyle="1" w:styleId="496">
    <w:name w:val="xl70"/>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b/>
      <w:bCs/>
      <w:color w:val="FF0000"/>
      <w:kern w:val="0"/>
      <w:szCs w:val="21"/>
    </w:rPr>
  </w:style>
  <w:style w:type="paragraph" w:customStyle="1" w:styleId="497">
    <w:name w:val="xl71"/>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color w:val="FF0000"/>
      <w:kern w:val="0"/>
      <w:szCs w:val="21"/>
    </w:rPr>
  </w:style>
  <w:style w:type="paragraph" w:customStyle="1" w:styleId="498">
    <w:name w:val="xl72"/>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color w:val="0000FF"/>
      <w:kern w:val="0"/>
      <w:szCs w:val="21"/>
    </w:rPr>
  </w:style>
  <w:style w:type="paragraph" w:customStyle="1" w:styleId="499">
    <w:name w:val="xl73"/>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color w:val="339966"/>
      <w:kern w:val="0"/>
      <w:szCs w:val="21"/>
    </w:rPr>
  </w:style>
  <w:style w:type="paragraph" w:customStyle="1" w:styleId="500">
    <w:name w:val="xl74"/>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b/>
      <w:bCs/>
      <w:color w:val="FF0000"/>
      <w:kern w:val="0"/>
      <w:szCs w:val="21"/>
    </w:rPr>
  </w:style>
  <w:style w:type="paragraph" w:customStyle="1" w:styleId="501">
    <w:name w:val="xl75"/>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b/>
      <w:bCs/>
      <w:color w:val="0000FF"/>
      <w:kern w:val="0"/>
      <w:szCs w:val="21"/>
    </w:rPr>
  </w:style>
  <w:style w:type="paragraph" w:customStyle="1" w:styleId="502">
    <w:name w:val="xl76"/>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b/>
      <w:bCs/>
      <w:color w:val="339966"/>
      <w:kern w:val="0"/>
      <w:szCs w:val="21"/>
    </w:rPr>
  </w:style>
  <w:style w:type="paragraph" w:customStyle="1" w:styleId="503">
    <w:name w:val="xl77"/>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b/>
      <w:bCs/>
      <w:color w:val="0000FF"/>
      <w:kern w:val="0"/>
      <w:szCs w:val="21"/>
    </w:rPr>
  </w:style>
  <w:style w:type="paragraph" w:customStyle="1" w:styleId="504">
    <w:name w:val="xl78"/>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b/>
      <w:bCs/>
      <w:color w:val="339966"/>
      <w:kern w:val="0"/>
      <w:szCs w:val="21"/>
    </w:rPr>
  </w:style>
  <w:style w:type="paragraph" w:customStyle="1" w:styleId="505">
    <w:name w:val="xl79"/>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b/>
      <w:bCs/>
      <w:color w:val="FF0000"/>
      <w:kern w:val="0"/>
      <w:szCs w:val="21"/>
    </w:rPr>
  </w:style>
  <w:style w:type="paragraph" w:customStyle="1" w:styleId="506">
    <w:name w:val="xl80"/>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b/>
      <w:bCs/>
      <w:color w:val="0000FF"/>
      <w:kern w:val="0"/>
      <w:szCs w:val="21"/>
    </w:rPr>
  </w:style>
  <w:style w:type="paragraph" w:customStyle="1" w:styleId="507">
    <w:name w:val="xl81"/>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b/>
      <w:bCs/>
      <w:color w:val="339966"/>
      <w:kern w:val="0"/>
      <w:szCs w:val="21"/>
    </w:rPr>
  </w:style>
  <w:style w:type="paragraph" w:customStyle="1" w:styleId="508">
    <w:name w:val="xl82"/>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b/>
      <w:bCs/>
      <w:color w:val="FF0000"/>
      <w:kern w:val="0"/>
      <w:szCs w:val="21"/>
    </w:rPr>
  </w:style>
  <w:style w:type="paragraph" w:customStyle="1" w:styleId="509">
    <w:name w:val="xl83"/>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color w:val="FF0000"/>
      <w:kern w:val="0"/>
      <w:szCs w:val="21"/>
    </w:rPr>
  </w:style>
  <w:style w:type="paragraph" w:customStyle="1" w:styleId="510">
    <w:name w:val="xl84"/>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color w:val="0000FF"/>
      <w:kern w:val="0"/>
      <w:szCs w:val="21"/>
    </w:rPr>
  </w:style>
  <w:style w:type="paragraph" w:customStyle="1" w:styleId="511">
    <w:name w:val="xl85"/>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color w:val="FF0000"/>
      <w:kern w:val="0"/>
      <w:szCs w:val="21"/>
    </w:rPr>
  </w:style>
  <w:style w:type="paragraph" w:customStyle="1" w:styleId="512">
    <w:name w:val="xl86"/>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rFonts w:ascii="宋体" w:hAnsi="宋体" w:cs="宋体"/>
      <w:color w:val="339966"/>
      <w:kern w:val="0"/>
      <w:szCs w:val="21"/>
    </w:rPr>
  </w:style>
  <w:style w:type="paragraph" w:customStyle="1" w:styleId="513">
    <w:name w:val="xl87"/>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b/>
      <w:bCs/>
      <w:color w:val="0000FF"/>
      <w:kern w:val="0"/>
      <w:szCs w:val="21"/>
    </w:rPr>
  </w:style>
  <w:style w:type="paragraph" w:customStyle="1" w:styleId="514">
    <w:name w:val="xl88"/>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color w:val="0000FF"/>
      <w:kern w:val="0"/>
      <w:szCs w:val="21"/>
    </w:rPr>
  </w:style>
  <w:style w:type="paragraph" w:customStyle="1" w:styleId="515">
    <w:name w:val="xl89"/>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pPr>
    <w:rPr>
      <w:rFonts w:ascii="宋体" w:hAnsi="宋体" w:cs="宋体"/>
      <w:color w:val="FF0000"/>
      <w:kern w:val="0"/>
      <w:szCs w:val="24"/>
    </w:rPr>
  </w:style>
  <w:style w:type="paragraph" w:customStyle="1" w:styleId="516">
    <w:name w:val="xl90"/>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b/>
      <w:bCs/>
      <w:color w:val="FF0000"/>
      <w:kern w:val="0"/>
      <w:szCs w:val="21"/>
    </w:rPr>
  </w:style>
  <w:style w:type="paragraph" w:customStyle="1" w:styleId="517">
    <w:name w:val="xl91"/>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color w:val="FF0000"/>
      <w:kern w:val="0"/>
      <w:szCs w:val="21"/>
    </w:rPr>
  </w:style>
  <w:style w:type="paragraph" w:customStyle="1" w:styleId="518">
    <w:name w:val="xl92"/>
    <w:basedOn w:val="1"/>
    <w:qFormat/>
    <w:uiPriority w:val="0"/>
    <w:pPr>
      <w:widowControl/>
      <w:pBdr>
        <w:top w:val="single" w:color="auto" w:sz="4" w:space="0"/>
        <w:left w:val="single" w:color="auto" w:sz="4" w:space="0"/>
        <w:bottom w:val="single" w:color="auto" w:sz="4" w:space="0"/>
        <w:right w:val="single" w:color="auto" w:sz="4" w:space="0"/>
      </w:pBdr>
      <w:spacing w:beforeAutospacing="1" w:after="100" w:afterAutospacing="1" w:line="240" w:lineRule="auto"/>
      <w:jc w:val="center"/>
    </w:pPr>
    <w:rPr>
      <w:b/>
      <w:bCs/>
      <w:color w:val="339966"/>
      <w:kern w:val="0"/>
      <w:szCs w:val="21"/>
    </w:rPr>
  </w:style>
  <w:style w:type="paragraph" w:customStyle="1" w:styleId="519">
    <w:name w:val="Char1 Char Char Char"/>
    <w:basedOn w:val="1"/>
    <w:qFormat/>
    <w:uiPriority w:val="0"/>
    <w:pPr>
      <w:spacing w:line="240" w:lineRule="auto"/>
    </w:pPr>
    <w:rPr>
      <w:rFonts w:ascii="Tahoma" w:hAnsi="Tahoma"/>
      <w:szCs w:val="24"/>
    </w:rPr>
  </w:style>
  <w:style w:type="character" w:customStyle="1" w:styleId="520">
    <w:name w:val="样式 小四"/>
    <w:qFormat/>
    <w:uiPriority w:val="0"/>
    <w:rPr>
      <w:rFonts w:ascii="Times New Roman" w:hAnsi="Times New Roman" w:eastAsia="宋体"/>
      <w:spacing w:val="14"/>
      <w:kern w:val="2"/>
      <w:sz w:val="24"/>
      <w:szCs w:val="24"/>
      <w:lang w:val="en-US" w:eastAsia="zh-CN" w:bidi="ar-SA"/>
    </w:rPr>
  </w:style>
  <w:style w:type="paragraph" w:customStyle="1" w:styleId="521">
    <w:name w:val="样式 样式 正文1 + 首行缩进:  2 字符 + (符号) 宋体 首行缩进:  2 字符"/>
    <w:basedOn w:val="420"/>
    <w:link w:val="522"/>
    <w:qFormat/>
    <w:uiPriority w:val="0"/>
    <w:rPr>
      <w:rFonts w:hAnsi="宋体" w:cs="宋体"/>
      <w:szCs w:val="24"/>
    </w:rPr>
  </w:style>
  <w:style w:type="character" w:customStyle="1" w:styleId="522">
    <w:name w:val="样式 样式 正文1 + 首行缩进:  2 字符 + (符号) 宋体 首行缩进:  2 字符 Char"/>
    <w:link w:val="521"/>
    <w:qFormat/>
    <w:uiPriority w:val="0"/>
    <w:rPr>
      <w:rFonts w:ascii="宋体" w:hAnsi="宋体" w:eastAsia="宋体" w:cs="宋体"/>
      <w:kern w:val="2"/>
      <w:sz w:val="24"/>
      <w:szCs w:val="24"/>
      <w:lang w:val="en-US" w:eastAsia="zh-CN" w:bidi="ar-SA"/>
    </w:rPr>
  </w:style>
  <w:style w:type="paragraph" w:customStyle="1" w:styleId="523">
    <w:name w:val="说明书正文"/>
    <w:basedOn w:val="1"/>
    <w:semiHidden/>
    <w:qFormat/>
    <w:uiPriority w:val="0"/>
    <w:pPr>
      <w:widowControl/>
      <w:spacing w:line="520" w:lineRule="exact"/>
    </w:pPr>
    <w:rPr>
      <w:rFonts w:ascii="Trebuchet MS" w:hAnsi="Trebuchet MS"/>
      <w:kern w:val="0"/>
      <w:szCs w:val="24"/>
    </w:rPr>
  </w:style>
  <w:style w:type="paragraph" w:customStyle="1" w:styleId="524">
    <w:name w:val="Char1 Char Char Char Char Char Char"/>
    <w:basedOn w:val="1"/>
    <w:next w:val="1"/>
    <w:semiHidden/>
    <w:qFormat/>
    <w:uiPriority w:val="0"/>
    <w:pPr>
      <w:tabs>
        <w:tab w:val="left" w:pos="360"/>
      </w:tabs>
      <w:jc w:val="center"/>
    </w:pPr>
    <w:rPr>
      <w:rFonts w:ascii="黑体"/>
      <w:szCs w:val="32"/>
    </w:rPr>
  </w:style>
  <w:style w:type="paragraph" w:customStyle="1" w:styleId="525">
    <w:name w:val="gyy正文文字"/>
    <w:basedOn w:val="1"/>
    <w:qFormat/>
    <w:uiPriority w:val="0"/>
    <w:pPr>
      <w:ind w:firstLine="471"/>
    </w:pPr>
    <w:rPr>
      <w:rFonts w:cs="宋体"/>
      <w:color w:val="000000"/>
      <w:spacing w:val="14"/>
      <w:szCs w:val="24"/>
    </w:rPr>
  </w:style>
  <w:style w:type="paragraph" w:customStyle="1" w:styleId="526">
    <w:name w:val="wj样式"/>
    <w:basedOn w:val="1"/>
    <w:next w:val="1"/>
    <w:link w:val="527"/>
    <w:qFormat/>
    <w:uiPriority w:val="0"/>
    <w:rPr>
      <w:spacing w:val="14"/>
      <w:szCs w:val="24"/>
    </w:rPr>
  </w:style>
  <w:style w:type="character" w:customStyle="1" w:styleId="527">
    <w:name w:val="wj样式 Char"/>
    <w:link w:val="526"/>
    <w:qFormat/>
    <w:uiPriority w:val="0"/>
    <w:rPr>
      <w:rFonts w:ascii="Times New Roman" w:hAnsi="Times New Roman"/>
      <w:spacing w:val="14"/>
      <w:kern w:val="2"/>
      <w:sz w:val="24"/>
      <w:szCs w:val="24"/>
    </w:rPr>
  </w:style>
  <w:style w:type="paragraph" w:customStyle="1" w:styleId="528">
    <w:name w:val="样式 宋体 四号 两端对齐 首行缩进:  2 字符1"/>
    <w:basedOn w:val="1"/>
    <w:qFormat/>
    <w:uiPriority w:val="0"/>
    <w:pPr>
      <w:widowControl/>
      <w:spacing w:line="240" w:lineRule="auto"/>
      <w:ind w:firstLine="650"/>
    </w:pPr>
    <w:rPr>
      <w:rFonts w:cs="宋体"/>
      <w:kern w:val="0"/>
      <w:sz w:val="28"/>
      <w:szCs w:val="28"/>
    </w:rPr>
  </w:style>
  <w:style w:type="paragraph" w:customStyle="1" w:styleId="529">
    <w:name w:val="表格样式"/>
    <w:basedOn w:val="1"/>
    <w:qFormat/>
    <w:uiPriority w:val="0"/>
    <w:pPr>
      <w:adjustRightInd w:val="0"/>
      <w:snapToGrid w:val="0"/>
      <w:jc w:val="center"/>
    </w:pPr>
    <w:rPr>
      <w:rFonts w:ascii="宋体" w:hAnsi="宋体"/>
      <w:bCs/>
      <w:snapToGrid w:val="0"/>
      <w:kern w:val="0"/>
      <w:szCs w:val="21"/>
    </w:rPr>
  </w:style>
  <w:style w:type="character" w:customStyle="1" w:styleId="530">
    <w:name w:val="style6"/>
    <w:basedOn w:val="67"/>
    <w:qFormat/>
    <w:uiPriority w:val="0"/>
  </w:style>
  <w:style w:type="paragraph" w:customStyle="1" w:styleId="531">
    <w:name w:val="图表"/>
    <w:basedOn w:val="5"/>
    <w:link w:val="532"/>
    <w:qFormat/>
    <w:uiPriority w:val="0"/>
    <w:pPr>
      <w:keepNext w:val="0"/>
      <w:keepLines w:val="0"/>
      <w:adjustRightInd w:val="0"/>
      <w:snapToGrid w:val="0"/>
      <w:spacing w:beforeLines="50" w:afterLines="50"/>
      <w:ind w:firstLine="600" w:firstLineChars="600"/>
      <w:jc w:val="center"/>
      <w:textAlignment w:val="baseline"/>
      <w:outlineLvl w:val="0"/>
    </w:pPr>
    <w:rPr>
      <w:rFonts w:ascii="黑体" w:hAnsi="宋体"/>
      <w:b w:val="0"/>
      <w:kern w:val="2"/>
      <w:szCs w:val="24"/>
    </w:rPr>
  </w:style>
  <w:style w:type="character" w:customStyle="1" w:styleId="532">
    <w:name w:val="图表 Char"/>
    <w:link w:val="531"/>
    <w:qFormat/>
    <w:uiPriority w:val="0"/>
    <w:rPr>
      <w:rFonts w:ascii="黑体" w:hAnsi="宋体" w:cs="宋体"/>
      <w:bCs/>
      <w:kern w:val="2"/>
      <w:sz w:val="24"/>
      <w:szCs w:val="24"/>
    </w:rPr>
  </w:style>
  <w:style w:type="paragraph" w:customStyle="1" w:styleId="533">
    <w:name w:val="样式 样式 正文缩进文本 + 首行缩进:  2 字符 段前: 1.2 磅 段后: 1.2 磅 + 首行缩进:  2 字符"/>
    <w:basedOn w:val="1"/>
    <w:link w:val="534"/>
    <w:qFormat/>
    <w:uiPriority w:val="0"/>
    <w:pPr>
      <w:ind w:firstLine="620"/>
    </w:pPr>
    <w:rPr>
      <w:spacing w:val="15"/>
      <w:sz w:val="28"/>
      <w:szCs w:val="28"/>
    </w:rPr>
  </w:style>
  <w:style w:type="character" w:customStyle="1" w:styleId="534">
    <w:name w:val="样式 样式 正文缩进文本 + 首行缩进:  2 字符 段前: 1.2 磅 段后: 1.2 磅 + 首行缩进:  2 字符 Char"/>
    <w:link w:val="533"/>
    <w:qFormat/>
    <w:uiPriority w:val="0"/>
    <w:rPr>
      <w:rFonts w:ascii="Times New Roman" w:hAnsi="Times New Roman" w:cs="宋体"/>
      <w:spacing w:val="15"/>
      <w:kern w:val="2"/>
      <w:sz w:val="28"/>
      <w:szCs w:val="28"/>
    </w:rPr>
  </w:style>
  <w:style w:type="character" w:customStyle="1" w:styleId="535">
    <w:name w:val="a1"/>
    <w:qFormat/>
    <w:uiPriority w:val="0"/>
    <w:rPr>
      <w:color w:val="000000"/>
      <w:spacing w:val="240"/>
      <w:sz w:val="18"/>
      <w:szCs w:val="18"/>
    </w:rPr>
  </w:style>
  <w:style w:type="paragraph" w:customStyle="1" w:styleId="536">
    <w:name w:val="xl57"/>
    <w:basedOn w:val="1"/>
    <w:qFormat/>
    <w:uiPriority w:val="0"/>
    <w:pPr>
      <w:widowControl/>
      <w:pBdr>
        <w:left w:val="single" w:color="auto" w:sz="8" w:space="0"/>
        <w:right w:val="single" w:color="auto" w:sz="4" w:space="0"/>
      </w:pBdr>
      <w:spacing w:beforeAutospacing="1" w:after="100" w:afterAutospacing="1"/>
      <w:textAlignment w:val="center"/>
    </w:pPr>
    <w:rPr>
      <w:rFonts w:ascii="Arial Unicode MS" w:hAnsi="Arial Unicode MS" w:eastAsia="Arial Unicode MS" w:cs="Arial Unicode MS"/>
      <w:kern w:val="0"/>
      <w:szCs w:val="24"/>
    </w:rPr>
  </w:style>
  <w:style w:type="paragraph" w:customStyle="1" w:styleId="537">
    <w:name w:val="样式 样式 样式 首行缩进:  2 字符 + 首行缩进:  2 字符 + 首行缩进:  2 字符"/>
    <w:basedOn w:val="1"/>
    <w:link w:val="538"/>
    <w:qFormat/>
    <w:uiPriority w:val="0"/>
    <w:rPr>
      <w:spacing w:val="14"/>
      <w:szCs w:val="20"/>
    </w:rPr>
  </w:style>
  <w:style w:type="character" w:customStyle="1" w:styleId="538">
    <w:name w:val="样式 样式 样式 首行缩进:  2 字符 + 首行缩进:  2 字符 + 首行缩进:  2 字符 Char"/>
    <w:link w:val="537"/>
    <w:qFormat/>
    <w:uiPriority w:val="0"/>
    <w:rPr>
      <w:rFonts w:ascii="Times New Roman" w:hAnsi="Times New Roman" w:cs="宋体"/>
      <w:spacing w:val="14"/>
      <w:kern w:val="2"/>
      <w:sz w:val="24"/>
    </w:rPr>
  </w:style>
  <w:style w:type="paragraph" w:customStyle="1" w:styleId="539">
    <w:name w:val="表标题aa"/>
    <w:basedOn w:val="2"/>
    <w:qFormat/>
    <w:uiPriority w:val="0"/>
    <w:pPr>
      <w:widowControl w:val="0"/>
      <w:spacing w:beforeLines="50"/>
      <w:jc w:val="center"/>
    </w:pPr>
    <w:rPr>
      <w:rFonts w:ascii="宋体" w:hAnsi="宋体"/>
      <w:b/>
      <w:spacing w:val="10"/>
      <w:kern w:val="44"/>
      <w:szCs w:val="24"/>
      <w:lang w:eastAsia="zh-CN" w:bidi="ar-SA"/>
    </w:rPr>
  </w:style>
  <w:style w:type="paragraph" w:customStyle="1" w:styleId="540">
    <w:name w:val="页脚新"/>
    <w:basedOn w:val="40"/>
    <w:qFormat/>
    <w:uiPriority w:val="0"/>
    <w:pPr>
      <w:widowControl w:val="0"/>
      <w:pBdr>
        <w:top w:val="none" w:color="auto" w:sz="0" w:space="0"/>
      </w:pBdr>
      <w:ind w:firstLine="0" w:firstLineChars="0"/>
    </w:pPr>
    <w:rPr>
      <w:rFonts w:eastAsia="宋体"/>
      <w:kern w:val="2"/>
      <w:lang w:eastAsia="zh-CN" w:bidi="ar-SA"/>
    </w:rPr>
  </w:style>
  <w:style w:type="paragraph" w:customStyle="1" w:styleId="541">
    <w:name w:val="Char1"/>
    <w:basedOn w:val="1"/>
    <w:qFormat/>
    <w:uiPriority w:val="0"/>
    <w:rPr>
      <w:rFonts w:ascii="宋体" w:hAnsi="宋体" w:cs="宋体"/>
      <w:sz w:val="26"/>
      <w:szCs w:val="26"/>
    </w:rPr>
  </w:style>
  <w:style w:type="character" w:customStyle="1" w:styleId="542">
    <w:name w:val="样式4 Char1"/>
    <w:link w:val="258"/>
    <w:qFormat/>
    <w:uiPriority w:val="0"/>
    <w:rPr>
      <w:rFonts w:ascii="Times New Roman" w:hAnsi="Times New Roman"/>
      <w:kern w:val="2"/>
      <w:sz w:val="21"/>
      <w:szCs w:val="21"/>
    </w:rPr>
  </w:style>
  <w:style w:type="paragraph" w:customStyle="1" w:styleId="543">
    <w:name w:val="Char Char Char Char Char Char Char Char Char Char Char Char Char Char Char Char Char Char Char Char Char Char Char Char Char Char Char Char Char Char Char Char Char Char"/>
    <w:basedOn w:val="1"/>
    <w:qFormat/>
    <w:uiPriority w:val="0"/>
    <w:pPr>
      <w:spacing w:line="240" w:lineRule="auto"/>
    </w:pPr>
    <w:rPr>
      <w:szCs w:val="24"/>
    </w:rPr>
  </w:style>
  <w:style w:type="paragraph" w:customStyle="1" w:styleId="544">
    <w:name w:val="Char Char Char Char Char Char Char Char Char Char Char Char Char Char Char Char Char Char Char Char Char Char Char Char Char Char Char Char Char Char Char Char Char Char Char Char Char Char Char Char Char Char Char Char Char Char1"/>
    <w:basedOn w:val="1"/>
    <w:next w:val="1"/>
    <w:qFormat/>
    <w:uiPriority w:val="0"/>
    <w:pPr>
      <w:pBdr>
        <w:right w:val="single" w:color="auto" w:sz="12" w:space="4"/>
      </w:pBdr>
    </w:pPr>
    <w:rPr>
      <w:rFonts w:ascii="宋体" w:hAnsi="宋体" w:cs="宋体"/>
      <w:szCs w:val="24"/>
    </w:rPr>
  </w:style>
  <w:style w:type="paragraph" w:customStyle="1" w:styleId="545">
    <w:name w:val="Char C1har Char Char Char Char"/>
    <w:basedOn w:val="1"/>
    <w:next w:val="3"/>
    <w:qFormat/>
    <w:uiPriority w:val="0"/>
    <w:pPr>
      <w:spacing w:line="240" w:lineRule="auto"/>
    </w:pPr>
    <w:rPr>
      <w:sz w:val="28"/>
      <w:szCs w:val="28"/>
    </w:rPr>
  </w:style>
  <w:style w:type="paragraph" w:customStyle="1" w:styleId="546">
    <w:name w:val="方案正文样式"/>
    <w:basedOn w:val="1"/>
    <w:link w:val="547"/>
    <w:qFormat/>
    <w:uiPriority w:val="0"/>
    <w:pPr>
      <w:adjustRightInd w:val="0"/>
      <w:snapToGrid w:val="0"/>
      <w:textAlignment w:val="baseline"/>
    </w:pPr>
    <w:rPr>
      <w:kern w:val="0"/>
      <w:szCs w:val="24"/>
    </w:rPr>
  </w:style>
  <w:style w:type="character" w:customStyle="1" w:styleId="547">
    <w:name w:val="方案正文样式 Char"/>
    <w:link w:val="546"/>
    <w:qFormat/>
    <w:uiPriority w:val="0"/>
    <w:rPr>
      <w:rFonts w:ascii="Times New Roman" w:hAnsi="Times New Roman"/>
      <w:snapToGrid/>
      <w:sz w:val="24"/>
      <w:szCs w:val="24"/>
    </w:rPr>
  </w:style>
  <w:style w:type="paragraph" w:customStyle="1" w:styleId="548">
    <w:name w:val="HZZH正文"/>
    <w:basedOn w:val="1"/>
    <w:link w:val="549"/>
    <w:qFormat/>
    <w:uiPriority w:val="0"/>
    <w:pPr>
      <w:ind w:firstLine="480"/>
    </w:pPr>
    <w:rPr>
      <w:rFonts w:ascii="宋体" w:hAnsi="宋体"/>
      <w:kern w:val="24"/>
      <w:szCs w:val="24"/>
      <w:lang w:val="zh-CN"/>
    </w:rPr>
  </w:style>
  <w:style w:type="character" w:customStyle="1" w:styleId="549">
    <w:name w:val="HZZH正文 Char"/>
    <w:link w:val="548"/>
    <w:qFormat/>
    <w:uiPriority w:val="0"/>
    <w:rPr>
      <w:rFonts w:ascii="宋体" w:hAnsi="宋体"/>
      <w:kern w:val="24"/>
      <w:sz w:val="24"/>
      <w:szCs w:val="24"/>
      <w:lang w:val="zh-CN"/>
    </w:rPr>
  </w:style>
  <w:style w:type="paragraph" w:customStyle="1" w:styleId="550">
    <w:name w:val="wj样式 + 首行缩进:  2 字符"/>
    <w:basedOn w:val="1"/>
    <w:qFormat/>
    <w:uiPriority w:val="0"/>
    <w:pPr>
      <w:ind w:firstLine="536"/>
    </w:pPr>
    <w:rPr>
      <w:rFonts w:cs="宋体"/>
      <w:spacing w:val="14"/>
      <w:szCs w:val="20"/>
    </w:rPr>
  </w:style>
  <w:style w:type="paragraph" w:customStyle="1" w:styleId="551">
    <w:name w:val="wj样式 表标题"/>
    <w:basedOn w:val="1"/>
    <w:qFormat/>
    <w:uiPriority w:val="0"/>
    <w:pPr>
      <w:spacing w:line="480" w:lineRule="auto"/>
      <w:jc w:val="center"/>
    </w:pPr>
    <w:rPr>
      <w:rFonts w:cs="宋体"/>
      <w:b/>
      <w:bCs/>
      <w:szCs w:val="20"/>
    </w:rPr>
  </w:style>
  <w:style w:type="paragraph" w:customStyle="1" w:styleId="552">
    <w:name w:val="pa-2"/>
    <w:basedOn w:val="1"/>
    <w:qFormat/>
    <w:uiPriority w:val="0"/>
    <w:pPr>
      <w:widowControl/>
      <w:spacing w:line="360" w:lineRule="atLeast"/>
      <w:ind w:firstLine="420"/>
    </w:pPr>
    <w:rPr>
      <w:rFonts w:ascii="宋体" w:hAnsi="宋体" w:cs="宋体"/>
      <w:kern w:val="0"/>
      <w:szCs w:val="24"/>
    </w:rPr>
  </w:style>
  <w:style w:type="paragraph" w:customStyle="1" w:styleId="553">
    <w:name w:val="ypy正文"/>
    <w:basedOn w:val="1"/>
    <w:qFormat/>
    <w:uiPriority w:val="0"/>
    <w:rPr>
      <w:szCs w:val="24"/>
    </w:rPr>
  </w:style>
  <w:style w:type="paragraph" w:customStyle="1" w:styleId="554">
    <w:name w:val="王勇"/>
    <w:basedOn w:val="1"/>
    <w:link w:val="555"/>
    <w:qFormat/>
    <w:uiPriority w:val="0"/>
    <w:rPr>
      <w:szCs w:val="24"/>
    </w:rPr>
  </w:style>
  <w:style w:type="character" w:customStyle="1" w:styleId="555">
    <w:name w:val="王勇 Char"/>
    <w:link w:val="554"/>
    <w:qFormat/>
    <w:uiPriority w:val="0"/>
    <w:rPr>
      <w:rFonts w:ascii="Times New Roman" w:hAnsi="Times New Roman"/>
      <w:kern w:val="2"/>
      <w:sz w:val="24"/>
      <w:szCs w:val="24"/>
    </w:rPr>
  </w:style>
  <w:style w:type="character" w:customStyle="1" w:styleId="556">
    <w:name w:val="Char Char Char Char Char11"/>
    <w:link w:val="428"/>
    <w:qFormat/>
    <w:uiPriority w:val="0"/>
    <w:rPr>
      <w:rFonts w:ascii="宋体" w:hAnsi="宋体" w:cs="宋体"/>
      <w:sz w:val="24"/>
      <w:szCs w:val="24"/>
    </w:rPr>
  </w:style>
  <w:style w:type="paragraph" w:customStyle="1" w:styleId="557">
    <w:name w:val="方案正文"/>
    <w:basedOn w:val="1"/>
    <w:link w:val="558"/>
    <w:qFormat/>
    <w:uiPriority w:val="0"/>
    <w:pPr>
      <w:spacing w:beforeLines="50" w:afterLines="50"/>
    </w:pPr>
    <w:rPr>
      <w:spacing w:val="14"/>
      <w:szCs w:val="24"/>
    </w:rPr>
  </w:style>
  <w:style w:type="character" w:customStyle="1" w:styleId="558">
    <w:name w:val="方案正文 Char"/>
    <w:link w:val="557"/>
    <w:qFormat/>
    <w:uiPriority w:val="0"/>
    <w:rPr>
      <w:rFonts w:ascii="Times New Roman" w:hAnsi="Times New Roman"/>
      <w:spacing w:val="14"/>
      <w:kern w:val="2"/>
      <w:sz w:val="24"/>
      <w:szCs w:val="24"/>
    </w:rPr>
  </w:style>
  <w:style w:type="paragraph" w:customStyle="1" w:styleId="559">
    <w:name w:val="正文居中"/>
    <w:basedOn w:val="1"/>
    <w:qFormat/>
    <w:uiPriority w:val="0"/>
    <w:pPr>
      <w:spacing w:line="240" w:lineRule="auto"/>
      <w:jc w:val="center"/>
    </w:pPr>
    <w:rPr>
      <w:szCs w:val="24"/>
    </w:rPr>
  </w:style>
  <w:style w:type="paragraph" w:customStyle="1" w:styleId="560">
    <w:name w:val="报告正文"/>
    <w:basedOn w:val="1"/>
    <w:link w:val="561"/>
    <w:qFormat/>
    <w:uiPriority w:val="0"/>
    <w:pPr>
      <w:ind w:firstLine="520"/>
    </w:pPr>
    <w:rPr>
      <w:spacing w:val="10"/>
      <w:kern w:val="0"/>
      <w:szCs w:val="24"/>
    </w:rPr>
  </w:style>
  <w:style w:type="character" w:customStyle="1" w:styleId="561">
    <w:name w:val="报告正文 Char1"/>
    <w:link w:val="560"/>
    <w:qFormat/>
    <w:uiPriority w:val="0"/>
    <w:rPr>
      <w:rFonts w:ascii="Times New Roman" w:hAnsi="Times New Roman"/>
      <w:spacing w:val="10"/>
      <w:sz w:val="24"/>
      <w:szCs w:val="24"/>
    </w:rPr>
  </w:style>
  <w:style w:type="character" w:customStyle="1" w:styleId="562">
    <w:name w:val="123YJ Char Char"/>
    <w:semiHidden/>
    <w:qFormat/>
    <w:uiPriority w:val="0"/>
    <w:rPr>
      <w:rFonts w:ascii="宋体" w:hAnsi="宋体" w:eastAsia="宋体" w:cs="宋体"/>
      <w:sz w:val="18"/>
      <w:szCs w:val="24"/>
      <w:lang w:val="en-US" w:eastAsia="zh-CN" w:bidi="ar-SA"/>
    </w:rPr>
  </w:style>
  <w:style w:type="paragraph" w:customStyle="1" w:styleId="563">
    <w:name w:val="样式 表格 + 段后: 0.25 行"/>
    <w:basedOn w:val="1"/>
    <w:qFormat/>
    <w:uiPriority w:val="0"/>
    <w:pPr>
      <w:adjustRightInd w:val="0"/>
      <w:spacing w:line="240" w:lineRule="auto"/>
      <w:jc w:val="center"/>
    </w:pPr>
    <w:rPr>
      <w:rFonts w:ascii="宋体" w:hAnsi="宋体" w:cs="宋体"/>
      <w:kern w:val="0"/>
      <w:szCs w:val="20"/>
    </w:rPr>
  </w:style>
  <w:style w:type="character" w:customStyle="1" w:styleId="564">
    <w:name w:val="headline-content2"/>
    <w:basedOn w:val="67"/>
    <w:qFormat/>
    <w:uiPriority w:val="0"/>
  </w:style>
  <w:style w:type="paragraph" w:customStyle="1" w:styleId="565">
    <w:name w:val="pic-info"/>
    <w:basedOn w:val="1"/>
    <w:qFormat/>
    <w:uiPriority w:val="0"/>
    <w:pPr>
      <w:widowControl/>
      <w:spacing w:beforeAutospacing="1" w:after="100" w:afterAutospacing="1" w:line="240" w:lineRule="auto"/>
    </w:pPr>
    <w:rPr>
      <w:rFonts w:ascii="宋体" w:hAnsi="宋体" w:cs="宋体"/>
      <w:kern w:val="0"/>
      <w:szCs w:val="24"/>
    </w:rPr>
  </w:style>
  <w:style w:type="character" w:customStyle="1" w:styleId="566">
    <w:name w:val="zy"/>
    <w:basedOn w:val="67"/>
    <w:qFormat/>
    <w:uiPriority w:val="0"/>
  </w:style>
  <w:style w:type="character" w:customStyle="1" w:styleId="567">
    <w:name w:val="saw"/>
    <w:basedOn w:val="67"/>
    <w:qFormat/>
    <w:uiPriority w:val="0"/>
  </w:style>
  <w:style w:type="paragraph" w:customStyle="1" w:styleId="568">
    <w:name w:val="文本样式"/>
    <w:basedOn w:val="1"/>
    <w:link w:val="569"/>
    <w:qFormat/>
    <w:uiPriority w:val="0"/>
    <w:rPr>
      <w:szCs w:val="24"/>
    </w:rPr>
  </w:style>
  <w:style w:type="character" w:customStyle="1" w:styleId="569">
    <w:name w:val="文本样式 Char"/>
    <w:link w:val="568"/>
    <w:qFormat/>
    <w:uiPriority w:val="0"/>
    <w:rPr>
      <w:rFonts w:ascii="Times New Roman" w:hAnsi="Times New Roman"/>
      <w:kern w:val="2"/>
      <w:sz w:val="24"/>
      <w:szCs w:val="24"/>
    </w:rPr>
  </w:style>
  <w:style w:type="paragraph" w:customStyle="1" w:styleId="570">
    <w:name w:val="p0"/>
    <w:basedOn w:val="1"/>
    <w:qFormat/>
    <w:uiPriority w:val="0"/>
    <w:pPr>
      <w:widowControl/>
      <w:spacing w:line="500" w:lineRule="atLeast"/>
    </w:pPr>
    <w:rPr>
      <w:rFonts w:cs="宋体"/>
      <w:kern w:val="0"/>
      <w:szCs w:val="21"/>
    </w:rPr>
  </w:style>
  <w:style w:type="paragraph" w:customStyle="1" w:styleId="571">
    <w:name w:val="Char Char Char Char4"/>
    <w:basedOn w:val="1"/>
    <w:qFormat/>
    <w:uiPriority w:val="0"/>
    <w:pPr>
      <w:spacing w:line="240" w:lineRule="auto"/>
    </w:pPr>
    <w:rPr>
      <w:szCs w:val="24"/>
    </w:rPr>
  </w:style>
  <w:style w:type="paragraph" w:customStyle="1" w:styleId="572">
    <w:name w:val="Char Char Char Char3"/>
    <w:basedOn w:val="1"/>
    <w:qFormat/>
    <w:uiPriority w:val="0"/>
    <w:pPr>
      <w:spacing w:line="240" w:lineRule="auto"/>
    </w:pPr>
    <w:rPr>
      <w:szCs w:val="24"/>
    </w:rPr>
  </w:style>
  <w:style w:type="paragraph" w:customStyle="1" w:styleId="573">
    <w:name w:val="小节1"/>
    <w:basedOn w:val="6"/>
    <w:link w:val="575"/>
    <w:qFormat/>
    <w:uiPriority w:val="0"/>
    <w:pPr>
      <w:spacing w:before="156"/>
      <w:ind w:firstLine="480"/>
    </w:pPr>
    <w:rPr>
      <w:rFonts w:eastAsia="仿宋_GB2312"/>
      <w:b w:val="0"/>
      <w:color w:val="000000"/>
      <w:sz w:val="24"/>
      <w:szCs w:val="24"/>
    </w:rPr>
  </w:style>
  <w:style w:type="paragraph" w:customStyle="1" w:styleId="574">
    <w:name w:val="标题2"/>
    <w:basedOn w:val="5"/>
    <w:next w:val="1"/>
    <w:link w:val="577"/>
    <w:qFormat/>
    <w:uiPriority w:val="0"/>
    <w:pPr>
      <w:spacing w:beforeLines="50" w:afterLines="50"/>
    </w:pPr>
    <w:rPr>
      <w:rFonts w:ascii="Times New Roman" w:hAnsi="Times New Roman" w:eastAsia="楷体_GB2312"/>
      <w:sz w:val="36"/>
    </w:rPr>
  </w:style>
  <w:style w:type="character" w:customStyle="1" w:styleId="575">
    <w:name w:val="小节1 Char"/>
    <w:link w:val="573"/>
    <w:qFormat/>
    <w:uiPriority w:val="0"/>
    <w:rPr>
      <w:rFonts w:ascii="Times New Roman" w:hAnsi="Times New Roman" w:eastAsia="仿宋_GB2312"/>
      <w:bCs/>
      <w:color w:val="000000"/>
      <w:sz w:val="24"/>
      <w:szCs w:val="24"/>
    </w:rPr>
  </w:style>
  <w:style w:type="paragraph" w:customStyle="1" w:styleId="576">
    <w:name w:val="标题1-1"/>
    <w:basedOn w:val="4"/>
    <w:link w:val="579"/>
    <w:qFormat/>
    <w:uiPriority w:val="0"/>
    <w:pPr>
      <w:spacing w:beforeLines="50" w:afterLines="50"/>
      <w:ind w:firstLine="0" w:firstLineChars="0"/>
    </w:pPr>
    <w:rPr>
      <w:rFonts w:eastAsia="楷体"/>
      <w:b/>
      <w:sz w:val="44"/>
    </w:rPr>
  </w:style>
  <w:style w:type="character" w:customStyle="1" w:styleId="577">
    <w:name w:val="标题2 Char2"/>
    <w:link w:val="574"/>
    <w:qFormat/>
    <w:uiPriority w:val="0"/>
    <w:rPr>
      <w:rFonts w:ascii="Times New Roman" w:hAnsi="Times New Roman" w:eastAsia="楷体_GB2312"/>
      <w:b/>
      <w:bCs/>
      <w:sz w:val="36"/>
      <w:szCs w:val="32"/>
    </w:rPr>
  </w:style>
  <w:style w:type="paragraph" w:customStyle="1" w:styleId="578">
    <w:name w:val="标题11"/>
    <w:basedOn w:val="576"/>
    <w:link w:val="580"/>
    <w:qFormat/>
    <w:uiPriority w:val="0"/>
    <w:pPr>
      <w:spacing w:before="156" w:after="156"/>
    </w:pPr>
  </w:style>
  <w:style w:type="character" w:customStyle="1" w:styleId="579">
    <w:name w:val="标题1-1 Char"/>
    <w:link w:val="576"/>
    <w:qFormat/>
    <w:uiPriority w:val="0"/>
    <w:rPr>
      <w:rFonts w:ascii="Times New Roman" w:hAnsi="Times New Roman" w:eastAsia="楷体" w:cs="Arial"/>
      <w:b/>
      <w:bCs/>
      <w:kern w:val="32"/>
      <w:sz w:val="44"/>
      <w:szCs w:val="32"/>
      <w:lang w:eastAsia="en-US" w:bidi="en-US"/>
    </w:rPr>
  </w:style>
  <w:style w:type="character" w:customStyle="1" w:styleId="580">
    <w:name w:val="标题11 Char"/>
    <w:basedOn w:val="579"/>
    <w:link w:val="578"/>
    <w:qFormat/>
    <w:uiPriority w:val="0"/>
    <w:rPr>
      <w:rFonts w:ascii="Times New Roman" w:hAnsi="Times New Roman" w:eastAsia="楷体" w:cs="Arial"/>
      <w:kern w:val="32"/>
      <w:sz w:val="44"/>
      <w:szCs w:val="32"/>
      <w:lang w:eastAsia="en-US" w:bidi="en-US"/>
    </w:rPr>
  </w:style>
  <w:style w:type="character" w:customStyle="1" w:styleId="581">
    <w:name w:val="正文格式 Char"/>
    <w:basedOn w:val="67"/>
    <w:link w:val="127"/>
    <w:qFormat/>
    <w:uiPriority w:val="0"/>
    <w:rPr>
      <w:rFonts w:ascii="Times New Roman" w:hAnsi="Times New Roman" w:eastAsia="仿宋_GB2312"/>
      <w:kern w:val="2"/>
      <w:sz w:val="24"/>
      <w:szCs w:val="22"/>
    </w:rPr>
  </w:style>
  <w:style w:type="table" w:customStyle="1" w:styleId="582">
    <w:name w:val="网格型116"/>
    <w:basedOn w:val="61"/>
    <w:qFormat/>
    <w:uiPriority w:val="0"/>
    <w:pPr>
      <w:widowControl w:val="0"/>
      <w:spacing w:line="520" w:lineRule="atLeast"/>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583">
    <w:name w:val="表格标题1 Char"/>
    <w:link w:val="584"/>
    <w:qFormat/>
    <w:uiPriority w:val="0"/>
    <w:rPr>
      <w:rFonts w:eastAsia="仿宋_GB2312"/>
      <w:kern w:val="2"/>
      <w:sz w:val="24"/>
      <w:szCs w:val="22"/>
    </w:rPr>
  </w:style>
  <w:style w:type="paragraph" w:customStyle="1" w:styleId="584">
    <w:name w:val="表格标题1"/>
    <w:basedOn w:val="127"/>
    <w:link w:val="583"/>
    <w:qFormat/>
    <w:uiPriority w:val="0"/>
    <w:pPr>
      <w:spacing w:line="240" w:lineRule="auto"/>
    </w:pPr>
    <w:rPr>
      <w:rFonts w:ascii="Calibri" w:hAnsi="Calibri"/>
    </w:rPr>
  </w:style>
  <w:style w:type="paragraph" w:customStyle="1" w:styleId="585">
    <w:name w:val="table"/>
    <w:basedOn w:val="1"/>
    <w:next w:val="1"/>
    <w:qFormat/>
    <w:uiPriority w:val="0"/>
    <w:pPr>
      <w:adjustRightInd w:val="0"/>
      <w:snapToGrid w:val="0"/>
      <w:spacing w:line="240" w:lineRule="auto"/>
      <w:ind w:firstLine="0" w:firstLineChars="0"/>
      <w:jc w:val="center"/>
    </w:pPr>
    <w:rPr>
      <w:color w:val="000000"/>
      <w:sz w:val="21"/>
      <w:szCs w:val="28"/>
    </w:rPr>
  </w:style>
  <w:style w:type="paragraph" w:customStyle="1" w:styleId="586">
    <w:name w:val="title of table"/>
    <w:basedOn w:val="1"/>
    <w:next w:val="1"/>
    <w:qFormat/>
    <w:uiPriority w:val="0"/>
    <w:pPr>
      <w:spacing w:afterLines="50" w:line="240" w:lineRule="auto"/>
      <w:ind w:firstLine="0" w:firstLineChars="0"/>
      <w:jc w:val="center"/>
    </w:pPr>
    <w:rPr>
      <w:b/>
      <w:color w:val="080808"/>
      <w:szCs w:val="24"/>
    </w:rPr>
  </w:style>
  <w:style w:type="paragraph" w:customStyle="1" w:styleId="587">
    <w:name w:val="报告书正文"/>
    <w:basedOn w:val="1"/>
    <w:qFormat/>
    <w:uiPriority w:val="0"/>
    <w:pPr>
      <w:jc w:val="both"/>
    </w:pPr>
    <w:rPr>
      <w:rFonts w:eastAsia="仿宋_GB2312"/>
      <w:szCs w:val="24"/>
    </w:rPr>
  </w:style>
  <w:style w:type="character" w:customStyle="1" w:styleId="588">
    <w:name w:val="正文1 Char"/>
    <w:qFormat/>
    <w:uiPriority w:val="0"/>
    <w:rPr>
      <w:rFonts w:eastAsia="宋体" w:cs="宋体"/>
      <w:color w:val="000000"/>
      <w:kern w:val="2"/>
      <w:sz w:val="28"/>
      <w:szCs w:val="28"/>
      <w:lang w:val="en-US" w:eastAsia="zh-CN" w:bidi="ar-SA"/>
    </w:rPr>
  </w:style>
  <w:style w:type="table" w:customStyle="1" w:styleId="589">
    <w:name w:val="表格样式11"/>
    <w:basedOn w:val="6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590">
    <w:name w:val="word1"/>
    <w:basedOn w:val="61"/>
    <w:qFormat/>
    <w:uiPriority w:val="59"/>
    <w:pPr>
      <w:widowControl w:val="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591">
    <w:name w:val="表格主题1"/>
    <w:basedOn w:val="61"/>
    <w:qFormat/>
    <w:uiPriority w:val="0"/>
    <w:pPr>
      <w:widowControl w:val="0"/>
    </w:pPr>
    <w:rPr>
      <w:rFonts w:ascii="Arial" w:hAnsi="Arial"/>
    </w:rPr>
    <w:tblPr>
      <w:tblBorders>
        <w:top w:val="thinThickSmallGap" w:color="auto" w:sz="12" w:space="0"/>
        <w:bottom w:val="thickThinSmallGap" w:color="auto" w:sz="12" w:space="0"/>
        <w:insideH w:val="single" w:color="auto" w:sz="6" w:space="0"/>
        <w:insideV w:val="single" w:color="auto" w:sz="6" w:space="0"/>
      </w:tblBorders>
      <w:tblLayout w:type="fixed"/>
      <w:tblCellMar>
        <w:top w:w="0" w:type="dxa"/>
        <w:left w:w="108" w:type="dxa"/>
        <w:bottom w:w="0" w:type="dxa"/>
        <w:right w:w="108" w:type="dxa"/>
      </w:tblCellMar>
    </w:tblPr>
  </w:style>
  <w:style w:type="table" w:customStyle="1" w:styleId="592">
    <w:name w:val="网格型 11"/>
    <w:basedOn w:val="61"/>
    <w:qFormat/>
    <w:uiPriority w:val="0"/>
    <w:pPr>
      <w:widowControl w:val="0"/>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593">
    <w:name w:val="网格型 51"/>
    <w:basedOn w:val="61"/>
    <w:qFormat/>
    <w:uiPriority w:val="0"/>
    <w:pPr>
      <w:widowControl w:val="0"/>
      <w:jc w:val="center"/>
    </w:pPr>
    <w:rPr>
      <w:sz w:val="18"/>
    </w:rPr>
    <w:tblPr>
      <w:tblBorders>
        <w:top w:val="single" w:color="000000" w:sz="12" w:space="0"/>
        <w:bottom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vAlign w:val="center"/>
    </w:tcPr>
    <w:tblStylePr w:type="firstRow">
      <w:pPr>
        <w:wordWrap/>
        <w:spacing w:beforeLines="0" w:beforeAutospacing="0" w:afterLines="0" w:afterAutospacing="0" w:line="240" w:lineRule="auto"/>
        <w:ind w:left="0" w:leftChars="0" w:right="0" w:rightChars="0" w:firstLine="0" w:firstLineChars="0"/>
        <w:contextualSpacing w:val="0"/>
      </w:pPr>
      <w:rPr>
        <w:rFonts w:eastAsia="宋体"/>
        <w:b/>
        <w:sz w:val="18"/>
      </w:rPr>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594">
    <w:name w:val="列表型 51"/>
    <w:basedOn w:val="61"/>
    <w:qFormat/>
    <w:uiPriority w:val="0"/>
    <w:pPr>
      <w:widowControl w:val="0"/>
    </w:pPr>
    <w:tblPr>
      <w:tblBorders>
        <w:top w:val="single" w:color="000000" w:sz="6" w:space="0"/>
        <w:left w:val="single" w:color="000000" w:sz="6" w:space="0"/>
        <w:bottom w:val="single" w:color="000000" w:sz="6" w:space="0"/>
        <w:right w:val="single" w:color="000000" w:sz="6" w:space="0"/>
        <w:insideH w:val="single" w:color="000000" w:sz="6" w:space="0"/>
      </w:tblBorders>
      <w:tblLayout w:type="fixed"/>
      <w:tblCellMar>
        <w:top w:w="0" w:type="dxa"/>
        <w:left w:w="108" w:type="dxa"/>
        <w:bottom w:w="0" w:type="dxa"/>
        <w:right w:w="108" w:type="dxa"/>
      </w:tblCellMar>
    </w:tblPr>
    <w:tcPr>
      <w:shd w:val="clear" w:color="auto" w:fill="auto"/>
    </w:tcPr>
    <w:tblStylePr w:type="firstRow">
      <w:rPr>
        <w:b/>
        <w:bCs/>
      </w:rPr>
      <w:tcPr>
        <w:tcBorders>
          <w:bottom w:val="single" w:color="000000" w:sz="12" w:space="0"/>
          <w:tl2br w:val="nil"/>
          <w:tr2bl w:val="nil"/>
        </w:tcBorders>
      </w:tcPr>
    </w:tblStylePr>
    <w:tblStylePr w:type="firstCol">
      <w:rPr>
        <w:b/>
        <w:bCs/>
      </w:rPr>
      <w:tcPr>
        <w:tcBorders>
          <w:tl2br w:val="nil"/>
          <w:tr2bl w:val="nil"/>
        </w:tcBorders>
      </w:tcPr>
    </w:tblStylePr>
  </w:style>
  <w:style w:type="table" w:customStyle="1" w:styleId="595">
    <w:name w:val="网格型1161"/>
    <w:basedOn w:val="61"/>
    <w:qFormat/>
    <w:uiPriority w:val="0"/>
    <w:pPr>
      <w:widowControl w:val="0"/>
      <w:spacing w:line="520" w:lineRule="atLeast"/>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596">
    <w:name w:val="正缩1"/>
    <w:basedOn w:val="1"/>
    <w:qFormat/>
    <w:uiPriority w:val="0"/>
    <w:pPr>
      <w:widowControl/>
      <w:adjustRightInd w:val="0"/>
      <w:snapToGrid w:val="0"/>
      <w:spacing w:line="500" w:lineRule="exact"/>
      <w:ind w:firstLine="567" w:firstLineChars="0"/>
    </w:pPr>
    <w:rPr>
      <w:rFonts w:ascii="宋体" w:hAnsi="宋体" w:eastAsia="仿宋_GB2312" w:cs="宋体"/>
      <w:color w:val="000000"/>
      <w:kern w:val="0"/>
      <w:sz w:val="28"/>
      <w:szCs w:val="24"/>
    </w:rPr>
  </w:style>
  <w:style w:type="paragraph" w:customStyle="1" w:styleId="597">
    <w:name w:val="无间隔11"/>
    <w:qFormat/>
    <w:uiPriority w:val="0"/>
    <w:pPr>
      <w:widowControl w:val="0"/>
      <w:jc w:val="both"/>
    </w:pPr>
    <w:rPr>
      <w:rFonts w:ascii="Calibri" w:hAnsi="Calibri" w:eastAsia="宋体" w:cs="Times New Roman"/>
      <w:kern w:val="2"/>
      <w:sz w:val="21"/>
      <w:szCs w:val="22"/>
      <w:lang w:val="en-US" w:eastAsia="zh-CN" w:bidi="ar-SA"/>
    </w:rPr>
  </w:style>
  <w:style w:type="paragraph" w:customStyle="1" w:styleId="598">
    <w:name w:val="表格字"/>
    <w:basedOn w:val="48"/>
    <w:qFormat/>
    <w:uiPriority w:val="0"/>
    <w:pPr>
      <w:spacing w:line="240" w:lineRule="atLeast"/>
      <w:ind w:left="0" w:firstLine="0" w:firstLineChars="0"/>
      <w:jc w:val="center"/>
    </w:pPr>
    <w:rPr>
      <w:rFonts w:ascii="宋体" w:hAnsi="宋体" w:cs="宋体"/>
      <w:sz w:val="22"/>
      <w:szCs w:val="21"/>
      <w:lang w:eastAsia="zh-CN" w:bidi="ar-SA"/>
    </w:rPr>
  </w:style>
  <w:style w:type="table" w:customStyle="1" w:styleId="599">
    <w:name w:val="表格样式12"/>
    <w:basedOn w:val="6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600">
    <w:name w:val="word2"/>
    <w:basedOn w:val="61"/>
    <w:qFormat/>
    <w:uiPriority w:val="59"/>
    <w:pPr>
      <w:widowControl w:val="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601">
    <w:name w:val="表格主题2"/>
    <w:basedOn w:val="61"/>
    <w:qFormat/>
    <w:uiPriority w:val="0"/>
    <w:pPr>
      <w:widowControl w:val="0"/>
    </w:pPr>
    <w:rPr>
      <w:rFonts w:ascii="Arial" w:hAnsi="Arial"/>
    </w:rPr>
    <w:tblPr>
      <w:tblBorders>
        <w:top w:val="thinThickSmallGap" w:color="auto" w:sz="12" w:space="0"/>
        <w:bottom w:val="thickThinSmallGap" w:color="auto" w:sz="12" w:space="0"/>
        <w:insideH w:val="single" w:color="auto" w:sz="6" w:space="0"/>
        <w:insideV w:val="single" w:color="auto" w:sz="6" w:space="0"/>
      </w:tblBorders>
      <w:tblLayout w:type="fixed"/>
      <w:tblCellMar>
        <w:top w:w="0" w:type="dxa"/>
        <w:left w:w="108" w:type="dxa"/>
        <w:bottom w:w="0" w:type="dxa"/>
        <w:right w:w="108" w:type="dxa"/>
      </w:tblCellMar>
    </w:tblPr>
  </w:style>
  <w:style w:type="table" w:customStyle="1" w:styleId="602">
    <w:name w:val="网格型 12"/>
    <w:basedOn w:val="61"/>
    <w:qFormat/>
    <w:uiPriority w:val="0"/>
    <w:pPr>
      <w:widowControl w:val="0"/>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603">
    <w:name w:val="网格型 52"/>
    <w:basedOn w:val="61"/>
    <w:qFormat/>
    <w:uiPriority w:val="0"/>
    <w:pPr>
      <w:widowControl w:val="0"/>
      <w:jc w:val="center"/>
    </w:pPr>
    <w:rPr>
      <w:sz w:val="18"/>
    </w:rPr>
    <w:tblPr>
      <w:tblBorders>
        <w:top w:val="single" w:color="000000" w:sz="12" w:space="0"/>
        <w:bottom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vAlign w:val="center"/>
    </w:tcPr>
    <w:tblStylePr w:type="firstRow">
      <w:pPr>
        <w:wordWrap/>
        <w:spacing w:beforeLines="0" w:beforeAutospacing="0" w:afterLines="0" w:afterAutospacing="0" w:line="240" w:lineRule="auto"/>
        <w:ind w:left="0" w:leftChars="0" w:right="0" w:rightChars="0" w:firstLine="0" w:firstLineChars="0"/>
        <w:contextualSpacing w:val="0"/>
      </w:pPr>
      <w:rPr>
        <w:rFonts w:eastAsia="宋体"/>
        <w:b/>
        <w:sz w:val="18"/>
      </w:rPr>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604">
    <w:name w:val="列表型 52"/>
    <w:basedOn w:val="61"/>
    <w:qFormat/>
    <w:uiPriority w:val="0"/>
    <w:pPr>
      <w:widowControl w:val="0"/>
    </w:pPr>
    <w:tblPr>
      <w:tblBorders>
        <w:top w:val="single" w:color="000000" w:sz="6" w:space="0"/>
        <w:left w:val="single" w:color="000000" w:sz="6" w:space="0"/>
        <w:bottom w:val="single" w:color="000000" w:sz="6" w:space="0"/>
        <w:right w:val="single" w:color="000000" w:sz="6" w:space="0"/>
        <w:insideH w:val="single" w:color="000000" w:sz="6" w:space="0"/>
      </w:tblBorders>
      <w:tblLayout w:type="fixed"/>
      <w:tblCellMar>
        <w:top w:w="0" w:type="dxa"/>
        <w:left w:w="108" w:type="dxa"/>
        <w:bottom w:w="0" w:type="dxa"/>
        <w:right w:w="108" w:type="dxa"/>
      </w:tblCellMar>
    </w:tblPr>
    <w:tcPr>
      <w:shd w:val="clear" w:color="auto" w:fill="auto"/>
    </w:tcPr>
    <w:tblStylePr w:type="firstRow">
      <w:rPr>
        <w:b/>
        <w:bCs/>
      </w:rPr>
      <w:tcPr>
        <w:tcBorders>
          <w:bottom w:val="single" w:color="000000" w:sz="12" w:space="0"/>
          <w:tl2br w:val="nil"/>
          <w:tr2bl w:val="nil"/>
        </w:tcBorders>
      </w:tcPr>
    </w:tblStylePr>
    <w:tblStylePr w:type="firstCol">
      <w:rPr>
        <w:b/>
        <w:bCs/>
      </w:rPr>
      <w:tcPr>
        <w:tcBorders>
          <w:tl2br w:val="nil"/>
          <w:tr2bl w:val="nil"/>
        </w:tcBorders>
      </w:tcPr>
    </w:tblStylePr>
  </w:style>
  <w:style w:type="table" w:customStyle="1" w:styleId="605">
    <w:name w:val="网格型1162"/>
    <w:basedOn w:val="61"/>
    <w:qFormat/>
    <w:uiPriority w:val="0"/>
    <w:pPr>
      <w:widowControl w:val="0"/>
      <w:spacing w:line="520" w:lineRule="atLeast"/>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customStyle="1" w:styleId="606">
    <w:name w:val="word3"/>
    <w:basedOn w:val="61"/>
    <w:qFormat/>
    <w:uiPriority w:val="59"/>
    <w:pPr>
      <w:widowControl w:val="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607">
    <w:name w:val="MAP/TAB"/>
    <w:basedOn w:val="1"/>
    <w:next w:val="1"/>
    <w:qFormat/>
    <w:uiPriority w:val="0"/>
    <w:pPr>
      <w:spacing w:line="240" w:lineRule="auto"/>
      <w:ind w:firstLine="0"/>
      <w:jc w:val="center"/>
    </w:pPr>
    <w:rPr>
      <w:sz w:val="21"/>
    </w:rPr>
  </w:style>
  <w:style w:type="character" w:customStyle="1" w:styleId="608">
    <w:name w:val="占位符文本1"/>
    <w:basedOn w:val="67"/>
    <w:unhideWhenUsed/>
    <w:qFormat/>
    <w:uiPriority w:val="99"/>
    <w:rPr>
      <w:color w:val="808080"/>
    </w:rPr>
  </w:style>
  <w:style w:type="table" w:customStyle="1" w:styleId="609">
    <w:name w:val="网格型119"/>
    <w:basedOn w:val="61"/>
    <w:qFormat/>
    <w:uiPriority w:val="0"/>
    <w:pPr>
      <w:widowControl w:val="0"/>
      <w:spacing w:line="520" w:lineRule="atLeast"/>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610">
    <w:name w:val="表格文字1"/>
    <w:basedOn w:val="1"/>
    <w:link w:val="612"/>
    <w:qFormat/>
    <w:uiPriority w:val="0"/>
    <w:pPr>
      <w:jc w:val="center"/>
    </w:pPr>
    <w:rPr>
      <w:rFonts w:eastAsia="仿宋_GB2312"/>
    </w:rPr>
  </w:style>
  <w:style w:type="table" w:customStyle="1" w:styleId="611">
    <w:name w:val="网格型111"/>
    <w:basedOn w:val="61"/>
    <w:qFormat/>
    <w:uiPriority w:val="0"/>
    <w:pPr>
      <w:widowControl w:val="0"/>
      <w:spacing w:line="520" w:lineRule="atLeast"/>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612">
    <w:name w:val="表格文字1 Char"/>
    <w:basedOn w:val="67"/>
    <w:link w:val="610"/>
    <w:qFormat/>
    <w:uiPriority w:val="0"/>
    <w:rPr>
      <w:rFonts w:ascii="Times New Roman" w:hAnsi="Times New Roman" w:eastAsia="仿宋_GB2312"/>
      <w:kern w:val="2"/>
      <w:sz w:val="24"/>
      <w:szCs w:val="22"/>
    </w:rPr>
  </w:style>
  <w:style w:type="character" w:customStyle="1" w:styleId="613">
    <w:name w:val="font31"/>
    <w:basedOn w:val="67"/>
    <w:qFormat/>
    <w:uiPriority w:val="0"/>
    <w:rPr>
      <w:rFonts w:hint="default" w:ascii="Times New Roman" w:hAnsi="Times New Roman" w:cs="Times New Roman"/>
      <w:color w:val="000000"/>
      <w:sz w:val="21"/>
      <w:szCs w:val="21"/>
      <w:u w:val="none"/>
    </w:rPr>
  </w:style>
  <w:style w:type="character" w:customStyle="1" w:styleId="614">
    <w:name w:val="font41"/>
    <w:basedOn w:val="67"/>
    <w:qFormat/>
    <w:uiPriority w:val="0"/>
    <w:rPr>
      <w:rFonts w:hint="eastAsia" w:ascii="仿宋_GB2312" w:eastAsia="仿宋_GB2312" w:cs="仿宋_GB2312"/>
      <w:color w:val="000000"/>
      <w:sz w:val="21"/>
      <w:szCs w:val="21"/>
      <w:u w:val="none"/>
      <w:vertAlign w:val="superscript"/>
    </w:rPr>
  </w:style>
  <w:style w:type="character" w:customStyle="1" w:styleId="615">
    <w:name w:val="font21"/>
    <w:basedOn w:val="67"/>
    <w:qFormat/>
    <w:uiPriority w:val="0"/>
    <w:rPr>
      <w:rFonts w:hint="eastAsia" w:ascii="仿宋_GB2312" w:eastAsia="仿宋_GB2312" w:cs="仿宋_GB2312"/>
      <w:color w:val="000000"/>
      <w:sz w:val="21"/>
      <w:szCs w:val="21"/>
      <w:u w:val="none"/>
    </w:rPr>
  </w:style>
  <w:style w:type="character" w:customStyle="1" w:styleId="616">
    <w:name w:val="font11"/>
    <w:basedOn w:val="67"/>
    <w:qFormat/>
    <w:uiPriority w:val="0"/>
    <w:rPr>
      <w:rFonts w:hint="default" w:ascii="Times New Roman" w:hAnsi="Times New Roman" w:cs="Times New Roman"/>
      <w:color w:val="000000"/>
      <w:sz w:val="21"/>
      <w:szCs w:val="21"/>
      <w:u w:val="none"/>
    </w:rPr>
  </w:style>
  <w:style w:type="paragraph" w:customStyle="1" w:styleId="617">
    <w:name w:val="Table Paragraph"/>
    <w:basedOn w:val="1"/>
    <w:unhideWhenUsed/>
    <w:qFormat/>
    <w:uiPriority w:val="1"/>
  </w:style>
  <w:style w:type="paragraph" w:styleId="618">
    <w:name w:val="List Paragraph"/>
    <w:basedOn w:val="1"/>
    <w:link w:val="629"/>
    <w:qFormat/>
    <w:uiPriority w:val="34"/>
    <w:pPr>
      <w:ind w:firstLine="420"/>
    </w:pPr>
  </w:style>
  <w:style w:type="paragraph" w:customStyle="1" w:styleId="619">
    <w:name w:val="图名"/>
    <w:basedOn w:val="1"/>
    <w:next w:val="1"/>
    <w:qFormat/>
    <w:uiPriority w:val="0"/>
    <w:pPr>
      <w:spacing w:afterLines="50"/>
      <w:ind w:firstLine="0" w:firstLineChars="0"/>
      <w:jc w:val="center"/>
    </w:pPr>
    <w:rPr>
      <w:rFonts w:cstheme="minorBidi"/>
      <w:b/>
      <w:sz w:val="21"/>
    </w:rPr>
  </w:style>
  <w:style w:type="paragraph" w:customStyle="1" w:styleId="620">
    <w:name w:val="表头文字"/>
    <w:basedOn w:val="1"/>
    <w:next w:val="1"/>
    <w:qFormat/>
    <w:uiPriority w:val="0"/>
    <w:pPr>
      <w:jc w:val="center"/>
    </w:pPr>
    <w:rPr>
      <w:b/>
      <w:sz w:val="21"/>
    </w:rPr>
  </w:style>
  <w:style w:type="paragraph" w:customStyle="1" w:styleId="621">
    <w:name w:val="CM23"/>
    <w:basedOn w:val="1"/>
    <w:next w:val="1"/>
    <w:qFormat/>
    <w:uiPriority w:val="99"/>
    <w:pPr>
      <w:autoSpaceDE w:val="0"/>
      <w:autoSpaceDN w:val="0"/>
      <w:adjustRightInd w:val="0"/>
      <w:spacing w:line="508" w:lineRule="atLeast"/>
    </w:pPr>
    <w:rPr>
      <w:rFonts w:ascii="楷体_GB2312" w:hAnsi="Calibri" w:eastAsia="楷体_GB2312" w:cs="楷体_GB2312"/>
      <w:color w:val="000000"/>
      <w:szCs w:val="24"/>
    </w:rPr>
  </w:style>
  <w:style w:type="paragraph" w:customStyle="1" w:styleId="622">
    <w:name w:val="1jw正文"/>
    <w:qFormat/>
    <w:uiPriority w:val="0"/>
    <w:pPr>
      <w:spacing w:beforeLines="50" w:afterLines="50" w:line="360" w:lineRule="auto"/>
      <w:ind w:firstLine="200" w:firstLineChars="200"/>
    </w:pPr>
    <w:rPr>
      <w:rFonts w:ascii="Times New Roman" w:hAnsi="Times New Roman" w:eastAsia="宋体" w:cs="宋体"/>
      <w:sz w:val="24"/>
      <w:szCs w:val="24"/>
      <w:lang w:val="en-US" w:eastAsia="zh-CN" w:bidi="ar-SA"/>
    </w:rPr>
  </w:style>
  <w:style w:type="character" w:customStyle="1" w:styleId="623">
    <w:name w:val="正文缩进 Char1"/>
    <w:qFormat/>
    <w:uiPriority w:val="0"/>
    <w:rPr>
      <w:rFonts w:ascii="宋体" w:eastAsia="宋体"/>
      <w:kern w:val="2"/>
      <w:sz w:val="24"/>
      <w:lang w:val="en-US" w:eastAsia="zh-CN" w:bidi="ar-SA"/>
    </w:rPr>
  </w:style>
  <w:style w:type="paragraph" w:customStyle="1" w:styleId="624">
    <w:name w:val="魏秀珍   正文"/>
    <w:basedOn w:val="19"/>
    <w:qFormat/>
    <w:uiPriority w:val="0"/>
    <w:pPr>
      <w:adjustRightInd w:val="0"/>
      <w:snapToGrid w:val="0"/>
      <w:ind w:firstLine="200"/>
    </w:pPr>
    <w:rPr>
      <w:sz w:val="20"/>
      <w:lang w:val="en-GB"/>
    </w:rPr>
  </w:style>
  <w:style w:type="paragraph" w:customStyle="1" w:styleId="625">
    <w:name w:val="正文001"/>
    <w:basedOn w:val="1"/>
    <w:qFormat/>
    <w:uiPriority w:val="0"/>
    <w:pPr>
      <w:spacing w:line="440" w:lineRule="atLeast"/>
    </w:pPr>
  </w:style>
  <w:style w:type="paragraph" w:customStyle="1" w:styleId="626">
    <w:name w:val="环评正文"/>
    <w:basedOn w:val="1"/>
    <w:qFormat/>
    <w:uiPriority w:val="0"/>
    <w:pPr>
      <w:spacing w:before="60" w:after="60" w:line="400" w:lineRule="exact"/>
      <w:ind w:firstLine="480"/>
    </w:pPr>
    <w:rPr>
      <w:rFonts w:eastAsia="仿宋_GB2312"/>
    </w:rPr>
  </w:style>
  <w:style w:type="paragraph" w:customStyle="1" w:styleId="627">
    <w:name w:val="修订1"/>
    <w:hidden/>
    <w:unhideWhenUsed/>
    <w:qFormat/>
    <w:uiPriority w:val="99"/>
    <w:rPr>
      <w:rFonts w:ascii="Times New Roman" w:hAnsi="Times New Roman" w:eastAsia="宋体" w:cs="Times New Roman"/>
      <w:kern w:val="2"/>
      <w:sz w:val="24"/>
      <w:szCs w:val="22"/>
      <w:lang w:val="en-US" w:eastAsia="zh-CN" w:bidi="ar-SA"/>
    </w:rPr>
  </w:style>
  <w:style w:type="character" w:customStyle="1" w:styleId="628">
    <w:name w:val="Default Char"/>
    <w:link w:val="284"/>
    <w:qFormat/>
    <w:uiPriority w:val="0"/>
    <w:rPr>
      <w:rFonts w:ascii="黑体" w:hAnsi="Times New Roman" w:eastAsia="黑体" w:cs="Times New Roman"/>
    </w:rPr>
  </w:style>
  <w:style w:type="character" w:customStyle="1" w:styleId="629">
    <w:name w:val="列出段落 Char"/>
    <w:link w:val="618"/>
    <w:qFormat/>
    <w:uiPriority w:val="34"/>
    <w:rPr>
      <w:rFonts w:ascii="Times New Roman" w:hAnsi="Times New Roman" w:eastAsia="宋体" w:cs="Times New Roman"/>
      <w:kern w:val="2"/>
      <w:sz w:val="24"/>
      <w:szCs w:val="22"/>
    </w:rPr>
  </w:style>
  <w:style w:type="character" w:customStyle="1" w:styleId="630">
    <w:name w:val="标题 3 Char1 Char Char1"/>
    <w:qFormat/>
    <w:uiPriority w:val="0"/>
    <w:rPr>
      <w:rFonts w:eastAsia="宋体"/>
      <w:b/>
      <w:kern w:val="2"/>
      <w:sz w:val="24"/>
      <w:lang w:val="en-US" w:eastAsia="zh-CN"/>
    </w:rPr>
  </w:style>
  <w:style w:type="character" w:customStyle="1" w:styleId="631">
    <w:name w:val="cur"/>
    <w:basedOn w:val="67"/>
    <w:qFormat/>
    <w:uiPriority w:val="0"/>
    <w:rPr>
      <w:color w:val="FFFFFF"/>
      <w:shd w:val="clear" w:color="auto" w:fill="0C79CC"/>
    </w:rPr>
  </w:style>
  <w:style w:type="character" w:customStyle="1" w:styleId="632">
    <w:name w:val="radio-btn"/>
    <w:basedOn w:val="67"/>
    <w:qFormat/>
    <w:uiPriority w:val="0"/>
  </w:style>
  <w:style w:type="character" w:customStyle="1" w:styleId="633">
    <w:name w:val="hover33"/>
    <w:basedOn w:val="67"/>
    <w:qFormat/>
    <w:uiPriority w:val="0"/>
  </w:style>
  <w:style w:type="character" w:customStyle="1" w:styleId="634">
    <w:name w:val="lable"/>
    <w:basedOn w:val="67"/>
    <w:qFormat/>
    <w:uiPriority w:val="0"/>
    <w:rPr>
      <w:sz w:val="24"/>
      <w:szCs w:val="24"/>
    </w:rPr>
  </w:style>
  <w:style w:type="character" w:customStyle="1" w:styleId="635">
    <w:name w:val="hover31"/>
    <w:basedOn w:val="67"/>
    <w:qFormat/>
    <w:uiPriority w:val="0"/>
  </w:style>
  <w:style w:type="character" w:customStyle="1" w:styleId="636">
    <w:name w:val="cur1"/>
    <w:basedOn w:val="67"/>
    <w:qFormat/>
    <w:uiPriority w:val="0"/>
    <w:rPr>
      <w:color w:val="FFFFFF"/>
      <w:shd w:val="clear" w:color="auto" w:fill="0C79CC"/>
    </w:rPr>
  </w:style>
  <w:style w:type="paragraph" w:customStyle="1" w:styleId="637">
    <w:name w:val="表头"/>
    <w:basedOn w:val="1"/>
    <w:qFormat/>
    <w:uiPriority w:val="0"/>
    <w:pPr>
      <w:spacing w:line="300" w:lineRule="auto"/>
      <w:ind w:firstLine="0" w:firstLineChars="0"/>
      <w:jc w:val="center"/>
    </w:pPr>
    <w:rPr>
      <w:rFonts w:ascii="黑体" w:hAnsi="黑体" w:eastAsia="黑体" w:cs="黑体"/>
      <w:b/>
    </w:rPr>
  </w:style>
  <w:style w:type="paragraph" w:customStyle="1" w:styleId="638">
    <w:name w:val="Body text|1"/>
    <w:basedOn w:val="1"/>
    <w:qFormat/>
    <w:uiPriority w:val="0"/>
    <w:pPr>
      <w:spacing w:line="396" w:lineRule="auto"/>
      <w:ind w:firstLine="400"/>
    </w:pPr>
    <w:rPr>
      <w:rFonts w:ascii="宋体" w:hAnsi="宋体" w:cs="宋体"/>
      <w:sz w:val="30"/>
      <w:szCs w:val="30"/>
      <w:lang w:val="zh-TW" w:eastAsia="zh-TW" w:bidi="zh-TW"/>
    </w:rPr>
  </w:style>
  <w:style w:type="paragraph" w:customStyle="1" w:styleId="639">
    <w:name w:val="Header or footer|2"/>
    <w:basedOn w:val="1"/>
    <w:qFormat/>
    <w:uiPriority w:val="0"/>
    <w:rPr>
      <w:sz w:val="20"/>
      <w:szCs w:val="20"/>
    </w:rPr>
  </w:style>
  <w:style w:type="paragraph" w:customStyle="1" w:styleId="640">
    <w:name w:val="表体"/>
    <w:basedOn w:val="1"/>
    <w:qFormat/>
    <w:uiPriority w:val="0"/>
    <w:pPr>
      <w:widowControl/>
      <w:tabs>
        <w:tab w:val="left" w:pos="540"/>
        <w:tab w:val="left" w:pos="851"/>
        <w:tab w:val="left" w:pos="994"/>
        <w:tab w:val="left" w:pos="1260"/>
        <w:tab w:val="left" w:pos="3108"/>
        <w:tab w:val="left" w:pos="3150"/>
      </w:tabs>
      <w:overflowPunct w:val="0"/>
      <w:adjustRightInd w:val="0"/>
      <w:spacing w:line="340" w:lineRule="exact"/>
      <w:jc w:val="center"/>
      <w:textAlignment w:val="baseline"/>
    </w:pPr>
    <w:rPr>
      <w:bCs/>
      <w:snapToGrid w:val="0"/>
      <w:color w:val="000000"/>
      <w:kern w:val="32"/>
      <w:szCs w:val="20"/>
      <w:lang w:val="zh-CN"/>
    </w:rPr>
  </w:style>
  <w:style w:type="table" w:customStyle="1" w:styleId="641">
    <w:name w:val="网格型1"/>
    <w:basedOn w:val="61"/>
    <w:qFormat/>
    <w:uiPriority w:val="0"/>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642">
    <w:name w:val="znspantitle"/>
    <w:basedOn w:val="67"/>
    <w:qFormat/>
    <w:uiPriority w:val="0"/>
    <w:rPr>
      <w:b/>
      <w:bCs/>
      <w:color w:val="333333"/>
    </w:rPr>
  </w:style>
  <w:style w:type="character" w:customStyle="1" w:styleId="643">
    <w:name w:val="radio-btn1"/>
    <w:basedOn w:val="67"/>
    <w:qFormat/>
    <w:uiPriority w:val="0"/>
    <w:rPr>
      <w:sz w:val="24"/>
      <w:szCs w:val="24"/>
    </w:rPr>
  </w:style>
  <w:style w:type="character" w:customStyle="1" w:styleId="644">
    <w:name w:val="radio-btn2"/>
    <w:basedOn w:val="67"/>
    <w:qFormat/>
    <w:uiPriority w:val="0"/>
    <w:rPr>
      <w:sz w:val="24"/>
      <w:szCs w:val="24"/>
    </w:rPr>
  </w:style>
  <w:style w:type="character" w:customStyle="1" w:styleId="645">
    <w:name w:val="lishishuju"/>
    <w:basedOn w:val="67"/>
    <w:qFormat/>
    <w:uiPriority w:val="0"/>
    <w:rPr>
      <w:b/>
      <w:bCs/>
      <w:color w:val="000052"/>
      <w:sz w:val="24"/>
      <w:szCs w:val="24"/>
      <w:bdr w:val="single" w:color="E3E3E3" w:sz="6" w:space="0"/>
    </w:rPr>
  </w:style>
  <w:style w:type="table" w:customStyle="1" w:styleId="646">
    <w:name w:val="Table Normal"/>
    <w:semiHidden/>
    <w:unhideWhenUsed/>
    <w:qFormat/>
    <w:uiPriority w:val="2"/>
    <w:pPr>
      <w:widowControl w:val="0"/>
      <w:autoSpaceDE w:val="0"/>
      <w:autoSpaceDN w:val="0"/>
    </w:pPr>
    <w:rPr>
      <w:sz w:val="22"/>
      <w:lang w:eastAsia="en-US"/>
    </w:rPr>
    <w:tblPr>
      <w:tblLayout w:type="fixed"/>
      <w:tblCellMar>
        <w:top w:w="0" w:type="dxa"/>
        <w:left w:w="0" w:type="dxa"/>
        <w:bottom w:w="0" w:type="dxa"/>
        <w:right w:w="0" w:type="dxa"/>
      </w:tblCellMar>
    </w:tblPr>
  </w:style>
  <w:style w:type="character" w:customStyle="1" w:styleId="647">
    <w:name w:val="报告 Char Char"/>
    <w:link w:val="648"/>
    <w:qFormat/>
    <w:uiPriority w:val="0"/>
    <w:rPr>
      <w:kern w:val="2"/>
      <w:sz w:val="24"/>
      <w:szCs w:val="24"/>
    </w:rPr>
  </w:style>
  <w:style w:type="paragraph" w:customStyle="1" w:styleId="648">
    <w:name w:val="报告 Char"/>
    <w:basedOn w:val="1"/>
    <w:link w:val="647"/>
    <w:qFormat/>
    <w:uiPriority w:val="0"/>
    <w:pPr>
      <w:adjustRightInd w:val="0"/>
      <w:ind w:firstLine="505"/>
      <w:jc w:val="both"/>
      <w:textAlignment w:val="baseline"/>
    </w:pPr>
    <w:rPr>
      <w:szCs w:val="24"/>
    </w:rPr>
  </w:style>
  <w:style w:type="character" w:customStyle="1" w:styleId="649">
    <w:name w:val="标题 #13_"/>
    <w:link w:val="650"/>
    <w:unhideWhenUsed/>
    <w:qFormat/>
    <w:uiPriority w:val="99"/>
    <w:rPr>
      <w:rFonts w:ascii="MingLiU" w:hAnsi="MingLiU" w:eastAsia="MingLiU"/>
      <w:sz w:val="21"/>
      <w:shd w:val="clear" w:color="auto" w:fill="FFFFFF"/>
      <w:lang w:eastAsia="en-US"/>
    </w:rPr>
  </w:style>
  <w:style w:type="paragraph" w:customStyle="1" w:styleId="650">
    <w:name w:val="标题 #13"/>
    <w:basedOn w:val="1"/>
    <w:link w:val="649"/>
    <w:unhideWhenUsed/>
    <w:qFormat/>
    <w:uiPriority w:val="99"/>
    <w:pPr>
      <w:shd w:val="clear" w:color="auto" w:fill="FFFFFF"/>
      <w:spacing w:line="600" w:lineRule="exact"/>
      <w:ind w:firstLine="0" w:firstLineChars="0"/>
      <w:jc w:val="both"/>
    </w:pPr>
    <w:rPr>
      <w:rFonts w:ascii="MingLiU" w:hAnsi="MingLiU" w:eastAsia="MingLiU"/>
      <w:kern w:val="0"/>
      <w:sz w:val="21"/>
      <w:szCs w:val="20"/>
      <w:lang w:eastAsia="en-US"/>
    </w:rPr>
  </w:style>
  <w:style w:type="character" w:customStyle="1" w:styleId="651">
    <w:name w:val="批注文字 Char1"/>
    <w:qFormat/>
    <w:locked/>
    <w:uiPriority w:val="0"/>
    <w:rPr>
      <w:rFonts w:ascii="Times New Roman" w:hAnsi="Times New Roman" w:eastAsia="宋体" w:cs="Times New Roman"/>
      <w:kern w:val="0"/>
      <w:sz w:val="24"/>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42.png"/><Relationship Id="rId98" Type="http://schemas.openxmlformats.org/officeDocument/2006/relationships/image" Target="media/image41.png"/><Relationship Id="rId97" Type="http://schemas.openxmlformats.org/officeDocument/2006/relationships/image" Target="media/image40.png"/><Relationship Id="rId96" Type="http://schemas.openxmlformats.org/officeDocument/2006/relationships/image" Target="media/image39.png"/><Relationship Id="rId95" Type="http://schemas.openxmlformats.org/officeDocument/2006/relationships/image" Target="media/image38.png"/><Relationship Id="rId94" Type="http://schemas.openxmlformats.org/officeDocument/2006/relationships/image" Target="media/image37.png"/><Relationship Id="rId93" Type="http://schemas.openxmlformats.org/officeDocument/2006/relationships/image" Target="media/image36.png"/><Relationship Id="rId92" Type="http://schemas.openxmlformats.org/officeDocument/2006/relationships/image" Target="media/image35.png"/><Relationship Id="rId91" Type="http://schemas.openxmlformats.org/officeDocument/2006/relationships/chart" Target="charts/chart3.xml"/><Relationship Id="rId90" Type="http://schemas.openxmlformats.org/officeDocument/2006/relationships/image" Target="media/image34.emf"/><Relationship Id="rId9" Type="http://schemas.openxmlformats.org/officeDocument/2006/relationships/header" Target="header4.xml"/><Relationship Id="rId89" Type="http://schemas.openxmlformats.org/officeDocument/2006/relationships/image" Target="media/image33.wmf"/><Relationship Id="rId88" Type="http://schemas.openxmlformats.org/officeDocument/2006/relationships/oleObject" Target="embeddings/oleObject24.bin"/><Relationship Id="rId87" Type="http://schemas.openxmlformats.org/officeDocument/2006/relationships/chart" Target="charts/chart2.xml"/><Relationship Id="rId86" Type="http://schemas.openxmlformats.org/officeDocument/2006/relationships/chart" Target="charts/chart1.xml"/><Relationship Id="rId85" Type="http://schemas.openxmlformats.org/officeDocument/2006/relationships/image" Target="media/image32.emf"/><Relationship Id="rId84" Type="http://schemas.openxmlformats.org/officeDocument/2006/relationships/image" Target="media/image31.emf"/><Relationship Id="rId83" Type="http://schemas.openxmlformats.org/officeDocument/2006/relationships/image" Target="media/image30.jpeg"/><Relationship Id="rId82" Type="http://schemas.openxmlformats.org/officeDocument/2006/relationships/image" Target="media/image29.jpeg"/><Relationship Id="rId81" Type="http://schemas.openxmlformats.org/officeDocument/2006/relationships/image" Target="media/image28.png"/><Relationship Id="rId80" Type="http://schemas.openxmlformats.org/officeDocument/2006/relationships/image" Target="media/image27.png"/><Relationship Id="rId8" Type="http://schemas.openxmlformats.org/officeDocument/2006/relationships/footer" Target="footer3.xml"/><Relationship Id="rId79" Type="http://schemas.openxmlformats.org/officeDocument/2006/relationships/image" Target="media/image26.png"/><Relationship Id="rId78" Type="http://schemas.openxmlformats.org/officeDocument/2006/relationships/image" Target="media/image25.emf"/><Relationship Id="rId77" Type="http://schemas.openxmlformats.org/officeDocument/2006/relationships/oleObject" Target="embeddings/oleObject23.bin"/><Relationship Id="rId76" Type="http://schemas.openxmlformats.org/officeDocument/2006/relationships/image" Target="media/image24.emf"/><Relationship Id="rId75" Type="http://schemas.openxmlformats.org/officeDocument/2006/relationships/oleObject" Target="embeddings/oleObject22.bin"/><Relationship Id="rId74" Type="http://schemas.openxmlformats.org/officeDocument/2006/relationships/image" Target="media/image23.emf"/><Relationship Id="rId73" Type="http://schemas.openxmlformats.org/officeDocument/2006/relationships/oleObject" Target="embeddings/oleObject21.bin"/><Relationship Id="rId72" Type="http://schemas.openxmlformats.org/officeDocument/2006/relationships/image" Target="media/image22.emf"/><Relationship Id="rId71" Type="http://schemas.openxmlformats.org/officeDocument/2006/relationships/oleObject" Target="embeddings/oleObject20.bin"/><Relationship Id="rId70" Type="http://schemas.openxmlformats.org/officeDocument/2006/relationships/image" Target="media/image21.emf"/><Relationship Id="rId7" Type="http://schemas.openxmlformats.org/officeDocument/2006/relationships/footer" Target="footer2.xml"/><Relationship Id="rId69" Type="http://schemas.openxmlformats.org/officeDocument/2006/relationships/oleObject" Target="embeddings/oleObject19.bin"/><Relationship Id="rId68" Type="http://schemas.openxmlformats.org/officeDocument/2006/relationships/image" Target="media/image20.emf"/><Relationship Id="rId67" Type="http://schemas.openxmlformats.org/officeDocument/2006/relationships/oleObject" Target="embeddings/oleObject18.bin"/><Relationship Id="rId66" Type="http://schemas.openxmlformats.org/officeDocument/2006/relationships/image" Target="media/image19.emf"/><Relationship Id="rId65" Type="http://schemas.openxmlformats.org/officeDocument/2006/relationships/oleObject" Target="embeddings/oleObject17.bin"/><Relationship Id="rId64" Type="http://schemas.openxmlformats.org/officeDocument/2006/relationships/image" Target="media/image18.emf"/><Relationship Id="rId63" Type="http://schemas.openxmlformats.org/officeDocument/2006/relationships/oleObject" Target="embeddings/oleObject16.bin"/><Relationship Id="rId62" Type="http://schemas.openxmlformats.org/officeDocument/2006/relationships/image" Target="media/image17.emf"/><Relationship Id="rId61" Type="http://schemas.openxmlformats.org/officeDocument/2006/relationships/oleObject" Target="embeddings/oleObject15.bin"/><Relationship Id="rId60" Type="http://schemas.openxmlformats.org/officeDocument/2006/relationships/image" Target="media/image16.emf"/><Relationship Id="rId6" Type="http://schemas.openxmlformats.org/officeDocument/2006/relationships/footer" Target="footer1.xml"/><Relationship Id="rId59" Type="http://schemas.openxmlformats.org/officeDocument/2006/relationships/oleObject" Target="embeddings/oleObject14.bin"/><Relationship Id="rId58" Type="http://schemas.openxmlformats.org/officeDocument/2006/relationships/oleObject" Target="embeddings/oleObject13.bin"/><Relationship Id="rId57" Type="http://schemas.openxmlformats.org/officeDocument/2006/relationships/oleObject" Target="embeddings/oleObject12.bin"/><Relationship Id="rId56" Type="http://schemas.openxmlformats.org/officeDocument/2006/relationships/image" Target="media/image15.emf"/><Relationship Id="rId55" Type="http://schemas.openxmlformats.org/officeDocument/2006/relationships/oleObject" Target="embeddings/oleObject11.bin"/><Relationship Id="rId54" Type="http://schemas.openxmlformats.org/officeDocument/2006/relationships/image" Target="media/image14.emf"/><Relationship Id="rId53" Type="http://schemas.openxmlformats.org/officeDocument/2006/relationships/oleObject" Target="embeddings/oleObject10.bin"/><Relationship Id="rId52" Type="http://schemas.openxmlformats.org/officeDocument/2006/relationships/image" Target="media/image13.emf"/><Relationship Id="rId51" Type="http://schemas.openxmlformats.org/officeDocument/2006/relationships/oleObject" Target="embeddings/oleObject9.bin"/><Relationship Id="rId50" Type="http://schemas.openxmlformats.org/officeDocument/2006/relationships/image" Target="media/image12.emf"/><Relationship Id="rId5" Type="http://schemas.openxmlformats.org/officeDocument/2006/relationships/header" Target="header3.xml"/><Relationship Id="rId49" Type="http://schemas.openxmlformats.org/officeDocument/2006/relationships/oleObject" Target="embeddings/oleObject8.bin"/><Relationship Id="rId48" Type="http://schemas.openxmlformats.org/officeDocument/2006/relationships/image" Target="media/image11.png"/><Relationship Id="rId47" Type="http://schemas.openxmlformats.org/officeDocument/2006/relationships/image" Target="media/image10.emf"/><Relationship Id="rId46" Type="http://schemas.openxmlformats.org/officeDocument/2006/relationships/oleObject" Target="embeddings/oleObject7.bin"/><Relationship Id="rId45" Type="http://schemas.openxmlformats.org/officeDocument/2006/relationships/image" Target="media/image9.emf"/><Relationship Id="rId44" Type="http://schemas.openxmlformats.org/officeDocument/2006/relationships/oleObject" Target="embeddings/oleObject6.bin"/><Relationship Id="rId43" Type="http://schemas.openxmlformats.org/officeDocument/2006/relationships/image" Target="media/image8.wmf"/><Relationship Id="rId42" Type="http://schemas.openxmlformats.org/officeDocument/2006/relationships/oleObject" Target="embeddings/oleObject5.bin"/><Relationship Id="rId41" Type="http://schemas.openxmlformats.org/officeDocument/2006/relationships/image" Target="media/image7.wmf"/><Relationship Id="rId40" Type="http://schemas.openxmlformats.org/officeDocument/2006/relationships/oleObject" Target="embeddings/oleObject4.bin"/><Relationship Id="rId4" Type="http://schemas.openxmlformats.org/officeDocument/2006/relationships/header" Target="header2.xml"/><Relationship Id="rId39" Type="http://schemas.openxmlformats.org/officeDocument/2006/relationships/image" Target="media/image6.wmf"/><Relationship Id="rId38" Type="http://schemas.openxmlformats.org/officeDocument/2006/relationships/oleObject" Target="embeddings/oleObject3.bin"/><Relationship Id="rId37" Type="http://schemas.openxmlformats.org/officeDocument/2006/relationships/image" Target="media/image5.emf"/><Relationship Id="rId36" Type="http://schemas.openxmlformats.org/officeDocument/2006/relationships/oleObject" Target="embeddings/oleObject2.bin"/><Relationship Id="rId35" Type="http://schemas.openxmlformats.org/officeDocument/2006/relationships/image" Target="media/image4.emf"/><Relationship Id="rId34" Type="http://schemas.openxmlformats.org/officeDocument/2006/relationships/oleObject" Target="embeddings/oleObject1.bin"/><Relationship Id="rId33" Type="http://schemas.openxmlformats.org/officeDocument/2006/relationships/image" Target="media/image3.emf"/><Relationship Id="rId32" Type="http://schemas.openxmlformats.org/officeDocument/2006/relationships/image" Target="media/image2.png"/><Relationship Id="rId31" Type="http://schemas.openxmlformats.org/officeDocument/2006/relationships/image" Target="media/image1.png"/><Relationship Id="rId30" Type="http://schemas.openxmlformats.org/officeDocument/2006/relationships/theme" Target="theme/theme1.xml"/><Relationship Id="rId3" Type="http://schemas.openxmlformats.org/officeDocument/2006/relationships/header" Target="header1.xml"/><Relationship Id="rId29" Type="http://schemas.openxmlformats.org/officeDocument/2006/relationships/footer" Target="footer15.xml"/><Relationship Id="rId28" Type="http://schemas.openxmlformats.org/officeDocument/2006/relationships/footer" Target="footer14.xml"/><Relationship Id="rId27" Type="http://schemas.openxmlformats.org/officeDocument/2006/relationships/footer" Target="footer13.xml"/><Relationship Id="rId26" Type="http://schemas.openxmlformats.org/officeDocument/2006/relationships/footer" Target="footer12.xml"/><Relationship Id="rId25" Type="http://schemas.openxmlformats.org/officeDocument/2006/relationships/header" Target="header12.xml"/><Relationship Id="rId24" Type="http://schemas.openxmlformats.org/officeDocument/2006/relationships/footer" Target="footer11.xml"/><Relationship Id="rId23" Type="http://schemas.openxmlformats.org/officeDocument/2006/relationships/header" Target="header11.xml"/><Relationship Id="rId22" Type="http://schemas.openxmlformats.org/officeDocument/2006/relationships/footer" Target="footer10.xml"/><Relationship Id="rId21" Type="http://schemas.openxmlformats.org/officeDocument/2006/relationships/header" Target="header10.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header" Target="header9.xml"/><Relationship Id="rId18" Type="http://schemas.openxmlformats.org/officeDocument/2006/relationships/footer" Target="footer8.xml"/><Relationship Id="rId17" Type="http://schemas.openxmlformats.org/officeDocument/2006/relationships/header" Target="header8.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7.xml"/><Relationship Id="rId12" Type="http://schemas.openxmlformats.org/officeDocument/2006/relationships/header" Target="header6.xml"/><Relationship Id="rId118" Type="http://schemas.openxmlformats.org/officeDocument/2006/relationships/fontTable" Target="fontTable.xml"/><Relationship Id="rId117" Type="http://schemas.openxmlformats.org/officeDocument/2006/relationships/customXml" Target="../customXml/item2.xml"/><Relationship Id="rId116" Type="http://schemas.openxmlformats.org/officeDocument/2006/relationships/numbering" Target="numbering.xml"/><Relationship Id="rId115" Type="http://schemas.openxmlformats.org/officeDocument/2006/relationships/customXml" Target="../customXml/item1.xml"/><Relationship Id="rId114" Type="http://schemas.openxmlformats.org/officeDocument/2006/relationships/image" Target="media/image54.jpeg"/><Relationship Id="rId113" Type="http://schemas.openxmlformats.org/officeDocument/2006/relationships/image" Target="media/image53.jpeg"/><Relationship Id="rId112" Type="http://schemas.openxmlformats.org/officeDocument/2006/relationships/image" Target="media/image52.png"/><Relationship Id="rId111" Type="http://schemas.openxmlformats.org/officeDocument/2006/relationships/image" Target="media/image51.png"/><Relationship Id="rId110" Type="http://schemas.openxmlformats.org/officeDocument/2006/relationships/image" Target="media/image50.png"/><Relationship Id="rId11" Type="http://schemas.openxmlformats.org/officeDocument/2006/relationships/header" Target="header5.xml"/><Relationship Id="rId109" Type="http://schemas.openxmlformats.org/officeDocument/2006/relationships/image" Target="media/image49.png"/><Relationship Id="rId108" Type="http://schemas.openxmlformats.org/officeDocument/2006/relationships/image" Target="media/image48.png"/><Relationship Id="rId107" Type="http://schemas.openxmlformats.org/officeDocument/2006/relationships/image" Target="media/image47.png"/><Relationship Id="rId106" Type="http://schemas.openxmlformats.org/officeDocument/2006/relationships/image" Target="media/image46.wmf"/><Relationship Id="rId105" Type="http://schemas.openxmlformats.org/officeDocument/2006/relationships/oleObject" Target="embeddings/oleObject26.bin"/><Relationship Id="rId104" Type="http://schemas.openxmlformats.org/officeDocument/2006/relationships/chart" Target="charts/chart4.xml"/><Relationship Id="rId103" Type="http://schemas.openxmlformats.org/officeDocument/2006/relationships/image" Target="media/image45.png"/><Relationship Id="rId102" Type="http://schemas.openxmlformats.org/officeDocument/2006/relationships/image" Target="media/image44.png"/><Relationship Id="rId101" Type="http://schemas.openxmlformats.org/officeDocument/2006/relationships/image" Target="media/image43.emf"/><Relationship Id="rId100" Type="http://schemas.openxmlformats.org/officeDocument/2006/relationships/oleObject" Target="embeddings/oleObject25.bin"/><Relationship Id="rId10" Type="http://schemas.openxmlformats.org/officeDocument/2006/relationships/footer" Target="footer4.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istrator\Desktop\&#19989;&#19988;&#33707;&#27668;&#35937;&#25968;&#25454;.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istrator\Desktop\&#19989;&#19988;&#33707;&#27668;&#35937;&#25968;&#25454;.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istrator\Desktop\&#19989;&#19988;&#33707;&#27668;&#35937;&#25968;&#25454;.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istrator\Desktop\&#26032;&#24314;%20XLS%20&#24037;&#20316;&#34920;%20(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rPr lang="en-US" altLang="zh-CN"/>
              <a:t>&lt;3&gt;</a:t>
            </a:r>
            <a:r>
              <a:rPr lang="zh-CN" altLang="en-US"/>
              <a:t>附表</a:t>
            </a:r>
            <a:r>
              <a:rPr lang="en-US"/>
              <a:t>C.13 </a:t>
            </a:r>
            <a:r>
              <a:rPr lang="zh-CN" altLang="en-US"/>
              <a:t>季小时平均风速的日变化</a:t>
            </a:r>
            <a:endParaRPr lang="zh-CN" altLang="en-US" sz="1200" b="0" i="0" u="none" strike="noStrike" baseline="0">
              <a:solidFill>
                <a:srgbClr val="000000">
                  <a:alpha val="100000"/>
                </a:srgbClr>
              </a:solidFill>
              <a:latin typeface="宋体" panose="02010600030101010101" charset="-122"/>
              <a:ea typeface="宋体" panose="02010600030101010101" charset="-122"/>
              <a:cs typeface="宋体" panose="02010600030101010101" charset="-122"/>
            </a:endParaRPr>
          </a:p>
        </c:rich>
      </c:tx>
      <c:layout/>
      <c:overlay val="0"/>
      <c:spPr>
        <a:noFill/>
        <a:ln w="3175">
          <a:noFill/>
        </a:ln>
      </c:spPr>
    </c:title>
    <c:autoTitleDeleted val="0"/>
    <c:plotArea>
      <c:layout>
        <c:manualLayout>
          <c:layoutTarget val="inner"/>
          <c:xMode val="edge"/>
          <c:yMode val="edge"/>
          <c:x val="0.1205"/>
          <c:y val="0.142"/>
          <c:w val="0.7285"/>
          <c:h val="0.71275"/>
        </c:manualLayout>
      </c:layout>
      <c:lineChart>
        <c:grouping val="standard"/>
        <c:varyColors val="0"/>
        <c:ser>
          <c:idx val="0"/>
          <c:order val="0"/>
          <c:tx>
            <c:strRef>
              <c:f>[丕且莫气象数据.xls]图形!$A$167</c:f>
              <c:strCache>
                <c:ptCount val="1"/>
                <c:pt idx="0">
                  <c:v>春季                </c:v>
                </c:pt>
              </c:strCache>
            </c:strRef>
          </c:tx>
          <c:spPr>
            <a:ln w="12700" cap="rnd" cmpd="sng" algn="ctr">
              <a:solidFill>
                <a:srgbClr val="000080">
                  <a:alpha val="100000"/>
                </a:srgbClr>
              </a:solidFill>
              <a:prstDash val="solid"/>
              <a:round/>
            </a:ln>
          </c:spPr>
          <c:marker>
            <c:symbol val="diamond"/>
            <c:size val="5"/>
            <c:spPr>
              <a:solidFill>
                <a:srgbClr val="000080">
                  <a:alpha val="100000"/>
                </a:srgbClr>
              </a:solidFill>
              <a:ln w="6350" cap="flat" cmpd="sng" algn="ctr">
                <a:solidFill>
                  <a:srgbClr val="000080">
                    <a:alpha val="100000"/>
                  </a:srgbClr>
                </a:solidFill>
                <a:prstDash val="solid"/>
                <a:round/>
              </a:ln>
            </c:spPr>
          </c:marker>
          <c:dLbls>
            <c:delete val="1"/>
          </c:dLbls>
          <c:val>
            <c:numRef>
              <c:f>[丕且莫气象数据.xls]图形!$B$167:$Y$167</c:f>
              <c:numCache>
                <c:formatCode>General</c:formatCode>
                <c:ptCount val="24"/>
                <c:pt idx="0">
                  <c:v>1.35000002384186</c:v>
                </c:pt>
                <c:pt idx="1">
                  <c:v>1.38999998569489</c:v>
                </c:pt>
                <c:pt idx="2">
                  <c:v>1.19000005722046</c:v>
                </c:pt>
                <c:pt idx="3">
                  <c:v>1.3400000333786</c:v>
                </c:pt>
                <c:pt idx="4">
                  <c:v>1.24000000953674</c:v>
                </c:pt>
                <c:pt idx="5">
                  <c:v>1.12999999523163</c:v>
                </c:pt>
                <c:pt idx="6">
                  <c:v>0.930000007152557</c:v>
                </c:pt>
                <c:pt idx="7">
                  <c:v>0.980000019073486</c:v>
                </c:pt>
                <c:pt idx="8">
                  <c:v>1.5</c:v>
                </c:pt>
                <c:pt idx="9">
                  <c:v>2.90000009536743</c:v>
                </c:pt>
                <c:pt idx="10">
                  <c:v>4</c:v>
                </c:pt>
                <c:pt idx="11">
                  <c:v>4.76999998092651</c:v>
                </c:pt>
                <c:pt idx="12">
                  <c:v>5.38000011444092</c:v>
                </c:pt>
                <c:pt idx="13">
                  <c:v>5.6399998664856</c:v>
                </c:pt>
                <c:pt idx="14">
                  <c:v>5.51000022888184</c:v>
                </c:pt>
                <c:pt idx="15">
                  <c:v>5.32000017166138</c:v>
                </c:pt>
                <c:pt idx="16">
                  <c:v>5.30999994277954</c:v>
                </c:pt>
                <c:pt idx="17">
                  <c:v>4.73000001907349</c:v>
                </c:pt>
                <c:pt idx="18">
                  <c:v>3.73000001907349</c:v>
                </c:pt>
                <c:pt idx="19">
                  <c:v>2.13000011444092</c:v>
                </c:pt>
                <c:pt idx="20">
                  <c:v>1.76999998092651</c:v>
                </c:pt>
                <c:pt idx="21">
                  <c:v>1.53999996185303</c:v>
                </c:pt>
                <c:pt idx="22">
                  <c:v>1.51999998092651</c:v>
                </c:pt>
                <c:pt idx="23">
                  <c:v>1.25999999046326</c:v>
                </c:pt>
              </c:numCache>
            </c:numRef>
          </c:val>
          <c:smooth val="0"/>
        </c:ser>
        <c:ser>
          <c:idx val="1"/>
          <c:order val="1"/>
          <c:tx>
            <c:strRef>
              <c:f>[丕且莫气象数据.xls]图形!$A$168</c:f>
              <c:strCache>
                <c:ptCount val="1"/>
                <c:pt idx="0">
                  <c:v>夏季                </c:v>
                </c:pt>
              </c:strCache>
            </c:strRef>
          </c:tx>
          <c:spPr>
            <a:ln w="12700" cap="rnd" cmpd="sng" algn="ctr">
              <a:solidFill>
                <a:srgbClr val="FF00FF">
                  <a:alpha val="100000"/>
                </a:srgbClr>
              </a:solidFill>
              <a:prstDash val="solid"/>
              <a:round/>
            </a:ln>
          </c:spPr>
          <c:marker>
            <c:symbol val="square"/>
            <c:size val="5"/>
            <c:spPr>
              <a:solidFill>
                <a:srgbClr val="FF00FF">
                  <a:alpha val="100000"/>
                </a:srgbClr>
              </a:solidFill>
              <a:ln w="6350" cap="flat" cmpd="sng" algn="ctr">
                <a:solidFill>
                  <a:srgbClr val="FF00FF">
                    <a:alpha val="100000"/>
                  </a:srgbClr>
                </a:solidFill>
                <a:prstDash val="solid"/>
                <a:round/>
              </a:ln>
            </c:spPr>
          </c:marker>
          <c:dLbls>
            <c:delete val="1"/>
          </c:dLbls>
          <c:val>
            <c:numRef>
              <c:f>[丕且莫气象数据.xls]图形!$B$168:$Y$168</c:f>
              <c:numCache>
                <c:formatCode>General</c:formatCode>
                <c:ptCount val="24"/>
                <c:pt idx="0">
                  <c:v>1.52999997138977</c:v>
                </c:pt>
                <c:pt idx="1">
                  <c:v>1.6599999666214</c:v>
                </c:pt>
                <c:pt idx="2">
                  <c:v>1.44000005722046</c:v>
                </c:pt>
                <c:pt idx="3">
                  <c:v>1.44000005722046</c:v>
                </c:pt>
                <c:pt idx="4">
                  <c:v>1.25</c:v>
                </c:pt>
                <c:pt idx="5">
                  <c:v>1.08000004291534</c:v>
                </c:pt>
                <c:pt idx="6">
                  <c:v>1.05999994277954</c:v>
                </c:pt>
                <c:pt idx="7">
                  <c:v>1.20000004768372</c:v>
                </c:pt>
                <c:pt idx="8">
                  <c:v>1.79999995231628</c:v>
                </c:pt>
                <c:pt idx="9">
                  <c:v>2.28999996185303</c:v>
                </c:pt>
                <c:pt idx="10">
                  <c:v>2.89000010490417</c:v>
                </c:pt>
                <c:pt idx="11">
                  <c:v>3.23000001907349</c:v>
                </c:pt>
                <c:pt idx="12">
                  <c:v>3.44000005722046</c:v>
                </c:pt>
                <c:pt idx="13">
                  <c:v>3.66000008583069</c:v>
                </c:pt>
                <c:pt idx="14">
                  <c:v>3.73000001907349</c:v>
                </c:pt>
                <c:pt idx="15">
                  <c:v>3.73000001907349</c:v>
                </c:pt>
                <c:pt idx="16">
                  <c:v>3.58999991416931</c:v>
                </c:pt>
                <c:pt idx="17">
                  <c:v>3.44000005722046</c:v>
                </c:pt>
                <c:pt idx="18">
                  <c:v>3</c:v>
                </c:pt>
                <c:pt idx="19">
                  <c:v>2.40000009536743</c:v>
                </c:pt>
                <c:pt idx="20">
                  <c:v>1.8400000333786</c:v>
                </c:pt>
                <c:pt idx="21">
                  <c:v>1.74000000953674</c:v>
                </c:pt>
                <c:pt idx="22">
                  <c:v>1.66999995708466</c:v>
                </c:pt>
                <c:pt idx="23">
                  <c:v>1.57000005245209</c:v>
                </c:pt>
              </c:numCache>
            </c:numRef>
          </c:val>
          <c:smooth val="0"/>
        </c:ser>
        <c:ser>
          <c:idx val="2"/>
          <c:order val="2"/>
          <c:tx>
            <c:strRef>
              <c:f>[丕且莫气象数据.xls]图形!$A$169</c:f>
              <c:strCache>
                <c:ptCount val="1"/>
                <c:pt idx="0">
                  <c:v>秋季                </c:v>
                </c:pt>
              </c:strCache>
            </c:strRef>
          </c:tx>
          <c:spPr>
            <a:ln w="12700" cap="rnd" cmpd="sng" algn="ctr">
              <a:solidFill>
                <a:srgbClr val="FFFF00">
                  <a:alpha val="100000"/>
                </a:srgbClr>
              </a:solidFill>
              <a:prstDash val="solid"/>
              <a:round/>
            </a:ln>
          </c:spPr>
          <c:marker>
            <c:symbol val="triangle"/>
            <c:size val="5"/>
            <c:spPr>
              <a:solidFill>
                <a:srgbClr val="FFFF00">
                  <a:alpha val="100000"/>
                </a:srgbClr>
              </a:solidFill>
              <a:ln w="6350" cap="flat" cmpd="sng" algn="ctr">
                <a:solidFill>
                  <a:srgbClr val="FFFF00">
                    <a:alpha val="100000"/>
                  </a:srgbClr>
                </a:solidFill>
                <a:prstDash val="solid"/>
                <a:round/>
              </a:ln>
            </c:spPr>
          </c:marker>
          <c:dLbls>
            <c:delete val="1"/>
          </c:dLbls>
          <c:val>
            <c:numRef>
              <c:f>[丕且莫气象数据.xls]图形!$B$169:$Y$169</c:f>
              <c:numCache>
                <c:formatCode>General</c:formatCode>
                <c:ptCount val="24"/>
                <c:pt idx="0">
                  <c:v>1.20000004768372</c:v>
                </c:pt>
                <c:pt idx="1">
                  <c:v>0.990000009536743</c:v>
                </c:pt>
                <c:pt idx="2">
                  <c:v>0.860000014305117</c:v>
                </c:pt>
                <c:pt idx="3">
                  <c:v>0.850000023841858</c:v>
                </c:pt>
                <c:pt idx="4">
                  <c:v>0.870000004768374</c:v>
                </c:pt>
                <c:pt idx="5">
                  <c:v>0.959999978542328</c:v>
                </c:pt>
                <c:pt idx="6">
                  <c:v>0.850000023841858</c:v>
                </c:pt>
                <c:pt idx="7">
                  <c:v>0.920000016689303</c:v>
                </c:pt>
                <c:pt idx="8">
                  <c:v>0.970000028610229</c:v>
                </c:pt>
                <c:pt idx="9">
                  <c:v>1.62999999523163</c:v>
                </c:pt>
                <c:pt idx="10">
                  <c:v>2.20000004768372</c:v>
                </c:pt>
                <c:pt idx="11">
                  <c:v>2.46000003814697</c:v>
                </c:pt>
                <c:pt idx="12">
                  <c:v>2.64000010490417</c:v>
                </c:pt>
                <c:pt idx="13">
                  <c:v>2.95000004768372</c:v>
                </c:pt>
                <c:pt idx="14">
                  <c:v>2.95000004768372</c:v>
                </c:pt>
                <c:pt idx="15">
                  <c:v>2.95000004768372</c:v>
                </c:pt>
                <c:pt idx="16">
                  <c:v>2.99000000953674</c:v>
                </c:pt>
                <c:pt idx="17">
                  <c:v>2.41000008583069</c:v>
                </c:pt>
                <c:pt idx="18">
                  <c:v>1.72000002861023</c:v>
                </c:pt>
                <c:pt idx="19">
                  <c:v>1.75999999046326</c:v>
                </c:pt>
                <c:pt idx="20">
                  <c:v>1.54999995231628</c:v>
                </c:pt>
                <c:pt idx="21">
                  <c:v>1.26999998092651</c:v>
                </c:pt>
                <c:pt idx="22">
                  <c:v>1.22000002861023</c:v>
                </c:pt>
                <c:pt idx="23">
                  <c:v>1.24000000953674</c:v>
                </c:pt>
              </c:numCache>
            </c:numRef>
          </c:val>
          <c:smooth val="0"/>
        </c:ser>
        <c:ser>
          <c:idx val="3"/>
          <c:order val="3"/>
          <c:tx>
            <c:strRef>
              <c:f>[丕且莫气象数据.xls]图形!$A$170</c:f>
              <c:strCache>
                <c:ptCount val="1"/>
                <c:pt idx="0">
                  <c:v>冬季                </c:v>
                </c:pt>
              </c:strCache>
            </c:strRef>
          </c:tx>
          <c:spPr>
            <a:ln w="12700" cap="rnd" cmpd="sng" algn="ctr">
              <a:solidFill>
                <a:srgbClr val="00FFFF">
                  <a:alpha val="100000"/>
                </a:srgbClr>
              </a:solidFill>
              <a:prstDash val="solid"/>
              <a:round/>
            </a:ln>
          </c:spPr>
          <c:marker>
            <c:symbol val="x"/>
            <c:size val="5"/>
            <c:spPr>
              <a:noFill/>
              <a:ln w="6350" cap="flat" cmpd="sng" algn="ctr">
                <a:solidFill>
                  <a:srgbClr val="00FFFF">
                    <a:alpha val="100000"/>
                  </a:srgbClr>
                </a:solidFill>
                <a:prstDash val="solid"/>
                <a:round/>
              </a:ln>
            </c:spPr>
          </c:marker>
          <c:dLbls>
            <c:delete val="1"/>
          </c:dLbls>
          <c:val>
            <c:numRef>
              <c:f>[丕且莫气象数据.xls]图形!$B$170:$Y$170</c:f>
              <c:numCache>
                <c:formatCode>General</c:formatCode>
                <c:ptCount val="24"/>
                <c:pt idx="0">
                  <c:v>1.29999995231628</c:v>
                </c:pt>
                <c:pt idx="1">
                  <c:v>1.3400000333786</c:v>
                </c:pt>
                <c:pt idx="2">
                  <c:v>1.24000000953674</c:v>
                </c:pt>
                <c:pt idx="3">
                  <c:v>1.00999999046326</c:v>
                </c:pt>
                <c:pt idx="4">
                  <c:v>1.11000001430511</c:v>
                </c:pt>
                <c:pt idx="5">
                  <c:v>1.10000002384186</c:v>
                </c:pt>
                <c:pt idx="6">
                  <c:v>1.08000004291534</c:v>
                </c:pt>
                <c:pt idx="7">
                  <c:v>1.01999998092651</c:v>
                </c:pt>
                <c:pt idx="8">
                  <c:v>0.980000019073486</c:v>
                </c:pt>
                <c:pt idx="9">
                  <c:v>1.54999995231628</c:v>
                </c:pt>
                <c:pt idx="10">
                  <c:v>2.63000011444092</c:v>
                </c:pt>
                <c:pt idx="11">
                  <c:v>3.79999995231628</c:v>
                </c:pt>
                <c:pt idx="12">
                  <c:v>4.48000001907349</c:v>
                </c:pt>
                <c:pt idx="13">
                  <c:v>4.80999994277954</c:v>
                </c:pt>
                <c:pt idx="14">
                  <c:v>4.8899998664856</c:v>
                </c:pt>
                <c:pt idx="15">
                  <c:v>4.67999982833862</c:v>
                </c:pt>
                <c:pt idx="16">
                  <c:v>4.28999996185303</c:v>
                </c:pt>
                <c:pt idx="17">
                  <c:v>3.52999997138977</c:v>
                </c:pt>
                <c:pt idx="18">
                  <c:v>2.38000011444092</c:v>
                </c:pt>
                <c:pt idx="19">
                  <c:v>1.91999995708466</c:v>
                </c:pt>
                <c:pt idx="20">
                  <c:v>1.57000005245209</c:v>
                </c:pt>
                <c:pt idx="21">
                  <c:v>1.49000000953674</c:v>
                </c:pt>
                <c:pt idx="22">
                  <c:v>1.39999997615814</c:v>
                </c:pt>
                <c:pt idx="23">
                  <c:v>1.3400000333786</c:v>
                </c:pt>
              </c:numCache>
            </c:numRef>
          </c:val>
          <c:smooth val="0"/>
        </c:ser>
        <c:dLbls>
          <c:showLegendKey val="0"/>
          <c:showVal val="0"/>
          <c:showCatName val="0"/>
          <c:showSerName val="0"/>
          <c:showPercent val="0"/>
          <c:showBubbleSize val="0"/>
        </c:dLbls>
        <c:marker val="1"/>
        <c:smooth val="0"/>
        <c:axId val="683866752"/>
        <c:axId val="684065536"/>
      </c:lineChart>
      <c:catAx>
        <c:axId val="683866752"/>
        <c:scaling>
          <c:orientation val="minMax"/>
        </c:scaling>
        <c:delete val="0"/>
        <c:axPos val="b"/>
        <c:majorTickMark val="in"/>
        <c:minorTickMark val="none"/>
        <c:tickLblPos val="nextTo"/>
        <c:spPr>
          <a:ln w="3175" cap="flat" cmpd="sng" algn="ctr">
            <a:solidFill>
              <a:srgbClr val="000000">
                <a:alpha val="100000"/>
              </a:srgbClr>
            </a:solidFill>
            <a:prstDash val="solid"/>
            <a:round/>
          </a:ln>
        </c:spPr>
        <c:txPr>
          <a:bodyPr rot="-60000000" spcFirstLastPara="0" vertOverflow="ellipsis" vert="horz" wrap="square" anchor="ctr" anchorCtr="1"/>
          <a:lstStyle/>
          <a:p>
            <a:pPr>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crossAx val="684065536"/>
        <c:crosses val="autoZero"/>
        <c:auto val="1"/>
        <c:lblAlgn val="ctr"/>
        <c:lblOffset val="100"/>
        <c:noMultiLvlLbl val="0"/>
      </c:catAx>
      <c:valAx>
        <c:axId val="684065536"/>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rPr lang="zh-CN" altLang="en-US"/>
                  <a:t>风速</a:t>
                </a:r>
                <a:r>
                  <a:rPr lang="en-US" altLang="zh-CN"/>
                  <a:t>(</a:t>
                </a:r>
                <a:r>
                  <a:rPr lang="en-US"/>
                  <a:t>m/s)</a:t>
                </a:r>
                <a:endParaRPr lang="en-US" sz="1200" b="0" i="0" u="none" strike="noStrike" baseline="0">
                  <a:solidFill>
                    <a:srgbClr val="000000">
                      <a:alpha val="100000"/>
                    </a:srgbClr>
                  </a:solidFill>
                  <a:latin typeface="宋体" panose="02010600030101010101" charset="-122"/>
                  <a:ea typeface="宋体" panose="02010600030101010101" charset="-122"/>
                  <a:cs typeface="宋体" panose="02010600030101010101" charset="-122"/>
                </a:endParaRPr>
              </a:p>
            </c:rich>
          </c:tx>
          <c:layout/>
          <c:overlay val="0"/>
          <c:spPr>
            <a:noFill/>
            <a:ln w="3175">
              <a:noFill/>
            </a:ln>
          </c:spPr>
        </c:title>
        <c:numFmt formatCode="0.00_ " sourceLinked="0"/>
        <c:majorTickMark val="in"/>
        <c:minorTickMark val="none"/>
        <c:tickLblPos val="nextTo"/>
        <c:spPr>
          <a:ln w="3175" cap="flat" cmpd="sng" algn="ctr">
            <a:solidFill>
              <a:srgbClr val="000000">
                <a:alpha val="100000"/>
              </a:srgbClr>
            </a:solidFill>
            <a:prstDash val="solid"/>
            <a:round/>
          </a:ln>
        </c:spPr>
        <c:txPr>
          <a:bodyPr rot="-60000000" spcFirstLastPara="0" vertOverflow="ellipsis" vert="horz" wrap="square" anchor="ctr" anchorCtr="1"/>
          <a:lstStyle/>
          <a:p>
            <a:pPr>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crossAx val="683866752"/>
        <c:crosses val="autoZero"/>
        <c:crossBetween val="between"/>
      </c:valAx>
      <c:spPr>
        <a:solidFill>
          <a:srgbClr val="C0C0C0">
            <a:alpha val="100000"/>
          </a:srgbClr>
        </a:solidFill>
        <a:ln w="12700">
          <a:solidFill>
            <a:srgbClr val="808080">
              <a:alpha val="100000"/>
            </a:srgbClr>
          </a:solidFill>
          <a:prstDash val="solid"/>
        </a:ln>
      </c:spPr>
    </c:plotArea>
    <c:legend>
      <c:legendPos val="r"/>
      <c:layout>
        <c:manualLayout>
          <c:xMode val="edge"/>
          <c:yMode val="edge"/>
          <c:x val="0.85975"/>
          <c:y val="0.18475"/>
          <c:w val="0.1255"/>
          <c:h val="0.50525"/>
        </c:manualLayout>
      </c:layout>
      <c:overlay val="0"/>
      <c:spPr>
        <a:solidFill>
          <a:srgbClr val="FFFFFF">
            <a:alpha val="100000"/>
          </a:srgbClr>
        </a:solidFill>
        <a:ln w="3175">
          <a:solidFill>
            <a:srgbClr val="000000">
              <a:alpha val="100000"/>
            </a:srgbClr>
          </a:solidFill>
          <a:prstDash val="solid"/>
        </a:ln>
      </c:spPr>
      <c:txPr>
        <a:bodyPr rot="0" spcFirstLastPara="0" vertOverflow="ellipsis" vert="horz" wrap="square" anchor="ctr" anchorCtr="1"/>
        <a:lstStyle/>
        <a:p>
          <a:pPr>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legend>
    <c:plotVisOnly val="1"/>
    <c:dispBlanksAs val="gap"/>
    <c:showDLblsOverMax val="0"/>
  </c:chart>
  <c:spPr>
    <a:solidFill>
      <a:srgbClr val="FFFFFF">
        <a:alpha val="100000"/>
      </a:srgbClr>
    </a:solidFill>
    <a:ln w="3175" cap="flat" cmpd="sng" algn="ctr">
      <a:solidFill>
        <a:srgbClr val="000000">
          <a:alpha val="100000"/>
        </a:srgbClr>
      </a:solidFill>
      <a:prstDash val="solid"/>
      <a:round/>
    </a:ln>
  </c:spPr>
  <c:txPr>
    <a:bodyPr rot="0" wrap="square" anchor="ctr" anchorCtr="1"/>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rPr lang="zh-CN" altLang="en-US"/>
              <a:t> </a:t>
            </a:r>
            <a:r>
              <a:rPr lang="en-US" altLang="zh-CN"/>
              <a:t>&lt;2&gt;</a:t>
            </a:r>
            <a:r>
              <a:rPr lang="zh-CN" altLang="en-US"/>
              <a:t>附表</a:t>
            </a:r>
            <a:r>
              <a:rPr lang="en-US"/>
              <a:t>C.12 </a:t>
            </a:r>
            <a:r>
              <a:rPr lang="zh-CN" altLang="en-US"/>
              <a:t>年平均风速的月变化  </a:t>
            </a:r>
            <a:endParaRPr lang="zh-CN" altLang="en-US" sz="1200" b="0" i="0" u="none" strike="noStrike" baseline="0">
              <a:solidFill>
                <a:srgbClr val="000000">
                  <a:alpha val="100000"/>
                </a:srgbClr>
              </a:solidFill>
              <a:latin typeface="宋体" panose="02010600030101010101" charset="-122"/>
              <a:ea typeface="宋体" panose="02010600030101010101" charset="-122"/>
              <a:cs typeface="宋体" panose="02010600030101010101" charset="-122"/>
            </a:endParaRPr>
          </a:p>
        </c:rich>
      </c:tx>
      <c:layout/>
      <c:overlay val="0"/>
      <c:spPr>
        <a:noFill/>
        <a:ln w="3175">
          <a:noFill/>
        </a:ln>
      </c:spPr>
    </c:title>
    <c:autoTitleDeleted val="0"/>
    <c:plotArea>
      <c:layout>
        <c:manualLayout>
          <c:layoutTarget val="inner"/>
          <c:xMode val="edge"/>
          <c:yMode val="edge"/>
          <c:x val="0.122"/>
          <c:y val="0.20225"/>
          <c:w val="0.83075"/>
          <c:h val="0.639750000000002"/>
        </c:manualLayout>
      </c:layout>
      <c:lineChart>
        <c:grouping val="standard"/>
        <c:varyColors val="0"/>
        <c:ser>
          <c:idx val="0"/>
          <c:order val="0"/>
          <c:tx>
            <c:strRef>
              <c:f>[丕且莫气象数据.xls]数据!$A$7</c:f>
              <c:strCache>
                <c:ptCount val="1"/>
                <c:pt idx="0">
                  <c:v> 风速(m/s)  </c:v>
                </c:pt>
              </c:strCache>
            </c:strRef>
          </c:tx>
          <c:spPr>
            <a:ln w="12700" cap="rnd" cmpd="sng" algn="ctr">
              <a:solidFill>
                <a:srgbClr val="000080">
                  <a:alpha val="100000"/>
                </a:srgbClr>
              </a:solidFill>
              <a:prstDash val="solid"/>
              <a:round/>
            </a:ln>
          </c:spPr>
          <c:marker>
            <c:symbol val="diamond"/>
            <c:size val="5"/>
            <c:spPr>
              <a:solidFill>
                <a:srgbClr val="000080">
                  <a:alpha val="100000"/>
                </a:srgbClr>
              </a:solidFill>
              <a:ln w="6350" cap="flat" cmpd="sng" algn="ctr">
                <a:solidFill>
                  <a:srgbClr val="000080">
                    <a:alpha val="100000"/>
                  </a:srgbClr>
                </a:solidFill>
                <a:prstDash val="solid"/>
                <a:round/>
              </a:ln>
            </c:spPr>
          </c:marker>
          <c:dLbls>
            <c:delete val="1"/>
          </c:dLbls>
          <c:cat>
            <c:strRef>
              <c:f>[丕且莫气象数据.xls]数据!$B$6:$M$6</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[丕且莫气象数据.xls]数据!$B$7:$M$7</c:f>
              <c:numCache>
                <c:formatCode>0.00_ </c:formatCode>
                <c:ptCount val="12"/>
                <c:pt idx="0">
                  <c:v>2.5</c:v>
                </c:pt>
                <c:pt idx="1">
                  <c:v>2.30999994277954</c:v>
                </c:pt>
                <c:pt idx="2">
                  <c:v>2.78999996185303</c:v>
                </c:pt>
                <c:pt idx="3">
                  <c:v>2.52999997138977</c:v>
                </c:pt>
                <c:pt idx="4">
                  <c:v>2.99000000953674</c:v>
                </c:pt>
                <c:pt idx="5">
                  <c:v>3.16000008583069</c:v>
                </c:pt>
                <c:pt idx="6">
                  <c:v>2.14000010490417</c:v>
                </c:pt>
                <c:pt idx="7">
                  <c:v>1.57000005245209</c:v>
                </c:pt>
                <c:pt idx="8">
                  <c:v>1.67999994754791</c:v>
                </c:pt>
                <c:pt idx="9">
                  <c:v>1.57000005245209</c:v>
                </c:pt>
                <c:pt idx="10">
                  <c:v>1.80999994277954</c:v>
                </c:pt>
                <c:pt idx="11">
                  <c:v>2.05999994277954</c:v>
                </c:pt>
              </c:numCache>
            </c:numRef>
          </c:val>
          <c:smooth val="0"/>
        </c:ser>
        <c:dLbls>
          <c:showLegendKey val="0"/>
          <c:showVal val="0"/>
          <c:showCatName val="0"/>
          <c:showSerName val="0"/>
          <c:showPercent val="0"/>
          <c:showBubbleSize val="0"/>
        </c:dLbls>
        <c:marker val="1"/>
        <c:smooth val="0"/>
        <c:axId val="684076032"/>
        <c:axId val="684110976"/>
      </c:lineChart>
      <c:catAx>
        <c:axId val="684076032"/>
        <c:scaling>
          <c:orientation val="minMax"/>
        </c:scaling>
        <c:delete val="0"/>
        <c:axPos val="b"/>
        <c:majorTickMark val="in"/>
        <c:minorTickMark val="none"/>
        <c:tickLblPos val="nextTo"/>
        <c:spPr>
          <a:ln w="3175" cap="flat" cmpd="sng" algn="ctr">
            <a:solidFill>
              <a:srgbClr val="000000">
                <a:alpha val="100000"/>
              </a:srgbClr>
            </a:solidFill>
            <a:prstDash val="solid"/>
            <a:round/>
          </a:ln>
        </c:spPr>
        <c:txPr>
          <a:bodyPr rot="-60000000" spcFirstLastPara="0" vertOverflow="ellipsis" vert="horz" wrap="square" anchor="ctr" anchorCtr="1"/>
          <a:lstStyle/>
          <a:p>
            <a:pPr>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crossAx val="684110976"/>
        <c:crosses val="autoZero"/>
        <c:auto val="1"/>
        <c:lblAlgn val="ctr"/>
        <c:lblOffset val="100"/>
        <c:noMultiLvlLbl val="0"/>
      </c:catAx>
      <c:valAx>
        <c:axId val="684110976"/>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rPr lang="zh-CN" altLang="en-US"/>
                  <a:t>风速</a:t>
                </a:r>
                <a:r>
                  <a:rPr lang="en-US" altLang="zh-CN"/>
                  <a:t>(</a:t>
                </a:r>
                <a:r>
                  <a:rPr lang="en-US"/>
                  <a:t>m/s) </a:t>
                </a:r>
                <a:endParaRPr lang="en-US" sz="1200" b="0" i="0" u="none" strike="noStrike" baseline="0">
                  <a:solidFill>
                    <a:srgbClr val="000000">
                      <a:alpha val="100000"/>
                    </a:srgbClr>
                  </a:solidFill>
                  <a:latin typeface="宋体" panose="02010600030101010101" charset="-122"/>
                  <a:ea typeface="宋体" panose="02010600030101010101" charset="-122"/>
                  <a:cs typeface="宋体" panose="02010600030101010101" charset="-122"/>
                </a:endParaRPr>
              </a:p>
            </c:rich>
          </c:tx>
          <c:layout>
            <c:manualLayout>
              <c:xMode val="edge"/>
              <c:yMode val="edge"/>
              <c:x val="0"/>
              <c:y val="0.374480107058126"/>
            </c:manualLayout>
          </c:layout>
          <c:overlay val="0"/>
          <c:spPr>
            <a:noFill/>
            <a:ln w="3175">
              <a:noFill/>
            </a:ln>
          </c:spPr>
        </c:title>
        <c:numFmt formatCode="0.00_ " sourceLinked="0"/>
        <c:majorTickMark val="in"/>
        <c:minorTickMark val="none"/>
        <c:tickLblPos val="nextTo"/>
        <c:spPr>
          <a:ln w="3175" cap="flat" cmpd="sng" algn="ctr">
            <a:solidFill>
              <a:srgbClr val="000000">
                <a:alpha val="100000"/>
              </a:srgbClr>
            </a:solidFill>
            <a:prstDash val="solid"/>
            <a:round/>
          </a:ln>
        </c:spPr>
        <c:txPr>
          <a:bodyPr rot="-60000000" spcFirstLastPara="0" vertOverflow="ellipsis" vert="horz" wrap="square" anchor="ctr" anchorCtr="1"/>
          <a:lstStyle/>
          <a:p>
            <a:pPr>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crossAx val="684076032"/>
        <c:crosses val="autoZero"/>
        <c:crossBetween val="between"/>
      </c:valAx>
      <c:spPr>
        <a:solidFill>
          <a:srgbClr val="C0C0C0">
            <a:alpha val="100000"/>
          </a:srgbClr>
        </a:solidFill>
        <a:ln w="12700">
          <a:solidFill>
            <a:srgbClr val="808080">
              <a:alpha val="100000"/>
            </a:srgbClr>
          </a:solidFill>
          <a:prstDash val="solid"/>
        </a:ln>
      </c:spPr>
    </c:plotArea>
    <c:plotVisOnly val="1"/>
    <c:dispBlanksAs val="gap"/>
    <c:showDLblsOverMax val="0"/>
  </c:chart>
  <c:spPr>
    <a:solidFill>
      <a:srgbClr val="FFFFFF">
        <a:alpha val="100000"/>
      </a:srgbClr>
    </a:solidFill>
    <a:ln w="3175" cap="flat" cmpd="sng" algn="ctr">
      <a:solidFill>
        <a:srgbClr val="000000">
          <a:alpha val="100000"/>
        </a:srgbClr>
      </a:solidFill>
      <a:prstDash val="solid"/>
      <a:round/>
    </a:ln>
  </c:spPr>
  <c:txPr>
    <a:bodyPr rot="0" wrap="square" anchor="ctr" anchorCtr="1"/>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rPr lang="zh-CN" altLang="en-US"/>
              <a:t>  </a:t>
            </a:r>
            <a:r>
              <a:rPr lang="en-US" altLang="zh-CN"/>
              <a:t>&lt;1&gt;</a:t>
            </a:r>
            <a:r>
              <a:rPr lang="zh-CN" altLang="en-US"/>
              <a:t>附表</a:t>
            </a:r>
            <a:r>
              <a:rPr lang="en-US"/>
              <a:t>C.11 </a:t>
            </a:r>
            <a:r>
              <a:rPr lang="zh-CN" altLang="en-US"/>
              <a:t>年平均温度的月变化图  </a:t>
            </a:r>
            <a:endParaRPr lang="zh-CN" altLang="en-US" sz="1200" b="0" i="0" u="none" strike="noStrike" baseline="0">
              <a:solidFill>
                <a:srgbClr val="000000">
                  <a:alpha val="100000"/>
                </a:srgbClr>
              </a:solidFill>
              <a:latin typeface="宋体" panose="02010600030101010101" charset="-122"/>
              <a:ea typeface="宋体" panose="02010600030101010101" charset="-122"/>
              <a:cs typeface="宋体" panose="02010600030101010101" charset="-122"/>
            </a:endParaRPr>
          </a:p>
        </c:rich>
      </c:tx>
      <c:layout/>
      <c:overlay val="0"/>
      <c:spPr>
        <a:noFill/>
        <a:ln w="3175">
          <a:noFill/>
        </a:ln>
      </c:spPr>
    </c:title>
    <c:autoTitleDeleted val="0"/>
    <c:plotArea>
      <c:layout>
        <c:manualLayout>
          <c:layoutTarget val="inner"/>
          <c:xMode val="edge"/>
          <c:yMode val="edge"/>
          <c:x val="0.101"/>
          <c:y val="0.20225"/>
          <c:w val="0.84375"/>
          <c:h val="0.639750000000002"/>
        </c:manualLayout>
      </c:layout>
      <c:lineChart>
        <c:grouping val="standard"/>
        <c:varyColors val="0"/>
        <c:ser>
          <c:idx val="0"/>
          <c:order val="0"/>
          <c:tx>
            <c:strRef>
              <c:f>[丕且莫气象数据.xls]数据!$A$3</c:f>
              <c:strCache>
                <c:ptCount val="1"/>
                <c:pt idx="0">
                  <c:v>  温度(℃)  </c:v>
                </c:pt>
              </c:strCache>
            </c:strRef>
          </c:tx>
          <c:spPr>
            <a:ln w="12700" cap="rnd" cmpd="sng" algn="ctr">
              <a:solidFill>
                <a:srgbClr val="000080">
                  <a:alpha val="100000"/>
                </a:srgbClr>
              </a:solidFill>
              <a:prstDash val="solid"/>
              <a:round/>
            </a:ln>
          </c:spPr>
          <c:marker>
            <c:symbol val="diamond"/>
            <c:size val="5"/>
            <c:spPr>
              <a:solidFill>
                <a:srgbClr val="000080">
                  <a:alpha val="100000"/>
                </a:srgbClr>
              </a:solidFill>
              <a:ln w="6350" cap="flat" cmpd="sng" algn="ctr">
                <a:solidFill>
                  <a:srgbClr val="000080">
                    <a:alpha val="100000"/>
                  </a:srgbClr>
                </a:solidFill>
                <a:prstDash val="solid"/>
                <a:round/>
              </a:ln>
            </c:spPr>
          </c:marker>
          <c:dLbls>
            <c:delete val="1"/>
          </c:dLbls>
          <c:cat>
            <c:strRef>
              <c:f>[丕且莫气象数据.xls]数据!$B$2:$M$2</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[丕且莫气象数据.xls]数据!$B$3:$M$3</c:f>
              <c:numCache>
                <c:formatCode>0.00_ </c:formatCode>
                <c:ptCount val="12"/>
                <c:pt idx="0">
                  <c:v>13.0200004577637</c:v>
                </c:pt>
                <c:pt idx="1">
                  <c:v>13.6000003814697</c:v>
                </c:pt>
                <c:pt idx="2">
                  <c:v>19.0400009155273</c:v>
                </c:pt>
                <c:pt idx="3">
                  <c:v>18.7999992370605</c:v>
                </c:pt>
                <c:pt idx="4">
                  <c:v>23.9099998474121</c:v>
                </c:pt>
                <c:pt idx="5">
                  <c:v>25.0599994659424</c:v>
                </c:pt>
                <c:pt idx="6">
                  <c:v>22.9599990844727</c:v>
                </c:pt>
                <c:pt idx="7">
                  <c:v>22.4099998474121</c:v>
                </c:pt>
                <c:pt idx="8">
                  <c:v>21.7800006866455</c:v>
                </c:pt>
                <c:pt idx="9">
                  <c:v>18.1700000762939</c:v>
                </c:pt>
                <c:pt idx="10">
                  <c:v>15.1800003051758</c:v>
                </c:pt>
                <c:pt idx="11">
                  <c:v>12.4799995422363</c:v>
                </c:pt>
              </c:numCache>
            </c:numRef>
          </c:val>
          <c:smooth val="0"/>
        </c:ser>
        <c:dLbls>
          <c:showLegendKey val="0"/>
          <c:showVal val="0"/>
          <c:showCatName val="0"/>
          <c:showSerName val="0"/>
          <c:showPercent val="0"/>
          <c:showBubbleSize val="0"/>
        </c:dLbls>
        <c:marker val="1"/>
        <c:smooth val="0"/>
        <c:axId val="684270336"/>
        <c:axId val="684272256"/>
      </c:lineChart>
      <c:catAx>
        <c:axId val="684270336"/>
        <c:scaling>
          <c:orientation val="minMax"/>
        </c:scaling>
        <c:delete val="0"/>
        <c:axPos val="b"/>
        <c:majorTickMark val="in"/>
        <c:minorTickMark val="none"/>
        <c:tickLblPos val="nextTo"/>
        <c:spPr>
          <a:ln w="3175" cap="flat" cmpd="sng" algn="ctr">
            <a:solidFill>
              <a:srgbClr val="000000">
                <a:alpha val="100000"/>
              </a:srgbClr>
            </a:solidFill>
            <a:prstDash val="solid"/>
            <a:round/>
          </a:ln>
        </c:spPr>
        <c:txPr>
          <a:bodyPr rot="-60000000" spcFirstLastPara="0" vertOverflow="ellipsis" vert="horz" wrap="square" anchor="ctr" anchorCtr="1"/>
          <a:lstStyle/>
          <a:p>
            <a:pPr>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crossAx val="684272256"/>
        <c:crosses val="autoZero"/>
        <c:auto val="1"/>
        <c:lblAlgn val="ctr"/>
        <c:lblOffset val="100"/>
        <c:noMultiLvlLbl val="0"/>
      </c:catAx>
      <c:valAx>
        <c:axId val="684272256"/>
        <c:scaling>
          <c:orientation val="minMax"/>
        </c:scaling>
        <c:delete val="0"/>
        <c:axPos val="l"/>
        <c:majorGridlines>
          <c:spPr>
            <a:ln w="3175" cap="flat" cmpd="sng" algn="ctr">
              <a:solidFill>
                <a:srgbClr val="000000">
                  <a:alpha val="100000"/>
                </a:srgbClr>
              </a:solidFill>
              <a:prstDash val="solid"/>
              <a:round/>
            </a:ln>
          </c:spPr>
        </c:majorGridlines>
        <c:title>
          <c:tx>
            <c:rich>
              <a:bodyPr rot="-5400000" spcFirstLastPara="0" vertOverflow="ellipsis" vert="horz" wrap="square" anchor="ctr" anchorCtr="1"/>
              <a:lstStyle/>
              <a:p>
                <a:pPr defTabSz="914400">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r>
                  <a:rPr lang="zh-CN" altLang="en-US"/>
                  <a:t>温度</a:t>
                </a:r>
                <a:r>
                  <a:rPr lang="en-US" altLang="zh-CN"/>
                  <a:t>(℃) </a:t>
                </a:r>
                <a:endParaRPr lang="zh-CN" altLang="en-US" sz="1200" b="0" i="0" u="none" strike="noStrike" baseline="0">
                  <a:solidFill>
                    <a:srgbClr val="000000">
                      <a:alpha val="100000"/>
                    </a:srgbClr>
                  </a:solidFill>
                  <a:latin typeface="宋体" panose="02010600030101010101" charset="-122"/>
                  <a:ea typeface="宋体" panose="02010600030101010101" charset="-122"/>
                  <a:cs typeface="宋体" panose="02010600030101010101" charset="-122"/>
                </a:endParaRPr>
              </a:p>
            </c:rich>
          </c:tx>
          <c:layout>
            <c:manualLayout>
              <c:xMode val="edge"/>
              <c:yMode val="edge"/>
              <c:x val="0"/>
              <c:y val="0.411585607058126"/>
            </c:manualLayout>
          </c:layout>
          <c:overlay val="0"/>
          <c:spPr>
            <a:noFill/>
            <a:ln w="3175">
              <a:noFill/>
            </a:ln>
          </c:spPr>
        </c:title>
        <c:numFmt formatCode="0.00_ " sourceLinked="1"/>
        <c:majorTickMark val="in"/>
        <c:minorTickMark val="none"/>
        <c:tickLblPos val="nextTo"/>
        <c:spPr>
          <a:ln w="3175" cap="flat" cmpd="sng" algn="ctr">
            <a:solidFill>
              <a:srgbClr val="000000">
                <a:alpha val="100000"/>
              </a:srgbClr>
            </a:solidFill>
            <a:prstDash val="solid"/>
            <a:round/>
          </a:ln>
        </c:spPr>
        <c:txPr>
          <a:bodyPr rot="-60000000" spcFirstLastPara="0" vertOverflow="ellipsis" vert="horz" wrap="square" anchor="ctr" anchorCtr="1"/>
          <a:lstStyle/>
          <a:p>
            <a:pPr>
              <a:defRPr lang="zh-CN" sz="1200" b="0" i="0" u="none" strike="noStrike" kern="1200" baseline="0">
                <a:solidFill>
                  <a:srgbClr val="000000">
                    <a:alpha val="100000"/>
                  </a:srgbClr>
                </a:solidFill>
                <a:latin typeface="宋体" panose="02010600030101010101" charset="-122"/>
                <a:ea typeface="宋体" panose="02010600030101010101" charset="-122"/>
                <a:cs typeface="宋体" panose="02010600030101010101" charset="-122"/>
              </a:defRPr>
            </a:pPr>
          </a:p>
        </c:txPr>
        <c:crossAx val="684270336"/>
        <c:crosses val="autoZero"/>
        <c:crossBetween val="between"/>
      </c:valAx>
      <c:spPr>
        <a:solidFill>
          <a:srgbClr val="C0C0C0">
            <a:alpha val="100000"/>
          </a:srgbClr>
        </a:solidFill>
        <a:ln w="12700">
          <a:solidFill>
            <a:srgbClr val="808080">
              <a:alpha val="100000"/>
            </a:srgbClr>
          </a:solidFill>
          <a:prstDash val="solid"/>
        </a:ln>
      </c:spPr>
    </c:plotArea>
    <c:plotVisOnly val="1"/>
    <c:dispBlanksAs val="gap"/>
    <c:showDLblsOverMax val="0"/>
  </c:chart>
  <c:spPr>
    <a:solidFill>
      <a:srgbClr val="FFFFFF">
        <a:alpha val="100000"/>
      </a:srgbClr>
    </a:solidFill>
    <a:ln w="3175" cap="flat" cmpd="sng" algn="ctr">
      <a:solidFill>
        <a:srgbClr val="000000">
          <a:alpha val="100000"/>
        </a:srgbClr>
      </a:solidFill>
      <a:prstDash val="solid"/>
      <a:round/>
    </a:ln>
  </c:spPr>
  <c:txPr>
    <a:bodyPr rot="0" wrap="square" anchor="ctr" anchorCtr="1"/>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spc="0" baseline="0">
                <a:solidFill>
                  <a:schemeClr val="tx1">
                    <a:lumMod val="65000"/>
                    <a:lumOff val="35000"/>
                  </a:schemeClr>
                </a:solidFill>
                <a:latin typeface="+mn-lt"/>
                <a:ea typeface="+mn-ea"/>
                <a:cs typeface="+mn-cs"/>
              </a:defRPr>
            </a:pPr>
            <a:r>
              <a:rPr lang="zh-CN" altLang="en-US"/>
              <a:t>锰</a:t>
            </a:r>
            <a:endParaRPr lang="zh-CN" altLang="en-US"/>
          </a:p>
        </c:rich>
      </c:tx>
      <c:layout>
        <c:manualLayout>
          <c:xMode val="edge"/>
          <c:yMode val="edge"/>
          <c:x val="0.497777777777778"/>
          <c:y val="0.0104166666666667"/>
        </c:manualLayout>
      </c:layout>
      <c:overlay val="0"/>
      <c:spPr>
        <a:noFill/>
        <a:ln>
          <a:noFill/>
        </a:ln>
        <a:effectLst/>
      </c:spPr>
    </c:title>
    <c:autoTitleDeleted val="0"/>
    <c:plotArea>
      <c:layout/>
      <c:lineChart>
        <c:grouping val="standard"/>
        <c:varyColors val="0"/>
        <c:ser>
          <c:idx val="0"/>
          <c:order val="0"/>
          <c:tx>
            <c:strRef>
              <c:f>'[新建 XLS 工作表 (3).xls]Sheet1'!$B$1</c:f>
              <c:strCache>
                <c:ptCount val="1"/>
                <c:pt idx="0">
                  <c:v>100d</c:v>
                </c:pt>
              </c:strCache>
            </c:strRef>
          </c:tx>
          <c:spPr>
            <a:ln w="28575" cap="rnd" cmpd="sng" algn="ctr">
              <a:solidFill>
                <a:schemeClr val="accent1"/>
              </a:solidFill>
              <a:prstDash val="solid"/>
              <a:round/>
            </a:ln>
            <a:effectLst/>
          </c:spPr>
          <c:marker>
            <c:symbol val="none"/>
          </c:marker>
          <c:dLbls>
            <c:delete val="1"/>
          </c:dLbls>
          <c:cat>
            <c:numRef>
              <c:f>'[新建 XLS 工作表 (3).xls]Sheet1'!$A$2:$A$16</c:f>
              <c:numCache>
                <c:formatCode>General</c:formatCode>
                <c:ptCount val="15"/>
                <c:pt idx="0">
                  <c:v>0</c:v>
                </c:pt>
                <c:pt idx="1">
                  <c:v>1</c:v>
                </c:pt>
                <c:pt idx="2">
                  <c:v>2</c:v>
                </c:pt>
                <c:pt idx="3">
                  <c:v>3</c:v>
                </c:pt>
                <c:pt idx="4">
                  <c:v>4</c:v>
                </c:pt>
                <c:pt idx="5">
                  <c:v>5</c:v>
                </c:pt>
                <c:pt idx="6">
                  <c:v>6</c:v>
                </c:pt>
                <c:pt idx="7">
                  <c:v>7</c:v>
                </c:pt>
                <c:pt idx="8">
                  <c:v>8</c:v>
                </c:pt>
                <c:pt idx="9">
                  <c:v>9</c:v>
                </c:pt>
                <c:pt idx="10">
                  <c:v>10</c:v>
                </c:pt>
                <c:pt idx="11">
                  <c:v>20</c:v>
                </c:pt>
                <c:pt idx="12">
                  <c:v>30</c:v>
                </c:pt>
                <c:pt idx="13">
                  <c:v>40</c:v>
                </c:pt>
                <c:pt idx="14">
                  <c:v>50</c:v>
                </c:pt>
              </c:numCache>
            </c:numRef>
          </c:cat>
          <c:val>
            <c:numRef>
              <c:f>'[新建 XLS 工作表 (3).xls]Sheet1'!$B$2:$B$16</c:f>
              <c:numCache>
                <c:formatCode>0.00E+00</c:formatCode>
                <c:ptCount val="15"/>
                <c:pt idx="0">
                  <c:v>0.25</c:v>
                </c:pt>
                <c:pt idx="1">
                  <c:v>0.0715</c:v>
                </c:pt>
                <c:pt idx="2">
                  <c:v>0.00748</c:v>
                </c:pt>
                <c:pt idx="3">
                  <c:v>0.000255</c:v>
                </c:pt>
                <c:pt idx="4">
                  <c:v>2.70000000000002e-6</c:v>
                </c:pt>
                <c:pt idx="5">
                  <c:v>8.62000000000003e-9</c:v>
                </c:pt>
                <c:pt idx="6">
                  <c:v>8.16000000000004e-12</c:v>
                </c:pt>
                <c:pt idx="7">
                  <c:v>2.43000000000002e-15</c:v>
                </c:pt>
                <c:pt idx="8">
                  <c:v>0</c:v>
                </c:pt>
                <c:pt idx="9">
                  <c:v>0</c:v>
                </c:pt>
                <c:pt idx="10">
                  <c:v>0</c:v>
                </c:pt>
                <c:pt idx="11">
                  <c:v>0</c:v>
                </c:pt>
                <c:pt idx="12">
                  <c:v>0</c:v>
                </c:pt>
                <c:pt idx="13">
                  <c:v>0</c:v>
                </c:pt>
                <c:pt idx="14">
                  <c:v>0</c:v>
                </c:pt>
              </c:numCache>
            </c:numRef>
          </c:val>
          <c:smooth val="0"/>
        </c:ser>
        <c:ser>
          <c:idx val="1"/>
          <c:order val="1"/>
          <c:tx>
            <c:strRef>
              <c:f>'[新建 XLS 工作表 (3).xls]Sheet1'!$C$1</c:f>
              <c:strCache>
                <c:ptCount val="1"/>
                <c:pt idx="0">
                  <c:v>500d</c:v>
                </c:pt>
              </c:strCache>
            </c:strRef>
          </c:tx>
          <c:spPr>
            <a:ln w="28575" cap="rnd" cmpd="sng" algn="ctr">
              <a:solidFill>
                <a:schemeClr val="accent2"/>
              </a:solidFill>
              <a:prstDash val="solid"/>
              <a:round/>
            </a:ln>
            <a:effectLst/>
          </c:spPr>
          <c:marker>
            <c:symbol val="none"/>
          </c:marker>
          <c:dLbls>
            <c:delete val="1"/>
          </c:dLbls>
          <c:cat>
            <c:numRef>
              <c:f>'[新建 XLS 工作表 (3).xls]Sheet1'!$A$2:$A$16</c:f>
              <c:numCache>
                <c:formatCode>General</c:formatCode>
                <c:ptCount val="15"/>
                <c:pt idx="0">
                  <c:v>0</c:v>
                </c:pt>
                <c:pt idx="1">
                  <c:v>1</c:v>
                </c:pt>
                <c:pt idx="2">
                  <c:v>2</c:v>
                </c:pt>
                <c:pt idx="3">
                  <c:v>3</c:v>
                </c:pt>
                <c:pt idx="4">
                  <c:v>4</c:v>
                </c:pt>
                <c:pt idx="5">
                  <c:v>5</c:v>
                </c:pt>
                <c:pt idx="6">
                  <c:v>6</c:v>
                </c:pt>
                <c:pt idx="7">
                  <c:v>7</c:v>
                </c:pt>
                <c:pt idx="8">
                  <c:v>8</c:v>
                </c:pt>
                <c:pt idx="9">
                  <c:v>9</c:v>
                </c:pt>
                <c:pt idx="10">
                  <c:v>10</c:v>
                </c:pt>
                <c:pt idx="11">
                  <c:v>20</c:v>
                </c:pt>
                <c:pt idx="12">
                  <c:v>30</c:v>
                </c:pt>
                <c:pt idx="13">
                  <c:v>40</c:v>
                </c:pt>
                <c:pt idx="14">
                  <c:v>50</c:v>
                </c:pt>
              </c:numCache>
            </c:numRef>
          </c:cat>
          <c:val>
            <c:numRef>
              <c:f>'[新建 XLS 工作表 (3).xls]Sheet1'!$C$2:$C$16</c:f>
              <c:numCache>
                <c:formatCode>0.00E+00</c:formatCode>
                <c:ptCount val="15"/>
                <c:pt idx="0">
                  <c:v>0.25</c:v>
                </c:pt>
                <c:pt idx="1">
                  <c:v>0.167</c:v>
                </c:pt>
                <c:pt idx="2">
                  <c:v>0.0931000000000002</c:v>
                </c:pt>
                <c:pt idx="3">
                  <c:v>0.0426</c:v>
                </c:pt>
                <c:pt idx="4">
                  <c:v>0.0157</c:v>
                </c:pt>
                <c:pt idx="5">
                  <c:v>0.00467</c:v>
                </c:pt>
                <c:pt idx="6">
                  <c:v>0.0011</c:v>
                </c:pt>
                <c:pt idx="7">
                  <c:v>0.000207</c:v>
                </c:pt>
                <c:pt idx="8">
                  <c:v>3.06e-5</c:v>
                </c:pt>
                <c:pt idx="9">
                  <c:v>3.57e-6</c:v>
                </c:pt>
                <c:pt idx="10">
                  <c:v>3.27000000000002e-7</c:v>
                </c:pt>
                <c:pt idx="11">
                  <c:v>0</c:v>
                </c:pt>
                <c:pt idx="12">
                  <c:v>0</c:v>
                </c:pt>
                <c:pt idx="13">
                  <c:v>0</c:v>
                </c:pt>
                <c:pt idx="14">
                  <c:v>0</c:v>
                </c:pt>
              </c:numCache>
            </c:numRef>
          </c:val>
          <c:smooth val="0"/>
        </c:ser>
        <c:ser>
          <c:idx val="2"/>
          <c:order val="2"/>
          <c:tx>
            <c:strRef>
              <c:f>'[新建 XLS 工作表 (3).xls]Sheet1'!$D$1</c:f>
              <c:strCache>
                <c:ptCount val="1"/>
                <c:pt idx="0">
                  <c:v>1000d</c:v>
                </c:pt>
              </c:strCache>
            </c:strRef>
          </c:tx>
          <c:spPr>
            <a:ln w="28575" cap="rnd" cmpd="sng" algn="ctr">
              <a:solidFill>
                <a:schemeClr val="accent3"/>
              </a:solidFill>
              <a:prstDash val="solid"/>
              <a:round/>
            </a:ln>
            <a:effectLst/>
          </c:spPr>
          <c:marker>
            <c:symbol val="none"/>
          </c:marker>
          <c:dLbls>
            <c:delete val="1"/>
          </c:dLbls>
          <c:cat>
            <c:numRef>
              <c:f>'[新建 XLS 工作表 (3).xls]Sheet1'!$A$2:$A$16</c:f>
              <c:numCache>
                <c:formatCode>General</c:formatCode>
                <c:ptCount val="15"/>
                <c:pt idx="0">
                  <c:v>0</c:v>
                </c:pt>
                <c:pt idx="1">
                  <c:v>1</c:v>
                </c:pt>
                <c:pt idx="2">
                  <c:v>2</c:v>
                </c:pt>
                <c:pt idx="3">
                  <c:v>3</c:v>
                </c:pt>
                <c:pt idx="4">
                  <c:v>4</c:v>
                </c:pt>
                <c:pt idx="5">
                  <c:v>5</c:v>
                </c:pt>
                <c:pt idx="6">
                  <c:v>6</c:v>
                </c:pt>
                <c:pt idx="7">
                  <c:v>7</c:v>
                </c:pt>
                <c:pt idx="8">
                  <c:v>8</c:v>
                </c:pt>
                <c:pt idx="9">
                  <c:v>9</c:v>
                </c:pt>
                <c:pt idx="10">
                  <c:v>10</c:v>
                </c:pt>
                <c:pt idx="11">
                  <c:v>20</c:v>
                </c:pt>
                <c:pt idx="12">
                  <c:v>30</c:v>
                </c:pt>
                <c:pt idx="13">
                  <c:v>40</c:v>
                </c:pt>
                <c:pt idx="14">
                  <c:v>50</c:v>
                </c:pt>
              </c:numCache>
            </c:numRef>
          </c:cat>
          <c:val>
            <c:numRef>
              <c:f>'[新建 XLS 工作表 (3).xls]Sheet1'!$D$2:$D$16</c:f>
              <c:numCache>
                <c:formatCode>0.00E+00</c:formatCode>
                <c:ptCount val="15"/>
                <c:pt idx="0">
                  <c:v>0.25</c:v>
                </c:pt>
                <c:pt idx="1">
                  <c:v>0.195</c:v>
                </c:pt>
                <c:pt idx="2">
                  <c:v>0.14</c:v>
                </c:pt>
                <c:pt idx="3">
                  <c:v>0.0914</c:v>
                </c:pt>
                <c:pt idx="4">
                  <c:v>0.054</c:v>
                </c:pt>
                <c:pt idx="5">
                  <c:v>0.0287</c:v>
                </c:pt>
                <c:pt idx="6">
                  <c:v>0.0137</c:v>
                </c:pt>
                <c:pt idx="7">
                  <c:v>0.00585</c:v>
                </c:pt>
                <c:pt idx="8">
                  <c:v>0.00223</c:v>
                </c:pt>
                <c:pt idx="9">
                  <c:v>0.000759</c:v>
                </c:pt>
                <c:pt idx="10">
                  <c:v>0.000229</c:v>
                </c:pt>
                <c:pt idx="11">
                  <c:v>2.08000000000002e-12</c:v>
                </c:pt>
                <c:pt idx="12">
                  <c:v>0</c:v>
                </c:pt>
                <c:pt idx="13">
                  <c:v>0</c:v>
                </c:pt>
                <c:pt idx="14">
                  <c:v>0</c:v>
                </c:pt>
              </c:numCache>
            </c:numRef>
          </c:val>
          <c:smooth val="0"/>
        </c:ser>
        <c:ser>
          <c:idx val="3"/>
          <c:order val="3"/>
          <c:tx>
            <c:strRef>
              <c:f>'[新建 XLS 工作表 (3).xls]Sheet1'!$E$1</c:f>
              <c:strCache>
                <c:ptCount val="1"/>
                <c:pt idx="0">
                  <c:v>5000d</c:v>
                </c:pt>
              </c:strCache>
            </c:strRef>
          </c:tx>
          <c:spPr>
            <a:ln w="28575" cap="rnd" cmpd="sng" algn="ctr">
              <a:solidFill>
                <a:schemeClr val="accent4"/>
              </a:solidFill>
              <a:prstDash val="solid"/>
              <a:round/>
            </a:ln>
            <a:effectLst/>
          </c:spPr>
          <c:marker>
            <c:symbol val="none"/>
          </c:marker>
          <c:dLbls>
            <c:delete val="1"/>
          </c:dLbls>
          <c:cat>
            <c:numRef>
              <c:f>'[新建 XLS 工作表 (3).xls]Sheet1'!$A$2:$A$16</c:f>
              <c:numCache>
                <c:formatCode>General</c:formatCode>
                <c:ptCount val="15"/>
                <c:pt idx="0">
                  <c:v>0</c:v>
                </c:pt>
                <c:pt idx="1">
                  <c:v>1</c:v>
                </c:pt>
                <c:pt idx="2">
                  <c:v>2</c:v>
                </c:pt>
                <c:pt idx="3">
                  <c:v>3</c:v>
                </c:pt>
                <c:pt idx="4">
                  <c:v>4</c:v>
                </c:pt>
                <c:pt idx="5">
                  <c:v>5</c:v>
                </c:pt>
                <c:pt idx="6">
                  <c:v>6</c:v>
                </c:pt>
                <c:pt idx="7">
                  <c:v>7</c:v>
                </c:pt>
                <c:pt idx="8">
                  <c:v>8</c:v>
                </c:pt>
                <c:pt idx="9">
                  <c:v>9</c:v>
                </c:pt>
                <c:pt idx="10">
                  <c:v>10</c:v>
                </c:pt>
                <c:pt idx="11">
                  <c:v>20</c:v>
                </c:pt>
                <c:pt idx="12">
                  <c:v>30</c:v>
                </c:pt>
                <c:pt idx="13">
                  <c:v>40</c:v>
                </c:pt>
                <c:pt idx="14">
                  <c:v>50</c:v>
                </c:pt>
              </c:numCache>
            </c:numRef>
          </c:cat>
          <c:val>
            <c:numRef>
              <c:f>'[新建 XLS 工作表 (3).xls]Sheet1'!$E$2:$E$16</c:f>
              <c:numCache>
                <c:formatCode>0.00E+00</c:formatCode>
                <c:ptCount val="15"/>
                <c:pt idx="0">
                  <c:v>0.25</c:v>
                </c:pt>
                <c:pt idx="1">
                  <c:v>0.234</c:v>
                </c:pt>
                <c:pt idx="2">
                  <c:v>0.216</c:v>
                </c:pt>
                <c:pt idx="3">
                  <c:v>0.196</c:v>
                </c:pt>
                <c:pt idx="4">
                  <c:v>0.175</c:v>
                </c:pt>
                <c:pt idx="5">
                  <c:v>0.153</c:v>
                </c:pt>
                <c:pt idx="6">
                  <c:v>0.132</c:v>
                </c:pt>
                <c:pt idx="7">
                  <c:v>0.112</c:v>
                </c:pt>
                <c:pt idx="8">
                  <c:v>0.0925</c:v>
                </c:pt>
                <c:pt idx="9">
                  <c:v>0.0752</c:v>
                </c:pt>
                <c:pt idx="10">
                  <c:v>0.0598</c:v>
                </c:pt>
                <c:pt idx="11">
                  <c:v>0.00185</c:v>
                </c:pt>
                <c:pt idx="12">
                  <c:v>5.70000000000002e-6</c:v>
                </c:pt>
                <c:pt idx="13">
                  <c:v>1.59e-9</c:v>
                </c:pt>
                <c:pt idx="14">
                  <c:v>2.20000000000002e-14</c:v>
                </c:pt>
              </c:numCache>
            </c:numRef>
          </c:val>
          <c:smooth val="0"/>
        </c:ser>
        <c:dLbls>
          <c:showLegendKey val="0"/>
          <c:showVal val="0"/>
          <c:showCatName val="0"/>
          <c:showSerName val="0"/>
          <c:showPercent val="0"/>
          <c:showBubbleSize val="0"/>
        </c:dLbls>
        <c:marker val="0"/>
        <c:smooth val="0"/>
        <c:axId val="684323968"/>
        <c:axId val="684325504"/>
      </c:lineChart>
      <c:catAx>
        <c:axId val="684323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84325504"/>
        <c:crosses val="autoZero"/>
        <c:auto val="1"/>
        <c:lblAlgn val="ctr"/>
        <c:lblOffset val="100"/>
        <c:noMultiLvlLbl val="0"/>
      </c:catAx>
      <c:valAx>
        <c:axId val="68432550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00E+00"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84323968"/>
        <c:crosses val="autoZero"/>
        <c:crossBetween val="between"/>
      </c:valAx>
      <c:spPr>
        <a:noFill/>
        <a:ln>
          <a:noFill/>
        </a:ln>
        <a:effectLst/>
      </c:spPr>
    </c:plotArea>
    <c:legend>
      <c:legendPos val="b"/>
      <c:layout>
        <c:manualLayout>
          <c:xMode val="edge"/>
          <c:yMode val="edge"/>
          <c:x val="0.243402777777778"/>
          <c:y val="0.0891203703703706"/>
        </c:manualLayout>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F4EE4DF-9FAD-4F8D-9A0C-1432E8CDB72D}">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309</Pages>
  <Words>164012</Words>
  <Characters>201583</Characters>
  <Lines>1645</Lines>
  <Paragraphs>463</Paragraphs>
  <TotalTime>12</TotalTime>
  <ScaleCrop>false</ScaleCrop>
  <LinksUpToDate>false</LinksUpToDate>
  <CharactersWithSpaces>202904</CharactersWithSpaces>
  <Application>WPS Office_11.8.6.8722_F1E327BC-269C-435d-A152-05C5408002CA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2018-01-05T02:25:00Z</dcterms:created>
  <dc:creator>微软用户</dc:creator>
  <cp:lastModifiedBy>王振华</cp:lastModifiedBy>
  <cp:lastPrinted>2021-12-24T07:51:00Z</cp:lastPrinted>
  <dcterms:modified xsi:type="dcterms:W3CDTF">2022-05-24T06:09:57Z</dcterms:modified>
  <dc:title>前　　言</dc:title>
  <cp:revision>221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2052-11.8.6.8722</vt:lpwstr>
  </property>
  <property fmtid="{D5CDD505-2E9C-101B-9397-08002B2CF9AE}" pid="3" name="ICV">
    <vt:lpwstr>0C6E9E4F92844D9D911C3B62CC4CCCF1</vt:lpwstr>
  </property>
  <property fmtid="{D5CDD505-2E9C-101B-9397-08002B2CF9AE}" pid="4" name="commondata">
    <vt:lpwstr>eyJoZGlkIjoiMDg5M2Y5NzE5NDdiNTUzYjlhMGIzOGVmYjJlMjU1OTAifQ==</vt:lpwstr>
  </property>
</Properties>
</file>