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玉溪市人民政府关于深化水利工程供水价格改革的实施意见</w:t>
      </w:r>
    </w:p>
    <w:p>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eastAsia" w:ascii="楷体" w:hAnsi="楷体" w:eastAsia="楷体" w:cs="楷体"/>
          <w:sz w:val="44"/>
          <w:szCs w:val="44"/>
          <w:lang w:eastAsia="zh-CN"/>
        </w:rPr>
      </w:pPr>
    </w:p>
    <w:p>
      <w:pPr>
        <w:snapToGrid w:val="0"/>
        <w:spacing w:line="580" w:lineRule="atLeast"/>
        <w:rPr>
          <w:rFonts w:ascii="Times New Roman" w:hAnsi="Times New Roman" w:eastAsia="方正仿宋_GBK" w:cs="Times New Roman"/>
          <w:sz w:val="32"/>
          <w:szCs w:val="32"/>
        </w:rPr>
      </w:pPr>
    </w:p>
    <w:p>
      <w:pPr>
        <w:snapToGrid w:val="0"/>
        <w:spacing w:line="580" w:lineRule="atLeast"/>
        <w:ind w:firstLine="640" w:firstLineChars="200"/>
        <w:rPr>
          <w:rFonts w:ascii="Times New Roman" w:hAnsi="Times New Roman" w:eastAsia="方正仿宋_GBK" w:cs="Times New Roman"/>
          <w:bCs/>
          <w:snapToGrid w:val="0"/>
          <w:sz w:val="32"/>
          <w:szCs w:val="32"/>
        </w:rPr>
      </w:pPr>
      <w:r>
        <w:rPr>
          <w:rFonts w:ascii="Times New Roman" w:hAnsi="Times New Roman" w:eastAsia="方正仿宋_GBK" w:cs="Times New Roman"/>
          <w:bCs/>
          <w:snapToGrid w:val="0"/>
          <w:sz w:val="32"/>
          <w:szCs w:val="32"/>
        </w:rPr>
        <w:t>为认真贯彻落实</w:t>
      </w:r>
      <w:r>
        <w:rPr>
          <w:rFonts w:hint="eastAsia" w:ascii="Times New Roman" w:hAnsi="Times New Roman" w:eastAsia="方正仿宋_GBK" w:cs="Times New Roman"/>
          <w:bCs/>
          <w:snapToGrid w:val="0"/>
          <w:sz w:val="32"/>
          <w:szCs w:val="32"/>
          <w:lang w:eastAsia="zh-CN"/>
        </w:rPr>
        <w:t>《云南省人民政府办公厅关于印发云南省巩固提升农村供水保障水平实施方案的通知》（云政办发〔</w:t>
      </w:r>
      <w:r>
        <w:rPr>
          <w:rFonts w:hint="eastAsia" w:ascii="Times New Roman" w:hAnsi="Times New Roman" w:eastAsia="方正仿宋_GBK" w:cs="Times New Roman"/>
          <w:bCs/>
          <w:snapToGrid w:val="0"/>
          <w:sz w:val="32"/>
          <w:szCs w:val="32"/>
          <w:lang w:val="en-US" w:eastAsia="zh-CN"/>
        </w:rPr>
        <w:t>2021</w:t>
      </w:r>
      <w:r>
        <w:rPr>
          <w:rFonts w:hint="eastAsia" w:ascii="Times New Roman" w:hAnsi="Times New Roman" w:eastAsia="方正仿宋_GBK" w:cs="Times New Roman"/>
          <w:bCs/>
          <w:snapToGrid w:val="0"/>
          <w:sz w:val="32"/>
          <w:szCs w:val="32"/>
          <w:lang w:eastAsia="zh-CN"/>
        </w:rPr>
        <w:t>〕</w:t>
      </w:r>
      <w:r>
        <w:rPr>
          <w:rFonts w:hint="eastAsia" w:ascii="Times New Roman" w:hAnsi="Times New Roman" w:eastAsia="方正仿宋_GBK" w:cs="Times New Roman"/>
          <w:bCs/>
          <w:snapToGrid w:val="0"/>
          <w:sz w:val="32"/>
          <w:szCs w:val="32"/>
          <w:lang w:val="en-US" w:eastAsia="zh-CN"/>
        </w:rPr>
        <w:t>24号）和省发</w:t>
      </w:r>
      <w:bookmarkStart w:id="0" w:name="_GoBack"/>
      <w:bookmarkEnd w:id="0"/>
      <w:r>
        <w:rPr>
          <w:rFonts w:hint="eastAsia" w:ascii="Times New Roman" w:hAnsi="Times New Roman" w:eastAsia="方正仿宋_GBK" w:cs="Times New Roman"/>
          <w:bCs/>
          <w:snapToGrid w:val="0"/>
          <w:sz w:val="32"/>
          <w:szCs w:val="32"/>
          <w:lang w:val="en-US" w:eastAsia="zh-CN"/>
        </w:rPr>
        <w:t>展改革委、财政厅、水利厅、农业农村厅《转发国家发展改革委等四部委关于深入推进农业水价综合改革的通知》（云发改价格</w:t>
      </w:r>
      <w:r>
        <w:rPr>
          <w:rFonts w:hint="eastAsia" w:ascii="Times New Roman" w:hAnsi="Times New Roman" w:eastAsia="方正仿宋_GBK" w:cs="Times New Roman"/>
          <w:bCs/>
          <w:snapToGrid w:val="0"/>
          <w:sz w:val="32"/>
          <w:szCs w:val="32"/>
          <w:lang w:eastAsia="zh-CN"/>
        </w:rPr>
        <w:t>〔</w:t>
      </w:r>
      <w:r>
        <w:rPr>
          <w:rFonts w:hint="eastAsia" w:ascii="Times New Roman" w:hAnsi="Times New Roman" w:eastAsia="方正仿宋_GBK" w:cs="Times New Roman"/>
          <w:bCs/>
          <w:snapToGrid w:val="0"/>
          <w:sz w:val="32"/>
          <w:szCs w:val="32"/>
          <w:lang w:val="en-US" w:eastAsia="zh-CN"/>
        </w:rPr>
        <w:t>2021</w:t>
      </w:r>
      <w:r>
        <w:rPr>
          <w:rFonts w:hint="eastAsia" w:ascii="Times New Roman" w:hAnsi="Times New Roman" w:eastAsia="方正仿宋_GBK" w:cs="Times New Roman"/>
          <w:bCs/>
          <w:snapToGrid w:val="0"/>
          <w:sz w:val="32"/>
          <w:szCs w:val="32"/>
          <w:lang w:eastAsia="zh-CN"/>
        </w:rPr>
        <w:t>〕</w:t>
      </w:r>
      <w:r>
        <w:rPr>
          <w:rFonts w:hint="eastAsia" w:ascii="Times New Roman" w:hAnsi="Times New Roman" w:eastAsia="方正仿宋_GBK" w:cs="Times New Roman"/>
          <w:bCs/>
          <w:snapToGrid w:val="0"/>
          <w:sz w:val="32"/>
          <w:szCs w:val="32"/>
          <w:lang w:val="en-US" w:eastAsia="zh-CN"/>
        </w:rPr>
        <w:t>842号）</w:t>
      </w:r>
      <w:r>
        <w:rPr>
          <w:rFonts w:hint="eastAsia" w:ascii="Times New Roman" w:hAnsi="Times New Roman" w:eastAsia="方正仿宋_GBK" w:cs="Times New Roman"/>
          <w:bCs/>
          <w:snapToGrid w:val="0"/>
          <w:sz w:val="32"/>
          <w:szCs w:val="32"/>
          <w:lang w:eastAsia="zh-CN"/>
        </w:rPr>
        <w:t>等</w:t>
      </w:r>
      <w:r>
        <w:rPr>
          <w:rFonts w:ascii="Times New Roman" w:hAnsi="Times New Roman" w:eastAsia="方正仿宋_GBK" w:cs="Times New Roman"/>
          <w:bCs/>
          <w:snapToGrid w:val="0"/>
          <w:sz w:val="32"/>
          <w:szCs w:val="32"/>
        </w:rPr>
        <w:t>相关文件精神，</w:t>
      </w:r>
      <w:r>
        <w:rPr>
          <w:rFonts w:hint="eastAsia" w:ascii="Times New Roman" w:hAnsi="Times New Roman" w:eastAsia="方正仿宋_GBK" w:cs="Times New Roman"/>
          <w:bCs/>
          <w:snapToGrid w:val="0"/>
          <w:sz w:val="32"/>
          <w:szCs w:val="32"/>
          <w:lang w:eastAsia="zh-CN"/>
        </w:rPr>
        <w:t>进一步</w:t>
      </w:r>
      <w:r>
        <w:rPr>
          <w:rFonts w:hint="eastAsia" w:ascii="Times New Roman" w:hAnsi="Times New Roman" w:eastAsia="方正仿宋_GBK" w:cs="Times New Roman"/>
          <w:bCs/>
          <w:snapToGrid w:val="0"/>
          <w:sz w:val="32"/>
          <w:szCs w:val="32"/>
        </w:rPr>
        <w:t>建立健全</w:t>
      </w:r>
      <w:r>
        <w:rPr>
          <w:rFonts w:ascii="Times New Roman" w:hAnsi="Times New Roman" w:eastAsia="方正仿宋_GBK" w:cs="Times New Roman"/>
          <w:bCs/>
          <w:snapToGrid w:val="0"/>
          <w:sz w:val="32"/>
          <w:szCs w:val="32"/>
        </w:rPr>
        <w:t>水利工程供水价格</w:t>
      </w:r>
      <w:r>
        <w:rPr>
          <w:rFonts w:hint="eastAsia" w:ascii="Times New Roman" w:hAnsi="Times New Roman" w:eastAsia="方正仿宋_GBK" w:cs="Times New Roman"/>
          <w:bCs/>
          <w:snapToGrid w:val="0"/>
          <w:sz w:val="32"/>
          <w:szCs w:val="32"/>
        </w:rPr>
        <w:t>机制</w:t>
      </w:r>
      <w:r>
        <w:rPr>
          <w:rFonts w:ascii="Times New Roman" w:hAnsi="Times New Roman" w:eastAsia="方正仿宋_GBK" w:cs="Times New Roman"/>
          <w:bCs/>
          <w:snapToGrid w:val="0"/>
          <w:sz w:val="32"/>
          <w:szCs w:val="32"/>
        </w:rPr>
        <w:t>，加快全域现代化水网建设，促进水资源优化配置，保障</w:t>
      </w:r>
      <w:r>
        <w:rPr>
          <w:rFonts w:hint="eastAsia" w:ascii="Times New Roman" w:hAnsi="Times New Roman" w:eastAsia="方正仿宋_GBK" w:cs="Times New Roman"/>
          <w:bCs/>
          <w:snapToGrid w:val="0"/>
          <w:sz w:val="32"/>
          <w:szCs w:val="32"/>
        </w:rPr>
        <w:t>全市</w:t>
      </w:r>
      <w:r>
        <w:rPr>
          <w:rFonts w:ascii="Times New Roman" w:hAnsi="Times New Roman" w:eastAsia="方正仿宋_GBK" w:cs="Times New Roman"/>
          <w:bCs/>
          <w:snapToGrid w:val="0"/>
          <w:sz w:val="32"/>
          <w:szCs w:val="32"/>
        </w:rPr>
        <w:t>水利事业</w:t>
      </w:r>
      <w:r>
        <w:rPr>
          <w:rFonts w:hint="eastAsia" w:ascii="Times New Roman" w:hAnsi="Times New Roman" w:eastAsia="方正仿宋_GBK" w:cs="Times New Roman"/>
          <w:bCs/>
          <w:snapToGrid w:val="0"/>
          <w:sz w:val="32"/>
          <w:szCs w:val="32"/>
        </w:rPr>
        <w:t>高质量</w:t>
      </w:r>
      <w:r>
        <w:rPr>
          <w:rFonts w:ascii="Times New Roman" w:hAnsi="Times New Roman" w:eastAsia="方正仿宋_GBK" w:cs="Times New Roman"/>
          <w:bCs/>
          <w:snapToGrid w:val="0"/>
          <w:sz w:val="32"/>
          <w:szCs w:val="32"/>
        </w:rPr>
        <w:t>发展，</w:t>
      </w:r>
      <w:r>
        <w:rPr>
          <w:rFonts w:hint="eastAsia" w:ascii="Times New Roman" w:hAnsi="Times New Roman" w:eastAsia="方正仿宋_GBK" w:cs="Times New Roman"/>
          <w:bCs/>
          <w:snapToGrid w:val="0"/>
          <w:sz w:val="32"/>
          <w:szCs w:val="32"/>
          <w:lang w:val="en-US" w:eastAsia="zh-CN"/>
        </w:rPr>
        <w:t>为玉溪“一极两区”建设提供水安全保障，</w:t>
      </w:r>
      <w:r>
        <w:rPr>
          <w:rFonts w:hint="eastAsia" w:ascii="Times New Roman" w:hAnsi="Times New Roman" w:eastAsia="方正仿宋_GBK" w:cs="Times New Roman"/>
          <w:bCs/>
          <w:snapToGrid w:val="0"/>
          <w:sz w:val="32"/>
          <w:szCs w:val="32"/>
        </w:rPr>
        <w:t>特制定</w:t>
      </w:r>
      <w:r>
        <w:rPr>
          <w:rFonts w:ascii="Times New Roman" w:hAnsi="Times New Roman" w:eastAsia="方正仿宋_GBK" w:cs="Times New Roman"/>
          <w:bCs/>
          <w:snapToGrid w:val="0"/>
          <w:sz w:val="32"/>
          <w:szCs w:val="32"/>
        </w:rPr>
        <w:t>以下</w:t>
      </w:r>
      <w:r>
        <w:rPr>
          <w:rFonts w:hint="eastAsia" w:ascii="Times New Roman" w:hAnsi="Times New Roman" w:eastAsia="方正仿宋_GBK" w:cs="Times New Roman"/>
          <w:bCs/>
          <w:snapToGrid w:val="0"/>
          <w:sz w:val="32"/>
          <w:szCs w:val="32"/>
        </w:rPr>
        <w:t>实施</w:t>
      </w:r>
      <w:r>
        <w:rPr>
          <w:rFonts w:ascii="Times New Roman" w:hAnsi="Times New Roman" w:eastAsia="方正仿宋_GBK" w:cs="Times New Roman"/>
          <w:bCs/>
          <w:snapToGrid w:val="0"/>
          <w:sz w:val="32"/>
          <w:szCs w:val="32"/>
        </w:rPr>
        <w:t>意见</w:t>
      </w:r>
      <w:r>
        <w:rPr>
          <w:rFonts w:hint="eastAsia" w:ascii="Times New Roman" w:hAnsi="Times New Roman" w:eastAsia="方正仿宋_GBK" w:cs="Times New Roman"/>
          <w:bCs/>
          <w:snapToGrid w:val="0"/>
          <w:sz w:val="32"/>
          <w:szCs w:val="32"/>
        </w:rPr>
        <w:t>。</w:t>
      </w:r>
    </w:p>
    <w:p>
      <w:pPr>
        <w:snapToGrid w:val="0"/>
        <w:spacing w:line="580" w:lineRule="atLeas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一、指导思想</w:t>
      </w:r>
    </w:p>
    <w:p>
      <w:pPr>
        <w:snapToGrid w:val="0"/>
        <w:spacing w:line="580" w:lineRule="atLeast"/>
        <w:ind w:firstLine="640" w:firstLineChars="200"/>
        <w:rPr>
          <w:rFonts w:ascii="Times New Roman" w:hAnsi="Times New Roman" w:eastAsia="方正仿宋_GBK" w:cs="Times New Roman"/>
          <w:bCs/>
          <w:snapToGrid w:val="0"/>
          <w:sz w:val="32"/>
          <w:szCs w:val="32"/>
        </w:rPr>
      </w:pPr>
      <w:r>
        <w:rPr>
          <w:rFonts w:ascii="Times New Roman" w:hAnsi="Times New Roman" w:eastAsia="方正仿宋_GBK" w:cs="Times New Roman"/>
          <w:bCs/>
          <w:snapToGrid w:val="0"/>
          <w:sz w:val="32"/>
          <w:szCs w:val="32"/>
        </w:rPr>
        <w:t>以习近平新时代中国特色社会主义思想为指导，积极践行“节水优</w:t>
      </w:r>
      <w:r>
        <w:rPr>
          <w:rFonts w:hint="eastAsia" w:ascii="Times New Roman" w:hAnsi="Times New Roman" w:eastAsia="方正仿宋_GBK" w:cs="Times New Roman"/>
          <w:bCs/>
          <w:snapToGrid w:val="0"/>
          <w:sz w:val="32"/>
          <w:szCs w:val="32"/>
          <w:lang w:eastAsia="zh-CN"/>
        </w:rPr>
        <w:t>先</w:t>
      </w:r>
      <w:r>
        <w:rPr>
          <w:rFonts w:ascii="Times New Roman" w:hAnsi="Times New Roman" w:eastAsia="方正仿宋_GBK" w:cs="Times New Roman"/>
          <w:bCs/>
          <w:snapToGrid w:val="0"/>
          <w:sz w:val="32"/>
          <w:szCs w:val="32"/>
        </w:rPr>
        <w:t>、空间均衡、系统治理、两手发力”治水</w:t>
      </w:r>
      <w:r>
        <w:rPr>
          <w:rFonts w:hint="eastAsia" w:ascii="Times New Roman" w:hAnsi="Times New Roman" w:eastAsia="方正仿宋_GBK" w:cs="Times New Roman"/>
          <w:bCs/>
          <w:snapToGrid w:val="0"/>
          <w:sz w:val="32"/>
          <w:szCs w:val="32"/>
          <w:lang w:eastAsia="zh-CN"/>
        </w:rPr>
        <w:t>思路</w:t>
      </w:r>
      <w:r>
        <w:rPr>
          <w:rFonts w:ascii="Times New Roman" w:hAnsi="Times New Roman" w:eastAsia="方正仿宋_GBK" w:cs="Times New Roman"/>
          <w:bCs/>
          <w:snapToGrid w:val="0"/>
          <w:sz w:val="32"/>
          <w:szCs w:val="32"/>
        </w:rPr>
        <w:t>，严格遵循“先建机制、后建工程”总体要求，全面落实省委省政府、市委市政府加强水安全保障的决策部署，立足新发展阶段、贯彻新发展理念、构建新发展格局，以促进节水增效为目标，以完善水价形成机制为核心，以创新体制机制为动力，因地制宜，综合施策，</w:t>
      </w:r>
      <w:r>
        <w:rPr>
          <w:rFonts w:hint="eastAsia" w:ascii="Times New Roman" w:hAnsi="Times New Roman" w:eastAsia="方正仿宋_GBK" w:cs="Times New Roman"/>
          <w:bCs/>
          <w:snapToGrid w:val="0"/>
          <w:sz w:val="32"/>
          <w:szCs w:val="32"/>
        </w:rPr>
        <w:t>全面</w:t>
      </w:r>
      <w:r>
        <w:rPr>
          <w:rFonts w:ascii="Times New Roman" w:hAnsi="Times New Roman" w:eastAsia="方正仿宋_GBK" w:cs="Times New Roman"/>
          <w:bCs/>
          <w:snapToGrid w:val="0"/>
          <w:sz w:val="32"/>
          <w:szCs w:val="32"/>
        </w:rPr>
        <w:t>深化水利工程供水价格改革</w:t>
      </w:r>
      <w:r>
        <w:rPr>
          <w:rFonts w:hint="eastAsia" w:ascii="Times New Roman" w:hAnsi="Times New Roman" w:eastAsia="方正仿宋_GBK" w:cs="Times New Roman"/>
          <w:bCs/>
          <w:snapToGrid w:val="0"/>
          <w:sz w:val="32"/>
          <w:szCs w:val="32"/>
          <w:lang w:eastAsia="zh-CN"/>
        </w:rPr>
        <w:t>，</w:t>
      </w:r>
      <w:r>
        <w:rPr>
          <w:rFonts w:hint="eastAsia" w:ascii="Times New Roman" w:hAnsi="Times New Roman" w:eastAsia="方正仿宋_GBK" w:cs="Times New Roman"/>
          <w:bCs/>
          <w:snapToGrid w:val="0"/>
          <w:sz w:val="32"/>
          <w:szCs w:val="32"/>
          <w:lang w:val="en-US" w:eastAsia="zh-CN"/>
        </w:rPr>
        <w:t>服务玉溪市全域现代化水网建设</w:t>
      </w:r>
      <w:r>
        <w:rPr>
          <w:rFonts w:ascii="Times New Roman" w:hAnsi="Times New Roman" w:eastAsia="方正仿宋_GBK" w:cs="Times New Roman"/>
          <w:bCs/>
          <w:snapToGrid w:val="0"/>
          <w:sz w:val="32"/>
          <w:szCs w:val="32"/>
        </w:rPr>
        <w:t>。</w:t>
      </w:r>
    </w:p>
    <w:p>
      <w:pPr>
        <w:snapToGrid w:val="0"/>
        <w:spacing w:line="580" w:lineRule="atLeas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二、基本原则</w:t>
      </w:r>
    </w:p>
    <w:p>
      <w:pPr>
        <w:snapToGrid w:val="0"/>
        <w:spacing w:line="580" w:lineRule="atLeast"/>
        <w:ind w:firstLine="640" w:firstLineChars="200"/>
        <w:rPr>
          <w:rFonts w:ascii="Times New Roman" w:hAnsi="Times New Roman" w:eastAsia="方正仿宋_GBK" w:cs="Times New Roman"/>
          <w:kern w:val="0"/>
          <w:sz w:val="32"/>
          <w:szCs w:val="32"/>
        </w:rPr>
      </w:pPr>
      <w:r>
        <w:rPr>
          <w:rFonts w:hint="eastAsia" w:ascii="楷体" w:hAnsi="楷体" w:eastAsia="楷体" w:cs="楷体"/>
          <w:kern w:val="0"/>
          <w:sz w:val="32"/>
          <w:szCs w:val="32"/>
        </w:rPr>
        <w:t>（一）坚持调整水价水平与理顺水价结构相结合。</w:t>
      </w:r>
      <w:r>
        <w:rPr>
          <w:rFonts w:ascii="Times New Roman" w:hAnsi="Times New Roman" w:eastAsia="方正仿宋_GBK" w:cs="Times New Roman"/>
          <w:kern w:val="0"/>
          <w:sz w:val="32"/>
          <w:szCs w:val="32"/>
        </w:rPr>
        <w:t>科学合理安排各类水价比价关系，发挥价格机制对用水需求的调节作用，提高用水效率和效益。</w:t>
      </w:r>
    </w:p>
    <w:p>
      <w:pPr>
        <w:snapToGrid w:val="0"/>
        <w:spacing w:line="580" w:lineRule="atLeast"/>
        <w:ind w:firstLine="640" w:firstLineChars="200"/>
        <w:rPr>
          <w:rFonts w:ascii="Times New Roman" w:hAnsi="Times New Roman" w:eastAsia="方正仿宋_GBK" w:cs="Times New Roman"/>
          <w:kern w:val="0"/>
          <w:sz w:val="32"/>
          <w:szCs w:val="32"/>
        </w:rPr>
      </w:pPr>
      <w:r>
        <w:rPr>
          <w:rFonts w:hint="eastAsia" w:ascii="楷体" w:hAnsi="楷体" w:eastAsia="楷体" w:cs="楷体"/>
          <w:kern w:val="0"/>
          <w:sz w:val="32"/>
          <w:szCs w:val="32"/>
        </w:rPr>
        <w:t>（二）坚持促进水价改革与水利事业建设相结合。</w:t>
      </w:r>
      <w:r>
        <w:rPr>
          <w:rFonts w:ascii="Times New Roman" w:hAnsi="Times New Roman" w:eastAsia="方正仿宋_GBK" w:cs="Times New Roman"/>
          <w:kern w:val="0"/>
          <w:sz w:val="32"/>
          <w:szCs w:val="32"/>
        </w:rPr>
        <w:t>统筹考虑供用水各方利益关系，科学合理核定用水价格，建立和培育水资源开发利用市场，促进水资源优化配置，加强供水设施建设，促进节水工程建设和技术推广。</w:t>
      </w:r>
    </w:p>
    <w:p>
      <w:pPr>
        <w:snapToGrid w:val="0"/>
        <w:spacing w:line="580" w:lineRule="atLeast"/>
        <w:ind w:firstLine="640" w:firstLineChars="200"/>
        <w:rPr>
          <w:rFonts w:ascii="Times New Roman" w:hAnsi="Times New Roman" w:eastAsia="方正仿宋_GBK" w:cs="Times New Roman"/>
          <w:kern w:val="0"/>
          <w:sz w:val="32"/>
          <w:szCs w:val="32"/>
        </w:rPr>
      </w:pPr>
      <w:r>
        <w:rPr>
          <w:rFonts w:hint="eastAsia" w:ascii="楷体" w:hAnsi="楷体" w:eastAsia="楷体" w:cs="楷体"/>
          <w:kern w:val="0"/>
          <w:sz w:val="32"/>
          <w:szCs w:val="32"/>
        </w:rPr>
        <w:t>（三）坚持统一政策与分级管理相结合。</w:t>
      </w:r>
      <w:r>
        <w:rPr>
          <w:rFonts w:ascii="Times New Roman" w:hAnsi="Times New Roman" w:eastAsia="方正仿宋_GBK" w:cs="Times New Roman"/>
          <w:kern w:val="0"/>
          <w:sz w:val="32"/>
          <w:szCs w:val="32"/>
        </w:rPr>
        <w:t>按照改革目标、责任与权力统一，水利工程水价改革实行分级管理、分级负责。</w:t>
      </w:r>
    </w:p>
    <w:p>
      <w:pPr>
        <w:snapToGrid w:val="0"/>
        <w:spacing w:line="580" w:lineRule="atLeast"/>
        <w:ind w:firstLine="640" w:firstLineChars="200"/>
        <w:rPr>
          <w:rFonts w:ascii="Times New Roman" w:hAnsi="Times New Roman" w:eastAsia="方正仿宋_GBK" w:cs="Times New Roman"/>
          <w:kern w:val="0"/>
          <w:sz w:val="32"/>
          <w:szCs w:val="32"/>
        </w:rPr>
      </w:pPr>
      <w:r>
        <w:rPr>
          <w:rFonts w:hint="eastAsia" w:ascii="楷体" w:hAnsi="楷体" w:eastAsia="楷体" w:cs="楷体"/>
          <w:kern w:val="0"/>
          <w:sz w:val="32"/>
          <w:szCs w:val="32"/>
        </w:rPr>
        <w:t>（四）坚持水价改革与供水管理体制改革相结合。</w:t>
      </w:r>
      <w:r>
        <w:rPr>
          <w:rFonts w:ascii="Times New Roman" w:hAnsi="Times New Roman" w:eastAsia="方正仿宋_GBK" w:cs="Times New Roman"/>
          <w:kern w:val="0"/>
          <w:sz w:val="32"/>
          <w:szCs w:val="32"/>
        </w:rPr>
        <w:t>强化供水成本约束，发挥价格杠杆在水资源优化配置中的作用。</w:t>
      </w:r>
    </w:p>
    <w:p>
      <w:pPr>
        <w:snapToGrid w:val="0"/>
        <w:spacing w:line="580" w:lineRule="atLeast"/>
        <w:ind w:firstLine="640" w:firstLineChars="200"/>
        <w:rPr>
          <w:rFonts w:ascii="黑体" w:hAnsi="黑体" w:eastAsia="黑体" w:cs="黑体"/>
          <w:bCs/>
          <w:snapToGrid w:val="0"/>
          <w:sz w:val="32"/>
          <w:szCs w:val="32"/>
        </w:rPr>
      </w:pPr>
      <w:r>
        <w:rPr>
          <w:rFonts w:hint="eastAsia" w:ascii="黑体" w:hAnsi="黑体" w:eastAsia="黑体" w:cs="黑体"/>
          <w:bCs/>
          <w:snapToGrid w:val="0"/>
          <w:sz w:val="32"/>
          <w:szCs w:val="32"/>
        </w:rPr>
        <w:t>三、目标任务</w:t>
      </w:r>
    </w:p>
    <w:p>
      <w:pPr>
        <w:snapToGrid w:val="0"/>
        <w:spacing w:line="580" w:lineRule="atLeast"/>
        <w:ind w:firstLine="640" w:firstLineChars="200"/>
        <w:rPr>
          <w:rFonts w:ascii="Times New Roman" w:hAnsi="Times New Roman" w:eastAsia="方正仿宋_GBK" w:cs="Times New Roman"/>
          <w:bCs/>
          <w:kern w:val="0"/>
          <w:sz w:val="32"/>
          <w:szCs w:val="32"/>
        </w:rPr>
      </w:pPr>
      <w:r>
        <w:rPr>
          <w:rFonts w:hint="eastAsia" w:ascii="楷体" w:hAnsi="楷体" w:eastAsia="楷体" w:cs="楷体"/>
          <w:bCs/>
          <w:snapToGrid w:val="0"/>
          <w:sz w:val="32"/>
          <w:szCs w:val="32"/>
        </w:rPr>
        <w:t>（一）改革的重点和目标。</w:t>
      </w:r>
      <w:r>
        <w:rPr>
          <w:rFonts w:ascii="Times New Roman" w:hAnsi="Times New Roman" w:eastAsia="方正仿宋_GBK" w:cs="Times New Roman"/>
          <w:bCs/>
          <w:sz w:val="32"/>
          <w:szCs w:val="32"/>
        </w:rPr>
        <w:t>立足玉溪水利改革发展实际，以农业水价、农村供水水价和新建工程水价三个领域为重点，通过深化改革，加快构建合理的水价形成机制和长效水价管理体系。统筹资源要素优化配置，推进水价改革配套</w:t>
      </w:r>
      <w:r>
        <w:rPr>
          <w:rFonts w:ascii="Times New Roman" w:hAnsi="Times New Roman" w:eastAsia="方正仿宋_GBK" w:cs="Times New Roman"/>
          <w:bCs/>
          <w:kern w:val="0"/>
          <w:sz w:val="32"/>
          <w:szCs w:val="32"/>
        </w:rPr>
        <w:t>政策健全完善，</w:t>
      </w:r>
      <w:r>
        <w:rPr>
          <w:rFonts w:ascii="Times New Roman" w:hAnsi="Times New Roman" w:eastAsia="方正仿宋_GBK" w:cs="Times New Roman"/>
          <w:bCs/>
          <w:color w:val="000000"/>
          <w:sz w:val="32"/>
          <w:szCs w:val="32"/>
        </w:rPr>
        <w:t>充分发挥市场机制和价格杠杆作用，</w:t>
      </w:r>
      <w:r>
        <w:rPr>
          <w:rFonts w:ascii="Times New Roman" w:hAnsi="Times New Roman" w:eastAsia="方正仿宋_GBK" w:cs="Times New Roman"/>
          <w:bCs/>
          <w:kern w:val="0"/>
          <w:sz w:val="32"/>
          <w:szCs w:val="32"/>
        </w:rPr>
        <w:t>积极引导、支持社会资本参与水利工程建设和运营管理，有效解决水利改革发展资金瓶颈，加快全域现代化水网建设，为玉溪</w:t>
      </w:r>
      <w:r>
        <w:rPr>
          <w:rFonts w:hint="eastAsia" w:ascii="Times New Roman" w:hAnsi="Times New Roman" w:eastAsia="方正仿宋_GBK" w:cs="Times New Roman"/>
          <w:bCs/>
          <w:kern w:val="0"/>
          <w:sz w:val="32"/>
          <w:szCs w:val="32"/>
        </w:rPr>
        <w:t>“一极两区”</w:t>
      </w:r>
      <w:r>
        <w:rPr>
          <w:rFonts w:ascii="Times New Roman" w:hAnsi="Times New Roman" w:eastAsia="方正仿宋_GBK" w:cs="Times New Roman"/>
          <w:bCs/>
          <w:kern w:val="0"/>
          <w:sz w:val="32"/>
          <w:szCs w:val="32"/>
        </w:rPr>
        <w:t>高质量发展提供水利支撑和保障。</w:t>
      </w:r>
    </w:p>
    <w:p>
      <w:pPr>
        <w:snapToGrid w:val="0"/>
        <w:spacing w:line="580" w:lineRule="atLeast"/>
        <w:ind w:firstLine="640" w:firstLineChars="200"/>
        <w:rPr>
          <w:rFonts w:ascii="Times New Roman" w:hAnsi="Times New Roman" w:eastAsia="方正仿宋_GBK" w:cs="Times New Roman"/>
          <w:bCs/>
          <w:kern w:val="0"/>
          <w:sz w:val="32"/>
          <w:szCs w:val="32"/>
        </w:rPr>
      </w:pPr>
      <w:r>
        <w:rPr>
          <w:rFonts w:hint="eastAsia" w:ascii="楷体" w:hAnsi="楷体" w:eastAsia="楷体" w:cs="楷体"/>
          <w:bCs/>
          <w:snapToGrid w:val="0"/>
          <w:sz w:val="32"/>
          <w:szCs w:val="32"/>
        </w:rPr>
        <w:t>（二）</w:t>
      </w:r>
      <w:r>
        <w:rPr>
          <w:rFonts w:hint="eastAsia" w:ascii="楷体" w:hAnsi="楷体" w:eastAsia="楷体" w:cs="楷体"/>
          <w:bCs/>
          <w:kern w:val="0"/>
          <w:sz w:val="32"/>
          <w:szCs w:val="32"/>
        </w:rPr>
        <w:t>分类制定水利工程供水价格。</w:t>
      </w:r>
      <w:r>
        <w:rPr>
          <w:rFonts w:ascii="Times New Roman" w:hAnsi="Times New Roman" w:eastAsia="方正仿宋_GBK" w:cs="Times New Roman"/>
          <w:bCs/>
          <w:kern w:val="0"/>
          <w:sz w:val="32"/>
          <w:szCs w:val="32"/>
        </w:rPr>
        <w:t>强化水利工程供水成本</w:t>
      </w:r>
      <w:r>
        <w:rPr>
          <w:rFonts w:hint="eastAsia" w:ascii="Times New Roman" w:hAnsi="Times New Roman" w:eastAsia="方正仿宋_GBK" w:cs="Times New Roman"/>
          <w:bCs/>
          <w:kern w:val="0"/>
          <w:sz w:val="32"/>
          <w:szCs w:val="32"/>
          <w:lang w:eastAsia="zh-CN"/>
        </w:rPr>
        <w:t>监审、调查、</w:t>
      </w:r>
      <w:r>
        <w:rPr>
          <w:rFonts w:ascii="Times New Roman" w:hAnsi="Times New Roman" w:eastAsia="方正仿宋_GBK" w:cs="Times New Roman"/>
          <w:bCs/>
          <w:kern w:val="0"/>
          <w:sz w:val="32"/>
          <w:szCs w:val="32"/>
        </w:rPr>
        <w:t>测算，合理核定供水价格</w:t>
      </w:r>
      <w:r>
        <w:rPr>
          <w:rFonts w:hint="eastAsia" w:ascii="Times New Roman" w:hAnsi="Times New Roman" w:eastAsia="方正仿宋_GBK" w:cs="Times New Roman"/>
          <w:bCs/>
          <w:kern w:val="0"/>
          <w:sz w:val="32"/>
          <w:szCs w:val="32"/>
          <w:lang w:eastAsia="zh-CN"/>
        </w:rPr>
        <w:t>。</w:t>
      </w:r>
      <w:r>
        <w:rPr>
          <w:rFonts w:ascii="Times New Roman" w:hAnsi="Times New Roman" w:eastAsia="方正仿宋_GBK" w:cs="Times New Roman"/>
          <w:bCs/>
          <w:kern w:val="0"/>
          <w:sz w:val="32"/>
          <w:szCs w:val="32"/>
        </w:rPr>
        <w:t>非农业用水价格</w:t>
      </w:r>
      <w:r>
        <w:rPr>
          <w:rFonts w:hint="eastAsia" w:ascii="Times New Roman" w:hAnsi="Times New Roman" w:eastAsia="方正仿宋_GBK" w:cs="Times New Roman"/>
          <w:bCs/>
          <w:kern w:val="0"/>
          <w:sz w:val="32"/>
          <w:szCs w:val="32"/>
          <w:lang w:eastAsia="zh-CN"/>
        </w:rPr>
        <w:t>，</w:t>
      </w:r>
      <w:r>
        <w:rPr>
          <w:rFonts w:ascii="Times New Roman" w:hAnsi="Times New Roman" w:eastAsia="方正仿宋_GBK" w:cs="Times New Roman"/>
          <w:bCs/>
          <w:kern w:val="0"/>
          <w:sz w:val="32"/>
          <w:szCs w:val="32"/>
        </w:rPr>
        <w:t>要达到补偿成本、合理盈利水平</w:t>
      </w:r>
      <w:r>
        <w:rPr>
          <w:rFonts w:hint="eastAsia" w:ascii="Times New Roman" w:hAnsi="Times New Roman" w:eastAsia="方正仿宋_GBK" w:cs="Times New Roman"/>
          <w:bCs/>
          <w:kern w:val="0"/>
          <w:sz w:val="32"/>
          <w:szCs w:val="32"/>
          <w:lang w:val="en-US" w:eastAsia="zh-CN"/>
        </w:rPr>
        <w:t>；</w:t>
      </w:r>
      <w:r>
        <w:rPr>
          <w:rFonts w:ascii="Times New Roman" w:hAnsi="Times New Roman" w:eastAsia="方正仿宋_GBK" w:cs="Times New Roman"/>
          <w:bCs/>
          <w:kern w:val="0"/>
          <w:sz w:val="32"/>
          <w:szCs w:val="32"/>
        </w:rPr>
        <w:t>农业用水价格</w:t>
      </w:r>
      <w:r>
        <w:rPr>
          <w:rFonts w:hint="eastAsia" w:ascii="Times New Roman" w:hAnsi="Times New Roman" w:eastAsia="方正仿宋_GBK" w:cs="Times New Roman"/>
          <w:bCs/>
          <w:kern w:val="0"/>
          <w:sz w:val="32"/>
          <w:szCs w:val="32"/>
          <w:lang w:eastAsia="zh-CN"/>
        </w:rPr>
        <w:t>，</w:t>
      </w:r>
      <w:r>
        <w:rPr>
          <w:rFonts w:ascii="Times New Roman" w:hAnsi="Times New Roman" w:eastAsia="方正仿宋_GBK" w:cs="Times New Roman"/>
          <w:bCs/>
          <w:kern w:val="0"/>
          <w:sz w:val="32"/>
          <w:szCs w:val="32"/>
        </w:rPr>
        <w:t>要</w:t>
      </w:r>
      <w:r>
        <w:rPr>
          <w:rFonts w:ascii="Times New Roman" w:hAnsi="Times New Roman" w:eastAsia="方正仿宋_GBK" w:cs="Times New Roman"/>
          <w:bCs/>
          <w:sz w:val="32"/>
          <w:szCs w:val="32"/>
        </w:rPr>
        <w:t>合理把握调价幅度和节奏，</w:t>
      </w:r>
      <w:r>
        <w:rPr>
          <w:rFonts w:ascii="Times New Roman" w:hAnsi="Times New Roman" w:eastAsia="方正仿宋_GBK" w:cs="Times New Roman"/>
          <w:bCs/>
          <w:kern w:val="0"/>
          <w:sz w:val="32"/>
          <w:szCs w:val="32"/>
        </w:rPr>
        <w:t>逐步达到</w:t>
      </w:r>
      <w:r>
        <w:rPr>
          <w:rFonts w:ascii="Times New Roman" w:hAnsi="Times New Roman" w:eastAsia="方正仿宋_GBK" w:cs="Times New Roman"/>
          <w:bCs/>
          <w:sz w:val="32"/>
          <w:szCs w:val="32"/>
        </w:rPr>
        <w:t>运行维护成本水平</w:t>
      </w:r>
      <w:r>
        <w:rPr>
          <w:rFonts w:ascii="Times New Roman" w:hAnsi="Times New Roman" w:eastAsia="方正仿宋_GBK" w:cs="Times New Roman"/>
          <w:bCs/>
          <w:kern w:val="0"/>
          <w:sz w:val="32"/>
          <w:szCs w:val="32"/>
        </w:rPr>
        <w:t>。</w:t>
      </w:r>
    </w:p>
    <w:p>
      <w:pPr>
        <w:snapToGrid w:val="0"/>
        <w:spacing w:line="580" w:lineRule="atLeast"/>
        <w:ind w:firstLine="640" w:firstLineChars="200"/>
        <w:rPr>
          <w:rFonts w:ascii="Times New Roman" w:hAnsi="Times New Roman" w:eastAsia="方正仿宋_GBK" w:cs="Times New Roman"/>
          <w:bCs/>
          <w:color w:val="000000"/>
          <w:kern w:val="0"/>
          <w:sz w:val="32"/>
          <w:szCs w:val="32"/>
        </w:rPr>
      </w:pPr>
      <w:r>
        <w:rPr>
          <w:rFonts w:ascii="Times New Roman" w:hAnsi="Times New Roman" w:eastAsia="方正仿宋_GBK" w:cs="Times New Roman"/>
          <w:bCs/>
          <w:kern w:val="0"/>
          <w:sz w:val="32"/>
          <w:szCs w:val="32"/>
        </w:rPr>
        <w:t>1.农业水价综合改革</w:t>
      </w:r>
      <w:r>
        <w:rPr>
          <w:rFonts w:ascii="Times New Roman" w:hAnsi="Times New Roman" w:eastAsia="方正仿宋_GBK" w:cs="Times New Roman"/>
          <w:bCs/>
          <w:kern w:val="0"/>
          <w:sz w:val="32"/>
          <w:szCs w:val="32"/>
          <w:highlight w:val="none"/>
        </w:rPr>
        <w:t>。</w:t>
      </w:r>
      <w:r>
        <w:rPr>
          <w:rFonts w:ascii="Times New Roman" w:hAnsi="Times New Roman" w:eastAsia="方正仿宋_GBK" w:cs="Times New Roman"/>
          <w:bCs/>
          <w:color w:val="000000"/>
          <w:kern w:val="0"/>
          <w:sz w:val="32"/>
          <w:szCs w:val="32"/>
        </w:rPr>
        <w:t>坚持“先建机制，后建工程”，以完善农业水价形成机制为</w:t>
      </w:r>
      <w:r>
        <w:rPr>
          <w:rFonts w:hint="eastAsia" w:ascii="Times New Roman" w:hAnsi="Times New Roman" w:eastAsia="方正仿宋_GBK" w:cs="Times New Roman"/>
          <w:bCs/>
          <w:color w:val="000000"/>
          <w:kern w:val="0"/>
          <w:sz w:val="32"/>
          <w:szCs w:val="32"/>
          <w:lang w:val="en-US" w:eastAsia="zh-CN"/>
        </w:rPr>
        <w:t>核心</w:t>
      </w:r>
      <w:r>
        <w:rPr>
          <w:rFonts w:ascii="Times New Roman" w:hAnsi="Times New Roman" w:eastAsia="方正仿宋_GBK" w:cs="Times New Roman"/>
          <w:bCs/>
          <w:color w:val="000000"/>
          <w:kern w:val="0"/>
          <w:sz w:val="32"/>
          <w:szCs w:val="32"/>
        </w:rPr>
        <w:t>，</w:t>
      </w:r>
      <w:r>
        <w:rPr>
          <w:rFonts w:hint="eastAsia" w:ascii="Times New Roman" w:hAnsi="Times New Roman" w:eastAsia="方正仿宋_GBK" w:cs="Times New Roman"/>
          <w:bCs/>
          <w:color w:val="000000"/>
          <w:kern w:val="0"/>
          <w:sz w:val="32"/>
          <w:szCs w:val="32"/>
          <w:lang w:val="en-US" w:eastAsia="zh-CN"/>
        </w:rPr>
        <w:t>发挥市场机制和价格杠杆在水资源配置方面的作用</w:t>
      </w:r>
      <w:r>
        <w:rPr>
          <w:rFonts w:ascii="Times New Roman" w:hAnsi="Times New Roman" w:eastAsia="方正仿宋_GBK" w:cs="Times New Roman"/>
          <w:bCs/>
          <w:color w:val="000000"/>
          <w:kern w:val="0"/>
          <w:sz w:val="32"/>
          <w:szCs w:val="32"/>
        </w:rPr>
        <w:t>，实现农田水利设施“</w:t>
      </w:r>
      <w:r>
        <w:rPr>
          <w:rFonts w:hint="eastAsia" w:ascii="Times New Roman" w:hAnsi="Times New Roman" w:eastAsia="方正仿宋_GBK" w:cs="Times New Roman"/>
          <w:bCs/>
          <w:color w:val="000000"/>
          <w:kern w:val="0"/>
          <w:sz w:val="32"/>
          <w:szCs w:val="32"/>
          <w:lang w:val="en-US" w:eastAsia="zh-CN"/>
        </w:rPr>
        <w:t>有钱建、</w:t>
      </w:r>
      <w:r>
        <w:rPr>
          <w:rFonts w:ascii="Times New Roman" w:hAnsi="Times New Roman" w:eastAsia="方正仿宋_GBK" w:cs="Times New Roman"/>
          <w:bCs/>
          <w:color w:val="000000"/>
          <w:kern w:val="0"/>
          <w:sz w:val="32"/>
          <w:szCs w:val="32"/>
        </w:rPr>
        <w:t>有人管、管得好”。中型灌区骨干工程农业供水价格至少达到补偿运行维护费用水平，力争达到保本水平；中型灌区末级渠系和小型灌区农业供水价格达到保本水平，有条件的地区达到补偿成本适当盈利水平。</w:t>
      </w:r>
      <w:r>
        <w:rPr>
          <w:rFonts w:hint="eastAsia" w:ascii="Times New Roman" w:hAnsi="Times New Roman" w:eastAsia="方正仿宋_GBK" w:cs="Times New Roman"/>
          <w:bCs/>
          <w:color w:val="000000"/>
          <w:kern w:val="0"/>
          <w:sz w:val="32"/>
          <w:szCs w:val="32"/>
          <w:lang w:eastAsia="zh-CN"/>
        </w:rPr>
        <w:t>农业水价综合改革要</w:t>
      </w:r>
      <w:r>
        <w:rPr>
          <w:rFonts w:ascii="Times New Roman" w:hAnsi="Times New Roman" w:eastAsia="方正仿宋_GBK" w:cs="Times New Roman"/>
          <w:bCs/>
          <w:color w:val="000000"/>
          <w:kern w:val="0"/>
          <w:sz w:val="32"/>
          <w:szCs w:val="32"/>
        </w:rPr>
        <w:t>以</w:t>
      </w:r>
      <w:r>
        <w:rPr>
          <w:rFonts w:ascii="Times New Roman" w:hAnsi="Times New Roman" w:eastAsia="方正仿宋_GBK" w:cs="Times New Roman"/>
          <w:bCs/>
          <w:snapToGrid w:val="0"/>
          <w:sz w:val="32"/>
          <w:szCs w:val="32"/>
        </w:rPr>
        <w:t>高效节水项目、高标准农田建设、中型灌区等区域为重点，加大改革力度，至“十四五”末</w:t>
      </w:r>
      <w:r>
        <w:rPr>
          <w:rFonts w:hint="eastAsia" w:ascii="Times New Roman" w:hAnsi="Times New Roman" w:eastAsia="方正仿宋_GBK" w:cs="Times New Roman"/>
          <w:bCs/>
          <w:snapToGrid w:val="0"/>
          <w:sz w:val="32"/>
          <w:szCs w:val="32"/>
          <w:lang w:eastAsia="zh-CN"/>
        </w:rPr>
        <w:t>，合理</w:t>
      </w:r>
      <w:r>
        <w:rPr>
          <w:rFonts w:ascii="Times New Roman" w:hAnsi="Times New Roman" w:eastAsia="方正仿宋_GBK" w:cs="Times New Roman"/>
          <w:bCs/>
          <w:snapToGrid w:val="0"/>
          <w:sz w:val="32"/>
          <w:szCs w:val="32"/>
        </w:rPr>
        <w:t>的农业水价形成机制</w:t>
      </w:r>
      <w:r>
        <w:rPr>
          <w:rFonts w:hint="eastAsia" w:ascii="Times New Roman" w:hAnsi="Times New Roman" w:eastAsia="方正仿宋_GBK" w:cs="Times New Roman"/>
          <w:bCs/>
          <w:snapToGrid w:val="0"/>
          <w:sz w:val="32"/>
          <w:szCs w:val="32"/>
          <w:lang w:eastAsia="zh-CN"/>
        </w:rPr>
        <w:t>、</w:t>
      </w:r>
      <w:r>
        <w:rPr>
          <w:rFonts w:ascii="Times New Roman" w:hAnsi="Times New Roman" w:eastAsia="方正仿宋_GBK" w:cs="Times New Roman"/>
          <w:bCs/>
          <w:snapToGrid w:val="0"/>
          <w:sz w:val="32"/>
          <w:szCs w:val="32"/>
        </w:rPr>
        <w:t>精准补贴和节水奖励机制</w:t>
      </w:r>
      <w:r>
        <w:rPr>
          <w:rFonts w:hint="eastAsia" w:ascii="Times New Roman" w:hAnsi="Times New Roman" w:eastAsia="方正仿宋_GBK" w:cs="Times New Roman"/>
          <w:bCs/>
          <w:snapToGrid w:val="0"/>
          <w:sz w:val="32"/>
          <w:szCs w:val="32"/>
          <w:lang w:eastAsia="zh-CN"/>
        </w:rPr>
        <w:t>基本建立</w:t>
      </w:r>
      <w:r>
        <w:rPr>
          <w:rFonts w:hint="eastAsia" w:ascii="Times New Roman" w:hAnsi="Times New Roman" w:eastAsia="方正仿宋_GBK" w:cs="Times New Roman"/>
          <w:bCs/>
          <w:snapToGrid w:val="0"/>
          <w:sz w:val="32"/>
          <w:szCs w:val="32"/>
        </w:rPr>
        <w:t>，</w:t>
      </w:r>
      <w:r>
        <w:rPr>
          <w:rFonts w:ascii="Times New Roman" w:hAnsi="Times New Roman" w:eastAsia="方正仿宋_GBK" w:cs="Times New Roman"/>
          <w:bCs/>
          <w:snapToGrid w:val="0"/>
          <w:sz w:val="32"/>
          <w:szCs w:val="32"/>
        </w:rPr>
        <w:t>农业用水总量控制和定额管理</w:t>
      </w:r>
      <w:r>
        <w:rPr>
          <w:rFonts w:hint="eastAsia" w:ascii="Times New Roman" w:hAnsi="Times New Roman" w:eastAsia="方正仿宋_GBK" w:cs="Times New Roman"/>
          <w:bCs/>
          <w:snapToGrid w:val="0"/>
          <w:sz w:val="32"/>
          <w:szCs w:val="32"/>
          <w:lang w:eastAsia="zh-CN"/>
        </w:rPr>
        <w:t>有效推行</w:t>
      </w:r>
      <w:r>
        <w:rPr>
          <w:rFonts w:ascii="Times New Roman" w:hAnsi="Times New Roman" w:eastAsia="方正仿宋_GBK" w:cs="Times New Roman"/>
          <w:bCs/>
          <w:snapToGrid w:val="0"/>
          <w:sz w:val="32"/>
          <w:szCs w:val="32"/>
        </w:rPr>
        <w:t>，农业用水方式由粗放型向集约型转变。</w:t>
      </w:r>
    </w:p>
    <w:p>
      <w:pPr>
        <w:snapToGrid w:val="0"/>
        <w:spacing w:line="580" w:lineRule="atLeas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kern w:val="0"/>
          <w:sz w:val="32"/>
          <w:szCs w:val="32"/>
        </w:rPr>
        <w:t>2.农村供水水价改革。认真贯</w:t>
      </w:r>
      <w:r>
        <w:rPr>
          <w:rFonts w:ascii="Times New Roman" w:hAnsi="Times New Roman" w:eastAsia="方正仿宋_GBK" w:cs="Times New Roman"/>
          <w:bCs/>
          <w:color w:val="000000"/>
          <w:kern w:val="0"/>
          <w:sz w:val="32"/>
          <w:szCs w:val="32"/>
        </w:rPr>
        <w:t>彻落实《云南省农村供水管理办法》</w:t>
      </w:r>
      <w:r>
        <w:rPr>
          <w:rFonts w:hint="eastAsia" w:ascii="Times New Roman" w:hAnsi="Times New Roman" w:eastAsia="方正仿宋_GBK" w:cs="Times New Roman"/>
          <w:bCs/>
          <w:color w:val="000000"/>
          <w:kern w:val="0"/>
          <w:sz w:val="32"/>
          <w:szCs w:val="32"/>
          <w:lang w:eastAsia="zh-CN"/>
        </w:rPr>
        <w:t>（</w:t>
      </w:r>
      <w:r>
        <w:rPr>
          <w:rFonts w:ascii="Times New Roman" w:hAnsi="Times New Roman" w:eastAsia="方正仿宋_GBK" w:cs="Times New Roman"/>
          <w:bCs/>
          <w:color w:val="000000"/>
          <w:kern w:val="0"/>
          <w:sz w:val="32"/>
          <w:szCs w:val="32"/>
        </w:rPr>
        <w:t>云南省人民政府令第220号公布</w:t>
      </w:r>
      <w:r>
        <w:rPr>
          <w:rFonts w:hint="eastAsia" w:ascii="Times New Roman" w:hAnsi="Times New Roman" w:eastAsia="方正仿宋_GBK" w:cs="Times New Roman"/>
          <w:bCs/>
          <w:color w:val="000000"/>
          <w:kern w:val="0"/>
          <w:sz w:val="32"/>
          <w:szCs w:val="32"/>
          <w:lang w:eastAsia="zh-CN"/>
        </w:rPr>
        <w:t>）</w:t>
      </w:r>
      <w:r>
        <w:rPr>
          <w:rFonts w:ascii="Times New Roman" w:hAnsi="Times New Roman" w:eastAsia="方正仿宋_GBK" w:cs="Times New Roman"/>
          <w:bCs/>
          <w:color w:val="000000"/>
          <w:kern w:val="0"/>
          <w:sz w:val="32"/>
          <w:szCs w:val="32"/>
        </w:rPr>
        <w:t>，</w:t>
      </w:r>
      <w:r>
        <w:rPr>
          <w:rFonts w:hint="eastAsia" w:ascii="Times New Roman" w:hAnsi="Times New Roman" w:eastAsia="方正仿宋_GBK" w:cs="Times New Roman"/>
          <w:bCs/>
          <w:color w:val="000000"/>
          <w:kern w:val="0"/>
          <w:sz w:val="32"/>
          <w:szCs w:val="32"/>
          <w:lang w:val="en-US" w:eastAsia="zh-CN"/>
        </w:rPr>
        <w:t>加大</w:t>
      </w:r>
      <w:r>
        <w:rPr>
          <w:rFonts w:ascii="Times New Roman" w:hAnsi="Times New Roman" w:eastAsia="方正仿宋_GBK" w:cs="Times New Roman"/>
          <w:bCs/>
          <w:color w:val="000000"/>
          <w:kern w:val="0"/>
          <w:sz w:val="32"/>
          <w:szCs w:val="32"/>
        </w:rPr>
        <w:t>农村供水水价改革</w:t>
      </w:r>
      <w:r>
        <w:rPr>
          <w:rFonts w:hint="eastAsia" w:ascii="Times New Roman" w:hAnsi="Times New Roman" w:eastAsia="方正仿宋_GBK" w:cs="Times New Roman"/>
          <w:bCs/>
          <w:color w:val="000000"/>
          <w:kern w:val="0"/>
          <w:sz w:val="32"/>
          <w:szCs w:val="32"/>
          <w:lang w:val="en-US" w:eastAsia="zh-CN"/>
        </w:rPr>
        <w:t>力度</w:t>
      </w:r>
      <w:r>
        <w:rPr>
          <w:rFonts w:ascii="Times New Roman" w:hAnsi="Times New Roman" w:eastAsia="方正仿宋_GBK" w:cs="Times New Roman"/>
          <w:bCs/>
          <w:color w:val="000000"/>
          <w:kern w:val="0"/>
          <w:sz w:val="32"/>
          <w:szCs w:val="32"/>
        </w:rPr>
        <w:t>，推进工程建管模式和投融资机制创新，</w:t>
      </w:r>
      <w:r>
        <w:rPr>
          <w:rFonts w:hint="eastAsia" w:ascii="Times New Roman" w:hAnsi="Times New Roman" w:eastAsia="方正仿宋_GBK" w:cs="Times New Roman"/>
          <w:bCs/>
          <w:color w:val="000000"/>
          <w:kern w:val="0"/>
          <w:sz w:val="32"/>
          <w:szCs w:val="32"/>
          <w:lang w:eastAsia="zh-CN"/>
        </w:rPr>
        <w:t>全面提升农村供水保障水平，</w:t>
      </w:r>
      <w:r>
        <w:rPr>
          <w:rFonts w:ascii="Times New Roman" w:hAnsi="Times New Roman" w:eastAsia="方正仿宋_GBK" w:cs="Times New Roman"/>
          <w:bCs/>
          <w:color w:val="000000"/>
          <w:kern w:val="0"/>
          <w:sz w:val="32"/>
          <w:szCs w:val="32"/>
        </w:rPr>
        <w:t>巩固拓展农村饮水安全脱贫攻坚成果同乡村振兴有效衔接，加快城乡供水一体化进程，推动农村供水事业高质量发展。</w:t>
      </w:r>
      <w:r>
        <w:rPr>
          <w:rFonts w:ascii="Times New Roman" w:hAnsi="Times New Roman" w:eastAsia="方正仿宋_GBK" w:cs="Times New Roman"/>
          <w:bCs/>
          <w:kern w:val="0"/>
          <w:sz w:val="32"/>
          <w:szCs w:val="32"/>
        </w:rPr>
        <w:t>积极推行居民生活用水和非居民用水分类定价，居民生活用水价格按照保本微利原则确定，非居民用水价格按照成本加合理利润的原则确定。</w:t>
      </w:r>
      <w:r>
        <w:rPr>
          <w:rFonts w:ascii="Times New Roman" w:hAnsi="Times New Roman" w:eastAsia="方正仿宋_GBK" w:cs="Times New Roman"/>
          <w:bCs/>
          <w:color w:val="000000"/>
          <w:kern w:val="0"/>
          <w:sz w:val="32"/>
          <w:szCs w:val="32"/>
        </w:rPr>
        <w:t>至</w:t>
      </w:r>
      <w:r>
        <w:rPr>
          <w:rFonts w:ascii="Times New Roman" w:hAnsi="Times New Roman" w:eastAsia="方正仿宋_GBK" w:cs="Times New Roman"/>
          <w:bCs/>
          <w:sz w:val="32"/>
          <w:szCs w:val="32"/>
        </w:rPr>
        <w:t>“十四五”末，各县（市、区）形成完善的农村供水水价政策体系，实现农村集中供水工程全面定价、全面收费，水费收取率达到95%以上。</w:t>
      </w:r>
    </w:p>
    <w:p>
      <w:pPr>
        <w:snapToGrid w:val="0"/>
        <w:spacing w:line="580" w:lineRule="atLeast"/>
        <w:ind w:firstLine="640" w:firstLineChars="200"/>
        <w:rPr>
          <w:rFonts w:hint="eastAsia"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3.新建工程水价改革。紧紧围绕全域现代化水网建设，统筹水利投融资改革，完善社会资本合理回报机制，充分运用好水价政策，全面调动社会资本投入水利建设和运营管理的积极性。对利用贷款、债券建设和政府鼓励发展的民办民营水利工程供水价格，按照补偿成本并获得合理利润确定。</w:t>
      </w:r>
      <w:r>
        <w:rPr>
          <w:rFonts w:ascii="Times New Roman" w:hAnsi="Times New Roman" w:eastAsia="方正仿宋_GBK" w:cs="Times New Roman"/>
          <w:bCs/>
          <w:sz w:val="32"/>
          <w:szCs w:val="32"/>
        </w:rPr>
        <w:t>对于不能完全市场化运营的水利建设项目，可采取政府注入部分资本金、给予投资补助、延长特许经营期限等方式，保障社会投资主体能够获得合理回报。</w:t>
      </w:r>
      <w:r>
        <w:rPr>
          <w:rFonts w:ascii="Times New Roman" w:hAnsi="Times New Roman" w:eastAsia="方正仿宋_GBK" w:cs="Times New Roman"/>
          <w:bCs/>
          <w:kern w:val="0"/>
          <w:sz w:val="32"/>
          <w:szCs w:val="32"/>
        </w:rPr>
        <w:t>鼓励先行先试，充分发挥政府投入和政策扶持的引导作用，挖掘基层和群众的积极性、创造性，大胆探索符合市场导向的水价形成机制和供水成本费用补偿机制，为推进水利投融资改革创造条件，为加快全域现代化水网建设提供保障。</w:t>
      </w:r>
    </w:p>
    <w:p>
      <w:pPr>
        <w:snapToGrid w:val="0"/>
        <w:spacing w:line="580" w:lineRule="atLeast"/>
        <w:ind w:firstLine="645"/>
        <w:rPr>
          <w:rFonts w:ascii="Times New Roman" w:hAnsi="Times New Roman" w:eastAsia="方正仿宋_GBK" w:cs="Times New Roman"/>
          <w:bCs/>
          <w:kern w:val="0"/>
          <w:sz w:val="32"/>
          <w:szCs w:val="32"/>
          <w:u w:val="none"/>
        </w:rPr>
      </w:pPr>
      <w:r>
        <w:rPr>
          <w:rFonts w:hint="eastAsia" w:ascii="楷体" w:hAnsi="楷体" w:eastAsia="楷体" w:cs="楷体"/>
          <w:bCs/>
          <w:kern w:val="0"/>
          <w:sz w:val="32"/>
          <w:szCs w:val="32"/>
        </w:rPr>
        <w:t>（三）实施超定额（计划）累进加价制度。</w:t>
      </w:r>
      <w:r>
        <w:rPr>
          <w:rFonts w:hint="eastAsia" w:ascii="Times New Roman" w:hAnsi="Times New Roman" w:eastAsia="方正仿宋_GBK" w:cs="Times New Roman"/>
          <w:bCs/>
          <w:kern w:val="0"/>
          <w:sz w:val="32"/>
          <w:szCs w:val="32"/>
          <w:lang w:val="en-US" w:eastAsia="zh-CN"/>
        </w:rPr>
        <w:t>实行</w:t>
      </w:r>
      <w:r>
        <w:rPr>
          <w:rFonts w:ascii="Times New Roman" w:hAnsi="Times New Roman" w:eastAsia="方正仿宋_GBK" w:cs="Times New Roman"/>
          <w:bCs/>
          <w:kern w:val="0"/>
          <w:sz w:val="32"/>
          <w:szCs w:val="32"/>
        </w:rPr>
        <w:t>最严格水资源管理制度，参照国家、省颁布的用水定额标准，结合各地实际，加强用水总量、用水定额和用水计划管理，</w:t>
      </w:r>
      <w:r>
        <w:rPr>
          <w:rFonts w:hint="eastAsia" w:ascii="Times New Roman" w:hAnsi="Times New Roman" w:eastAsia="方正仿宋_GBK" w:cs="Times New Roman"/>
          <w:bCs/>
          <w:kern w:val="0"/>
          <w:sz w:val="32"/>
          <w:szCs w:val="32"/>
          <w:lang w:eastAsia="zh-CN"/>
        </w:rPr>
        <w:t>稳步落实</w:t>
      </w:r>
      <w:r>
        <w:rPr>
          <w:rFonts w:ascii="Times New Roman" w:hAnsi="Times New Roman" w:eastAsia="方正仿宋_GBK" w:cs="Times New Roman"/>
          <w:bCs/>
          <w:kern w:val="0"/>
          <w:sz w:val="32"/>
          <w:szCs w:val="32"/>
        </w:rPr>
        <w:t>超定额（计划）累进加价制度。农业用水要区分不同作物和养殖产品，合理制定农业用水定额</w:t>
      </w:r>
      <w:r>
        <w:rPr>
          <w:rFonts w:hint="eastAsia" w:ascii="Times New Roman" w:hAnsi="Times New Roman" w:eastAsia="方正仿宋_GBK" w:cs="Times New Roman"/>
          <w:bCs/>
          <w:kern w:val="0"/>
          <w:sz w:val="32"/>
          <w:szCs w:val="32"/>
        </w:rPr>
        <w:t>。</w:t>
      </w:r>
      <w:r>
        <w:rPr>
          <w:rFonts w:ascii="Times New Roman" w:hAnsi="Times New Roman" w:eastAsia="方正仿宋_GBK" w:cs="Times New Roman"/>
          <w:bCs/>
          <w:kern w:val="0"/>
          <w:sz w:val="32"/>
          <w:szCs w:val="32"/>
        </w:rPr>
        <w:t>非农业用水按照产品用水定额标准或用水计划，充分考虑节水设施建设和节</w:t>
      </w:r>
      <w:r>
        <w:rPr>
          <w:rFonts w:ascii="Times New Roman" w:hAnsi="Times New Roman" w:eastAsia="方正仿宋_GBK" w:cs="Times New Roman"/>
          <w:bCs/>
          <w:kern w:val="0"/>
          <w:sz w:val="32"/>
          <w:szCs w:val="32"/>
          <w:u w:val="none"/>
        </w:rPr>
        <w:t>水技术推广应用情况，对超定额（计划）用水实行累进加价。</w:t>
      </w:r>
      <w:r>
        <w:rPr>
          <w:rFonts w:hint="eastAsia" w:ascii="Times New Roman" w:hAnsi="Times New Roman" w:eastAsia="方正仿宋_GBK" w:cs="Times New Roman"/>
          <w:bCs/>
          <w:kern w:val="0"/>
          <w:sz w:val="32"/>
          <w:szCs w:val="32"/>
          <w:u w:val="none"/>
          <w:lang w:eastAsia="zh-CN"/>
        </w:rPr>
        <w:t>原则上，</w:t>
      </w:r>
      <w:r>
        <w:rPr>
          <w:rFonts w:ascii="Times New Roman" w:hAnsi="Times New Roman" w:eastAsia="方正仿宋_GBK" w:cs="Times New Roman"/>
          <w:bCs/>
          <w:kern w:val="0"/>
          <w:sz w:val="32"/>
          <w:szCs w:val="32"/>
          <w:u w:val="none"/>
        </w:rPr>
        <w:t>超定额（计划）用水</w:t>
      </w:r>
      <w:r>
        <w:rPr>
          <w:rFonts w:hint="eastAsia" w:ascii="Times New Roman" w:hAnsi="Times New Roman" w:eastAsia="方正仿宋_GBK" w:cs="Times New Roman"/>
          <w:bCs/>
          <w:kern w:val="0"/>
          <w:sz w:val="32"/>
          <w:szCs w:val="32"/>
          <w:u w:val="none"/>
          <w:lang w:val="en-US" w:eastAsia="zh-CN"/>
        </w:rPr>
        <w:t>3</w:t>
      </w:r>
      <w:r>
        <w:rPr>
          <w:rFonts w:ascii="Times New Roman" w:hAnsi="Times New Roman" w:eastAsia="方正仿宋_GBK" w:cs="Times New Roman"/>
          <w:bCs/>
          <w:kern w:val="0"/>
          <w:sz w:val="32"/>
          <w:szCs w:val="32"/>
          <w:u w:val="none"/>
        </w:rPr>
        <w:t>0％（含）以内</w:t>
      </w:r>
      <w:r>
        <w:rPr>
          <w:rFonts w:hint="eastAsia" w:ascii="Times New Roman" w:hAnsi="Times New Roman" w:eastAsia="方正仿宋_GBK" w:cs="Times New Roman"/>
          <w:bCs/>
          <w:kern w:val="0"/>
          <w:sz w:val="32"/>
          <w:szCs w:val="32"/>
          <w:u w:val="none"/>
          <w:lang w:eastAsia="zh-CN"/>
        </w:rPr>
        <w:t>，</w:t>
      </w:r>
      <w:r>
        <w:rPr>
          <w:rFonts w:ascii="Times New Roman" w:hAnsi="Times New Roman" w:eastAsia="方正仿宋_GBK" w:cs="Times New Roman"/>
          <w:bCs/>
          <w:kern w:val="0"/>
          <w:sz w:val="32"/>
          <w:szCs w:val="32"/>
          <w:u w:val="none"/>
        </w:rPr>
        <w:t>超定额（计划）</w:t>
      </w:r>
      <w:r>
        <w:rPr>
          <w:rFonts w:hint="eastAsia" w:ascii="Times New Roman" w:hAnsi="Times New Roman" w:eastAsia="方正仿宋_GBK" w:cs="Times New Roman"/>
          <w:bCs/>
          <w:kern w:val="0"/>
          <w:sz w:val="32"/>
          <w:szCs w:val="32"/>
          <w:u w:val="none"/>
          <w:lang w:eastAsia="zh-CN"/>
        </w:rPr>
        <w:t>部分</w:t>
      </w:r>
      <w:r>
        <w:rPr>
          <w:rFonts w:ascii="Times New Roman" w:hAnsi="Times New Roman" w:eastAsia="方正仿宋_GBK" w:cs="Times New Roman"/>
          <w:bCs/>
          <w:kern w:val="0"/>
          <w:sz w:val="32"/>
          <w:szCs w:val="32"/>
          <w:u w:val="none"/>
        </w:rPr>
        <w:t>加价</w:t>
      </w:r>
      <w:r>
        <w:rPr>
          <w:rFonts w:hint="eastAsia" w:ascii="Times New Roman" w:hAnsi="Times New Roman" w:eastAsia="方正仿宋_GBK" w:cs="Times New Roman"/>
          <w:bCs/>
          <w:kern w:val="0"/>
          <w:sz w:val="32"/>
          <w:szCs w:val="32"/>
          <w:u w:val="none"/>
          <w:lang w:val="en-US" w:eastAsia="zh-CN"/>
        </w:rPr>
        <w:t>5</w:t>
      </w:r>
      <w:r>
        <w:rPr>
          <w:rFonts w:ascii="Times New Roman" w:hAnsi="Times New Roman" w:eastAsia="方正仿宋_GBK" w:cs="Times New Roman"/>
          <w:bCs/>
          <w:kern w:val="0"/>
          <w:sz w:val="32"/>
          <w:szCs w:val="32"/>
          <w:u w:val="none"/>
        </w:rPr>
        <w:t>0％</w:t>
      </w:r>
      <w:r>
        <w:rPr>
          <w:rFonts w:hint="eastAsia" w:ascii="Times New Roman" w:hAnsi="Times New Roman" w:eastAsia="方正仿宋_GBK" w:cs="Times New Roman"/>
          <w:bCs/>
          <w:kern w:val="0"/>
          <w:sz w:val="32"/>
          <w:szCs w:val="32"/>
          <w:u w:val="none"/>
          <w:lang w:eastAsia="zh-CN"/>
        </w:rPr>
        <w:t>；</w:t>
      </w:r>
      <w:r>
        <w:rPr>
          <w:rFonts w:ascii="Times New Roman" w:hAnsi="Times New Roman" w:eastAsia="方正仿宋_GBK" w:cs="Times New Roman"/>
          <w:bCs/>
          <w:kern w:val="0"/>
          <w:sz w:val="32"/>
          <w:szCs w:val="32"/>
          <w:u w:val="none"/>
        </w:rPr>
        <w:t>超定额（计划）用水</w:t>
      </w:r>
      <w:r>
        <w:rPr>
          <w:rFonts w:hint="eastAsia" w:ascii="Times New Roman" w:hAnsi="Times New Roman" w:eastAsia="方正仿宋_GBK" w:cs="Times New Roman"/>
          <w:bCs/>
          <w:kern w:val="0"/>
          <w:sz w:val="32"/>
          <w:szCs w:val="32"/>
          <w:u w:val="none"/>
          <w:lang w:val="en-US" w:eastAsia="zh-CN"/>
        </w:rPr>
        <w:t>5</w:t>
      </w:r>
      <w:r>
        <w:rPr>
          <w:rFonts w:ascii="Times New Roman" w:hAnsi="Times New Roman" w:eastAsia="方正仿宋_GBK" w:cs="Times New Roman"/>
          <w:bCs/>
          <w:kern w:val="0"/>
          <w:sz w:val="32"/>
          <w:szCs w:val="32"/>
          <w:u w:val="none"/>
        </w:rPr>
        <w:t>0％（含）以内</w:t>
      </w:r>
      <w:r>
        <w:rPr>
          <w:rFonts w:hint="eastAsia" w:ascii="Times New Roman" w:hAnsi="Times New Roman" w:eastAsia="方正仿宋_GBK" w:cs="Times New Roman"/>
          <w:bCs/>
          <w:kern w:val="0"/>
          <w:sz w:val="32"/>
          <w:szCs w:val="32"/>
          <w:u w:val="none"/>
          <w:lang w:eastAsia="zh-CN"/>
        </w:rPr>
        <w:t>，</w:t>
      </w:r>
      <w:r>
        <w:rPr>
          <w:rFonts w:ascii="Times New Roman" w:hAnsi="Times New Roman" w:eastAsia="方正仿宋_GBK" w:cs="Times New Roman"/>
          <w:bCs/>
          <w:kern w:val="0"/>
          <w:sz w:val="32"/>
          <w:szCs w:val="32"/>
          <w:u w:val="none"/>
        </w:rPr>
        <w:t>超定额（计划）</w:t>
      </w:r>
      <w:r>
        <w:rPr>
          <w:rFonts w:hint="eastAsia" w:ascii="Times New Roman" w:hAnsi="Times New Roman" w:eastAsia="方正仿宋_GBK" w:cs="Times New Roman"/>
          <w:bCs/>
          <w:kern w:val="0"/>
          <w:sz w:val="32"/>
          <w:szCs w:val="32"/>
          <w:u w:val="none"/>
          <w:lang w:eastAsia="zh-CN"/>
        </w:rPr>
        <w:t>部分</w:t>
      </w:r>
      <w:r>
        <w:rPr>
          <w:rFonts w:ascii="Times New Roman" w:hAnsi="Times New Roman" w:eastAsia="方正仿宋_GBK" w:cs="Times New Roman"/>
          <w:bCs/>
          <w:kern w:val="0"/>
          <w:sz w:val="32"/>
          <w:szCs w:val="32"/>
          <w:u w:val="none"/>
        </w:rPr>
        <w:t>加价</w:t>
      </w:r>
      <w:r>
        <w:rPr>
          <w:rFonts w:hint="eastAsia" w:ascii="Times New Roman" w:hAnsi="Times New Roman" w:eastAsia="方正仿宋_GBK" w:cs="Times New Roman"/>
          <w:bCs/>
          <w:kern w:val="0"/>
          <w:sz w:val="32"/>
          <w:szCs w:val="32"/>
          <w:u w:val="none"/>
          <w:lang w:val="en-US" w:eastAsia="zh-CN"/>
        </w:rPr>
        <w:t>10</w:t>
      </w:r>
      <w:r>
        <w:rPr>
          <w:rFonts w:ascii="Times New Roman" w:hAnsi="Times New Roman" w:eastAsia="方正仿宋_GBK" w:cs="Times New Roman"/>
          <w:bCs/>
          <w:kern w:val="0"/>
          <w:sz w:val="32"/>
          <w:szCs w:val="32"/>
          <w:u w:val="none"/>
        </w:rPr>
        <w:t>0％</w:t>
      </w:r>
      <w:r>
        <w:rPr>
          <w:rFonts w:hint="eastAsia" w:ascii="Times New Roman" w:hAnsi="Times New Roman" w:eastAsia="方正仿宋_GBK" w:cs="Times New Roman"/>
          <w:bCs/>
          <w:kern w:val="0"/>
          <w:sz w:val="32"/>
          <w:szCs w:val="32"/>
          <w:u w:val="none"/>
          <w:lang w:eastAsia="zh-CN"/>
        </w:rPr>
        <w:t>；</w:t>
      </w:r>
      <w:r>
        <w:rPr>
          <w:rFonts w:ascii="Times New Roman" w:hAnsi="Times New Roman" w:eastAsia="方正仿宋_GBK" w:cs="Times New Roman"/>
          <w:bCs/>
          <w:kern w:val="0"/>
          <w:sz w:val="32"/>
          <w:szCs w:val="32"/>
          <w:u w:val="none"/>
        </w:rPr>
        <w:t>超定额（计划）用水50％以上</w:t>
      </w:r>
      <w:r>
        <w:rPr>
          <w:rFonts w:hint="eastAsia" w:ascii="Times New Roman" w:hAnsi="Times New Roman" w:eastAsia="方正仿宋_GBK" w:cs="Times New Roman"/>
          <w:bCs/>
          <w:kern w:val="0"/>
          <w:sz w:val="32"/>
          <w:szCs w:val="32"/>
          <w:u w:val="none"/>
          <w:lang w:eastAsia="zh-CN"/>
        </w:rPr>
        <w:t>，</w:t>
      </w:r>
      <w:r>
        <w:rPr>
          <w:rFonts w:ascii="Times New Roman" w:hAnsi="Times New Roman" w:eastAsia="方正仿宋_GBK" w:cs="Times New Roman"/>
          <w:bCs/>
          <w:kern w:val="0"/>
          <w:sz w:val="32"/>
          <w:szCs w:val="32"/>
          <w:u w:val="none"/>
        </w:rPr>
        <w:t>超定额（计划）</w:t>
      </w:r>
      <w:r>
        <w:rPr>
          <w:rFonts w:hint="eastAsia" w:ascii="Times New Roman" w:hAnsi="Times New Roman" w:eastAsia="方正仿宋_GBK" w:cs="Times New Roman"/>
          <w:bCs/>
          <w:kern w:val="0"/>
          <w:sz w:val="32"/>
          <w:szCs w:val="32"/>
          <w:u w:val="none"/>
          <w:lang w:eastAsia="zh-CN"/>
        </w:rPr>
        <w:t>部分</w:t>
      </w:r>
      <w:r>
        <w:rPr>
          <w:rFonts w:ascii="Times New Roman" w:hAnsi="Times New Roman" w:eastAsia="方正仿宋_GBK" w:cs="Times New Roman"/>
          <w:bCs/>
          <w:kern w:val="0"/>
          <w:sz w:val="32"/>
          <w:szCs w:val="32"/>
          <w:u w:val="none"/>
        </w:rPr>
        <w:t>加价200％。</w:t>
      </w:r>
    </w:p>
    <w:p>
      <w:pPr>
        <w:snapToGrid w:val="0"/>
        <w:spacing w:line="580" w:lineRule="atLeast"/>
        <w:ind w:firstLine="640" w:firstLineChars="200"/>
        <w:rPr>
          <w:rFonts w:ascii="Times New Roman" w:hAnsi="Times New Roman" w:eastAsia="方正仿宋_GBK" w:cs="Times New Roman"/>
          <w:bCs/>
          <w:kern w:val="0"/>
          <w:sz w:val="32"/>
          <w:szCs w:val="32"/>
          <w:u w:val="none"/>
        </w:rPr>
      </w:pPr>
      <w:r>
        <w:rPr>
          <w:rFonts w:hint="eastAsia" w:ascii="楷体" w:hAnsi="楷体" w:eastAsia="楷体" w:cs="楷体"/>
          <w:bCs/>
          <w:kern w:val="0"/>
          <w:sz w:val="32"/>
          <w:szCs w:val="32"/>
          <w:u w:val="none"/>
        </w:rPr>
        <w:t>（四）理顺水价定价机制。</w:t>
      </w:r>
      <w:r>
        <w:rPr>
          <w:rFonts w:ascii="Times New Roman" w:hAnsi="Times New Roman" w:eastAsia="方正仿宋_GBK" w:cs="Times New Roman"/>
          <w:bCs/>
          <w:kern w:val="0"/>
          <w:sz w:val="32"/>
          <w:szCs w:val="32"/>
          <w:u w:val="none"/>
        </w:rPr>
        <w:t>水利工程供水价格按照管理权限分级管理</w:t>
      </w:r>
      <w:r>
        <w:rPr>
          <w:rFonts w:hint="eastAsia" w:ascii="Times New Roman" w:hAnsi="Times New Roman" w:eastAsia="方正仿宋_GBK" w:cs="Times New Roman"/>
          <w:bCs/>
          <w:kern w:val="0"/>
          <w:sz w:val="32"/>
          <w:szCs w:val="32"/>
          <w:u w:val="none"/>
          <w:lang w:eastAsia="zh-CN"/>
        </w:rPr>
        <w:t>，严格按</w:t>
      </w:r>
      <w:r>
        <w:rPr>
          <w:rFonts w:ascii="Times New Roman" w:hAnsi="Times New Roman" w:eastAsia="方正仿宋_GBK" w:cs="Times New Roman"/>
          <w:bCs/>
          <w:kern w:val="0"/>
          <w:sz w:val="32"/>
          <w:szCs w:val="32"/>
          <w:u w:val="none"/>
        </w:rPr>
        <w:t>《云南省定价目录》</w:t>
      </w:r>
      <w:r>
        <w:rPr>
          <w:rFonts w:hint="eastAsia" w:ascii="Times New Roman" w:hAnsi="Times New Roman" w:eastAsia="方正仿宋_GBK" w:cs="Times New Roman"/>
          <w:bCs/>
          <w:kern w:val="0"/>
          <w:sz w:val="32"/>
          <w:szCs w:val="32"/>
          <w:u w:val="none"/>
          <w:lang w:eastAsia="zh-CN"/>
        </w:rPr>
        <w:t>规定执行。全市辖区内跨县（市、区）和市属水利工程供水价格由市发展改革委拟定价格方案报市政府审批；县（市、区）属水利工程供水价格由县（市、区）人民政府审批；其他水利工程供水价格实行市场调节价，由供需双方协商定价。</w:t>
      </w:r>
    </w:p>
    <w:p>
      <w:pPr>
        <w:snapToGrid w:val="0"/>
        <w:spacing w:line="580" w:lineRule="atLeast"/>
        <w:ind w:firstLine="640" w:firstLineChars="200"/>
        <w:rPr>
          <w:rFonts w:ascii="Times New Roman" w:hAnsi="Times New Roman" w:eastAsia="方正仿宋_GBK" w:cs="Times New Roman"/>
          <w:bCs/>
          <w:sz w:val="32"/>
          <w:szCs w:val="32"/>
        </w:rPr>
      </w:pPr>
      <w:r>
        <w:rPr>
          <w:rFonts w:hint="eastAsia" w:ascii="楷体" w:hAnsi="楷体" w:eastAsia="楷体" w:cs="楷体"/>
          <w:bCs/>
          <w:kern w:val="0"/>
          <w:sz w:val="32"/>
          <w:szCs w:val="32"/>
          <w:u w:val="none"/>
        </w:rPr>
        <w:t>（五）建立健全</w:t>
      </w:r>
      <w:r>
        <w:rPr>
          <w:rFonts w:hint="eastAsia" w:ascii="楷体" w:hAnsi="楷体" w:eastAsia="楷体" w:cs="楷体"/>
          <w:bCs/>
          <w:sz w:val="32"/>
          <w:szCs w:val="32"/>
          <w:u w:val="none"/>
        </w:rPr>
        <w:t>推进水价改革配套政策。</w:t>
      </w:r>
      <w:r>
        <w:rPr>
          <w:rFonts w:ascii="Times New Roman" w:hAnsi="Times New Roman" w:eastAsia="方正仿宋_GBK" w:cs="Times New Roman"/>
          <w:bCs/>
          <w:kern w:val="0"/>
          <w:sz w:val="32"/>
          <w:szCs w:val="32"/>
          <w:u w:val="none"/>
        </w:rPr>
        <w:t>以完善水价形成机制为核心，统筹推进初始水权分配、精准补贴和节水奖励、工程建设和管护、社会资本参与等政策配套，确保水价改革</w:t>
      </w:r>
      <w:r>
        <w:rPr>
          <w:rFonts w:ascii="Times New Roman" w:hAnsi="Times New Roman" w:eastAsia="方正仿宋_GBK" w:cs="Times New Roman"/>
          <w:bCs/>
          <w:kern w:val="0"/>
          <w:sz w:val="32"/>
          <w:szCs w:val="32"/>
        </w:rPr>
        <w:t>长效、可持续。</w:t>
      </w:r>
    </w:p>
    <w:p>
      <w:pPr>
        <w:snapToGrid w:val="0"/>
        <w:spacing w:line="580" w:lineRule="atLeas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kern w:val="0"/>
          <w:sz w:val="32"/>
          <w:szCs w:val="32"/>
        </w:rPr>
        <w:t>1.建立</w:t>
      </w:r>
      <w:r>
        <w:rPr>
          <w:rFonts w:ascii="Times New Roman" w:hAnsi="Times New Roman" w:eastAsia="方正仿宋_GBK" w:cs="Times New Roman"/>
          <w:bCs/>
          <w:color w:val="000000"/>
          <w:sz w:val="32"/>
          <w:szCs w:val="32"/>
        </w:rPr>
        <w:t>初始水权分配机制。</w:t>
      </w:r>
      <w:r>
        <w:rPr>
          <w:rFonts w:ascii="Times New Roman" w:hAnsi="Times New Roman" w:eastAsia="方正仿宋_GBK" w:cs="Times New Roman"/>
          <w:bCs/>
          <w:kern w:val="0"/>
          <w:sz w:val="32"/>
          <w:szCs w:val="32"/>
        </w:rPr>
        <w:t>强化最严格水资源管理制度，</w:t>
      </w:r>
      <w:r>
        <w:rPr>
          <w:rFonts w:ascii="Times New Roman" w:hAnsi="Times New Roman" w:eastAsia="方正仿宋_GBK" w:cs="Times New Roman"/>
          <w:bCs/>
          <w:color w:val="000000"/>
          <w:sz w:val="32"/>
          <w:szCs w:val="32"/>
        </w:rPr>
        <w:t>研究制定水权</w:t>
      </w:r>
      <w:r>
        <w:rPr>
          <w:rFonts w:ascii="Times New Roman" w:hAnsi="Times New Roman" w:eastAsia="方正仿宋_GBK" w:cs="Times New Roman"/>
          <w:bCs/>
          <w:kern w:val="0"/>
          <w:sz w:val="32"/>
          <w:szCs w:val="32"/>
        </w:rPr>
        <w:t>分配和交易</w:t>
      </w:r>
      <w:r>
        <w:rPr>
          <w:rFonts w:ascii="Times New Roman" w:hAnsi="Times New Roman" w:eastAsia="方正仿宋_GBK" w:cs="Times New Roman"/>
          <w:bCs/>
          <w:color w:val="000000"/>
          <w:sz w:val="32"/>
          <w:szCs w:val="32"/>
        </w:rPr>
        <w:t>、</w:t>
      </w:r>
      <w:r>
        <w:rPr>
          <w:rFonts w:ascii="Times New Roman" w:hAnsi="Times New Roman" w:eastAsia="方正仿宋_GBK" w:cs="Times New Roman"/>
          <w:bCs/>
          <w:kern w:val="0"/>
          <w:sz w:val="32"/>
          <w:szCs w:val="32"/>
        </w:rPr>
        <w:t>用水总量控制、用水定额核定、用水计划审批等管理办法，积极</w:t>
      </w:r>
      <w:r>
        <w:rPr>
          <w:rFonts w:ascii="Times New Roman" w:hAnsi="Times New Roman" w:eastAsia="方正仿宋_GBK" w:cs="Times New Roman"/>
          <w:bCs/>
          <w:color w:val="000000"/>
          <w:sz w:val="32"/>
          <w:szCs w:val="32"/>
        </w:rPr>
        <w:t>培育、规范水权交易，不断挖掘、盘活水市场。</w:t>
      </w:r>
    </w:p>
    <w:p>
      <w:pPr>
        <w:snapToGrid w:val="0"/>
        <w:spacing w:line="580" w:lineRule="atLeas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hint="eastAsia" w:ascii="Times New Roman" w:hAnsi="Times New Roman" w:eastAsia="方正仿宋_GBK" w:cs="Times New Roman"/>
          <w:bCs/>
          <w:color w:val="000000"/>
          <w:sz w:val="32"/>
          <w:szCs w:val="32"/>
          <w:lang w:eastAsia="zh-CN"/>
        </w:rPr>
        <w:t>落实</w:t>
      </w:r>
      <w:r>
        <w:rPr>
          <w:rFonts w:ascii="Times New Roman" w:hAnsi="Times New Roman" w:eastAsia="方正仿宋_GBK" w:cs="Times New Roman"/>
          <w:bCs/>
          <w:color w:val="000000"/>
          <w:sz w:val="32"/>
          <w:szCs w:val="32"/>
        </w:rPr>
        <w:t>节水奖励和精准补贴机制。充分发挥价格杠杆调节作用，建立和完善节水奖励机制，推动形成多用多付费、节约得奖励的良性用水供求格局。在合理核定水价的基础上，建立和完善精准补贴办法，对水费收入不能弥补建设和运营成本的，由县（市、区）政府根据项目运营实际情况，予以合理补贴，调动全社会参与水价改革的积极性。</w:t>
      </w:r>
    </w:p>
    <w:p>
      <w:pPr>
        <w:snapToGrid w:val="0"/>
        <w:spacing w:line="580" w:lineRule="atLeas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hint="eastAsia" w:ascii="Times New Roman" w:hAnsi="Times New Roman" w:eastAsia="方正仿宋_GBK" w:cs="Times New Roman"/>
          <w:bCs/>
          <w:color w:val="000000"/>
          <w:sz w:val="32"/>
          <w:szCs w:val="32"/>
          <w:lang w:eastAsia="zh-CN"/>
        </w:rPr>
        <w:t>健全</w:t>
      </w:r>
      <w:r>
        <w:rPr>
          <w:rFonts w:ascii="Times New Roman" w:hAnsi="Times New Roman" w:eastAsia="方正仿宋_GBK" w:cs="Times New Roman"/>
          <w:bCs/>
          <w:color w:val="000000"/>
          <w:sz w:val="32"/>
          <w:szCs w:val="32"/>
        </w:rPr>
        <w:t>工程管护机制。按照谁投资、谁所有、谁受益、谁管护的原则，明晰工程产权，明确管护责任主体。加强农村基层水利服务体系建设，鼓励成立农民用水合作组织，并将其作为工程管护、用水管理、协商定价、水费计收的责任主体。积极探索政府购买服务，通过公开招标、定向委托、邀标等形式选择工程运营单位，提升管理水平，控制管理成本。</w:t>
      </w:r>
    </w:p>
    <w:p>
      <w:pPr>
        <w:snapToGrid w:val="0"/>
        <w:spacing w:line="580" w:lineRule="atLeas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完善社会资本参与机制。研究制定全面放开和鼓励社会资本参与水利工程建设和运营管理的政策制度，明确社会资本参与的主体、范围、方式、程序和责任，完善优惠和扶持政策；推进水利建设市场信用体系建设，优化审批流程，创新审批方式，加快审批进度。</w:t>
      </w:r>
    </w:p>
    <w:p>
      <w:pPr>
        <w:snapToGrid w:val="0"/>
        <w:spacing w:line="580" w:lineRule="atLeast"/>
        <w:ind w:firstLine="640" w:firstLineChars="200"/>
        <w:rPr>
          <w:rFonts w:ascii="黑体" w:hAnsi="黑体" w:eastAsia="黑体" w:cs="黑体"/>
          <w:bCs/>
          <w:snapToGrid w:val="0"/>
          <w:sz w:val="32"/>
          <w:szCs w:val="32"/>
        </w:rPr>
      </w:pPr>
      <w:r>
        <w:rPr>
          <w:rFonts w:hint="eastAsia" w:ascii="黑体" w:hAnsi="黑体" w:eastAsia="黑体" w:cs="黑体"/>
          <w:bCs/>
          <w:snapToGrid w:val="0"/>
          <w:sz w:val="32"/>
          <w:szCs w:val="32"/>
        </w:rPr>
        <w:t>四、保障措施</w:t>
      </w:r>
    </w:p>
    <w:p>
      <w:pPr>
        <w:pStyle w:val="3"/>
        <w:autoSpaceDE w:val="0"/>
        <w:autoSpaceDN w:val="0"/>
        <w:adjustRightInd w:val="0"/>
        <w:snapToGrid w:val="0"/>
        <w:spacing w:line="580" w:lineRule="atLeast"/>
        <w:ind w:left="0" w:firstLine="614" w:firstLineChars="156"/>
        <w:rPr>
          <w:rFonts w:hint="eastAsia" w:hAnsi="Times New Roman" w:cs="Times New Roman"/>
          <w:kern w:val="0"/>
          <w:sz w:val="32"/>
          <w:szCs w:val="32"/>
          <w:lang w:val="en-US" w:bidi="ar-SA"/>
        </w:rPr>
      </w:pPr>
      <w:r>
        <w:rPr>
          <w:rFonts w:hint="eastAsia" w:ascii="方正楷体_GBK" w:hAnsi="楷体" w:eastAsia="方正楷体_GBK" w:cs="楷体"/>
          <w:spacing w:val="21"/>
          <w:w w:val="110"/>
          <w:sz w:val="32"/>
          <w:szCs w:val="32"/>
        </w:rPr>
        <w:t>（一）统一思想，提高认识。</w:t>
      </w:r>
      <w:r>
        <w:rPr>
          <w:rFonts w:hint="eastAsia" w:hAnsi="Times New Roman" w:cs="Times New Roman"/>
          <w:kern w:val="0"/>
          <w:sz w:val="32"/>
          <w:szCs w:val="32"/>
          <w:lang w:val="en-US" w:bidi="ar-SA"/>
        </w:rPr>
        <w:t>水价改革作为推进全域现代化水网建设、实现“十四五”水安全保障规划目标的重要内容和关键措施，是加快水利建设管理体制机制创新、破解水利改革发展瓶颈、增强水利发展活力的根本途径。各级、各部门要站在全局和战略的高度，充分认识其重要性和紧迫性，进一步统一思想，深化认识，加强组织领导，确保改革工作顺利推进。</w:t>
      </w:r>
    </w:p>
    <w:p>
      <w:pPr>
        <w:pStyle w:val="3"/>
        <w:autoSpaceDE w:val="0"/>
        <w:autoSpaceDN w:val="0"/>
        <w:adjustRightInd w:val="0"/>
        <w:snapToGrid w:val="0"/>
        <w:spacing w:line="580" w:lineRule="atLeast"/>
        <w:ind w:firstLine="640" w:firstLineChars="200"/>
        <w:rPr>
          <w:rFonts w:hint="eastAsia" w:hAnsi="Times New Roman" w:cs="Times New Roman"/>
          <w:kern w:val="0"/>
          <w:sz w:val="32"/>
          <w:szCs w:val="32"/>
        </w:rPr>
      </w:pPr>
      <w:r>
        <w:rPr>
          <w:rFonts w:hint="eastAsia" w:ascii="方正楷体_GBK" w:hAnsi="楷体" w:eastAsia="方正楷体_GBK" w:cs="楷体"/>
          <w:kern w:val="0"/>
          <w:sz w:val="32"/>
          <w:szCs w:val="32"/>
          <w:lang w:val="en-US" w:bidi="ar-SA"/>
        </w:rPr>
        <w:t>（二）压实责任，形成合力。</w:t>
      </w:r>
      <w:r>
        <w:rPr>
          <w:rFonts w:hint="eastAsia" w:hAnsi="Times New Roman" w:cs="Times New Roman"/>
          <w:kern w:val="0"/>
          <w:sz w:val="32"/>
          <w:szCs w:val="32"/>
          <w:lang w:val="en-US" w:bidi="ar-SA"/>
        </w:rPr>
        <w:t>市政府对全市水利工程供水价格改革工作负总责，加强统筹协调，强化督查督办，确保改革顺利推进。各县（市、区）政府负责辖区内水价改革工作，严格按要求制定改革方案，健全工作机制，强化资源整合，确保改革落到实处、取得实效。</w:t>
      </w:r>
      <w:r>
        <w:rPr>
          <w:rFonts w:hint="eastAsia" w:hAnsi="Times New Roman" w:cs="Times New Roman"/>
          <w:kern w:val="0"/>
          <w:sz w:val="32"/>
          <w:szCs w:val="32"/>
        </w:rPr>
        <w:t>发展改革部门负责水价改革的综合协调和牵头组织，抓好</w:t>
      </w:r>
      <w:r>
        <w:rPr>
          <w:rFonts w:hint="eastAsia" w:hAnsi="Times New Roman" w:cs="Times New Roman"/>
          <w:kern w:val="0"/>
          <w:sz w:val="32"/>
          <w:szCs w:val="32"/>
          <w:lang w:eastAsia="zh-CN"/>
        </w:rPr>
        <w:t>政府定价、政府指导价范围内的</w:t>
      </w:r>
      <w:r>
        <w:rPr>
          <w:rFonts w:hint="eastAsia" w:hAnsi="Times New Roman" w:cs="Times New Roman"/>
          <w:kern w:val="0"/>
          <w:sz w:val="32"/>
          <w:szCs w:val="32"/>
        </w:rPr>
        <w:t>成本监审、价格听证、</w:t>
      </w:r>
      <w:r>
        <w:rPr>
          <w:rFonts w:hint="eastAsia" w:hAnsi="Times New Roman" w:cs="Times New Roman"/>
          <w:kern w:val="0"/>
          <w:sz w:val="32"/>
          <w:szCs w:val="32"/>
          <w:lang w:eastAsia="zh-CN"/>
        </w:rPr>
        <w:t>价格制定</w:t>
      </w:r>
      <w:r>
        <w:rPr>
          <w:rFonts w:hint="eastAsia" w:hAnsi="Times New Roman" w:cs="Times New Roman"/>
          <w:kern w:val="0"/>
          <w:sz w:val="32"/>
          <w:szCs w:val="32"/>
        </w:rPr>
        <w:t>等</w:t>
      </w:r>
      <w:r>
        <w:rPr>
          <w:rFonts w:hint="eastAsia" w:hAnsi="Times New Roman" w:cs="Times New Roman"/>
          <w:kern w:val="0"/>
          <w:sz w:val="32"/>
          <w:szCs w:val="32"/>
          <w:lang w:eastAsia="zh-CN"/>
        </w:rPr>
        <w:t>具体</w:t>
      </w:r>
      <w:r>
        <w:rPr>
          <w:rFonts w:hint="eastAsia" w:hAnsi="Times New Roman" w:cs="Times New Roman"/>
          <w:kern w:val="0"/>
          <w:sz w:val="32"/>
          <w:szCs w:val="32"/>
        </w:rPr>
        <w:t>工作。水利部门负责加强水利基础设施建设，深化管理体制机制改革，强化最严格水资源管理，</w:t>
      </w:r>
      <w:r>
        <w:rPr>
          <w:rFonts w:hint="eastAsia" w:hAnsi="Times New Roman" w:cs="Times New Roman"/>
          <w:kern w:val="0"/>
          <w:sz w:val="32"/>
          <w:szCs w:val="32"/>
          <w:lang w:eastAsia="zh-CN"/>
        </w:rPr>
        <w:t>加强</w:t>
      </w:r>
      <w:r>
        <w:rPr>
          <w:rFonts w:hint="eastAsia" w:hAnsi="Times New Roman" w:cs="Times New Roman"/>
          <w:kern w:val="0"/>
          <w:sz w:val="32"/>
          <w:szCs w:val="32"/>
        </w:rPr>
        <w:t>基层水利服务体系建设等工作。财政部门负责资金调度，</w:t>
      </w:r>
      <w:r>
        <w:rPr>
          <w:rFonts w:hint="eastAsia" w:hAnsi="Times New Roman" w:cs="Times New Roman"/>
          <w:kern w:val="0"/>
          <w:sz w:val="32"/>
          <w:szCs w:val="32"/>
          <w:lang w:eastAsia="zh-CN"/>
        </w:rPr>
        <w:t>加强涉水</w:t>
      </w:r>
      <w:r>
        <w:rPr>
          <w:rFonts w:hint="eastAsia" w:hAnsi="Times New Roman" w:cs="Times New Roman"/>
          <w:sz w:val="32"/>
          <w:szCs w:val="32"/>
        </w:rPr>
        <w:t>资金统筹使用，多渠道</w:t>
      </w:r>
      <w:r>
        <w:rPr>
          <w:rFonts w:hint="eastAsia" w:hAnsi="Times New Roman" w:cs="Times New Roman"/>
          <w:kern w:val="0"/>
          <w:sz w:val="32"/>
          <w:szCs w:val="32"/>
        </w:rPr>
        <w:t>筹集改革工作经费、精准补贴和节水奖励资金。农业农村部门负责加强农田水利设施建设和管理，推进农业产业结构调整，推广农业节水措施，为农业水价综合改革创造条件。市场监管部门负责用水综合定额核定，加强计量设施质量和精准用水监督。其他涉及部门要按照职能职责，全力配合做好水价改革各项工作。</w:t>
      </w:r>
    </w:p>
    <w:p>
      <w:pPr>
        <w:snapToGrid w:val="0"/>
        <w:spacing w:line="580" w:lineRule="atLeast"/>
        <w:ind w:firstLine="744" w:firstLineChars="189"/>
        <w:rPr>
          <w:rFonts w:hint="eastAsia" w:ascii="方正仿宋_GBK" w:hAnsi="Times New Roman" w:eastAsia="方正仿宋_GBK" w:cs="Times New Roman"/>
          <w:sz w:val="32"/>
          <w:szCs w:val="32"/>
        </w:rPr>
      </w:pPr>
      <w:r>
        <w:rPr>
          <w:rFonts w:hint="eastAsia" w:ascii="方正楷体_GBK" w:hAnsi="楷体" w:eastAsia="方正楷体_GBK" w:cs="楷体"/>
          <w:spacing w:val="21"/>
          <w:w w:val="110"/>
          <w:sz w:val="32"/>
          <w:szCs w:val="32"/>
        </w:rPr>
        <w:t>（三）加强宣传，营造氛围。</w:t>
      </w:r>
      <w:r>
        <w:rPr>
          <w:rFonts w:hint="eastAsia" w:ascii="方正仿宋_GBK" w:hAnsi="Times New Roman" w:eastAsia="方正仿宋_GBK" w:cs="Times New Roman"/>
          <w:sz w:val="32"/>
          <w:szCs w:val="32"/>
        </w:rPr>
        <w:t>各</w:t>
      </w:r>
      <w:r>
        <w:rPr>
          <w:rFonts w:hint="eastAsia" w:ascii="方正仿宋_GBK" w:hAnsi="Times New Roman" w:eastAsia="方正仿宋_GBK" w:cs="Times New Roman"/>
          <w:sz w:val="32"/>
          <w:szCs w:val="32"/>
          <w:lang w:val="en-US" w:eastAsia="zh-CN"/>
        </w:rPr>
        <w:t>县（市、区）</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eastAsia="zh-CN"/>
        </w:rPr>
        <w:t>各</w:t>
      </w:r>
      <w:r>
        <w:rPr>
          <w:rFonts w:hint="eastAsia" w:ascii="方正仿宋_GBK" w:hAnsi="Times New Roman" w:eastAsia="方正仿宋_GBK" w:cs="Times New Roman"/>
          <w:sz w:val="32"/>
          <w:szCs w:val="32"/>
        </w:rPr>
        <w:t>有关部门要认真做好水价改革的政策解读和舆论引导工作，充分利用报刊、广播、电视等传统媒体和网站、微博、微信等新媒体，多渠道、多方式开展宣传。要进一步强化水情教育，引导用水主体树立节水观念和节水意识，增强有偿用水意识和节约用水的自觉性，为推进水价改革营造良好环境。要围绕推进水价改革开展专项业务培训，切实提高工作人员的思想认识和业务水平，确保水价改革政策落到实处。</w:t>
      </w:r>
    </w:p>
    <w:p>
      <w:pPr>
        <w:pStyle w:val="3"/>
        <w:autoSpaceDE w:val="0"/>
        <w:autoSpaceDN w:val="0"/>
        <w:adjustRightInd w:val="0"/>
        <w:snapToGrid w:val="0"/>
        <w:spacing w:line="580" w:lineRule="atLeast"/>
        <w:ind w:left="0" w:firstLine="788" w:firstLineChars="200"/>
        <w:rPr>
          <w:rFonts w:hint="eastAsia" w:hAnsi="Times New Roman" w:cs="Times New Roman"/>
          <w:sz w:val="32"/>
          <w:szCs w:val="32"/>
        </w:rPr>
      </w:pPr>
      <w:r>
        <w:rPr>
          <w:rFonts w:hint="eastAsia" w:ascii="方正楷体_GBK" w:hAnsi="楷体" w:eastAsia="方正楷体_GBK" w:cs="楷体"/>
          <w:spacing w:val="21"/>
          <w:w w:val="110"/>
          <w:sz w:val="32"/>
          <w:szCs w:val="32"/>
        </w:rPr>
        <w:t>（四）严格督导，确保实效。</w:t>
      </w:r>
      <w:r>
        <w:rPr>
          <w:rFonts w:hint="eastAsia" w:hAnsi="Times New Roman" w:cs="Times New Roman"/>
          <w:sz w:val="32"/>
          <w:szCs w:val="32"/>
          <w:lang w:eastAsia="zh-CN"/>
        </w:rPr>
        <w:t>各地</w:t>
      </w:r>
      <w:r>
        <w:rPr>
          <w:rFonts w:hint="eastAsia" w:hAnsi="Times New Roman" w:cs="Times New Roman"/>
          <w:sz w:val="32"/>
          <w:szCs w:val="32"/>
        </w:rPr>
        <w:t>要建立健全</w:t>
      </w:r>
      <w:r>
        <w:rPr>
          <w:rFonts w:hint="eastAsia" w:hAnsi="Times New Roman" w:cs="Times New Roman"/>
          <w:sz w:val="32"/>
          <w:szCs w:val="32"/>
          <w:lang w:val="en-US"/>
        </w:rPr>
        <w:t>水价</w:t>
      </w:r>
      <w:r>
        <w:rPr>
          <w:rFonts w:hint="eastAsia" w:hAnsi="Times New Roman" w:cs="Times New Roman"/>
          <w:sz w:val="32"/>
          <w:szCs w:val="32"/>
        </w:rPr>
        <w:t>改革监督检查和绩效考核机制，定期或不定期采取检查、抽查等方式进行专项督导，定期通报各地工作进展情况，推动水价改革各项任务落到实处。要建立成本公开和水价公示制度，对政府制定的水价，一律不准擅自加收任何费用，确保水费征收公开、透明。要切实加强水费的使用监督，确保水费合理用于供水工程运行维护管理开支。要严格对精准补贴和节水奖励资金使用情况进行监督检查，坚决杜绝乱挪乱支。</w:t>
      </w:r>
    </w:p>
    <w:p>
      <w:pPr>
        <w:pStyle w:val="3"/>
        <w:autoSpaceDE w:val="0"/>
        <w:autoSpaceDN w:val="0"/>
        <w:adjustRightInd w:val="0"/>
        <w:snapToGrid w:val="0"/>
        <w:spacing w:line="580" w:lineRule="atLeast"/>
        <w:ind w:left="0" w:firstLine="640" w:firstLineChars="200"/>
        <w:rPr>
          <w:rFonts w:hint="default" w:hAnsi="Times New Roman" w:cs="Times New Roman"/>
          <w:sz w:val="32"/>
          <w:szCs w:val="32"/>
          <w:lang w:val="en-US" w:eastAsia="zh-CN"/>
        </w:rPr>
      </w:pPr>
      <w:r>
        <w:rPr>
          <w:rFonts w:hint="eastAsia" w:hAnsi="Times New Roman" w:cs="Times New Roman"/>
          <w:sz w:val="32"/>
          <w:szCs w:val="32"/>
        </w:rPr>
        <w:t>各县（市、区）人民政府要按照本实施意见要求，结合实际制定深化水利工程供水价格改革具体的实施方案，切实抓好组织实施</w:t>
      </w:r>
      <w:r>
        <w:rPr>
          <w:rFonts w:hint="eastAsia" w:hAnsi="Times New Roman" w:cs="Times New Roman"/>
          <w:sz w:val="32"/>
          <w:szCs w:val="32"/>
          <w:lang w:val="en-US"/>
        </w:rPr>
        <w:t>。</w:t>
      </w:r>
    </w:p>
    <w:sectPr>
      <w:footerReference r:id="rId3" w:type="default"/>
      <w:pgSz w:w="11906" w:h="16838"/>
      <w:pgMar w:top="187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4BD6"/>
    <w:rsid w:val="00012D94"/>
    <w:rsid w:val="002C3372"/>
    <w:rsid w:val="003D4D2E"/>
    <w:rsid w:val="00525043"/>
    <w:rsid w:val="00537631"/>
    <w:rsid w:val="00827FB7"/>
    <w:rsid w:val="008F199B"/>
    <w:rsid w:val="00A2013E"/>
    <w:rsid w:val="00BB72D6"/>
    <w:rsid w:val="00BC79BA"/>
    <w:rsid w:val="00C537D3"/>
    <w:rsid w:val="00C93235"/>
    <w:rsid w:val="00D153B9"/>
    <w:rsid w:val="00DB240C"/>
    <w:rsid w:val="00DF4BD6"/>
    <w:rsid w:val="00EB30B7"/>
    <w:rsid w:val="01390BCC"/>
    <w:rsid w:val="01557140"/>
    <w:rsid w:val="01730700"/>
    <w:rsid w:val="01E22CBC"/>
    <w:rsid w:val="01E37900"/>
    <w:rsid w:val="02061FAC"/>
    <w:rsid w:val="021B3B4F"/>
    <w:rsid w:val="021C2FBB"/>
    <w:rsid w:val="023F4173"/>
    <w:rsid w:val="025E5A39"/>
    <w:rsid w:val="026200BD"/>
    <w:rsid w:val="027E460E"/>
    <w:rsid w:val="02F342FC"/>
    <w:rsid w:val="0330763F"/>
    <w:rsid w:val="033561BF"/>
    <w:rsid w:val="039743F6"/>
    <w:rsid w:val="03B043B0"/>
    <w:rsid w:val="04156C23"/>
    <w:rsid w:val="04214C66"/>
    <w:rsid w:val="042B4C9F"/>
    <w:rsid w:val="044544C2"/>
    <w:rsid w:val="0510071A"/>
    <w:rsid w:val="059D1A08"/>
    <w:rsid w:val="05B9017C"/>
    <w:rsid w:val="0649328F"/>
    <w:rsid w:val="0673534F"/>
    <w:rsid w:val="06777316"/>
    <w:rsid w:val="06B4007D"/>
    <w:rsid w:val="06C33A60"/>
    <w:rsid w:val="071D72E1"/>
    <w:rsid w:val="075C5B49"/>
    <w:rsid w:val="07816805"/>
    <w:rsid w:val="07B343E6"/>
    <w:rsid w:val="07CE08C8"/>
    <w:rsid w:val="07D95D6C"/>
    <w:rsid w:val="07EA40A2"/>
    <w:rsid w:val="07EB4A83"/>
    <w:rsid w:val="08020517"/>
    <w:rsid w:val="0820663E"/>
    <w:rsid w:val="08302C9B"/>
    <w:rsid w:val="083E0096"/>
    <w:rsid w:val="085B36E0"/>
    <w:rsid w:val="08906B27"/>
    <w:rsid w:val="08DC6917"/>
    <w:rsid w:val="09194D2C"/>
    <w:rsid w:val="0935096C"/>
    <w:rsid w:val="098A6E7E"/>
    <w:rsid w:val="09B60A5D"/>
    <w:rsid w:val="09BE18C5"/>
    <w:rsid w:val="09D06309"/>
    <w:rsid w:val="09FF1A71"/>
    <w:rsid w:val="0A0D0E29"/>
    <w:rsid w:val="0A2B1B1E"/>
    <w:rsid w:val="0A6732F8"/>
    <w:rsid w:val="0A754167"/>
    <w:rsid w:val="0A851C58"/>
    <w:rsid w:val="0A9B063B"/>
    <w:rsid w:val="0A9E174C"/>
    <w:rsid w:val="0AAD7446"/>
    <w:rsid w:val="0AAE60A9"/>
    <w:rsid w:val="0B1027BE"/>
    <w:rsid w:val="0B1D36E1"/>
    <w:rsid w:val="0B91388A"/>
    <w:rsid w:val="0C136A16"/>
    <w:rsid w:val="0C2920CE"/>
    <w:rsid w:val="0CE61A2A"/>
    <w:rsid w:val="0D3863B5"/>
    <w:rsid w:val="0D8E7DDC"/>
    <w:rsid w:val="0DCC4893"/>
    <w:rsid w:val="0DFD6656"/>
    <w:rsid w:val="0E430BFC"/>
    <w:rsid w:val="0E5E4B36"/>
    <w:rsid w:val="0E872CD6"/>
    <w:rsid w:val="0EA33F7D"/>
    <w:rsid w:val="0EAD32AF"/>
    <w:rsid w:val="0F1709BE"/>
    <w:rsid w:val="0F397639"/>
    <w:rsid w:val="0F426306"/>
    <w:rsid w:val="0F565A64"/>
    <w:rsid w:val="0F6D1DC5"/>
    <w:rsid w:val="0F7C7EA7"/>
    <w:rsid w:val="0FF460DB"/>
    <w:rsid w:val="106A3824"/>
    <w:rsid w:val="10C27A11"/>
    <w:rsid w:val="113B5316"/>
    <w:rsid w:val="11537945"/>
    <w:rsid w:val="12127379"/>
    <w:rsid w:val="12403F05"/>
    <w:rsid w:val="1248613B"/>
    <w:rsid w:val="126610E7"/>
    <w:rsid w:val="1286427B"/>
    <w:rsid w:val="12C940E8"/>
    <w:rsid w:val="12D41BE9"/>
    <w:rsid w:val="12DC1523"/>
    <w:rsid w:val="131F32E0"/>
    <w:rsid w:val="13233C40"/>
    <w:rsid w:val="13650044"/>
    <w:rsid w:val="13BC722B"/>
    <w:rsid w:val="13E9193C"/>
    <w:rsid w:val="149B7AB2"/>
    <w:rsid w:val="14A33BB0"/>
    <w:rsid w:val="14A418F7"/>
    <w:rsid w:val="14AA1AC3"/>
    <w:rsid w:val="150A30D7"/>
    <w:rsid w:val="151204C7"/>
    <w:rsid w:val="15222495"/>
    <w:rsid w:val="15253324"/>
    <w:rsid w:val="15905EB4"/>
    <w:rsid w:val="159E54AA"/>
    <w:rsid w:val="16310C81"/>
    <w:rsid w:val="16427B93"/>
    <w:rsid w:val="167458FA"/>
    <w:rsid w:val="16965741"/>
    <w:rsid w:val="169E240A"/>
    <w:rsid w:val="16C625E6"/>
    <w:rsid w:val="170E6B3C"/>
    <w:rsid w:val="17134589"/>
    <w:rsid w:val="171879BB"/>
    <w:rsid w:val="171F506E"/>
    <w:rsid w:val="17387E5D"/>
    <w:rsid w:val="17937CAD"/>
    <w:rsid w:val="17B63C37"/>
    <w:rsid w:val="17BF52DD"/>
    <w:rsid w:val="17CE7B56"/>
    <w:rsid w:val="18410252"/>
    <w:rsid w:val="185134AE"/>
    <w:rsid w:val="18545244"/>
    <w:rsid w:val="187836FF"/>
    <w:rsid w:val="1898009C"/>
    <w:rsid w:val="18AA5B97"/>
    <w:rsid w:val="18B96D13"/>
    <w:rsid w:val="18B971A9"/>
    <w:rsid w:val="18E336FE"/>
    <w:rsid w:val="190F7D67"/>
    <w:rsid w:val="192153EA"/>
    <w:rsid w:val="192F5D76"/>
    <w:rsid w:val="196C1FB4"/>
    <w:rsid w:val="19783BBC"/>
    <w:rsid w:val="199A4153"/>
    <w:rsid w:val="19AE6384"/>
    <w:rsid w:val="19BA11EE"/>
    <w:rsid w:val="19F2553A"/>
    <w:rsid w:val="19F717F1"/>
    <w:rsid w:val="1A03024A"/>
    <w:rsid w:val="1A100D69"/>
    <w:rsid w:val="1A2D2DC9"/>
    <w:rsid w:val="1A767930"/>
    <w:rsid w:val="1AA167F8"/>
    <w:rsid w:val="1AAC4568"/>
    <w:rsid w:val="1AC10E3B"/>
    <w:rsid w:val="1B43211C"/>
    <w:rsid w:val="1B5078A0"/>
    <w:rsid w:val="1B8E6D46"/>
    <w:rsid w:val="1BA15CC2"/>
    <w:rsid w:val="1BB04658"/>
    <w:rsid w:val="1BB445AF"/>
    <w:rsid w:val="1BDA29FD"/>
    <w:rsid w:val="1C005073"/>
    <w:rsid w:val="1C0307B0"/>
    <w:rsid w:val="1C2A36FA"/>
    <w:rsid w:val="1CA26930"/>
    <w:rsid w:val="1CC86DBE"/>
    <w:rsid w:val="1CD076DA"/>
    <w:rsid w:val="1D02424E"/>
    <w:rsid w:val="1D341B0F"/>
    <w:rsid w:val="1D3A060C"/>
    <w:rsid w:val="1E3117D9"/>
    <w:rsid w:val="1E5306BA"/>
    <w:rsid w:val="1E842DC3"/>
    <w:rsid w:val="1E9E26A4"/>
    <w:rsid w:val="1EC973F2"/>
    <w:rsid w:val="1EEA71CA"/>
    <w:rsid w:val="1F1668B5"/>
    <w:rsid w:val="1F675410"/>
    <w:rsid w:val="1FBD5245"/>
    <w:rsid w:val="1FFD40B1"/>
    <w:rsid w:val="20122A14"/>
    <w:rsid w:val="20326566"/>
    <w:rsid w:val="20465EBB"/>
    <w:rsid w:val="20577EA8"/>
    <w:rsid w:val="207C0291"/>
    <w:rsid w:val="20A51EC9"/>
    <w:rsid w:val="20C401C0"/>
    <w:rsid w:val="20F023DD"/>
    <w:rsid w:val="21546D56"/>
    <w:rsid w:val="219A431C"/>
    <w:rsid w:val="220514E7"/>
    <w:rsid w:val="220D5DBC"/>
    <w:rsid w:val="22125216"/>
    <w:rsid w:val="228C6ED3"/>
    <w:rsid w:val="22D15A46"/>
    <w:rsid w:val="22DE4E47"/>
    <w:rsid w:val="230C613A"/>
    <w:rsid w:val="23312404"/>
    <w:rsid w:val="23497B13"/>
    <w:rsid w:val="23855496"/>
    <w:rsid w:val="239A2877"/>
    <w:rsid w:val="23C3315C"/>
    <w:rsid w:val="23E73BCC"/>
    <w:rsid w:val="23FC0B26"/>
    <w:rsid w:val="242C6F2D"/>
    <w:rsid w:val="2478273C"/>
    <w:rsid w:val="247A740B"/>
    <w:rsid w:val="24B226FE"/>
    <w:rsid w:val="24CD733F"/>
    <w:rsid w:val="25AC6E08"/>
    <w:rsid w:val="26761DD2"/>
    <w:rsid w:val="26791487"/>
    <w:rsid w:val="26904995"/>
    <w:rsid w:val="26B66D9A"/>
    <w:rsid w:val="26BD070A"/>
    <w:rsid w:val="26FC5309"/>
    <w:rsid w:val="273258A3"/>
    <w:rsid w:val="2733155E"/>
    <w:rsid w:val="273A5DEE"/>
    <w:rsid w:val="27482AB0"/>
    <w:rsid w:val="27924387"/>
    <w:rsid w:val="279B5B9A"/>
    <w:rsid w:val="28180557"/>
    <w:rsid w:val="286E143B"/>
    <w:rsid w:val="28933E44"/>
    <w:rsid w:val="28F11676"/>
    <w:rsid w:val="298450FE"/>
    <w:rsid w:val="299A0E12"/>
    <w:rsid w:val="29B909E1"/>
    <w:rsid w:val="29C97BF0"/>
    <w:rsid w:val="29D208E6"/>
    <w:rsid w:val="2A441C4A"/>
    <w:rsid w:val="2A535F7F"/>
    <w:rsid w:val="2A80195C"/>
    <w:rsid w:val="2AA31E92"/>
    <w:rsid w:val="2AAD672B"/>
    <w:rsid w:val="2AE119F9"/>
    <w:rsid w:val="2B5D7A6D"/>
    <w:rsid w:val="2B5F32F7"/>
    <w:rsid w:val="2B75262B"/>
    <w:rsid w:val="2BD17FF8"/>
    <w:rsid w:val="2BF39D21"/>
    <w:rsid w:val="2C760EE8"/>
    <w:rsid w:val="2CD603B9"/>
    <w:rsid w:val="2D103979"/>
    <w:rsid w:val="2D3948C6"/>
    <w:rsid w:val="2D4A1092"/>
    <w:rsid w:val="2D69480A"/>
    <w:rsid w:val="2D6E34F2"/>
    <w:rsid w:val="2E8F7428"/>
    <w:rsid w:val="2F274233"/>
    <w:rsid w:val="2F2742B5"/>
    <w:rsid w:val="2F4741CB"/>
    <w:rsid w:val="2F6661CE"/>
    <w:rsid w:val="2F6A28CE"/>
    <w:rsid w:val="2F8D5C04"/>
    <w:rsid w:val="2FCA222C"/>
    <w:rsid w:val="2FEC5A58"/>
    <w:rsid w:val="30170FA2"/>
    <w:rsid w:val="30357EC0"/>
    <w:rsid w:val="30582B41"/>
    <w:rsid w:val="30594CC4"/>
    <w:rsid w:val="30B54A4A"/>
    <w:rsid w:val="311B5ED8"/>
    <w:rsid w:val="316F135E"/>
    <w:rsid w:val="31C9497F"/>
    <w:rsid w:val="32106954"/>
    <w:rsid w:val="32224A4C"/>
    <w:rsid w:val="323015BC"/>
    <w:rsid w:val="323A4513"/>
    <w:rsid w:val="332968FA"/>
    <w:rsid w:val="335519A8"/>
    <w:rsid w:val="3363450D"/>
    <w:rsid w:val="33DA517F"/>
    <w:rsid w:val="34104984"/>
    <w:rsid w:val="34153AA0"/>
    <w:rsid w:val="3423740E"/>
    <w:rsid w:val="343021B3"/>
    <w:rsid w:val="355E5A52"/>
    <w:rsid w:val="357C19FD"/>
    <w:rsid w:val="35927A59"/>
    <w:rsid w:val="35B65B9A"/>
    <w:rsid w:val="35FE42EF"/>
    <w:rsid w:val="3661441F"/>
    <w:rsid w:val="366A6235"/>
    <w:rsid w:val="367229BC"/>
    <w:rsid w:val="36B408E6"/>
    <w:rsid w:val="36E3350C"/>
    <w:rsid w:val="372016E1"/>
    <w:rsid w:val="37907830"/>
    <w:rsid w:val="379945B3"/>
    <w:rsid w:val="37D95CD2"/>
    <w:rsid w:val="37EA2655"/>
    <w:rsid w:val="381939D6"/>
    <w:rsid w:val="382431F1"/>
    <w:rsid w:val="38281844"/>
    <w:rsid w:val="388F15F6"/>
    <w:rsid w:val="38961164"/>
    <w:rsid w:val="38CA436C"/>
    <w:rsid w:val="39FF741F"/>
    <w:rsid w:val="3A1B11C1"/>
    <w:rsid w:val="3A5514E0"/>
    <w:rsid w:val="3A5620F6"/>
    <w:rsid w:val="3A795681"/>
    <w:rsid w:val="3A843D66"/>
    <w:rsid w:val="3A8B3A62"/>
    <w:rsid w:val="3ACC2907"/>
    <w:rsid w:val="3AD056CE"/>
    <w:rsid w:val="3AE062A9"/>
    <w:rsid w:val="3AEF3BD1"/>
    <w:rsid w:val="3AF65968"/>
    <w:rsid w:val="3AFC37B5"/>
    <w:rsid w:val="3B3C2453"/>
    <w:rsid w:val="3B514B37"/>
    <w:rsid w:val="3BB10F2B"/>
    <w:rsid w:val="3C2E5194"/>
    <w:rsid w:val="3CD275AB"/>
    <w:rsid w:val="3D811382"/>
    <w:rsid w:val="3DB16DD1"/>
    <w:rsid w:val="3DF463D8"/>
    <w:rsid w:val="3DFC7389"/>
    <w:rsid w:val="3E171F60"/>
    <w:rsid w:val="3E570C13"/>
    <w:rsid w:val="3E835448"/>
    <w:rsid w:val="3F5A3FE5"/>
    <w:rsid w:val="3FD02B0A"/>
    <w:rsid w:val="40205D51"/>
    <w:rsid w:val="405D77AE"/>
    <w:rsid w:val="40873511"/>
    <w:rsid w:val="411D0B88"/>
    <w:rsid w:val="412D3520"/>
    <w:rsid w:val="41A336FD"/>
    <w:rsid w:val="41BF16B6"/>
    <w:rsid w:val="41C526B6"/>
    <w:rsid w:val="4219115B"/>
    <w:rsid w:val="4223450F"/>
    <w:rsid w:val="422536E8"/>
    <w:rsid w:val="42CA4E77"/>
    <w:rsid w:val="42D124AC"/>
    <w:rsid w:val="4338623E"/>
    <w:rsid w:val="43600792"/>
    <w:rsid w:val="438F48E9"/>
    <w:rsid w:val="43D40E87"/>
    <w:rsid w:val="444C00DE"/>
    <w:rsid w:val="445C310E"/>
    <w:rsid w:val="44DB6FAC"/>
    <w:rsid w:val="44EB339D"/>
    <w:rsid w:val="45243489"/>
    <w:rsid w:val="45A33D64"/>
    <w:rsid w:val="462471F7"/>
    <w:rsid w:val="466165B6"/>
    <w:rsid w:val="467B15A8"/>
    <w:rsid w:val="4685575C"/>
    <w:rsid w:val="46B54CD4"/>
    <w:rsid w:val="46D3114E"/>
    <w:rsid w:val="47211C85"/>
    <w:rsid w:val="47290E1D"/>
    <w:rsid w:val="47512352"/>
    <w:rsid w:val="47547C50"/>
    <w:rsid w:val="47F26F7E"/>
    <w:rsid w:val="481B6569"/>
    <w:rsid w:val="482F19C7"/>
    <w:rsid w:val="48465F80"/>
    <w:rsid w:val="485C525E"/>
    <w:rsid w:val="487B1538"/>
    <w:rsid w:val="48C667EC"/>
    <w:rsid w:val="49672550"/>
    <w:rsid w:val="497F2D24"/>
    <w:rsid w:val="49E234E5"/>
    <w:rsid w:val="49EB50CF"/>
    <w:rsid w:val="49F41AFC"/>
    <w:rsid w:val="4A2F3EF1"/>
    <w:rsid w:val="4A5474CF"/>
    <w:rsid w:val="4A8B1374"/>
    <w:rsid w:val="4AA654AA"/>
    <w:rsid w:val="4AC80F2B"/>
    <w:rsid w:val="4AE83808"/>
    <w:rsid w:val="4AFD0834"/>
    <w:rsid w:val="4B1852AA"/>
    <w:rsid w:val="4B484F7B"/>
    <w:rsid w:val="4B623047"/>
    <w:rsid w:val="4B63946E"/>
    <w:rsid w:val="4B84717C"/>
    <w:rsid w:val="4BE57644"/>
    <w:rsid w:val="4BF95F5B"/>
    <w:rsid w:val="4C874A4F"/>
    <w:rsid w:val="4D2D1FA5"/>
    <w:rsid w:val="4D7176DF"/>
    <w:rsid w:val="4D855CE3"/>
    <w:rsid w:val="4DC8756F"/>
    <w:rsid w:val="4DC9387A"/>
    <w:rsid w:val="4DEF36F4"/>
    <w:rsid w:val="4E102BEB"/>
    <w:rsid w:val="4E2D4152"/>
    <w:rsid w:val="4EC25D6B"/>
    <w:rsid w:val="4F4C7C20"/>
    <w:rsid w:val="4FFA6CE9"/>
    <w:rsid w:val="50803E74"/>
    <w:rsid w:val="50D10F57"/>
    <w:rsid w:val="511F2947"/>
    <w:rsid w:val="51315EEA"/>
    <w:rsid w:val="515722BB"/>
    <w:rsid w:val="516E1926"/>
    <w:rsid w:val="51915730"/>
    <w:rsid w:val="51EC1212"/>
    <w:rsid w:val="522D118B"/>
    <w:rsid w:val="52721E9A"/>
    <w:rsid w:val="52E556FB"/>
    <w:rsid w:val="52F6077A"/>
    <w:rsid w:val="530F291A"/>
    <w:rsid w:val="535A0377"/>
    <w:rsid w:val="53766FC6"/>
    <w:rsid w:val="537D3A18"/>
    <w:rsid w:val="53C46F7C"/>
    <w:rsid w:val="53F144F1"/>
    <w:rsid w:val="53F8601D"/>
    <w:rsid w:val="548727F5"/>
    <w:rsid w:val="54C74430"/>
    <w:rsid w:val="55105639"/>
    <w:rsid w:val="55A52A00"/>
    <w:rsid w:val="55C54A87"/>
    <w:rsid w:val="55F0492E"/>
    <w:rsid w:val="561C5C9F"/>
    <w:rsid w:val="563F16DF"/>
    <w:rsid w:val="566F4093"/>
    <w:rsid w:val="56953A64"/>
    <w:rsid w:val="56B71647"/>
    <w:rsid w:val="56FC24F3"/>
    <w:rsid w:val="57121C6A"/>
    <w:rsid w:val="57266AB7"/>
    <w:rsid w:val="573C3F87"/>
    <w:rsid w:val="574E0D66"/>
    <w:rsid w:val="577D5292"/>
    <w:rsid w:val="57E62CF0"/>
    <w:rsid w:val="57EC00E5"/>
    <w:rsid w:val="589A4DE8"/>
    <w:rsid w:val="58D17393"/>
    <w:rsid w:val="58D40895"/>
    <w:rsid w:val="58ED3905"/>
    <w:rsid w:val="592558D6"/>
    <w:rsid w:val="5967664E"/>
    <w:rsid w:val="59710590"/>
    <w:rsid w:val="59865C65"/>
    <w:rsid w:val="59906909"/>
    <w:rsid w:val="59937A07"/>
    <w:rsid w:val="599436F5"/>
    <w:rsid w:val="59FA3DB4"/>
    <w:rsid w:val="5A100D49"/>
    <w:rsid w:val="5A954D89"/>
    <w:rsid w:val="5AAC4AE0"/>
    <w:rsid w:val="5AAE06F4"/>
    <w:rsid w:val="5AC96700"/>
    <w:rsid w:val="5B083717"/>
    <w:rsid w:val="5B140460"/>
    <w:rsid w:val="5B386933"/>
    <w:rsid w:val="5B5B5D62"/>
    <w:rsid w:val="5B5E006D"/>
    <w:rsid w:val="5B604E87"/>
    <w:rsid w:val="5B7F1431"/>
    <w:rsid w:val="5B8E1C91"/>
    <w:rsid w:val="5B956157"/>
    <w:rsid w:val="5BC4403A"/>
    <w:rsid w:val="5C1A69E0"/>
    <w:rsid w:val="5C71766E"/>
    <w:rsid w:val="5C8E65A1"/>
    <w:rsid w:val="5CCE1160"/>
    <w:rsid w:val="5D750ACA"/>
    <w:rsid w:val="5DB66F91"/>
    <w:rsid w:val="5DCF37D8"/>
    <w:rsid w:val="5DF04715"/>
    <w:rsid w:val="5E1E39AC"/>
    <w:rsid w:val="5E233664"/>
    <w:rsid w:val="5E245BE9"/>
    <w:rsid w:val="5E456148"/>
    <w:rsid w:val="5E6178A4"/>
    <w:rsid w:val="5EB629A6"/>
    <w:rsid w:val="5F002B8A"/>
    <w:rsid w:val="5F2424CD"/>
    <w:rsid w:val="5F72D636"/>
    <w:rsid w:val="5F7D6012"/>
    <w:rsid w:val="5F830D61"/>
    <w:rsid w:val="5FB23DAB"/>
    <w:rsid w:val="5FC31216"/>
    <w:rsid w:val="5FF8BC31"/>
    <w:rsid w:val="60023912"/>
    <w:rsid w:val="60740BD4"/>
    <w:rsid w:val="6083524B"/>
    <w:rsid w:val="608412C9"/>
    <w:rsid w:val="60EF5E9D"/>
    <w:rsid w:val="610159DF"/>
    <w:rsid w:val="61423323"/>
    <w:rsid w:val="6174604B"/>
    <w:rsid w:val="61BF7FC1"/>
    <w:rsid w:val="61C34D28"/>
    <w:rsid w:val="61D52894"/>
    <w:rsid w:val="61FC50C0"/>
    <w:rsid w:val="62375C78"/>
    <w:rsid w:val="62922D33"/>
    <w:rsid w:val="62E5626B"/>
    <w:rsid w:val="6316294A"/>
    <w:rsid w:val="631B6E9C"/>
    <w:rsid w:val="63227ABC"/>
    <w:rsid w:val="633B3F26"/>
    <w:rsid w:val="63572E26"/>
    <w:rsid w:val="63AA336D"/>
    <w:rsid w:val="63B85D1E"/>
    <w:rsid w:val="63C31BA2"/>
    <w:rsid w:val="63CF08FA"/>
    <w:rsid w:val="645474B1"/>
    <w:rsid w:val="6482510D"/>
    <w:rsid w:val="64986D03"/>
    <w:rsid w:val="649E0EA4"/>
    <w:rsid w:val="64FC2B08"/>
    <w:rsid w:val="655D5A90"/>
    <w:rsid w:val="65A3720B"/>
    <w:rsid w:val="65DF664B"/>
    <w:rsid w:val="65DF6B43"/>
    <w:rsid w:val="65ED3737"/>
    <w:rsid w:val="6607308B"/>
    <w:rsid w:val="66156387"/>
    <w:rsid w:val="666877C7"/>
    <w:rsid w:val="66AB7D3E"/>
    <w:rsid w:val="66BF2ED8"/>
    <w:rsid w:val="66E504B0"/>
    <w:rsid w:val="66E95ACE"/>
    <w:rsid w:val="672D5E6B"/>
    <w:rsid w:val="679F0BBC"/>
    <w:rsid w:val="67A20AAB"/>
    <w:rsid w:val="67BA5BEA"/>
    <w:rsid w:val="67D67233"/>
    <w:rsid w:val="67ED3D37"/>
    <w:rsid w:val="68193F3A"/>
    <w:rsid w:val="68EE5AA8"/>
    <w:rsid w:val="69083CF3"/>
    <w:rsid w:val="69131EAC"/>
    <w:rsid w:val="691F4695"/>
    <w:rsid w:val="69A11C60"/>
    <w:rsid w:val="69FA0CA5"/>
    <w:rsid w:val="6A5F67C6"/>
    <w:rsid w:val="6A724161"/>
    <w:rsid w:val="6B7130C6"/>
    <w:rsid w:val="6B77075F"/>
    <w:rsid w:val="6C123962"/>
    <w:rsid w:val="6C1717A6"/>
    <w:rsid w:val="6C176D92"/>
    <w:rsid w:val="6C467F94"/>
    <w:rsid w:val="6C986F60"/>
    <w:rsid w:val="6D170EAA"/>
    <w:rsid w:val="6D5F6A87"/>
    <w:rsid w:val="6D7E70AD"/>
    <w:rsid w:val="6D89764D"/>
    <w:rsid w:val="6DBFACE7"/>
    <w:rsid w:val="6E692372"/>
    <w:rsid w:val="6E6C6F0F"/>
    <w:rsid w:val="6E7C1C92"/>
    <w:rsid w:val="6ED75BF0"/>
    <w:rsid w:val="6F292F5D"/>
    <w:rsid w:val="6F531A67"/>
    <w:rsid w:val="6FFFBA49"/>
    <w:rsid w:val="70093C64"/>
    <w:rsid w:val="70203B6F"/>
    <w:rsid w:val="706602DA"/>
    <w:rsid w:val="706D23F5"/>
    <w:rsid w:val="70C943D6"/>
    <w:rsid w:val="71091365"/>
    <w:rsid w:val="711C3CFE"/>
    <w:rsid w:val="71333824"/>
    <w:rsid w:val="71487081"/>
    <w:rsid w:val="71672EB2"/>
    <w:rsid w:val="71D173D9"/>
    <w:rsid w:val="72081C3D"/>
    <w:rsid w:val="72273758"/>
    <w:rsid w:val="72291C28"/>
    <w:rsid w:val="72706795"/>
    <w:rsid w:val="7286741D"/>
    <w:rsid w:val="72C15811"/>
    <w:rsid w:val="72FB676E"/>
    <w:rsid w:val="7317254C"/>
    <w:rsid w:val="739B0EFC"/>
    <w:rsid w:val="73B24CAC"/>
    <w:rsid w:val="73BA4368"/>
    <w:rsid w:val="73DC6C66"/>
    <w:rsid w:val="7447305C"/>
    <w:rsid w:val="75416626"/>
    <w:rsid w:val="75440D3A"/>
    <w:rsid w:val="755C62CF"/>
    <w:rsid w:val="75EF6D74"/>
    <w:rsid w:val="75F5281A"/>
    <w:rsid w:val="763F5E30"/>
    <w:rsid w:val="764C37AD"/>
    <w:rsid w:val="7695330B"/>
    <w:rsid w:val="77154EA7"/>
    <w:rsid w:val="77484730"/>
    <w:rsid w:val="774A2D0D"/>
    <w:rsid w:val="77B57DB9"/>
    <w:rsid w:val="77C935F2"/>
    <w:rsid w:val="784D090C"/>
    <w:rsid w:val="784E66A5"/>
    <w:rsid w:val="7852447C"/>
    <w:rsid w:val="785F674B"/>
    <w:rsid w:val="78886025"/>
    <w:rsid w:val="78EC3363"/>
    <w:rsid w:val="796851D8"/>
    <w:rsid w:val="796A65F2"/>
    <w:rsid w:val="7A235F14"/>
    <w:rsid w:val="7A4D1859"/>
    <w:rsid w:val="7A6BE6DE"/>
    <w:rsid w:val="7B0065C4"/>
    <w:rsid w:val="7B0E4B39"/>
    <w:rsid w:val="7B481955"/>
    <w:rsid w:val="7B492F32"/>
    <w:rsid w:val="7B8D53CD"/>
    <w:rsid w:val="7BCF62D9"/>
    <w:rsid w:val="7BE42C92"/>
    <w:rsid w:val="7BFBFED5"/>
    <w:rsid w:val="7BFE1AC6"/>
    <w:rsid w:val="7C3B2304"/>
    <w:rsid w:val="7C721ED0"/>
    <w:rsid w:val="7C952D58"/>
    <w:rsid w:val="7CBA5E30"/>
    <w:rsid w:val="7CFDFBEF"/>
    <w:rsid w:val="7D057E0F"/>
    <w:rsid w:val="7D460C04"/>
    <w:rsid w:val="7D7A2ABD"/>
    <w:rsid w:val="7D7A3120"/>
    <w:rsid w:val="7DFF2242"/>
    <w:rsid w:val="7E35254F"/>
    <w:rsid w:val="7E396D2B"/>
    <w:rsid w:val="7E46109E"/>
    <w:rsid w:val="7E8D1450"/>
    <w:rsid w:val="7EE636D6"/>
    <w:rsid w:val="7EFA651F"/>
    <w:rsid w:val="7F4D1C9B"/>
    <w:rsid w:val="7F547014"/>
    <w:rsid w:val="7FA773E3"/>
    <w:rsid w:val="7FAA0A35"/>
    <w:rsid w:val="7FAB47B5"/>
    <w:rsid w:val="7FC327DA"/>
    <w:rsid w:val="7FC81AE7"/>
    <w:rsid w:val="7FDEC529"/>
    <w:rsid w:val="7FE9451A"/>
    <w:rsid w:val="7FFB7979"/>
    <w:rsid w:val="8FCBE937"/>
    <w:rsid w:val="97BFFFF3"/>
    <w:rsid w:val="9FE768E8"/>
    <w:rsid w:val="AFF7FE0C"/>
    <w:rsid w:val="BA7B23C6"/>
    <w:rsid w:val="BEFF4CBA"/>
    <w:rsid w:val="C8F57FA4"/>
    <w:rsid w:val="CEFF30A2"/>
    <w:rsid w:val="DCDBCD42"/>
    <w:rsid w:val="DEFF8C8E"/>
    <w:rsid w:val="E05F67AE"/>
    <w:rsid w:val="E6BFAE07"/>
    <w:rsid w:val="E7B5A4EF"/>
    <w:rsid w:val="E9EB8DFD"/>
    <w:rsid w:val="EDB51CB3"/>
    <w:rsid w:val="EE5F1887"/>
    <w:rsid w:val="EFDF3BED"/>
    <w:rsid w:val="EFEAE808"/>
    <w:rsid w:val="EFFE4506"/>
    <w:rsid w:val="EFFF20AA"/>
    <w:rsid w:val="F20B1BAF"/>
    <w:rsid w:val="F25F55D6"/>
    <w:rsid w:val="F26B923F"/>
    <w:rsid w:val="F7373831"/>
    <w:rsid w:val="F7AF9919"/>
    <w:rsid w:val="FB07501C"/>
    <w:rsid w:val="FB343512"/>
    <w:rsid w:val="FB6E8AF5"/>
    <w:rsid w:val="FBBD24D6"/>
    <w:rsid w:val="FBDF281D"/>
    <w:rsid w:val="FCA756B3"/>
    <w:rsid w:val="FDFF7152"/>
    <w:rsid w:val="FEF7592B"/>
    <w:rsid w:val="FF3AB43D"/>
    <w:rsid w:val="FF7F7383"/>
    <w:rsid w:val="FFF1E2DC"/>
    <w:rsid w:val="FFFE6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40"/>
    </w:pPr>
    <w:rPr>
      <w:rFonts w:ascii="方正仿宋_GBK" w:hAnsi="方正仿宋_GBK" w:eastAsia="方正仿宋_GBK" w:cs="方正仿宋_GBK"/>
      <w:sz w:val="29"/>
      <w:szCs w:val="29"/>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Char"/>
    <w:basedOn w:val="1"/>
    <w:semiHidden/>
    <w:qFormat/>
    <w:uiPriority w:val="0"/>
  </w:style>
  <w:style w:type="character" w:customStyle="1" w:styleId="11">
    <w:name w:val="fontstyle01"/>
    <w:basedOn w:val="8"/>
    <w:qFormat/>
    <w:uiPriority w:val="0"/>
    <w:rPr>
      <w:rFonts w:ascii="FZFSK--GBK1-0" w:hAnsi="FZFSK--GBK1-0" w:eastAsia="FZFSK--GBK1-0" w:cs="FZFSK--GBK1-0"/>
      <w:color w:val="000000"/>
      <w:sz w:val="30"/>
      <w:szCs w:val="30"/>
    </w:rPr>
  </w:style>
  <w:style w:type="character" w:customStyle="1" w:styleId="12">
    <w:name w:val="fontstyle11"/>
    <w:basedOn w:val="8"/>
    <w:qFormat/>
    <w:uiPriority w:val="0"/>
    <w:rPr>
      <w:rFonts w:ascii="E-BX" w:hAnsi="E-BX" w:eastAsia="E-BX" w:cs="E-BX"/>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670</Words>
  <Characters>3821</Characters>
  <Lines>31</Lines>
  <Paragraphs>8</Paragraphs>
  <TotalTime>25</TotalTime>
  <ScaleCrop>false</ScaleCrop>
  <LinksUpToDate>false</LinksUpToDate>
  <CharactersWithSpaces>4483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2021-11-26T16:06:00Z</dcterms:created>
  <dc:creator>SL</dc:creator>
  <cp:lastModifiedBy>user</cp:lastModifiedBy>
  <cp:lastPrinted>2022-03-10T08:15:00Z</cp:lastPrinted>
  <dcterms:modified xsi:type="dcterms:W3CDTF">2022-04-21T11:22:33Z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ED389846E19442599BF02A8562CF4BD0</vt:lpwstr>
  </property>
</Properties>
</file>