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《玉溪市新平哀牢山县级自然保护区条例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（修订草案）》（送审稿）条文注释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【立法目的、依据】 为了加强玉溪市新平哀牢山县级自然保护区的建设和管护，保护自然环境、自然资源和生物多样性，维护生态功能和生态平衡，根据《中华人民共和国森林法》《中华人民共和国自然保护区条例》等有关法律、法规，结合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【注释】本条是本条例立法目的、依据的规定。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新平哀牢山县级自然保护区内分布有丰富的珍稀野生动植物资源，《条例》结合当前存在的突出问题，进行了细化和创新，对保护区保护管理中命令禁止的行为及应承担的相关法律责任等一一作了明确规定，具有较强的针对性和可操作性。通过立法将有助于加快推进依法保护哀牢山自然资源和自然环境，维护生态平衡，保障国土生态安全，促进县域经济社会可持续发展，实现经济建设、政治建设、文化建设、社会建设、生态文明建设五位一体的共同繁荣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主要依据《中华人民共和国自然保护区条例》（2017年修订）第一条 为了加强自然保护区的建设和管理，保护自然环境和自然资源，制定本条例。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《云南省自然保护区管理条例》（2021年9月29日修订）第一条 为保护自然环境和自然资源，加强自然保护区的建设和管理，根据《中华人民共和国环境保护法》、《中华人民共和国自然保护区条例》等有关法律、法规，结合本省实际，制定本条例。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【适用范围】 在玉溪市新平哀牢山县级自然保护区（以下简称保护区）范围内活动的单位和个人，应当遵守本条例。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【注释】本条是关于本条例适用范围的规定。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主要依据《中华人民共和国自然保护区条例》（2017年修订）第三条 凡在中华人民共和国领域和中华人民共和国管辖的其他海域内建设和管理自然保护区，必须遵守本条例。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《云南省自然保护区管理条例》（2021年9月29日修订）第三条 凡在本省行政区域内建设和管理自然保护区，必须遵守本条例。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【地理位置、管护面积】 保护区位于新平彝族傣族自治县（以下简称新平县）境内，地理位置介于东经101°26′01″—101°37′01″，北纬23°46′03″—24°01′14″，总面积102平方公里。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【注释】本条是关于本条例对所管辖的地理位置和管护面积的规定。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主要依据《新平彝族傣族自治县级自然保护区管理暂行办法》和《玉溪市新平哀牢山县级自然保护区总体规划》。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【保护对象】 保护区的主要保护对象是亚热带中山湿性常绿阔叶林森林生态系统及其西黑冠长臂猿、伯乐树等珍稀、濒危野生动植物资源。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【注释】本条是关于本条例保护主要对象的规定。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主要依据《新平彝族傣族自治县级自然保护区管理暂行办法》和《玉溪市新平哀牢山县级自然保护区总体规划》。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【保护原则】 保护区的保护和管理遵循保护优先、全面规划、科学管理、合理利用、持续发展的原则。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【注释】本条是关于本条例关于保护、管理遵循原则的规定。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主要依据《云南省自然保护区管理条例》第六条 自然保护区的保护、建设和管理应当坚持“全面规划、积极保护、科学管理、永续利用”的方针；妥善处理好与当地经济建设和居民生产、生活的关系。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【政府支持、经费保障】 市人民政府应当加强对保护区保护管理工作的领导，并按照有关规定给予支持。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新平县人民政府应当将保护区的规划、建设、保护、管理以及生态补偿纳入国民经济和社会发展规划，所需经费列入财政预算。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新平县人民政府应当加强保护区管护机构队伍建设，建立执法协作机制。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【注释】本条是关于本条例市人民政府应当加强对保护区保护管理工作的领导，并按照有关规定给予支持。县级相关部门要把保护区规划、建设、保护所需经费列入财政预算保障的规定。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主要依据《中华人民共和国自然保护区条例》第四条 国家采取有利于发展自然保护区的经济、技术政策和措施，将自然保护区的发展规划纳入国民经济和社会发展计划。《云南省自然保护区管理条例》第五条 县级以上人民政府要把自然保护区的保护、建设和管理，纳入国民经济和社会发展计划，并作为任期目标责任制的重要考核内容之一。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【管理体制】 新平县人民政府林业和草原主管部门负责保护区的管理和监督工作，其所属的保护区管护机构具体负责保护区的保护和管理工作。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发展改革、公安、财政、自然资源、生态环境、住房和城乡建设、交通运输、农业农村、水利、文化和旅游等相关部门，应当按照各自职责，做好保护区的保护和管理工作。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保护区所在地的乡（镇）人民政府应当协助保护区管护机构，做好辖区内保护区的保护和管理工作，落实共管责任。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区主管部门为新平县人民政府林业和草原主管部门，其所属的保护区管护机构为具体保护和管理部门。同时明确县直相关部门按照各自职责，做好保护区的保护和管理工作。保护区所在地的乡（镇）人民政府应当协助保护区管护机构，做好辖区内保护区的保护和管理工作，落实共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主要依据《云南省自然保护区管理条例》第七条 县级以上人民政府林业草原行政主管部门对辖区内自然保护区实施监督管理。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其主要职责是：负责自然保护区建设和管理工作的组织、指导、协调、监督、检查；拟订自然保护区发展规划；按照管辖权限组织相应的自然保护区建立、调整及规划的审查（审核）；会同有关部门组织查处破坏、侵占自然保护区的重大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县级以上自然资源、生态环境、住房城乡建设、交通运输、农业农村、水利、应急管理等部门按照职责，做好自然保护区保护的有关工作。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【管护机构职责】 保护区管护机构的主要职责：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（一）宣传、贯彻、执行有关法律、法规和方针、政策；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（二）制定自然保护区各项管护制度，统一管护自然保护区；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（三）组织实施保护区总体规划和专项规划；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（四）设置和管理保护区地理界标和警示标志；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（五）组织开展保护区自然环境和自然资源的保护、调查、监测，并建立档案；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（六）监督管理实验区内的开发、旅游、经营等活动；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（七）组织开展或者协助有关机构对野生动植物进行保护、救护、监测和科学研究；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（八）防范保护区内物种资源丧失、外来物种入侵，防治有害生物；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（九）做好森林火灾的预防、扑救和保障工作，协助开展保护区生态修复和治理工作；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（十）协助有关机构开展保护区森林火灾和野生动物肇事勘验、调查工作；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（十一）受新平县人民政府林业和草原主管部门的委托开展林业行政执法工作。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【注释】本条是关于本条例明确保护管护机构的主要职责。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主要依据《中华人民共和国自然保护区条例》第二十二条 自然保护区管理机构的主要职责是：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（一）贯彻执行国家有关自然保护的法律、法规和方针、政策；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（二）制定自然保护区的各项管理制度，统一管理自然保护区；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（三）调查自然资源并建立档案，组织环境监测，保护自然保护区内的自然环境和自然资源；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（四）组织或者协助有关部门开展自然保护区的科学研究工作；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（五）进行自然保护的宣传教育；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（六）在不影响保护自然保护区的自然环境和自然资源的前提下，组织开展参观、旅游等活动。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【共建共管】 鼓励公民、法人和其他组织以捐赠、志愿服务等形式参与保护区的保护、科学研究、科普教育等活动。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【注释】本条是关于本条例鼓励公民、法人和其他组织参与保护区共建共管的规定。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主要依据《中华人民共和国自然保护区条例》第六条 自然保护区管理机构或者其行政主管部门可以接受国内外组织和个人的捐赠，用于自然保护区的建设和管理。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【保护权力和义务】 任何单位和个人都有对保护区自然环境和自然资源保护的义务，有权对破坏、侵占保护区自然环境、自然资源和公共设施的行为进行劝阻、检举。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【注释】本条是关于本条例明确单位和个人都有对保护区自然环境和自然资源保护的义务，有权对破坏、侵占保护区自然环境、自然资源和公共设施的行为进行劝阻、检举的规定。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主要依据《中华人民共和国自然保护区条例》第七条 县级以上人民政府应当加强对自然保护区工作的领导。一切单位和个人都有保护自然保护区内自然环境和自然资源的义务，并有权对破坏、侵占自然保护区的单位和个人进行检举、控告。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【保护区规划】 保护区总体规划由新平县人民政府林业和草原主管部门依法组织编制，报新平县人民政府批准。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保护区范围内的有关专项规划应当依据保护区总体规划编制。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经批准的保护区总体规划不得擅自变更，确需变更的，按照有关规定办理。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【注释】本条是关于本条例明确依法开展保护区总体规划和专项规划的规定。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主要依据《中华人民共和国自然保护区条例》第十七条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自然保护区管理机构或者该自然保护区行政主管部门应当组织编制自然保护区的建设规划，按照规定的程序纳入国家的、地方的或者部门的投资计划，并组织实施。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《云南省自然保护区管理条例》第十五条 自然保护区建立后由林业草原行政主管部门负责组织编制总体规划，按自然保护区的级别报同级人民政府批准后实施。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【保护区分区】 保护区分为核心区、缓冲区和实验区。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核心区是保护区内亚热带中山湿性常绿阔叶林森林生态系统保存完好，西黑冠长臂猿、伯乐树等珍稀濒危野生动植物资源集中的区域。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缓冲区是核心区之外生态系统保存比较完好，珍稀、濒危野生动植物资源比较集中的区域。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实验区是核心区、缓冲区之外，以改善自然生态环境和合理利用自然资源、人文资源为目的的区域。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核心区、缓冲区和实验区的范围和界线由新平县人民政府根据保护区总体规划确定，并予以公告。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【注释】本条是关于本条例合理区划管理区域，明确分区管理的规定。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主要依据《中华人民共和国自然保护区条例》第十四条 自然保护区的范围和界线由批准建立自然保护区的人民政府确定，并标明区界，予以公告。第十八条 自然保护区可以分为核心区、缓冲区和实验区。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《云南省自然保护区管理条例》第十四条 自然保护区可以分为核心区、缓冲区和实验区。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核心区禁止任何单位和个人进入。因科学研究确需进入的，应当依法获得批准；不得建设任何生产设施。核心区内原有居民确有必要迁出的，由自然保护区所在地的县级以上人民政府予以妥善安置。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缓冲区经自然保护区管理机构批准可以进入从事科学研究观测活动；不得建设任何生产设施。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实验区不得建设污染环境、破坏资源或者景观的生产设施。开展参观、旅游活动的，由自然保护区管理机构编制方案，方案应当符合自然保护区管理目标，不得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自然保护区内部未分区的，依照核心区和缓冲区的规定管理。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【保护区变更管理】 任何单位和个人不得擅自改变保护区的性质、范围和功能区，确需变更的，应当依照法定程序批准。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【注释】本条是关于本条例明确保护区的性质、范围和功能区确需变更的，应当依照法定程序批准的规定。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主要依据《中华人民共和国自然保护区条例》第十五条 自然保护区的撤销及其性质、范围、界线的调整或者改变，应当经原批准建立自然保护区的人民政府批准。《云南省自然保护区管理条例》第十三条 第二款省级、州（市）级和县（市、区）级自然保护区的撤销及其性质、范围、界线、功能区的调整或者改变，由省人民政府批准。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【保护区分区管理】 核心区不得建设与保护无关的任何设施。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缓冲区不得建设任何生产设施。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【注释】本条是关于本条例明确保护区核心区和缓冲区禁止建设事项的规定。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主要依据《云南省自然保护区管理条例》第十四条 然保护区可以分为核心区、缓冲区和实验区。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核心区禁止任何单位和个人进入。因科学研究确需进入的，应当依法获得批准；不得建设任何生产设施。核心区内原有居民确有必要迁出的，由自然保护区所在地的县级以上人民政府予以妥善安置。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缓冲区经自然保护区管理机构批准可以进入从事科学研究观测活动；不得建设任何生产设施。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【保护区分区管理】 实验区内不得建设污染环境、破坏资源或者景观的生产、生活设施。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在实验区内建设旅游、交通、水利、电力、通信等基础设施，应当符合保护区总体规划。有关行政管理部门审批项目时，应当征求新平县人民政府林业和草原主管部门意见。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【注释】本条是关于本条例明确保护区实验区允许建设事项条件的规定。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主要依据《中华人民共和国自然保护区条例》第二十九条在自然保护区的实验区内开展参观、旅游活动的，由自然保护区管理机构编制方案，方案应当符合自然保护区管理目标。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在自然保护区组织参观、旅游活动的，应当严格按照前款规定的方案进行，并加强管理；进入自然保护区参观、旅游的单位和个人，应当服从自然保护区管理机构的管理。严禁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【保护区规划和建设】 新平县人民政府应当依照保护区总体规划和专项规划，加强保护区管护、防火、监测、远程监控、通信等设施建设。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【注释】本条是关于本条例明确新平县人民政府应当依照保护区总体规划和专项规划加强保护区建设的规定。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保护管理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【保护区生态红线】 新平县人民政府应当将保护区划入生态保护红线范围，实行严格保护。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【注释】本条是关于本条例明确保护区划入生态保护红线范围，实行严格保护的规定。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主要依据《中华人民共和国环境保护法》第二十九条 国家在重点生态功能区、生态环境敏感区和脆弱区等区域划定生态保护红线，实行严格保护。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【保护区活动管理】 核心区除经依法批准可以进入从事科学研究观测、调查活动外，禁止其他任何单位和个人进入。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因科学研究需要，必须进入核心区从事科学研究观测、调查活动的，应当向保护区管护机构提交申请和活动计划，并经林业和草原主管部门批准。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【注释】本条是关于本条例明确在保护区核心区开展科学研究观测、调查活动的相关规定。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主要依据《云南省自然保护区管理条例》第十四条 第二款核心区禁止任何单位和个人进入。因科学研究确需进入的，应当依法获得批准；不得建设任何生产设施。核心区内原有居民确有必要迁出的，由自然保护区所在地的县级以上人民政府予以妥善安置。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【保护区活动管理】 缓冲区经依法批准可以进入从事观测、调查、教学实习、标本采集等科学研究活动。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因教学科研的目的，需要进入缓冲区从事科学研究、教学实习和标本采集活动的，应当向保护区管护机构提交申请和活动计划，并经林业和草原主管部门批准。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【注释】本条是关于本条例明确在保护区缓冲区开展教学实习、标本采集等科学研究活动的相关规定。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从事前款活动的单位和个人，应当将其活动成果的副本提交自然保护区管理机构。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【保护区活动管理】 在实验区开展科学实验、科普教育、教学实习、参观考察、拍摄影视作品、生态旅游和救助、驯化、繁育野生动植物等活动，由保护区管护机构提出方案，报林业和草原主管部门批准。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【注释】本条是关于本条例明确在保护区实验区开展科学实验、科普教育、教学实习、参观考察、拍摄影视作品、生态旅游和救助、驯化、繁育野生动植物等活动的相关规定。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主要依据《中华人民共和国自然保护区条例》第二十九条在自然保护区的实验区内开展参观、旅游活动的，由自然保护区管理机构编制方案，方案应当符合自然保护区管理目标。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在自然保护区组织参观、旅游活动的，应当严格按照前款规定的方案进行，并加强管理；进入自然保护区参观、旅游的单位和个人，应当服从自然保护区管理机构的管理。严禁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【保护区活动管理】 在缓冲区从事非破坏性的科学研究、教学实习、标本采集等活动的单位和个人，应当将其活动成果的副本提交保护区管护机构。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【注释】本条是关于本条例明确在保护区缓冲区开展科研、教学实习、标本采集等科学研究活动的相关规定。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主要依据《中华人民共和国自然保护区条例》第二十八条 第二款从事前款活动的单位和个人，应当将其活动成果的副本提交自然保护区管理机构。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【保护区禁止行为】 保护区内禁止下列行为，但是法律、行政法规另有规定的除外：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（一）开垦林地；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（二）砍伐、毁坏林木；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（三）探（采）矿、采石、挖沙；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（四）取土、葬坟；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（五）烧荒、野外用火、放牧、采药；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（六）采脂，采种，采挖花草、树根；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（七）狩猎、捕捞野生动物；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（八）引进、放生外来物种；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（九）倾倒固体废弃物，排放有害、有毒的废水、废气、废渣；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（十）移动、破坏保护区地理界标、警示标志；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【注释】本条是关于本条例明确在保护区内禁止行为规定。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主要依据《中华人民共和国自然保护区条例》第二十八条 禁止在自然保护区的缓冲区开展旅游和生产经营活动。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第三十二条 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在自然保护区的外围保护地带建设的项目，不得损害自然保护区内的环境质量；已造成损害的，应当限期治理。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《中华人民共和国森林法》第三十九条 禁止毁林开垦、采石、采砂、采土以及其他毁坏林木和林地的行为。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《云南省自然保护区管理条例》第十三条第三款任何单位和个人，不得擅自移动自然保护区的界标。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十四条第三款实验区不得建设污染环境、破坏资源或者景观的生产设施。开展参观、旅游活动的，由自然保护区管理机构编制方案，方案应当符合自然保护区管理目标，不得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第十八条 禁止在自然保护区内进行砍伐、放牧、狩猎、捕捞、采药、开垦、烧荒、开矿、采石、挖沙等活动；但是，法律、行政法规另有规定的除外。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《中华人民共和国环境保护法》第三十条 开发利用自然资源，应当合理开发，保护生物多样性，保障生态安全，依法制定有关生态保护和恢复治理方案并予以实施。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引进外来物种以及研究、开发和利用生物技术，应当采取措施，防止对生物多样性的破坏。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《中华人民共和国野生动物保护法》第十二条 第三款禁止或者限制在相关自然保护区域内引入外来物种、营造单一纯林、过量施洒农药等人为干扰、威胁野生动物生息繁衍的行为。第三十八条 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《中华人民共和国生物安全法》第二条 （五）防范外来物种入侵与保护生物多样性。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【保护区经营管理】 在实验区开展经营活动的，应当符合保护区总体规划和专项规划，依法实行有偿使用，并办理相关手续。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【注释】本条是关于本条例明确在保护区实验区内开展经营活动的相关管理规定。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主要依据《中华人民共和国自然保护区条例》第二十九条 在自然保护区的实验区内开展参观、旅游活动的，由自然保护区管理机构编制方案，方案应当符合自然保护区管理目标。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【保护区经营管理】 在实验区内从事开发经营活动的单位和个人，应当服从保护区管护机构的管理，在发生或者可能发生突发环境事件时，应当立即采取措施处理，及时通报可能受到危害的单位和居民，并向保护区管护机构或者林业和草原主管部门、生态环境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【注释】本条是关于本条例明确在保护区实验区内开展经营活动的相关管理规定。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主要依据《中华人民共和国自然保护区条例》第三十三条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【保护区创新管理】 新平县人民政府应当建立健全保护区生态补偿机制。按照谁开发谁保护、谁破坏谁恢复、谁受益谁补偿的原则，实行资源有偿使用制度和生态补偿制度。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【部门责任】 林业和草原主管部门、保护区管护机构和其他有关部门的工作人员违反本条例规定，滥用职权、徇私舞弊、玩忽职守的，由上级行政主管部门或者所在单位对直接负责的主管人员和其他直接负责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【注释】本条是关于本条例明确林业和草原主管部门、保护区管护机构和其他有关部门的工作人员违反本条例规定应承担的责任。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主要依据《中华人民共和国自然保护区条例》第四十一条 自然保护区管理人员滥用职权、玩忽职守、徇私舞弊，构成犯罪的，依法追究刑事责任；情节轻微，尚不构成犯罪的，由其所在单位或者上级机关给予行政处分。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【法律责任】 违反本条例下列规定的，由县级以上林业和草原主管部门给予处罚；构成犯罪的，依法追究刑事责任。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（一）违反本条例第十四条规定的，责令改正，并根据情节轻重处以5000元以上50000元以下的罚款；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（二）违反本条例第十五条第一款规定的，责令改正，并根据情节轻重处以5000元以上50000元以下的罚款；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（三）违反本条例第十八条、第十九条、第二十一条规定的，责令改正，可以处100元以上5000元以下的罚款；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违反本条例第二十二条规定的，除可以依照有关法律、行政法规规定给予处罚的以外，由县级以上人民政府有关行政主管部门或者其委托的机构没收违法所得，责令停止违法行为，限期恢复原状或者采取其他补救措施；对自然保护区造成破坏的，可以处以300元以上10000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【注释】本条是关于本条例明确县级以上人民政府有关行政主管部门或者其委托的机构对违反《条例》作出的处罚规定。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依据《中华人民共和国自然保护区条例》、《中华人民共和国森林法》、《云南省自然保护区管理条例》、《中华人民共和国环境保护法》、《中华人民共和国野生动物保护法》、《中华人民共和国生物安全法》等相关法律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【主管部门的处罚】 违反本条例规定的其他行为，依照《中华人民共和国森林法》《中华人民共和国环境保护法》等有关法律、法规的规定予以处罚。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【注释】本条是关于本条例明确县级以上人民政府有关行政主管部门或者其委托的机构对违反《条例》规定的其他行为作出的处罚规定。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【实施日期】 本条例自2017年6月1日起施行。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【注释】本条是关于条例实施日期的规定。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sectPr>
      <w:footerReference r:id="rId3" w:type="default"/>
      <w:pgSz w:w="11906" w:h="16838"/>
      <w:pgMar w:top="2041" w:right="1474" w:bottom="1304" w:left="1587" w:header="1361" w:footer="119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F4245"/>
    <w:rsid w:val="20116D4F"/>
    <w:rsid w:val="227A1F85"/>
    <w:rsid w:val="268D5695"/>
    <w:rsid w:val="2859597F"/>
    <w:rsid w:val="31DF4245"/>
    <w:rsid w:val="5302573E"/>
    <w:rsid w:val="65BC2A3C"/>
    <w:rsid w:val="6B504C60"/>
    <w:rsid w:val="6E4D6B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4"/>
    <w:next w:val="1"/>
    <w:link w:val="8"/>
    <w:qFormat/>
    <w:uiPriority w:val="0"/>
    <w:pPr>
      <w:keepNext/>
      <w:keepLines/>
      <w:spacing w:before="340" w:beforeLines="0" w:beforeAutospacing="0" w:after="330" w:afterLines="0" w:afterAutospacing="0" w:line="0" w:lineRule="atLeast"/>
      <w:jc w:val="center"/>
      <w:outlineLvl w:val="0"/>
    </w:pPr>
    <w:rPr>
      <w:rFonts w:ascii="Times New Roman" w:hAnsi="Times New Roman" w:eastAsia="方正小标宋_GBK"/>
      <w:b w:val="0"/>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1 Char"/>
    <w:link w:val="3"/>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2022-04-18T10:03:00Z</dcterms:created>
  <dc:creator>王丹</dc:creator>
  <cp:lastModifiedBy>王丹</cp:lastModifiedBy>
  <dcterms:modified xsi:type="dcterms:W3CDTF">2022-04-18T10:03:46Z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