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570" w:lineRule="exact"/>
        <w:jc w:val="center"/>
        <w:rPr>
          <w:rFonts w:hint="eastAsia" w:ascii="方正小标宋简体" w:hAnsi="华文中宋" w:eastAsia="方正小标宋简体"/>
          <w:color w:val="auto"/>
          <w:spacing w:val="14"/>
          <w:sz w:val="44"/>
          <w:szCs w:val="44"/>
          <w:highlight w:val="none"/>
          <w:lang w:val="en-US" w:eastAsia="zh-CN"/>
        </w:rPr>
      </w:pPr>
      <w:r>
        <w:rPr>
          <w:rFonts w:hint="eastAsia" w:ascii="方正小标宋简体" w:eastAsia="方正小标宋简体"/>
          <w:sz w:val="44"/>
          <w:szCs w:val="44"/>
          <w:lang w:eastAsia="zh-CN"/>
        </w:rPr>
        <w:t>玉溪市民政局</w:t>
      </w:r>
      <w:r>
        <w:rPr>
          <w:rFonts w:hint="eastAsia" w:ascii="方正小标宋简体" w:eastAsia="方正小标宋简体"/>
          <w:sz w:val="44"/>
          <w:szCs w:val="44"/>
          <w:lang w:val="en-US" w:eastAsia="zh-CN"/>
        </w:rPr>
        <w:t>2021</w:t>
      </w:r>
      <w:r>
        <w:rPr>
          <w:rFonts w:hint="eastAsia" w:ascii="方正小标宋简体" w:eastAsia="方正小标宋简体"/>
          <w:sz w:val="44"/>
          <w:szCs w:val="44"/>
          <w:lang w:eastAsia="zh-CN"/>
        </w:rPr>
        <w:t>年</w:t>
      </w:r>
      <w:r>
        <w:rPr>
          <w:rFonts w:hint="eastAsia" w:ascii="方正小标宋简体" w:hAnsi="华文中宋" w:eastAsia="方正小标宋简体"/>
          <w:color w:val="auto"/>
          <w:spacing w:val="14"/>
          <w:sz w:val="44"/>
          <w:szCs w:val="44"/>
          <w:highlight w:val="none"/>
          <w:lang w:val="en-US" w:eastAsia="zh-CN"/>
        </w:rPr>
        <w:t>预算重点领域财政项目</w:t>
      </w:r>
    </w:p>
    <w:p>
      <w:pPr>
        <w:snapToGrid w:val="0"/>
        <w:spacing w:line="570" w:lineRule="exact"/>
        <w:jc w:val="center"/>
        <w:rPr>
          <w:rFonts w:hint="eastAsia" w:ascii="方正小标宋简体" w:hAnsi="华文中宋" w:eastAsia="方正小标宋简体"/>
          <w:color w:val="auto"/>
          <w:spacing w:val="14"/>
          <w:sz w:val="44"/>
          <w:szCs w:val="44"/>
          <w:highlight w:val="none"/>
          <w:lang w:val="en-US" w:eastAsia="zh-CN"/>
        </w:rPr>
      </w:pPr>
      <w:r>
        <w:rPr>
          <w:rFonts w:hint="eastAsia" w:ascii="方正小标宋简体" w:hAnsi="华文中宋" w:eastAsia="方正小标宋简体"/>
          <w:color w:val="auto"/>
          <w:spacing w:val="14"/>
          <w:sz w:val="44"/>
          <w:szCs w:val="44"/>
          <w:highlight w:val="none"/>
          <w:lang w:val="en-US" w:eastAsia="zh-CN"/>
        </w:rPr>
        <w:t>文本公开</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left="630" w:leftChars="0" w:right="0" w:rightChars="0"/>
        <w:jc w:val="left"/>
        <w:textAlignment w:val="auto"/>
        <w:outlineLvl w:val="9"/>
        <w:rPr>
          <w:rFonts w:hint="eastAsia" w:ascii="方正黑体_GBK" w:hAnsi="方正黑体_GBK" w:eastAsia="方正黑体_GBK" w:cs="方正黑体_GBK"/>
          <w:color w:val="auto"/>
          <w:kern w:val="0"/>
          <w:sz w:val="32"/>
          <w:szCs w:val="32"/>
          <w:highlight w:val="none"/>
          <w:lang w:eastAsia="zh-CN"/>
        </w:rPr>
      </w:pPr>
      <w:r>
        <w:rPr>
          <w:rFonts w:hint="eastAsia" w:ascii="方正黑体_GBK" w:hAnsi="方正黑体_GBK" w:eastAsia="方正黑体_GBK" w:cs="方正黑体_GBK"/>
          <w:color w:val="auto"/>
          <w:kern w:val="0"/>
          <w:sz w:val="32"/>
          <w:szCs w:val="32"/>
          <w:highlight w:val="none"/>
          <w:lang w:eastAsia="zh-CN"/>
        </w:rPr>
        <w:t>一、项目名称</w:t>
      </w:r>
      <w:bookmarkStart w:id="0" w:name="_GoBack"/>
      <w:bookmarkEnd w:id="0"/>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olor w:val="auto"/>
          <w:kern w:val="0"/>
          <w:sz w:val="32"/>
          <w:szCs w:val="32"/>
          <w:highlight w:val="none"/>
          <w:lang w:eastAsia="zh-CN"/>
        </w:rPr>
      </w:pPr>
      <w:r>
        <w:rPr>
          <w:rFonts w:hint="eastAsia" w:ascii="方正仿宋_GBK" w:hAnsi="方正仿宋_GBK" w:eastAsia="方正仿宋_GBK" w:cs="方正仿宋_GBK"/>
          <w:b w:val="0"/>
          <w:bCs w:val="0"/>
          <w:kern w:val="2"/>
          <w:sz w:val="32"/>
          <w:szCs w:val="32"/>
          <w:lang w:val="en-US" w:eastAsia="zh-CN" w:bidi="ar-SA"/>
        </w:rPr>
        <w:t>福利彩票公益金养老服务体系建设补助经费。</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s="黑体"/>
          <w:color w:val="auto"/>
          <w:kern w:val="0"/>
          <w:sz w:val="32"/>
          <w:szCs w:val="32"/>
          <w:highlight w:val="none"/>
          <w:lang w:eastAsia="zh-CN"/>
        </w:rPr>
      </w:pPr>
      <w:r>
        <w:rPr>
          <w:rFonts w:hint="eastAsia" w:ascii="黑体" w:hAnsi="黑体" w:eastAsia="黑体" w:cs="黑体"/>
          <w:color w:val="auto"/>
          <w:kern w:val="0"/>
          <w:sz w:val="32"/>
          <w:szCs w:val="32"/>
          <w:highlight w:val="none"/>
          <w:lang w:eastAsia="zh-CN"/>
        </w:rPr>
        <w:t>二、立项依据</w:t>
      </w:r>
    </w:p>
    <w:p>
      <w:pPr>
        <w:pStyle w:val="7"/>
        <w:keepNext w:val="0"/>
        <w:keepLines w:val="0"/>
        <w:pageBreakBefore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cs="Times New Roman"/>
        </w:rPr>
      </w:pPr>
      <w:r>
        <w:rPr>
          <w:rFonts w:hint="default" w:ascii="Times New Roman" w:hAnsi="Times New Roman" w:eastAsia="方正仿宋_GBK" w:cs="Times New Roman"/>
          <w:sz w:val="32"/>
          <w:szCs w:val="32"/>
        </w:rPr>
        <w:t>《社会福利基金使用管理暂行办法》《国务院关于进一步规范彩票管理的通知》《财政部关于印发&lt; 彩票发行与销售机构财务管理办法 &gt;的通知》《财政部关于加强和完善彩票机构财务及彩票资金管理的通知》</w:t>
      </w:r>
      <w:r>
        <w:rPr>
          <w:rFonts w:hint="default" w:ascii="Times New Roman" w:hAnsi="Times New Roman" w:eastAsia="方正仿宋_GBK" w:cs="Times New Roman"/>
          <w:kern w:val="30"/>
          <w:sz w:val="32"/>
          <w:szCs w:val="32"/>
          <w:lang w:val="en-US" w:eastAsia="zh-CN" w:bidi="ar-SA"/>
        </w:rPr>
        <w:t>《彩票公益金管理办法》</w:t>
      </w:r>
      <w:r>
        <w:rPr>
          <w:rFonts w:hint="default" w:ascii="Times New Roman" w:hAnsi="Times New Roman" w:eastAsia="方正仿宋_GBK" w:cs="Times New Roman"/>
          <w:sz w:val="32"/>
          <w:szCs w:val="32"/>
        </w:rPr>
        <w:t>《国务院关于加快发展养老服务业的若干意见》（国发〔2013〕35号）《云南省人民政府关于加快发展养老服务业的实施意见》（云政发〔2014〕64号）《</w:t>
      </w:r>
      <w:r>
        <w:rPr>
          <w:rFonts w:hint="default" w:ascii="Times New Roman" w:hAnsi="Times New Roman" w:eastAsia="方正仿宋_GBK" w:cs="Times New Roman"/>
          <w:sz w:val="32"/>
          <w:szCs w:val="32"/>
          <w:lang w:eastAsia="zh-CN"/>
        </w:rPr>
        <w:t>玉溪市</w:t>
      </w:r>
      <w:r>
        <w:rPr>
          <w:rFonts w:hint="default" w:ascii="Times New Roman" w:hAnsi="Times New Roman" w:eastAsia="方正仿宋_GBK" w:cs="Times New Roman"/>
          <w:sz w:val="32"/>
          <w:szCs w:val="32"/>
        </w:rPr>
        <w:t>人民政府关于加快发展养老服务业的实施意见》（</w:t>
      </w:r>
      <w:r>
        <w:rPr>
          <w:rFonts w:hint="default" w:ascii="Times New Roman" w:hAnsi="Times New Roman" w:eastAsia="方正仿宋_GBK" w:cs="Times New Roman"/>
          <w:sz w:val="32"/>
          <w:szCs w:val="32"/>
          <w:lang w:eastAsia="zh-CN"/>
        </w:rPr>
        <w:t>玉</w:t>
      </w:r>
      <w:r>
        <w:rPr>
          <w:rFonts w:hint="default" w:ascii="Times New Roman" w:hAnsi="Times New Roman" w:eastAsia="方正仿宋_GBK" w:cs="Times New Roman"/>
          <w:sz w:val="32"/>
          <w:szCs w:val="32"/>
        </w:rPr>
        <w:t>政发</w:t>
      </w:r>
      <w:r>
        <w:rPr>
          <w:rFonts w:hint="default" w:ascii="Times New Roman" w:hAnsi="Times New Roman" w:eastAsia="方正仿宋_GBK" w:cs="Times New Roman"/>
          <w:color w:val="auto"/>
          <w:sz w:val="32"/>
          <w:szCs w:val="32"/>
        </w:rPr>
        <w:t>〔201</w:t>
      </w:r>
      <w:r>
        <w:rPr>
          <w:rFonts w:hint="default" w:ascii="Times New Roman" w:hAnsi="Times New Roman" w:eastAsia="方正仿宋_GBK" w:cs="Times New Roman"/>
          <w:color w:val="auto"/>
          <w:sz w:val="32"/>
          <w:szCs w:val="32"/>
          <w:lang w:val="en-US" w:eastAsia="zh-CN"/>
        </w:rPr>
        <w:t>5</w:t>
      </w:r>
      <w:r>
        <w:rPr>
          <w:rFonts w:hint="default" w:ascii="Times New Roman" w:hAnsi="Times New Roman" w:eastAsia="方正仿宋_GBK" w:cs="Times New Roman"/>
          <w:color w:val="auto"/>
          <w:sz w:val="32"/>
          <w:szCs w:val="32"/>
        </w:rPr>
        <w:t>〕</w:t>
      </w:r>
      <w:r>
        <w:rPr>
          <w:rFonts w:hint="default" w:ascii="Times New Roman" w:hAnsi="Times New Roman" w:eastAsia="方正仿宋_GBK" w:cs="Times New Roman"/>
          <w:color w:val="auto"/>
          <w:sz w:val="32"/>
          <w:szCs w:val="32"/>
          <w:lang w:val="en-US" w:eastAsia="zh-CN"/>
        </w:rPr>
        <w:t>229</w:t>
      </w:r>
      <w:r>
        <w:rPr>
          <w:rFonts w:hint="default" w:ascii="Times New Roman" w:hAnsi="Times New Roman" w:eastAsia="方正仿宋_GBK" w:cs="Times New Roman"/>
          <w:color w:val="auto"/>
          <w:sz w:val="32"/>
          <w:szCs w:val="32"/>
        </w:rPr>
        <w:t>号）</w:t>
      </w:r>
      <w:r>
        <w:rPr>
          <w:rFonts w:hint="default" w:ascii="Times New Roman" w:hAnsi="Times New Roman" w:eastAsia="方正仿宋_GBK" w:cs="Times New Roman"/>
          <w:color w:val="auto"/>
          <w:sz w:val="32"/>
          <w:szCs w:val="32"/>
          <w:lang w:eastAsia="zh-CN"/>
        </w:rPr>
        <w:t>》《玉溪市养老服务体系建设“十三五”规划（</w:t>
      </w:r>
      <w:r>
        <w:rPr>
          <w:rFonts w:hint="default" w:ascii="Times New Roman" w:hAnsi="Times New Roman" w:eastAsia="方正仿宋_GBK" w:cs="Times New Roman"/>
          <w:color w:val="auto"/>
          <w:sz w:val="32"/>
          <w:szCs w:val="32"/>
          <w:lang w:val="en-US" w:eastAsia="zh-CN"/>
        </w:rPr>
        <w:t>2015-2020</w:t>
      </w:r>
      <w:r>
        <w:rPr>
          <w:rFonts w:hint="default"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sz w:val="32"/>
          <w:szCs w:val="32"/>
          <w:lang w:val="en-US" w:eastAsia="zh-CN"/>
        </w:rPr>
        <w:t>《云南省人民政府办公厅关于支持社会力量发展养老服务业的实施意见》（云政办发〔2017〕114号）。</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s="黑体"/>
          <w:color w:val="auto"/>
          <w:kern w:val="0"/>
          <w:sz w:val="32"/>
          <w:szCs w:val="32"/>
          <w:highlight w:val="none"/>
          <w:lang w:eastAsia="zh-CN"/>
        </w:rPr>
      </w:pPr>
      <w:r>
        <w:rPr>
          <w:rFonts w:hint="eastAsia" w:ascii="黑体" w:hAnsi="黑体" w:eastAsia="黑体" w:cs="黑体"/>
          <w:color w:val="auto"/>
          <w:kern w:val="0"/>
          <w:sz w:val="32"/>
          <w:szCs w:val="32"/>
          <w:highlight w:val="none"/>
          <w:lang w:eastAsia="zh-CN"/>
        </w:rPr>
        <w:t>三、项目实施单位</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eastAsia="仿宋_GB2312"/>
          <w:color w:val="auto"/>
          <w:kern w:val="0"/>
          <w:sz w:val="32"/>
          <w:szCs w:val="32"/>
          <w:highlight w:val="none"/>
        </w:rPr>
      </w:pPr>
      <w:r>
        <w:rPr>
          <w:rFonts w:hint="eastAsia" w:ascii="方正仿宋_GBK" w:hAnsi="方正仿宋_GBK" w:eastAsia="方正仿宋_GBK" w:cs="方正仿宋_GBK"/>
          <w:b w:val="0"/>
          <w:bCs w:val="0"/>
          <w:kern w:val="2"/>
          <w:sz w:val="32"/>
          <w:szCs w:val="32"/>
          <w:lang w:val="en-US" w:eastAsia="zh-CN" w:bidi="ar-SA"/>
        </w:rPr>
        <w:t>玉溪市各县（市、区）民政局。</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s="黑体"/>
          <w:color w:val="auto"/>
          <w:kern w:val="0"/>
          <w:sz w:val="32"/>
          <w:szCs w:val="32"/>
          <w:highlight w:val="none"/>
          <w:lang w:eastAsia="zh-CN"/>
        </w:rPr>
      </w:pPr>
      <w:r>
        <w:rPr>
          <w:rFonts w:hint="eastAsia" w:ascii="黑体" w:hAnsi="黑体" w:eastAsia="黑体" w:cs="黑体"/>
          <w:color w:val="auto"/>
          <w:kern w:val="0"/>
          <w:sz w:val="32"/>
          <w:szCs w:val="32"/>
          <w:highlight w:val="none"/>
          <w:lang w:eastAsia="zh-CN"/>
        </w:rPr>
        <w:t>四、项目基本概况</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eastAsia="方正仿宋_GBK"/>
          <w:color w:val="auto"/>
          <w:kern w:val="0"/>
          <w:sz w:val="32"/>
          <w:szCs w:val="32"/>
          <w:highlight w:val="none"/>
          <w:lang w:eastAsia="zh-CN"/>
        </w:rPr>
      </w:pP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努力构建</w:t>
      </w:r>
      <w:r>
        <w:rPr>
          <w:rFonts w:hint="default" w:ascii="Times New Roman" w:hAnsi="Times New Roman" w:eastAsia="方正仿宋_GBK" w:cs="Times New Roman"/>
          <w:color w:val="000000" w:themeColor="text1"/>
          <w:sz w:val="32"/>
          <w:szCs w:val="32"/>
          <w14:textFill>
            <w14:solidFill>
              <w14:schemeClr w14:val="tx1"/>
            </w14:solidFill>
          </w14:textFill>
        </w:rPr>
        <w:t>以居家为基础、社区为依托、机构</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充分发展</w:t>
      </w:r>
      <w:r>
        <w:rPr>
          <w:rFonts w:hint="default" w:ascii="Times New Roman" w:hAnsi="Times New Roman" w:eastAsia="方正仿宋_GBK" w:cs="Times New Roman"/>
          <w:color w:val="000000" w:themeColor="text1"/>
          <w:sz w:val="32"/>
          <w:szCs w:val="32"/>
          <w14:textFill>
            <w14:solidFill>
              <w14:schemeClr w14:val="tx1"/>
            </w14:solidFill>
          </w14:textFill>
        </w:rPr>
        <w:t>、医养</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有机</w:t>
      </w:r>
      <w:r>
        <w:rPr>
          <w:rFonts w:hint="default" w:ascii="Times New Roman" w:hAnsi="Times New Roman" w:eastAsia="方正仿宋_GBK" w:cs="Times New Roman"/>
          <w:color w:val="000000" w:themeColor="text1"/>
          <w:sz w:val="32"/>
          <w:szCs w:val="32"/>
          <w14:textFill>
            <w14:solidFill>
              <w14:schemeClr w14:val="tx1"/>
            </w14:solidFill>
          </w14:textFill>
        </w:rPr>
        <w:t>结合的养老服务大格局，</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争取到</w:t>
      </w:r>
      <w:r>
        <w:rPr>
          <w:rFonts w:hint="default" w:ascii="Times New Roman" w:hAnsi="Times New Roman" w:eastAsia="方正仿宋_GBK" w:cs="Times New Roman"/>
          <w:color w:val="000000" w:themeColor="text1"/>
          <w:sz w:val="32"/>
          <w:szCs w:val="32"/>
          <w14:textFill>
            <w14:solidFill>
              <w14:schemeClr w14:val="tx1"/>
            </w14:solidFill>
          </w14:textFill>
        </w:rPr>
        <w:t>2025年，全面建立与玉溪市经济社会发展水平、老龄人口规模和结构相适应的，以不断满足老年人多样化、多层次的养老服务需求为出发点和落脚点，体制机制创新，设施全面覆盖，能力显著提升，城乡共享</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的养老服务体系。</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黑体" w:hAnsi="黑体" w:eastAsia="黑体" w:cs="黑体"/>
          <w:color w:val="auto"/>
          <w:kern w:val="0"/>
          <w:sz w:val="32"/>
          <w:szCs w:val="32"/>
          <w:highlight w:val="none"/>
          <w:lang w:eastAsia="zh-CN"/>
        </w:rPr>
      </w:pPr>
      <w:r>
        <w:rPr>
          <w:rFonts w:hint="eastAsia" w:ascii="黑体" w:hAnsi="黑体" w:eastAsia="黑体" w:cs="黑体"/>
          <w:color w:val="auto"/>
          <w:kern w:val="0"/>
          <w:sz w:val="32"/>
          <w:szCs w:val="32"/>
          <w:highlight w:val="none"/>
          <w:lang w:eastAsia="zh-CN"/>
        </w:rPr>
        <w:t>五、项目实施内容</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eastAsia" w:ascii="方正仿宋_GBK" w:hAnsi="方正仿宋_GBK" w:eastAsia="方正仿宋_GBK" w:cs="方正仿宋_GBK"/>
          <w:sz w:val="32"/>
          <w:szCs w:val="32"/>
          <w:lang w:eastAsia="zh-CN"/>
        </w:rPr>
        <w:t>按照“十四五”末</w:t>
      </w:r>
      <w:r>
        <w:rPr>
          <w:rFonts w:hint="default" w:ascii="Times New Roman" w:hAnsi="Times New Roman" w:eastAsia="方正仿宋_GBK" w:cs="Times New Roman"/>
          <w:color w:val="000000" w:themeColor="text1"/>
          <w:sz w:val="32"/>
          <w:szCs w:val="32"/>
          <w14:textFill>
            <w14:solidFill>
              <w14:schemeClr w14:val="tx1"/>
            </w14:solidFill>
          </w14:textFill>
        </w:rPr>
        <w:t>，实现全市乡镇（街道）养老服务中心全覆盖，县级以上每个县（市、区）最少有</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1</w:t>
      </w:r>
      <w:r>
        <w:rPr>
          <w:rFonts w:hint="default" w:ascii="Times New Roman" w:hAnsi="Times New Roman" w:eastAsia="方正仿宋_GBK" w:cs="Times New Roman"/>
          <w:color w:val="000000" w:themeColor="text1"/>
          <w:sz w:val="32"/>
          <w:szCs w:val="32"/>
          <w14:textFill>
            <w14:solidFill>
              <w14:schemeClr w14:val="tx1"/>
            </w14:solidFill>
          </w14:textFill>
        </w:rPr>
        <w:t>个以上社会化养老服务机构。城市社区养老服务覆盖率达100%，农村社区覆盖率达80%</w:t>
      </w:r>
      <w:r>
        <w:rPr>
          <w:rFonts w:hint="eastAsia" w:ascii="Times New Roman" w:hAnsi="Times New Roman" w:eastAsia="方正仿宋_GBK" w:cs="Times New Roman"/>
          <w:color w:val="000000" w:themeColor="text1"/>
          <w:sz w:val="32"/>
          <w:szCs w:val="32"/>
          <w:lang w:eastAsia="zh-CN"/>
          <w14:textFill>
            <w14:solidFill>
              <w14:schemeClr w14:val="tx1"/>
            </w14:solidFill>
          </w14:textFill>
        </w:rPr>
        <w:t>的目标，加大养老机构和城乡社区养老服务设施建设的资金支持力度，推动一批养老服务设施新建或者改造提升项目</w:t>
      </w:r>
      <w:r>
        <w:rPr>
          <w:rFonts w:hint="default" w:ascii="Times New Roman" w:hAnsi="Times New Roman" w:eastAsia="方正仿宋_GBK" w:cs="Times New Roman"/>
          <w:color w:val="000000" w:themeColor="text1"/>
          <w:sz w:val="32"/>
          <w:szCs w:val="32"/>
          <w14:textFill>
            <w14:solidFill>
              <w14:schemeClr w14:val="tx1"/>
            </w14:solidFill>
          </w14:textFill>
        </w:rPr>
        <w:t>。</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lang w:eastAsia="zh-CN"/>
        </w:rPr>
      </w:pPr>
      <w:r>
        <w:rPr>
          <w:rFonts w:hint="eastAsia" w:ascii="黑体" w:hAnsi="黑体" w:eastAsia="黑体" w:cs="黑体"/>
          <w:color w:val="auto"/>
          <w:kern w:val="0"/>
          <w:sz w:val="32"/>
          <w:szCs w:val="32"/>
          <w:highlight w:val="none"/>
          <w:lang w:eastAsia="zh-CN"/>
        </w:rPr>
        <w:t>六、资金安排情况</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default" w:ascii="Times New Roman" w:hAnsi="Times New Roman" w:eastAsia="方正仿宋_GBK" w:cs="Times New Roman"/>
          <w:color w:val="auto"/>
          <w:kern w:val="0"/>
          <w:sz w:val="32"/>
          <w:szCs w:val="32"/>
          <w:highlight w:val="none"/>
          <w:lang w:eastAsia="zh-CN"/>
        </w:rPr>
      </w:pPr>
      <w:r>
        <w:rPr>
          <w:rFonts w:hint="default" w:ascii="Times New Roman" w:hAnsi="Times New Roman" w:eastAsia="方正仿宋_GBK" w:cs="Times New Roman"/>
          <w:kern w:val="0"/>
          <w:sz w:val="32"/>
          <w:szCs w:val="32"/>
          <w:lang w:val="en-US" w:eastAsia="zh-CN" w:bidi="ar-SA"/>
        </w:rPr>
        <w:t>根据《云南省老龄工作委员会办公室居家养老服务中心项目建设专项资金管理办法（试行）》规定，</w:t>
      </w:r>
      <w:r>
        <w:rPr>
          <w:rFonts w:hint="eastAsia" w:eastAsia="方正仿宋_GBK" w:cs="Times New Roman"/>
          <w:kern w:val="0"/>
          <w:sz w:val="32"/>
          <w:szCs w:val="32"/>
          <w:lang w:val="en-US" w:eastAsia="zh-CN" w:bidi="ar-SA"/>
        </w:rPr>
        <w:t>新建</w:t>
      </w:r>
      <w:r>
        <w:rPr>
          <w:rFonts w:hint="default" w:ascii="Times New Roman" w:hAnsi="Times New Roman" w:eastAsia="方正仿宋_GBK" w:cs="Times New Roman"/>
          <w:kern w:val="0"/>
          <w:sz w:val="32"/>
          <w:szCs w:val="32"/>
          <w:lang w:val="en-US" w:eastAsia="zh-CN" w:bidi="ar-SA"/>
        </w:rPr>
        <w:t>城市社区居家养老服务中心市级补助资金48万元、农村社区居家养老服务中心市级补助资金24万元、农村互助养老服务站市级补助资金16万元。其它养老服务设施按照项目和因素法分配。</w:t>
      </w:r>
    </w:p>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ascii="方正仿宋_GBK" w:hAnsi="方正仿宋_GBK" w:eastAsia="方正仿宋_GBK" w:cs="方正仿宋_GBK"/>
          <w:color w:val="auto"/>
          <w:kern w:val="0"/>
          <w:sz w:val="28"/>
          <w:szCs w:val="28"/>
          <w:highlight w:val="none"/>
          <w:lang w:eastAsia="zh-CN"/>
        </w:rPr>
      </w:pPr>
      <w:r>
        <w:rPr>
          <w:rFonts w:hint="eastAsia" w:ascii="黑体" w:hAnsi="黑体" w:eastAsia="黑体" w:cs="黑体"/>
          <w:color w:val="auto"/>
          <w:kern w:val="0"/>
          <w:sz w:val="32"/>
          <w:szCs w:val="32"/>
          <w:highlight w:val="none"/>
          <w:lang w:eastAsia="zh-CN"/>
        </w:rPr>
        <w:t>七、项目实施计划</w:t>
      </w:r>
      <w:r>
        <w:rPr>
          <w:rFonts w:hint="eastAsia" w:ascii="黑体" w:hAnsi="黑体" w:eastAsia="黑体" w:cs="黑体"/>
          <w:color w:val="auto"/>
          <w:kern w:val="0"/>
          <w:sz w:val="32"/>
          <w:szCs w:val="32"/>
          <w:highlight w:val="none"/>
          <w:lang w:val="en-US" w:eastAsia="zh-CN"/>
        </w:rPr>
        <w:t xml:space="preserve">                     </w:t>
      </w:r>
      <w:r>
        <w:rPr>
          <w:rFonts w:hint="eastAsia" w:ascii="方正仿宋_GBK" w:hAnsi="方正仿宋_GBK" w:eastAsia="方正仿宋_GBK" w:cs="方正仿宋_GBK"/>
          <w:color w:val="auto"/>
          <w:kern w:val="0"/>
          <w:sz w:val="28"/>
          <w:szCs w:val="28"/>
          <w:highlight w:val="none"/>
          <w:lang w:eastAsia="zh-CN"/>
        </w:rPr>
        <w:t>单位：万元</w:t>
      </w:r>
    </w:p>
    <w:tbl>
      <w:tblPr>
        <w:tblStyle w:val="4"/>
        <w:tblW w:w="856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1756"/>
        <w:gridCol w:w="2231"/>
        <w:gridCol w:w="2396"/>
        <w:gridCol w:w="217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val="0"/>
                <w:bCs/>
                <w:i w:val="0"/>
                <w:color w:val="000000"/>
                <w:kern w:val="0"/>
                <w:sz w:val="28"/>
                <w:szCs w:val="28"/>
                <w:u w:val="none"/>
                <w:lang w:val="en-US" w:eastAsia="zh-CN" w:bidi="ar"/>
              </w:rPr>
            </w:pPr>
            <w:r>
              <w:rPr>
                <w:rFonts w:hint="eastAsia" w:ascii="方正仿宋_GBK" w:hAnsi="方正仿宋_GBK" w:eastAsia="方正仿宋_GBK" w:cs="方正仿宋_GBK"/>
                <w:b w:val="0"/>
                <w:bCs/>
                <w:i w:val="0"/>
                <w:color w:val="000000"/>
                <w:kern w:val="0"/>
                <w:sz w:val="28"/>
                <w:szCs w:val="28"/>
                <w:u w:val="none"/>
                <w:lang w:val="en-US" w:eastAsia="zh-CN" w:bidi="ar"/>
              </w:rPr>
              <w:t>县（市、区）名称</w:t>
            </w:r>
          </w:p>
        </w:tc>
        <w:tc>
          <w:tcPr>
            <w:tcW w:w="2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val="0"/>
                <w:bCs/>
                <w:i w:val="0"/>
                <w:color w:val="000000"/>
                <w:kern w:val="0"/>
                <w:sz w:val="28"/>
                <w:szCs w:val="28"/>
                <w:u w:val="none"/>
                <w:lang w:val="en-US" w:eastAsia="zh-CN" w:bidi="ar"/>
              </w:rPr>
            </w:pPr>
            <w:r>
              <w:rPr>
                <w:rFonts w:hint="eastAsia" w:ascii="方正仿宋_GBK" w:hAnsi="方正仿宋_GBK" w:eastAsia="方正仿宋_GBK" w:cs="方正仿宋_GBK"/>
                <w:b w:val="0"/>
                <w:bCs/>
                <w:i w:val="0"/>
                <w:color w:val="000000"/>
                <w:kern w:val="0"/>
                <w:sz w:val="28"/>
                <w:szCs w:val="28"/>
                <w:u w:val="none"/>
                <w:lang w:val="en-US" w:eastAsia="zh-CN" w:bidi="ar"/>
              </w:rPr>
              <w:t>居家养老服务中心建设市级配套</w:t>
            </w:r>
          </w:p>
        </w:tc>
        <w:tc>
          <w:tcPr>
            <w:tcW w:w="2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val="0"/>
                <w:bCs/>
                <w:i w:val="0"/>
                <w:color w:val="000000"/>
                <w:kern w:val="0"/>
                <w:sz w:val="28"/>
                <w:szCs w:val="28"/>
                <w:u w:val="none"/>
                <w:lang w:val="en-US" w:eastAsia="zh-CN" w:bidi="ar"/>
              </w:rPr>
            </w:pPr>
            <w:r>
              <w:rPr>
                <w:rFonts w:hint="eastAsia" w:ascii="方正仿宋_GBK" w:hAnsi="方正仿宋_GBK" w:eastAsia="方正仿宋_GBK" w:cs="方正仿宋_GBK"/>
                <w:b w:val="0"/>
                <w:bCs/>
                <w:i w:val="0"/>
                <w:color w:val="000000"/>
                <w:kern w:val="0"/>
                <w:sz w:val="28"/>
                <w:szCs w:val="28"/>
                <w:u w:val="none"/>
                <w:lang w:val="en-US" w:eastAsia="zh-CN" w:bidi="ar"/>
              </w:rPr>
              <w:t>其它养老服务</w:t>
            </w:r>
          </w:p>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val="0"/>
                <w:bCs/>
                <w:i w:val="0"/>
                <w:color w:val="000000"/>
                <w:sz w:val="28"/>
                <w:szCs w:val="28"/>
                <w:u w:val="none"/>
              </w:rPr>
            </w:pPr>
            <w:r>
              <w:rPr>
                <w:rFonts w:hint="eastAsia" w:ascii="方正仿宋_GBK" w:hAnsi="方正仿宋_GBK" w:eastAsia="方正仿宋_GBK" w:cs="方正仿宋_GBK"/>
                <w:b w:val="0"/>
                <w:bCs/>
                <w:i w:val="0"/>
                <w:color w:val="000000"/>
                <w:kern w:val="0"/>
                <w:sz w:val="28"/>
                <w:szCs w:val="28"/>
                <w:u w:val="none"/>
                <w:lang w:val="en-US" w:eastAsia="zh-CN" w:bidi="ar"/>
              </w:rPr>
              <w:t>设施建设</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b w:val="0"/>
                <w:bCs/>
                <w:i w:val="0"/>
                <w:color w:val="000000"/>
                <w:sz w:val="28"/>
                <w:szCs w:val="28"/>
                <w:u w:val="none"/>
              </w:rPr>
            </w:pPr>
            <w:r>
              <w:rPr>
                <w:rFonts w:hint="eastAsia" w:ascii="方正仿宋_GBK" w:hAnsi="方正仿宋_GBK" w:eastAsia="方正仿宋_GBK" w:cs="方正仿宋_GBK"/>
                <w:b w:val="0"/>
                <w:bCs/>
                <w:i w:val="0"/>
                <w:color w:val="000000"/>
                <w:kern w:val="0"/>
                <w:sz w:val="28"/>
                <w:szCs w:val="28"/>
                <w:u w:val="none"/>
                <w:lang w:val="en-US" w:eastAsia="zh-CN" w:bidi="ar"/>
              </w:rPr>
              <w:t>合计预算补助</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红塔区</w:t>
            </w:r>
          </w:p>
        </w:tc>
        <w:tc>
          <w:tcPr>
            <w:tcW w:w="2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firstLine="440" w:firstLineChars="200"/>
              <w:jc w:val="center"/>
              <w:rPr>
                <w:rFonts w:hint="eastAsia" w:ascii="方正仿宋_GBK" w:hAnsi="方正仿宋_GBK" w:eastAsia="方正仿宋_GBK" w:cs="方正仿宋_GBK"/>
                <w:i w:val="0"/>
                <w:color w:val="000000"/>
                <w:sz w:val="22"/>
                <w:szCs w:val="22"/>
                <w:u w:val="none"/>
              </w:rPr>
            </w:pPr>
          </w:p>
        </w:tc>
        <w:tc>
          <w:tcPr>
            <w:tcW w:w="2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54</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江川区</w:t>
            </w:r>
          </w:p>
        </w:tc>
        <w:tc>
          <w:tcPr>
            <w:tcW w:w="2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96</w:t>
            </w:r>
          </w:p>
        </w:tc>
        <w:tc>
          <w:tcPr>
            <w:tcW w:w="2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60</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澄江县</w:t>
            </w:r>
          </w:p>
        </w:tc>
        <w:tc>
          <w:tcPr>
            <w:tcW w:w="2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24</w:t>
            </w:r>
          </w:p>
        </w:tc>
        <w:tc>
          <w:tcPr>
            <w:tcW w:w="2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100</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通海县</w:t>
            </w:r>
          </w:p>
        </w:tc>
        <w:tc>
          <w:tcPr>
            <w:tcW w:w="2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firstLine="440" w:firstLineChars="200"/>
              <w:jc w:val="center"/>
              <w:rPr>
                <w:rFonts w:hint="eastAsia" w:ascii="方正仿宋_GBK" w:hAnsi="方正仿宋_GBK" w:eastAsia="方正仿宋_GBK" w:cs="方正仿宋_GBK"/>
                <w:i w:val="0"/>
                <w:color w:val="000000"/>
                <w:sz w:val="22"/>
                <w:szCs w:val="22"/>
                <w:u w:val="none"/>
              </w:rPr>
            </w:pPr>
          </w:p>
        </w:tc>
        <w:tc>
          <w:tcPr>
            <w:tcW w:w="2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60</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华宁县</w:t>
            </w:r>
          </w:p>
        </w:tc>
        <w:tc>
          <w:tcPr>
            <w:tcW w:w="2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firstLine="440" w:firstLineChars="200"/>
              <w:jc w:val="center"/>
              <w:rPr>
                <w:rFonts w:hint="eastAsia" w:ascii="方正仿宋_GBK" w:hAnsi="方正仿宋_GBK" w:eastAsia="方正仿宋_GBK" w:cs="方正仿宋_GBK"/>
                <w:i w:val="0"/>
                <w:color w:val="000000"/>
                <w:sz w:val="22"/>
                <w:szCs w:val="22"/>
                <w:u w:val="none"/>
              </w:rPr>
            </w:pPr>
          </w:p>
        </w:tc>
        <w:tc>
          <w:tcPr>
            <w:tcW w:w="2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100</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易门县</w:t>
            </w:r>
          </w:p>
        </w:tc>
        <w:tc>
          <w:tcPr>
            <w:tcW w:w="2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kinsoku/>
              <w:wordWrap/>
              <w:overflowPunct/>
              <w:topLinePunct w:val="0"/>
              <w:autoSpaceDE/>
              <w:autoSpaceDN/>
              <w:bidi w:val="0"/>
              <w:adjustRightInd/>
              <w:snapToGrid/>
              <w:spacing w:line="240" w:lineRule="exact"/>
              <w:ind w:firstLine="440" w:firstLineChars="200"/>
              <w:jc w:val="center"/>
              <w:rPr>
                <w:rFonts w:hint="eastAsia" w:ascii="方正仿宋_GBK" w:hAnsi="方正仿宋_GBK" w:eastAsia="方正仿宋_GBK" w:cs="方正仿宋_GBK"/>
                <w:i w:val="0"/>
                <w:color w:val="000000"/>
                <w:sz w:val="22"/>
                <w:szCs w:val="22"/>
                <w:u w:val="none"/>
              </w:rPr>
            </w:pPr>
          </w:p>
        </w:tc>
        <w:tc>
          <w:tcPr>
            <w:tcW w:w="2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100</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峨山县</w:t>
            </w:r>
          </w:p>
        </w:tc>
        <w:tc>
          <w:tcPr>
            <w:tcW w:w="2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38</w:t>
            </w:r>
          </w:p>
        </w:tc>
        <w:tc>
          <w:tcPr>
            <w:tcW w:w="2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70</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新平县</w:t>
            </w:r>
          </w:p>
        </w:tc>
        <w:tc>
          <w:tcPr>
            <w:tcW w:w="223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12</w:t>
            </w:r>
          </w:p>
        </w:tc>
        <w:tc>
          <w:tcPr>
            <w:tcW w:w="239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150</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元江县</w:t>
            </w:r>
          </w:p>
        </w:tc>
        <w:tc>
          <w:tcPr>
            <w:tcW w:w="22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36</w:t>
            </w:r>
          </w:p>
        </w:tc>
        <w:tc>
          <w:tcPr>
            <w:tcW w:w="23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100</w:t>
            </w:r>
          </w:p>
        </w:tc>
        <w:tc>
          <w:tcPr>
            <w:tcW w:w="217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0" w:hRule="atLeast"/>
        </w:trPr>
        <w:tc>
          <w:tcPr>
            <w:tcW w:w="175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合计</w:t>
            </w:r>
          </w:p>
        </w:tc>
        <w:tc>
          <w:tcPr>
            <w:tcW w:w="223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206</w:t>
            </w:r>
          </w:p>
        </w:tc>
        <w:tc>
          <w:tcPr>
            <w:tcW w:w="2396"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794</w:t>
            </w:r>
          </w:p>
        </w:tc>
        <w:tc>
          <w:tcPr>
            <w:tcW w:w="217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center"/>
              <w:textAlignment w:val="center"/>
              <w:rPr>
                <w:rFonts w:hint="eastAsia" w:ascii="方正仿宋_GBK" w:hAnsi="方正仿宋_GBK" w:eastAsia="方正仿宋_GBK" w:cs="方正仿宋_GBK"/>
                <w:i w:val="0"/>
                <w:color w:val="000000"/>
                <w:sz w:val="22"/>
                <w:szCs w:val="22"/>
                <w:u w:val="none"/>
              </w:rPr>
            </w:pPr>
            <w:r>
              <w:rPr>
                <w:rFonts w:hint="eastAsia" w:ascii="方正仿宋_GBK" w:hAnsi="方正仿宋_GBK" w:eastAsia="方正仿宋_GBK" w:cs="方正仿宋_GBK"/>
                <w:i w:val="0"/>
                <w:color w:val="000000"/>
                <w:kern w:val="0"/>
                <w:sz w:val="22"/>
                <w:szCs w:val="22"/>
                <w:u w:val="none"/>
                <w:lang w:val="en-US" w:eastAsia="zh-CN" w:bidi="ar"/>
              </w:rPr>
              <w:t>1000</w:t>
            </w:r>
          </w:p>
        </w:tc>
      </w:tr>
    </w:tbl>
    <w:p>
      <w:pPr>
        <w:keepNext w:val="0"/>
        <w:keepLines w:val="0"/>
        <w:pageBreakBefore w:val="0"/>
        <w:widowControl/>
        <w:numPr>
          <w:ilvl w:val="0"/>
          <w:numId w:val="0"/>
        </w:numPr>
        <w:kinsoku/>
        <w:wordWrap/>
        <w:overflowPunct/>
        <w:topLinePunct w:val="0"/>
        <w:autoSpaceDE/>
        <w:autoSpaceDN/>
        <w:bidi w:val="0"/>
        <w:adjustRightInd/>
        <w:snapToGrid/>
        <w:spacing w:line="560" w:lineRule="exact"/>
        <w:ind w:right="0" w:rightChars="0" w:firstLine="640" w:firstLineChars="200"/>
        <w:jc w:val="left"/>
        <w:textAlignment w:val="auto"/>
        <w:outlineLvl w:val="9"/>
        <w:rPr>
          <w:rFonts w:hint="eastAsia"/>
          <w:lang w:eastAsia="zh-CN"/>
        </w:rPr>
      </w:pPr>
      <w:r>
        <w:rPr>
          <w:rFonts w:hint="eastAsia" w:ascii="黑体" w:hAnsi="黑体" w:eastAsia="黑体" w:cs="黑体"/>
          <w:color w:val="auto"/>
          <w:kern w:val="0"/>
          <w:sz w:val="32"/>
          <w:szCs w:val="32"/>
          <w:highlight w:val="none"/>
          <w:lang w:eastAsia="zh-CN"/>
        </w:rPr>
        <w:t>八、项目实施成效</w:t>
      </w:r>
    </w:p>
    <w:p>
      <w:pPr>
        <w:keepNext w:val="0"/>
        <w:keepLines w:val="0"/>
        <w:pageBreakBefore w:val="0"/>
        <w:widowControl/>
        <w:kinsoku/>
        <w:wordWrap/>
        <w:overflowPunct/>
        <w:topLinePunct w:val="0"/>
        <w:autoSpaceDE/>
        <w:autoSpaceDN/>
        <w:bidi w:val="0"/>
        <w:adjustRightInd/>
        <w:snapToGrid/>
        <w:spacing w:line="560" w:lineRule="exact"/>
        <w:ind w:right="0" w:rightChars="0" w:firstLine="640" w:firstLineChars="200"/>
        <w:jc w:val="left"/>
        <w:textAlignment w:val="auto"/>
        <w:outlineLvl w:val="9"/>
      </w:pPr>
      <w:r>
        <w:rPr>
          <w:rFonts w:hint="eastAsia" w:eastAsia="方正仿宋_GBK" w:cs="Times New Roman"/>
          <w:sz w:val="32"/>
          <w:szCs w:val="32"/>
          <w:lang w:eastAsia="zh-CN"/>
        </w:rPr>
        <w:t>深入推进省级养老服务业综合改革试点改革工作，</w:t>
      </w:r>
      <w:r>
        <w:rPr>
          <w:rFonts w:hint="default" w:ascii="Times New Roman" w:hAnsi="Times New Roman" w:eastAsia="方正仿宋_GBK" w:cs="Times New Roman"/>
          <w:sz w:val="32"/>
          <w:szCs w:val="32"/>
        </w:rPr>
        <w:t>充分发挥政府的主导引领作用，深化体制改革，注重统筹发展，突出保障基本，</w:t>
      </w:r>
      <w:r>
        <w:rPr>
          <w:rFonts w:hint="eastAsia" w:eastAsia="方正仿宋_GBK" w:cs="Times New Roman"/>
          <w:sz w:val="32"/>
          <w:szCs w:val="32"/>
          <w:lang w:eastAsia="zh-CN"/>
        </w:rPr>
        <w:t>促使省政府十件惠民实事“云南阳关惠老工程”玉溪建设任务圆满完成</w:t>
      </w:r>
      <w:r>
        <w:rPr>
          <w:rFonts w:hint="eastAsia" w:ascii="方正仿宋_GBK" w:hAnsi="方正仿宋_GBK" w:eastAsia="方正仿宋_GBK" w:cs="方正仿宋_GBK"/>
          <w:sz w:val="32"/>
          <w:szCs w:val="32"/>
          <w:lang w:val="en-US" w:eastAsia="zh-CN"/>
        </w:rPr>
        <w:t>。</w:t>
      </w:r>
      <w:r>
        <w:rPr>
          <w:rFonts w:hint="eastAsia" w:ascii="Times New Roman" w:hAnsi="Times New Roman" w:eastAsia="方正仿宋_GBK" w:cs="Times New Roman"/>
          <w:sz w:val="32"/>
          <w:szCs w:val="32"/>
          <w:lang w:val="en-US" w:eastAsia="zh-CN"/>
        </w:rPr>
        <w:t xml:space="preserve"> </w:t>
      </w:r>
    </w:p>
    <w:sectPr>
      <w:headerReference r:id="rId3" w:type="default"/>
      <w:headerReference r:id="rId4" w:type="even"/>
      <w:pgSz w:w="11906" w:h="16838"/>
      <w:pgMar w:top="2098" w:right="1474" w:bottom="198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810765"/>
    <w:rsid w:val="04FE2086"/>
    <w:rsid w:val="0CA7368F"/>
    <w:rsid w:val="0F46340F"/>
    <w:rsid w:val="14704D63"/>
    <w:rsid w:val="27810765"/>
    <w:rsid w:val="2E27308F"/>
    <w:rsid w:val="5EE6778C"/>
    <w:rsid w:val="64CD4BB1"/>
    <w:rsid w:val="6EDB0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99"/>
    <w:pPr>
      <w:ind w:firstLine="150" w:firstLineChars="150"/>
      <w:outlineLvl w:val="1"/>
    </w:pPr>
    <w:rPr>
      <w:rFonts w:ascii="Cambria" w:hAnsi="Cambria" w:eastAsia="仿宋_GB2312" w:cs="Cambria"/>
      <w:b/>
      <w:bCs/>
    </w:rPr>
  </w:style>
  <w:style w:type="character" w:default="1" w:styleId="5">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rPr>
  </w:style>
  <w:style w:type="paragraph" w:customStyle="1" w:styleId="7">
    <w:name w:val="行间距"/>
    <w:basedOn w:val="1"/>
    <w:qFormat/>
    <w:uiPriority w:val="0"/>
    <w:pPr>
      <w:spacing w:line="579" w:lineRule="exact"/>
      <w:ind w:firstLine="600" w:firstLineChars="200"/>
    </w:pPr>
    <w:rPr>
      <w:rFonts w:ascii="仿宋" w:hAnsi="仿宋" w:eastAsia="仿宋" w:cs="Times New Roman"/>
      <w:kern w:val="30"/>
      <w:sz w:val="30"/>
      <w:szCs w:val="30"/>
    </w:rPr>
  </w:style>
  <w:style w:type="character" w:customStyle="1" w:styleId="8">
    <w:name w:val="ca-32"/>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玉溪市直属党政机关单位</Company>
  <Pages>1</Pages>
  <Words>0</Words>
  <Characters>0</Characters>
  <Lines>0</Lines>
  <Paragraphs>0</Paragraphs>
  <TotalTime>0</TotalTime>
  <ScaleCrop>false</ScaleCrop>
  <LinksUpToDate>false</LinksUpToDate>
  <CharactersWithSpaces>0</CharactersWithSpaces>
  <Application>WPS Office_11.8.6.8722_F1E327BC-269C-435d-A152-05C5408002CA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2021-01-29T01:19:00Z</dcterms:created>
  <dc:creator>Administrator</dc:creator>
  <cp:lastModifiedBy>Administrator</cp:lastModifiedBy>
  <dcterms:modified xsi:type="dcterms:W3CDTF">2021-02-01T01:15:34Z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2052-11.8.6.8722</vt:lpwstr>
  </property>
</Properties>
</file>