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660" w:lineRule="exact"/>
        <w:ind w:left="0" w:right="0"/>
        <w:jc w:val="center"/>
        <w:textAlignment w:val="auto"/>
        <w:rPr>
          <w:rFonts w:hint="default" w:ascii="Times New Roman" w:hAnsi="Times New Roman" w:eastAsia="方正小标宋_GBK" w:cs="Times New Roman"/>
          <w:color w:val="000000"/>
          <w:kern w:val="0"/>
          <w:sz w:val="44"/>
          <w:szCs w:val="44"/>
          <w:shd w:val="clear" w:fill="FFFFFF"/>
          <w:lang w:bidi="ar"/>
        </w:rPr>
      </w:pPr>
      <w:r>
        <w:rPr>
          <w:rFonts w:hint="default" w:ascii="Times New Roman" w:hAnsi="Times New Roman" w:eastAsia="方正小标宋_GBK" w:cs="Times New Roman"/>
          <w:color w:val="000000"/>
          <w:kern w:val="0"/>
          <w:sz w:val="44"/>
          <w:szCs w:val="44"/>
          <w:shd w:val="clear" w:fill="FFFFFF"/>
          <w:lang w:bidi="ar"/>
        </w:rPr>
        <w:t>玉溪市农田建设与土壤肥料工作站</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660" w:lineRule="exact"/>
        <w:ind w:left="0" w:right="0"/>
        <w:jc w:val="center"/>
        <w:textAlignment w:val="auto"/>
        <w:rPr>
          <w:rFonts w:hint="default" w:ascii="Times New Roman" w:hAnsi="Times New Roman" w:eastAsia="方正小标宋_GBK" w:cs="Times New Roman"/>
          <w:color w:val="000000"/>
          <w:kern w:val="0"/>
          <w:sz w:val="44"/>
          <w:szCs w:val="44"/>
          <w:shd w:val="clear" w:fill="FFFFFF"/>
          <w:lang w:bidi="ar"/>
        </w:rPr>
      </w:pPr>
      <w:r>
        <w:rPr>
          <w:rFonts w:hint="default" w:ascii="Times New Roman" w:hAnsi="Times New Roman" w:eastAsia="方正小标宋_GBK" w:cs="Times New Roman"/>
          <w:color w:val="000000"/>
          <w:kern w:val="0"/>
          <w:sz w:val="44"/>
          <w:szCs w:val="44"/>
          <w:shd w:val="clear" w:fill="FFFFFF"/>
          <w:lang w:bidi="ar"/>
        </w:rPr>
        <w:t>20</w:t>
      </w:r>
      <w:bookmarkStart w:id="17" w:name="_GoBack"/>
      <w:bookmarkEnd w:id="17"/>
      <w:r>
        <w:rPr>
          <w:rFonts w:hint="default" w:ascii="Times New Roman" w:hAnsi="Times New Roman" w:eastAsia="方正小标宋_GBK" w:cs="Times New Roman"/>
          <w:color w:val="000000"/>
          <w:kern w:val="0"/>
          <w:sz w:val="44"/>
          <w:szCs w:val="44"/>
          <w:shd w:val="clear" w:fill="FFFFFF"/>
          <w:lang w:bidi="ar"/>
        </w:rPr>
        <w:t>20年度部门决算</w:t>
      </w:r>
    </w:p>
    <w:p>
      <w:pPr>
        <w:keepNext w:val="0"/>
        <w:keepLines w:val="0"/>
        <w:pageBreakBefore w:val="0"/>
        <w:widowControl w:val="0"/>
        <w:kinsoku/>
        <w:wordWrap/>
        <w:overflowPunct/>
        <w:autoSpaceDE w:val="0"/>
        <w:autoSpaceDN w:val="0"/>
        <w:bidi w:val="0"/>
        <w:spacing w:beforeAutospacing="0" w:afterAutospacing="0" w:line="590" w:lineRule="exact"/>
        <w:jc w:val="both"/>
        <w:textAlignment w:val="auto"/>
        <w:rPr>
          <w:rFonts w:hint="default" w:ascii="Times New Roman" w:hAnsi="Times New Roman" w:eastAsia="方正仿宋_GBK" w:cs="Times New Roman"/>
          <w:sz w:val="32"/>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90" w:lineRule="exact"/>
        <w:ind w:left="0" w:leftChars="0" w:right="0" w:firstLine="0" w:firstLineChars="0"/>
        <w:jc w:val="center"/>
        <w:textAlignment w:val="auto"/>
        <w:rPr>
          <w:rFonts w:hint="default" w:ascii="Times New Roman" w:hAnsi="Times New Roman" w:eastAsia="黑体" w:cs="Times New Roman"/>
          <w:color w:val="000000"/>
          <w:kern w:val="0"/>
          <w:sz w:val="36"/>
          <w:szCs w:val="36"/>
          <w:shd w:val="clear" w:fill="FFFFFF"/>
          <w:lang w:bidi="ar"/>
        </w:rPr>
      </w:pPr>
      <w:r>
        <w:rPr>
          <w:rFonts w:hint="default" w:ascii="Times New Roman" w:hAnsi="Times New Roman" w:eastAsia="黑体" w:cs="Times New Roman"/>
          <w:color w:val="000000"/>
          <w:kern w:val="0"/>
          <w:sz w:val="36"/>
          <w:szCs w:val="36"/>
          <w:shd w:val="clear" w:fill="FFFFFF"/>
          <w:lang w:bidi="ar"/>
        </w:rPr>
        <w:t>目</w:t>
      </w:r>
      <w:r>
        <w:rPr>
          <w:rFonts w:hint="default" w:ascii="Times New Roman" w:hAnsi="Times New Roman" w:eastAsia="黑体" w:cs="Times New Roman"/>
          <w:color w:val="000000"/>
          <w:kern w:val="0"/>
          <w:sz w:val="36"/>
          <w:szCs w:val="36"/>
          <w:shd w:val="clear" w:fill="FFFFFF"/>
          <w:lang w:eastAsia="zh-CN" w:bidi="ar"/>
        </w:rPr>
        <w:t>　</w:t>
      </w:r>
      <w:r>
        <w:rPr>
          <w:rFonts w:hint="default" w:ascii="Times New Roman" w:hAnsi="Times New Roman" w:eastAsia="黑体" w:cs="Times New Roman"/>
          <w:color w:val="000000"/>
          <w:kern w:val="0"/>
          <w:sz w:val="36"/>
          <w:szCs w:val="36"/>
          <w:shd w:val="clear" w:fill="FFFFFF"/>
          <w:lang w:bidi="ar"/>
        </w:rPr>
        <w:t>录</w:t>
      </w:r>
    </w:p>
    <w:p>
      <w:pPr>
        <w:pStyle w:val="11"/>
        <w:keepNext w:val="0"/>
        <w:keepLines w:val="0"/>
        <w:pageBreakBefore w:val="0"/>
        <w:widowControl w:val="0"/>
        <w:tabs>
          <w:tab w:val="right" w:leader="dot" w:pos="8844"/>
        </w:tabs>
        <w:kinsoku/>
        <w:wordWrap/>
        <w:overflowPunct/>
        <w:topLinePunct w:val="0"/>
        <w:autoSpaceDE/>
        <w:autoSpaceDN/>
        <w:bidi w:val="0"/>
        <w:adjustRightInd/>
        <w:spacing w:line="480" w:lineRule="exact"/>
        <w:textAlignment w:val="auto"/>
        <w:rPr>
          <w:rFonts w:hint="default" w:ascii="Times New Roman" w:hAnsi="Times New Roman" w:eastAsia="方正黑体_GBK" w:cs="Times New Roman"/>
          <w:sz w:val="32"/>
          <w:szCs w:val="32"/>
        </w:rPr>
      </w:pP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TOC \o "1-3" \h \u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_Toc4109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kern w:val="0"/>
          <w:sz w:val="32"/>
          <w:szCs w:val="32"/>
          <w:shd w:val="clear" w:fill="FFFFFF"/>
          <w:lang w:eastAsia="zh-CN" w:bidi="ar"/>
        </w:rPr>
        <w:t>第一部分 玉溪市农田建设与土壤肥料工作站概况</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_Toc4109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1</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pacing w:line="480" w:lineRule="exac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 HYPERLINK \l _Toc31754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楷体_GBK" w:cs="Times New Roman"/>
          <w:kern w:val="0"/>
          <w:sz w:val="32"/>
          <w:szCs w:val="32"/>
          <w:shd w:val="clear" w:fill="FFFFFF"/>
          <w:lang w:eastAsia="zh-CN" w:bidi="ar"/>
        </w:rPr>
        <w:t>一、主要职能</w:t>
      </w:r>
      <w:r>
        <w:rPr>
          <w:rFonts w:hint="default" w:ascii="Times New Roman" w:hAnsi="Times New Roman" w:eastAsia="方正楷体_GBK" w:cs="Times New Roman"/>
          <w:sz w:val="32"/>
          <w:szCs w:val="32"/>
        </w:rPr>
        <w:tab/>
      </w: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 PAGEREF _Toc31754 \h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楷体_GBK" w:cs="Times New Roman"/>
          <w:sz w:val="32"/>
          <w:szCs w:val="32"/>
        </w:rPr>
        <w:t>1</w:t>
      </w:r>
      <w:r>
        <w:rPr>
          <w:rFonts w:hint="default" w:ascii="Times New Roman" w:hAnsi="Times New Roman" w:eastAsia="方正楷体_GBK" w:cs="Times New Roman"/>
          <w:sz w:val="32"/>
          <w:szCs w:val="32"/>
        </w:rPr>
        <w:fldChar w:fldCharType="end"/>
      </w:r>
      <w:r>
        <w:rPr>
          <w:rFonts w:hint="default" w:ascii="Times New Roman" w:hAnsi="Times New Roman" w:eastAsia="方正楷体_GBK" w:cs="Times New Roman"/>
          <w:sz w:val="32"/>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pacing w:line="480" w:lineRule="exac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 HYPERLINK \l _Toc27449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楷体_GBK" w:cs="Times New Roman"/>
          <w:kern w:val="0"/>
          <w:sz w:val="32"/>
          <w:szCs w:val="32"/>
          <w:shd w:val="clear" w:fill="FFFFFF"/>
          <w:lang w:eastAsia="zh-CN" w:bidi="ar"/>
        </w:rPr>
        <w:t>二、部门基本情况</w:t>
      </w:r>
      <w:r>
        <w:rPr>
          <w:rFonts w:hint="default" w:ascii="Times New Roman" w:hAnsi="Times New Roman" w:eastAsia="方正楷体_GBK" w:cs="Times New Roman"/>
          <w:sz w:val="32"/>
          <w:szCs w:val="32"/>
        </w:rPr>
        <w:tab/>
      </w: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 PAGEREF _Toc27449 \h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楷体_GBK" w:cs="Times New Roman"/>
          <w:sz w:val="32"/>
          <w:szCs w:val="32"/>
        </w:rPr>
        <w:t>4</w:t>
      </w:r>
      <w:r>
        <w:rPr>
          <w:rFonts w:hint="default" w:ascii="Times New Roman" w:hAnsi="Times New Roman" w:eastAsia="方正楷体_GBK" w:cs="Times New Roman"/>
          <w:sz w:val="32"/>
          <w:szCs w:val="32"/>
        </w:rPr>
        <w:fldChar w:fldCharType="end"/>
      </w:r>
      <w:r>
        <w:rPr>
          <w:rFonts w:hint="default" w:ascii="Times New Roman" w:hAnsi="Times New Roman" w:eastAsia="方正楷体_GBK" w:cs="Times New Roman"/>
          <w:sz w:val="32"/>
          <w:szCs w:val="32"/>
        </w:rPr>
        <w:fldChar w:fldCharType="end"/>
      </w:r>
    </w:p>
    <w:p>
      <w:pPr>
        <w:pStyle w:val="11"/>
        <w:keepNext w:val="0"/>
        <w:keepLines w:val="0"/>
        <w:pageBreakBefore w:val="0"/>
        <w:widowControl w:val="0"/>
        <w:tabs>
          <w:tab w:val="right" w:leader="dot" w:pos="8844"/>
        </w:tabs>
        <w:kinsoku/>
        <w:wordWrap/>
        <w:overflowPunct/>
        <w:topLinePunct w:val="0"/>
        <w:autoSpaceDE/>
        <w:autoSpaceDN/>
        <w:bidi w:val="0"/>
        <w:adjustRightInd/>
        <w:spacing w:line="480"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_Toc23273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kern w:val="0"/>
          <w:sz w:val="32"/>
          <w:szCs w:val="32"/>
          <w:shd w:val="clear" w:fill="FFFFFF"/>
          <w:lang w:eastAsia="zh-CN" w:bidi="ar"/>
        </w:rPr>
        <w:t>第二部分  2020年度部门决算表</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_Toc23273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5</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p>
    <w:p>
      <w:pPr>
        <w:keepNext w:val="0"/>
        <w:keepLines w:val="0"/>
        <w:pageBreakBefore w:val="0"/>
        <w:widowControl/>
        <w:tabs>
          <w:tab w:val="right" w:leader="middleDot" w:pos="8957"/>
        </w:tabs>
        <w:kinsoku/>
        <w:wordWrap/>
        <w:overflowPunct/>
        <w:topLinePunct w:val="0"/>
        <w:autoSpaceDE w:val="0"/>
        <w:autoSpaceDN w:val="0"/>
        <w:bidi w:val="0"/>
        <w:adjustRightInd/>
        <w:snapToGrid/>
        <w:spacing w:beforeAutospacing="0" w:afterAutospacing="0" w:line="480" w:lineRule="exact"/>
        <w:ind w:firstLine="600" w:firstLineChars="200"/>
        <w:textAlignment w:val="auto"/>
        <w:rPr>
          <w:rFonts w:hint="eastAsia" w:ascii="Times New Roman" w:hAnsi="Times New Roman" w:eastAsia="楷体" w:cs="Times New Roman"/>
          <w:lang w:val="en-US" w:eastAsia="zh-CN"/>
        </w:rPr>
      </w:pPr>
      <w:r>
        <w:rPr>
          <w:rFonts w:hint="eastAsia" w:ascii="楷体" w:hAnsi="楷体" w:eastAsia="楷体"/>
          <w:sz w:val="30"/>
          <w:szCs w:val="30"/>
          <w:shd w:val="clear" w:color="auto" w:fill="FFFFFF"/>
        </w:rPr>
        <w:t>一、收入支出决算总表</w:t>
      </w:r>
      <w:r>
        <w:rPr>
          <w:rFonts w:hint="eastAsia" w:ascii="楷体" w:hAnsi="楷体" w:eastAsia="楷体"/>
          <w:sz w:val="30"/>
          <w:szCs w:val="30"/>
          <w:shd w:val="clear" w:color="auto" w:fill="FFFFFF"/>
          <w:lang w:val="en-US" w:eastAsia="zh-CN"/>
        </w:rPr>
        <w:tab/>
        <w:t>5</w:t>
      </w:r>
    </w:p>
    <w:p>
      <w:pPr>
        <w:keepNext w:val="0"/>
        <w:keepLines w:val="0"/>
        <w:pageBreakBefore w:val="0"/>
        <w:widowControl/>
        <w:tabs>
          <w:tab w:val="right" w:leader="middleDot" w:pos="8957"/>
        </w:tabs>
        <w:kinsoku/>
        <w:wordWrap/>
        <w:overflowPunct/>
        <w:topLinePunct w:val="0"/>
        <w:autoSpaceDE w:val="0"/>
        <w:autoSpaceDN w:val="0"/>
        <w:bidi w:val="0"/>
        <w:adjustRightInd/>
        <w:snapToGrid/>
        <w:spacing w:beforeAutospacing="0" w:afterAutospacing="0" w:line="480" w:lineRule="exact"/>
        <w:ind w:firstLine="600" w:firstLineChars="200"/>
        <w:textAlignment w:val="auto"/>
        <w:rPr>
          <w:rFonts w:hint="eastAsia" w:ascii="Times New Roman" w:hAnsi="Times New Roman" w:eastAsia="楷体" w:cs="Times New Roman"/>
          <w:lang w:val="en-US" w:eastAsia="zh-CN"/>
        </w:rPr>
      </w:pPr>
      <w:r>
        <w:rPr>
          <w:rFonts w:hint="eastAsia" w:ascii="楷体" w:hAnsi="楷体" w:eastAsia="楷体"/>
          <w:sz w:val="30"/>
          <w:szCs w:val="30"/>
          <w:shd w:val="clear" w:color="auto" w:fill="FFFFFF"/>
        </w:rPr>
        <w:t>二、收入决算表</w:t>
      </w:r>
      <w:r>
        <w:rPr>
          <w:rFonts w:hint="eastAsia" w:ascii="楷体" w:hAnsi="楷体" w:eastAsia="楷体"/>
          <w:sz w:val="30"/>
          <w:szCs w:val="30"/>
          <w:shd w:val="clear" w:color="auto" w:fill="FFFFFF"/>
          <w:lang w:val="en-US" w:eastAsia="zh-CN"/>
        </w:rPr>
        <w:tab/>
        <w:t>5</w:t>
      </w:r>
    </w:p>
    <w:p>
      <w:pPr>
        <w:keepNext w:val="0"/>
        <w:keepLines w:val="0"/>
        <w:pageBreakBefore w:val="0"/>
        <w:widowControl/>
        <w:tabs>
          <w:tab w:val="right" w:leader="middleDot" w:pos="8957"/>
        </w:tabs>
        <w:kinsoku/>
        <w:wordWrap/>
        <w:overflowPunct/>
        <w:topLinePunct w:val="0"/>
        <w:autoSpaceDE w:val="0"/>
        <w:autoSpaceDN w:val="0"/>
        <w:bidi w:val="0"/>
        <w:adjustRightInd/>
        <w:snapToGrid/>
        <w:spacing w:beforeAutospacing="0" w:afterAutospacing="0" w:line="480" w:lineRule="exact"/>
        <w:ind w:firstLine="600" w:firstLineChars="200"/>
        <w:textAlignment w:val="auto"/>
        <w:rPr>
          <w:rFonts w:hint="eastAsia" w:ascii="Times New Roman" w:hAnsi="Times New Roman" w:eastAsia="楷体" w:cs="Times New Roman"/>
          <w:lang w:val="en-US" w:eastAsia="zh-CN"/>
        </w:rPr>
      </w:pPr>
      <w:r>
        <w:rPr>
          <w:rFonts w:hint="eastAsia" w:ascii="楷体" w:hAnsi="楷体" w:eastAsia="楷体"/>
          <w:sz w:val="30"/>
          <w:szCs w:val="30"/>
          <w:shd w:val="clear" w:color="auto" w:fill="FFFFFF"/>
        </w:rPr>
        <w:t>三、支出决算表</w:t>
      </w:r>
      <w:r>
        <w:rPr>
          <w:rFonts w:hint="eastAsia" w:ascii="楷体" w:hAnsi="楷体" w:eastAsia="楷体"/>
          <w:sz w:val="30"/>
          <w:szCs w:val="30"/>
          <w:shd w:val="clear" w:color="auto" w:fill="FFFFFF"/>
          <w:lang w:val="en-US" w:eastAsia="zh-CN"/>
        </w:rPr>
        <w:tab/>
        <w:t>5</w:t>
      </w:r>
    </w:p>
    <w:p>
      <w:pPr>
        <w:keepNext w:val="0"/>
        <w:keepLines w:val="0"/>
        <w:pageBreakBefore w:val="0"/>
        <w:widowControl/>
        <w:tabs>
          <w:tab w:val="right" w:leader="middleDot" w:pos="8957"/>
        </w:tabs>
        <w:kinsoku/>
        <w:wordWrap/>
        <w:overflowPunct/>
        <w:topLinePunct w:val="0"/>
        <w:autoSpaceDE w:val="0"/>
        <w:autoSpaceDN w:val="0"/>
        <w:bidi w:val="0"/>
        <w:adjustRightInd/>
        <w:snapToGrid/>
        <w:spacing w:beforeAutospacing="0" w:afterAutospacing="0" w:line="480" w:lineRule="exact"/>
        <w:ind w:firstLine="600" w:firstLineChars="200"/>
        <w:textAlignment w:val="auto"/>
        <w:rPr>
          <w:rFonts w:hint="eastAsia" w:ascii="Times New Roman" w:hAnsi="Times New Roman" w:eastAsia="楷体" w:cs="Times New Roman"/>
          <w:lang w:val="en-US" w:eastAsia="zh-CN"/>
        </w:rPr>
      </w:pPr>
      <w:r>
        <w:rPr>
          <w:rFonts w:hint="eastAsia" w:ascii="楷体" w:hAnsi="楷体" w:eastAsia="楷体"/>
          <w:sz w:val="30"/>
          <w:szCs w:val="30"/>
          <w:shd w:val="clear" w:color="auto" w:fill="FFFFFF"/>
        </w:rPr>
        <w:t>四、财政拨款收入支出决算总表</w:t>
      </w:r>
      <w:r>
        <w:rPr>
          <w:rFonts w:hint="eastAsia" w:ascii="楷体" w:hAnsi="楷体" w:eastAsia="楷体"/>
          <w:sz w:val="30"/>
          <w:szCs w:val="30"/>
          <w:shd w:val="clear" w:color="auto" w:fill="FFFFFF"/>
          <w:lang w:val="en-US" w:eastAsia="zh-CN"/>
        </w:rPr>
        <w:tab/>
        <w:t>5</w:t>
      </w:r>
    </w:p>
    <w:p>
      <w:pPr>
        <w:keepNext w:val="0"/>
        <w:keepLines w:val="0"/>
        <w:pageBreakBefore w:val="0"/>
        <w:widowControl/>
        <w:tabs>
          <w:tab w:val="right" w:leader="middleDot" w:pos="8957"/>
        </w:tabs>
        <w:kinsoku/>
        <w:wordWrap/>
        <w:overflowPunct/>
        <w:topLinePunct w:val="0"/>
        <w:autoSpaceDE w:val="0"/>
        <w:autoSpaceDN w:val="0"/>
        <w:bidi w:val="0"/>
        <w:adjustRightInd/>
        <w:snapToGrid/>
        <w:spacing w:beforeAutospacing="0" w:afterAutospacing="0" w:line="480" w:lineRule="exact"/>
        <w:ind w:firstLine="600" w:firstLineChars="200"/>
        <w:textAlignment w:val="auto"/>
        <w:rPr>
          <w:rFonts w:hint="eastAsia" w:ascii="Times New Roman" w:hAnsi="Times New Roman" w:eastAsia="楷体" w:cs="Times New Roman"/>
          <w:lang w:val="en-US" w:eastAsia="zh-CN"/>
        </w:rPr>
      </w:pPr>
      <w:r>
        <w:rPr>
          <w:rFonts w:hint="eastAsia" w:ascii="楷体" w:hAnsi="楷体" w:eastAsia="楷体"/>
          <w:sz w:val="30"/>
          <w:szCs w:val="30"/>
          <w:shd w:val="clear" w:color="auto" w:fill="FFFFFF"/>
        </w:rPr>
        <w:t>五、一般公共预算财政拨款收入支出决算表</w:t>
      </w:r>
      <w:r>
        <w:rPr>
          <w:rFonts w:hint="eastAsia" w:ascii="楷体" w:hAnsi="楷体" w:eastAsia="楷体"/>
          <w:sz w:val="30"/>
          <w:szCs w:val="30"/>
          <w:shd w:val="clear" w:color="auto" w:fill="FFFFFF"/>
          <w:lang w:val="en-US" w:eastAsia="zh-CN"/>
        </w:rPr>
        <w:tab/>
        <w:t>5</w:t>
      </w:r>
    </w:p>
    <w:p>
      <w:pPr>
        <w:keepNext w:val="0"/>
        <w:keepLines w:val="0"/>
        <w:pageBreakBefore w:val="0"/>
        <w:widowControl/>
        <w:tabs>
          <w:tab w:val="right" w:leader="middleDot" w:pos="8957"/>
        </w:tabs>
        <w:kinsoku/>
        <w:wordWrap/>
        <w:overflowPunct/>
        <w:topLinePunct w:val="0"/>
        <w:autoSpaceDE w:val="0"/>
        <w:autoSpaceDN w:val="0"/>
        <w:bidi w:val="0"/>
        <w:adjustRightInd/>
        <w:snapToGrid/>
        <w:spacing w:beforeAutospacing="0" w:afterAutospacing="0" w:line="480" w:lineRule="exact"/>
        <w:ind w:firstLine="600" w:firstLineChars="200"/>
        <w:textAlignment w:val="auto"/>
        <w:rPr>
          <w:rFonts w:hint="eastAsia" w:ascii="Times New Roman" w:hAnsi="Times New Roman" w:eastAsia="楷体" w:cs="Times New Roman"/>
          <w:lang w:val="en-US" w:eastAsia="zh-CN"/>
        </w:rPr>
      </w:pPr>
      <w:r>
        <w:rPr>
          <w:rFonts w:hint="eastAsia" w:ascii="楷体" w:hAnsi="楷体" w:eastAsia="楷体"/>
          <w:sz w:val="30"/>
          <w:szCs w:val="30"/>
          <w:shd w:val="clear" w:color="auto" w:fill="FFFFFF"/>
        </w:rPr>
        <w:t>六、一般公共预算财政拨款基本支出决算表</w:t>
      </w:r>
      <w:r>
        <w:rPr>
          <w:rFonts w:hint="eastAsia" w:ascii="楷体" w:hAnsi="楷体" w:eastAsia="楷体"/>
          <w:sz w:val="30"/>
          <w:szCs w:val="30"/>
          <w:shd w:val="clear" w:color="auto" w:fill="FFFFFF"/>
          <w:lang w:val="en-US" w:eastAsia="zh-CN"/>
        </w:rPr>
        <w:tab/>
        <w:t>5</w:t>
      </w:r>
    </w:p>
    <w:p>
      <w:pPr>
        <w:keepNext w:val="0"/>
        <w:keepLines w:val="0"/>
        <w:pageBreakBefore w:val="0"/>
        <w:widowControl/>
        <w:tabs>
          <w:tab w:val="right" w:leader="middleDot" w:pos="8957"/>
        </w:tabs>
        <w:kinsoku/>
        <w:wordWrap/>
        <w:overflowPunct/>
        <w:topLinePunct w:val="0"/>
        <w:autoSpaceDE w:val="0"/>
        <w:autoSpaceDN w:val="0"/>
        <w:bidi w:val="0"/>
        <w:adjustRightInd/>
        <w:snapToGrid/>
        <w:spacing w:beforeAutospacing="0" w:afterAutospacing="0" w:line="480" w:lineRule="exact"/>
        <w:ind w:firstLine="600" w:firstLineChars="200"/>
        <w:textAlignment w:val="auto"/>
        <w:rPr>
          <w:rFonts w:hint="eastAsia" w:ascii="Times New Roman" w:hAnsi="Times New Roman" w:eastAsia="楷体" w:cs="Times New Roman"/>
          <w:lang w:val="en-US" w:eastAsia="zh-CN"/>
        </w:rPr>
      </w:pPr>
      <w:r>
        <w:rPr>
          <w:rFonts w:hint="eastAsia" w:ascii="楷体" w:hAnsi="楷体" w:eastAsia="楷体"/>
          <w:sz w:val="30"/>
          <w:szCs w:val="30"/>
          <w:shd w:val="clear" w:color="auto" w:fill="FFFFFF"/>
        </w:rPr>
        <w:t>七、政府性基金预算财政拨款收入支出决算表</w:t>
      </w:r>
      <w:r>
        <w:rPr>
          <w:rFonts w:hint="eastAsia" w:ascii="楷体" w:hAnsi="楷体" w:eastAsia="楷体"/>
          <w:sz w:val="30"/>
          <w:szCs w:val="30"/>
          <w:shd w:val="clear" w:color="auto" w:fill="FFFFFF"/>
          <w:lang w:val="en-US" w:eastAsia="zh-CN"/>
        </w:rPr>
        <w:tab/>
        <w:t>5</w:t>
      </w:r>
    </w:p>
    <w:p>
      <w:pPr>
        <w:keepNext w:val="0"/>
        <w:keepLines w:val="0"/>
        <w:pageBreakBefore w:val="0"/>
        <w:widowControl/>
        <w:tabs>
          <w:tab w:val="right" w:leader="middleDot" w:pos="8957"/>
        </w:tabs>
        <w:kinsoku/>
        <w:wordWrap/>
        <w:overflowPunct/>
        <w:topLinePunct w:val="0"/>
        <w:autoSpaceDE w:val="0"/>
        <w:autoSpaceDN w:val="0"/>
        <w:bidi w:val="0"/>
        <w:adjustRightInd/>
        <w:snapToGrid/>
        <w:spacing w:beforeAutospacing="0" w:afterAutospacing="0" w:line="480" w:lineRule="exact"/>
        <w:ind w:firstLine="600" w:firstLineChars="200"/>
        <w:textAlignment w:val="auto"/>
        <w:rPr>
          <w:rFonts w:hint="eastAsia" w:ascii="Times New Roman" w:hAnsi="Times New Roman" w:eastAsia="楷体" w:cs="Times New Roman"/>
          <w:lang w:val="en-US" w:eastAsia="zh-CN"/>
        </w:rPr>
      </w:pPr>
      <w:r>
        <w:rPr>
          <w:rFonts w:hint="eastAsia" w:ascii="楷体" w:hAnsi="楷体" w:eastAsia="楷体"/>
          <w:sz w:val="30"/>
          <w:szCs w:val="30"/>
          <w:shd w:val="clear" w:color="auto" w:fill="FFFFFF"/>
        </w:rPr>
        <w:t>八、国有资本经营预算财政拨款收入支出决算表</w:t>
      </w:r>
      <w:r>
        <w:rPr>
          <w:rFonts w:hint="eastAsia" w:ascii="楷体" w:hAnsi="楷体" w:eastAsia="楷体"/>
          <w:sz w:val="30"/>
          <w:szCs w:val="30"/>
          <w:shd w:val="clear" w:color="auto" w:fill="FFFFFF"/>
          <w:lang w:val="en-US" w:eastAsia="zh-CN"/>
        </w:rPr>
        <w:tab/>
        <w:t>5</w:t>
      </w:r>
    </w:p>
    <w:p>
      <w:pPr>
        <w:keepNext w:val="0"/>
        <w:keepLines w:val="0"/>
        <w:pageBreakBefore w:val="0"/>
        <w:widowControl/>
        <w:tabs>
          <w:tab w:val="right" w:leader="middleDot" w:pos="8957"/>
        </w:tabs>
        <w:kinsoku/>
        <w:wordWrap/>
        <w:overflowPunct/>
        <w:topLinePunct w:val="0"/>
        <w:autoSpaceDE w:val="0"/>
        <w:autoSpaceDN w:val="0"/>
        <w:bidi w:val="0"/>
        <w:adjustRightInd/>
        <w:snapToGrid/>
        <w:spacing w:beforeAutospacing="0" w:afterAutospacing="0" w:line="480" w:lineRule="exact"/>
        <w:ind w:firstLine="600" w:firstLineChars="200"/>
        <w:textAlignment w:val="auto"/>
        <w:rPr>
          <w:rFonts w:hint="eastAsia" w:ascii="Times New Roman" w:hAnsi="Times New Roman" w:eastAsia="楷体" w:cs="Times New Roman"/>
          <w:sz w:val="32"/>
          <w:szCs w:val="32"/>
          <w:lang w:val="en-US" w:eastAsia="zh-CN"/>
        </w:rPr>
      </w:pPr>
      <w:r>
        <w:rPr>
          <w:rFonts w:hint="eastAsia" w:ascii="楷体" w:hAnsi="楷体" w:eastAsia="楷体"/>
          <w:sz w:val="30"/>
          <w:szCs w:val="30"/>
          <w:shd w:val="clear" w:color="auto" w:fill="FFFFFF"/>
        </w:rPr>
        <w:t>九、</w:t>
      </w:r>
      <w:r>
        <w:rPr>
          <w:rFonts w:ascii="Times New Roman" w:hAnsi="Times New Roman" w:cs="Times New Roman"/>
          <w:shd w:val="clear" w:color="auto" w:fill="FFFFFF"/>
        </w:rPr>
        <w:t>“</w:t>
      </w:r>
      <w:r>
        <w:rPr>
          <w:rFonts w:hint="eastAsia" w:ascii="楷体" w:hAnsi="楷体" w:eastAsia="楷体"/>
          <w:sz w:val="30"/>
          <w:szCs w:val="30"/>
          <w:shd w:val="clear" w:color="auto" w:fill="FFFFFF"/>
        </w:rPr>
        <w:t>三公</w:t>
      </w:r>
      <w:r>
        <w:rPr>
          <w:rFonts w:ascii="Times New Roman" w:hAnsi="Times New Roman" w:cs="Times New Roman"/>
          <w:shd w:val="clear" w:color="auto" w:fill="FFFFFF"/>
        </w:rPr>
        <w:t>”</w:t>
      </w:r>
      <w:r>
        <w:rPr>
          <w:rFonts w:hint="eastAsia" w:ascii="楷体" w:hAnsi="楷体" w:eastAsia="楷体"/>
          <w:sz w:val="30"/>
          <w:szCs w:val="30"/>
          <w:shd w:val="clear" w:color="auto" w:fill="FFFFFF"/>
        </w:rPr>
        <w:t>经费、行政参公单位机关运行经费情况表</w:t>
      </w:r>
      <w:r>
        <w:rPr>
          <w:rFonts w:hint="eastAsia" w:ascii="楷体" w:hAnsi="楷体" w:eastAsia="楷体"/>
          <w:sz w:val="30"/>
          <w:szCs w:val="30"/>
          <w:shd w:val="clear" w:color="auto" w:fill="FFFFFF"/>
          <w:lang w:val="en-US" w:eastAsia="zh-CN"/>
        </w:rPr>
        <w:tab/>
        <w:t>5</w:t>
      </w:r>
    </w:p>
    <w:p>
      <w:pPr>
        <w:pStyle w:val="11"/>
        <w:keepNext w:val="0"/>
        <w:keepLines w:val="0"/>
        <w:pageBreakBefore w:val="0"/>
        <w:widowControl w:val="0"/>
        <w:tabs>
          <w:tab w:val="right" w:leader="dot" w:pos="8844"/>
        </w:tabs>
        <w:kinsoku/>
        <w:wordWrap/>
        <w:overflowPunct/>
        <w:topLinePunct w:val="0"/>
        <w:autoSpaceDE/>
        <w:autoSpaceDN/>
        <w:bidi w:val="0"/>
        <w:adjustRightInd/>
        <w:spacing w:line="480"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_Toc4110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kern w:val="0"/>
          <w:sz w:val="32"/>
          <w:szCs w:val="32"/>
          <w:shd w:val="clear" w:fill="FFFFFF"/>
          <w:lang w:eastAsia="zh-CN" w:bidi="ar"/>
        </w:rPr>
        <w:t>第三部分 2020年度部门决算情况说明</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_Toc4110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5</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pacing w:line="480" w:lineRule="exac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 HYPERLINK \l _Toc28719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楷体_GBK" w:cs="Times New Roman"/>
          <w:kern w:val="0"/>
          <w:sz w:val="32"/>
          <w:szCs w:val="32"/>
          <w:shd w:val="clear" w:fill="FFFFFF"/>
          <w:lang w:eastAsia="zh-CN" w:bidi="ar"/>
        </w:rPr>
        <w:t>一、收入决算情况说明</w:t>
      </w:r>
      <w:r>
        <w:rPr>
          <w:rFonts w:hint="default" w:ascii="Times New Roman" w:hAnsi="Times New Roman" w:eastAsia="方正楷体_GBK" w:cs="Times New Roman"/>
          <w:sz w:val="32"/>
          <w:szCs w:val="32"/>
        </w:rPr>
        <w:tab/>
      </w: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 PAGEREF _Toc28719 \h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楷体_GBK" w:cs="Times New Roman"/>
          <w:sz w:val="32"/>
          <w:szCs w:val="32"/>
        </w:rPr>
        <w:t>5</w:t>
      </w:r>
      <w:r>
        <w:rPr>
          <w:rFonts w:hint="default" w:ascii="Times New Roman" w:hAnsi="Times New Roman" w:eastAsia="方正楷体_GBK" w:cs="Times New Roman"/>
          <w:sz w:val="32"/>
          <w:szCs w:val="32"/>
        </w:rPr>
        <w:fldChar w:fldCharType="end"/>
      </w:r>
      <w:r>
        <w:rPr>
          <w:rFonts w:hint="default" w:ascii="Times New Roman" w:hAnsi="Times New Roman" w:eastAsia="方正楷体_GBK" w:cs="Times New Roman"/>
          <w:sz w:val="32"/>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pacing w:line="480" w:lineRule="exac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 HYPERLINK \l _Toc27788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楷体_GBK" w:cs="Times New Roman"/>
          <w:kern w:val="0"/>
          <w:sz w:val="32"/>
          <w:szCs w:val="32"/>
          <w:shd w:val="clear" w:fill="FFFFFF"/>
          <w:lang w:eastAsia="zh-CN" w:bidi="ar"/>
        </w:rPr>
        <w:t>二、支出决算情况说明</w:t>
      </w:r>
      <w:r>
        <w:rPr>
          <w:rFonts w:hint="default" w:ascii="Times New Roman" w:hAnsi="Times New Roman" w:eastAsia="方正楷体_GBK" w:cs="Times New Roman"/>
          <w:sz w:val="32"/>
          <w:szCs w:val="32"/>
        </w:rPr>
        <w:tab/>
      </w: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 PAGEREF _Toc27788 \h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楷体_GBK" w:cs="Times New Roman"/>
          <w:sz w:val="32"/>
          <w:szCs w:val="32"/>
        </w:rPr>
        <w:t>5</w:t>
      </w:r>
      <w:r>
        <w:rPr>
          <w:rFonts w:hint="default" w:ascii="Times New Roman" w:hAnsi="Times New Roman" w:eastAsia="方正楷体_GBK" w:cs="Times New Roman"/>
          <w:sz w:val="32"/>
          <w:szCs w:val="32"/>
        </w:rPr>
        <w:fldChar w:fldCharType="end"/>
      </w:r>
      <w:r>
        <w:rPr>
          <w:rFonts w:hint="default" w:ascii="Times New Roman" w:hAnsi="Times New Roman" w:eastAsia="方正楷体_GBK" w:cs="Times New Roman"/>
          <w:sz w:val="32"/>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pacing w:line="480" w:lineRule="exac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 HYPERLINK \l _Toc3815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楷体_GBK" w:cs="Times New Roman"/>
          <w:kern w:val="0"/>
          <w:sz w:val="32"/>
          <w:szCs w:val="32"/>
          <w:shd w:val="clear" w:fill="FFFFFF"/>
          <w:lang w:eastAsia="zh-CN" w:bidi="ar"/>
        </w:rPr>
        <w:t>三、一般公共预算财政拨款支出决算情况说明</w:t>
      </w:r>
      <w:r>
        <w:rPr>
          <w:rFonts w:hint="default" w:ascii="Times New Roman" w:hAnsi="Times New Roman" w:eastAsia="方正楷体_GBK" w:cs="Times New Roman"/>
          <w:sz w:val="32"/>
          <w:szCs w:val="32"/>
        </w:rPr>
        <w:tab/>
      </w: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 PAGEREF _Toc3815 \h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楷体_GBK" w:cs="Times New Roman"/>
          <w:sz w:val="32"/>
          <w:szCs w:val="32"/>
        </w:rPr>
        <w:t>6</w:t>
      </w:r>
      <w:r>
        <w:rPr>
          <w:rFonts w:hint="default" w:ascii="Times New Roman" w:hAnsi="Times New Roman" w:eastAsia="方正楷体_GBK" w:cs="Times New Roman"/>
          <w:sz w:val="32"/>
          <w:szCs w:val="32"/>
        </w:rPr>
        <w:fldChar w:fldCharType="end"/>
      </w:r>
      <w:r>
        <w:rPr>
          <w:rFonts w:hint="default" w:ascii="Times New Roman" w:hAnsi="Times New Roman" w:eastAsia="方正楷体_GBK" w:cs="Times New Roman"/>
          <w:sz w:val="32"/>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pacing w:line="480" w:lineRule="exac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 HYPERLINK \l _Toc22644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楷体_GBK" w:cs="Times New Roman"/>
          <w:kern w:val="0"/>
          <w:sz w:val="32"/>
          <w:szCs w:val="32"/>
          <w:shd w:val="clear" w:fill="FFFFFF"/>
          <w:lang w:eastAsia="zh-CN" w:bidi="ar"/>
        </w:rPr>
        <w:t>四、一般公共预算财政拨款“三公”经费支出决算情况说明</w:t>
      </w:r>
      <w:r>
        <w:rPr>
          <w:rFonts w:hint="default" w:ascii="Times New Roman" w:hAnsi="Times New Roman" w:eastAsia="方正楷体_GBK" w:cs="Times New Roman"/>
          <w:sz w:val="32"/>
          <w:szCs w:val="32"/>
        </w:rPr>
        <w:tab/>
      </w: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 PAGEREF _Toc22644 \h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楷体_GBK" w:cs="Times New Roman"/>
          <w:sz w:val="32"/>
          <w:szCs w:val="32"/>
        </w:rPr>
        <w:t>9</w:t>
      </w:r>
      <w:r>
        <w:rPr>
          <w:rFonts w:hint="default" w:ascii="Times New Roman" w:hAnsi="Times New Roman" w:eastAsia="方正楷体_GBK" w:cs="Times New Roman"/>
          <w:sz w:val="32"/>
          <w:szCs w:val="32"/>
        </w:rPr>
        <w:fldChar w:fldCharType="end"/>
      </w:r>
      <w:r>
        <w:rPr>
          <w:rFonts w:hint="default" w:ascii="Times New Roman" w:hAnsi="Times New Roman" w:eastAsia="方正楷体_GBK" w:cs="Times New Roman"/>
          <w:sz w:val="32"/>
          <w:szCs w:val="32"/>
        </w:rPr>
        <w:fldChar w:fldCharType="end"/>
      </w:r>
    </w:p>
    <w:p>
      <w:pPr>
        <w:pStyle w:val="11"/>
        <w:keepNext w:val="0"/>
        <w:keepLines w:val="0"/>
        <w:pageBreakBefore w:val="0"/>
        <w:widowControl w:val="0"/>
        <w:tabs>
          <w:tab w:val="right" w:leader="dot" w:pos="8844"/>
        </w:tabs>
        <w:kinsoku/>
        <w:wordWrap/>
        <w:overflowPunct/>
        <w:topLinePunct w:val="0"/>
        <w:autoSpaceDE/>
        <w:autoSpaceDN/>
        <w:bidi w:val="0"/>
        <w:adjustRightInd/>
        <w:spacing w:line="480"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_Toc17701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kern w:val="0"/>
          <w:sz w:val="32"/>
          <w:szCs w:val="32"/>
          <w:shd w:val="clear" w:fill="FFFFFF"/>
          <w:lang w:eastAsia="zh-CN" w:bidi="ar"/>
        </w:rPr>
        <w:t>第四部分  其他重要事项及相关口径情况说明</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_Toc17701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11</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pacing w:line="480" w:lineRule="exac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 HYPERLINK \l _Toc20856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楷体_GBK" w:cs="Times New Roman"/>
          <w:kern w:val="0"/>
          <w:sz w:val="32"/>
          <w:szCs w:val="32"/>
          <w:shd w:val="clear" w:fill="FFFFFF"/>
          <w:lang w:eastAsia="zh-CN" w:bidi="ar"/>
        </w:rPr>
        <w:t>一、机关运行经费支出情况</w:t>
      </w:r>
      <w:r>
        <w:rPr>
          <w:rFonts w:hint="default" w:ascii="Times New Roman" w:hAnsi="Times New Roman" w:eastAsia="方正楷体_GBK" w:cs="Times New Roman"/>
          <w:sz w:val="32"/>
          <w:szCs w:val="32"/>
        </w:rPr>
        <w:tab/>
      </w: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 PAGEREF _Toc20856 \h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楷体_GBK" w:cs="Times New Roman"/>
          <w:sz w:val="32"/>
          <w:szCs w:val="32"/>
        </w:rPr>
        <w:t>11</w:t>
      </w:r>
      <w:r>
        <w:rPr>
          <w:rFonts w:hint="default" w:ascii="Times New Roman" w:hAnsi="Times New Roman" w:eastAsia="方正楷体_GBK" w:cs="Times New Roman"/>
          <w:sz w:val="32"/>
          <w:szCs w:val="32"/>
        </w:rPr>
        <w:fldChar w:fldCharType="end"/>
      </w:r>
      <w:r>
        <w:rPr>
          <w:rFonts w:hint="default" w:ascii="Times New Roman" w:hAnsi="Times New Roman" w:eastAsia="方正楷体_GBK" w:cs="Times New Roman"/>
          <w:sz w:val="32"/>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pacing w:line="480" w:lineRule="exac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 HYPERLINK \l _Toc27133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楷体_GBK" w:cs="Times New Roman"/>
          <w:kern w:val="0"/>
          <w:sz w:val="32"/>
          <w:szCs w:val="32"/>
          <w:shd w:val="clear" w:fill="FFFFFF"/>
          <w:lang w:eastAsia="zh-CN" w:bidi="ar"/>
        </w:rPr>
        <w:t>二、国有资产占用情况</w:t>
      </w:r>
      <w:r>
        <w:rPr>
          <w:rFonts w:hint="default" w:ascii="Times New Roman" w:hAnsi="Times New Roman" w:eastAsia="方正楷体_GBK" w:cs="Times New Roman"/>
          <w:sz w:val="32"/>
          <w:szCs w:val="32"/>
        </w:rPr>
        <w:tab/>
      </w: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 PAGEREF _Toc27133 \h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楷体_GBK" w:cs="Times New Roman"/>
          <w:sz w:val="32"/>
          <w:szCs w:val="32"/>
        </w:rPr>
        <w:t>11</w:t>
      </w:r>
      <w:r>
        <w:rPr>
          <w:rFonts w:hint="default" w:ascii="Times New Roman" w:hAnsi="Times New Roman" w:eastAsia="方正楷体_GBK" w:cs="Times New Roman"/>
          <w:sz w:val="32"/>
          <w:szCs w:val="32"/>
        </w:rPr>
        <w:fldChar w:fldCharType="end"/>
      </w:r>
      <w:r>
        <w:rPr>
          <w:rFonts w:hint="default" w:ascii="Times New Roman" w:hAnsi="Times New Roman" w:eastAsia="方正楷体_GBK" w:cs="Times New Roman"/>
          <w:sz w:val="32"/>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pacing w:line="480" w:lineRule="exac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 HYPERLINK \l _Toc2527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楷体_GBK" w:cs="Times New Roman"/>
          <w:kern w:val="0"/>
          <w:sz w:val="32"/>
          <w:szCs w:val="32"/>
          <w:shd w:val="clear" w:fill="FFFFFF"/>
          <w:lang w:eastAsia="zh-CN" w:bidi="ar"/>
        </w:rPr>
        <w:t>三、政府采购支出情况</w:t>
      </w:r>
      <w:r>
        <w:rPr>
          <w:rFonts w:hint="default" w:ascii="Times New Roman" w:hAnsi="Times New Roman" w:eastAsia="方正楷体_GBK" w:cs="Times New Roman"/>
          <w:sz w:val="32"/>
          <w:szCs w:val="32"/>
        </w:rPr>
        <w:tab/>
      </w: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 PAGEREF _Toc2527 \h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楷体_GBK" w:cs="Times New Roman"/>
          <w:sz w:val="32"/>
          <w:szCs w:val="32"/>
        </w:rPr>
        <w:t>12</w:t>
      </w:r>
      <w:r>
        <w:rPr>
          <w:rFonts w:hint="default" w:ascii="Times New Roman" w:hAnsi="Times New Roman" w:eastAsia="方正楷体_GBK" w:cs="Times New Roman"/>
          <w:sz w:val="32"/>
          <w:szCs w:val="32"/>
        </w:rPr>
        <w:fldChar w:fldCharType="end"/>
      </w:r>
      <w:r>
        <w:rPr>
          <w:rFonts w:hint="default" w:ascii="Times New Roman" w:hAnsi="Times New Roman" w:eastAsia="方正楷体_GBK" w:cs="Times New Roman"/>
          <w:sz w:val="32"/>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pacing w:line="480" w:lineRule="exac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 HYPERLINK \l _Toc18456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楷体_GBK" w:cs="Times New Roman"/>
          <w:kern w:val="0"/>
          <w:sz w:val="32"/>
          <w:szCs w:val="32"/>
          <w:shd w:val="clear" w:fill="FFFFFF"/>
          <w:lang w:eastAsia="zh-CN" w:bidi="ar"/>
        </w:rPr>
        <w:t>四、部门绩效自评情况</w:t>
      </w:r>
      <w:r>
        <w:rPr>
          <w:rFonts w:hint="default" w:ascii="Times New Roman" w:hAnsi="Times New Roman" w:eastAsia="方正楷体_GBK" w:cs="Times New Roman"/>
          <w:sz w:val="32"/>
          <w:szCs w:val="32"/>
        </w:rPr>
        <w:tab/>
      </w: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 PAGEREF _Toc18456 \h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楷体_GBK" w:cs="Times New Roman"/>
          <w:sz w:val="32"/>
          <w:szCs w:val="32"/>
        </w:rPr>
        <w:t>12</w:t>
      </w:r>
      <w:r>
        <w:rPr>
          <w:rFonts w:hint="default" w:ascii="Times New Roman" w:hAnsi="Times New Roman" w:eastAsia="方正楷体_GBK" w:cs="Times New Roman"/>
          <w:sz w:val="32"/>
          <w:szCs w:val="32"/>
        </w:rPr>
        <w:fldChar w:fldCharType="end"/>
      </w:r>
      <w:r>
        <w:rPr>
          <w:rFonts w:hint="default" w:ascii="Times New Roman" w:hAnsi="Times New Roman" w:eastAsia="方正楷体_GBK" w:cs="Times New Roman"/>
          <w:sz w:val="32"/>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pacing w:line="480" w:lineRule="exac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 HYPERLINK \l _Toc25922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楷体_GBK" w:cs="Times New Roman"/>
          <w:kern w:val="0"/>
          <w:sz w:val="32"/>
          <w:szCs w:val="32"/>
          <w:shd w:val="clear" w:fill="FFFFFF"/>
          <w:lang w:eastAsia="zh-CN" w:bidi="ar"/>
        </w:rPr>
        <w:t>五、其他重要事项情况说明</w:t>
      </w:r>
      <w:r>
        <w:rPr>
          <w:rFonts w:hint="default" w:ascii="Times New Roman" w:hAnsi="Times New Roman" w:eastAsia="方正楷体_GBK" w:cs="Times New Roman"/>
          <w:sz w:val="32"/>
          <w:szCs w:val="32"/>
        </w:rPr>
        <w:tab/>
      </w: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 PAGEREF _Toc25922 \h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楷体_GBK" w:cs="Times New Roman"/>
          <w:sz w:val="32"/>
          <w:szCs w:val="32"/>
        </w:rPr>
        <w:t>14</w:t>
      </w:r>
      <w:r>
        <w:rPr>
          <w:rFonts w:hint="default" w:ascii="Times New Roman" w:hAnsi="Times New Roman" w:eastAsia="方正楷体_GBK" w:cs="Times New Roman"/>
          <w:sz w:val="32"/>
          <w:szCs w:val="32"/>
        </w:rPr>
        <w:fldChar w:fldCharType="end"/>
      </w:r>
      <w:r>
        <w:rPr>
          <w:rFonts w:hint="default" w:ascii="Times New Roman" w:hAnsi="Times New Roman" w:eastAsia="方正楷体_GBK" w:cs="Times New Roman"/>
          <w:sz w:val="32"/>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pacing w:line="480" w:lineRule="exac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 HYPERLINK \l _Toc12783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楷体_GBK" w:cs="Times New Roman"/>
          <w:kern w:val="0"/>
          <w:sz w:val="32"/>
          <w:szCs w:val="32"/>
          <w:shd w:val="clear" w:fill="FFFFFF"/>
          <w:lang w:eastAsia="zh-CN" w:bidi="ar"/>
        </w:rPr>
        <w:t>六、相关口径说明</w:t>
      </w:r>
      <w:r>
        <w:rPr>
          <w:rFonts w:hint="default" w:ascii="Times New Roman" w:hAnsi="Times New Roman" w:eastAsia="方正楷体_GBK" w:cs="Times New Roman"/>
          <w:sz w:val="32"/>
          <w:szCs w:val="32"/>
        </w:rPr>
        <w:tab/>
      </w: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 PAGEREF _Toc12783 \h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楷体_GBK" w:cs="Times New Roman"/>
          <w:sz w:val="32"/>
          <w:szCs w:val="32"/>
        </w:rPr>
        <w:t>14</w:t>
      </w:r>
      <w:r>
        <w:rPr>
          <w:rFonts w:hint="default" w:ascii="Times New Roman" w:hAnsi="Times New Roman" w:eastAsia="方正楷体_GBK" w:cs="Times New Roman"/>
          <w:sz w:val="32"/>
          <w:szCs w:val="32"/>
        </w:rPr>
        <w:fldChar w:fldCharType="end"/>
      </w:r>
      <w:r>
        <w:rPr>
          <w:rFonts w:hint="default" w:ascii="Times New Roman" w:hAnsi="Times New Roman" w:eastAsia="方正楷体_GBK" w:cs="Times New Roman"/>
          <w:sz w:val="32"/>
          <w:szCs w:val="32"/>
        </w:rPr>
        <w:fldChar w:fldCharType="end"/>
      </w:r>
    </w:p>
    <w:p>
      <w:pPr>
        <w:pStyle w:val="11"/>
        <w:keepNext w:val="0"/>
        <w:keepLines w:val="0"/>
        <w:pageBreakBefore w:val="0"/>
        <w:widowControl w:val="0"/>
        <w:tabs>
          <w:tab w:val="right" w:leader="dot" w:pos="8844"/>
        </w:tabs>
        <w:kinsoku/>
        <w:wordWrap/>
        <w:overflowPunct/>
        <w:topLinePunct w:val="0"/>
        <w:autoSpaceDE/>
        <w:autoSpaceDN/>
        <w:bidi w:val="0"/>
        <w:adjustRightInd/>
        <w:spacing w:line="480"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_Toc7256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kern w:val="0"/>
          <w:sz w:val="32"/>
          <w:szCs w:val="32"/>
          <w:shd w:val="clear" w:fill="FFFFFF"/>
          <w:lang w:eastAsia="zh-CN" w:bidi="ar"/>
        </w:rPr>
        <w:t>第五部分  名词解释</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_Toc7256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15</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p>
    <w:p>
      <w:pPr>
        <w:pStyle w:val="2"/>
        <w:keepNext w:val="0"/>
        <w:keepLines w:val="0"/>
        <w:pageBreakBefore w:val="0"/>
        <w:widowControl w:val="0"/>
        <w:kinsoku/>
        <w:wordWrap/>
        <w:overflowPunct/>
        <w:topLinePunct w:val="0"/>
        <w:autoSpaceDE/>
        <w:autoSpaceDN/>
        <w:bidi w:val="0"/>
        <w:adjustRightInd/>
        <w:spacing w:line="480" w:lineRule="exact"/>
        <w:ind w:left="0" w:leftChars="0" w:firstLine="0" w:firstLineChars="0"/>
        <w:textAlignment w:val="auto"/>
        <w:rPr>
          <w:rFonts w:hint="default" w:ascii="Times New Roman" w:hAnsi="Times New Roman" w:cs="Times New Roman"/>
        </w:rPr>
      </w:pPr>
      <w:r>
        <w:rPr>
          <w:rFonts w:hint="default" w:ascii="Times New Roman" w:hAnsi="Times New Roman" w:eastAsia="方正楷体_GBK" w:cs="Times New Roman"/>
          <w:sz w:val="32"/>
          <w:szCs w:val="32"/>
        </w:rPr>
        <w:fldChar w:fldCharType="end"/>
      </w:r>
    </w:p>
    <w:p>
      <w:pPr>
        <w:keepNext w:val="0"/>
        <w:keepLines w:val="0"/>
        <w:pageBreakBefore w:val="0"/>
        <w:widowControl w:val="0"/>
        <w:suppressLineNumbers w:val="0"/>
        <w:kinsoku/>
        <w:wordWrap/>
        <w:overflowPunct/>
        <w:autoSpaceDE w:val="0"/>
        <w:autoSpaceDN w:val="0"/>
        <w:bidi w:val="0"/>
        <w:spacing w:before="0" w:beforeAutospacing="0" w:after="0" w:afterAutospacing="0" w:line="590" w:lineRule="exact"/>
        <w:ind w:left="0" w:right="0" w:firstLine="640" w:firstLineChars="200"/>
        <w:jc w:val="center"/>
        <w:textAlignment w:val="auto"/>
        <w:outlineLvl w:val="0"/>
        <w:rPr>
          <w:rFonts w:hint="default" w:ascii="Times New Roman" w:hAnsi="Times New Roman" w:eastAsia="方正小标宋_GBK" w:cs="Times New Roman"/>
          <w:color w:val="000000"/>
          <w:kern w:val="0"/>
          <w:sz w:val="32"/>
          <w:szCs w:val="32"/>
          <w:shd w:val="clear" w:fill="FFFFFF"/>
          <w:lang w:eastAsia="zh-CN" w:bidi="ar"/>
        </w:rPr>
        <w:sectPr>
          <w:pgSz w:w="11905" w:h="16838"/>
          <w:pgMar w:top="2041" w:right="1474" w:bottom="1304" w:left="1474" w:header="851" w:footer="992" w:gutter="113"/>
          <w:cols w:space="0" w:num="1"/>
          <w:rtlGutter w:val="0"/>
          <w:docGrid w:type="lines" w:linePitch="312" w:charSpace="0"/>
        </w:sectPr>
      </w:pPr>
    </w:p>
    <w:p>
      <w:pPr>
        <w:keepNext w:val="0"/>
        <w:keepLines w:val="0"/>
        <w:pageBreakBefore w:val="0"/>
        <w:widowControl w:val="0"/>
        <w:suppressLineNumbers w:val="0"/>
        <w:kinsoku/>
        <w:wordWrap/>
        <w:overflowPunct/>
        <w:autoSpaceDE w:val="0"/>
        <w:autoSpaceDN w:val="0"/>
        <w:bidi w:val="0"/>
        <w:spacing w:before="0" w:beforeAutospacing="0" w:after="0" w:afterAutospacing="0" w:line="590" w:lineRule="exact"/>
        <w:ind w:left="0" w:right="0" w:firstLine="640" w:firstLineChars="200"/>
        <w:jc w:val="center"/>
        <w:textAlignment w:val="auto"/>
        <w:outlineLvl w:val="0"/>
        <w:rPr>
          <w:rFonts w:hint="default" w:ascii="Times New Roman" w:hAnsi="Times New Roman" w:eastAsia="方正小标宋_GBK" w:cs="Times New Roman"/>
          <w:color w:val="000000"/>
          <w:kern w:val="0"/>
          <w:sz w:val="32"/>
          <w:szCs w:val="32"/>
          <w:shd w:val="clear" w:fill="FFFFFF"/>
          <w:lang w:eastAsia="zh-CN" w:bidi="ar"/>
        </w:rPr>
      </w:pPr>
      <w:bookmarkStart w:id="0" w:name="_Toc4109"/>
      <w:r>
        <w:rPr>
          <w:rFonts w:hint="default" w:ascii="Times New Roman" w:hAnsi="Times New Roman" w:eastAsia="方正小标宋_GBK" w:cs="Times New Roman"/>
          <w:color w:val="000000"/>
          <w:kern w:val="0"/>
          <w:sz w:val="32"/>
          <w:szCs w:val="32"/>
          <w:shd w:val="clear" w:fill="FFFFFF"/>
          <w:lang w:eastAsia="zh-CN" w:bidi="ar"/>
        </w:rPr>
        <w:t>第一部分 玉溪市农田建设与土壤肥料工作站概况</w:t>
      </w:r>
      <w:bookmarkEnd w:id="0"/>
    </w:p>
    <w:p>
      <w:pPr>
        <w:keepNext w:val="0"/>
        <w:keepLines w:val="0"/>
        <w:pageBreakBefore w:val="0"/>
        <w:widowControl w:val="0"/>
        <w:kinsoku/>
        <w:wordWrap/>
        <w:overflowPunct/>
        <w:autoSpaceDE w:val="0"/>
        <w:autoSpaceDN w:val="0"/>
        <w:bidi w:val="0"/>
        <w:spacing w:beforeAutospacing="0" w:afterAutospacing="0" w:line="590" w:lineRule="exact"/>
        <w:jc w:val="both"/>
        <w:textAlignment w:val="auto"/>
        <w:rPr>
          <w:rFonts w:hint="default" w:ascii="Times New Roman" w:hAnsi="Times New Roman" w:eastAsia="黑体" w:cs="Times New Roman"/>
          <w:sz w:val="32"/>
          <w:szCs w:val="32"/>
          <w:shd w:val="clear" w:color="auto" w:fill="FFFFFF"/>
        </w:rPr>
      </w:pPr>
    </w:p>
    <w:p>
      <w:pPr>
        <w:keepNext w:val="0"/>
        <w:keepLines w:val="0"/>
        <w:pageBreakBefore w:val="0"/>
        <w:widowControl w:val="0"/>
        <w:numPr>
          <w:ilvl w:val="0"/>
          <w:numId w:val="0"/>
        </w:numPr>
        <w:suppressLineNumbers w:val="0"/>
        <w:tabs>
          <w:tab w:val="left" w:pos="0"/>
        </w:tabs>
        <w:kinsoku/>
        <w:wordWrap/>
        <w:overflowPunct/>
        <w:topLinePunct/>
        <w:autoSpaceDE w:val="0"/>
        <w:autoSpaceDN/>
        <w:bidi w:val="0"/>
        <w:adjustRightInd/>
        <w:snapToGrid/>
        <w:spacing w:before="0" w:beforeAutospacing="0" w:after="0" w:afterAutospacing="0" w:line="590" w:lineRule="exact"/>
        <w:ind w:left="0" w:right="0" w:rightChars="0" w:firstLine="640" w:firstLineChars="200"/>
        <w:jc w:val="both"/>
        <w:textAlignment w:val="auto"/>
        <w:outlineLvl w:val="1"/>
        <w:rPr>
          <w:rFonts w:hint="default" w:ascii="Times New Roman" w:hAnsi="Times New Roman" w:eastAsia="方正黑体_GBK" w:cs="Times New Roman"/>
          <w:color w:val="000000"/>
          <w:kern w:val="0"/>
          <w:sz w:val="32"/>
          <w:szCs w:val="32"/>
          <w:shd w:val="clear" w:fill="FFFFFF"/>
          <w:lang w:eastAsia="zh-CN" w:bidi="ar"/>
        </w:rPr>
      </w:pPr>
      <w:bookmarkStart w:id="1" w:name="_Toc31754"/>
      <w:r>
        <w:rPr>
          <w:rFonts w:hint="default" w:ascii="Times New Roman" w:hAnsi="Times New Roman" w:eastAsia="方正黑体_GBK" w:cs="Times New Roman"/>
          <w:color w:val="000000"/>
          <w:kern w:val="0"/>
          <w:sz w:val="32"/>
          <w:szCs w:val="32"/>
          <w:shd w:val="clear" w:fill="FFFFFF"/>
          <w:lang w:eastAsia="zh-CN" w:bidi="ar"/>
        </w:rPr>
        <w:t>一、主要职能</w:t>
      </w:r>
      <w:bookmarkEnd w:id="1"/>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楷体_GBK" w:cs="Times New Roman"/>
        </w:rPr>
      </w:pPr>
      <w:r>
        <w:rPr>
          <w:rFonts w:hint="default" w:ascii="Times New Roman" w:hAnsi="Times New Roman" w:eastAsia="方正楷体_GBK" w:cs="Times New Roman"/>
          <w:sz w:val="32"/>
          <w:szCs w:val="30"/>
          <w:shd w:val="clear" w:color="auto" w:fill="FFFFFF"/>
        </w:rPr>
        <w:t>（一）主要职能</w:t>
      </w:r>
    </w:p>
    <w:p>
      <w:pPr>
        <w:keepNext w:val="0"/>
        <w:keepLines w:val="0"/>
        <w:pageBreakBefore w:val="0"/>
        <w:widowControl w:val="0"/>
        <w:kinsoku/>
        <w:wordWrap/>
        <w:overflowPunct/>
        <w:bidi w:val="0"/>
        <w:snapToGrid w:val="0"/>
        <w:spacing w:beforeAutospacing="0" w:afterAutospacing="0" w:line="360" w:lineRule="auto"/>
        <w:ind w:firstLine="700" w:firstLineChars="25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玉溪市农田建设与土壤肥料工作</w:t>
      </w:r>
      <w:r>
        <w:rPr>
          <w:rFonts w:hint="default" w:ascii="Times New Roman" w:hAnsi="Times New Roman" w:eastAsia="仿宋_GB2312" w:cs="Times New Roman"/>
          <w:sz w:val="28"/>
          <w:szCs w:val="28"/>
          <w:lang w:eastAsia="zh-CN"/>
        </w:rPr>
        <w:t>站</w:t>
      </w:r>
      <w:r>
        <w:rPr>
          <w:rFonts w:hint="default" w:ascii="Times New Roman" w:hAnsi="Times New Roman" w:eastAsia="仿宋_GB2312" w:cs="Times New Roman"/>
          <w:sz w:val="28"/>
          <w:szCs w:val="28"/>
        </w:rPr>
        <w:t>主要从事土壤、肥料科技的开发研究和应用推广；开展平衡施肥技术研究和应用推广，新型肥料的开发研究；分析土壤障碍因子，研究中低产田改良培肥措施，组织全市高产稳产农田建设的实施；对全市土壤肥力变化动态进行监测，掌握全市土壤养分现状，制定施肥措施指导大面积生产实施平衡施肥；配合云南省土壤肥料工作站搞好全市肥料登记管理工作；配合有关部门积极开展土壤肥料的执法检查。</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楷体_GBK" w:cs="Times New Roman"/>
        </w:rPr>
      </w:pPr>
      <w:r>
        <w:rPr>
          <w:rFonts w:hint="default" w:ascii="Times New Roman" w:hAnsi="Times New Roman" w:eastAsia="方正楷体_GBK" w:cs="Times New Roman"/>
          <w:sz w:val="32"/>
          <w:szCs w:val="30"/>
          <w:shd w:val="clear" w:color="auto" w:fill="FFFFFF"/>
        </w:rPr>
        <w:t>（二）2020年度重点工作任务介绍</w:t>
      </w:r>
    </w:p>
    <w:p>
      <w:pPr>
        <w:pStyle w:val="2"/>
        <w:keepNext w:val="0"/>
        <w:keepLines w:val="0"/>
        <w:pageBreakBefore w:val="0"/>
        <w:widowControl w:val="0"/>
        <w:kinsoku/>
        <w:wordWrap/>
        <w:overflowPunct/>
        <w:bidi w:val="0"/>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sz w:val="32"/>
          <w:szCs w:val="32"/>
        </w:rPr>
        <w:t>推进测土配方施肥，多措并举精准施肥减量。深入开展化肥使用量负增长行动，多措推广测土配方施肥、有机肥替代化肥、水肥一体化、高效新型肥料应用等技术。根据我市农作物需肥特点，总结近年化肥减量增效技术，以“控氮、减磷”为重点，制定下发了《玉溪市2020年主要作物化肥减量增效技术指导意见》，同时在全市建设六个化肥减量增效示范区共计5000亩，根据各县区优势和特色制定出1~2个化肥减量增效技术模式进行试验示范，扎实推进化肥使用量负增长工作。</w:t>
      </w:r>
    </w:p>
    <w:p>
      <w:pPr>
        <w:pStyle w:val="2"/>
        <w:keepNext w:val="0"/>
        <w:keepLines w:val="0"/>
        <w:pageBreakBefore w:val="0"/>
        <w:widowControl w:val="0"/>
        <w:kinsoku/>
        <w:wordWrap/>
        <w:overflowPunct/>
        <w:bidi w:val="0"/>
        <w:spacing w:beforeAutospacing="0" w:afterAutospacing="0" w:line="60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2020年全市共完成推广测土配方施肥面积213.53万亩，比年度任务数190万亩增12.38%，全市测土配方施肥用量（折纯）30826.17吨、按方施肥面积98.29万亩；应用有机肥面积178.89万亩，其中：商品有机肥66.96万亩、农家肥58.19万亩、秸秆还田41.77万亩、废弃菜叶沤化还田9.62万亩、种植绿肥2.35万亩；推广新型肥料114.46万亩，其中：水溶性肥料33.12万亩、缓控释肥5.69万亩、叶面肥料26.05万亩、中微量元素肥料31.18万亩、生物肥料18.44万亩；实施水肥一体化技术31.74万亩。</w:t>
      </w:r>
    </w:p>
    <w:p>
      <w:pPr>
        <w:keepNext w:val="0"/>
        <w:keepLines w:val="0"/>
        <w:pageBreakBefore w:val="0"/>
        <w:widowControl w:val="0"/>
        <w:kinsoku/>
        <w:wordWrap/>
        <w:overflowPunct/>
        <w:autoSpaceDE w:val="0"/>
        <w:bidi w:val="0"/>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sz w:val="32"/>
          <w:szCs w:val="32"/>
          <w:shd w:val="clear" w:color="auto" w:fill="FFFFFF"/>
        </w:rPr>
        <w:t>农田建设工作有序推进。</w:t>
      </w:r>
      <w:r>
        <w:rPr>
          <w:rFonts w:hint="default" w:ascii="Times New Roman" w:hAnsi="Times New Roman" w:eastAsia="方正仿宋_GBK" w:cs="Times New Roman"/>
          <w:sz w:val="32"/>
          <w:szCs w:val="32"/>
        </w:rPr>
        <w:t>一是完成“十二五”以来高标准农田建设评估工作。全市共完成2011年—2018年各部门实施的共211个高标准农田建设项目的评估及上图入库工作，项目区面积123.37万亩，高标准农田建成面积82.07万亩，项目总投资172752.3万元。二是稳步推进我市2019年农田建设项目，目前玉溪市2019年农田建设项目累计完成建设面积10.29万亩，完成计划任务的100%；完成投资15719.6万元，完成批复投资的100%。三是加快实施2020年农田建设项目。根据省厅下达的2020年农田建设任务，玉溪市2020年农田建设项目共计16个项目，建设高标准农田13.16万亩，投资21334.29万元。目前全市已完成2020年高标准农田建设项目7.03万亩，完成批复的53.4%，完成投资10962.7万元 ，完成批复投资的51.38%。</w:t>
      </w:r>
    </w:p>
    <w:p>
      <w:pPr>
        <w:pStyle w:val="2"/>
        <w:keepNext w:val="0"/>
        <w:keepLines w:val="0"/>
        <w:pageBreakBefore w:val="0"/>
        <w:widowControl w:val="0"/>
        <w:kinsoku/>
        <w:wordWrap/>
        <w:overflowPunct/>
        <w:bidi w:val="0"/>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sz w:val="32"/>
          <w:szCs w:val="32"/>
        </w:rPr>
        <w:t>推进“三湖”流域种植结构优化调整，推广应用休耕轮作技术模式。在“三湖”径流区，大幅压缩大水大肥蔬菜种植，大力发展节肥节药型农作物和种植具有湿地净化功能的水生作物，推广应用休耕轮作技术模式，培肥地力，减少肥料投入。在抚仙湖径流区继续实施5.8万亩坝区耕地休耕轮作工作，在江川、澄江、通海各实施耕地轮作试点0.5万亩，三县（市、区）共1.5万亩。</w:t>
      </w:r>
    </w:p>
    <w:p>
      <w:pPr>
        <w:pStyle w:val="2"/>
        <w:keepNext w:val="0"/>
        <w:keepLines w:val="0"/>
        <w:pageBreakBefore w:val="0"/>
        <w:widowControl w:val="0"/>
        <w:kinsoku/>
        <w:wordWrap/>
        <w:overflowPunct/>
        <w:bidi w:val="0"/>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sz w:val="32"/>
          <w:szCs w:val="32"/>
        </w:rPr>
        <w:t>切实抓好耕地质量监测评价与保护。一是整合国家级、市级耕地质量监测点，把好耕地质量年度例行“监测关”、“数据关”，编制年度全市耕地质量监测报告。二是以县为单位开展耕地质量等级年度调查、土壤样品采集和检测工作，分级汇总耕地质量等级调查评价数，构建市、县两级耕地质量数据库。三是因地制宜编制《玉溪市2020年耕地质量监测实施方案》，在已建成的104个市级监测点和长期定位监测点的基础上，新建24个长期定位监测点，其中国家级1个、省级3个、市级8个、县级12个，目前地块已全部落实，准备开挖剖面，采集土样。</w:t>
      </w:r>
    </w:p>
    <w:p>
      <w:pPr>
        <w:pStyle w:val="2"/>
        <w:keepNext w:val="0"/>
        <w:keepLines w:val="0"/>
        <w:pageBreakBefore w:val="0"/>
        <w:widowControl w:val="0"/>
        <w:kinsoku/>
        <w:wordWrap/>
        <w:overflowPunct/>
        <w:bidi w:val="0"/>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sz w:val="32"/>
          <w:szCs w:val="32"/>
        </w:rPr>
        <w:t>逐步夯实土肥科技支撑能力，完善肥料监测体系</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一是在全市各县（区、市）每个村选择当地有代表性的农户10户，做好2020年农户施肥情况调查，完善肥料监测体系。二是安排肥料利用率、化肥减量增效等田间试验35组，摸清主要农作物氮肥、磷肥及钾肥的利用率现状，验证测土配方施肥、有机肥替代、高效新型肥料应用等化肥减量增效技术推广应用的实际效果，不断探寻节肥增效的有效途径。</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sz w:val="32"/>
          <w:szCs w:val="32"/>
        </w:rPr>
        <w:t xml:space="preserve">做好辖区内肥料质量安全监管，保障农业生产安全。一是建立了“三湖”流域肥料经营台账。为摸清“三湖”流域化肥销售使用量，实现化肥投入品可追溯，结合中央环保督察“回头看”及高原湖泊环境问题专项督察反馈意见问题整改落实，2020年继续在“三湖”沿岸县区实行《肥料经营台账制度》。二是结合“3.15消费者权益日”、“放心农资下乡进村宣传周”、科技文化“三下乡”等活动，大力开展肥料质量安全宣传。三是组织开展全市春季肥料质量监督抽查专项行动。全市共出动执法人员300余人次，对辖区内主要农资经营门市进行抽样检查，重点抽查复混（复合）肥、水溶肥、有机肥料，共抽取样品30个，不合格样品6个，合格率80%，并对不合格肥料产品的销售企业依法进行了查处。 </w:t>
      </w:r>
    </w:p>
    <w:p>
      <w:pPr>
        <w:keepNext w:val="0"/>
        <w:keepLines w:val="0"/>
        <w:pageBreakBefore w:val="0"/>
        <w:widowControl w:val="0"/>
        <w:numPr>
          <w:ilvl w:val="0"/>
          <w:numId w:val="0"/>
        </w:numPr>
        <w:suppressLineNumbers w:val="0"/>
        <w:tabs>
          <w:tab w:val="left" w:pos="0"/>
        </w:tabs>
        <w:kinsoku/>
        <w:wordWrap/>
        <w:overflowPunct/>
        <w:topLinePunct/>
        <w:autoSpaceDE w:val="0"/>
        <w:autoSpaceDN/>
        <w:bidi w:val="0"/>
        <w:adjustRightInd/>
        <w:snapToGrid/>
        <w:spacing w:before="0" w:beforeAutospacing="0" w:after="0" w:afterAutospacing="0" w:line="590" w:lineRule="exact"/>
        <w:ind w:left="0" w:right="0" w:rightChars="0" w:firstLine="640" w:firstLineChars="200"/>
        <w:jc w:val="both"/>
        <w:textAlignment w:val="auto"/>
        <w:outlineLvl w:val="1"/>
        <w:rPr>
          <w:rFonts w:hint="default" w:ascii="Times New Roman" w:hAnsi="Times New Roman" w:eastAsia="方正黑体_GBK" w:cs="Times New Roman"/>
          <w:color w:val="000000"/>
          <w:kern w:val="0"/>
          <w:sz w:val="32"/>
          <w:szCs w:val="32"/>
          <w:shd w:val="clear" w:fill="FFFFFF"/>
          <w:lang w:eastAsia="zh-CN" w:bidi="ar"/>
        </w:rPr>
      </w:pPr>
      <w:bookmarkStart w:id="2" w:name="_Toc27449"/>
      <w:r>
        <w:rPr>
          <w:rFonts w:hint="default" w:ascii="Times New Roman" w:hAnsi="Times New Roman" w:eastAsia="方正黑体_GBK" w:cs="Times New Roman"/>
          <w:color w:val="000000"/>
          <w:kern w:val="0"/>
          <w:sz w:val="32"/>
          <w:szCs w:val="32"/>
          <w:shd w:val="clear" w:fill="FFFFFF"/>
          <w:lang w:eastAsia="zh-CN" w:bidi="ar"/>
        </w:rPr>
        <w:t>二、部门基本情况</w:t>
      </w:r>
      <w:bookmarkEnd w:id="2"/>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楷体_GBK" w:cs="Times New Roman"/>
        </w:rPr>
      </w:pPr>
      <w:r>
        <w:rPr>
          <w:rFonts w:hint="default" w:ascii="Times New Roman" w:hAnsi="Times New Roman" w:eastAsia="方正楷体_GBK" w:cs="Times New Roman"/>
          <w:sz w:val="32"/>
          <w:szCs w:val="30"/>
          <w:shd w:val="clear" w:color="auto" w:fill="FFFFFF"/>
        </w:rPr>
        <w:t>（一）部门决算单位构成</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0"/>
          <w:shd w:val="clear" w:color="auto" w:fill="FFFFFF"/>
        </w:rPr>
        <w:t>纳入玉溪市农田建设与土壤肥料工作站2020年度部门决算编报的单位共1个。其中：行政单位0个，参照公务员法管理的事业单位0个，其他事业单位1个。</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楷体_GBK" w:cs="Times New Roman"/>
        </w:rPr>
      </w:pPr>
      <w:r>
        <w:rPr>
          <w:rFonts w:hint="default" w:ascii="Times New Roman" w:hAnsi="Times New Roman" w:eastAsia="方正楷体_GBK" w:cs="Times New Roman"/>
          <w:sz w:val="32"/>
          <w:szCs w:val="30"/>
          <w:shd w:val="clear" w:color="auto" w:fill="FFFFFF"/>
        </w:rPr>
        <w:t>（二）部门人员和车辆的编制及实有情况</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0"/>
          <w:shd w:val="clear" w:color="auto" w:fill="FFFFFF"/>
        </w:rPr>
        <w:t>玉溪市农田建设与土壤肥料工作站2020年末实有人员编制15人。其中：行政编制0人（含行政工勤编制0人），事业编制15人（含参公管理事业编制0人）；在职在编实有行政人员0人（含行政工勤人员0人），事业人员13.00人（含参公管理事业人员0人）。</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0"/>
          <w:shd w:val="clear" w:color="auto" w:fill="FFFFFF"/>
        </w:rPr>
        <w:t>离退休人员6人。其中：离休1人，退休5人。</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0"/>
          <w:shd w:val="clear" w:color="auto" w:fill="FFFFFF"/>
        </w:rPr>
        <w:t>实有车辆编制1辆</w:t>
      </w:r>
      <w:r>
        <w:rPr>
          <w:rFonts w:hint="default" w:ascii="Times New Roman" w:hAnsi="Times New Roman" w:eastAsia="方正仿宋_GBK" w:cs="Times New Roman"/>
          <w:color w:val="FF0000"/>
          <w:sz w:val="32"/>
          <w:szCs w:val="30"/>
          <w:shd w:val="clear" w:color="auto" w:fill="FFFFFF"/>
        </w:rPr>
        <w:t>，</w:t>
      </w:r>
      <w:r>
        <w:rPr>
          <w:rFonts w:hint="default" w:ascii="Times New Roman" w:hAnsi="Times New Roman" w:eastAsia="方正仿宋_GBK" w:cs="Times New Roman"/>
          <w:sz w:val="32"/>
          <w:szCs w:val="30"/>
          <w:shd w:val="clear" w:color="auto" w:fill="FFFFFF"/>
        </w:rPr>
        <w:t>在编实有车辆0辆。</w:t>
      </w:r>
    </w:p>
    <w:p>
      <w:pPr>
        <w:keepNext w:val="0"/>
        <w:keepLines w:val="0"/>
        <w:pageBreakBefore w:val="0"/>
        <w:widowControl w:val="0"/>
        <w:suppressLineNumbers w:val="0"/>
        <w:kinsoku/>
        <w:wordWrap/>
        <w:overflowPunct/>
        <w:autoSpaceDE w:val="0"/>
        <w:autoSpaceDN w:val="0"/>
        <w:bidi w:val="0"/>
        <w:spacing w:before="0" w:beforeAutospacing="0" w:after="0" w:afterAutospacing="0" w:line="590" w:lineRule="exact"/>
        <w:ind w:left="0" w:right="0" w:firstLine="640" w:firstLineChars="200"/>
        <w:jc w:val="center"/>
        <w:textAlignment w:val="auto"/>
        <w:outlineLvl w:val="0"/>
        <w:rPr>
          <w:rFonts w:hint="default" w:ascii="Times New Roman" w:hAnsi="Times New Roman" w:eastAsia="方正小标宋_GBK" w:cs="Times New Roman"/>
          <w:color w:val="000000"/>
          <w:kern w:val="0"/>
          <w:sz w:val="32"/>
          <w:szCs w:val="32"/>
          <w:shd w:val="clear" w:fill="FFFFFF"/>
          <w:lang w:eastAsia="zh-CN" w:bidi="ar"/>
        </w:rPr>
      </w:pPr>
      <w:bookmarkStart w:id="3" w:name="_Toc23273"/>
      <w:r>
        <w:rPr>
          <w:rFonts w:hint="default" w:ascii="Times New Roman" w:hAnsi="Times New Roman" w:eastAsia="方正小标宋_GBK" w:cs="Times New Roman"/>
          <w:color w:val="000000"/>
          <w:kern w:val="0"/>
          <w:sz w:val="32"/>
          <w:szCs w:val="32"/>
          <w:shd w:val="clear" w:fill="FFFFFF"/>
          <w:lang w:eastAsia="zh-CN" w:bidi="ar"/>
        </w:rPr>
        <w:t>第二部分  2020年度部门决算表</w:t>
      </w:r>
      <w:bookmarkEnd w:id="3"/>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0"/>
          <w:shd w:val="clear" w:color="auto" w:fill="FFFFFF"/>
        </w:rPr>
        <w:t>（详见附件）</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pPr>
        <w:keepNext w:val="0"/>
        <w:keepLines w:val="0"/>
        <w:pageBreakBefore w:val="0"/>
        <w:widowControl w:val="0"/>
        <w:suppressLineNumbers w:val="0"/>
        <w:kinsoku/>
        <w:wordWrap/>
        <w:overflowPunct/>
        <w:autoSpaceDE w:val="0"/>
        <w:autoSpaceDN w:val="0"/>
        <w:bidi w:val="0"/>
        <w:spacing w:before="0" w:beforeAutospacing="0" w:after="0" w:afterAutospacing="0" w:line="590" w:lineRule="exact"/>
        <w:ind w:left="0" w:right="0" w:firstLine="640" w:firstLineChars="200"/>
        <w:jc w:val="center"/>
        <w:textAlignment w:val="auto"/>
        <w:outlineLvl w:val="0"/>
        <w:rPr>
          <w:rFonts w:hint="default" w:ascii="Times New Roman" w:hAnsi="Times New Roman" w:eastAsia="方正小标宋_GBK" w:cs="Times New Roman"/>
          <w:color w:val="000000"/>
          <w:kern w:val="0"/>
          <w:sz w:val="32"/>
          <w:szCs w:val="32"/>
          <w:shd w:val="clear" w:fill="FFFFFF"/>
          <w:lang w:eastAsia="zh-CN" w:bidi="ar"/>
        </w:rPr>
      </w:pPr>
      <w:bookmarkStart w:id="4" w:name="_Toc4110"/>
      <w:r>
        <w:rPr>
          <w:rFonts w:hint="default" w:ascii="Times New Roman" w:hAnsi="Times New Roman" w:eastAsia="方正小标宋_GBK" w:cs="Times New Roman"/>
          <w:color w:val="000000"/>
          <w:kern w:val="0"/>
          <w:sz w:val="32"/>
          <w:szCs w:val="32"/>
          <w:shd w:val="clear" w:fill="FFFFFF"/>
          <w:lang w:eastAsia="zh-CN" w:bidi="ar"/>
        </w:rPr>
        <w:t>第三部分 2020年度部门决算情况说明</w:t>
      </w:r>
      <w:bookmarkEnd w:id="4"/>
    </w:p>
    <w:p>
      <w:pPr>
        <w:keepNext w:val="0"/>
        <w:keepLines w:val="0"/>
        <w:pageBreakBefore w:val="0"/>
        <w:widowControl w:val="0"/>
        <w:kinsoku/>
        <w:wordWrap/>
        <w:overflowPunct/>
        <w:topLinePunct/>
        <w:autoSpaceDE w:val="0"/>
        <w:bidi w:val="0"/>
        <w:spacing w:beforeAutospacing="0" w:afterAutospacing="0" w:line="590" w:lineRule="exact"/>
        <w:jc w:val="both"/>
        <w:textAlignment w:val="auto"/>
        <w:rPr>
          <w:rFonts w:hint="default" w:ascii="Times New Roman" w:hAnsi="Times New Roman" w:eastAsia="方正黑体_GBK" w:cs="Times New Roman"/>
          <w:sz w:val="32"/>
          <w:szCs w:val="32"/>
          <w:shd w:val="clear" w:color="auto" w:fill="FFFFFF"/>
        </w:rPr>
      </w:pPr>
    </w:p>
    <w:p>
      <w:pPr>
        <w:keepNext w:val="0"/>
        <w:keepLines w:val="0"/>
        <w:pageBreakBefore w:val="0"/>
        <w:widowControl w:val="0"/>
        <w:numPr>
          <w:ilvl w:val="0"/>
          <w:numId w:val="0"/>
        </w:numPr>
        <w:suppressLineNumbers w:val="0"/>
        <w:tabs>
          <w:tab w:val="left" w:pos="0"/>
        </w:tabs>
        <w:kinsoku/>
        <w:wordWrap/>
        <w:overflowPunct/>
        <w:topLinePunct/>
        <w:autoSpaceDE w:val="0"/>
        <w:autoSpaceDN/>
        <w:bidi w:val="0"/>
        <w:adjustRightInd/>
        <w:snapToGrid/>
        <w:spacing w:before="0" w:beforeAutospacing="0" w:after="0" w:afterAutospacing="0" w:line="590" w:lineRule="exact"/>
        <w:ind w:left="0" w:right="0" w:rightChars="0" w:firstLine="640" w:firstLineChars="200"/>
        <w:jc w:val="both"/>
        <w:textAlignment w:val="auto"/>
        <w:outlineLvl w:val="1"/>
        <w:rPr>
          <w:rFonts w:hint="default" w:ascii="Times New Roman" w:hAnsi="Times New Roman" w:eastAsia="方正黑体_GBK" w:cs="Times New Roman"/>
          <w:color w:val="000000"/>
          <w:kern w:val="0"/>
          <w:sz w:val="32"/>
          <w:szCs w:val="32"/>
          <w:shd w:val="clear" w:fill="FFFFFF"/>
          <w:lang w:eastAsia="zh-CN" w:bidi="ar"/>
        </w:rPr>
      </w:pPr>
      <w:bookmarkStart w:id="5" w:name="_Toc28719"/>
      <w:r>
        <w:rPr>
          <w:rFonts w:hint="default" w:ascii="Times New Roman" w:hAnsi="Times New Roman" w:eastAsia="方正黑体_GBK" w:cs="Times New Roman"/>
          <w:color w:val="000000"/>
          <w:kern w:val="0"/>
          <w:sz w:val="32"/>
          <w:szCs w:val="32"/>
          <w:shd w:val="clear" w:fill="FFFFFF"/>
          <w:lang w:eastAsia="zh-CN" w:bidi="ar"/>
        </w:rPr>
        <w:t>一、收入决算情况说明</w:t>
      </w:r>
      <w:bookmarkEnd w:id="5"/>
    </w:p>
    <w:p>
      <w:pPr>
        <w:keepNext w:val="0"/>
        <w:keepLines w:val="0"/>
        <w:pageBreakBefore w:val="0"/>
        <w:widowControl w:val="0"/>
        <w:kinsoku/>
        <w:wordWrap/>
        <w:overflowPunct/>
        <w:bidi w:val="0"/>
        <w:adjustRightInd w:val="0"/>
        <w:spacing w:beforeAutospacing="0" w:afterAutospacing="0" w:line="600" w:lineRule="exact"/>
        <w:ind w:firstLine="538"/>
        <w:jc w:val="both"/>
        <w:textAlignment w:val="auto"/>
        <w:rPr>
          <w:rFonts w:hint="default" w:ascii="Times New Roman" w:hAnsi="Times New Roman" w:eastAsia="仿宋" w:cs="Times New Roman"/>
          <w:color w:val="000000"/>
          <w:sz w:val="32"/>
          <w:szCs w:val="30"/>
        </w:rPr>
      </w:pPr>
      <w:r>
        <w:rPr>
          <w:rFonts w:hint="default" w:ascii="Times New Roman" w:hAnsi="Times New Roman" w:eastAsia="方正仿宋_GBK" w:cs="Times New Roman"/>
          <w:sz w:val="32"/>
          <w:szCs w:val="30"/>
          <w:shd w:val="clear" w:color="auto" w:fill="FFFFFF"/>
        </w:rPr>
        <w:t>玉溪市农田建设与土壤肥料工作站2020年度收入合计400.79万元。其中：财政拨款收入400.79万元，占总收入的100.00%；上级补助收入0.00万元，占总收入的0.00%；事业收入0.00万元，占总收入的0.00%；经营收入0.00万元，占总收入的0.00%；附属单位缴款收入0.00万元，占总收入的0.00%；其他收入0.00万元，占总收入的0.00%</w:t>
      </w:r>
      <w:r>
        <w:rPr>
          <w:rFonts w:hint="default" w:ascii="Times New Roman" w:hAnsi="Times New Roman" w:eastAsia="方正仿宋_GBK" w:cs="Times New Roman"/>
          <w:sz w:val="32"/>
          <w:szCs w:val="30"/>
          <w:shd w:val="clear" w:color="auto" w:fill="FFFFFF"/>
          <w:lang w:eastAsia="zh-CN"/>
        </w:rPr>
        <w:t>。</w:t>
      </w:r>
      <w:r>
        <w:rPr>
          <w:rFonts w:hint="default" w:ascii="Times New Roman" w:hAnsi="Times New Roman" w:eastAsia="仿宋" w:cs="Times New Roman"/>
          <w:color w:val="000000"/>
          <w:sz w:val="32"/>
          <w:szCs w:val="30"/>
        </w:rPr>
        <w:t>与上年对比收入合计增加98.44万元，增32.56%。主要原因是项目经费比上年增加28万元；机构改革，人员增加，人员经费增加，财政拨款收入增加。</w:t>
      </w:r>
    </w:p>
    <w:p>
      <w:pPr>
        <w:keepNext w:val="0"/>
        <w:keepLines w:val="0"/>
        <w:pageBreakBefore w:val="0"/>
        <w:widowControl w:val="0"/>
        <w:numPr>
          <w:ilvl w:val="0"/>
          <w:numId w:val="0"/>
        </w:numPr>
        <w:suppressLineNumbers w:val="0"/>
        <w:tabs>
          <w:tab w:val="left" w:pos="0"/>
        </w:tabs>
        <w:kinsoku/>
        <w:wordWrap/>
        <w:overflowPunct/>
        <w:topLinePunct/>
        <w:autoSpaceDE w:val="0"/>
        <w:autoSpaceDN/>
        <w:bidi w:val="0"/>
        <w:adjustRightInd/>
        <w:snapToGrid/>
        <w:spacing w:before="0" w:beforeAutospacing="0" w:after="0" w:afterAutospacing="0" w:line="590" w:lineRule="exact"/>
        <w:ind w:left="0" w:right="0" w:rightChars="0" w:firstLine="640" w:firstLineChars="200"/>
        <w:jc w:val="both"/>
        <w:textAlignment w:val="auto"/>
        <w:outlineLvl w:val="1"/>
        <w:rPr>
          <w:rFonts w:hint="default" w:ascii="Times New Roman" w:hAnsi="Times New Roman" w:eastAsia="方正黑体_GBK" w:cs="Times New Roman"/>
          <w:color w:val="000000"/>
          <w:kern w:val="0"/>
          <w:sz w:val="32"/>
          <w:szCs w:val="32"/>
          <w:shd w:val="clear" w:fill="FFFFFF"/>
          <w:lang w:eastAsia="zh-CN" w:bidi="ar"/>
        </w:rPr>
      </w:pPr>
      <w:bookmarkStart w:id="6" w:name="_Toc27788"/>
      <w:r>
        <w:rPr>
          <w:rFonts w:hint="default" w:ascii="Times New Roman" w:hAnsi="Times New Roman" w:eastAsia="方正黑体_GBK" w:cs="Times New Roman"/>
          <w:color w:val="000000"/>
          <w:kern w:val="0"/>
          <w:sz w:val="32"/>
          <w:szCs w:val="32"/>
          <w:shd w:val="clear" w:fill="FFFFFF"/>
          <w:lang w:eastAsia="zh-CN" w:bidi="ar"/>
        </w:rPr>
        <w:t>二、支出决算情况说明</w:t>
      </w:r>
      <w:bookmarkEnd w:id="6"/>
    </w:p>
    <w:p>
      <w:pPr>
        <w:keepNext w:val="0"/>
        <w:keepLines w:val="0"/>
        <w:pageBreakBefore w:val="0"/>
        <w:widowControl w:val="0"/>
        <w:kinsoku/>
        <w:wordWrap/>
        <w:overflowPunct/>
        <w:bidi w:val="0"/>
        <w:adjustRightInd w:val="0"/>
        <w:spacing w:beforeAutospacing="0" w:afterAutospacing="0" w:line="590" w:lineRule="exact"/>
        <w:ind w:firstLine="640" w:firstLineChars="200"/>
        <w:jc w:val="both"/>
        <w:textAlignment w:val="auto"/>
        <w:rPr>
          <w:rFonts w:hint="default" w:ascii="Times New Roman" w:hAnsi="Times New Roman" w:eastAsia="仿宋" w:cs="Times New Roman"/>
          <w:color w:val="FF0000"/>
          <w:sz w:val="32"/>
          <w:szCs w:val="30"/>
        </w:rPr>
      </w:pPr>
      <w:r>
        <w:rPr>
          <w:rFonts w:hint="default" w:ascii="Times New Roman" w:hAnsi="Times New Roman" w:eastAsia="方正仿宋_GBK" w:cs="Times New Roman"/>
          <w:sz w:val="32"/>
          <w:szCs w:val="30"/>
          <w:shd w:val="clear" w:color="auto" w:fill="FFFFFF"/>
        </w:rPr>
        <w:t>玉溪市农田建设与土壤肥料工作站2020年度支出合计381.76万元。其中：基本支出339.30万元，占总支出的88.88%；项目支出42.45万元，占总支出的11.12%；上缴上级支出、经营支出、对附属单位补助支出共0.00万元，占总支出的0.00%。</w:t>
      </w:r>
      <w:r>
        <w:rPr>
          <w:rFonts w:hint="default" w:ascii="Times New Roman" w:hAnsi="Times New Roman" w:eastAsia="仿宋" w:cs="Times New Roman"/>
          <w:color w:val="000000"/>
          <w:sz w:val="32"/>
          <w:szCs w:val="30"/>
        </w:rPr>
        <w:t>主要原因是机构改革，人员增加，人员经费支出增加。</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楷体_GBK" w:cs="Times New Roman"/>
        </w:rPr>
      </w:pPr>
      <w:r>
        <w:rPr>
          <w:rFonts w:hint="default" w:ascii="Times New Roman" w:hAnsi="Times New Roman" w:eastAsia="方正楷体_GBK" w:cs="Times New Roman"/>
          <w:sz w:val="32"/>
          <w:szCs w:val="30"/>
          <w:shd w:val="clear" w:color="auto" w:fill="FFFFFF"/>
        </w:rPr>
        <w:t>（一）基本支出情况</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0"/>
          <w:shd w:val="clear" w:color="auto" w:fill="FFFFFF"/>
        </w:rPr>
        <w:t>2020年度用于保障玉溪市农田建设与土壤肥料工作站机构正常运转的日常支出339.30万元。</w:t>
      </w:r>
      <w:r>
        <w:rPr>
          <w:rFonts w:hint="default" w:ascii="Times New Roman" w:hAnsi="Times New Roman" w:eastAsia="仿宋" w:cs="Times New Roman"/>
          <w:sz w:val="32"/>
          <w:szCs w:val="30"/>
        </w:rPr>
        <w:t>与上年对比增77.29万元，增29.5%。主要原因是农林水支出增加。</w:t>
      </w:r>
      <w:r>
        <w:rPr>
          <w:rFonts w:hint="default" w:ascii="Times New Roman" w:hAnsi="Times New Roman" w:eastAsia="方正仿宋_GBK" w:cs="Times New Roman"/>
          <w:sz w:val="32"/>
          <w:szCs w:val="30"/>
          <w:shd w:val="clear" w:color="auto" w:fill="FFFFFF"/>
        </w:rPr>
        <w:t>包括基本工资、津贴补贴等人员经费支出308.89万元，占基本支出的91.04%。办公费、印刷费、水电费、办公设备购置等公用经费30.41万元，占基本支出的8.96%</w:t>
      </w:r>
      <w:r>
        <w:rPr>
          <w:rFonts w:hint="default" w:ascii="Times New Roman" w:hAnsi="Times New Roman" w:eastAsia="方正仿宋_GBK" w:cs="Times New Roman"/>
          <w:color w:val="000000"/>
          <w:sz w:val="32"/>
          <w:szCs w:val="30"/>
          <w:shd w:val="clear" w:color="auto" w:fill="FFFFFF"/>
        </w:rPr>
        <w:t>。</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楷体_GBK" w:cs="Times New Roman"/>
        </w:rPr>
      </w:pPr>
      <w:r>
        <w:rPr>
          <w:rFonts w:hint="default" w:ascii="Times New Roman" w:hAnsi="Times New Roman" w:eastAsia="方正楷体_GBK" w:cs="Times New Roman"/>
          <w:sz w:val="32"/>
          <w:szCs w:val="30"/>
          <w:shd w:val="clear" w:color="auto" w:fill="FFFFFF"/>
        </w:rPr>
        <w:t>（二）项目支出情况</w:t>
      </w:r>
    </w:p>
    <w:p>
      <w:pPr>
        <w:keepNext w:val="0"/>
        <w:keepLines w:val="0"/>
        <w:pageBreakBefore w:val="0"/>
        <w:widowControl w:val="0"/>
        <w:kinsoku/>
        <w:wordWrap/>
        <w:overflowPunct/>
        <w:bidi w:val="0"/>
        <w:adjustRightInd w:val="0"/>
        <w:spacing w:beforeAutospacing="0" w:afterAutospacing="0" w:line="600" w:lineRule="exact"/>
        <w:ind w:firstLine="600"/>
        <w:jc w:val="both"/>
        <w:textAlignment w:val="auto"/>
        <w:rPr>
          <w:rFonts w:hint="default" w:ascii="Times New Roman" w:hAnsi="Times New Roman" w:eastAsia="仿宋" w:cs="Times New Roman"/>
          <w:color w:val="FF0000"/>
          <w:sz w:val="32"/>
          <w:szCs w:val="30"/>
        </w:rPr>
      </w:pPr>
      <w:r>
        <w:rPr>
          <w:rFonts w:hint="default" w:ascii="Times New Roman" w:hAnsi="Times New Roman" w:eastAsia="方正仿宋_GBK" w:cs="Times New Roman"/>
          <w:sz w:val="32"/>
          <w:szCs w:val="30"/>
          <w:shd w:val="clear" w:color="auto" w:fill="FFFFFF"/>
        </w:rPr>
        <w:t>2020年度用于保障玉溪市农田建设与土壤肥料工作站机构为完成特定的行政工作任务或事业发展目标，用于专项业务工作的经费支出42.45万元。</w:t>
      </w:r>
      <w:r>
        <w:rPr>
          <w:rFonts w:hint="default" w:ascii="Times New Roman" w:hAnsi="Times New Roman" w:eastAsia="仿宋" w:cs="Times New Roman"/>
          <w:color w:val="000000"/>
          <w:sz w:val="32"/>
          <w:szCs w:val="30"/>
        </w:rPr>
        <w:t>与上年对比减少5.04万元，减10.61%。主要原因是本年项目支出比上年减少。项目支出主要用于科技转化与推广服务、农业生产发展和农业资源保护修复与利用以及其他农业支出。</w:t>
      </w:r>
    </w:p>
    <w:p>
      <w:pPr>
        <w:keepNext w:val="0"/>
        <w:keepLines w:val="0"/>
        <w:pageBreakBefore w:val="0"/>
        <w:widowControl w:val="0"/>
        <w:numPr>
          <w:ilvl w:val="0"/>
          <w:numId w:val="0"/>
        </w:numPr>
        <w:suppressLineNumbers w:val="0"/>
        <w:tabs>
          <w:tab w:val="left" w:pos="0"/>
        </w:tabs>
        <w:kinsoku/>
        <w:wordWrap/>
        <w:overflowPunct/>
        <w:topLinePunct/>
        <w:autoSpaceDE w:val="0"/>
        <w:autoSpaceDN/>
        <w:bidi w:val="0"/>
        <w:adjustRightInd/>
        <w:snapToGrid/>
        <w:spacing w:before="0" w:beforeAutospacing="0" w:after="0" w:afterAutospacing="0" w:line="590" w:lineRule="exact"/>
        <w:ind w:left="0" w:right="0" w:rightChars="0" w:firstLine="640" w:firstLineChars="200"/>
        <w:jc w:val="both"/>
        <w:textAlignment w:val="auto"/>
        <w:outlineLvl w:val="1"/>
        <w:rPr>
          <w:rFonts w:hint="default" w:ascii="Times New Roman" w:hAnsi="Times New Roman" w:eastAsia="方正黑体_GBK" w:cs="Times New Roman"/>
          <w:color w:val="000000"/>
          <w:kern w:val="0"/>
          <w:sz w:val="32"/>
          <w:szCs w:val="32"/>
          <w:shd w:val="clear" w:fill="FFFFFF"/>
          <w:lang w:eastAsia="zh-CN" w:bidi="ar"/>
        </w:rPr>
      </w:pPr>
      <w:bookmarkStart w:id="7" w:name="_Toc3815"/>
      <w:r>
        <w:rPr>
          <w:rFonts w:hint="default" w:ascii="Times New Roman" w:hAnsi="Times New Roman" w:eastAsia="方正黑体_GBK" w:cs="Times New Roman"/>
          <w:color w:val="000000"/>
          <w:kern w:val="0"/>
          <w:sz w:val="32"/>
          <w:szCs w:val="32"/>
          <w:shd w:val="clear" w:fill="FFFFFF"/>
          <w:lang w:eastAsia="zh-CN" w:bidi="ar"/>
        </w:rPr>
        <w:t>三、一般公共预算财政拨款支出决算情况说明</w:t>
      </w:r>
      <w:bookmarkEnd w:id="7"/>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楷体_GBK" w:cs="Times New Roman"/>
        </w:rPr>
      </w:pPr>
      <w:r>
        <w:rPr>
          <w:rFonts w:hint="default" w:ascii="Times New Roman" w:hAnsi="Times New Roman" w:eastAsia="方正楷体_GBK" w:cs="Times New Roman"/>
          <w:sz w:val="32"/>
          <w:szCs w:val="30"/>
          <w:shd w:val="clear" w:color="auto" w:fill="FFFFFF"/>
        </w:rPr>
        <w:t>（一）一般公共预算财政拨款支出决算总体情况</w:t>
      </w:r>
    </w:p>
    <w:p>
      <w:pPr>
        <w:keepNext w:val="0"/>
        <w:keepLines w:val="0"/>
        <w:pageBreakBefore w:val="0"/>
        <w:widowControl w:val="0"/>
        <w:kinsoku/>
        <w:wordWrap/>
        <w:overflowPunct/>
        <w:bidi w:val="0"/>
        <w:adjustRightInd w:val="0"/>
        <w:spacing w:beforeAutospacing="0" w:afterAutospacing="0" w:line="600" w:lineRule="exact"/>
        <w:ind w:firstLine="600"/>
        <w:jc w:val="both"/>
        <w:textAlignment w:val="auto"/>
        <w:rPr>
          <w:rFonts w:hint="default" w:ascii="Times New Roman" w:hAnsi="Times New Roman" w:eastAsia="仿宋" w:cs="Times New Roman"/>
          <w:sz w:val="32"/>
          <w:szCs w:val="30"/>
        </w:rPr>
      </w:pPr>
      <w:r>
        <w:rPr>
          <w:rFonts w:hint="default" w:ascii="Times New Roman" w:hAnsi="Times New Roman" w:eastAsia="方正仿宋_GBK" w:cs="Times New Roman"/>
          <w:sz w:val="32"/>
          <w:szCs w:val="30"/>
          <w:shd w:val="clear" w:color="auto" w:fill="FFFFFF"/>
        </w:rPr>
        <w:t>玉溪市农田建设与土壤肥料工作站2020年度一般公共预算财政拨款支出381.76万元，占本年支出合计的100.00%</w:t>
      </w:r>
      <w:r>
        <w:rPr>
          <w:rFonts w:hint="default" w:ascii="Times New Roman" w:hAnsi="Times New Roman" w:eastAsia="方正仿宋_GBK" w:cs="Times New Roman"/>
          <w:color w:val="000000"/>
          <w:sz w:val="32"/>
          <w:szCs w:val="30"/>
          <w:shd w:val="clear" w:color="auto" w:fill="FFFFFF"/>
        </w:rPr>
        <w:t>。</w:t>
      </w:r>
      <w:r>
        <w:rPr>
          <w:rFonts w:hint="default" w:ascii="Times New Roman" w:hAnsi="Times New Roman" w:eastAsia="仿宋" w:cs="Times New Roman"/>
          <w:sz w:val="32"/>
          <w:szCs w:val="30"/>
        </w:rPr>
        <w:t>与上年对比增加73.45万元，增23.82%。主要原因是机构改革，人员增加，人员经费支出增加。</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楷体_GBK" w:cs="Times New Roman"/>
        </w:rPr>
      </w:pPr>
      <w:r>
        <w:rPr>
          <w:rFonts w:hint="default" w:ascii="Times New Roman" w:hAnsi="Times New Roman" w:eastAsia="方正楷体_GBK" w:cs="Times New Roman"/>
          <w:sz w:val="32"/>
          <w:szCs w:val="30"/>
          <w:shd w:val="clear" w:color="auto" w:fill="FFFFFF"/>
        </w:rPr>
        <w:t>（二）一般公共预算财政拨款支出决算具体情况</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仿宋_GBK" w:cs="Times New Roman"/>
          <w:sz w:val="32"/>
          <w:szCs w:val="30"/>
          <w:shd w:val="clear" w:color="auto" w:fill="FFFFFF"/>
        </w:rPr>
      </w:pPr>
      <w:r>
        <w:rPr>
          <w:rFonts w:hint="default" w:ascii="Times New Roman" w:hAnsi="Times New Roman" w:eastAsia="方正仿宋_GBK" w:cs="Times New Roman"/>
          <w:sz w:val="32"/>
          <w:szCs w:val="30"/>
          <w:shd w:val="clear" w:color="auto" w:fill="FFFFFF"/>
        </w:rPr>
        <w:t>1．一般公共服务（类）支出0.00万元，占一般公共预算财政拨款总支出的0.00%。</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仿宋_GBK" w:cs="Times New Roman"/>
          <w:sz w:val="32"/>
          <w:szCs w:val="30"/>
          <w:shd w:val="clear" w:color="auto" w:fill="FFFFFF"/>
        </w:rPr>
      </w:pPr>
      <w:r>
        <w:rPr>
          <w:rFonts w:hint="default" w:ascii="Times New Roman" w:hAnsi="Times New Roman" w:eastAsia="方正仿宋_GBK" w:cs="Times New Roman"/>
          <w:sz w:val="32"/>
          <w:szCs w:val="30"/>
          <w:shd w:val="clear" w:color="auto" w:fill="FFFFFF"/>
        </w:rPr>
        <w:t>2．外交（类）支出0.00万元，占一般公共预算财政拨款总支出的0.00%。</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仿宋_GBK" w:cs="Times New Roman"/>
          <w:sz w:val="32"/>
          <w:szCs w:val="30"/>
          <w:shd w:val="clear" w:color="auto" w:fill="FFFFFF"/>
        </w:rPr>
      </w:pPr>
      <w:r>
        <w:rPr>
          <w:rFonts w:hint="default" w:ascii="Times New Roman" w:hAnsi="Times New Roman" w:eastAsia="方正仿宋_GBK" w:cs="Times New Roman"/>
          <w:sz w:val="32"/>
          <w:szCs w:val="30"/>
          <w:shd w:val="clear" w:color="auto" w:fill="FFFFFF"/>
        </w:rPr>
        <w:t>3．国防（类）支出0.00万元，占一般公共预算财政拨款总支出的0.00%。</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仿宋_GBK" w:cs="Times New Roman"/>
          <w:sz w:val="32"/>
          <w:szCs w:val="30"/>
          <w:shd w:val="clear" w:color="auto" w:fill="FFFFFF"/>
        </w:rPr>
      </w:pPr>
      <w:r>
        <w:rPr>
          <w:rFonts w:hint="default" w:ascii="Times New Roman" w:hAnsi="Times New Roman" w:eastAsia="方正仿宋_GBK" w:cs="Times New Roman"/>
          <w:sz w:val="32"/>
          <w:szCs w:val="30"/>
          <w:shd w:val="clear" w:color="auto" w:fill="FFFFFF"/>
        </w:rPr>
        <w:t>4．公共安全（类）支出0.00万元，占一般公共预算财政拨款总支出的0.00%。</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仿宋_GBK" w:cs="Times New Roman"/>
          <w:sz w:val="32"/>
          <w:szCs w:val="30"/>
          <w:shd w:val="clear" w:color="auto" w:fill="FFFFFF"/>
        </w:rPr>
      </w:pPr>
      <w:r>
        <w:rPr>
          <w:rFonts w:hint="default" w:ascii="Times New Roman" w:hAnsi="Times New Roman" w:eastAsia="方正仿宋_GBK" w:cs="Times New Roman"/>
          <w:sz w:val="32"/>
          <w:szCs w:val="30"/>
          <w:shd w:val="clear" w:color="auto" w:fill="FFFFFF"/>
        </w:rPr>
        <w:t>5．教育（类）支出0.00万元，占一般公共预算财政拨款总支出的0.00%。</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仿宋_GBK" w:cs="Times New Roman"/>
          <w:sz w:val="32"/>
          <w:szCs w:val="30"/>
          <w:shd w:val="clear" w:color="auto" w:fill="FFFFFF"/>
        </w:rPr>
      </w:pPr>
      <w:r>
        <w:rPr>
          <w:rFonts w:hint="default" w:ascii="Times New Roman" w:hAnsi="Times New Roman" w:eastAsia="方正仿宋_GBK" w:cs="Times New Roman"/>
          <w:sz w:val="32"/>
          <w:szCs w:val="30"/>
          <w:shd w:val="clear" w:color="auto" w:fill="FFFFFF"/>
        </w:rPr>
        <w:t>6．科学技术（类）支出0.00万元，占一般公共预算财政拨款总支出的0.00%。</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仿宋_GBK" w:cs="Times New Roman"/>
          <w:sz w:val="32"/>
          <w:szCs w:val="30"/>
          <w:shd w:val="clear" w:color="auto" w:fill="FFFFFF"/>
        </w:rPr>
      </w:pPr>
      <w:r>
        <w:rPr>
          <w:rFonts w:hint="default" w:ascii="Times New Roman" w:hAnsi="Times New Roman" w:eastAsia="方正仿宋_GBK" w:cs="Times New Roman"/>
          <w:sz w:val="32"/>
          <w:szCs w:val="30"/>
          <w:shd w:val="clear" w:color="auto" w:fill="FFFFFF"/>
        </w:rPr>
        <w:t>7．文化旅游体育与传媒（类）支出0.00万元，占一般公共预算财政拨款总支出的0.00%。</w:t>
      </w:r>
    </w:p>
    <w:p>
      <w:pPr>
        <w:keepNext w:val="0"/>
        <w:keepLines w:val="0"/>
        <w:pageBreakBefore w:val="0"/>
        <w:widowControl w:val="0"/>
        <w:kinsoku/>
        <w:wordWrap/>
        <w:overflowPunct/>
        <w:bidi w:val="0"/>
        <w:adjustRightInd w:val="0"/>
        <w:spacing w:beforeAutospacing="0" w:afterAutospacing="0" w:line="360" w:lineRule="auto"/>
        <w:ind w:firstLine="600"/>
        <w:jc w:val="both"/>
        <w:textAlignment w:val="auto"/>
        <w:rPr>
          <w:rFonts w:hint="default" w:ascii="Times New Roman" w:hAnsi="Times New Roman" w:eastAsia="仿宋" w:cs="Times New Roman"/>
          <w:color w:val="FF0000"/>
          <w:sz w:val="32"/>
          <w:szCs w:val="30"/>
        </w:rPr>
      </w:pPr>
      <w:r>
        <w:rPr>
          <w:rFonts w:hint="default" w:ascii="Times New Roman" w:hAnsi="Times New Roman" w:eastAsia="方正仿宋_GBK" w:cs="Times New Roman"/>
          <w:sz w:val="32"/>
          <w:szCs w:val="30"/>
          <w:shd w:val="clear" w:color="auto" w:fill="FFFFFF"/>
        </w:rPr>
        <w:t>8．社会保障和就业（类）支出60.90万元，占一般公共预算财政拨款总支出的15.95%。</w:t>
      </w:r>
      <w:r>
        <w:rPr>
          <w:rFonts w:hint="default" w:ascii="Times New Roman" w:hAnsi="Times New Roman" w:eastAsia="仿宋" w:cs="Times New Roman"/>
          <w:sz w:val="32"/>
          <w:szCs w:val="30"/>
        </w:rPr>
        <w:t>主要用于事业单位离退休28.94万元、基本养老保险缴费支出21.06万元、职业年金缴费支出4.87万元</w:t>
      </w:r>
      <w:r>
        <w:rPr>
          <w:rFonts w:hint="default" w:ascii="Times New Roman" w:hAnsi="Times New Roman" w:eastAsia="仿宋" w:cs="Times New Roman"/>
          <w:sz w:val="32"/>
          <w:szCs w:val="30"/>
          <w:lang w:eastAsia="zh-CN"/>
        </w:rPr>
        <w:t>，死亡抚恤金</w:t>
      </w:r>
      <w:r>
        <w:rPr>
          <w:rFonts w:hint="default" w:ascii="Times New Roman" w:hAnsi="Times New Roman" w:eastAsia="仿宋" w:cs="Times New Roman"/>
          <w:sz w:val="32"/>
          <w:szCs w:val="30"/>
          <w:lang w:val="en-US" w:eastAsia="zh-CN"/>
        </w:rPr>
        <w:t>6.03万元</w:t>
      </w:r>
      <w:r>
        <w:rPr>
          <w:rFonts w:hint="default" w:ascii="Times New Roman" w:hAnsi="Times New Roman" w:eastAsia="仿宋" w:cs="Times New Roman"/>
          <w:sz w:val="32"/>
          <w:szCs w:val="30"/>
        </w:rPr>
        <w:t>。</w:t>
      </w:r>
    </w:p>
    <w:p>
      <w:pPr>
        <w:keepNext w:val="0"/>
        <w:keepLines w:val="0"/>
        <w:pageBreakBefore w:val="0"/>
        <w:widowControl w:val="0"/>
        <w:kinsoku/>
        <w:wordWrap/>
        <w:overflowPunct/>
        <w:bidi w:val="0"/>
        <w:adjustRightInd w:val="0"/>
        <w:spacing w:beforeAutospacing="0" w:afterAutospacing="0" w:line="360" w:lineRule="auto"/>
        <w:ind w:firstLine="600"/>
        <w:jc w:val="both"/>
        <w:textAlignment w:val="auto"/>
        <w:rPr>
          <w:rFonts w:hint="default" w:ascii="Times New Roman" w:hAnsi="Times New Roman" w:eastAsia="仿宋" w:cs="Times New Roman"/>
          <w:color w:val="FF0000"/>
          <w:sz w:val="32"/>
          <w:szCs w:val="30"/>
        </w:rPr>
      </w:pPr>
      <w:r>
        <w:rPr>
          <w:rFonts w:hint="default" w:ascii="Times New Roman" w:hAnsi="Times New Roman" w:eastAsia="方正仿宋_GBK" w:cs="Times New Roman"/>
          <w:sz w:val="32"/>
          <w:szCs w:val="30"/>
          <w:shd w:val="clear" w:color="auto" w:fill="FFFFFF"/>
        </w:rPr>
        <w:t>9．卫生健康（类）支出23.60万元，占一般公共预算财政拨款总支出的6.18%。</w:t>
      </w:r>
      <w:r>
        <w:rPr>
          <w:rFonts w:hint="default" w:ascii="Times New Roman" w:hAnsi="Times New Roman" w:eastAsia="仿宋" w:cs="Times New Roman"/>
          <w:sz w:val="32"/>
          <w:szCs w:val="30"/>
        </w:rPr>
        <w:t>主要用于事业单位医疗15.82万元、公务员医疗补助7.77万元。</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仿宋_GBK" w:cs="Times New Roman"/>
          <w:sz w:val="32"/>
          <w:szCs w:val="30"/>
          <w:shd w:val="clear" w:color="auto" w:fill="FFFFFF"/>
        </w:rPr>
      </w:pPr>
      <w:r>
        <w:rPr>
          <w:rFonts w:hint="default" w:ascii="Times New Roman" w:hAnsi="Times New Roman" w:eastAsia="方正仿宋_GBK" w:cs="Times New Roman"/>
          <w:sz w:val="32"/>
          <w:szCs w:val="30"/>
          <w:shd w:val="clear" w:color="auto" w:fill="FFFFFF"/>
        </w:rPr>
        <w:t>10．节能环保（类）支出0.00万元，占一般公共预算财政拨款总支出的0.00%。</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仿宋_GBK" w:cs="Times New Roman"/>
          <w:sz w:val="32"/>
          <w:szCs w:val="30"/>
          <w:shd w:val="clear" w:color="auto" w:fill="FFFFFF"/>
        </w:rPr>
      </w:pPr>
      <w:r>
        <w:rPr>
          <w:rFonts w:hint="default" w:ascii="Times New Roman" w:hAnsi="Times New Roman" w:eastAsia="方正仿宋_GBK" w:cs="Times New Roman"/>
          <w:sz w:val="32"/>
          <w:szCs w:val="30"/>
          <w:shd w:val="clear" w:color="auto" w:fill="FFFFFF"/>
        </w:rPr>
        <w:t>11．城乡社区（类）支出0.00万元，占一般公共预算财政拨款总支出的0.00%。</w:t>
      </w:r>
    </w:p>
    <w:p>
      <w:pPr>
        <w:keepNext w:val="0"/>
        <w:keepLines w:val="0"/>
        <w:pageBreakBefore w:val="0"/>
        <w:widowControl w:val="0"/>
        <w:kinsoku/>
        <w:wordWrap/>
        <w:overflowPunct/>
        <w:bidi w:val="0"/>
        <w:adjustRightInd w:val="0"/>
        <w:spacing w:beforeAutospacing="0" w:afterAutospacing="0" w:line="360" w:lineRule="auto"/>
        <w:ind w:firstLine="600"/>
        <w:jc w:val="both"/>
        <w:textAlignment w:val="auto"/>
        <w:rPr>
          <w:rFonts w:hint="default" w:ascii="Times New Roman" w:hAnsi="Times New Roman" w:eastAsia="仿宋" w:cs="Times New Roman"/>
          <w:color w:val="FF0000"/>
          <w:sz w:val="32"/>
          <w:szCs w:val="30"/>
        </w:rPr>
      </w:pPr>
      <w:r>
        <w:rPr>
          <w:rFonts w:hint="default" w:ascii="Times New Roman" w:hAnsi="Times New Roman" w:eastAsia="方正仿宋_GBK" w:cs="Times New Roman"/>
          <w:sz w:val="32"/>
          <w:szCs w:val="30"/>
          <w:shd w:val="clear" w:color="auto" w:fill="FFFFFF"/>
        </w:rPr>
        <w:t>12．农林水（类）支出273.30万元，占一般公共预算财政拨款总支出的71.59%</w:t>
      </w:r>
      <w:r>
        <w:rPr>
          <w:rFonts w:hint="default" w:ascii="Times New Roman" w:hAnsi="Times New Roman" w:eastAsia="方正仿宋_GBK" w:cs="Times New Roman"/>
          <w:sz w:val="32"/>
          <w:szCs w:val="30"/>
          <w:shd w:val="clear" w:color="auto" w:fill="FFFFFF"/>
          <w:lang w:eastAsia="zh-CN"/>
        </w:rPr>
        <w:t>。</w:t>
      </w:r>
      <w:r>
        <w:rPr>
          <w:rFonts w:hint="default" w:ascii="Times New Roman" w:hAnsi="Times New Roman" w:eastAsia="仿宋" w:cs="Times New Roman"/>
          <w:sz w:val="32"/>
          <w:szCs w:val="30"/>
        </w:rPr>
        <w:t>主要用于保障单位正常运转230.85万元、科技转化与推广服务5.25万元、农业生产发展22.46万元、农业资源保护修复与利用13.74万元、其他农业农村支出1万元。</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仿宋_GBK" w:cs="Times New Roman"/>
          <w:sz w:val="32"/>
          <w:szCs w:val="30"/>
          <w:shd w:val="clear" w:color="auto" w:fill="FFFFFF"/>
        </w:rPr>
      </w:pPr>
      <w:r>
        <w:rPr>
          <w:rFonts w:hint="default" w:ascii="Times New Roman" w:hAnsi="Times New Roman" w:eastAsia="方正仿宋_GBK" w:cs="Times New Roman"/>
          <w:sz w:val="32"/>
          <w:szCs w:val="30"/>
          <w:shd w:val="clear" w:color="auto" w:fill="FFFFFF"/>
        </w:rPr>
        <w:t>13．交通运输（类）支出0.00万元，占一般公共预算财政拨款总支出的0.00%。</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仿宋_GBK" w:cs="Times New Roman"/>
          <w:sz w:val="32"/>
          <w:szCs w:val="30"/>
          <w:shd w:val="clear" w:color="auto" w:fill="FFFFFF"/>
        </w:rPr>
      </w:pPr>
      <w:r>
        <w:rPr>
          <w:rFonts w:hint="default" w:ascii="Times New Roman" w:hAnsi="Times New Roman" w:eastAsia="方正仿宋_GBK" w:cs="Times New Roman"/>
          <w:sz w:val="32"/>
          <w:szCs w:val="30"/>
          <w:shd w:val="clear" w:color="auto" w:fill="FFFFFF"/>
        </w:rPr>
        <w:t>14．资源勘探信息等（类）支出0.00万元，占一般公共预算财政拨款总支出的0.00%。</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仿宋_GBK" w:cs="Times New Roman"/>
          <w:sz w:val="32"/>
          <w:szCs w:val="30"/>
          <w:shd w:val="clear" w:color="auto" w:fill="FFFFFF"/>
        </w:rPr>
      </w:pPr>
      <w:r>
        <w:rPr>
          <w:rFonts w:hint="default" w:ascii="Times New Roman" w:hAnsi="Times New Roman" w:eastAsia="方正仿宋_GBK" w:cs="Times New Roman"/>
          <w:sz w:val="32"/>
          <w:szCs w:val="30"/>
          <w:shd w:val="clear" w:color="auto" w:fill="FFFFFF"/>
        </w:rPr>
        <w:t>15．商业服务业等（类）支出0.00万元，占一般公共预算财政拨款总支出的0.00%。</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仿宋_GBK" w:cs="Times New Roman"/>
          <w:sz w:val="32"/>
          <w:szCs w:val="30"/>
          <w:shd w:val="clear" w:color="auto" w:fill="FFFFFF"/>
        </w:rPr>
      </w:pPr>
      <w:r>
        <w:rPr>
          <w:rFonts w:hint="default" w:ascii="Times New Roman" w:hAnsi="Times New Roman" w:eastAsia="方正仿宋_GBK" w:cs="Times New Roman"/>
          <w:sz w:val="32"/>
          <w:szCs w:val="30"/>
          <w:shd w:val="clear" w:color="auto" w:fill="FFFFFF"/>
        </w:rPr>
        <w:t>16．金融（类）支出0.00万元，占一般公共预算财政拨款总支出的0.00%。</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仿宋_GBK" w:cs="Times New Roman"/>
          <w:sz w:val="32"/>
          <w:szCs w:val="30"/>
          <w:shd w:val="clear" w:color="auto" w:fill="FFFFFF"/>
        </w:rPr>
      </w:pPr>
      <w:r>
        <w:rPr>
          <w:rFonts w:hint="default" w:ascii="Times New Roman" w:hAnsi="Times New Roman" w:eastAsia="方正仿宋_GBK" w:cs="Times New Roman"/>
          <w:sz w:val="32"/>
          <w:szCs w:val="30"/>
          <w:shd w:val="clear" w:color="auto" w:fill="FFFFFF"/>
        </w:rPr>
        <w:t>17．援助其他地区（类）支出0.00万元，占一般公共预算财政拨款总支出的0.00%。</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仿宋_GBK" w:cs="Times New Roman"/>
          <w:sz w:val="32"/>
          <w:szCs w:val="30"/>
          <w:shd w:val="clear" w:color="auto" w:fill="FFFFFF"/>
        </w:rPr>
      </w:pPr>
      <w:r>
        <w:rPr>
          <w:rFonts w:hint="default" w:ascii="Times New Roman" w:hAnsi="Times New Roman" w:eastAsia="方正仿宋_GBK" w:cs="Times New Roman"/>
          <w:sz w:val="32"/>
          <w:szCs w:val="30"/>
          <w:shd w:val="clear" w:color="auto" w:fill="FFFFFF"/>
        </w:rPr>
        <w:t>18．自然资源海洋气象等（类）支出0.00万元，占一般公共预算财政拨款总支出的0.00%。</w:t>
      </w:r>
    </w:p>
    <w:p>
      <w:pPr>
        <w:keepNext w:val="0"/>
        <w:keepLines w:val="0"/>
        <w:pageBreakBefore w:val="0"/>
        <w:widowControl w:val="0"/>
        <w:kinsoku/>
        <w:wordWrap/>
        <w:overflowPunct/>
        <w:bidi w:val="0"/>
        <w:adjustRightInd w:val="0"/>
        <w:spacing w:beforeAutospacing="0" w:afterAutospacing="0" w:line="360" w:lineRule="auto"/>
        <w:ind w:firstLine="600"/>
        <w:jc w:val="both"/>
        <w:textAlignment w:val="auto"/>
        <w:rPr>
          <w:rFonts w:hint="default" w:ascii="Times New Roman" w:hAnsi="Times New Roman" w:eastAsia="仿宋" w:cs="Times New Roman"/>
          <w:sz w:val="32"/>
          <w:szCs w:val="30"/>
        </w:rPr>
      </w:pPr>
      <w:r>
        <w:rPr>
          <w:rFonts w:hint="default" w:ascii="Times New Roman" w:hAnsi="Times New Roman" w:eastAsia="方正仿宋_GBK" w:cs="Times New Roman"/>
          <w:sz w:val="32"/>
          <w:szCs w:val="30"/>
          <w:shd w:val="clear" w:color="auto" w:fill="FFFFFF"/>
        </w:rPr>
        <w:t>19．住房保障（类）支出23.97万元，占一般公共预算财政拨款总支出的6.28%。</w:t>
      </w:r>
      <w:r>
        <w:rPr>
          <w:rFonts w:hint="default" w:ascii="Times New Roman" w:hAnsi="Times New Roman" w:eastAsia="仿宋" w:cs="Times New Roman"/>
          <w:sz w:val="32"/>
          <w:szCs w:val="30"/>
        </w:rPr>
        <w:t>主要用于住房公积金22.02万元、购房补贴1.94万元。</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仿宋_GBK" w:cs="Times New Roman"/>
          <w:sz w:val="32"/>
          <w:szCs w:val="30"/>
          <w:shd w:val="clear" w:color="auto" w:fill="FFFFFF"/>
        </w:rPr>
      </w:pPr>
      <w:r>
        <w:rPr>
          <w:rFonts w:hint="default" w:ascii="Times New Roman" w:hAnsi="Times New Roman" w:eastAsia="方正仿宋_GBK" w:cs="Times New Roman"/>
          <w:sz w:val="32"/>
          <w:szCs w:val="30"/>
          <w:shd w:val="clear" w:color="auto" w:fill="FFFFFF"/>
        </w:rPr>
        <w:t>20．粮油物资储备（类）支出0.00万元，占一般公共预算财政拨款总支出的0.00%。</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仿宋_GBK" w:cs="Times New Roman"/>
          <w:sz w:val="32"/>
          <w:szCs w:val="30"/>
          <w:shd w:val="clear" w:color="auto" w:fill="FFFFFF"/>
        </w:rPr>
      </w:pPr>
      <w:r>
        <w:rPr>
          <w:rFonts w:hint="default" w:ascii="Times New Roman" w:hAnsi="Times New Roman" w:eastAsia="方正仿宋_GBK" w:cs="Times New Roman"/>
          <w:sz w:val="32"/>
          <w:szCs w:val="30"/>
          <w:shd w:val="clear" w:color="auto" w:fill="FFFFFF"/>
        </w:rPr>
        <w:t>21．国有资本经营预算（类）支出0.00万元，占一般公共预算财政拨款总支出的0.00%。</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仿宋_GBK" w:cs="Times New Roman"/>
          <w:sz w:val="32"/>
          <w:szCs w:val="30"/>
          <w:shd w:val="clear" w:color="auto" w:fill="FFFFFF"/>
        </w:rPr>
      </w:pPr>
      <w:r>
        <w:rPr>
          <w:rFonts w:hint="default" w:ascii="Times New Roman" w:hAnsi="Times New Roman" w:eastAsia="方正仿宋_GBK" w:cs="Times New Roman"/>
          <w:sz w:val="32"/>
          <w:szCs w:val="30"/>
          <w:shd w:val="clear" w:color="auto" w:fill="FFFFFF"/>
        </w:rPr>
        <w:t>22．灾害防治及应急管理（类）支出0.00万元，占一般公共预算财政拨款总支出的0.00%。</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仿宋_GBK" w:cs="Times New Roman"/>
          <w:sz w:val="32"/>
          <w:szCs w:val="30"/>
          <w:shd w:val="clear" w:color="auto" w:fill="FFFFFF"/>
        </w:rPr>
      </w:pPr>
      <w:r>
        <w:rPr>
          <w:rFonts w:hint="default" w:ascii="Times New Roman" w:hAnsi="Times New Roman" w:eastAsia="方正仿宋_GBK" w:cs="Times New Roman"/>
          <w:sz w:val="32"/>
          <w:szCs w:val="30"/>
          <w:shd w:val="clear" w:color="auto" w:fill="FFFFFF"/>
        </w:rPr>
        <w:t>23．其他（类）支出0.00万元，占一般公共预算财政拨款总支出的0.00%。</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仿宋_GBK" w:cs="Times New Roman"/>
          <w:sz w:val="32"/>
          <w:szCs w:val="30"/>
          <w:shd w:val="clear" w:color="auto" w:fill="FFFFFF"/>
        </w:rPr>
      </w:pPr>
      <w:r>
        <w:rPr>
          <w:rFonts w:hint="default" w:ascii="Times New Roman" w:hAnsi="Times New Roman" w:eastAsia="方正仿宋_GBK" w:cs="Times New Roman"/>
          <w:sz w:val="32"/>
          <w:szCs w:val="30"/>
          <w:shd w:val="clear" w:color="auto" w:fill="FFFFFF"/>
        </w:rPr>
        <w:t>24．债务还本（类）支出0.00万元，占一般公共预算财政拨款总支出的0.00。</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仿宋_GBK" w:cs="Times New Roman"/>
          <w:sz w:val="32"/>
          <w:szCs w:val="30"/>
          <w:shd w:val="clear" w:color="auto" w:fill="FFFFFF"/>
        </w:rPr>
      </w:pPr>
      <w:r>
        <w:rPr>
          <w:rFonts w:hint="default" w:ascii="Times New Roman" w:hAnsi="Times New Roman" w:eastAsia="方正仿宋_GBK" w:cs="Times New Roman"/>
          <w:sz w:val="32"/>
          <w:szCs w:val="30"/>
          <w:shd w:val="clear" w:color="auto" w:fill="FFFFFF"/>
        </w:rPr>
        <w:t>25．债务付息（类）支出0.00万元，占一般公共预算财政拨款总支出的0.00%。</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0"/>
          <w:shd w:val="clear" w:color="auto" w:fill="FFFFFF"/>
        </w:rPr>
        <w:t>26．抗疫特别国债安排（类）支出0.00万元，占一般公共预算财政拨款总支出的0.00%。</w:t>
      </w:r>
    </w:p>
    <w:p>
      <w:pPr>
        <w:keepNext w:val="0"/>
        <w:keepLines w:val="0"/>
        <w:pageBreakBefore w:val="0"/>
        <w:widowControl w:val="0"/>
        <w:numPr>
          <w:ilvl w:val="0"/>
          <w:numId w:val="0"/>
        </w:numPr>
        <w:suppressLineNumbers w:val="0"/>
        <w:tabs>
          <w:tab w:val="left" w:pos="0"/>
        </w:tabs>
        <w:kinsoku/>
        <w:wordWrap/>
        <w:overflowPunct/>
        <w:topLinePunct/>
        <w:autoSpaceDE w:val="0"/>
        <w:autoSpaceDN/>
        <w:bidi w:val="0"/>
        <w:adjustRightInd/>
        <w:snapToGrid/>
        <w:spacing w:before="0" w:beforeAutospacing="0" w:after="0" w:afterAutospacing="0" w:line="590" w:lineRule="exact"/>
        <w:ind w:left="0" w:right="0" w:rightChars="0" w:firstLine="640" w:firstLineChars="200"/>
        <w:jc w:val="both"/>
        <w:textAlignment w:val="auto"/>
        <w:outlineLvl w:val="1"/>
        <w:rPr>
          <w:rFonts w:hint="default" w:ascii="Times New Roman" w:hAnsi="Times New Roman" w:eastAsia="方正黑体_GBK" w:cs="Times New Roman"/>
          <w:color w:val="000000"/>
          <w:kern w:val="0"/>
          <w:sz w:val="32"/>
          <w:szCs w:val="32"/>
          <w:shd w:val="clear" w:fill="FFFFFF"/>
          <w:lang w:eastAsia="zh-CN" w:bidi="ar"/>
        </w:rPr>
      </w:pPr>
      <w:bookmarkStart w:id="8" w:name="_Toc22644"/>
      <w:r>
        <w:rPr>
          <w:rFonts w:hint="default" w:ascii="Times New Roman" w:hAnsi="Times New Roman" w:eastAsia="方正黑体_GBK" w:cs="Times New Roman"/>
          <w:color w:val="000000"/>
          <w:kern w:val="0"/>
          <w:sz w:val="32"/>
          <w:szCs w:val="32"/>
          <w:shd w:val="clear" w:fill="FFFFFF"/>
          <w:lang w:eastAsia="zh-CN" w:bidi="ar"/>
        </w:rPr>
        <w:t>四、一般公共预算财政拨款“三公”经费支出决算情况说明</w:t>
      </w:r>
      <w:bookmarkEnd w:id="8"/>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楷体_GBK" w:cs="Times New Roman"/>
        </w:rPr>
      </w:pPr>
      <w:r>
        <w:rPr>
          <w:rFonts w:hint="default" w:ascii="Times New Roman" w:hAnsi="Times New Roman" w:eastAsia="方正楷体_GBK" w:cs="Times New Roman"/>
          <w:sz w:val="32"/>
          <w:szCs w:val="30"/>
          <w:shd w:val="clear" w:color="auto" w:fill="FFFFFF"/>
        </w:rPr>
        <w:t>（一）一般公共预算财政拨款</w:t>
      </w:r>
      <w:r>
        <w:rPr>
          <w:rFonts w:hint="default" w:ascii="Times New Roman" w:hAnsi="Times New Roman" w:eastAsia="方正楷体_GBK" w:cs="Times New Roman"/>
          <w:shd w:val="clear" w:color="auto" w:fill="FFFFFF"/>
        </w:rPr>
        <w:t>“</w:t>
      </w:r>
      <w:r>
        <w:rPr>
          <w:rFonts w:hint="default" w:ascii="Times New Roman" w:hAnsi="Times New Roman" w:eastAsia="方正楷体_GBK" w:cs="Times New Roman"/>
          <w:sz w:val="32"/>
          <w:szCs w:val="30"/>
          <w:shd w:val="clear" w:color="auto" w:fill="FFFFFF"/>
        </w:rPr>
        <w:t>三公</w:t>
      </w:r>
      <w:r>
        <w:rPr>
          <w:rFonts w:hint="default" w:ascii="Times New Roman" w:hAnsi="Times New Roman" w:eastAsia="方正楷体_GBK" w:cs="Times New Roman"/>
          <w:shd w:val="clear" w:color="auto" w:fill="FFFFFF"/>
        </w:rPr>
        <w:t>”</w:t>
      </w:r>
      <w:r>
        <w:rPr>
          <w:rFonts w:hint="default" w:ascii="Times New Roman" w:hAnsi="Times New Roman" w:eastAsia="方正楷体_GBK" w:cs="Times New Roman"/>
          <w:sz w:val="32"/>
          <w:szCs w:val="30"/>
          <w:shd w:val="clear" w:color="auto" w:fill="FFFFFF"/>
        </w:rPr>
        <w:t>经费支出决算总体情况</w:t>
      </w:r>
    </w:p>
    <w:p>
      <w:pPr>
        <w:keepNext w:val="0"/>
        <w:keepLines w:val="0"/>
        <w:pageBreakBefore w:val="0"/>
        <w:widowControl w:val="0"/>
        <w:kinsoku/>
        <w:wordWrap/>
        <w:overflowPunct/>
        <w:bidi w:val="0"/>
        <w:adjustRightInd w:val="0"/>
        <w:spacing w:beforeAutospacing="0" w:afterAutospacing="0" w:line="590" w:lineRule="exact"/>
        <w:ind w:firstLine="640" w:firstLineChars="200"/>
        <w:jc w:val="both"/>
        <w:textAlignment w:val="auto"/>
        <w:rPr>
          <w:rFonts w:hint="default" w:ascii="Times New Roman" w:hAnsi="Times New Roman" w:eastAsia="仿宋" w:cs="Times New Roman"/>
          <w:color w:val="000000"/>
          <w:sz w:val="32"/>
          <w:szCs w:val="30"/>
        </w:rPr>
      </w:pPr>
      <w:r>
        <w:rPr>
          <w:rFonts w:hint="default" w:ascii="Times New Roman" w:hAnsi="Times New Roman" w:eastAsia="方正仿宋_GBK" w:cs="Times New Roman"/>
          <w:sz w:val="32"/>
          <w:szCs w:val="30"/>
          <w:shd w:val="clear" w:color="auto" w:fill="FFFFFF"/>
        </w:rPr>
        <w:t>玉溪市农田建设与土壤肥料工作站2020年度一般公共预算财政拨款</w:t>
      </w:r>
      <w:r>
        <w:rPr>
          <w:rFonts w:hint="default" w:ascii="Times New Roman" w:hAnsi="Times New Roman" w:eastAsia="方正仿宋_GBK" w:cs="Times New Roman"/>
          <w:shd w:val="clear" w:color="auto" w:fill="FFFFFF"/>
        </w:rPr>
        <w:t>“</w:t>
      </w:r>
      <w:r>
        <w:rPr>
          <w:rFonts w:hint="default" w:ascii="Times New Roman" w:hAnsi="Times New Roman" w:eastAsia="方正仿宋_GBK" w:cs="Times New Roman"/>
          <w:sz w:val="32"/>
          <w:szCs w:val="30"/>
          <w:shd w:val="clear" w:color="auto" w:fill="FFFFFF"/>
        </w:rPr>
        <w:t>三公</w:t>
      </w:r>
      <w:r>
        <w:rPr>
          <w:rFonts w:hint="default" w:ascii="Times New Roman" w:hAnsi="Times New Roman" w:eastAsia="方正仿宋_GBK" w:cs="Times New Roman"/>
          <w:shd w:val="clear" w:color="auto" w:fill="FFFFFF"/>
        </w:rPr>
        <w:t>”</w:t>
      </w:r>
      <w:r>
        <w:rPr>
          <w:rFonts w:hint="default" w:ascii="Times New Roman" w:hAnsi="Times New Roman" w:eastAsia="方正仿宋_GBK" w:cs="Times New Roman"/>
          <w:sz w:val="32"/>
          <w:szCs w:val="30"/>
          <w:shd w:val="clear" w:color="auto" w:fill="FFFFFF"/>
        </w:rPr>
        <w:t>经费支出预算为1.5万元，支出决算为0.32万元，完成预算的21.33%。其中：因公出国（境）费支出决算为0.00万元，完成预算的0%；公务用车购置及运行费支出决算为0.00万元，完成预算的0%；公务接待费支出决算为0.32万元，完成预算的21.33%。2020年度一般公共预算财政拨款</w:t>
      </w:r>
      <w:r>
        <w:rPr>
          <w:rFonts w:hint="default" w:ascii="Times New Roman" w:hAnsi="Times New Roman" w:eastAsia="方正仿宋_GBK" w:cs="Times New Roman"/>
          <w:shd w:val="clear" w:color="auto" w:fill="FFFFFF"/>
        </w:rPr>
        <w:t>“</w:t>
      </w:r>
      <w:r>
        <w:rPr>
          <w:rFonts w:hint="default" w:ascii="Times New Roman" w:hAnsi="Times New Roman" w:eastAsia="方正仿宋_GBK" w:cs="Times New Roman"/>
          <w:sz w:val="32"/>
          <w:szCs w:val="30"/>
          <w:shd w:val="clear" w:color="auto" w:fill="FFFFFF"/>
        </w:rPr>
        <w:t>三公</w:t>
      </w:r>
      <w:r>
        <w:rPr>
          <w:rFonts w:hint="default" w:ascii="Times New Roman" w:hAnsi="Times New Roman" w:eastAsia="方正仿宋_GBK" w:cs="Times New Roman"/>
          <w:shd w:val="clear" w:color="auto" w:fill="FFFFFF"/>
        </w:rPr>
        <w:t>”</w:t>
      </w:r>
      <w:r>
        <w:rPr>
          <w:rFonts w:hint="default" w:ascii="Times New Roman" w:hAnsi="Times New Roman" w:eastAsia="方正仿宋_GBK" w:cs="Times New Roman"/>
          <w:sz w:val="32"/>
          <w:szCs w:val="30"/>
          <w:shd w:val="clear" w:color="auto" w:fill="FFFFFF"/>
        </w:rPr>
        <w:t>经费支出决算数小于预算数的主要原因</w:t>
      </w:r>
      <w:r>
        <w:rPr>
          <w:rFonts w:hint="default" w:ascii="Times New Roman" w:hAnsi="Times New Roman" w:eastAsia="仿宋" w:cs="Times New Roman"/>
          <w:sz w:val="32"/>
          <w:szCs w:val="30"/>
        </w:rPr>
        <w:t>单位尽力压缩公务接待人次，</w:t>
      </w:r>
      <w:r>
        <w:rPr>
          <w:rFonts w:hint="default" w:ascii="Times New Roman" w:hAnsi="Times New Roman" w:eastAsia="仿宋" w:cs="Times New Roman"/>
          <w:color w:val="000000"/>
          <w:sz w:val="32"/>
          <w:szCs w:val="30"/>
        </w:rPr>
        <w:t>接待费支出比预算支出</w:t>
      </w:r>
      <w:r>
        <w:rPr>
          <w:rFonts w:hint="default" w:ascii="Times New Roman" w:hAnsi="Times New Roman" w:eastAsia="仿宋" w:cs="Times New Roman"/>
          <w:color w:val="000000"/>
          <w:sz w:val="32"/>
          <w:szCs w:val="30"/>
          <w:lang w:eastAsia="zh-CN"/>
        </w:rPr>
        <w:t>减</w:t>
      </w:r>
      <w:r>
        <w:rPr>
          <w:rFonts w:hint="default" w:ascii="Times New Roman" w:hAnsi="Times New Roman" w:eastAsia="仿宋" w:cs="Times New Roman"/>
          <w:color w:val="000000"/>
          <w:sz w:val="32"/>
          <w:szCs w:val="30"/>
        </w:rPr>
        <w:t>少。</w:t>
      </w:r>
    </w:p>
    <w:p>
      <w:pPr>
        <w:keepNext w:val="0"/>
        <w:keepLines w:val="0"/>
        <w:pageBreakBefore w:val="0"/>
        <w:widowControl w:val="0"/>
        <w:kinsoku/>
        <w:wordWrap/>
        <w:overflowPunct/>
        <w:bidi w:val="0"/>
        <w:adjustRightInd w:val="0"/>
        <w:spacing w:beforeAutospacing="0" w:afterAutospacing="0" w:line="590" w:lineRule="exact"/>
        <w:ind w:firstLine="640" w:firstLineChars="200"/>
        <w:jc w:val="both"/>
        <w:textAlignment w:val="auto"/>
        <w:rPr>
          <w:rFonts w:hint="default" w:ascii="Times New Roman" w:hAnsi="Times New Roman" w:eastAsia="仿宋" w:cs="Times New Roman"/>
          <w:sz w:val="32"/>
          <w:szCs w:val="30"/>
        </w:rPr>
      </w:pPr>
      <w:r>
        <w:rPr>
          <w:rFonts w:hint="default" w:ascii="Times New Roman" w:hAnsi="Times New Roman" w:eastAsia="方正仿宋_GBK" w:cs="Times New Roman"/>
          <w:sz w:val="32"/>
          <w:szCs w:val="30"/>
          <w:shd w:val="clear" w:color="auto" w:fill="FFFFFF"/>
        </w:rPr>
        <w:t>2020年度一般公共预算财政拨款</w:t>
      </w:r>
      <w:r>
        <w:rPr>
          <w:rFonts w:hint="default" w:ascii="Times New Roman" w:hAnsi="Times New Roman" w:eastAsia="方正仿宋_GBK" w:cs="Times New Roman"/>
          <w:shd w:val="clear" w:color="auto" w:fill="FFFFFF"/>
        </w:rPr>
        <w:t>“</w:t>
      </w:r>
      <w:r>
        <w:rPr>
          <w:rFonts w:hint="default" w:ascii="Times New Roman" w:hAnsi="Times New Roman" w:eastAsia="方正仿宋_GBK" w:cs="Times New Roman"/>
          <w:sz w:val="32"/>
          <w:szCs w:val="30"/>
          <w:shd w:val="clear" w:color="auto" w:fill="FFFFFF"/>
        </w:rPr>
        <w:t>三公</w:t>
      </w:r>
      <w:r>
        <w:rPr>
          <w:rFonts w:hint="default" w:ascii="Times New Roman" w:hAnsi="Times New Roman" w:eastAsia="方正仿宋_GBK" w:cs="Times New Roman"/>
          <w:shd w:val="clear" w:color="auto" w:fill="FFFFFF"/>
        </w:rPr>
        <w:t>”</w:t>
      </w:r>
      <w:r>
        <w:rPr>
          <w:rFonts w:hint="default" w:ascii="Times New Roman" w:hAnsi="Times New Roman" w:eastAsia="方正仿宋_GBK" w:cs="Times New Roman"/>
          <w:sz w:val="32"/>
          <w:szCs w:val="30"/>
          <w:shd w:val="clear" w:color="auto" w:fill="FFFFFF"/>
        </w:rPr>
        <w:t>经费支出决算数比2019年减少2.56万元，下降88.92%。其中：因公出国（境）费支出决算减少2.10万元，下降100.00%；公务用车购置及运行费支出决算增加0.00万元，增长0.00%；公务接待费支出决算减少0.46万元，下降</w:t>
      </w:r>
      <w:r>
        <w:rPr>
          <w:rFonts w:hint="default" w:ascii="Times New Roman" w:hAnsi="Times New Roman" w:eastAsia="方正仿宋_GBK" w:cs="Times New Roman"/>
          <w:color w:val="000000"/>
          <w:sz w:val="32"/>
          <w:szCs w:val="30"/>
          <w:shd w:val="clear" w:color="auto" w:fill="FFFFFF"/>
        </w:rPr>
        <w:t>59.15%。</w:t>
      </w:r>
      <w:r>
        <w:rPr>
          <w:rFonts w:hint="default" w:ascii="Times New Roman" w:hAnsi="Times New Roman" w:eastAsia="方正仿宋_GBK" w:cs="Times New Roman"/>
          <w:sz w:val="32"/>
          <w:szCs w:val="30"/>
          <w:shd w:val="clear" w:color="auto" w:fill="FFFFFF"/>
        </w:rPr>
        <w:t>2020年度一般公共预算财政拨款</w:t>
      </w:r>
      <w:r>
        <w:rPr>
          <w:rFonts w:hint="default" w:ascii="Times New Roman" w:hAnsi="Times New Roman" w:eastAsia="方正仿宋_GBK" w:cs="Times New Roman"/>
          <w:shd w:val="clear" w:color="auto" w:fill="FFFFFF"/>
        </w:rPr>
        <w:t>“</w:t>
      </w:r>
      <w:r>
        <w:rPr>
          <w:rFonts w:hint="default" w:ascii="Times New Roman" w:hAnsi="Times New Roman" w:eastAsia="方正仿宋_GBK" w:cs="Times New Roman"/>
          <w:sz w:val="32"/>
          <w:szCs w:val="30"/>
          <w:shd w:val="clear" w:color="auto" w:fill="FFFFFF"/>
        </w:rPr>
        <w:t>三公</w:t>
      </w:r>
      <w:r>
        <w:rPr>
          <w:rFonts w:hint="default" w:ascii="Times New Roman" w:hAnsi="Times New Roman" w:eastAsia="方正仿宋_GBK" w:cs="Times New Roman"/>
          <w:shd w:val="clear" w:color="auto" w:fill="FFFFFF"/>
        </w:rPr>
        <w:t>”</w:t>
      </w:r>
      <w:r>
        <w:rPr>
          <w:rFonts w:hint="default" w:ascii="Times New Roman" w:hAnsi="Times New Roman" w:eastAsia="方正仿宋_GBK" w:cs="Times New Roman"/>
          <w:sz w:val="32"/>
          <w:szCs w:val="30"/>
          <w:shd w:val="clear" w:color="auto" w:fill="FFFFFF"/>
        </w:rPr>
        <w:t>经费支出决算减少的主要原因是</w:t>
      </w:r>
      <w:r>
        <w:rPr>
          <w:rFonts w:hint="default" w:ascii="Times New Roman" w:hAnsi="Times New Roman" w:eastAsia="方正仿宋_GBK" w:cs="Times New Roman"/>
          <w:sz w:val="32"/>
          <w:szCs w:val="30"/>
          <w:shd w:val="clear" w:color="auto" w:fill="FFFFFF"/>
          <w:lang w:eastAsia="zh-CN"/>
        </w:rPr>
        <w:t>本年没有发生因公出国（境）支出，</w:t>
      </w:r>
      <w:r>
        <w:rPr>
          <w:rFonts w:hint="default" w:ascii="Times New Roman" w:hAnsi="Times New Roman" w:eastAsia="方正仿宋_GBK" w:cs="Times New Roman"/>
          <w:sz w:val="32"/>
          <w:szCs w:val="30"/>
          <w:shd w:val="clear" w:color="auto" w:fill="FFFFFF"/>
        </w:rPr>
        <w:t>单位尽力压缩公务接待人次，</w:t>
      </w:r>
      <w:r>
        <w:rPr>
          <w:rFonts w:hint="default" w:ascii="Times New Roman" w:hAnsi="Times New Roman" w:eastAsia="仿宋" w:cs="Times New Roman"/>
          <w:sz w:val="32"/>
          <w:szCs w:val="30"/>
        </w:rPr>
        <w:t>公务接待支出比上年减少。</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楷体_GBK" w:cs="Times New Roman"/>
        </w:rPr>
      </w:pPr>
      <w:r>
        <w:rPr>
          <w:rFonts w:hint="default" w:ascii="Times New Roman" w:hAnsi="Times New Roman" w:eastAsia="方正楷体_GBK" w:cs="Times New Roman"/>
          <w:sz w:val="32"/>
          <w:szCs w:val="30"/>
          <w:shd w:val="clear" w:color="auto" w:fill="FFFFFF"/>
        </w:rPr>
        <w:t>（二）一般公共预算财政拨款</w:t>
      </w:r>
      <w:r>
        <w:rPr>
          <w:rFonts w:hint="default" w:ascii="Times New Roman" w:hAnsi="Times New Roman" w:eastAsia="方正楷体_GBK" w:cs="Times New Roman"/>
          <w:shd w:val="clear" w:color="auto" w:fill="FFFFFF"/>
        </w:rPr>
        <w:t>“</w:t>
      </w:r>
      <w:r>
        <w:rPr>
          <w:rFonts w:hint="default" w:ascii="Times New Roman" w:hAnsi="Times New Roman" w:eastAsia="方正楷体_GBK" w:cs="Times New Roman"/>
          <w:sz w:val="32"/>
          <w:szCs w:val="30"/>
          <w:shd w:val="clear" w:color="auto" w:fill="FFFFFF"/>
        </w:rPr>
        <w:t>三公</w:t>
      </w:r>
      <w:r>
        <w:rPr>
          <w:rFonts w:hint="default" w:ascii="Times New Roman" w:hAnsi="Times New Roman" w:eastAsia="方正楷体_GBK" w:cs="Times New Roman"/>
          <w:shd w:val="clear" w:color="auto" w:fill="FFFFFF"/>
        </w:rPr>
        <w:t>”</w:t>
      </w:r>
      <w:r>
        <w:rPr>
          <w:rFonts w:hint="default" w:ascii="Times New Roman" w:hAnsi="Times New Roman" w:eastAsia="方正楷体_GBK" w:cs="Times New Roman"/>
          <w:sz w:val="32"/>
          <w:szCs w:val="30"/>
          <w:shd w:val="clear" w:color="auto" w:fill="FFFFFF"/>
        </w:rPr>
        <w:t>经费支出决算具体情况</w:t>
      </w:r>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0"/>
          <w:shd w:val="clear" w:color="auto" w:fill="FFFFFF"/>
        </w:rPr>
        <w:t>2020年度一般公共预算财政拨款</w:t>
      </w:r>
      <w:r>
        <w:rPr>
          <w:rFonts w:hint="default" w:ascii="Times New Roman" w:hAnsi="Times New Roman" w:eastAsia="方正仿宋_GBK" w:cs="Times New Roman"/>
          <w:shd w:val="clear" w:color="auto" w:fill="FFFFFF"/>
        </w:rPr>
        <w:t>“</w:t>
      </w:r>
      <w:r>
        <w:rPr>
          <w:rFonts w:hint="default" w:ascii="Times New Roman" w:hAnsi="Times New Roman" w:eastAsia="方正仿宋_GBK" w:cs="Times New Roman"/>
          <w:sz w:val="32"/>
          <w:szCs w:val="30"/>
          <w:shd w:val="clear" w:color="auto" w:fill="FFFFFF"/>
        </w:rPr>
        <w:t>三公</w:t>
      </w:r>
      <w:r>
        <w:rPr>
          <w:rFonts w:hint="default" w:ascii="Times New Roman" w:hAnsi="Times New Roman" w:eastAsia="方正仿宋_GBK" w:cs="Times New Roman"/>
          <w:shd w:val="clear" w:color="auto" w:fill="FFFFFF"/>
        </w:rPr>
        <w:t>”</w:t>
      </w:r>
      <w:r>
        <w:rPr>
          <w:rFonts w:hint="default" w:ascii="Times New Roman" w:hAnsi="Times New Roman" w:eastAsia="方正仿宋_GBK" w:cs="Times New Roman"/>
          <w:sz w:val="32"/>
          <w:szCs w:val="30"/>
          <w:shd w:val="clear" w:color="auto" w:fill="FFFFFF"/>
        </w:rPr>
        <w:t>经费支出决算中，因公出国（境）费支出0.00万元，占0.00%；公务用车购置及运行维护费支出0.00万元，占0.00%；公务接待费支出0.32万元，占100.00%。具体情况如下：</w:t>
      </w:r>
    </w:p>
    <w:p>
      <w:pPr>
        <w:keepNext w:val="0"/>
        <w:keepLines w:val="0"/>
        <w:pageBreakBefore w:val="0"/>
        <w:widowControl w:val="0"/>
        <w:numPr>
          <w:ilvl w:val="0"/>
          <w:numId w:val="1"/>
        </w:numPr>
        <w:kinsoku/>
        <w:wordWrap/>
        <w:overflowPunct/>
        <w:topLinePunct/>
        <w:autoSpaceDE w:val="0"/>
        <w:bidi w:val="0"/>
        <w:spacing w:beforeAutospacing="0" w:afterAutospacing="0" w:line="590" w:lineRule="exact"/>
        <w:ind w:firstLine="643" w:firstLineChars="200"/>
        <w:jc w:val="both"/>
        <w:textAlignment w:val="auto"/>
        <w:rPr>
          <w:rFonts w:hint="default" w:ascii="Times New Roman" w:hAnsi="Times New Roman" w:eastAsia="方正仿宋_GBK" w:cs="Times New Roman"/>
          <w:sz w:val="32"/>
          <w:szCs w:val="30"/>
          <w:shd w:val="clear" w:color="auto" w:fill="FFFFFF"/>
        </w:rPr>
      </w:pPr>
      <w:r>
        <w:rPr>
          <w:rFonts w:hint="default" w:ascii="Times New Roman" w:hAnsi="Times New Roman" w:eastAsia="方正仿宋_GBK" w:cs="Times New Roman"/>
          <w:b/>
          <w:bCs/>
          <w:sz w:val="32"/>
          <w:szCs w:val="30"/>
          <w:shd w:val="clear" w:color="auto" w:fill="FFFFFF"/>
        </w:rPr>
        <w:t>因公出国（境）费</w:t>
      </w:r>
      <w:r>
        <w:rPr>
          <w:rFonts w:hint="default" w:ascii="Times New Roman" w:hAnsi="Times New Roman" w:eastAsia="方正仿宋_GBK" w:cs="Times New Roman"/>
          <w:sz w:val="32"/>
          <w:szCs w:val="30"/>
          <w:shd w:val="clear" w:color="auto" w:fill="FFFFFF"/>
        </w:rPr>
        <w:t>支出0.00万元，共安排因公出国（境）团组0个，累计0人次。</w:t>
      </w:r>
    </w:p>
    <w:p>
      <w:pPr>
        <w:keepNext w:val="0"/>
        <w:keepLines w:val="0"/>
        <w:pageBreakBefore w:val="0"/>
        <w:widowControl w:val="0"/>
        <w:kinsoku/>
        <w:wordWrap/>
        <w:overflowPunct/>
        <w:topLinePunct/>
        <w:autoSpaceDE w:val="0"/>
        <w:bidi w:val="0"/>
        <w:spacing w:beforeAutospacing="0" w:afterAutospacing="0" w:line="590" w:lineRule="exact"/>
        <w:ind w:left="480" w:left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b/>
          <w:bCs/>
          <w:sz w:val="32"/>
          <w:szCs w:val="30"/>
          <w:shd w:val="clear" w:color="auto" w:fill="FFFFFF"/>
        </w:rPr>
        <w:t>2．公务用车购置及运行维护费</w:t>
      </w:r>
      <w:r>
        <w:rPr>
          <w:rFonts w:hint="default" w:ascii="Times New Roman" w:hAnsi="Times New Roman" w:eastAsia="方正仿宋_GBK" w:cs="Times New Roman"/>
          <w:sz w:val="32"/>
          <w:szCs w:val="30"/>
          <w:shd w:val="clear" w:color="auto" w:fill="FFFFFF"/>
        </w:rPr>
        <w:t>支出0.00万元。其中：</w:t>
      </w:r>
    </w:p>
    <w:p>
      <w:pPr>
        <w:keepNext w:val="0"/>
        <w:keepLines w:val="0"/>
        <w:pageBreakBefore w:val="0"/>
        <w:widowControl w:val="0"/>
        <w:kinsoku/>
        <w:wordWrap/>
        <w:overflowPunct/>
        <w:topLinePunct/>
        <w:autoSpaceDE w:val="0"/>
        <w:bidi w:val="0"/>
        <w:spacing w:beforeAutospacing="0" w:afterAutospacing="0" w:line="590" w:lineRule="exact"/>
        <w:ind w:firstLine="643" w:firstLineChars="200"/>
        <w:jc w:val="both"/>
        <w:textAlignment w:val="auto"/>
        <w:rPr>
          <w:rFonts w:hint="default" w:ascii="Times New Roman" w:hAnsi="Times New Roman" w:eastAsia="方正仿宋_GBK" w:cs="Times New Roman"/>
          <w:sz w:val="32"/>
          <w:szCs w:val="30"/>
          <w:shd w:val="clear" w:color="auto" w:fill="FFFFFF"/>
        </w:rPr>
      </w:pPr>
      <w:r>
        <w:rPr>
          <w:rFonts w:hint="default" w:ascii="Times New Roman" w:hAnsi="Times New Roman" w:eastAsia="方正仿宋_GBK" w:cs="Times New Roman"/>
          <w:b/>
          <w:bCs/>
          <w:sz w:val="32"/>
          <w:szCs w:val="30"/>
          <w:shd w:val="clear" w:color="auto" w:fill="FFFFFF"/>
        </w:rPr>
        <w:t>公务用车购置</w:t>
      </w:r>
      <w:r>
        <w:rPr>
          <w:rFonts w:hint="default" w:ascii="Times New Roman" w:hAnsi="Times New Roman" w:eastAsia="方正仿宋_GBK" w:cs="Times New Roman"/>
          <w:sz w:val="32"/>
          <w:szCs w:val="30"/>
          <w:shd w:val="clear" w:color="auto" w:fill="FFFFFF"/>
        </w:rPr>
        <w:t>支出0.00万元，购置车辆0.00辆。</w:t>
      </w:r>
    </w:p>
    <w:p>
      <w:pPr>
        <w:keepNext w:val="0"/>
        <w:keepLines w:val="0"/>
        <w:pageBreakBefore w:val="0"/>
        <w:widowControl w:val="0"/>
        <w:kinsoku/>
        <w:wordWrap/>
        <w:overflowPunct/>
        <w:topLinePunct/>
        <w:autoSpaceDE w:val="0"/>
        <w:bidi w:val="0"/>
        <w:spacing w:beforeAutospacing="0" w:afterAutospacing="0" w:line="590" w:lineRule="exact"/>
        <w:ind w:firstLine="643" w:firstLineChars="200"/>
        <w:jc w:val="both"/>
        <w:textAlignment w:val="auto"/>
        <w:rPr>
          <w:rFonts w:hint="default" w:ascii="Times New Roman" w:hAnsi="Times New Roman" w:eastAsia="方正仿宋_GBK" w:cs="Times New Roman"/>
          <w:sz w:val="32"/>
          <w:szCs w:val="30"/>
          <w:shd w:val="clear" w:color="auto" w:fill="FFFFFF"/>
        </w:rPr>
      </w:pPr>
      <w:r>
        <w:rPr>
          <w:rFonts w:hint="default" w:ascii="Times New Roman" w:hAnsi="Times New Roman" w:eastAsia="方正仿宋_GBK" w:cs="Times New Roman"/>
          <w:b/>
          <w:bCs/>
          <w:sz w:val="32"/>
          <w:szCs w:val="30"/>
          <w:shd w:val="clear" w:color="auto" w:fill="FFFFFF"/>
        </w:rPr>
        <w:t>公务用车运行维护</w:t>
      </w:r>
      <w:r>
        <w:rPr>
          <w:rFonts w:hint="default" w:ascii="Times New Roman" w:hAnsi="Times New Roman" w:eastAsia="方正仿宋_GBK" w:cs="Times New Roman"/>
          <w:sz w:val="32"/>
          <w:szCs w:val="30"/>
          <w:shd w:val="clear" w:color="auto" w:fill="FFFFFF"/>
        </w:rPr>
        <w:t>支出0.00万元，开支一般公共预算财政拨款的公务用车保有量为0辆。</w:t>
      </w:r>
    </w:p>
    <w:p>
      <w:pPr>
        <w:keepNext w:val="0"/>
        <w:keepLines w:val="0"/>
        <w:pageBreakBefore w:val="0"/>
        <w:widowControl w:val="0"/>
        <w:kinsoku/>
        <w:wordWrap/>
        <w:overflowPunct/>
        <w:topLinePunct/>
        <w:autoSpaceDE w:val="0"/>
        <w:bidi w:val="0"/>
        <w:spacing w:beforeAutospacing="0" w:afterAutospacing="0" w:line="590" w:lineRule="exact"/>
        <w:ind w:firstLine="643"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b/>
          <w:bCs/>
          <w:sz w:val="32"/>
          <w:szCs w:val="30"/>
          <w:shd w:val="clear" w:color="auto" w:fill="FFFFFF"/>
        </w:rPr>
        <w:t>3．公务接待费</w:t>
      </w:r>
      <w:r>
        <w:rPr>
          <w:rFonts w:hint="default" w:ascii="Times New Roman" w:hAnsi="Times New Roman" w:eastAsia="方正仿宋_GBK" w:cs="Times New Roman"/>
          <w:sz w:val="32"/>
          <w:szCs w:val="30"/>
          <w:shd w:val="clear" w:color="auto" w:fill="FFFFFF"/>
        </w:rPr>
        <w:t>0.32万元。其中：</w:t>
      </w:r>
    </w:p>
    <w:p>
      <w:pPr>
        <w:keepNext w:val="0"/>
        <w:keepLines w:val="0"/>
        <w:pageBreakBefore w:val="0"/>
        <w:widowControl w:val="0"/>
        <w:kinsoku/>
        <w:wordWrap/>
        <w:overflowPunct/>
        <w:bidi w:val="0"/>
        <w:adjustRightInd w:val="0"/>
        <w:spacing w:beforeAutospacing="0" w:afterAutospacing="0" w:line="360" w:lineRule="auto"/>
        <w:ind w:firstLine="602"/>
        <w:jc w:val="both"/>
        <w:textAlignment w:val="auto"/>
        <w:rPr>
          <w:rFonts w:hint="default" w:ascii="Times New Roman" w:hAnsi="Times New Roman" w:eastAsia="仿宋" w:cs="Times New Roman"/>
          <w:color w:val="000000"/>
          <w:sz w:val="32"/>
          <w:szCs w:val="30"/>
        </w:rPr>
      </w:pPr>
      <w:r>
        <w:rPr>
          <w:rFonts w:hint="default" w:ascii="Times New Roman" w:hAnsi="Times New Roman" w:eastAsia="方正仿宋_GBK" w:cs="Times New Roman"/>
          <w:b/>
          <w:bCs/>
          <w:sz w:val="32"/>
          <w:szCs w:val="30"/>
          <w:shd w:val="clear" w:color="auto" w:fill="FFFFFF"/>
        </w:rPr>
        <w:t>国内接待费</w:t>
      </w:r>
      <w:r>
        <w:rPr>
          <w:rFonts w:hint="default" w:ascii="Times New Roman" w:hAnsi="Times New Roman" w:eastAsia="方正仿宋_GBK" w:cs="Times New Roman"/>
          <w:sz w:val="32"/>
          <w:szCs w:val="30"/>
          <w:shd w:val="clear" w:color="auto" w:fill="FFFFFF"/>
        </w:rPr>
        <w:t>支出0.32万元（其中：外事接待费支出0.00万元），共安排国内公务接待11批次（其中：外事接待0批次），接待人次70人（其中：外事接待人次0人）。</w:t>
      </w:r>
      <w:r>
        <w:rPr>
          <w:rFonts w:hint="default" w:ascii="Times New Roman" w:hAnsi="Times New Roman" w:eastAsia="仿宋" w:cs="Times New Roman"/>
          <w:color w:val="000000"/>
          <w:sz w:val="32"/>
          <w:szCs w:val="30"/>
        </w:rPr>
        <w:t>主要用于业务相关人员往来（相关工作，产生的接待批次及人次等）发生的接待支出。</w:t>
      </w:r>
    </w:p>
    <w:p>
      <w:pPr>
        <w:keepNext w:val="0"/>
        <w:keepLines w:val="0"/>
        <w:pageBreakBefore w:val="0"/>
        <w:widowControl w:val="0"/>
        <w:kinsoku/>
        <w:wordWrap/>
        <w:overflowPunct/>
        <w:topLinePunct/>
        <w:autoSpaceDE w:val="0"/>
        <w:bidi w:val="0"/>
        <w:spacing w:beforeAutospacing="0" w:afterAutospacing="0" w:line="590" w:lineRule="exact"/>
        <w:ind w:firstLine="643" w:firstLineChars="200"/>
        <w:jc w:val="both"/>
        <w:textAlignment w:val="auto"/>
        <w:rPr>
          <w:rFonts w:hint="default" w:ascii="Times New Roman" w:hAnsi="Times New Roman" w:eastAsia="方正仿宋_GBK" w:cs="Times New Roman"/>
          <w:sz w:val="32"/>
          <w:szCs w:val="30"/>
          <w:shd w:val="clear" w:color="auto" w:fill="FFFFFF"/>
        </w:rPr>
      </w:pPr>
      <w:r>
        <w:rPr>
          <w:rFonts w:hint="default" w:ascii="Times New Roman" w:hAnsi="Times New Roman" w:eastAsia="方正仿宋_GBK" w:cs="Times New Roman"/>
          <w:b/>
          <w:bCs/>
          <w:sz w:val="32"/>
          <w:szCs w:val="30"/>
          <w:shd w:val="clear" w:color="auto" w:fill="FFFFFF"/>
        </w:rPr>
        <w:t>国（境）外接待费</w:t>
      </w:r>
      <w:r>
        <w:rPr>
          <w:rFonts w:hint="default" w:ascii="Times New Roman" w:hAnsi="Times New Roman" w:eastAsia="方正仿宋_GBK" w:cs="Times New Roman"/>
          <w:sz w:val="32"/>
          <w:szCs w:val="30"/>
          <w:shd w:val="clear" w:color="auto" w:fill="FFFFFF"/>
        </w:rPr>
        <w:t>0.00万元，共安排国（境）外公务接待0批次，接待人次0人。</w:t>
      </w:r>
    </w:p>
    <w:p>
      <w:pPr>
        <w:keepNext w:val="0"/>
        <w:keepLines w:val="0"/>
        <w:pageBreakBefore w:val="0"/>
        <w:widowControl w:val="0"/>
        <w:suppressLineNumbers w:val="0"/>
        <w:kinsoku/>
        <w:wordWrap/>
        <w:overflowPunct/>
        <w:autoSpaceDE w:val="0"/>
        <w:autoSpaceDN w:val="0"/>
        <w:bidi w:val="0"/>
        <w:spacing w:before="0" w:beforeAutospacing="0" w:after="0" w:afterAutospacing="0" w:line="590" w:lineRule="exact"/>
        <w:ind w:left="0" w:right="0" w:firstLine="640" w:firstLineChars="200"/>
        <w:jc w:val="center"/>
        <w:textAlignment w:val="auto"/>
        <w:outlineLvl w:val="0"/>
        <w:rPr>
          <w:rFonts w:hint="default" w:ascii="Times New Roman" w:hAnsi="Times New Roman" w:eastAsia="方正小标宋_GBK" w:cs="Times New Roman"/>
          <w:color w:val="000000"/>
          <w:kern w:val="0"/>
          <w:sz w:val="32"/>
          <w:szCs w:val="32"/>
          <w:shd w:val="clear" w:fill="FFFFFF"/>
          <w:lang w:eastAsia="zh-CN" w:bidi="ar"/>
        </w:rPr>
      </w:pPr>
      <w:bookmarkStart w:id="9" w:name="_Toc17701"/>
      <w:r>
        <w:rPr>
          <w:rFonts w:hint="default" w:ascii="Times New Roman" w:hAnsi="Times New Roman" w:eastAsia="方正小标宋_GBK" w:cs="Times New Roman"/>
          <w:color w:val="000000"/>
          <w:kern w:val="0"/>
          <w:sz w:val="32"/>
          <w:szCs w:val="32"/>
          <w:shd w:val="clear" w:fill="FFFFFF"/>
          <w:lang w:eastAsia="zh-CN" w:bidi="ar"/>
        </w:rPr>
        <w:t>第四部分  其他重要事项及相关口径情况说明</w:t>
      </w:r>
      <w:bookmarkEnd w:id="9"/>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pPr>
        <w:keepNext w:val="0"/>
        <w:keepLines w:val="0"/>
        <w:pageBreakBefore w:val="0"/>
        <w:widowControl w:val="0"/>
        <w:numPr>
          <w:ilvl w:val="0"/>
          <w:numId w:val="0"/>
        </w:numPr>
        <w:suppressLineNumbers w:val="0"/>
        <w:tabs>
          <w:tab w:val="left" w:pos="0"/>
        </w:tabs>
        <w:kinsoku/>
        <w:wordWrap/>
        <w:overflowPunct/>
        <w:topLinePunct/>
        <w:autoSpaceDE w:val="0"/>
        <w:autoSpaceDN/>
        <w:bidi w:val="0"/>
        <w:adjustRightInd/>
        <w:snapToGrid/>
        <w:spacing w:before="0" w:beforeAutospacing="0" w:after="0" w:afterAutospacing="0" w:line="590" w:lineRule="exact"/>
        <w:ind w:left="0" w:right="0" w:rightChars="0" w:firstLine="640" w:firstLineChars="200"/>
        <w:jc w:val="both"/>
        <w:textAlignment w:val="auto"/>
        <w:outlineLvl w:val="1"/>
        <w:rPr>
          <w:rFonts w:hint="default" w:ascii="Times New Roman" w:hAnsi="Times New Roman" w:eastAsia="方正黑体_GBK" w:cs="Times New Roman"/>
          <w:color w:val="000000"/>
          <w:kern w:val="0"/>
          <w:sz w:val="32"/>
          <w:szCs w:val="32"/>
          <w:shd w:val="clear" w:fill="FFFFFF"/>
          <w:lang w:eastAsia="zh-CN" w:bidi="ar"/>
        </w:rPr>
      </w:pPr>
      <w:bookmarkStart w:id="10" w:name="_Toc20856"/>
      <w:r>
        <w:rPr>
          <w:rFonts w:hint="default" w:ascii="Times New Roman" w:hAnsi="Times New Roman" w:eastAsia="方正黑体_GBK" w:cs="Times New Roman"/>
          <w:color w:val="000000"/>
          <w:kern w:val="0"/>
          <w:sz w:val="32"/>
          <w:szCs w:val="32"/>
          <w:shd w:val="clear" w:fill="FFFFFF"/>
          <w:lang w:eastAsia="zh-CN" w:bidi="ar"/>
        </w:rPr>
        <w:t>一、机关运行经费支出情况</w:t>
      </w:r>
      <w:bookmarkEnd w:id="10"/>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仿宋_GBK" w:cs="Times New Roman"/>
          <w:sz w:val="32"/>
          <w:szCs w:val="30"/>
          <w:shd w:val="clear" w:color="auto" w:fill="FFFFFF"/>
        </w:rPr>
      </w:pPr>
      <w:r>
        <w:rPr>
          <w:rFonts w:hint="default" w:ascii="Times New Roman" w:hAnsi="Times New Roman" w:eastAsia="方正仿宋_GBK" w:cs="Times New Roman"/>
          <w:sz w:val="32"/>
          <w:szCs w:val="30"/>
          <w:shd w:val="clear" w:color="auto" w:fill="FFFFFF"/>
        </w:rPr>
        <w:t>玉溪市农田建设与土壤肥料工作站2020年机关运行经费支出0.00万元。</w:t>
      </w:r>
    </w:p>
    <w:p>
      <w:pPr>
        <w:keepNext w:val="0"/>
        <w:keepLines w:val="0"/>
        <w:pageBreakBefore w:val="0"/>
        <w:widowControl w:val="0"/>
        <w:numPr>
          <w:ilvl w:val="0"/>
          <w:numId w:val="0"/>
        </w:numPr>
        <w:suppressLineNumbers w:val="0"/>
        <w:tabs>
          <w:tab w:val="left" w:pos="0"/>
        </w:tabs>
        <w:kinsoku/>
        <w:wordWrap/>
        <w:overflowPunct/>
        <w:topLinePunct/>
        <w:autoSpaceDE w:val="0"/>
        <w:autoSpaceDN/>
        <w:bidi w:val="0"/>
        <w:adjustRightInd/>
        <w:snapToGrid/>
        <w:spacing w:before="0" w:beforeAutospacing="0" w:after="0" w:afterAutospacing="0" w:line="590" w:lineRule="exact"/>
        <w:ind w:left="0" w:right="0" w:rightChars="0" w:firstLine="640" w:firstLineChars="200"/>
        <w:jc w:val="both"/>
        <w:textAlignment w:val="auto"/>
        <w:outlineLvl w:val="1"/>
        <w:rPr>
          <w:rFonts w:hint="default" w:ascii="Times New Roman" w:hAnsi="Times New Roman" w:eastAsia="方正黑体_GBK" w:cs="Times New Roman"/>
          <w:color w:val="000000"/>
          <w:kern w:val="0"/>
          <w:sz w:val="32"/>
          <w:szCs w:val="32"/>
          <w:shd w:val="clear" w:fill="FFFFFF"/>
          <w:lang w:eastAsia="zh-CN" w:bidi="ar"/>
        </w:rPr>
      </w:pPr>
      <w:bookmarkStart w:id="11" w:name="_Toc27133"/>
      <w:r>
        <w:rPr>
          <w:rFonts w:hint="default" w:ascii="Times New Roman" w:hAnsi="Times New Roman" w:eastAsia="方正黑体_GBK" w:cs="Times New Roman"/>
          <w:color w:val="000000"/>
          <w:kern w:val="0"/>
          <w:sz w:val="32"/>
          <w:szCs w:val="32"/>
          <w:shd w:val="clear" w:fill="FFFFFF"/>
          <w:lang w:eastAsia="zh-CN" w:bidi="ar"/>
        </w:rPr>
        <w:t>二、国有资产占用情况</w:t>
      </w:r>
      <w:bookmarkEnd w:id="11"/>
    </w:p>
    <w:p>
      <w:pPr>
        <w:keepNext w:val="0"/>
        <w:keepLines w:val="0"/>
        <w:pageBreakBefore w:val="0"/>
        <w:widowControl w:val="0"/>
        <w:kinsoku/>
        <w:wordWrap/>
        <w:overflowPunct/>
        <w:topLinePunct/>
        <w:autoSpaceDE w:val="0"/>
        <w:bidi w:val="0"/>
        <w:spacing w:beforeAutospacing="0" w:afterAutospacing="0" w:line="590" w:lineRule="exact"/>
        <w:ind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0"/>
          <w:shd w:val="clear" w:color="auto" w:fill="FFFFFF"/>
        </w:rPr>
        <w:t>截至2020年12月31日，玉溪市农田建设与土壤肥料工作站资产总额46.05万元，其中，流动资产33.03万元，固定资产13.02万元，对外投资及有价证券0</w:t>
      </w:r>
      <w:r>
        <w:rPr>
          <w:rFonts w:hint="default" w:ascii="Times New Roman" w:hAnsi="Times New Roman" w:eastAsia="方正仿宋_GBK" w:cs="Times New Roman"/>
          <w:color w:val="000000"/>
          <w:sz w:val="32"/>
          <w:szCs w:val="30"/>
          <w:shd w:val="clear" w:color="auto" w:fill="FFFFFF"/>
        </w:rPr>
        <w:t>万元，在建工程0</w:t>
      </w:r>
      <w:r>
        <w:rPr>
          <w:rFonts w:hint="default" w:ascii="Times New Roman" w:hAnsi="Times New Roman" w:eastAsia="方正仿宋_GBK" w:cs="Times New Roman"/>
          <w:sz w:val="32"/>
          <w:szCs w:val="30"/>
          <w:shd w:val="clear" w:color="auto" w:fill="FFFFFF"/>
        </w:rPr>
        <w:t>万元，无形资产0万元，其他资产0万元（具体内容详见附表）。与上年相比，本年资产总额增加13.65万元，其中固定资产增加2.89万元。处置房屋建筑物0平方米，账面原值0万元；处置车辆0辆，账面原值0万元；报废报损资产0项，账面原值0万元，实现资产处置收入0万元；出租房屋0平方米，账面原值0万元，实现资产使用收入0万元。</w:t>
      </w:r>
    </w:p>
    <w:tbl>
      <w:tblPr>
        <w:tblStyle w:val="15"/>
        <w:tblW w:w="8423" w:type="dxa"/>
        <w:jc w:val="center"/>
        <w:tblInd w:w="0" w:type="dxa"/>
        <w:tblLayout w:type="fixed"/>
        <w:tblCellMar>
          <w:top w:w="0" w:type="dxa"/>
          <w:left w:w="0" w:type="dxa"/>
          <w:bottom w:w="0" w:type="dxa"/>
          <w:right w:w="0" w:type="dxa"/>
        </w:tblCellMar>
      </w:tblPr>
      <w:tblGrid>
        <w:gridCol w:w="618"/>
        <w:gridCol w:w="463"/>
        <w:gridCol w:w="713"/>
        <w:gridCol w:w="713"/>
        <w:gridCol w:w="713"/>
        <w:gridCol w:w="625"/>
        <w:gridCol w:w="625"/>
        <w:gridCol w:w="714"/>
        <w:gridCol w:w="713"/>
        <w:gridCol w:w="625"/>
        <w:gridCol w:w="626"/>
        <w:gridCol w:w="626"/>
        <w:gridCol w:w="629"/>
        <w:gridCol w:w="20"/>
      </w:tblGrid>
      <w:tr>
        <w:tblPrEx>
          <w:tblLayout w:type="fixed"/>
          <w:tblCellMar>
            <w:top w:w="0" w:type="dxa"/>
            <w:left w:w="0" w:type="dxa"/>
            <w:bottom w:w="0" w:type="dxa"/>
            <w:right w:w="0" w:type="dxa"/>
          </w:tblCellMar>
        </w:tblPrEx>
        <w:trPr>
          <w:trHeight w:val="390" w:hRule="atLeast"/>
          <w:jc w:val="center"/>
        </w:trPr>
        <w:tc>
          <w:tcPr>
            <w:tcW w:w="8403" w:type="dxa"/>
            <w:gridSpan w:val="13"/>
            <w:vMerge w:val="restart"/>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spacing w:beforeAutospacing="0" w:afterAutospacing="0" w:line="280" w:lineRule="exact"/>
              <w:jc w:val="center"/>
              <w:textAlignment w:val="auto"/>
              <w:rPr>
                <w:rFonts w:hint="default" w:ascii="Times New Roman" w:hAnsi="Times New Roman" w:cs="Times New Roman"/>
                <w:sz w:val="21"/>
                <w:szCs w:val="21"/>
              </w:rPr>
            </w:pPr>
            <w:r>
              <w:rPr>
                <w:rFonts w:hint="default" w:ascii="Times New Roman" w:hAnsi="Times New Roman" w:eastAsia="方正仿宋_GBK" w:cs="Times New Roman"/>
                <w:b/>
                <w:bCs/>
                <w:color w:val="000000"/>
                <w:sz w:val="24"/>
                <w:szCs w:val="24"/>
              </w:rPr>
              <w:t>国有资产占有使用情况表</w:t>
            </w:r>
          </w:p>
          <w:p>
            <w:pPr>
              <w:keepNext w:val="0"/>
              <w:keepLines w:val="0"/>
              <w:pageBreakBefore w:val="0"/>
              <w:widowControl w:val="0"/>
              <w:kinsoku/>
              <w:wordWrap/>
              <w:overflowPunct/>
              <w:topLinePunct w:val="0"/>
              <w:bidi w:val="0"/>
              <w:adjustRightInd/>
              <w:snapToGrid/>
              <w:spacing w:beforeAutospacing="0" w:afterAutospacing="0" w:line="280" w:lineRule="exact"/>
              <w:jc w:val="right"/>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单位：万元</w:t>
            </w:r>
          </w:p>
        </w:tc>
        <w:tc>
          <w:tcPr>
            <w:tcW w:w="20" w:type="dxa"/>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r>
      <w:tr>
        <w:tblPrEx>
          <w:tblLayout w:type="fixed"/>
          <w:tblCellMar>
            <w:top w:w="0" w:type="dxa"/>
            <w:left w:w="0" w:type="dxa"/>
            <w:bottom w:w="0" w:type="dxa"/>
            <w:right w:w="0" w:type="dxa"/>
          </w:tblCellMar>
        </w:tblPrEx>
        <w:trPr>
          <w:trHeight w:val="440" w:hRule="atLeast"/>
          <w:jc w:val="center"/>
        </w:trPr>
        <w:tc>
          <w:tcPr>
            <w:tcW w:w="8403" w:type="dxa"/>
            <w:gridSpan w:val="13"/>
            <w:vMerge w:val="continue"/>
            <w:tcBorders>
              <w:bottom w:val="single" w:color="auto" w:sz="4"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c>
          <w:tcPr>
            <w:tcW w:w="20" w:type="dxa"/>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r>
      <w:tr>
        <w:tblPrEx>
          <w:tblLayout w:type="fixed"/>
          <w:tblCellMar>
            <w:top w:w="0" w:type="dxa"/>
            <w:left w:w="0" w:type="dxa"/>
            <w:bottom w:w="0" w:type="dxa"/>
            <w:right w:w="0" w:type="dxa"/>
          </w:tblCellMar>
        </w:tblPrEx>
        <w:trPr>
          <w:trHeight w:val="270" w:hRule="atLeast"/>
          <w:jc w:val="center"/>
        </w:trPr>
        <w:tc>
          <w:tcPr>
            <w:tcW w:w="618"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项目</w:t>
            </w:r>
          </w:p>
        </w:tc>
        <w:tc>
          <w:tcPr>
            <w:tcW w:w="463"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行次</w:t>
            </w:r>
          </w:p>
        </w:tc>
        <w:tc>
          <w:tcPr>
            <w:tcW w:w="713"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资产总额</w:t>
            </w:r>
          </w:p>
        </w:tc>
        <w:tc>
          <w:tcPr>
            <w:tcW w:w="713"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流动资产</w:t>
            </w:r>
          </w:p>
        </w:tc>
        <w:tc>
          <w:tcPr>
            <w:tcW w:w="3390"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固定资产</w:t>
            </w:r>
          </w:p>
        </w:tc>
        <w:tc>
          <w:tcPr>
            <w:tcW w:w="62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对外投资/有价证券</w:t>
            </w:r>
          </w:p>
        </w:tc>
        <w:tc>
          <w:tcPr>
            <w:tcW w:w="62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在建工程</w:t>
            </w:r>
          </w:p>
        </w:tc>
        <w:tc>
          <w:tcPr>
            <w:tcW w:w="62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无形资产</w:t>
            </w:r>
          </w:p>
        </w:tc>
        <w:tc>
          <w:tcPr>
            <w:tcW w:w="62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其他资产</w:t>
            </w:r>
          </w:p>
        </w:tc>
        <w:tc>
          <w:tcPr>
            <w:tcW w:w="20" w:type="dxa"/>
            <w:tcBorders>
              <w:left w:val="single" w:color="auto" w:sz="4" w:space="0"/>
            </w:tcBorders>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r>
      <w:tr>
        <w:tblPrEx>
          <w:tblLayout w:type="fixed"/>
          <w:tblCellMar>
            <w:top w:w="0" w:type="dxa"/>
            <w:left w:w="0" w:type="dxa"/>
            <w:bottom w:w="0" w:type="dxa"/>
            <w:right w:w="0" w:type="dxa"/>
          </w:tblCellMar>
        </w:tblPrEx>
        <w:trPr>
          <w:trHeight w:val="270" w:hRule="atLeast"/>
          <w:jc w:val="center"/>
        </w:trPr>
        <w:tc>
          <w:tcPr>
            <w:tcW w:w="61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c>
          <w:tcPr>
            <w:tcW w:w="4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c>
          <w:tcPr>
            <w:tcW w:w="71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c>
          <w:tcPr>
            <w:tcW w:w="71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c>
          <w:tcPr>
            <w:tcW w:w="713"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小计</w:t>
            </w:r>
          </w:p>
        </w:tc>
        <w:tc>
          <w:tcPr>
            <w:tcW w:w="62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房屋构筑物</w:t>
            </w:r>
          </w:p>
        </w:tc>
        <w:tc>
          <w:tcPr>
            <w:tcW w:w="62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车辆</w:t>
            </w:r>
          </w:p>
        </w:tc>
        <w:tc>
          <w:tcPr>
            <w:tcW w:w="7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单价200万以上大型设备</w:t>
            </w:r>
          </w:p>
        </w:tc>
        <w:tc>
          <w:tcPr>
            <w:tcW w:w="713"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其他固定资产</w:t>
            </w:r>
          </w:p>
        </w:tc>
        <w:tc>
          <w:tcPr>
            <w:tcW w:w="6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c>
          <w:tcPr>
            <w:tcW w:w="6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c>
          <w:tcPr>
            <w:tcW w:w="6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c>
          <w:tcPr>
            <w:tcW w:w="6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c>
          <w:tcPr>
            <w:tcW w:w="20" w:type="dxa"/>
            <w:tcBorders>
              <w:left w:val="single" w:color="auto" w:sz="4" w:space="0"/>
            </w:tcBorders>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r>
      <w:tr>
        <w:tblPrEx>
          <w:tblLayout w:type="fixed"/>
          <w:tblCellMar>
            <w:top w:w="0" w:type="dxa"/>
            <w:left w:w="0" w:type="dxa"/>
            <w:bottom w:w="0" w:type="dxa"/>
            <w:right w:w="0" w:type="dxa"/>
          </w:tblCellMar>
        </w:tblPrEx>
        <w:trPr>
          <w:trHeight w:val="260" w:hRule="atLeast"/>
          <w:jc w:val="center"/>
        </w:trPr>
        <w:tc>
          <w:tcPr>
            <w:tcW w:w="61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c>
          <w:tcPr>
            <w:tcW w:w="4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c>
          <w:tcPr>
            <w:tcW w:w="71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c>
          <w:tcPr>
            <w:tcW w:w="71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c>
          <w:tcPr>
            <w:tcW w:w="71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c>
          <w:tcPr>
            <w:tcW w:w="6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c>
          <w:tcPr>
            <w:tcW w:w="6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c>
          <w:tcPr>
            <w:tcW w:w="71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c>
          <w:tcPr>
            <w:tcW w:w="71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c>
          <w:tcPr>
            <w:tcW w:w="6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c>
          <w:tcPr>
            <w:tcW w:w="6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c>
          <w:tcPr>
            <w:tcW w:w="6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c>
          <w:tcPr>
            <w:tcW w:w="6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c>
          <w:tcPr>
            <w:tcW w:w="20" w:type="dxa"/>
            <w:tcBorders>
              <w:left w:val="single" w:color="auto" w:sz="4" w:space="0"/>
            </w:tcBorders>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r>
      <w:tr>
        <w:tblPrEx>
          <w:tblLayout w:type="fixed"/>
          <w:tblCellMar>
            <w:top w:w="0" w:type="dxa"/>
            <w:left w:w="0" w:type="dxa"/>
            <w:bottom w:w="0" w:type="dxa"/>
            <w:right w:w="0" w:type="dxa"/>
          </w:tblCellMar>
        </w:tblPrEx>
        <w:trPr>
          <w:trHeight w:val="300" w:hRule="atLeast"/>
          <w:jc w:val="center"/>
        </w:trPr>
        <w:tc>
          <w:tcPr>
            <w:tcW w:w="6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栏次</w:t>
            </w:r>
          </w:p>
        </w:tc>
        <w:tc>
          <w:tcPr>
            <w:tcW w:w="4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 </w:t>
            </w:r>
          </w:p>
        </w:tc>
        <w:tc>
          <w:tcPr>
            <w:tcW w:w="7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1</w:t>
            </w:r>
          </w:p>
        </w:tc>
        <w:tc>
          <w:tcPr>
            <w:tcW w:w="7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2</w:t>
            </w:r>
          </w:p>
        </w:tc>
        <w:tc>
          <w:tcPr>
            <w:tcW w:w="7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3</w:t>
            </w:r>
          </w:p>
        </w:tc>
        <w:tc>
          <w:tcPr>
            <w:tcW w:w="6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4</w:t>
            </w:r>
          </w:p>
        </w:tc>
        <w:tc>
          <w:tcPr>
            <w:tcW w:w="6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5</w:t>
            </w:r>
          </w:p>
        </w:tc>
        <w:tc>
          <w:tcPr>
            <w:tcW w:w="7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6</w:t>
            </w:r>
          </w:p>
        </w:tc>
        <w:tc>
          <w:tcPr>
            <w:tcW w:w="7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7</w:t>
            </w:r>
          </w:p>
        </w:tc>
        <w:tc>
          <w:tcPr>
            <w:tcW w:w="6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8</w:t>
            </w:r>
          </w:p>
        </w:tc>
        <w:tc>
          <w:tcPr>
            <w:tcW w:w="6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9</w:t>
            </w:r>
          </w:p>
        </w:tc>
        <w:tc>
          <w:tcPr>
            <w:tcW w:w="6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10</w:t>
            </w:r>
          </w:p>
        </w:tc>
        <w:tc>
          <w:tcPr>
            <w:tcW w:w="6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11</w:t>
            </w:r>
          </w:p>
        </w:tc>
        <w:tc>
          <w:tcPr>
            <w:tcW w:w="20" w:type="dxa"/>
            <w:tcBorders>
              <w:left w:val="single" w:color="auto" w:sz="4" w:space="0"/>
            </w:tcBorders>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r>
      <w:tr>
        <w:tblPrEx>
          <w:tblLayout w:type="fixed"/>
          <w:tblCellMar>
            <w:top w:w="0" w:type="dxa"/>
            <w:left w:w="0" w:type="dxa"/>
            <w:bottom w:w="0" w:type="dxa"/>
            <w:right w:w="0" w:type="dxa"/>
          </w:tblCellMar>
        </w:tblPrEx>
        <w:trPr>
          <w:trHeight w:val="300" w:hRule="atLeast"/>
          <w:jc w:val="center"/>
        </w:trPr>
        <w:tc>
          <w:tcPr>
            <w:tcW w:w="6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合计</w:t>
            </w:r>
          </w:p>
        </w:tc>
        <w:tc>
          <w:tcPr>
            <w:tcW w:w="4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1</w:t>
            </w:r>
          </w:p>
        </w:tc>
        <w:tc>
          <w:tcPr>
            <w:tcW w:w="7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46.05　</w:t>
            </w:r>
          </w:p>
        </w:tc>
        <w:tc>
          <w:tcPr>
            <w:tcW w:w="7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33.03　</w:t>
            </w:r>
          </w:p>
        </w:tc>
        <w:tc>
          <w:tcPr>
            <w:tcW w:w="7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13.02　</w:t>
            </w:r>
          </w:p>
        </w:tc>
        <w:tc>
          <w:tcPr>
            <w:tcW w:w="6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c>
          <w:tcPr>
            <w:tcW w:w="6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c>
          <w:tcPr>
            <w:tcW w:w="7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 </w:t>
            </w:r>
          </w:p>
        </w:tc>
        <w:tc>
          <w:tcPr>
            <w:tcW w:w="7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13.02　</w:t>
            </w:r>
          </w:p>
        </w:tc>
        <w:tc>
          <w:tcPr>
            <w:tcW w:w="6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0　</w:t>
            </w:r>
          </w:p>
        </w:tc>
        <w:tc>
          <w:tcPr>
            <w:tcW w:w="6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0　</w:t>
            </w:r>
          </w:p>
        </w:tc>
        <w:tc>
          <w:tcPr>
            <w:tcW w:w="6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0　</w:t>
            </w:r>
          </w:p>
        </w:tc>
        <w:tc>
          <w:tcPr>
            <w:tcW w:w="6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sz w:val="24"/>
                <w:szCs w:val="16"/>
              </w:rPr>
              <w:t>0　</w:t>
            </w:r>
          </w:p>
        </w:tc>
        <w:tc>
          <w:tcPr>
            <w:tcW w:w="20" w:type="dxa"/>
            <w:tcBorders>
              <w:left w:val="single" w:color="auto" w:sz="4" w:space="0"/>
            </w:tcBorders>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r>
      <w:tr>
        <w:tblPrEx>
          <w:tblLayout w:type="fixed"/>
          <w:tblCellMar>
            <w:top w:w="0" w:type="dxa"/>
            <w:left w:w="0" w:type="dxa"/>
            <w:bottom w:w="0" w:type="dxa"/>
            <w:right w:w="0" w:type="dxa"/>
          </w:tblCellMar>
        </w:tblPrEx>
        <w:trPr>
          <w:trHeight w:val="240" w:hRule="atLeast"/>
          <w:jc w:val="center"/>
        </w:trPr>
        <w:tc>
          <w:tcPr>
            <w:tcW w:w="8403" w:type="dxa"/>
            <w:gridSpan w:val="13"/>
            <w:vMerge w:val="restart"/>
            <w:tcBorders>
              <w:top w:val="single" w:color="auto" w:sz="4" w:space="0"/>
            </w:tcBorders>
            <w:tcMar>
              <w:top w:w="0" w:type="dxa"/>
              <w:left w:w="108" w:type="dxa"/>
              <w:bottom w:w="0" w:type="dxa"/>
              <w:right w:w="108" w:type="dxa"/>
            </w:tcMar>
            <w:vAlign w:val="bottom"/>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80" w:lineRule="exact"/>
              <w:ind w:left="0" w:right="0"/>
              <w:jc w:val="both"/>
              <w:textAlignment w:val="auto"/>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填报说明：</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80" w:lineRule="exact"/>
              <w:ind w:left="0" w:right="0"/>
              <w:jc w:val="both"/>
              <w:textAlignment w:val="auto"/>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1．资产总额＝流动资产＋固定资产＋对外投资／有价证券＋在建工程＋无形资产＋其他资产</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80" w:lineRule="exact"/>
              <w:ind w:left="0" w:right="0"/>
              <w:jc w:val="both"/>
              <w:textAlignment w:val="auto"/>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2．固定资产＝房屋构筑物＋车辆＋单价200万元以上大型设备＋其他固定资产</w:t>
            </w:r>
          </w:p>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kern w:val="0"/>
                <w:sz w:val="22"/>
                <w:szCs w:val="22"/>
              </w:rPr>
              <w:t>3．填报金额为资产“账面原值”。</w:t>
            </w:r>
          </w:p>
        </w:tc>
        <w:tc>
          <w:tcPr>
            <w:tcW w:w="20" w:type="dxa"/>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r>
      <w:tr>
        <w:tblPrEx>
          <w:tblLayout w:type="fixed"/>
          <w:tblCellMar>
            <w:top w:w="0" w:type="dxa"/>
            <w:left w:w="0" w:type="dxa"/>
            <w:bottom w:w="0" w:type="dxa"/>
            <w:right w:w="0" w:type="dxa"/>
          </w:tblCellMar>
        </w:tblPrEx>
        <w:trPr>
          <w:trHeight w:val="300" w:hRule="atLeast"/>
          <w:jc w:val="center"/>
        </w:trPr>
        <w:tc>
          <w:tcPr>
            <w:tcW w:w="8403" w:type="dxa"/>
            <w:gridSpan w:val="13"/>
            <w:vMerge w:val="continue"/>
            <w:tcMar>
              <w:top w:w="0" w:type="dxa"/>
              <w:left w:w="108" w:type="dxa"/>
              <w:bottom w:w="0" w:type="dxa"/>
              <w:right w:w="108" w:type="dxa"/>
            </w:tcMar>
            <w:vAlign w:val="bottom"/>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c>
          <w:tcPr>
            <w:tcW w:w="20" w:type="dxa"/>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r>
      <w:tr>
        <w:tblPrEx>
          <w:tblLayout w:type="fixed"/>
          <w:tblCellMar>
            <w:top w:w="0" w:type="dxa"/>
            <w:left w:w="0" w:type="dxa"/>
            <w:bottom w:w="0" w:type="dxa"/>
            <w:right w:w="0" w:type="dxa"/>
          </w:tblCellMar>
        </w:tblPrEx>
        <w:trPr>
          <w:trHeight w:val="285" w:hRule="atLeast"/>
          <w:jc w:val="center"/>
        </w:trPr>
        <w:tc>
          <w:tcPr>
            <w:tcW w:w="8403" w:type="dxa"/>
            <w:gridSpan w:val="13"/>
            <w:vMerge w:val="continue"/>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c>
          <w:tcPr>
            <w:tcW w:w="20" w:type="dxa"/>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r>
      <w:tr>
        <w:tblPrEx>
          <w:tblLayout w:type="fixed"/>
          <w:tblCellMar>
            <w:top w:w="0" w:type="dxa"/>
            <w:left w:w="0" w:type="dxa"/>
            <w:bottom w:w="0" w:type="dxa"/>
            <w:right w:w="0" w:type="dxa"/>
          </w:tblCellMar>
        </w:tblPrEx>
        <w:trPr>
          <w:trHeight w:val="285" w:hRule="atLeast"/>
          <w:jc w:val="center"/>
        </w:trPr>
        <w:tc>
          <w:tcPr>
            <w:tcW w:w="8403" w:type="dxa"/>
            <w:gridSpan w:val="13"/>
            <w:vMerge w:val="continue"/>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c>
          <w:tcPr>
            <w:tcW w:w="20" w:type="dxa"/>
            <w:vAlign w:val="center"/>
          </w:tcPr>
          <w:p>
            <w:pPr>
              <w:keepNext w:val="0"/>
              <w:keepLines w:val="0"/>
              <w:pageBreakBefore w:val="0"/>
              <w:widowControl w:val="0"/>
              <w:kinsoku/>
              <w:wordWrap/>
              <w:overflowPunct/>
              <w:topLinePunct w:val="0"/>
              <w:bidi w:val="0"/>
              <w:adjustRightInd/>
              <w:snapToGrid/>
              <w:spacing w:beforeAutospacing="0" w:afterAutospacing="0" w:line="280" w:lineRule="exact"/>
              <w:jc w:val="both"/>
              <w:textAlignment w:val="auto"/>
              <w:rPr>
                <w:rFonts w:hint="default" w:ascii="Times New Roman" w:hAnsi="Times New Roman" w:cs="Times New Roman"/>
                <w:sz w:val="21"/>
                <w:szCs w:val="21"/>
              </w:rPr>
            </w:pPr>
          </w:p>
        </w:tc>
      </w:tr>
    </w:tbl>
    <w:p>
      <w:pPr>
        <w:keepNext w:val="0"/>
        <w:keepLines w:val="0"/>
        <w:pageBreakBefore w:val="0"/>
        <w:widowControl w:val="0"/>
        <w:numPr>
          <w:ilvl w:val="0"/>
          <w:numId w:val="0"/>
        </w:numPr>
        <w:suppressLineNumbers w:val="0"/>
        <w:tabs>
          <w:tab w:val="left" w:pos="0"/>
        </w:tabs>
        <w:kinsoku/>
        <w:wordWrap/>
        <w:overflowPunct/>
        <w:topLinePunct/>
        <w:autoSpaceDE w:val="0"/>
        <w:autoSpaceDN/>
        <w:bidi w:val="0"/>
        <w:adjustRightInd/>
        <w:snapToGrid/>
        <w:spacing w:before="0" w:beforeAutospacing="0" w:after="0" w:afterAutospacing="0" w:line="590" w:lineRule="exact"/>
        <w:ind w:left="0" w:right="0" w:rightChars="0" w:firstLine="640" w:firstLineChars="200"/>
        <w:jc w:val="both"/>
        <w:textAlignment w:val="auto"/>
        <w:outlineLvl w:val="1"/>
        <w:rPr>
          <w:rFonts w:hint="default" w:ascii="Times New Roman" w:hAnsi="Times New Roman" w:eastAsia="方正黑体_GBK" w:cs="Times New Roman"/>
          <w:color w:val="000000"/>
          <w:kern w:val="0"/>
          <w:sz w:val="32"/>
          <w:szCs w:val="32"/>
          <w:shd w:val="clear" w:fill="FFFFFF"/>
          <w:lang w:eastAsia="zh-CN" w:bidi="ar"/>
        </w:rPr>
      </w:pPr>
      <w:bookmarkStart w:id="12" w:name="_Toc2527"/>
      <w:r>
        <w:rPr>
          <w:rFonts w:hint="default" w:ascii="Times New Roman" w:hAnsi="Times New Roman" w:eastAsia="方正黑体_GBK" w:cs="Times New Roman"/>
          <w:color w:val="000000"/>
          <w:kern w:val="0"/>
          <w:sz w:val="32"/>
          <w:szCs w:val="32"/>
          <w:shd w:val="clear" w:fill="FFFFFF"/>
          <w:lang w:eastAsia="zh-CN" w:bidi="ar"/>
        </w:rPr>
        <w:t>三、政府采购支出情况</w:t>
      </w:r>
      <w:bookmarkEnd w:id="12"/>
    </w:p>
    <w:p>
      <w:pPr>
        <w:keepNext w:val="0"/>
        <w:keepLines w:val="0"/>
        <w:pageBreakBefore w:val="0"/>
        <w:widowControl w:val="0"/>
        <w:kinsoku/>
        <w:wordWrap/>
        <w:overflowPunct/>
        <w:autoSpaceDE w:val="0"/>
        <w:autoSpaceDN w:val="0"/>
        <w:bidi w:val="0"/>
        <w:spacing w:beforeAutospacing="0" w:afterAutospacing="0" w:line="590" w:lineRule="exact"/>
        <w:ind w:firstLine="6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0"/>
          <w:shd w:val="clear" w:color="auto" w:fill="FFFFFF"/>
        </w:rPr>
        <w:t>2020年度，部门政府采购支出总额6.46万元，其中：政府采购货物支出6.46万元；政府采购工程支出0万元；政府采购服务支出0万元。授予中小企业合同金额6.46万元，占政府采购支出总额的100%。</w:t>
      </w:r>
    </w:p>
    <w:p>
      <w:pPr>
        <w:keepNext w:val="0"/>
        <w:keepLines w:val="0"/>
        <w:pageBreakBefore w:val="0"/>
        <w:widowControl w:val="0"/>
        <w:numPr>
          <w:ilvl w:val="0"/>
          <w:numId w:val="0"/>
        </w:numPr>
        <w:suppressLineNumbers w:val="0"/>
        <w:tabs>
          <w:tab w:val="left" w:pos="0"/>
        </w:tabs>
        <w:kinsoku/>
        <w:wordWrap/>
        <w:overflowPunct/>
        <w:topLinePunct/>
        <w:autoSpaceDE w:val="0"/>
        <w:autoSpaceDN/>
        <w:bidi w:val="0"/>
        <w:adjustRightInd/>
        <w:snapToGrid/>
        <w:spacing w:before="0" w:beforeAutospacing="0" w:after="0" w:afterAutospacing="0" w:line="590" w:lineRule="exact"/>
        <w:ind w:left="0" w:right="0" w:rightChars="0" w:firstLine="640" w:firstLineChars="200"/>
        <w:jc w:val="both"/>
        <w:textAlignment w:val="auto"/>
        <w:outlineLvl w:val="1"/>
        <w:rPr>
          <w:rFonts w:hint="default" w:ascii="Times New Roman" w:hAnsi="Times New Roman" w:eastAsia="方正黑体_GBK" w:cs="Times New Roman"/>
          <w:color w:val="000000"/>
          <w:kern w:val="0"/>
          <w:sz w:val="32"/>
          <w:szCs w:val="32"/>
          <w:shd w:val="clear" w:fill="FFFFFF"/>
          <w:lang w:eastAsia="zh-CN" w:bidi="ar"/>
        </w:rPr>
      </w:pPr>
      <w:bookmarkStart w:id="13" w:name="_Toc18456"/>
      <w:r>
        <w:rPr>
          <w:rFonts w:hint="default" w:ascii="Times New Roman" w:hAnsi="Times New Roman" w:eastAsia="方正黑体_GBK" w:cs="Times New Roman"/>
          <w:color w:val="000000"/>
          <w:kern w:val="0"/>
          <w:sz w:val="32"/>
          <w:szCs w:val="32"/>
          <w:shd w:val="clear" w:fill="FFFFFF"/>
          <w:lang w:eastAsia="zh-CN" w:bidi="ar"/>
        </w:rPr>
        <w:t>四、部门绩效自评情况</w:t>
      </w:r>
      <w:bookmarkEnd w:id="13"/>
    </w:p>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590" w:lineRule="exact"/>
        <w:ind w:left="0" w:right="0" w:firstLine="640" w:firstLineChars="200"/>
        <w:jc w:val="both"/>
        <w:textAlignment w:val="auto"/>
        <w:rPr>
          <w:rFonts w:hint="default" w:ascii="Times New Roman" w:hAnsi="Times New Roman" w:cs="Times New Roman"/>
        </w:rPr>
      </w:pPr>
      <w:r>
        <w:rPr>
          <w:rFonts w:hint="default" w:ascii="Times New Roman" w:hAnsi="Times New Roman" w:eastAsia="方正楷体_GBK" w:cs="Times New Roman"/>
          <w:kern w:val="0"/>
          <w:sz w:val="32"/>
          <w:szCs w:val="30"/>
        </w:rPr>
        <w:t>（一）项目支出绩效自评/项目支出绩效自评报告（表）</w:t>
      </w:r>
    </w:p>
    <w:p>
      <w:pPr>
        <w:keepNext w:val="0"/>
        <w:keepLines w:val="0"/>
        <w:pageBreakBefore w:val="0"/>
        <w:widowControl w:val="0"/>
        <w:suppressLineNumbers w:val="0"/>
        <w:kinsoku/>
        <w:wordWrap/>
        <w:overflowPunct/>
        <w:bidi w:val="0"/>
        <w:adjustRightInd w:val="0"/>
        <w:spacing w:beforeAutospacing="0" w:afterAutospacing="0" w:line="590" w:lineRule="exact"/>
        <w:ind w:left="0" w:right="0" w:firstLine="640" w:firstLineChars="200"/>
        <w:jc w:val="both"/>
        <w:textAlignment w:val="auto"/>
        <w:rPr>
          <w:rFonts w:hint="default" w:ascii="Times New Roman" w:hAnsi="Times New Roman" w:cs="Times New Roman"/>
        </w:rPr>
      </w:pPr>
      <w:r>
        <w:rPr>
          <w:rFonts w:hint="default" w:ascii="Times New Roman" w:hAnsi="Times New Roman" w:eastAsia="仿宋" w:cs="Times New Roman"/>
          <w:color w:val="000000"/>
          <w:kern w:val="0"/>
          <w:sz w:val="32"/>
          <w:szCs w:val="30"/>
        </w:rPr>
        <w:t>部门绩效自评情况表详见附表（附表9-附表1</w:t>
      </w:r>
      <w:r>
        <w:rPr>
          <w:rFonts w:hint="default" w:ascii="Times New Roman" w:hAnsi="Times New Roman" w:eastAsia="仿宋" w:cs="Times New Roman"/>
          <w:color w:val="000000"/>
          <w:kern w:val="0"/>
          <w:sz w:val="32"/>
          <w:szCs w:val="30"/>
          <w:lang w:val="en-US" w:eastAsia="zh-CN"/>
        </w:rPr>
        <w:t>2</w:t>
      </w:r>
      <w:r>
        <w:rPr>
          <w:rFonts w:hint="default" w:ascii="Times New Roman" w:hAnsi="Times New Roman" w:eastAsia="仿宋" w:cs="Times New Roman"/>
          <w:color w:val="000000"/>
          <w:kern w:val="0"/>
          <w:sz w:val="32"/>
          <w:szCs w:val="30"/>
        </w:rPr>
        <w:t>）</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590" w:lineRule="exact"/>
        <w:ind w:left="0" w:right="0" w:firstLine="640" w:firstLineChars="200"/>
        <w:jc w:val="both"/>
        <w:textAlignment w:val="auto"/>
        <w:rPr>
          <w:rFonts w:hint="default" w:ascii="Times New Roman" w:hAnsi="Times New Roman" w:eastAsia="方正楷体_GBK" w:cs="Times New Roman"/>
          <w:kern w:val="0"/>
          <w:sz w:val="32"/>
          <w:szCs w:val="30"/>
        </w:rPr>
      </w:pPr>
      <w:r>
        <w:rPr>
          <w:rFonts w:hint="default" w:ascii="Times New Roman" w:hAnsi="Times New Roman" w:eastAsia="方正楷体_GBK" w:cs="Times New Roman"/>
          <w:kern w:val="0"/>
          <w:sz w:val="32"/>
          <w:szCs w:val="30"/>
        </w:rPr>
        <w:t>（二）20</w:t>
      </w:r>
      <w:r>
        <w:rPr>
          <w:rFonts w:hint="default" w:ascii="Times New Roman" w:hAnsi="Times New Roman" w:eastAsia="方正楷体_GBK" w:cs="Times New Roman"/>
          <w:kern w:val="0"/>
          <w:sz w:val="32"/>
          <w:szCs w:val="30"/>
          <w:lang w:val="en-US" w:eastAsia="zh-CN"/>
        </w:rPr>
        <w:t>20</w:t>
      </w:r>
      <w:r>
        <w:rPr>
          <w:rFonts w:hint="default" w:ascii="Times New Roman" w:hAnsi="Times New Roman" w:eastAsia="方正楷体_GBK" w:cs="Times New Roman"/>
          <w:kern w:val="0"/>
          <w:sz w:val="32"/>
          <w:szCs w:val="30"/>
        </w:rPr>
        <w:t>年部门决算绩效公开说明</w:t>
      </w:r>
    </w:p>
    <w:p>
      <w:pPr>
        <w:keepNext w:val="0"/>
        <w:keepLines w:val="0"/>
        <w:pageBreakBefore w:val="0"/>
        <w:widowControl w:val="0"/>
        <w:suppressLineNumbers w:val="0"/>
        <w:kinsoku/>
        <w:wordWrap/>
        <w:overflowPunct/>
        <w:bidi w:val="0"/>
        <w:spacing w:beforeAutospacing="0" w:afterAutospacing="0"/>
        <w:ind w:left="0" w:firstLine="643" w:firstLineChars="200"/>
        <w:jc w:val="both"/>
        <w:textAlignment w:val="auto"/>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1</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仿宋" w:cs="Times New Roman"/>
          <w:b/>
          <w:kern w:val="0"/>
          <w:sz w:val="32"/>
          <w:szCs w:val="32"/>
        </w:rPr>
        <w:t>预算绩效管理工作开展情况</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ind w:right="0" w:rightChars="0" w:firstLine="640" w:firstLineChars="200"/>
        <w:jc w:val="both"/>
        <w:textAlignment w:val="auto"/>
        <w:rPr>
          <w:rFonts w:hint="default" w:ascii="Times New Roman" w:hAnsi="Times New Roman" w:eastAsia="仿宋" w:cs="Times New Roman"/>
          <w:sz w:val="32"/>
          <w:szCs w:val="30"/>
          <w:lang w:val="en-US" w:eastAsia="zh-CN"/>
        </w:rPr>
      </w:pPr>
      <w:r>
        <w:rPr>
          <w:rFonts w:hint="default" w:ascii="Times New Roman" w:hAnsi="Times New Roman" w:eastAsia="仿宋" w:cs="Times New Roman"/>
          <w:sz w:val="32"/>
          <w:szCs w:val="30"/>
        </w:rPr>
        <w:t>20</w:t>
      </w:r>
      <w:r>
        <w:rPr>
          <w:rFonts w:hint="default" w:ascii="Times New Roman" w:hAnsi="Times New Roman" w:eastAsia="仿宋" w:cs="Times New Roman"/>
          <w:sz w:val="32"/>
          <w:szCs w:val="30"/>
          <w:lang w:val="en-US" w:eastAsia="zh-CN"/>
        </w:rPr>
        <w:t>20</w:t>
      </w:r>
      <w:r>
        <w:rPr>
          <w:rFonts w:hint="default" w:ascii="Times New Roman" w:hAnsi="Times New Roman" w:eastAsia="仿宋" w:cs="Times New Roman"/>
          <w:sz w:val="32"/>
          <w:szCs w:val="30"/>
        </w:rPr>
        <w:t>年，我单位按照</w:t>
      </w:r>
      <w:r>
        <w:rPr>
          <w:rFonts w:hint="default" w:ascii="Times New Roman" w:hAnsi="Times New Roman" w:eastAsia="仿宋" w:cs="Times New Roman"/>
          <w:sz w:val="32"/>
          <w:szCs w:val="30"/>
          <w:lang w:eastAsia="zh-CN"/>
        </w:rPr>
        <w:t>（</w:t>
      </w:r>
      <w:r>
        <w:rPr>
          <w:rFonts w:hint="default" w:ascii="Times New Roman" w:hAnsi="Times New Roman" w:eastAsia="仿宋" w:cs="Times New Roman"/>
          <w:sz w:val="32"/>
          <w:szCs w:val="30"/>
        </w:rPr>
        <w:t>玉农发</w:t>
      </w:r>
      <w:r>
        <w:rPr>
          <w:rFonts w:hint="default" w:ascii="Times New Roman" w:hAnsi="Times New Roman" w:eastAsia="仿宋" w:cs="Times New Roman"/>
          <w:sz w:val="32"/>
          <w:szCs w:val="30"/>
          <w:lang w:eastAsia="zh-CN"/>
        </w:rPr>
        <w:t>〔</w:t>
      </w:r>
      <w:r>
        <w:rPr>
          <w:rFonts w:hint="default" w:ascii="Times New Roman" w:hAnsi="Times New Roman" w:eastAsia="仿宋" w:cs="Times New Roman"/>
          <w:sz w:val="32"/>
          <w:szCs w:val="30"/>
        </w:rPr>
        <w:t>2019</w:t>
      </w:r>
      <w:r>
        <w:rPr>
          <w:rFonts w:hint="default" w:ascii="Times New Roman" w:hAnsi="Times New Roman" w:eastAsia="仿宋" w:cs="Times New Roman"/>
          <w:sz w:val="32"/>
          <w:szCs w:val="30"/>
          <w:lang w:eastAsia="zh-CN"/>
        </w:rPr>
        <w:t>〕</w:t>
      </w:r>
      <w:r>
        <w:rPr>
          <w:rFonts w:hint="default" w:ascii="Times New Roman" w:hAnsi="Times New Roman" w:eastAsia="仿宋" w:cs="Times New Roman"/>
          <w:sz w:val="32"/>
          <w:szCs w:val="30"/>
        </w:rPr>
        <w:t>34号 </w:t>
      </w:r>
      <w:r>
        <w:rPr>
          <w:rFonts w:hint="default" w:ascii="Times New Roman" w:hAnsi="Times New Roman" w:eastAsia="仿宋" w:cs="Times New Roman"/>
          <w:sz w:val="32"/>
          <w:szCs w:val="30"/>
          <w:lang w:eastAsia="zh-CN"/>
        </w:rPr>
        <w:t>）</w:t>
      </w:r>
      <w:r>
        <w:rPr>
          <w:rFonts w:hint="default" w:ascii="Times New Roman" w:hAnsi="Times New Roman" w:eastAsia="仿宋" w:cs="Times New Roman"/>
          <w:sz w:val="32"/>
          <w:szCs w:val="30"/>
        </w:rPr>
        <w:t>玉溪市农业农村局关于印发《玉溪市农业农村局绩效管理制度》文件要求，结合本单位工作实际，本着科学规范、目标引领、公开透明的原则，进行日常绩效管理工作。为提高资金使用效益，将绩效目标管理融入到预算编制、预算执行、决算和监督管理全过程的各个环节。我单位由专人负责项目绩效管理工作，</w:t>
      </w:r>
      <w:r>
        <w:rPr>
          <w:rFonts w:hint="default" w:ascii="Times New Roman" w:hAnsi="Times New Roman" w:eastAsia="仿宋" w:cs="Times New Roman"/>
          <w:sz w:val="32"/>
          <w:szCs w:val="30"/>
          <w:lang w:val="en-US" w:eastAsia="zh-CN"/>
        </w:rPr>
        <w:t>2020</w:t>
      </w:r>
      <w:r>
        <w:rPr>
          <w:rFonts w:hint="default" w:ascii="Times New Roman" w:hAnsi="Times New Roman" w:eastAsia="仿宋" w:cs="Times New Roman"/>
          <w:sz w:val="32"/>
          <w:szCs w:val="30"/>
        </w:rPr>
        <w:t>年进行了2个项目绩效自评，均通过审核</w:t>
      </w:r>
      <w:r>
        <w:rPr>
          <w:rFonts w:hint="default" w:ascii="Times New Roman" w:hAnsi="Times New Roman" w:eastAsia="仿宋" w:cs="Times New Roman"/>
          <w:sz w:val="32"/>
          <w:szCs w:val="30"/>
          <w:lang w:eastAsia="zh-CN"/>
        </w:rPr>
        <w:t>，自评等级一个项目为优，另一个项目为良。</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ind w:right="0" w:rightChars="0" w:firstLine="643" w:firstLineChars="200"/>
        <w:jc w:val="both"/>
        <w:textAlignment w:val="auto"/>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lang w:val="en-US" w:eastAsia="zh-CN"/>
        </w:rPr>
        <w:t>2</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仿宋_GB2312" w:cs="Times New Roman"/>
          <w:b/>
          <w:kern w:val="0"/>
          <w:sz w:val="32"/>
          <w:szCs w:val="32"/>
        </w:rPr>
        <w:t>部门整体支出自评结果</w:t>
      </w:r>
    </w:p>
    <w:p>
      <w:pPr>
        <w:keepNext w:val="0"/>
        <w:keepLines w:val="0"/>
        <w:pageBreakBefore w:val="0"/>
        <w:widowControl w:val="0"/>
        <w:numPr>
          <w:ilvl w:val="0"/>
          <w:numId w:val="0"/>
        </w:numPr>
        <w:suppressLineNumbers w:val="0"/>
        <w:tabs>
          <w:tab w:val="left" w:pos="0"/>
        </w:tabs>
        <w:kinsoku/>
        <w:wordWrap/>
        <w:overflowPunct/>
        <w:bidi w:val="0"/>
        <w:spacing w:beforeAutospacing="0" w:afterAutospacing="0"/>
        <w:ind w:leftChars="200" w:right="0" w:rightChars="0"/>
        <w:jc w:val="both"/>
        <w:textAlignment w:val="auto"/>
        <w:rPr>
          <w:rFonts w:hint="default" w:ascii="Times New Roman" w:hAnsi="Times New Roman" w:eastAsia="仿宋" w:cs="Times New Roman"/>
          <w:sz w:val="32"/>
          <w:szCs w:val="30"/>
        </w:rPr>
      </w:pPr>
      <w:r>
        <w:rPr>
          <w:rFonts w:hint="default" w:ascii="Times New Roman" w:hAnsi="Times New Roman" w:eastAsia="仿宋" w:cs="Times New Roman"/>
          <w:sz w:val="32"/>
          <w:szCs w:val="30"/>
        </w:rPr>
        <w:t>我单位是市农业农村局下属的二级预算单位，无部门整体支</w:t>
      </w:r>
    </w:p>
    <w:p>
      <w:pPr>
        <w:keepNext w:val="0"/>
        <w:keepLines w:val="0"/>
        <w:pageBreakBefore w:val="0"/>
        <w:widowControl w:val="0"/>
        <w:numPr>
          <w:ilvl w:val="0"/>
          <w:numId w:val="0"/>
        </w:numPr>
        <w:suppressLineNumbers w:val="0"/>
        <w:tabs>
          <w:tab w:val="left" w:pos="0"/>
        </w:tabs>
        <w:kinsoku/>
        <w:wordWrap/>
        <w:overflowPunct/>
        <w:bidi w:val="0"/>
        <w:spacing w:beforeAutospacing="0" w:afterAutospacing="0"/>
        <w:ind w:right="0" w:rightChars="0"/>
        <w:jc w:val="both"/>
        <w:textAlignment w:val="auto"/>
        <w:rPr>
          <w:rFonts w:hint="default" w:ascii="Times New Roman" w:hAnsi="Times New Roman" w:eastAsia="楷体" w:cs="Times New Roman"/>
          <w:kern w:val="0"/>
          <w:sz w:val="32"/>
          <w:szCs w:val="30"/>
        </w:rPr>
      </w:pPr>
      <w:r>
        <w:rPr>
          <w:rFonts w:hint="default" w:ascii="Times New Roman" w:hAnsi="Times New Roman" w:eastAsia="仿宋" w:cs="Times New Roman"/>
          <w:sz w:val="32"/>
          <w:szCs w:val="30"/>
        </w:rPr>
        <w:t>出自评结果。</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ind w:right="0" w:rightChars="0" w:firstLine="643" w:firstLineChars="200"/>
        <w:jc w:val="both"/>
        <w:textAlignment w:val="auto"/>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lang w:val="en-US" w:eastAsia="zh-CN"/>
        </w:rPr>
        <w:t>3</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仿宋_GB2312" w:cs="Times New Roman"/>
          <w:b/>
          <w:kern w:val="0"/>
          <w:sz w:val="32"/>
          <w:szCs w:val="32"/>
        </w:rPr>
        <w:t>部门决算中项目支出自评结果</w:t>
      </w:r>
    </w:p>
    <w:p>
      <w:pPr>
        <w:keepNext w:val="0"/>
        <w:keepLines w:val="0"/>
        <w:pageBreakBefore w:val="0"/>
        <w:widowControl w:val="0"/>
        <w:kinsoku/>
        <w:wordWrap/>
        <w:overflowPunct/>
        <w:bidi w:val="0"/>
        <w:spacing w:beforeAutospacing="0" w:afterAutospacing="0"/>
        <w:ind w:firstLine="640" w:firstLineChars="200"/>
        <w:jc w:val="both"/>
        <w:textAlignment w:val="auto"/>
        <w:rPr>
          <w:rFonts w:hint="default" w:ascii="Times New Roman" w:hAnsi="Times New Roman" w:eastAsia="仿宋" w:cs="Times New Roman"/>
          <w:sz w:val="32"/>
          <w:szCs w:val="30"/>
          <w:lang w:val="en-US" w:eastAsia="zh-CN"/>
        </w:rPr>
      </w:pPr>
      <w:r>
        <w:rPr>
          <w:rFonts w:hint="default" w:ascii="Times New Roman" w:hAnsi="Times New Roman" w:eastAsia="仿宋" w:cs="Times New Roman"/>
          <w:sz w:val="32"/>
          <w:szCs w:val="30"/>
          <w:lang w:val="en-US" w:eastAsia="zh-CN"/>
        </w:rPr>
        <w:t>项目1：2020年玉溪市化肥减量示范区项目补助资金;项目资金30万元，项目自评为优。</w:t>
      </w:r>
    </w:p>
    <w:p>
      <w:pPr>
        <w:pStyle w:val="2"/>
        <w:keepNext w:val="0"/>
        <w:keepLines w:val="0"/>
        <w:pageBreakBefore w:val="0"/>
        <w:widowControl w:val="0"/>
        <w:kinsoku/>
        <w:wordWrap/>
        <w:overflowPunct/>
        <w:bidi w:val="0"/>
        <w:spacing w:beforeAutospacing="0" w:afterAutospacing="0"/>
        <w:jc w:val="both"/>
        <w:textAlignment w:val="auto"/>
        <w:rPr>
          <w:rFonts w:hint="default" w:ascii="Times New Roman" w:hAnsi="Times New Roman" w:eastAsia="仿宋" w:cs="Times New Roman"/>
          <w:sz w:val="32"/>
          <w:szCs w:val="30"/>
          <w:lang w:val="en-US" w:eastAsia="zh-CN"/>
        </w:rPr>
      </w:pPr>
      <w:r>
        <w:rPr>
          <w:rFonts w:hint="default" w:ascii="Times New Roman" w:hAnsi="Times New Roman" w:eastAsia="仿宋" w:cs="Times New Roman"/>
          <w:sz w:val="32"/>
          <w:szCs w:val="30"/>
        </w:rPr>
        <w:t>目标完成情况及成效：</w:t>
      </w:r>
      <w:r>
        <w:rPr>
          <w:rFonts w:hint="default" w:ascii="Times New Roman" w:hAnsi="Times New Roman" w:eastAsia="仿宋" w:cs="Times New Roman"/>
          <w:sz w:val="32"/>
          <w:szCs w:val="30"/>
          <w:lang w:val="en-US" w:eastAsia="zh-CN"/>
        </w:rPr>
        <w:t>1、建成水稻化肥减量示范面积1000亩； 2、项目示范区测土配方施肥技术覆盖率100%； 3、化肥利用率达到40%以上； 4、单位面积化肥施用量较常规减2%。</w:t>
      </w:r>
    </w:p>
    <w:p>
      <w:pPr>
        <w:keepNext w:val="0"/>
        <w:keepLines w:val="0"/>
        <w:pageBreakBefore w:val="0"/>
        <w:widowControl w:val="0"/>
        <w:kinsoku/>
        <w:wordWrap/>
        <w:overflowPunct/>
        <w:bidi w:val="0"/>
        <w:spacing w:beforeAutospacing="0" w:afterAutospacing="0"/>
        <w:ind w:firstLine="640" w:firstLineChars="200"/>
        <w:jc w:val="both"/>
        <w:textAlignment w:val="auto"/>
        <w:rPr>
          <w:rFonts w:hint="default" w:ascii="Times New Roman" w:hAnsi="Times New Roman" w:eastAsia="仿宋" w:cs="Times New Roman"/>
          <w:kern w:val="0"/>
          <w:sz w:val="32"/>
          <w:szCs w:val="30"/>
          <w:lang w:eastAsia="zh-CN"/>
        </w:rPr>
      </w:pPr>
      <w:r>
        <w:rPr>
          <w:rFonts w:hint="default" w:ascii="Times New Roman" w:hAnsi="Times New Roman" w:eastAsia="仿宋" w:cs="Times New Roman"/>
          <w:sz w:val="32"/>
          <w:szCs w:val="30"/>
          <w:lang w:val="en-US" w:eastAsia="zh-CN"/>
        </w:rPr>
        <w:t>项目2:玉溪市耕地保护与质量提升补助资金;项目资金31万元，</w:t>
      </w:r>
      <w:r>
        <w:rPr>
          <w:rFonts w:hint="default" w:ascii="Times New Roman" w:hAnsi="Times New Roman" w:eastAsia="仿宋" w:cs="Times New Roman"/>
          <w:kern w:val="0"/>
          <w:sz w:val="32"/>
          <w:szCs w:val="30"/>
          <w:lang w:eastAsia="zh-CN"/>
        </w:rPr>
        <w:t>项目自评等级为良。</w:t>
      </w:r>
    </w:p>
    <w:p>
      <w:pPr>
        <w:keepNext w:val="0"/>
        <w:keepLines w:val="0"/>
        <w:pageBreakBefore w:val="0"/>
        <w:widowControl w:val="0"/>
        <w:kinsoku/>
        <w:wordWrap/>
        <w:overflowPunct/>
        <w:bidi w:val="0"/>
        <w:spacing w:beforeAutospacing="0" w:afterAutospacing="0"/>
        <w:ind w:firstLine="640" w:firstLineChars="200"/>
        <w:jc w:val="both"/>
        <w:textAlignment w:val="auto"/>
        <w:rPr>
          <w:rFonts w:hint="default" w:ascii="Times New Roman" w:hAnsi="Times New Roman" w:eastAsia="仿宋" w:cs="Times New Roman"/>
          <w:sz w:val="32"/>
          <w:szCs w:val="30"/>
          <w:lang w:val="en-US" w:eastAsia="zh-CN"/>
        </w:rPr>
      </w:pPr>
      <w:r>
        <w:rPr>
          <w:rFonts w:hint="default" w:ascii="Times New Roman" w:hAnsi="Times New Roman" w:eastAsia="仿宋" w:cs="Times New Roman"/>
          <w:sz w:val="32"/>
          <w:szCs w:val="30"/>
        </w:rPr>
        <w:t>目标完成情况及成效：</w:t>
      </w:r>
      <w:r>
        <w:rPr>
          <w:rFonts w:hint="default" w:ascii="Times New Roman" w:hAnsi="Times New Roman" w:eastAsia="仿宋" w:cs="Times New Roman"/>
          <w:sz w:val="32"/>
          <w:szCs w:val="30"/>
          <w:lang w:val="en-US" w:eastAsia="zh-CN"/>
        </w:rPr>
        <w:t>1、耕地质量监测点取土样品数662个； 2、全市耕地质量等级评价；3、肥料田间试验8组；4、监测点运行对农户的影响覆盖率90%。</w:t>
      </w:r>
    </w:p>
    <w:p>
      <w:pPr>
        <w:keepNext w:val="0"/>
        <w:keepLines w:val="0"/>
        <w:pageBreakBefore w:val="0"/>
        <w:widowControl w:val="0"/>
        <w:numPr>
          <w:ilvl w:val="0"/>
          <w:numId w:val="0"/>
        </w:numPr>
        <w:suppressLineNumbers w:val="0"/>
        <w:tabs>
          <w:tab w:val="left" w:pos="0"/>
        </w:tabs>
        <w:kinsoku/>
        <w:wordWrap/>
        <w:overflowPunct/>
        <w:bidi w:val="0"/>
        <w:spacing w:beforeAutospacing="0" w:afterAutospacing="0"/>
        <w:ind w:leftChars="200" w:right="0" w:rightChars="0"/>
        <w:jc w:val="both"/>
        <w:textAlignment w:val="auto"/>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lang w:val="en-US" w:eastAsia="zh-CN"/>
        </w:rPr>
        <w:t>4</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仿宋_GB2312" w:cs="Times New Roman"/>
          <w:b/>
          <w:kern w:val="0"/>
          <w:sz w:val="32"/>
          <w:szCs w:val="32"/>
        </w:rPr>
        <w:t>部门项目支出绩效评价情况</w:t>
      </w:r>
    </w:p>
    <w:p>
      <w:pPr>
        <w:keepNext w:val="0"/>
        <w:keepLines w:val="0"/>
        <w:pageBreakBefore w:val="0"/>
        <w:widowControl w:val="0"/>
        <w:suppressLineNumbers w:val="0"/>
        <w:kinsoku/>
        <w:wordWrap/>
        <w:overflowPunct/>
        <w:bidi w:val="0"/>
        <w:spacing w:beforeAutospacing="0" w:afterAutospacing="0"/>
        <w:ind w:leftChars="200"/>
        <w:jc w:val="both"/>
        <w:textAlignment w:val="auto"/>
        <w:rPr>
          <w:rFonts w:hint="default" w:ascii="Times New Roman" w:hAnsi="Times New Roman" w:eastAsia="仿宋" w:cs="Times New Roman"/>
          <w:sz w:val="32"/>
          <w:szCs w:val="30"/>
          <w:lang w:val="en-US" w:eastAsia="zh-CN"/>
        </w:rPr>
      </w:pPr>
      <w:r>
        <w:rPr>
          <w:rFonts w:hint="default" w:ascii="Times New Roman" w:hAnsi="Times New Roman" w:eastAsia="仿宋" w:cs="Times New Roman"/>
          <w:kern w:val="0"/>
          <w:sz w:val="32"/>
          <w:szCs w:val="30"/>
          <w:lang w:eastAsia="zh-CN"/>
        </w:rPr>
        <w:t>项目</w:t>
      </w:r>
      <w:r>
        <w:rPr>
          <w:rFonts w:hint="default" w:ascii="Times New Roman" w:hAnsi="Times New Roman" w:eastAsia="仿宋" w:cs="Times New Roman"/>
          <w:kern w:val="0"/>
          <w:sz w:val="32"/>
          <w:szCs w:val="30"/>
          <w:lang w:val="en-US" w:eastAsia="zh-CN"/>
        </w:rPr>
        <w:t>1：</w:t>
      </w:r>
      <w:r>
        <w:rPr>
          <w:rFonts w:hint="default" w:ascii="Times New Roman" w:hAnsi="Times New Roman" w:eastAsia="仿宋" w:cs="Times New Roman"/>
          <w:sz w:val="32"/>
          <w:szCs w:val="30"/>
          <w:lang w:val="en-US" w:eastAsia="zh-CN"/>
        </w:rPr>
        <w:t>2020年玉溪市化肥减量示范区项目补助资金。</w:t>
      </w:r>
    </w:p>
    <w:p>
      <w:pPr>
        <w:keepNext w:val="0"/>
        <w:keepLines w:val="0"/>
        <w:pageBreakBefore w:val="0"/>
        <w:widowControl w:val="0"/>
        <w:suppressLineNumbers w:val="0"/>
        <w:kinsoku/>
        <w:wordWrap/>
        <w:overflowPunct/>
        <w:bidi w:val="0"/>
        <w:spacing w:beforeAutospacing="0" w:afterAutospacing="0"/>
        <w:ind w:leftChars="200"/>
        <w:jc w:val="both"/>
        <w:textAlignment w:val="auto"/>
        <w:rPr>
          <w:rFonts w:hint="default" w:ascii="Times New Roman" w:hAnsi="Times New Roman" w:eastAsia="仿宋" w:cs="Times New Roman"/>
          <w:kern w:val="0"/>
          <w:sz w:val="32"/>
          <w:szCs w:val="30"/>
        </w:rPr>
      </w:pPr>
      <w:r>
        <w:rPr>
          <w:rFonts w:hint="default" w:ascii="Times New Roman" w:hAnsi="Times New Roman" w:eastAsia="仿宋" w:cs="Times New Roman"/>
          <w:kern w:val="0"/>
          <w:sz w:val="32"/>
          <w:szCs w:val="30"/>
        </w:rPr>
        <w:t>按照制定的项目实施方案，根据项目绩效目标要求，较</w:t>
      </w:r>
    </w:p>
    <w:p>
      <w:pPr>
        <w:keepNext w:val="0"/>
        <w:keepLines w:val="0"/>
        <w:pageBreakBefore w:val="0"/>
        <w:widowControl w:val="0"/>
        <w:suppressLineNumbers w:val="0"/>
        <w:kinsoku/>
        <w:wordWrap/>
        <w:overflowPunct/>
        <w:bidi w:val="0"/>
        <w:spacing w:beforeAutospacing="0" w:afterAutospacing="0"/>
        <w:jc w:val="both"/>
        <w:textAlignment w:val="auto"/>
        <w:rPr>
          <w:rFonts w:hint="default" w:ascii="Times New Roman" w:hAnsi="Times New Roman" w:eastAsia="仿宋" w:cs="Times New Roman"/>
          <w:kern w:val="0"/>
          <w:sz w:val="32"/>
          <w:szCs w:val="30"/>
        </w:rPr>
      </w:pPr>
      <w:r>
        <w:rPr>
          <w:rFonts w:hint="default" w:ascii="Times New Roman" w:hAnsi="Times New Roman" w:eastAsia="仿宋" w:cs="Times New Roman"/>
          <w:kern w:val="0"/>
          <w:sz w:val="32"/>
          <w:szCs w:val="30"/>
        </w:rPr>
        <w:t>好地完成了各项指标任务。在项目资金支出方面，</w:t>
      </w:r>
      <w:r>
        <w:rPr>
          <w:rFonts w:hint="default" w:ascii="Times New Roman" w:hAnsi="Times New Roman" w:eastAsia="仿宋" w:cs="Times New Roman"/>
          <w:kern w:val="0"/>
          <w:sz w:val="32"/>
          <w:szCs w:val="30"/>
          <w:lang w:eastAsia="zh-CN"/>
        </w:rPr>
        <w:t>严格</w:t>
      </w:r>
      <w:r>
        <w:rPr>
          <w:rFonts w:hint="default" w:ascii="Times New Roman" w:hAnsi="Times New Roman" w:eastAsia="仿宋" w:cs="Times New Roman"/>
          <w:kern w:val="0"/>
          <w:sz w:val="32"/>
          <w:szCs w:val="30"/>
        </w:rPr>
        <w:t>按计划</w:t>
      </w:r>
      <w:r>
        <w:rPr>
          <w:rFonts w:hint="default" w:ascii="Times New Roman" w:hAnsi="Times New Roman" w:eastAsia="仿宋" w:cs="Times New Roman"/>
          <w:kern w:val="0"/>
          <w:sz w:val="32"/>
          <w:szCs w:val="30"/>
          <w:lang w:eastAsia="zh-CN"/>
        </w:rPr>
        <w:t>组织</w:t>
      </w:r>
      <w:r>
        <w:rPr>
          <w:rFonts w:hint="default" w:ascii="Times New Roman" w:hAnsi="Times New Roman" w:eastAsia="仿宋" w:cs="Times New Roman"/>
          <w:kern w:val="0"/>
          <w:sz w:val="32"/>
          <w:szCs w:val="30"/>
        </w:rPr>
        <w:t>实施，</w:t>
      </w:r>
      <w:r>
        <w:rPr>
          <w:rFonts w:hint="default" w:ascii="Times New Roman" w:hAnsi="Times New Roman" w:eastAsia="仿宋" w:cs="Times New Roman"/>
          <w:kern w:val="0"/>
          <w:sz w:val="32"/>
          <w:szCs w:val="30"/>
          <w:lang w:eastAsia="zh-CN"/>
        </w:rPr>
        <w:t>项目没有实施完毕</w:t>
      </w:r>
      <w:r>
        <w:rPr>
          <w:rFonts w:hint="default" w:ascii="Times New Roman" w:hAnsi="Times New Roman" w:eastAsia="仿宋" w:cs="Times New Roman"/>
          <w:kern w:val="0"/>
          <w:sz w:val="32"/>
          <w:szCs w:val="30"/>
        </w:rPr>
        <w:t>，影响了项目整体预期。</w:t>
      </w:r>
    </w:p>
    <w:p>
      <w:pPr>
        <w:pStyle w:val="2"/>
        <w:keepNext w:val="0"/>
        <w:keepLines w:val="0"/>
        <w:pageBreakBefore w:val="0"/>
        <w:widowControl w:val="0"/>
        <w:kinsoku/>
        <w:wordWrap/>
        <w:overflowPunct/>
        <w:bidi w:val="0"/>
        <w:spacing w:beforeAutospacing="0" w:afterAutospacing="0"/>
        <w:jc w:val="both"/>
        <w:textAlignment w:val="auto"/>
        <w:rPr>
          <w:rFonts w:hint="default" w:ascii="Times New Roman" w:hAnsi="Times New Roman" w:eastAsia="仿宋" w:cs="Times New Roman"/>
          <w:sz w:val="32"/>
          <w:szCs w:val="30"/>
          <w:lang w:val="en-US" w:eastAsia="zh-CN"/>
        </w:rPr>
      </w:pPr>
      <w:r>
        <w:rPr>
          <w:rFonts w:hint="default" w:ascii="Times New Roman" w:hAnsi="Times New Roman" w:eastAsia="仿宋" w:cs="Times New Roman"/>
          <w:kern w:val="0"/>
          <w:sz w:val="32"/>
          <w:szCs w:val="30"/>
          <w:lang w:eastAsia="zh-CN"/>
        </w:rPr>
        <w:t>项目</w:t>
      </w:r>
      <w:r>
        <w:rPr>
          <w:rFonts w:hint="default" w:ascii="Times New Roman" w:hAnsi="Times New Roman" w:eastAsia="仿宋" w:cs="Times New Roman"/>
          <w:kern w:val="0"/>
          <w:sz w:val="32"/>
          <w:szCs w:val="30"/>
          <w:lang w:val="en-US" w:eastAsia="zh-CN"/>
        </w:rPr>
        <w:t>2：</w:t>
      </w:r>
      <w:r>
        <w:rPr>
          <w:rFonts w:hint="default" w:ascii="Times New Roman" w:hAnsi="Times New Roman" w:eastAsia="仿宋" w:cs="Times New Roman"/>
          <w:sz w:val="32"/>
          <w:szCs w:val="30"/>
          <w:lang w:val="en-US" w:eastAsia="zh-CN"/>
        </w:rPr>
        <w:t>玉溪市耕地保护与质量提升补助资金。</w:t>
      </w:r>
    </w:p>
    <w:p>
      <w:pPr>
        <w:pStyle w:val="2"/>
        <w:keepNext w:val="0"/>
        <w:keepLines w:val="0"/>
        <w:pageBreakBefore w:val="0"/>
        <w:widowControl w:val="0"/>
        <w:kinsoku/>
        <w:wordWrap/>
        <w:overflowPunct/>
        <w:bidi w:val="0"/>
        <w:spacing w:beforeAutospacing="0" w:afterAutospacing="0"/>
        <w:jc w:val="both"/>
        <w:textAlignment w:val="auto"/>
        <w:rPr>
          <w:rFonts w:hint="default" w:ascii="Times New Roman" w:hAnsi="Times New Roman" w:cs="Times New Roman"/>
        </w:rPr>
      </w:pPr>
      <w:r>
        <w:rPr>
          <w:rFonts w:hint="default" w:ascii="Times New Roman" w:hAnsi="Times New Roman" w:eastAsia="仿宋" w:cs="Times New Roman"/>
          <w:kern w:val="0"/>
          <w:sz w:val="32"/>
          <w:szCs w:val="30"/>
          <w:lang w:val="en-US" w:eastAsia="zh-CN"/>
        </w:rPr>
        <w:t>按照制定的项目实施方案，根据项目绩效目标要求，较好地完成了各项指标任务。在项目资金支出方面，严格按计划组织实施，剩余资金相对过大，影响了项目整体预期。</w:t>
      </w:r>
    </w:p>
    <w:p>
      <w:pPr>
        <w:keepNext w:val="0"/>
        <w:keepLines w:val="0"/>
        <w:pageBreakBefore w:val="0"/>
        <w:widowControl w:val="0"/>
        <w:numPr>
          <w:ilvl w:val="0"/>
          <w:numId w:val="0"/>
        </w:numPr>
        <w:suppressLineNumbers w:val="0"/>
        <w:tabs>
          <w:tab w:val="left" w:pos="0"/>
        </w:tabs>
        <w:kinsoku/>
        <w:wordWrap/>
        <w:overflowPunct/>
        <w:topLinePunct/>
        <w:autoSpaceDE w:val="0"/>
        <w:autoSpaceDN/>
        <w:bidi w:val="0"/>
        <w:adjustRightInd/>
        <w:snapToGrid/>
        <w:spacing w:before="0" w:beforeAutospacing="0" w:after="0" w:afterAutospacing="0" w:line="590" w:lineRule="exact"/>
        <w:ind w:left="0" w:right="0" w:rightChars="0" w:firstLine="640" w:firstLineChars="200"/>
        <w:jc w:val="both"/>
        <w:textAlignment w:val="auto"/>
        <w:outlineLvl w:val="1"/>
        <w:rPr>
          <w:rFonts w:hint="default" w:ascii="Times New Roman" w:hAnsi="Times New Roman" w:eastAsia="方正黑体_GBK" w:cs="Times New Roman"/>
          <w:color w:val="000000"/>
          <w:kern w:val="0"/>
          <w:sz w:val="32"/>
          <w:szCs w:val="32"/>
          <w:shd w:val="clear" w:fill="FFFFFF"/>
          <w:lang w:eastAsia="zh-CN" w:bidi="ar"/>
        </w:rPr>
      </w:pPr>
      <w:bookmarkStart w:id="14" w:name="_Toc25922"/>
      <w:r>
        <w:rPr>
          <w:rFonts w:hint="default" w:ascii="Times New Roman" w:hAnsi="Times New Roman" w:eastAsia="方正黑体_GBK" w:cs="Times New Roman"/>
          <w:color w:val="000000"/>
          <w:kern w:val="0"/>
          <w:sz w:val="32"/>
          <w:szCs w:val="32"/>
          <w:shd w:val="clear" w:fill="FFFFFF"/>
          <w:lang w:eastAsia="zh-CN" w:bidi="ar"/>
        </w:rPr>
        <w:t>五、其他重要事项情况说明</w:t>
      </w:r>
      <w:bookmarkEnd w:id="14"/>
    </w:p>
    <w:p>
      <w:pPr>
        <w:keepNext w:val="0"/>
        <w:keepLines w:val="0"/>
        <w:pageBreakBefore w:val="0"/>
        <w:widowControl w:val="0"/>
        <w:kinsoku/>
        <w:wordWrap/>
        <w:overflowPunct/>
        <w:autoSpaceDE w:val="0"/>
        <w:autoSpaceDN w:val="0"/>
        <w:bidi w:val="0"/>
        <w:spacing w:beforeAutospacing="0" w:afterAutospacing="0" w:line="590" w:lineRule="exact"/>
        <w:ind w:firstLine="600"/>
        <w:jc w:val="both"/>
        <w:textAlignment w:val="auto"/>
        <w:rPr>
          <w:rFonts w:hint="default" w:ascii="Times New Roman" w:hAnsi="Times New Roman" w:eastAsia="方正仿宋_GBK" w:cs="Times New Roman"/>
          <w:sz w:val="32"/>
          <w:szCs w:val="30"/>
          <w:shd w:val="clear" w:color="auto" w:fill="FFFFFF"/>
          <w:lang w:eastAsia="zh-CN"/>
        </w:rPr>
      </w:pPr>
      <w:r>
        <w:rPr>
          <w:rFonts w:hint="default" w:ascii="Times New Roman" w:hAnsi="Times New Roman" w:eastAsia="方正仿宋_GBK" w:cs="Times New Roman"/>
          <w:sz w:val="32"/>
          <w:szCs w:val="30"/>
          <w:shd w:val="clear" w:color="auto" w:fill="FFFFFF"/>
          <w:lang w:eastAsia="zh-CN"/>
        </w:rPr>
        <w:t>无</w:t>
      </w:r>
    </w:p>
    <w:p>
      <w:pPr>
        <w:keepNext w:val="0"/>
        <w:keepLines w:val="0"/>
        <w:pageBreakBefore w:val="0"/>
        <w:widowControl w:val="0"/>
        <w:numPr>
          <w:ilvl w:val="0"/>
          <w:numId w:val="0"/>
        </w:numPr>
        <w:suppressLineNumbers w:val="0"/>
        <w:tabs>
          <w:tab w:val="left" w:pos="0"/>
        </w:tabs>
        <w:kinsoku/>
        <w:wordWrap/>
        <w:overflowPunct/>
        <w:topLinePunct/>
        <w:autoSpaceDE w:val="0"/>
        <w:autoSpaceDN/>
        <w:bidi w:val="0"/>
        <w:adjustRightInd/>
        <w:snapToGrid/>
        <w:spacing w:before="0" w:beforeAutospacing="0" w:after="0" w:afterAutospacing="0" w:line="590" w:lineRule="exact"/>
        <w:ind w:left="0" w:right="0" w:rightChars="0" w:firstLine="640" w:firstLineChars="200"/>
        <w:jc w:val="both"/>
        <w:textAlignment w:val="auto"/>
        <w:outlineLvl w:val="1"/>
        <w:rPr>
          <w:rFonts w:hint="default" w:ascii="Times New Roman" w:hAnsi="Times New Roman" w:eastAsia="方正黑体_GBK" w:cs="Times New Roman"/>
          <w:color w:val="000000"/>
          <w:kern w:val="0"/>
          <w:sz w:val="32"/>
          <w:szCs w:val="32"/>
          <w:shd w:val="clear" w:fill="FFFFFF"/>
          <w:lang w:eastAsia="zh-CN" w:bidi="ar"/>
        </w:rPr>
      </w:pPr>
      <w:bookmarkStart w:id="15" w:name="_Toc12783"/>
      <w:r>
        <w:rPr>
          <w:rFonts w:hint="default" w:ascii="Times New Roman" w:hAnsi="Times New Roman" w:eastAsia="方正黑体_GBK" w:cs="Times New Roman"/>
          <w:color w:val="000000"/>
          <w:kern w:val="0"/>
          <w:sz w:val="32"/>
          <w:szCs w:val="32"/>
          <w:shd w:val="clear" w:fill="FFFFFF"/>
          <w:lang w:eastAsia="zh-CN" w:bidi="ar"/>
        </w:rPr>
        <w:t>六、相关口径说明</w:t>
      </w:r>
      <w:bookmarkEnd w:id="15"/>
    </w:p>
    <w:p>
      <w:pPr>
        <w:keepNext w:val="0"/>
        <w:keepLines w:val="0"/>
        <w:pageBreakBefore w:val="0"/>
        <w:widowControl w:val="0"/>
        <w:kinsoku/>
        <w:wordWrap/>
        <w:overflowPunct/>
        <w:autoSpaceDE w:val="0"/>
        <w:autoSpaceDN w:val="0"/>
        <w:bidi w:val="0"/>
        <w:spacing w:beforeAutospacing="0" w:afterAutospacing="0" w:line="590" w:lineRule="exact"/>
        <w:ind w:firstLine="6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0"/>
          <w:shd w:val="clear" w:color="auto" w:fill="FFFFFF"/>
        </w:rPr>
        <w:t>（一）基本支出中人员经费包括工资福利支出和对个人和家庭的补助，公用经费包括商品和服务支出、资本性支出等人员经费以外的支出。</w:t>
      </w:r>
    </w:p>
    <w:p>
      <w:pPr>
        <w:keepNext w:val="0"/>
        <w:keepLines w:val="0"/>
        <w:pageBreakBefore w:val="0"/>
        <w:widowControl w:val="0"/>
        <w:kinsoku/>
        <w:wordWrap/>
        <w:overflowPunct/>
        <w:autoSpaceDE w:val="0"/>
        <w:autoSpaceDN w:val="0"/>
        <w:bidi w:val="0"/>
        <w:spacing w:beforeAutospacing="0" w:afterAutospacing="0" w:line="590" w:lineRule="exact"/>
        <w:ind w:firstLine="6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0"/>
          <w:shd w:val="clear" w:color="auto" w:fill="FFFFFF"/>
        </w:rPr>
        <w:t>（二）机关运行经费指行政单位和参照公务员法管理的事业单位使用一般公共预算财政拨款安排的基本支出中的公用经费支出。</w:t>
      </w:r>
    </w:p>
    <w:p>
      <w:pPr>
        <w:keepNext w:val="0"/>
        <w:keepLines w:val="0"/>
        <w:pageBreakBefore w:val="0"/>
        <w:widowControl w:val="0"/>
        <w:kinsoku/>
        <w:wordWrap/>
        <w:overflowPunct/>
        <w:autoSpaceDE w:val="0"/>
        <w:autoSpaceDN w:val="0"/>
        <w:bidi w:val="0"/>
        <w:spacing w:beforeAutospacing="0" w:afterAutospacing="0" w:line="590" w:lineRule="exact"/>
        <w:ind w:firstLine="601"/>
        <w:jc w:val="both"/>
        <w:textAlignment w:val="auto"/>
        <w:rPr>
          <w:rFonts w:hint="default" w:ascii="Times New Roman" w:hAnsi="Times New Roman" w:eastAsia="方正仿宋_GBK" w:cs="Times New Roman"/>
          <w:sz w:val="32"/>
          <w:szCs w:val="30"/>
          <w:shd w:val="clear" w:color="auto" w:fill="FFFFFF"/>
        </w:rPr>
      </w:pPr>
      <w:r>
        <w:rPr>
          <w:rFonts w:hint="default" w:ascii="Times New Roman" w:hAnsi="Times New Roman" w:eastAsia="方正仿宋_GBK" w:cs="Times New Roman"/>
          <w:sz w:val="32"/>
          <w:szCs w:val="30"/>
          <w:shd w:val="clear" w:color="auto" w:fill="FFFFFF"/>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keepNext w:val="0"/>
        <w:keepLines w:val="0"/>
        <w:pageBreakBefore w:val="0"/>
        <w:widowControl w:val="0"/>
        <w:kinsoku/>
        <w:wordWrap/>
        <w:overflowPunct/>
        <w:autoSpaceDE w:val="0"/>
        <w:autoSpaceDN w:val="0"/>
        <w:bidi w:val="0"/>
        <w:spacing w:beforeAutospacing="0" w:afterAutospacing="0" w:line="590" w:lineRule="exact"/>
        <w:ind w:firstLine="601"/>
        <w:jc w:val="both"/>
        <w:textAlignment w:val="auto"/>
        <w:rPr>
          <w:rFonts w:hint="default" w:ascii="Times New Roman" w:hAnsi="Times New Roman" w:eastAsia="方正仿宋_GBK" w:cs="Times New Roman"/>
          <w:sz w:val="32"/>
          <w:szCs w:val="30"/>
          <w:shd w:val="clear" w:color="auto" w:fill="FFFFFF"/>
        </w:rPr>
      </w:pPr>
      <w:r>
        <w:rPr>
          <w:rFonts w:hint="default" w:ascii="Times New Roman" w:hAnsi="Times New Roman" w:eastAsia="方正仿宋_GBK" w:cs="Times New Roman"/>
          <w:sz w:val="32"/>
          <w:szCs w:val="30"/>
          <w:shd w:val="clear" w:color="auto" w:fill="FFFFFF"/>
        </w:rPr>
        <w:t>（四）</w:t>
      </w:r>
      <w:r>
        <w:rPr>
          <w:rFonts w:hint="default" w:ascii="Times New Roman" w:hAnsi="Times New Roman" w:eastAsia="方正仿宋_GBK" w:cs="Times New Roman"/>
          <w:shd w:val="clear" w:color="auto" w:fill="FFFFFF"/>
        </w:rPr>
        <w:t>“</w:t>
      </w:r>
      <w:r>
        <w:rPr>
          <w:rFonts w:hint="default" w:ascii="Times New Roman" w:hAnsi="Times New Roman" w:eastAsia="方正仿宋_GBK" w:cs="Times New Roman"/>
          <w:sz w:val="32"/>
          <w:szCs w:val="30"/>
          <w:shd w:val="clear" w:color="auto" w:fill="FFFFFF"/>
        </w:rPr>
        <w:t>三公</w:t>
      </w:r>
      <w:r>
        <w:rPr>
          <w:rFonts w:hint="default" w:ascii="Times New Roman" w:hAnsi="Times New Roman" w:eastAsia="方正仿宋_GBK" w:cs="Times New Roman"/>
          <w:shd w:val="clear" w:color="auto" w:fill="FFFFFF"/>
        </w:rPr>
        <w:t>”</w:t>
      </w:r>
      <w:r>
        <w:rPr>
          <w:rFonts w:hint="default" w:ascii="Times New Roman" w:hAnsi="Times New Roman" w:eastAsia="方正仿宋_GBK" w:cs="Times New Roman"/>
          <w:sz w:val="32"/>
          <w:szCs w:val="30"/>
          <w:shd w:val="clear" w:color="auto" w:fill="FFFFFF"/>
        </w:rPr>
        <w:t>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keepNext w:val="0"/>
        <w:keepLines w:val="0"/>
        <w:pageBreakBefore w:val="0"/>
        <w:widowControl w:val="0"/>
        <w:kinsoku/>
        <w:wordWrap/>
        <w:overflowPunct/>
        <w:autoSpaceDE w:val="0"/>
        <w:autoSpaceDN w:val="0"/>
        <w:bidi w:val="0"/>
        <w:spacing w:beforeAutospacing="0" w:afterAutospacing="0" w:line="590" w:lineRule="exact"/>
        <w:ind w:firstLine="600"/>
        <w:jc w:val="both"/>
        <w:textAlignment w:val="auto"/>
        <w:rPr>
          <w:rFonts w:hint="default" w:ascii="Times New Roman" w:hAnsi="Times New Roman" w:eastAsia="方正仿宋_GBK" w:cs="Times New Roman"/>
          <w:sz w:val="32"/>
          <w:szCs w:val="30"/>
          <w:shd w:val="clear" w:color="auto" w:fill="FFFFFF"/>
        </w:rPr>
      </w:pPr>
    </w:p>
    <w:p>
      <w:pPr>
        <w:keepNext w:val="0"/>
        <w:keepLines w:val="0"/>
        <w:pageBreakBefore w:val="0"/>
        <w:widowControl w:val="0"/>
        <w:suppressLineNumbers w:val="0"/>
        <w:kinsoku/>
        <w:wordWrap/>
        <w:overflowPunct/>
        <w:autoSpaceDE w:val="0"/>
        <w:autoSpaceDN w:val="0"/>
        <w:bidi w:val="0"/>
        <w:spacing w:before="0" w:beforeAutospacing="0" w:after="0" w:afterAutospacing="0" w:line="590" w:lineRule="exact"/>
        <w:ind w:left="0" w:right="0" w:firstLine="640" w:firstLineChars="200"/>
        <w:jc w:val="center"/>
        <w:textAlignment w:val="auto"/>
        <w:outlineLvl w:val="0"/>
        <w:rPr>
          <w:rFonts w:hint="default" w:ascii="Times New Roman" w:hAnsi="Times New Roman" w:eastAsia="方正小标宋_GBK" w:cs="Times New Roman"/>
          <w:color w:val="000000"/>
          <w:kern w:val="0"/>
          <w:sz w:val="32"/>
          <w:szCs w:val="32"/>
          <w:shd w:val="clear" w:fill="FFFFFF"/>
          <w:lang w:eastAsia="zh-CN" w:bidi="ar"/>
        </w:rPr>
      </w:pPr>
      <w:bookmarkStart w:id="16" w:name="_Toc7256"/>
      <w:r>
        <w:rPr>
          <w:rFonts w:hint="default" w:ascii="Times New Roman" w:hAnsi="Times New Roman" w:eastAsia="方正小标宋_GBK" w:cs="Times New Roman"/>
          <w:color w:val="000000"/>
          <w:kern w:val="0"/>
          <w:sz w:val="32"/>
          <w:szCs w:val="32"/>
          <w:shd w:val="clear" w:fill="FFFFFF"/>
          <w:lang w:eastAsia="zh-CN" w:bidi="ar"/>
        </w:rPr>
        <w:t>第五部分  名词解释</w:t>
      </w:r>
      <w:bookmarkEnd w:id="16"/>
    </w:p>
    <w:p>
      <w:pPr>
        <w:keepNext w:val="0"/>
        <w:keepLines w:val="0"/>
        <w:pageBreakBefore w:val="0"/>
        <w:widowControl w:val="0"/>
        <w:kinsoku/>
        <w:wordWrap/>
        <w:overflowPunct/>
        <w:autoSpaceDE w:val="0"/>
        <w:autoSpaceDN w:val="0"/>
        <w:bidi w:val="0"/>
        <w:spacing w:beforeAutospacing="0" w:afterAutospacing="0" w:line="590" w:lineRule="exact"/>
        <w:ind w:firstLine="640" w:firstLineChars="200"/>
        <w:jc w:val="both"/>
        <w:textAlignment w:val="auto"/>
        <w:rPr>
          <w:rFonts w:hint="default" w:ascii="Times New Roman" w:hAnsi="Times New Roman" w:eastAsia="方正仿宋_GBK" w:cs="Times New Roman"/>
          <w:sz w:val="32"/>
          <w:szCs w:val="30"/>
          <w:shd w:val="clear" w:color="auto" w:fill="FFFFFF"/>
        </w:rPr>
      </w:pPr>
      <w:r>
        <w:rPr>
          <w:rFonts w:hint="default" w:ascii="Times New Roman" w:hAnsi="Times New Roman" w:eastAsia="方正仿宋_GBK" w:cs="Times New Roman"/>
          <w:sz w:val="32"/>
          <w:szCs w:val="30"/>
          <w:shd w:val="clear" w:color="auto" w:fill="FFFFFF"/>
        </w:rPr>
        <w:t>一、政府采购：是指各级国家机关、事业单位和团体组织，使用财政性资金采购依法制定的集中采购目录以内的或者采购限额标准以上的货物、工程和服务的行为。</w:t>
      </w:r>
    </w:p>
    <w:sectPr>
      <w:footerReference r:id="rId3" w:type="default"/>
      <w:footerReference r:id="rId4" w:type="even"/>
      <w:pgSz w:w="11905" w:h="16838"/>
      <w:pgMar w:top="2041" w:right="1474" w:bottom="1304" w:left="1474" w:header="851" w:footer="992" w:gutter="113"/>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posOffset>4819650</wp:posOffset>
              </wp:positionH>
              <wp:positionV relativeFrom="paragraph">
                <wp:posOffset>29210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宋体"/>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3</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left:379.5pt;margin-top:2.3pt;height:144pt;width:144pt;mso-position-horizontal-relative:margin;mso-wrap-style:none;z-index:251658240;mso-width-relative:page;mso-height-relative:page;" filled="f" stroked="f" coordsize="21600,21600" o:gfxdata="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aMYSQ1gAA&#10;AAoBAAAPAAAAAAAAAAEAIAAAACIAAABkcnMvZG93bnJldi54bWxQSwECFAAUAAAACACHTuJA8Wfk&#10;5a4BAABLAwAADgAAAAAAAAABACAAAAAlAQAAZHJzL2Uyb0RvYy54bWxQSwUGAAAAAAYABgBZAQAA&#10;RQUAAAAA&#10;">
              <v:fill on="f" focussize="0,0"/>
              <v:stroke on="f"/>
              <v:imagedata o:title=""/>
              <o:lock v:ext="edit" aspectratio="f"/>
              <v:textbox inset="0mm,0mm,0mm,0mm" style="mso-fit-shape-to-text:t;">
                <w:txbxContent>
                  <w:p>
                    <w:pPr>
                      <w:pStyle w:val="9"/>
                      <w:rPr>
                        <w:rFonts w:hint="eastAsia" w:eastAsia="宋体"/>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3</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posOffset>240665</wp:posOffset>
              </wp:positionH>
              <wp:positionV relativeFrom="paragraph">
                <wp:posOffset>28575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宋体"/>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3</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left:18.95pt;margin-top:2.25pt;height:144pt;width:144pt;mso-position-horizontal-relative:margin;mso-wrap-style:none;z-index:251659264;mso-width-relative:page;mso-height-relative:page;" filled="f" stroked="f" coordsize="21600,21600" o:gfxdata="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PC/1XVAAAA&#10;CAEAAA8AAAAAAAAAAQAgAAAAIgAAAGRycy9kb3ducmV2LnhtbFBLAQIUABQAAAAIAIdO4kDhzD29&#10;rgEAAEsDAAAOAAAAAAAAAAEAIAAAACQBAABkcnMvZTJvRG9jLnhtbFBLBQYAAAAABgAGAFkBAABE&#10;BQAAAAA=&#10;">
              <v:fill on="f" focussize="0,0"/>
              <v:stroke on="f"/>
              <v:imagedata o:title=""/>
              <o:lock v:ext="edit" aspectratio="f"/>
              <v:textbox inset="0mm,0mm,0mm,0mm" style="mso-fit-shape-to-text:t;">
                <w:txbxContent>
                  <w:p>
                    <w:pPr>
                      <w:pStyle w:val="9"/>
                      <w:rPr>
                        <w:rFonts w:hint="eastAsia" w:eastAsia="宋体"/>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3</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70979"/>
    <w:multiLevelType w:val="multilevel"/>
    <w:tmpl w:val="66E70979"/>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cumentProtection w:enforcement="0"/>
  <w:defaultTabStop w:val="420"/>
  <w:evenAndOddHeaders w:val="1"/>
  <w:drawingGridVerticalSpacing w:val="165"/>
  <w:displayHorizontalDrawingGridEvery w:val="0"/>
  <w:displayVerticalDrawingGridEvery w:val="2"/>
  <w:noPunctuationKerning w:val="1"/>
  <w:characterSpacingControl w:val="doNotCompress"/>
  <w:compat>
    <w:doNotSnapToGridInCell/>
    <w:doNotWrapTextWithPunct/>
    <w:doNotUseEastAsianBreakRules/>
    <w:growAutofit/>
    <w:useFELayout/>
    <w:compatSetting w:name="compatibilityMode" w:uri="http://schemas.microsoft.com/office/word" w:val="14"/>
  </w:compat>
  <w:rsids>
    <w:rsidRoot w:val="006A1562"/>
    <w:rsid w:val="00462221"/>
    <w:rsid w:val="006A1562"/>
    <w:rsid w:val="06EB08C8"/>
    <w:rsid w:val="0A990643"/>
    <w:rsid w:val="14FE1C20"/>
    <w:rsid w:val="20C30004"/>
    <w:rsid w:val="4A36710F"/>
    <w:rsid w:val="4D807BBF"/>
    <w:rsid w:val="4E223A45"/>
    <w:rsid w:val="4EEC5C37"/>
    <w:rsid w:val="520F72A0"/>
    <w:rsid w:val="526A6F81"/>
    <w:rsid w:val="54CA7ED6"/>
    <w:rsid w:val="579B79CA"/>
    <w:rsid w:val="5A9728DA"/>
    <w:rsid w:val="6FB2168C"/>
    <w:rsid w:val="72F02335"/>
    <w:rsid w:val="761034F1"/>
    <w:rsid w:val="775C5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qFormat/>
    <w:uiPriority w:val="0"/>
    <w:pPr>
      <w:spacing w:before="100" w:beforeAutospacing="1" w:after="100" w:afterAutospacing="1"/>
      <w:outlineLvl w:val="0"/>
    </w:pPr>
    <w:rPr>
      <w:b/>
      <w:bCs/>
      <w:kern w:val="44"/>
      <w:sz w:val="48"/>
      <w:szCs w:val="48"/>
    </w:rPr>
  </w:style>
  <w:style w:type="paragraph" w:styleId="4">
    <w:name w:val="heading 2"/>
    <w:basedOn w:val="1"/>
    <w:next w:val="1"/>
    <w:qFormat/>
    <w:uiPriority w:val="0"/>
    <w:pPr>
      <w:spacing w:before="100" w:beforeAutospacing="1" w:after="100" w:afterAutospacing="1"/>
      <w:outlineLvl w:val="1"/>
    </w:pPr>
    <w:rPr>
      <w:b/>
      <w:bCs/>
      <w:sz w:val="36"/>
      <w:szCs w:val="36"/>
    </w:rPr>
  </w:style>
  <w:style w:type="paragraph" w:styleId="5">
    <w:name w:val="heading 3"/>
    <w:basedOn w:val="1"/>
    <w:next w:val="1"/>
    <w:qFormat/>
    <w:uiPriority w:val="0"/>
    <w:pPr>
      <w:spacing w:before="100" w:beforeAutospacing="1" w:after="100" w:afterAutospacing="1"/>
      <w:outlineLvl w:val="2"/>
    </w:pPr>
    <w:rPr>
      <w:b/>
      <w:bCs/>
      <w:sz w:val="27"/>
      <w:szCs w:val="27"/>
    </w:rPr>
  </w:style>
  <w:style w:type="paragraph" w:styleId="6">
    <w:name w:val="heading 4"/>
    <w:basedOn w:val="1"/>
    <w:next w:val="1"/>
    <w:qFormat/>
    <w:uiPriority w:val="0"/>
    <w:pPr>
      <w:spacing w:before="100" w:beforeAutospacing="1" w:after="100" w:afterAutospacing="1"/>
      <w:outlineLvl w:val="3"/>
    </w:pPr>
    <w:rPr>
      <w:b/>
      <w:bCs/>
    </w:rPr>
  </w:style>
  <w:style w:type="paragraph" w:styleId="7">
    <w:name w:val="heading 5"/>
    <w:basedOn w:val="1"/>
    <w:next w:val="1"/>
    <w:qFormat/>
    <w:uiPriority w:val="0"/>
    <w:pPr>
      <w:spacing w:before="100" w:beforeAutospacing="1" w:after="100" w:afterAutospacing="1"/>
      <w:outlineLvl w:val="4"/>
    </w:pPr>
    <w:rPr>
      <w:b/>
      <w:bCs/>
      <w:sz w:val="20"/>
      <w:szCs w:val="20"/>
    </w:rPr>
  </w:style>
  <w:style w:type="paragraph" w:styleId="8">
    <w:name w:val="heading 6"/>
    <w:basedOn w:val="1"/>
    <w:next w:val="1"/>
    <w:qFormat/>
    <w:uiPriority w:val="0"/>
    <w:pPr>
      <w:spacing w:before="100" w:beforeAutospacing="1" w:after="100" w:afterAutospacing="1"/>
      <w:outlineLvl w:val="5"/>
    </w:pPr>
    <w:rPr>
      <w:b/>
      <w:bCs/>
      <w:sz w:val="15"/>
      <w:szCs w:val="15"/>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pPr>
      <w:snapToGrid w:val="0"/>
      <w:spacing w:line="300" w:lineRule="auto"/>
      <w:ind w:firstLine="556"/>
    </w:pPr>
    <w:rPr>
      <w:rFonts w:ascii="仿宋_GB2312" w:hAnsi="Times New Roman" w:eastAsia="仿宋_GB231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4">
    <w:name w:val="Normal (Web)"/>
    <w:basedOn w:val="1"/>
    <w:qFormat/>
    <w:uiPriority w:val="0"/>
    <w:pPr>
      <w:spacing w:before="100" w:beforeAutospacing="1" w:after="100" w:afterAutospacing="1"/>
    </w:pPr>
  </w:style>
  <w:style w:type="character" w:customStyle="1" w:styleId="17">
    <w:name w:val="标题 1 Char"/>
    <w:basedOn w:val="16"/>
    <w:qFormat/>
    <w:uiPriority w:val="0"/>
    <w:rPr>
      <w:rFonts w:hint="eastAsia" w:ascii="宋体" w:hAnsi="宋体" w:eastAsia="宋体" w:cs="宋体"/>
      <w:b/>
      <w:bCs/>
      <w:kern w:val="44"/>
      <w:sz w:val="44"/>
      <w:szCs w:val="44"/>
    </w:rPr>
  </w:style>
  <w:style w:type="character" w:customStyle="1" w:styleId="18">
    <w:name w:val="标题 2 Char"/>
    <w:basedOn w:val="16"/>
    <w:qFormat/>
    <w:uiPriority w:val="0"/>
    <w:rPr>
      <w:rFonts w:hint="default" w:asciiTheme="majorHAnsi" w:hAnsiTheme="majorHAnsi" w:eastAsiaTheme="majorEastAsia" w:cstheme="majorBidi"/>
      <w:b/>
      <w:bCs/>
      <w:sz w:val="32"/>
      <w:szCs w:val="32"/>
    </w:rPr>
  </w:style>
  <w:style w:type="character" w:customStyle="1" w:styleId="19">
    <w:name w:val="标题 3 Char"/>
    <w:basedOn w:val="16"/>
    <w:qFormat/>
    <w:uiPriority w:val="0"/>
    <w:rPr>
      <w:rFonts w:hint="eastAsia" w:ascii="宋体" w:hAnsi="宋体" w:eastAsia="宋体" w:cs="宋体"/>
      <w:b/>
      <w:bCs/>
      <w:sz w:val="32"/>
      <w:szCs w:val="32"/>
    </w:rPr>
  </w:style>
  <w:style w:type="character" w:customStyle="1" w:styleId="20">
    <w:name w:val="标题 4 Char"/>
    <w:basedOn w:val="16"/>
    <w:qFormat/>
    <w:uiPriority w:val="0"/>
    <w:rPr>
      <w:rFonts w:hint="default" w:asciiTheme="majorHAnsi" w:hAnsiTheme="majorHAnsi" w:eastAsiaTheme="majorEastAsia" w:cstheme="majorBidi"/>
      <w:b/>
      <w:bCs/>
      <w:sz w:val="28"/>
      <w:szCs w:val="28"/>
    </w:rPr>
  </w:style>
  <w:style w:type="character" w:customStyle="1" w:styleId="21">
    <w:name w:val="标题 5 Char"/>
    <w:basedOn w:val="16"/>
    <w:qFormat/>
    <w:uiPriority w:val="0"/>
    <w:rPr>
      <w:rFonts w:hint="eastAsia" w:ascii="宋体" w:hAnsi="宋体" w:eastAsia="宋体" w:cs="宋体"/>
      <w:b/>
      <w:bCs/>
      <w:sz w:val="28"/>
      <w:szCs w:val="28"/>
    </w:rPr>
  </w:style>
  <w:style w:type="character" w:customStyle="1" w:styleId="22">
    <w:name w:val="标题 6 Char"/>
    <w:basedOn w:val="16"/>
    <w:qFormat/>
    <w:uiPriority w:val="0"/>
    <w:rPr>
      <w:rFonts w:hint="default" w:asciiTheme="majorHAnsi" w:hAnsiTheme="majorHAnsi" w:eastAsiaTheme="majorEastAsia" w:cstheme="majorBidi"/>
      <w:b/>
      <w:bCs/>
      <w:sz w:val="24"/>
      <w:szCs w:val="24"/>
    </w:rPr>
  </w:style>
  <w:style w:type="character" w:customStyle="1" w:styleId="23">
    <w:name w:val="HTML 预设格式 Char"/>
    <w:basedOn w:val="16"/>
    <w:qFormat/>
    <w:uiPriority w:val="0"/>
    <w:rPr>
      <w:rFonts w:hint="default" w:ascii="Courier New" w:hAnsi="Courier New" w:eastAsia="宋体" w:cs="Courier New"/>
    </w:rPr>
  </w:style>
  <w:style w:type="character" w:customStyle="1" w:styleId="24">
    <w:name w:val="10"/>
    <w:basedOn w:val="16"/>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1114</Words>
  <Characters>6355</Characters>
  <Lines>52</Lines>
  <Paragraphs>14</Paragraphs>
  <TotalTime>0</TotalTime>
  <ScaleCrop>false</ScaleCrop>
  <LinksUpToDate>false</LinksUpToDate>
  <CharactersWithSpaces>7455</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2021-09-15T07:36:00Z</dcterms:created>
  <dc:creator>PC</dc:creator>
  <cp:lastModifiedBy>Administrator</cp:lastModifiedBy>
  <dcterms:modified xsi:type="dcterms:W3CDTF">2021-09-23T07:30:55Z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