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2021年重大政策和重点项目等绩效目标说明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比亚迪新能源购车补助资金及新能源充电站建设补助资金2000万元，绩效目标说明：比亚迪新能源汽车=700辆；新能源充电站=19座；车辆交付合格率=100%；新能源充电站完工验收合格率=100 %；新能源汽车节约成本&gt;=20%； 节能减排&gt;=30%；燃油消耗量降低&gt;=20%；乘客满意度&gt;=95%；充电使用者满意度&gt;=95%。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居民最低生活保障补助资金2000万元，绩效目标说明：受理城市最低生活保障申请的乡镇民政部门=74个；农村最低生活保障标准≥上年农村低保标准（375元/人月）&gt;=375元/人*月；建立社会救助家庭经济状况核对机制的县（市、区）比例=100%；向本行政区域县级以上各财政部门下达中央和省级财政困难群众救助补助资金&lt;=30天；救助金实行按月社会化发放&gt;=95%；低保政策知晓率&gt;=82%； 享受农村低保对象满意度&gt;=85 %。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玉溪海关综合业务用房项目补助资金3700万元，绩效目标说明:综合业务用房面积= 13205.02平方米;生活配套用房面积=4710.56平方米；地下停车库等人防工程面=3074.96平方米;工程验收合格率=100%；通过验收并移交使用时间&lt;= 2021年12月31日前；项目投入使用后服务企业户数&gt;=70户;服务企业满意程度&gt;=90%。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农村义务教育学生营养改善计划专项资金2200万元，绩效目标说明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补助县（市、区）数量=9个；受助学生覆盖率</w:t>
      </w:r>
      <w:r>
        <w:rPr>
          <w:rFonts w:hint="eastAsia" w:ascii="仿宋_GB2312" w:hAnsi="仿宋_GB2312" w:eastAsia="仿宋_GB2312" w:cs="仿宋_GB2312"/>
          <w:sz w:val="32"/>
          <w:szCs w:val="32"/>
          <w:highlight w:val="none"/>
        </w:rPr>
        <w:t>&gt;=</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当年到位率=100%；补助标准=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元/人/天；政策知晓率&gt;=90%；受助学生满意度&gt;=95%。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市居民最低生活保障补助资金1500万元，绩效目标说明：受理城市最低生活保障申请的乡镇民政部门=74个；城市低保城市最低生活保障标准≥上年城市低保标&gt;=640元/人*月；建立社会救助家庭经济状况核对机制的县（市、区）比例=100；向本行政区域县级以上各财政部门下达中央和省级财政困难群众救助补助资金&lt;=30日；救助金实行按月社会化发放&gt;=95%；城市低保政策知晓率&gt;=82%；享受城市低保对象满意度&gt;=85%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明城市创建专项资金4000万元，绩效目标说明:主题园、社会主义核心价值观进校园项目建设&gt;=4个；已建主题园、公益广告宣传设施维修及更换&gt;=10个；制作创建文明城市宣传物料及《市民文明手册》&gt;=820000件；实地模拟测评&gt;=4次；购买岗位人员=15人；主题月活动&gt;=12 场；全市精神文明建设宣传专栏设计制作&gt;=100个；租用广告宣传载体开展创文宣传&gt;=20个；招募志愿者&gt;=100人；红塔区、江川区宣传氛围营造 &gt;=2400座；创建活动的群众参与率&gt;95%；市民对志愿服务活动认同和支持率&gt;=90%；全市法治宣传教育的普及率&gt;=80%；群众对创文工作的满意度 &gt;85%；群众对本市诚信建设的满意度&gt;=85%。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义务教育专项经费1000万元，绩效目标说明：培训遴选50名领军校（园）长&gt;=50人；培训100名教育行政管理干部培训&gt;=100人；本科率分别达56%；一本率分别达18%；项目开展时间=2021年1月1日；对培养对象进行考核=全部人员；义务教育阶段教学质量=提升；参训人员满意度=80%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东风水库水质达标应急专项资金1551.23万元，绩效目标说明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年抽水量=2164000立方米；减少总磷= 107.7公斤；减少总氮= 10043.58公斤；减少氨氮= 6154.00公斤；每公升溶解氧含量&gt;5毫克；完成水质检测系统建设=1项；项目计划完成率=100%；水质达到=三级；受益区群众满意度&gt;=90%。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玉溪市农村公路养护管理市级配套经费3073万元，绩效目标说明：全市农村公路管理养护=15931.174</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全市农村公路养护率=100%；全市农村公路优良中等路率&gt;=75%；完成时间=2021年；是否促进乡村振兴=是；公路灾害恢复率&gt;=80%；保障群众出行率=100%；延长农村公路的使用寿命是否延长=是；沿线群众满意度指标&g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政策性农业（种植业）保险补助资金1092.58 万元，绩效目标说明：水稻投保面积=161000亩；玉米投保面积=697000亩；油菜投保面积=149000亩；甘庶投保面积=65000亩；玉米制种投保面积=5000亩；实施期限=2021年；资金=518.23万元；提高农民收入=10%；农民满意度&gt;85%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（体彩）市级足球场地设施建设项目补助资金1145万元，绩效目标说明：社会足球场地建设数量=92个；</w:t>
      </w:r>
      <w:r>
        <w:rPr>
          <w:rFonts w:hint="eastAsia" w:ascii="仿宋_GB2312" w:hAnsi="仿宋_GB2312" w:eastAsia="仿宋_GB2312" w:cs="仿宋_GB2312"/>
          <w:sz w:val="32"/>
          <w:szCs w:val="32"/>
          <w:highlight w:val="none"/>
        </w:rPr>
        <w:t>完成时间&lt;=2020年9月30日</w:t>
      </w:r>
      <w:r>
        <w:rPr>
          <w:rFonts w:hint="eastAsia" w:ascii="仿宋_GB2312" w:hAnsi="仿宋_GB2312" w:eastAsia="仿宋_GB2312" w:cs="仿宋_GB2312"/>
          <w:sz w:val="32"/>
          <w:szCs w:val="32"/>
        </w:rPr>
        <w:t>；场地利用率&gt;=90%；受益群众满意度&gt;=90%。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2021年玉溪市重项目前期工作专项经费2000万元，绩效目标说明：涉及重大规划及课题研究&gt;=50个;完成重点行业固定资产完成全年目标任务</w:t>
      </w:r>
      <w:r>
        <w:rPr>
          <w:rFonts w:hint="eastAsia" w:ascii="仿宋_GB2312" w:hAnsi="仿宋_GB2312" w:eastAsia="仿宋_GB2312" w:cs="仿宋_GB2312"/>
          <w:sz w:val="32"/>
          <w:szCs w:val="32"/>
          <w:highlight w:val="none"/>
        </w:rPr>
        <w:t xml:space="preserve"> &gt;= 1</w:t>
      </w:r>
      <w:r>
        <w:rPr>
          <w:rFonts w:hint="eastAsia" w:ascii="仿宋_GB2312" w:hAnsi="仿宋_GB2312" w:eastAsia="仿宋_GB2312" w:cs="仿宋_GB2312"/>
          <w:sz w:val="32"/>
          <w:szCs w:val="32"/>
        </w:rPr>
        <w:t>00%;实施时间=2021年1月-2021年12月;全市GDP完成全年目标任务=助</w:t>
      </w:r>
      <w:r>
        <w:rPr>
          <w:rFonts w:hint="eastAsia" w:ascii="仿宋_GB2312" w:hAnsi="仿宋_GB2312" w:eastAsia="仿宋_GB2312" w:cs="仿宋_GB2312"/>
          <w:sz w:val="32"/>
          <w:szCs w:val="32"/>
          <w:highlight w:val="none"/>
        </w:rPr>
        <w:t>推</w:t>
      </w:r>
      <w:r>
        <w:rPr>
          <w:rFonts w:hint="eastAsia" w:ascii="仿宋_GB2312" w:hAnsi="仿宋_GB2312" w:eastAsia="仿宋_GB2312" w:cs="仿宋_GB2312"/>
          <w:sz w:val="32"/>
          <w:szCs w:val="32"/>
        </w:rPr>
        <w:t>;市直有关部门前期工作经费安排满意度&gt;=80%。</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玉溪市财政局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440" w:firstLineChars="17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5B141"/>
    <w:multiLevelType w:val="singleLevel"/>
    <w:tmpl w:val="B4F5B1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3E"/>
    <w:rsid w:val="00425C3E"/>
    <w:rsid w:val="004D1982"/>
    <w:rsid w:val="00CE12EC"/>
    <w:rsid w:val="06845FDD"/>
    <w:rsid w:val="10DA4B3A"/>
    <w:rsid w:val="20AB4C64"/>
    <w:rsid w:val="28D93D68"/>
    <w:rsid w:val="37151B7A"/>
    <w:rsid w:val="43E10FFF"/>
    <w:rsid w:val="4D3927BA"/>
    <w:rsid w:val="4F946244"/>
    <w:rsid w:val="57746DA4"/>
    <w:rsid w:val="63E842CA"/>
    <w:rsid w:val="71176E9F"/>
    <w:rsid w:val="761F444B"/>
    <w:rsid w:val="7A175BC5"/>
    <w:rsid w:val="7C10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314</Words>
  <Characters>1796</Characters>
  <Lines>14</Lines>
  <Paragraphs>4</Paragraphs>
  <TotalTime>109</TotalTime>
  <ScaleCrop>false</ScaleCrop>
  <LinksUpToDate>false</LinksUpToDate>
  <CharactersWithSpaces>2106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2021-01-28T02:30:00Z</dcterms:created>
  <dc:creator>Administrator</dc:creator>
  <cp:lastModifiedBy>Administrator</cp:lastModifiedBy>
  <dcterms:modified xsi:type="dcterms:W3CDTF">2021-01-29T00:45:48Z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