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rPr>
      </w:pPr>
      <w:r>
        <w:rPr>
          <w:sz w:val="24"/>
        </w:rPr>
        <w:drawing>
          <wp:inline distT="0" distB="0" distL="114300" distR="114300">
            <wp:extent cx="4401820" cy="4848225"/>
            <wp:effectExtent l="0" t="0" r="0" b="0"/>
            <wp:docPr id="4" name="图片 4" descr="律师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律师流程"/>
                    <pic:cNvPicPr>
                      <a:picLocks noChangeAspect="1"/>
                    </pic:cNvPicPr>
                  </pic:nvPicPr>
                  <pic:blipFill>
                    <a:blip r:embed="rId4"/>
                    <a:stretch>
                      <a:fillRect/>
                    </a:stretch>
                  </pic:blipFill>
                  <pic:spPr>
                    <a:xfrm>
                      <a:off x="0" y="0"/>
                      <a:ext cx="4403263" cy="4849586"/>
                    </a:xfrm>
                    <a:prstGeom prst="rect">
                      <a:avLst/>
                    </a:prstGeom>
                  </pic:spPr>
                </pic:pic>
              </a:graphicData>
            </a:graphic>
          </wp:inline>
        </w:drawing>
      </w:r>
      <w:r>
        <w:rPr>
          <w:rFonts w:hint="eastAsia" w:ascii="方正黑体_GBK" w:hAnsi="方正黑体_GBK" w:eastAsia="方正黑体_GBK"/>
        </w:rPr>
        <w:t>取得内地法律职业资格的香港、澳门永久性居民中的中国居民</w:t>
      </w:r>
    </w:p>
    <w:p>
      <w:pPr>
        <w:ind w:firstLine="420" w:firstLineChars="200"/>
        <w:rPr>
          <w:sz w:val="24"/>
        </w:rPr>
      </w:pPr>
      <w:r>
        <w:rPr>
          <w:rFonts w:hint="eastAsia" w:ascii="方正黑体_GBK" w:hAnsi="方正黑体_GBK" w:eastAsia="方正黑体_GBK"/>
        </w:rPr>
        <w:t>申请在内地从事律师职业核准办理流程示意图</w:t>
      </w:r>
    </w:p>
    <w:p>
      <w:pPr>
        <w:ind w:firstLine="420" w:firstLineChars="200"/>
        <w:jc w:val="left"/>
        <w:rPr>
          <w:rFonts w:ascii="方正黑体_GBK" w:hAnsi="方正黑体_GBK" w:eastAsia="方正黑体_GBK"/>
        </w:rPr>
      </w:pPr>
    </w:p>
    <w:p>
      <w:pPr>
        <w:ind w:firstLine="480" w:firstLineChars="200"/>
        <w:jc w:val="left"/>
        <w:rPr>
          <w:rFonts w:ascii="方正黑体_GBK" w:hAnsi="方正黑体_GBK" w:eastAsia="方正黑体_GBK"/>
        </w:rPr>
      </w:pPr>
      <w:r>
        <w:rPr>
          <w:sz w:val="24"/>
        </w:rPr>
        <w:drawing>
          <wp:anchor distT="0" distB="0" distL="114300" distR="114300" simplePos="0" relativeHeight="251658240" behindDoc="1" locked="0" layoutInCell="1" allowOverlap="1">
            <wp:simplePos x="0" y="0"/>
            <wp:positionH relativeFrom="page">
              <wp:posOffset>5931535</wp:posOffset>
            </wp:positionH>
            <wp:positionV relativeFrom="page">
              <wp:posOffset>968375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ind w:firstLine="420" w:firstLineChars="200"/>
        <w:jc w:val="left"/>
        <w:rPr>
          <w:rFonts w:ascii="方正黑体_GBK" w:hAnsi="方正黑体_GBK" w:eastAsia="方正黑体_GBK"/>
        </w:rPr>
      </w:pPr>
      <w:r>
        <w:rPr>
          <w:sz w:val="21"/>
        </w:rPr>
        <mc:AlternateContent>
          <mc:Choice Requires="wps">
            <w:drawing>
              <wp:anchor distT="0" distB="0" distL="114300" distR="114300" simplePos="0" relativeHeight="251659264" behindDoc="0" locked="0" layoutInCell="1" allowOverlap="1">
                <wp:simplePos x="0" y="0"/>
                <wp:positionH relativeFrom="column">
                  <wp:posOffset>3013075</wp:posOffset>
                </wp:positionH>
                <wp:positionV relativeFrom="paragraph">
                  <wp:posOffset>41275</wp:posOffset>
                </wp:positionV>
                <wp:extent cx="1381125" cy="466725"/>
                <wp:effectExtent l="0" t="0" r="9525" b="9525"/>
                <wp:wrapNone/>
                <wp:docPr id="1" name="文本框 1"/>
                <wp:cNvGraphicFramePr/>
                <a:graphic xmlns:a="http://schemas.openxmlformats.org/drawingml/2006/main">
                  <a:graphicData uri="http://schemas.microsoft.com/office/word/2010/wordprocessingShape">
                    <wps:wsp>
                      <wps:cNvSpPr txBox="1"/>
                      <wps:spPr>
                        <a:xfrm>
                          <a:off x="8494395" y="1153795"/>
                          <a:ext cx="1381125"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6"/>
                                <w:szCs w:val="36"/>
                              </w:rPr>
                            </w:pPr>
                            <w:r>
                              <w:rPr>
                                <w:rFonts w:hint="eastAsia" w:ascii="黑体" w:hAnsi="黑体" w:eastAsia="黑体" w:cs="黑体"/>
                                <w:sz w:val="24"/>
                                <w:szCs w:val="24"/>
                                <w:lang w:val="en-US" w:eastAsia="zh-CN"/>
                              </w:rPr>
                              <w:t>BSZN</w:t>
                            </w:r>
                            <w:r>
                              <w:rPr>
                                <w:rFonts w:hint="eastAsia" w:ascii="黑体" w:hAnsi="黑体" w:eastAsia="黑体" w:cs="黑体"/>
                                <w:sz w:val="24"/>
                                <w:szCs w:val="24"/>
                              </w:rPr>
                              <w:t>-1100130000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25pt;margin-top:3.25pt;height:36.75pt;width:108.75pt;z-index:251659264;mso-width-relative:page;mso-height-relative:page;" fillcolor="#FFFFFF [3201]" filled="t" stroked="f" coordsize="21600,21600" o:gfxdata="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wpHn1AAAAAgBAAAPAAAAAAAAAAEAIAAAACIAAABkcnMvZG93bnJl&#10;di54bWxQSwECFAAUAAAACACHTuJAOtLTMToCAABNBAAADgAAAAAAAAABACAAAAAjAQAAZHJzL2Uy&#10;b0RvYy54bWxQSwUGAAAAAAYABgBZAQAAzwUAAAAA&#10;">
                <v:fill on="t" focussize="0,0"/>
                <v:stroke on="f" weight="0.5pt"/>
                <v:imagedata o:title=""/>
                <o:lock v:ext="edit" aspectratio="f"/>
                <v:textbox>
                  <w:txbxContent>
                    <w:p>
                      <w:pPr>
                        <w:rPr>
                          <w:rFonts w:hint="eastAsia" w:ascii="黑体" w:hAnsi="黑体" w:eastAsia="黑体" w:cs="黑体"/>
                          <w:sz w:val="36"/>
                          <w:szCs w:val="36"/>
                        </w:rPr>
                      </w:pPr>
                      <w:r>
                        <w:rPr>
                          <w:rFonts w:hint="eastAsia" w:ascii="黑体" w:hAnsi="黑体" w:eastAsia="黑体" w:cs="黑体"/>
                          <w:sz w:val="24"/>
                          <w:szCs w:val="24"/>
                          <w:lang w:val="en-US" w:eastAsia="zh-CN"/>
                        </w:rPr>
                        <w:t>BSZN</w:t>
                      </w:r>
                      <w:r>
                        <w:rPr>
                          <w:rFonts w:hint="eastAsia" w:ascii="黑体" w:hAnsi="黑体" w:eastAsia="黑体" w:cs="黑体"/>
                          <w:sz w:val="24"/>
                          <w:szCs w:val="24"/>
                        </w:rPr>
                        <w:t>-1100130000</w:t>
                      </w:r>
                    </w:p>
                    <w:p/>
                  </w:txbxContent>
                </v:textbox>
              </v:shape>
            </w:pict>
          </mc:Fallback>
        </mc:AlternateConten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overflowPunct w:val="0"/>
        <w:jc w:val="right"/>
        <w:rPr>
          <w:sz w:val="24"/>
        </w:rPr>
      </w:pPr>
      <w:r>
        <w:rPr>
          <w:rFonts w:hint="eastAsia" w:ascii="方正黑体_GBK" w:hAnsi="方正黑体_GBK" w:eastAsia="方正黑体_GBK"/>
        </w:rPr>
        <w:t xml:space="preserve">                             </w: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jc w:val="left"/>
        <w:rPr>
          <w:rFonts w:ascii="方正黑体_GBK" w:hAnsi="方正黑体_GBK" w:eastAsia="方正黑体_GBK"/>
        </w:rPr>
      </w:pPr>
    </w:p>
    <w:p>
      <w:pPr>
        <w:rPr>
          <w:sz w:val="24"/>
        </w:rPr>
      </w:pPr>
    </w:p>
    <w:p>
      <w:pPr>
        <w:rPr>
          <w:sz w:val="24"/>
        </w:rPr>
      </w:pPr>
    </w:p>
    <w:p>
      <w:pPr>
        <w:overflowPunct w:val="0"/>
        <w:spacing w:line="320" w:lineRule="exact"/>
        <w:ind w:left="279" w:leftChars="133" w:right="159" w:firstLine="8120" w:firstLineChars="2900"/>
        <w:jc w:val="center"/>
        <w:rPr>
          <w:rFonts w:ascii="方正小标宋_GBK" w:hAnsi="方正小标宋_GBK" w:eastAsia="方正小标宋_GBK"/>
          <w:sz w:val="28"/>
          <w:szCs w:val="28"/>
        </w:rPr>
      </w:pPr>
      <w:r>
        <w:rPr>
          <w:rFonts w:hint="eastAsia" w:ascii="方正小标宋_GBK" w:hAnsi="方正小标宋_GBK" w:eastAsia="方正小标宋_GBK"/>
          <w:sz w:val="28"/>
        </w:rPr>
        <w:t>律</w:t>
      </w:r>
      <w:r>
        <w:rPr>
          <w:rFonts w:hint="eastAsia" w:ascii="方正小标宋_GBK" w:hAnsi="方正小标宋_GBK" w:eastAsia="方正小标宋_GBK"/>
          <w:sz w:val="28"/>
          <w:szCs w:val="28"/>
        </w:rPr>
        <w:t>取得内地法律职业资格的香港、澳门永久性居民中的中国居民申请在内地从事律师职业核准办事指南（简版）</w:t>
      </w:r>
    </w:p>
    <w:p>
      <w:pPr>
        <w:overflowPunct w:val="0"/>
        <w:spacing w:line="320" w:lineRule="exact"/>
        <w:ind w:left="239" w:leftChars="114" w:right="159" w:firstLine="10080" w:firstLineChars="4200"/>
        <w:jc w:val="center"/>
        <w:rPr>
          <w:rFonts w:hint="eastAsia" w:ascii="黑体" w:hAnsi="黑体" w:eastAsia="黑体" w:cs="黑体"/>
          <w:sz w:val="24"/>
        </w:rPr>
      </w:pPr>
      <w:r>
        <w:rPr>
          <w:rFonts w:hint="eastAsia" w:ascii="方正小标宋_GBK" w:hAnsi="方正小标宋_GBK" w:eastAsia="方正小标宋_GBK"/>
          <w:sz w:val="24"/>
        </w:rPr>
        <w:t>玉</w:t>
      </w:r>
      <w:r>
        <w:rPr>
          <w:rFonts w:hint="eastAsia" w:ascii="黑体" w:hAnsi="黑体" w:eastAsia="黑体" w:cs="黑体"/>
          <w:sz w:val="24"/>
        </w:rPr>
        <w:t>玉溪市司法局发布</w:t>
      </w:r>
    </w:p>
    <w:p>
      <w:pPr>
        <w:overflowPunct w:val="0"/>
        <w:spacing w:line="320" w:lineRule="exact"/>
        <w:ind w:right="159" w:firstLine="10320" w:firstLineChars="4300"/>
        <w:jc w:val="center"/>
        <w:rPr>
          <w:sz w:val="24"/>
        </w:rPr>
      </w:pPr>
      <w:r>
        <w:rPr>
          <w:rFonts w:hint="eastAsia" w:ascii="黑体" w:hAnsi="黑体" w:eastAsia="黑体" w:cs="黑体"/>
          <w:sz w:val="24"/>
        </w:rPr>
        <w:t>2   2021年01月0</w:t>
      </w:r>
      <w:r>
        <w:rPr>
          <w:rFonts w:hint="eastAsia" w:ascii="黑体" w:hAnsi="黑体" w:eastAsia="黑体" w:cs="黑体"/>
          <w:sz w:val="24"/>
          <w:lang w:val="en-US" w:eastAsia="zh-CN"/>
        </w:rPr>
        <w:t>8</w:t>
      </w:r>
      <w:r>
        <w:rPr>
          <w:rFonts w:hint="eastAsia" w:ascii="黑体" w:hAnsi="黑体" w:eastAsia="黑体" w:cs="黑体"/>
          <w:sz w:val="24"/>
        </w:rPr>
        <w:t>日</w:t>
      </w:r>
    </w:p>
    <w:p>
      <w:pPr>
        <w:rPr>
          <w:sz w:val="24"/>
        </w:rPr>
        <w:sectPr>
          <w:pgSz w:w="16838" w:h="11906" w:orient="landscape"/>
          <w:pgMar w:top="1440" w:right="1080" w:bottom="1440" w:left="1080" w:header="851" w:footer="992" w:gutter="0"/>
          <w:cols w:space="427" w:num="2"/>
          <w:docGrid w:type="lines" w:linePitch="312" w:charSpace="0"/>
        </w:sectPr>
      </w:pP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一、受理范围</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2"/>
        </w:rPr>
      </w:pPr>
      <w:r>
        <w:rPr>
          <w:rFonts w:hint="eastAsia" w:ascii="宋体" w:hAnsi="宋体" w:eastAsia="宋体" w:cs="宋体"/>
          <w:sz w:val="21"/>
          <w:szCs w:val="21"/>
        </w:rPr>
        <w:t>本服务事项适用于玉溪市行政区域内的香港、澳门永久性居民中的中国居民申请在内地从事律师职业核准办理。</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二、许可条件</w:t>
      </w:r>
    </w:p>
    <w:p>
      <w:pPr>
        <w:keepNext w:val="0"/>
        <w:keepLines w:val="0"/>
        <w:pageBreakBefore w:val="0"/>
        <w:widowControl w:val="0"/>
        <w:kinsoku/>
        <w:wordWrap/>
        <w:overflowPunct w:val="0"/>
        <w:topLinePunct w:val="0"/>
        <w:autoSpaceDE/>
        <w:autoSpaceDN/>
        <w:bidi w:val="0"/>
        <w:adjustRightInd/>
        <w:snapToGrid/>
        <w:spacing w:line="260" w:lineRule="exact"/>
        <w:ind w:left="420" w:leftChars="200" w:right="159"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）拥护中华人民共和国宪法；</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）参加内地举办的国家司法考试合格，</w:t>
      </w:r>
      <w:r>
        <w:rPr>
          <w:rFonts w:hint="eastAsia" w:ascii="宋体" w:hAnsi="宋体" w:eastAsia="宋体" w:cs="宋体"/>
          <w:sz w:val="21"/>
          <w:szCs w:val="21"/>
          <w:lang w:eastAsia="zh-CN"/>
        </w:rPr>
        <w:t>取</w:t>
      </w:r>
      <w:r>
        <w:rPr>
          <w:rFonts w:hint="eastAsia" w:ascii="宋体" w:hAnsi="宋体" w:eastAsia="宋体" w:cs="宋体"/>
          <w:sz w:val="21"/>
          <w:szCs w:val="21"/>
        </w:rPr>
        <w:t>得《中华人民共和国法律职业资格证书》；</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在内地律师事务所或者内地律师事务所设在香港的分所实习期满，经律师事务所鉴定和律师协会考核合格；属于具有5年以上执业经历的香港法律职业者、澳门律师的，应当参加由内地地方律师协会组织的不少于1个月的集中培训，并经考核合格；</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）品行良好；</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三、受理形式</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ascii="Arial" w:hAnsi="Arial"/>
          <w:sz w:val="22"/>
        </w:rPr>
      </w:pPr>
      <w:r>
        <w:rPr>
          <w:rFonts w:hint="eastAsia" w:ascii="宋体" w:hAnsi="宋体" w:eastAsia="宋体" w:cs="宋体"/>
          <w:sz w:val="21"/>
          <w:szCs w:val="21"/>
        </w:rPr>
        <w:t>所有申请事项均需通过云南律师工作管理系统办理，网址：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"http://220.165.246.92:8080/lsgzgl/login" </w:instrText>
      </w:r>
      <w:r>
        <w:rPr>
          <w:rFonts w:hint="eastAsia" w:ascii="宋体" w:hAnsi="宋体" w:eastAsia="宋体" w:cs="宋体"/>
          <w:sz w:val="21"/>
          <w:szCs w:val="21"/>
        </w:rPr>
        <w:fldChar w:fldCharType="separate"/>
      </w:r>
      <w:r>
        <w:rPr>
          <w:rFonts w:hint="eastAsia" w:ascii="宋体" w:hAnsi="宋体" w:eastAsia="宋体" w:cs="宋体"/>
          <w:sz w:val="21"/>
          <w:szCs w:val="21"/>
        </w:rPr>
        <w:t>http://220.165.246.92:8080/lsgzgl/login</w:t>
      </w:r>
      <w:r>
        <w:rPr>
          <w:rFonts w:hint="eastAsia" w:ascii="宋体" w:hAnsi="宋体" w:eastAsia="宋体" w:cs="宋体"/>
          <w:sz w:val="21"/>
          <w:szCs w:val="21"/>
        </w:rPr>
        <w:fldChar w:fldCharType="end"/>
      </w:r>
    </w:p>
    <w:p>
      <w:pPr>
        <w:keepNext w:val="0"/>
        <w:keepLines w:val="0"/>
        <w:pageBreakBefore w:val="0"/>
        <w:widowControl w:val="0"/>
        <w:kinsoku/>
        <w:wordWrap/>
        <w:overflowPunct w:val="0"/>
        <w:topLinePunct w:val="0"/>
        <w:autoSpaceDE/>
        <w:autoSpaceDN/>
        <w:bidi w:val="0"/>
        <w:adjustRightInd/>
        <w:snapToGrid/>
        <w:spacing w:line="260" w:lineRule="exact"/>
        <w:ind w:right="16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（一）窗口受理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地址：</w:t>
      </w:r>
      <w:r>
        <w:rPr>
          <w:rFonts w:hint="eastAsia" w:ascii="宋体" w:hAnsi="宋体" w:eastAsia="宋体" w:cs="宋体"/>
          <w:sz w:val="21"/>
          <w:szCs w:val="21"/>
        </w:rPr>
        <w:t>玉溪市红塔区</w:t>
      </w:r>
      <w:r>
        <w:rPr>
          <w:rFonts w:hint="eastAsia" w:ascii="宋体" w:hAnsi="宋体" w:cs="宋体"/>
          <w:sz w:val="21"/>
          <w:szCs w:val="21"/>
          <w:lang w:eastAsia="zh-CN"/>
        </w:rPr>
        <w:t>南祥</w:t>
      </w:r>
      <w:r>
        <w:rPr>
          <w:rFonts w:hint="eastAsia" w:ascii="宋体" w:hAnsi="宋体" w:eastAsia="宋体" w:cs="宋体"/>
          <w:sz w:val="21"/>
          <w:szCs w:val="21"/>
        </w:rPr>
        <w:t>路10号市政府第二办公区602室玉溪市司法局律师工作科；</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rPr>
        <w:t>受理时间：</w:t>
      </w:r>
      <w:r>
        <w:rPr>
          <w:rFonts w:hint="eastAsia" w:ascii="宋体" w:hAnsi="宋体" w:eastAsia="宋体" w:cs="宋体"/>
          <w:sz w:val="21"/>
          <w:szCs w:val="21"/>
        </w:rPr>
        <w:t>星期一至星期五上午：08:00~11:30、下午14:30~18：00。</w:t>
      </w:r>
    </w:p>
    <w:p>
      <w:pPr>
        <w:keepNext w:val="0"/>
        <w:keepLines w:val="0"/>
        <w:pageBreakBefore w:val="0"/>
        <w:widowControl w:val="0"/>
        <w:kinsoku/>
        <w:wordWrap/>
        <w:overflowPunct w:val="0"/>
        <w:topLinePunct w:val="0"/>
        <w:autoSpaceDE/>
        <w:autoSpaceDN/>
        <w:bidi w:val="0"/>
        <w:adjustRightInd/>
        <w:snapToGrid/>
        <w:spacing w:line="260" w:lineRule="exact"/>
        <w:ind w:right="160" w:firstLine="442" w:firstLineChars="200"/>
        <w:textAlignment w:val="auto"/>
        <w:rPr>
          <w:rFonts w:hint="eastAsia" w:ascii="宋体" w:hAnsi="宋体" w:eastAsia="宋体" w:cs="宋体"/>
          <w:b/>
          <w:bCs/>
          <w:sz w:val="21"/>
          <w:szCs w:val="21"/>
        </w:rPr>
      </w:pPr>
      <w:r>
        <w:rPr>
          <w:rFonts w:hint="eastAsia" w:ascii="Arial" w:hAnsi="Arial"/>
          <w:b/>
          <w:bCs/>
          <w:sz w:val="22"/>
        </w:rPr>
        <w:t>（</w:t>
      </w:r>
      <w:r>
        <w:rPr>
          <w:rFonts w:hint="eastAsia" w:ascii="宋体" w:hAnsi="宋体" w:eastAsia="宋体" w:cs="宋体"/>
          <w:b/>
          <w:bCs/>
          <w:sz w:val="21"/>
          <w:szCs w:val="21"/>
        </w:rPr>
        <w:t>二）网络受理</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Arial" w:hAnsi="Arial"/>
          <w:sz w:val="21"/>
          <w:szCs w:val="21"/>
        </w:rPr>
      </w:pPr>
      <w:r>
        <w:rPr>
          <w:rFonts w:hint="eastAsia" w:ascii="Arial" w:hAnsi="Arial"/>
          <w:b w:val="0"/>
          <w:bCs w:val="0"/>
          <w:sz w:val="21"/>
          <w:szCs w:val="21"/>
        </w:rPr>
        <w:t>网址：</w:t>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Arial" w:hAnsi="Arial"/>
          <w:sz w:val="21"/>
          <w:szCs w:val="21"/>
        </w:rPr>
      </w:pPr>
      <w:r>
        <w:rPr>
          <w:sz w:val="21"/>
          <w:szCs w:val="21"/>
        </w:rPr>
        <w:fldChar w:fldCharType="begin"/>
      </w:r>
      <w:r>
        <w:rPr>
          <w:sz w:val="21"/>
          <w:szCs w:val="21"/>
        </w:rPr>
        <w:instrText xml:space="preserve"> HYPERLINK "http://220.165.246.92:8080/lsgzgl/login" </w:instrText>
      </w:r>
      <w:r>
        <w:rPr>
          <w:sz w:val="21"/>
          <w:szCs w:val="21"/>
        </w:rPr>
        <w:fldChar w:fldCharType="separate"/>
      </w:r>
      <w:r>
        <w:rPr>
          <w:rStyle w:val="10"/>
          <w:rFonts w:hint="eastAsia" w:ascii="Arial" w:hAnsi="Arial"/>
          <w:sz w:val="21"/>
          <w:szCs w:val="21"/>
        </w:rPr>
        <w:t>http://220.165.246.92:8080/lsgzgl/login</w:t>
      </w:r>
      <w:r>
        <w:rPr>
          <w:rStyle w:val="10"/>
          <w:rFonts w:hint="eastAsia" w:ascii="Arial" w:hAnsi="Arial"/>
          <w:sz w:val="21"/>
          <w:szCs w:val="21"/>
        </w:rPr>
        <w:fldChar w:fldCharType="end"/>
      </w:r>
    </w:p>
    <w:p>
      <w:pPr>
        <w:keepNext w:val="0"/>
        <w:keepLines w:val="0"/>
        <w:pageBreakBefore w:val="0"/>
        <w:widowControl w:val="0"/>
        <w:kinsoku/>
        <w:wordWrap/>
        <w:overflowPunct w:val="0"/>
        <w:topLinePunct w:val="0"/>
        <w:autoSpaceDE/>
        <w:autoSpaceDN/>
        <w:bidi w:val="0"/>
        <w:adjustRightInd/>
        <w:snapToGrid/>
        <w:spacing w:line="260" w:lineRule="exact"/>
        <w:ind w:right="160" w:firstLine="420" w:firstLineChars="200"/>
        <w:textAlignment w:val="auto"/>
        <w:rPr>
          <w:rFonts w:ascii="方正黑体_GBK" w:hAnsi="方正黑体_GBK" w:eastAsia="方正黑体_GBK"/>
          <w:sz w:val="22"/>
        </w:rPr>
      </w:pPr>
      <w:r>
        <w:rPr>
          <w:rFonts w:hint="eastAsia" w:ascii="Arial" w:hAnsi="Arial"/>
          <w:b w:val="0"/>
          <w:bCs w:val="0"/>
          <w:sz w:val="21"/>
          <w:szCs w:val="21"/>
        </w:rPr>
        <w:t>受理时间：</w:t>
      </w:r>
      <w:r>
        <w:rPr>
          <w:rFonts w:hint="eastAsia" w:ascii="Arial" w:hAnsi="Arial"/>
          <w:sz w:val="21"/>
          <w:szCs w:val="21"/>
        </w:rPr>
        <w:t>全天受理。</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四、申请材料</w:t>
      </w:r>
    </w:p>
    <w:tbl>
      <w:tblPr>
        <w:tblStyle w:val="7"/>
        <w:tblW w:w="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97"/>
        <w:gridCol w:w="78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b/>
                <w:bCs/>
                <w:sz w:val="18"/>
                <w:szCs w:val="18"/>
              </w:rPr>
            </w:pPr>
            <w:r>
              <w:rPr>
                <w:rFonts w:hint="eastAsia" w:ascii="宋体" w:hAnsi="宋体" w:eastAsia="宋体" w:cs="宋体"/>
                <w:b/>
                <w:bCs/>
                <w:color w:val="353535"/>
                <w:sz w:val="18"/>
                <w:szCs w:val="18"/>
                <w:shd w:val="clear" w:color="auto" w:fill="FFFFFF"/>
              </w:rPr>
              <w:t>序号</w:t>
            </w:r>
          </w:p>
        </w:tc>
        <w:tc>
          <w:tcPr>
            <w:tcW w:w="2297" w:type="dxa"/>
          </w:tcPr>
          <w:p>
            <w:pPr>
              <w:spacing w:line="239" w:lineRule="auto"/>
              <w:rPr>
                <w:rFonts w:hint="eastAsia" w:ascii="宋体" w:hAnsi="宋体" w:eastAsia="宋体" w:cs="宋体"/>
                <w:b/>
                <w:bCs/>
                <w:color w:val="353535"/>
                <w:sz w:val="18"/>
                <w:szCs w:val="18"/>
                <w:shd w:val="clear" w:color="auto" w:fill="FFFFFF"/>
              </w:rPr>
            </w:pPr>
          </w:p>
          <w:p>
            <w:pPr>
              <w:spacing w:line="239" w:lineRule="auto"/>
              <w:jc w:val="center"/>
              <w:rPr>
                <w:rFonts w:hint="eastAsia" w:ascii="宋体" w:hAnsi="宋体" w:eastAsia="宋体" w:cs="宋体"/>
                <w:b/>
                <w:bCs/>
                <w:sz w:val="18"/>
                <w:szCs w:val="18"/>
              </w:rPr>
            </w:pPr>
            <w:r>
              <w:rPr>
                <w:rFonts w:hint="eastAsia" w:ascii="宋体" w:hAnsi="宋体" w:eastAsia="宋体" w:cs="宋体"/>
                <w:b/>
                <w:bCs/>
                <w:color w:val="353535"/>
                <w:sz w:val="18"/>
                <w:szCs w:val="18"/>
                <w:shd w:val="clear" w:color="auto" w:fill="FFFFFF"/>
              </w:rPr>
              <w:t>提交材料名称</w:t>
            </w:r>
          </w:p>
        </w:tc>
        <w:tc>
          <w:tcPr>
            <w:tcW w:w="787" w:type="dxa"/>
          </w:tcPr>
          <w:p>
            <w:pPr>
              <w:spacing w:line="239" w:lineRule="auto"/>
              <w:jc w:val="center"/>
              <w:rPr>
                <w:rFonts w:hint="eastAsia" w:ascii="宋体" w:hAnsi="宋体" w:eastAsia="宋体" w:cs="宋体"/>
                <w:b/>
                <w:bCs/>
                <w:sz w:val="18"/>
                <w:szCs w:val="18"/>
              </w:rPr>
            </w:pPr>
            <w:r>
              <w:rPr>
                <w:rFonts w:hint="eastAsia" w:ascii="宋体" w:hAnsi="宋体" w:eastAsia="宋体" w:cs="宋体"/>
                <w:b/>
                <w:bCs/>
                <w:color w:val="353535"/>
                <w:sz w:val="18"/>
                <w:szCs w:val="18"/>
                <w:shd w:val="clear" w:color="auto" w:fill="FFFFFF"/>
              </w:rPr>
              <w:t>材料形式</w:t>
            </w:r>
          </w:p>
        </w:tc>
        <w:tc>
          <w:tcPr>
            <w:tcW w:w="936" w:type="dxa"/>
          </w:tcPr>
          <w:p>
            <w:pPr>
              <w:spacing w:line="239" w:lineRule="auto"/>
              <w:jc w:val="center"/>
              <w:rPr>
                <w:rFonts w:hint="eastAsia" w:ascii="宋体" w:hAnsi="宋体" w:eastAsia="宋体" w:cs="宋体"/>
                <w:b/>
                <w:bCs/>
                <w:sz w:val="18"/>
                <w:szCs w:val="18"/>
              </w:rPr>
            </w:pPr>
            <w:r>
              <w:rPr>
                <w:rFonts w:hint="eastAsia" w:ascii="宋体" w:hAnsi="宋体" w:eastAsia="宋体" w:cs="宋体"/>
                <w:b/>
                <w:bCs/>
                <w:color w:val="353535"/>
                <w:sz w:val="18"/>
                <w:szCs w:val="18"/>
                <w:shd w:val="clear" w:color="auto" w:fill="FFFFFF"/>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行政审批事项申请书</w:t>
            </w:r>
          </w:p>
        </w:tc>
        <w:tc>
          <w:tcPr>
            <w:tcW w:w="787" w:type="dxa"/>
            <w:vMerge w:val="restart"/>
          </w:tcPr>
          <w:p>
            <w:pPr>
              <w:spacing w:line="239" w:lineRule="auto"/>
              <w:jc w:val="center"/>
              <w:rPr>
                <w:rFonts w:hint="eastAsia" w:ascii="宋体" w:hAnsi="宋体" w:eastAsia="宋体" w:cs="宋体"/>
                <w:color w:val="353535"/>
                <w:sz w:val="18"/>
                <w:szCs w:val="18"/>
                <w:shd w:val="clear" w:color="auto" w:fill="FFFFFF"/>
              </w:rPr>
            </w:pPr>
          </w:p>
          <w:p>
            <w:pPr>
              <w:spacing w:line="239" w:lineRule="auto"/>
              <w:jc w:val="center"/>
              <w:rPr>
                <w:rFonts w:hint="eastAsia" w:ascii="宋体" w:hAnsi="宋体" w:eastAsia="宋体" w:cs="宋体"/>
                <w:color w:val="353535"/>
                <w:sz w:val="18"/>
                <w:szCs w:val="18"/>
                <w:shd w:val="clear" w:color="auto" w:fill="FFFFFF"/>
              </w:rPr>
            </w:pPr>
          </w:p>
          <w:p>
            <w:pPr>
              <w:spacing w:line="239" w:lineRule="auto"/>
              <w:jc w:val="center"/>
              <w:rPr>
                <w:rFonts w:hint="eastAsia" w:ascii="宋体" w:hAnsi="宋体" w:eastAsia="宋体" w:cs="宋体"/>
                <w:color w:val="353535"/>
                <w:sz w:val="18"/>
                <w:szCs w:val="18"/>
                <w:shd w:val="clear" w:color="auto" w:fill="FFFFFF"/>
              </w:rPr>
            </w:pPr>
          </w:p>
          <w:p>
            <w:pPr>
              <w:spacing w:line="239" w:lineRule="auto"/>
              <w:jc w:val="center"/>
              <w:rPr>
                <w:rFonts w:hint="eastAsia" w:ascii="宋体" w:hAnsi="宋体" w:eastAsia="宋体" w:cs="宋体"/>
                <w:color w:val="353535"/>
                <w:sz w:val="18"/>
                <w:szCs w:val="18"/>
                <w:shd w:val="clear" w:color="auto" w:fill="FFFFFF"/>
              </w:rPr>
            </w:pPr>
          </w:p>
          <w:p>
            <w:pPr>
              <w:spacing w:line="239" w:lineRule="auto"/>
              <w:jc w:val="center"/>
              <w:rPr>
                <w:rFonts w:hint="eastAsia" w:ascii="宋体" w:hAnsi="宋体" w:eastAsia="宋体" w:cs="宋体"/>
                <w:color w:val="353535"/>
                <w:sz w:val="18"/>
                <w:szCs w:val="18"/>
                <w:shd w:val="clear" w:color="auto" w:fill="FFFFFF"/>
              </w:rPr>
            </w:pPr>
          </w:p>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扫描件（PDF格式）</w:t>
            </w: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2</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律师执业申请登记表</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3</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身份证明</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4</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未受过刑事处罚的承诺</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5</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资格和受聘说明（说明是否具有香港、澳门、台湾地区或者外国律师资格，是否受聘香港、澳门、台湾地区或者外国律师事务所）</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6</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律师资格证书或法律职业资格证书</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33333"/>
                <w:sz w:val="18"/>
                <w:szCs w:val="18"/>
                <w:shd w:val="clear" w:color="auto" w:fill="FFFFFF"/>
              </w:rPr>
            </w:pPr>
            <w:r>
              <w:rPr>
                <w:rFonts w:hint="eastAsia" w:ascii="宋体" w:hAnsi="宋体" w:eastAsia="宋体" w:cs="宋体"/>
                <w:color w:val="353535"/>
                <w:sz w:val="18"/>
                <w:szCs w:val="18"/>
                <w:shd w:val="clear" w:color="auto" w:fill="FFFFFF"/>
              </w:rPr>
              <w:t>7</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申请人实习考核合格的材料</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33333"/>
                <w:sz w:val="18"/>
                <w:szCs w:val="18"/>
                <w:shd w:val="clear" w:color="auto" w:fill="FFFFFF"/>
              </w:rPr>
            </w:pPr>
            <w:r>
              <w:rPr>
                <w:rFonts w:hint="eastAsia" w:ascii="宋体" w:hAnsi="宋体" w:eastAsia="宋体" w:cs="宋体"/>
                <w:color w:val="353535"/>
                <w:sz w:val="18"/>
                <w:szCs w:val="18"/>
                <w:shd w:val="clear" w:color="auto" w:fill="FFFFFF"/>
              </w:rPr>
              <w:t>8</w:t>
            </w:r>
          </w:p>
        </w:tc>
        <w:tc>
          <w:tcPr>
            <w:tcW w:w="2297"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拟执业的律师事务所出具的同意接收申请人的证明</w:t>
            </w:r>
          </w:p>
        </w:tc>
        <w:tc>
          <w:tcPr>
            <w:tcW w:w="787" w:type="dxa"/>
            <w:vMerge w:val="continue"/>
          </w:tcPr>
          <w:p>
            <w:pPr>
              <w:spacing w:line="239" w:lineRule="auto"/>
              <w:jc w:val="center"/>
              <w:rPr>
                <w:rFonts w:hint="eastAsia" w:ascii="宋体" w:hAnsi="宋体" w:eastAsia="宋体" w:cs="宋体"/>
                <w:color w:val="353535"/>
                <w:sz w:val="18"/>
                <w:szCs w:val="18"/>
                <w:shd w:val="clear" w:color="auto" w:fill="FFFFFF"/>
              </w:rPr>
            </w:pPr>
          </w:p>
        </w:tc>
        <w:tc>
          <w:tcPr>
            <w:tcW w:w="936" w:type="dxa"/>
          </w:tcPr>
          <w:p>
            <w:pPr>
              <w:spacing w:line="239" w:lineRule="auto"/>
              <w:jc w:val="center"/>
              <w:rPr>
                <w:rFonts w:hint="eastAsia" w:ascii="宋体" w:hAnsi="宋体" w:eastAsia="宋体" w:cs="宋体"/>
                <w:color w:val="353535"/>
                <w:sz w:val="18"/>
                <w:szCs w:val="18"/>
                <w:shd w:val="clear" w:color="auto" w:fill="FFFFFF"/>
              </w:rPr>
            </w:pPr>
            <w:r>
              <w:rPr>
                <w:rFonts w:hint="eastAsia" w:ascii="宋体" w:hAnsi="宋体" w:eastAsia="宋体" w:cs="宋体"/>
                <w:color w:val="353535"/>
                <w:sz w:val="18"/>
                <w:szCs w:val="18"/>
                <w:shd w:val="clear" w:color="auto" w:fill="FFFFFF"/>
              </w:rPr>
              <w:t>1</w:t>
            </w:r>
          </w:p>
        </w:tc>
      </w:tr>
    </w:tbl>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ascii="方正黑体_GBK" w:hAnsi="方正黑体_GBK" w:eastAsia="方正黑体_GBK"/>
          <w:sz w:val="22"/>
        </w:rPr>
      </w:pPr>
      <w:r>
        <w:rPr>
          <w:rFonts w:hint="eastAsia" w:ascii="宋体" w:hAnsi="宋体"/>
        </w:rPr>
        <w:t>注：申请材料所需相关文书、表单可以在办理窗口领取或链接</w:t>
      </w:r>
      <w:r>
        <w:rPr>
          <w:rFonts w:ascii="宋体" w:hAnsi="宋体"/>
        </w:rPr>
        <w:t>http://sft.yn.gov.cn/bszn/16725.jhtml</w:t>
      </w:r>
      <w:r>
        <w:rPr>
          <w:rFonts w:hint="eastAsia" w:ascii="宋体" w:hAnsi="宋体"/>
        </w:rPr>
        <w:t>下载。</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五、办事时限</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法定时限：</w:t>
      </w:r>
      <w:r>
        <w:rPr>
          <w:rFonts w:hint="eastAsia" w:ascii="宋体" w:hAnsi="宋体" w:eastAsia="宋体" w:cs="宋体"/>
          <w:sz w:val="21"/>
          <w:szCs w:val="21"/>
        </w:rPr>
        <w:t>40个工作日</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承诺时限：</w:t>
      </w:r>
      <w:r>
        <w:rPr>
          <w:rFonts w:hint="eastAsia" w:ascii="宋体" w:hAnsi="宋体" w:eastAsia="宋体" w:cs="宋体"/>
          <w:sz w:val="21"/>
          <w:szCs w:val="21"/>
        </w:rPr>
        <w:t>1个工作日</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黑体" w:hAnsi="黑体" w:eastAsia="黑体" w:cs="黑体"/>
          <w:sz w:val="21"/>
          <w:szCs w:val="21"/>
        </w:rPr>
      </w:pPr>
      <w:r>
        <w:rPr>
          <w:rFonts w:hint="eastAsia" w:ascii="黑体" w:hAnsi="黑体" w:eastAsia="黑体" w:cs="黑体"/>
          <w:sz w:val="21"/>
          <w:szCs w:val="21"/>
        </w:rPr>
        <w:t>六、办事收费</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ascii="方正黑体_GBK" w:hAnsi="方正黑体_GBK" w:eastAsia="方正黑体_GBK"/>
          <w:sz w:val="21"/>
          <w:szCs w:val="21"/>
        </w:rPr>
      </w:pPr>
      <w:r>
        <w:rPr>
          <w:rFonts w:hint="eastAsia" w:ascii="宋体" w:hAnsi="宋体"/>
          <w:sz w:val="21"/>
          <w:szCs w:val="21"/>
        </w:rPr>
        <w:t>本管理服务事项不收费</w:t>
      </w:r>
    </w:p>
    <w:p>
      <w:pPr>
        <w:keepNext w:val="0"/>
        <w:keepLines w:val="0"/>
        <w:pageBreakBefore w:val="0"/>
        <w:widowControl w:val="0"/>
        <w:kinsoku/>
        <w:wordWrap/>
        <w:topLinePunct w:val="0"/>
        <w:autoSpaceDE/>
        <w:autoSpaceDN/>
        <w:bidi w:val="0"/>
        <w:adjustRightInd/>
        <w:snapToGrid/>
        <w:spacing w:line="260" w:lineRule="exact"/>
        <w:ind w:firstLine="440" w:firstLineChars="200"/>
        <w:jc w:val="left"/>
        <w:textAlignment w:val="auto"/>
        <w:rPr>
          <w:rFonts w:hint="eastAsia" w:ascii="黑体" w:hAnsi="黑体" w:eastAsia="黑体" w:cs="黑体"/>
          <w:sz w:val="21"/>
          <w:szCs w:val="21"/>
        </w:rPr>
      </w:pPr>
      <w:r>
        <w:rPr>
          <w:rFonts w:hint="eastAsia" w:ascii="方正黑体_GBK" w:hAnsi="方正黑体_GBK" w:eastAsia="方正黑体_GBK"/>
          <w:sz w:val="22"/>
        </w:rPr>
        <w:t>七</w:t>
      </w:r>
      <w:r>
        <w:rPr>
          <w:rFonts w:hint="eastAsia" w:ascii="黑体" w:hAnsi="黑体" w:eastAsia="黑体" w:cs="黑体"/>
          <w:sz w:val="21"/>
          <w:szCs w:val="21"/>
        </w:rPr>
        <w:t>、许可决定及送达方式</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省司法厅自作出决定之日起七个工作日内，结果将在云南司法行政网http://sft.yn.gov.cn/“双公示”栏目上公示。</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办理结果：</w:t>
      </w:r>
      <w:r>
        <w:rPr>
          <w:rFonts w:hint="eastAsia" w:ascii="宋体" w:hAnsi="宋体" w:eastAsia="宋体" w:cs="宋体"/>
          <w:sz w:val="21"/>
          <w:szCs w:val="21"/>
        </w:rPr>
        <w:t>1.准予设立的，省司法厅自作出准予决定之日起10日内完成制证并向申请人颁发证照。</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2.准予变更、注销的，申请人应自省司法厅作出准予决定之日起十日内携原执业许可证正、副本至省司法厅办理变更、注销手续。</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3.不予许可、不予变更或不予注销的，在律师工作管理系统相关申请表意见栏中向申请人注明理由。</w:t>
      </w:r>
    </w:p>
    <w:p>
      <w:pPr>
        <w:keepNext w:val="0"/>
        <w:keepLines w:val="0"/>
        <w:pageBreakBefore w:val="0"/>
        <w:widowControl w:val="0"/>
        <w:kinsoku/>
        <w:wordWrap/>
        <w:topLinePunct w:val="0"/>
        <w:autoSpaceDE/>
        <w:autoSpaceDN/>
        <w:bidi w:val="0"/>
        <w:adjustRightInd/>
        <w:snapToGrid/>
        <w:spacing w:line="260" w:lineRule="exact"/>
        <w:ind w:firstLine="420" w:firstLineChars="200"/>
        <w:jc w:val="left"/>
        <w:textAlignment w:val="auto"/>
        <w:rPr>
          <w:rFonts w:ascii="宋体" w:hAnsi="宋体"/>
          <w:sz w:val="22"/>
        </w:rPr>
      </w:pPr>
      <w:r>
        <w:rPr>
          <w:rFonts w:hint="eastAsia" w:ascii="宋体" w:hAnsi="宋体" w:eastAsia="宋体" w:cs="宋体"/>
          <w:b w:val="0"/>
          <w:bCs w:val="0"/>
          <w:sz w:val="21"/>
          <w:szCs w:val="21"/>
        </w:rPr>
        <w:t>送达方式：</w:t>
      </w:r>
      <w:r>
        <w:rPr>
          <w:rFonts w:hint="eastAsia" w:ascii="宋体" w:hAnsi="宋体" w:eastAsia="宋体" w:cs="宋体"/>
          <w:sz w:val="21"/>
          <w:szCs w:val="21"/>
        </w:rPr>
        <w:t>上述所有决定书可自行在云南律师工作管理系统下载打印或至玉溪</w:t>
      </w:r>
      <w:r>
        <w:rPr>
          <w:rFonts w:hint="eastAsia" w:ascii="宋体" w:hAnsi="宋体"/>
          <w:sz w:val="22"/>
        </w:rPr>
        <w:t>市市司法局打印。</w:t>
      </w:r>
    </w:p>
    <w:p>
      <w:pPr>
        <w:keepNext w:val="0"/>
        <w:keepLines w:val="0"/>
        <w:pageBreakBefore w:val="0"/>
        <w:widowControl w:val="0"/>
        <w:kinsoku/>
        <w:wordWrap/>
        <w:topLinePunct w:val="0"/>
        <w:autoSpaceDE/>
        <w:autoSpaceDN/>
        <w:bidi w:val="0"/>
        <w:adjustRightInd/>
        <w:snapToGrid/>
        <w:spacing w:line="260" w:lineRule="exact"/>
        <w:ind w:firstLine="440" w:firstLineChars="200"/>
        <w:jc w:val="left"/>
        <w:textAlignment w:val="auto"/>
        <w:rPr>
          <w:rFonts w:hint="eastAsia" w:ascii="方正黑体_GBK" w:hAnsi="方正黑体_GBK" w:eastAsia="方正黑体_GBK"/>
          <w:sz w:val="22"/>
        </w:rPr>
      </w:pPr>
      <w:r>
        <w:rPr>
          <w:rFonts w:hint="eastAsia" w:ascii="方正黑体_GBK" w:hAnsi="方正黑体_GBK" w:eastAsia="方正黑体_GBK"/>
          <w:sz w:val="22"/>
        </w:rPr>
        <w:t>八、咨询</w:t>
      </w:r>
    </w:p>
    <w:p>
      <w:pPr>
        <w:keepNext w:val="0"/>
        <w:keepLines w:val="0"/>
        <w:pageBreakBefore w:val="0"/>
        <w:widowControl w:val="0"/>
        <w:kinsoku/>
        <w:wordWrap/>
        <w:overflowPunct w:val="0"/>
        <w:topLinePunct w:val="0"/>
        <w:autoSpaceDE/>
        <w:autoSpaceDN/>
        <w:bidi w:val="0"/>
        <w:adjustRightInd/>
        <w:snapToGrid/>
        <w:spacing w:line="2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窗口咨询。地址：：玉溪市红塔区</w:t>
      </w:r>
      <w:r>
        <w:rPr>
          <w:rFonts w:hint="eastAsia" w:ascii="宋体" w:hAnsi="宋体" w:cs="宋体"/>
          <w:sz w:val="21"/>
          <w:szCs w:val="21"/>
          <w:lang w:eastAsia="zh-CN"/>
        </w:rPr>
        <w:t>南祥</w:t>
      </w:r>
      <w:r>
        <w:rPr>
          <w:rFonts w:hint="eastAsia" w:ascii="宋体" w:hAnsi="宋体" w:eastAsia="宋体" w:cs="宋体"/>
          <w:sz w:val="21"/>
          <w:szCs w:val="21"/>
        </w:rPr>
        <w:t>路10号市政府第二办公区602室玉溪市司法局律师工作</w:t>
      </w:r>
      <w:r>
        <w:rPr>
          <w:rFonts w:hint="eastAsia" w:ascii="宋体" w:hAnsi="宋体" w:cs="宋体"/>
          <w:sz w:val="21"/>
          <w:szCs w:val="21"/>
          <w:lang w:eastAsia="zh-CN"/>
        </w:rPr>
        <w:t>管理</w:t>
      </w:r>
      <w:r>
        <w:rPr>
          <w:rFonts w:hint="eastAsia" w:ascii="宋体" w:hAnsi="宋体" w:eastAsia="宋体" w:cs="宋体"/>
          <w:sz w:val="21"/>
          <w:szCs w:val="21"/>
        </w:rPr>
        <w:t>科。</w:t>
      </w:r>
    </w:p>
    <w:p>
      <w:pPr>
        <w:pStyle w:val="5"/>
        <w:keepNext w:val="0"/>
        <w:keepLines w:val="0"/>
        <w:pageBreakBefore w:val="0"/>
        <w:widowControl w:val="0"/>
        <w:shd w:val="clear" w:color="auto" w:fill="FFFFFF"/>
        <w:tabs>
          <w:tab w:val="left" w:pos="1138"/>
        </w:tabs>
        <w:kinsoku/>
        <w:wordWrap/>
        <w:topLinePunct w:val="0"/>
        <w:autoSpaceDE/>
        <w:autoSpaceDN/>
        <w:bidi w:val="0"/>
        <w:adjustRightInd/>
        <w:snapToGrid/>
        <w:spacing w:before="0" w:beforeAutospacing="0" w:after="0" w:afterAutospacing="0" w:line="260" w:lineRule="exact"/>
        <w:ind w:left="420" w:leftChars="200" w:firstLine="420" w:firstLineChars="200"/>
        <w:jc w:val="both"/>
        <w:textAlignment w:val="auto"/>
        <w:rPr>
          <w:rFonts w:hint="eastAsia" w:ascii="宋体" w:hAnsi="宋体" w:eastAsia="宋体" w:cs="宋体"/>
          <w:color w:val="333333"/>
          <w:sz w:val="21"/>
          <w:szCs w:val="21"/>
          <w:shd w:val="clear" w:color="auto" w:fill="FFFFFF"/>
        </w:rPr>
      </w:pPr>
      <w:r>
        <w:rPr>
          <w:rFonts w:hint="eastAsia" w:ascii="宋体" w:hAnsi="宋体" w:eastAsia="宋体" w:cs="宋体"/>
          <w:b w:val="0"/>
          <w:bCs w:val="0"/>
          <w:i w:val="0"/>
          <w:iCs w:val="0"/>
          <w:color w:val="333333"/>
          <w:sz w:val="21"/>
          <w:szCs w:val="21"/>
          <w:shd w:val="clear" w:color="auto" w:fill="FFFFFF"/>
        </w:rPr>
        <w:t>电话咨询：</w:t>
      </w:r>
      <w:r>
        <w:rPr>
          <w:rFonts w:hint="eastAsia" w:ascii="宋体" w:hAnsi="宋体" w:eastAsia="宋体" w:cs="宋体"/>
          <w:color w:val="333333"/>
          <w:sz w:val="21"/>
          <w:szCs w:val="21"/>
          <w:shd w:val="clear" w:color="auto" w:fill="FFFFFF"/>
        </w:rPr>
        <w:t>电话号码：0877-2013086</w:t>
      </w:r>
      <w:r>
        <w:rPr>
          <w:rFonts w:hint="eastAsia" w:ascii="宋体" w:hAnsi="宋体" w:eastAsia="宋体" w:cs="宋体"/>
          <w:color w:val="333333"/>
          <w:sz w:val="21"/>
          <w:szCs w:val="21"/>
          <w:shd w:val="clear" w:color="auto" w:fill="FFFFFF"/>
        </w:rPr>
        <w:br w:type="textWrapping"/>
      </w:r>
      <w:r>
        <w:rPr>
          <w:rFonts w:hint="eastAsia" w:ascii="宋体" w:hAnsi="宋体" w:eastAsia="宋体" w:cs="宋体"/>
          <w:b w:val="0"/>
          <w:bCs w:val="0"/>
          <w:color w:val="333333"/>
          <w:sz w:val="21"/>
          <w:szCs w:val="21"/>
          <w:shd w:val="clear" w:color="auto" w:fill="FFFFFF"/>
        </w:rPr>
        <w:t>网</w:t>
      </w:r>
      <w:r>
        <w:rPr>
          <w:rFonts w:hint="eastAsia" w:ascii="宋体" w:hAnsi="宋体" w:cs="宋体"/>
          <w:b w:val="0"/>
          <w:bCs w:val="0"/>
          <w:color w:val="333333"/>
          <w:sz w:val="21"/>
          <w:szCs w:val="21"/>
          <w:shd w:val="clear" w:color="auto" w:fill="FFFFFF"/>
          <w:lang w:eastAsia="zh-CN"/>
        </w:rPr>
        <w:t>络</w:t>
      </w:r>
      <w:r>
        <w:rPr>
          <w:rFonts w:hint="eastAsia" w:ascii="宋体" w:hAnsi="宋体" w:eastAsia="宋体" w:cs="宋体"/>
          <w:b w:val="0"/>
          <w:bCs w:val="0"/>
          <w:color w:val="333333"/>
          <w:sz w:val="21"/>
          <w:szCs w:val="21"/>
          <w:shd w:val="clear" w:color="auto" w:fill="FFFFFF"/>
        </w:rPr>
        <w:t>咨询：</w:t>
      </w:r>
      <w:r>
        <w:rPr>
          <w:rFonts w:hint="eastAsia" w:eastAsia="宋体"/>
          <w:color w:val="000000"/>
          <w:sz w:val="21"/>
          <w:szCs w:val="21"/>
        </w:rPr>
        <w:t>玉溪市司法局律师工作</w:t>
      </w:r>
      <w:r>
        <w:rPr>
          <w:rFonts w:hint="eastAsia"/>
          <w:color w:val="000000"/>
          <w:sz w:val="21"/>
          <w:szCs w:val="21"/>
          <w:lang w:eastAsia="zh-CN"/>
        </w:rPr>
        <w:t>管理</w:t>
      </w:r>
      <w:bookmarkStart w:id="0" w:name="_GoBack"/>
      <w:bookmarkEnd w:id="0"/>
      <w:r>
        <w:rPr>
          <w:rFonts w:hint="eastAsia" w:eastAsia="宋体"/>
          <w:color w:val="000000"/>
          <w:sz w:val="21"/>
          <w:szCs w:val="21"/>
        </w:rPr>
        <w:t>科</w:t>
      </w:r>
      <w:r>
        <w:rPr>
          <w:rFonts w:hint="eastAsia" w:eastAsia="宋体"/>
          <w:color w:val="000000"/>
          <w:sz w:val="21"/>
          <w:szCs w:val="21"/>
          <w:lang w:eastAsia="zh-CN"/>
        </w:rPr>
        <w:t>邮箱</w:t>
      </w:r>
      <w:r>
        <w:rPr>
          <w:rFonts w:hint="eastAsia" w:eastAsia="宋体"/>
          <w:color w:val="000000"/>
          <w:sz w:val="21"/>
          <w:szCs w:val="21"/>
        </w:rPr>
        <w:t>：yuxislx203</w:t>
      </w:r>
      <w:r>
        <w:rPr>
          <w:rFonts w:hint="eastAsia" w:eastAsia="宋体"/>
          <w:color w:val="000000"/>
          <w:sz w:val="21"/>
          <w:szCs w:val="21"/>
          <w:lang w:val="en-US" w:eastAsia="zh-CN"/>
        </w:rPr>
        <w:t>@163.com</w:t>
      </w:r>
    </w:p>
    <w:p>
      <w:pPr>
        <w:keepNext w:val="0"/>
        <w:keepLines w:val="0"/>
        <w:pageBreakBefore w:val="0"/>
        <w:widowControl w:val="0"/>
        <w:kinsoku/>
        <w:wordWrap/>
        <w:topLinePunct w:val="0"/>
        <w:autoSpaceDE/>
        <w:autoSpaceDN/>
        <w:bidi w:val="0"/>
        <w:adjustRightInd/>
        <w:snapToGrid/>
        <w:spacing w:line="260" w:lineRule="exact"/>
        <w:ind w:firstLine="440" w:firstLineChars="200"/>
        <w:jc w:val="left"/>
        <w:textAlignment w:val="auto"/>
        <w:rPr>
          <w:rFonts w:ascii="方正黑体_GBK" w:hAnsi="方正黑体_GBK" w:eastAsia="方正黑体_GBK"/>
          <w:sz w:val="22"/>
        </w:rPr>
      </w:pPr>
      <w:r>
        <w:rPr>
          <w:rFonts w:hint="eastAsia" w:ascii="方正黑体_GBK" w:hAnsi="方正黑体_GBK" w:eastAsia="方正黑体_GBK"/>
          <w:sz w:val="22"/>
        </w:rPr>
        <w:t>九、监督投诉</w:t>
      </w:r>
    </w:p>
    <w:p>
      <w:pPr>
        <w:keepNext w:val="0"/>
        <w:keepLines w:val="0"/>
        <w:pageBreakBefore w:val="0"/>
        <w:widowControl w:val="0"/>
        <w:kinsoku/>
        <w:wordWrap/>
        <w:overflowPunct w:val="0"/>
        <w:topLinePunct w:val="0"/>
        <w:autoSpaceDE/>
        <w:autoSpaceDN/>
        <w:bidi w:val="0"/>
        <w:adjustRightInd/>
        <w:snapToGrid/>
        <w:spacing w:line="260" w:lineRule="exact"/>
        <w:ind w:firstLine="420" w:firstLineChars="200"/>
        <w:textAlignment w:val="auto"/>
        <w:rPr>
          <w:rFonts w:hint="eastAsia" w:ascii="宋体" w:hAnsi="宋体" w:eastAsia="宋体" w:cs="宋体"/>
          <w:color w:val="333333"/>
          <w:sz w:val="21"/>
          <w:szCs w:val="21"/>
          <w:shd w:val="clear" w:color="auto" w:fill="FFFFFF"/>
        </w:rPr>
      </w:pPr>
      <w:r>
        <w:rPr>
          <w:rFonts w:hint="eastAsia" w:ascii="宋体" w:hAnsi="宋体" w:eastAsia="宋体" w:cs="宋体"/>
          <w:b w:val="0"/>
          <w:bCs w:val="0"/>
          <w:color w:val="000000" w:themeColor="text1"/>
          <w:sz w:val="21"/>
          <w:szCs w:val="21"/>
          <w14:textFill>
            <w14:solidFill>
              <w14:schemeClr w14:val="tx1"/>
            </w14:solidFill>
          </w14:textFill>
        </w:rPr>
        <w:t>窗口投诉。</w:t>
      </w: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333333"/>
          <w:sz w:val="21"/>
          <w:szCs w:val="21"/>
          <w:shd w:val="clear" w:color="auto" w:fill="FFFFFF"/>
        </w:rPr>
        <w:t>玉溪市纪委监委驻玉溪市司法局纪检监察组</w:t>
      </w:r>
    </w:p>
    <w:p>
      <w:pPr>
        <w:keepNext w:val="0"/>
        <w:keepLines w:val="0"/>
        <w:pageBreakBefore w:val="0"/>
        <w:widowControl w:val="0"/>
        <w:kinsoku/>
        <w:wordWrap/>
        <w:overflowPunct w:val="0"/>
        <w:topLinePunct w:val="0"/>
        <w:autoSpaceDE/>
        <w:autoSpaceDN/>
        <w:bidi w:val="0"/>
        <w:adjustRightInd/>
        <w:snapToGrid/>
        <w:spacing w:line="2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333333"/>
          <w:sz w:val="21"/>
          <w:szCs w:val="21"/>
          <w:shd w:val="clear" w:color="auto" w:fill="FFFFFF"/>
        </w:rPr>
        <w:t>电话咨询：</w:t>
      </w:r>
      <w:r>
        <w:rPr>
          <w:rFonts w:hint="eastAsia" w:ascii="宋体" w:hAnsi="宋体" w:eastAsia="宋体" w:cs="宋体"/>
          <w:color w:val="333333"/>
          <w:sz w:val="21"/>
          <w:szCs w:val="21"/>
          <w:shd w:val="clear" w:color="auto" w:fill="FFFFFF"/>
        </w:rPr>
        <w:t>电话号码：0877-2023668</w:t>
      </w:r>
    </w:p>
    <w:p>
      <w:pPr>
        <w:keepNext w:val="0"/>
        <w:keepLines w:val="0"/>
        <w:pageBreakBefore w:val="0"/>
        <w:widowControl w:val="0"/>
        <w:kinsoku/>
        <w:wordWrap/>
        <w:topLinePunct w:val="0"/>
        <w:autoSpaceDE/>
        <w:autoSpaceDN/>
        <w:bidi w:val="0"/>
        <w:adjustRightInd/>
        <w:snapToGrid/>
        <w:spacing w:line="260" w:lineRule="exact"/>
        <w:ind w:firstLine="320" w:firstLineChars="200"/>
        <w:textAlignment w:val="auto"/>
        <w:rPr>
          <w:rFonts w:ascii="微软雅黑" w:hAnsi="微软雅黑" w:eastAsia="微软雅黑" w:cs="微软雅黑"/>
          <w:color w:val="353535"/>
          <w:sz w:val="16"/>
          <w:szCs w:val="16"/>
          <w:shd w:val="clear" w:color="auto" w:fill="FFFFFF"/>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0545B35"/>
    <w:rsid w:val="008C2502"/>
    <w:rsid w:val="00C05753"/>
    <w:rsid w:val="089D087A"/>
    <w:rsid w:val="096C63D2"/>
    <w:rsid w:val="0ADA7E11"/>
    <w:rsid w:val="168D6A21"/>
    <w:rsid w:val="16CC3C87"/>
    <w:rsid w:val="194B2A1E"/>
    <w:rsid w:val="1BEC73B6"/>
    <w:rsid w:val="1EB82621"/>
    <w:rsid w:val="1FC76792"/>
    <w:rsid w:val="20215958"/>
    <w:rsid w:val="20E342F4"/>
    <w:rsid w:val="2190672E"/>
    <w:rsid w:val="26527DAD"/>
    <w:rsid w:val="2CE77FBE"/>
    <w:rsid w:val="334977AF"/>
    <w:rsid w:val="33C82370"/>
    <w:rsid w:val="387C1D53"/>
    <w:rsid w:val="3BA71A45"/>
    <w:rsid w:val="3E8651AC"/>
    <w:rsid w:val="404044E0"/>
    <w:rsid w:val="41B603C0"/>
    <w:rsid w:val="4AB707CB"/>
    <w:rsid w:val="5798622B"/>
    <w:rsid w:val="592A3BDC"/>
    <w:rsid w:val="5B241E34"/>
    <w:rsid w:val="61DC0645"/>
    <w:rsid w:val="620004DF"/>
    <w:rsid w:val="687D7161"/>
    <w:rsid w:val="6A1F476F"/>
    <w:rsid w:val="76AF7277"/>
    <w:rsid w:val="7969332F"/>
    <w:rsid w:val="7B03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6"/>
    <w:qFormat/>
    <w:uiPriority w:val="0"/>
    <w:rPr>
      <w:sz w:val="18"/>
      <w:szCs w:val="18"/>
    </w:rPr>
  </w:style>
  <w:style w:type="paragraph" w:styleId="3">
    <w:name w:val="footer"/>
    <w:basedOn w:val="1"/>
    <w:link w:val="28"/>
    <w:qFormat/>
    <w:uiPriority w:val="0"/>
    <w:pPr>
      <w:tabs>
        <w:tab w:val="center" w:pos="4153"/>
        <w:tab w:val="right" w:pos="8306"/>
      </w:tabs>
      <w:snapToGrid w:val="0"/>
      <w:jc w:val="left"/>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rFonts w:hint="default"/>
      <w:b/>
      <w:sz w:val="24"/>
    </w:rPr>
  </w:style>
  <w:style w:type="character" w:styleId="10">
    <w:name w:val="FollowedHyperlink"/>
    <w:basedOn w:val="8"/>
    <w:qFormat/>
    <w:uiPriority w:val="0"/>
    <w:rPr>
      <w:color w:val="555555"/>
      <w:u w:val="none"/>
    </w:rPr>
  </w:style>
  <w:style w:type="character" w:styleId="11">
    <w:name w:val="Hyperlink"/>
    <w:basedOn w:val="8"/>
    <w:qFormat/>
    <w:uiPriority w:val="0"/>
    <w:rPr>
      <w:color w:val="0000FF"/>
      <w:u w:val="single"/>
    </w:rPr>
  </w:style>
  <w:style w:type="character" w:customStyle="1" w:styleId="12">
    <w:name w:val="icon1"/>
    <w:basedOn w:val="8"/>
    <w:qFormat/>
    <w:uiPriority w:val="0"/>
  </w:style>
  <w:style w:type="character" w:customStyle="1" w:styleId="13">
    <w:name w:val="current"/>
    <w:basedOn w:val="8"/>
    <w:qFormat/>
    <w:uiPriority w:val="0"/>
    <w:rPr>
      <w:b/>
      <w:color w:val="FFFFFF"/>
      <w:bdr w:val="single" w:color="DB0002" w:sz="4" w:space="0"/>
      <w:shd w:val="clear" w:color="auto" w:fill="D80D00"/>
    </w:rPr>
  </w:style>
  <w:style w:type="character" w:customStyle="1" w:styleId="14">
    <w:name w:val="icon2"/>
    <w:basedOn w:val="8"/>
    <w:qFormat/>
    <w:uiPriority w:val="0"/>
  </w:style>
  <w:style w:type="character" w:customStyle="1" w:styleId="15">
    <w:name w:val="icon21"/>
    <w:basedOn w:val="8"/>
    <w:qFormat/>
    <w:uiPriority w:val="0"/>
  </w:style>
  <w:style w:type="character" w:customStyle="1" w:styleId="16">
    <w:name w:val="icon22"/>
    <w:basedOn w:val="8"/>
    <w:qFormat/>
    <w:uiPriority w:val="0"/>
  </w:style>
  <w:style w:type="character" w:customStyle="1" w:styleId="17">
    <w:name w:val="icon3"/>
    <w:basedOn w:val="8"/>
    <w:qFormat/>
    <w:uiPriority w:val="0"/>
  </w:style>
  <w:style w:type="character" w:customStyle="1" w:styleId="18">
    <w:name w:val="icon31"/>
    <w:basedOn w:val="8"/>
    <w:qFormat/>
    <w:uiPriority w:val="0"/>
  </w:style>
  <w:style w:type="character" w:customStyle="1" w:styleId="19">
    <w:name w:val="icon32"/>
    <w:basedOn w:val="8"/>
    <w:qFormat/>
    <w:uiPriority w:val="0"/>
  </w:style>
  <w:style w:type="character" w:customStyle="1" w:styleId="20">
    <w:name w:val="icon4"/>
    <w:basedOn w:val="8"/>
    <w:qFormat/>
    <w:uiPriority w:val="0"/>
  </w:style>
  <w:style w:type="character" w:customStyle="1" w:styleId="21">
    <w:name w:val="icon41"/>
    <w:basedOn w:val="8"/>
    <w:qFormat/>
    <w:uiPriority w:val="0"/>
  </w:style>
  <w:style w:type="character" w:customStyle="1" w:styleId="22">
    <w:name w:val="icon42"/>
    <w:basedOn w:val="8"/>
    <w:qFormat/>
    <w:uiPriority w:val="0"/>
  </w:style>
  <w:style w:type="character" w:customStyle="1" w:styleId="23">
    <w:name w:val="disabled"/>
    <w:basedOn w:val="8"/>
    <w:qFormat/>
    <w:uiPriority w:val="0"/>
    <w:rPr>
      <w:color w:val="CCCCCC"/>
      <w:bdr w:val="single" w:color="F3F3F3" w:sz="4" w:space="0"/>
    </w:rPr>
  </w:style>
  <w:style w:type="character" w:customStyle="1" w:styleId="24">
    <w:name w:val="icon11"/>
    <w:basedOn w:val="8"/>
    <w:qFormat/>
    <w:uiPriority w:val="0"/>
  </w:style>
  <w:style w:type="character" w:customStyle="1" w:styleId="25">
    <w:name w:val="icon12"/>
    <w:basedOn w:val="8"/>
    <w:qFormat/>
    <w:uiPriority w:val="0"/>
  </w:style>
  <w:style w:type="character" w:customStyle="1" w:styleId="26">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27">
    <w:name w:val="页眉 Char"/>
    <w:basedOn w:val="8"/>
    <w:link w:val="4"/>
    <w:qFormat/>
    <w:uiPriority w:val="0"/>
    <w:rPr>
      <w:rFonts w:asciiTheme="minorHAnsi" w:hAnsiTheme="minorHAnsi" w:eastAsiaTheme="minorEastAsia" w:cstheme="minorBidi"/>
      <w:kern w:val="2"/>
      <w:sz w:val="18"/>
      <w:szCs w:val="18"/>
    </w:rPr>
  </w:style>
  <w:style w:type="character" w:customStyle="1" w:styleId="28">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1313</Characters>
  <Lines>10</Lines>
  <Paragraphs>3</Paragraphs>
  <TotalTime>34</TotalTime>
  <ScaleCrop>false</ScaleCrop>
  <LinksUpToDate>false</LinksUpToDate>
  <CharactersWithSpaces>1540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2021-01-10T11:39:00Z</dcterms:created>
  <dc:creator>Cecile丶</dc:creator>
  <cp:lastModifiedBy>SFJ021</cp:lastModifiedBy>
  <dcterms:modified xsi:type="dcterms:W3CDTF">2021-01-12T06:39:19Z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