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lang w:eastAsia="zh-CN"/>
        </w:rPr>
      </w:pPr>
      <w:r>
        <w:rPr>
          <w:rFonts w:hint="default"/>
          <w:sz w:val="24"/>
          <w:lang w:eastAsia="zh-CN"/>
        </w:rPr>
        <w:drawing>
          <wp:inline distT="0" distB="0" distL="114300" distR="114300">
            <wp:extent cx="4537075" cy="5068570"/>
            <wp:effectExtent l="0" t="0" r="15875" b="17780"/>
            <wp:docPr id="2" name="图片 2" descr="公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7075" cy="506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eastAsia" w:ascii="方正黑体_GBK" w:hAnsi="方正黑体_GBK" w:eastAsia="方正黑体_GBK"/>
          <w:sz w:val="21"/>
          <w:lang w:val="en-US" w:eastAsia="zh-CN"/>
        </w:rPr>
      </w:pPr>
      <w:r>
        <w:rPr>
          <w:rFonts w:hint="eastAsia" w:ascii="方正黑体_GBK" w:hAnsi="方正黑体_GBK" w:eastAsia="方正黑体_GBK"/>
          <w:sz w:val="21"/>
          <w:lang w:val="en-US" w:eastAsia="zh-CN"/>
        </w:rPr>
        <w:t>公证员变更执业机构核准办理流程示意图</w:t>
      </w:r>
    </w:p>
    <w:p>
      <w:pPr>
        <w:spacing w:beforeLines="0" w:afterLines="0"/>
        <w:ind w:firstLine="420" w:firstLineChars="200"/>
        <w:jc w:val="left"/>
        <w:rPr>
          <w:rFonts w:hint="eastAsia" w:ascii="方正黑体_GBK" w:hAnsi="方正黑体_GBK" w:eastAsia="方正黑体_GBK"/>
          <w:sz w:val="21"/>
          <w:lang w:val="en-US" w:eastAsia="zh-CN"/>
        </w:rPr>
      </w:pPr>
    </w:p>
    <w:p>
      <w:pPr>
        <w:spacing w:beforeLines="0" w:afterLines="0"/>
        <w:ind w:firstLine="480" w:firstLineChars="200"/>
        <w:jc w:val="left"/>
        <w:rPr>
          <w:rFonts w:hint="eastAsia" w:ascii="方正黑体_GBK" w:hAnsi="方正黑体_GBK" w:eastAsia="方正黑体_GBK"/>
          <w:sz w:val="21"/>
          <w:lang w:val="en-US" w:eastAsia="zh-CN"/>
        </w:rPr>
      </w:pPr>
      <w:r>
        <w:rPr>
          <w:rFonts w:hint="default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5954395</wp:posOffset>
            </wp:positionH>
            <wp:positionV relativeFrom="page">
              <wp:posOffset>884555</wp:posOffset>
            </wp:positionV>
            <wp:extent cx="1136015" cy="558165"/>
            <wp:effectExtent l="0" t="0" r="6985" b="571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Lines="0" w:afterLines="0"/>
        <w:ind w:firstLine="420" w:firstLineChars="200"/>
        <w:jc w:val="left"/>
        <w:rPr>
          <w:rFonts w:hint="eastAsia" w:ascii="方正黑体_GBK" w:hAnsi="方正黑体_GBK" w:eastAsia="方正黑体_GBK"/>
          <w:sz w:val="21"/>
          <w:lang w:val="en-US" w:eastAsia="zh-CN"/>
        </w:rPr>
      </w:pPr>
    </w:p>
    <w:p>
      <w:pPr>
        <w:spacing w:beforeLines="0" w:afterLines="0"/>
        <w:ind w:firstLine="420" w:firstLineChars="200"/>
        <w:jc w:val="left"/>
        <w:rPr>
          <w:rFonts w:hint="eastAsia" w:ascii="方正黑体_GBK" w:hAnsi="方正黑体_GBK" w:eastAsia="方正黑体_GBK"/>
          <w:sz w:val="21"/>
          <w:lang w:val="en-US" w:eastAsia="zh-CN"/>
        </w:rPr>
      </w:pPr>
    </w:p>
    <w:p>
      <w:pPr>
        <w:spacing w:beforeLines="0" w:afterLines="0"/>
        <w:ind w:firstLine="420" w:firstLineChars="200"/>
        <w:jc w:val="left"/>
        <w:rPr>
          <w:rFonts w:hint="eastAsia" w:ascii="方正黑体_GBK" w:hAnsi="方正黑体_GBK" w:eastAsia="方正黑体_GBK"/>
          <w:sz w:val="21"/>
          <w:lang w:val="en-US" w:eastAsia="zh-CN"/>
        </w:rPr>
      </w:pPr>
    </w:p>
    <w:p>
      <w:pPr>
        <w:spacing w:beforeLines="0" w:afterLines="0"/>
        <w:ind w:firstLine="420" w:firstLineChars="200"/>
        <w:jc w:val="left"/>
        <w:rPr>
          <w:rFonts w:hint="eastAsia" w:ascii="方正黑体_GBK" w:hAnsi="方正黑体_GBK" w:eastAsia="方正黑体_GBK"/>
          <w:sz w:val="21"/>
          <w:lang w:val="en-US" w:eastAsia="zh-CN"/>
        </w:rPr>
      </w:pPr>
    </w:p>
    <w:p>
      <w:pPr>
        <w:adjustRightInd w:val="0"/>
        <w:snapToGrid w:val="0"/>
        <w:jc w:val="right"/>
        <w:rPr>
          <w:rFonts w:hint="default" w:ascii="Times New Roman" w:hAnsi="Times New Roman" w:eastAsia="宋体" w:cs="Times New Roman"/>
          <w:spacing w:val="-6"/>
          <w:sz w:val="30"/>
          <w:szCs w:val="30"/>
          <w:lang w:val="en-US" w:eastAsia="zh-CN"/>
        </w:rPr>
      </w:pPr>
      <w:r>
        <w:rPr>
          <w:rFonts w:ascii="Times New Roman" w:hAnsi="Times New Roman" w:eastAsia="宋体" w:cs="Times New Roman"/>
          <w:spacing w:val="-6"/>
          <w:sz w:val="30"/>
          <w:szCs w:val="30"/>
        </w:rPr>
        <w:t>BSZN-</w:t>
      </w:r>
      <w:r>
        <w:rPr>
          <w:rFonts w:hint="eastAsia" w:ascii="Times New Roman" w:hAnsi="Times New Roman" w:eastAsia="宋体" w:cs="Times New Roman"/>
          <w:spacing w:val="-6"/>
          <w:sz w:val="30"/>
          <w:szCs w:val="30"/>
          <w:lang w:val="en-US" w:eastAsia="zh-CN"/>
        </w:rPr>
        <w:t>00011201100001</w:t>
      </w:r>
    </w:p>
    <w:p>
      <w:pPr>
        <w:overflowPunct w:val="0"/>
        <w:spacing w:beforeLines="0" w:afterLines="0"/>
        <w:jc w:val="right"/>
        <w:rPr>
          <w:rFonts w:hint="default"/>
          <w:sz w:val="24"/>
        </w:rPr>
      </w:pPr>
      <w:r>
        <w:rPr>
          <w:rFonts w:hint="eastAsia" w:ascii="方正黑体_GBK" w:hAnsi="方正黑体_GBK" w:eastAsia="方正黑体_GBK"/>
          <w:sz w:val="21"/>
          <w:lang w:val="en-US" w:eastAsia="zh-CN"/>
        </w:rPr>
        <w:t xml:space="preserve">                             </w:t>
      </w:r>
    </w:p>
    <w:p>
      <w:pPr>
        <w:spacing w:beforeLines="0" w:afterLines="0"/>
        <w:ind w:firstLine="420" w:firstLineChars="200"/>
        <w:jc w:val="left"/>
        <w:rPr>
          <w:rFonts w:hint="eastAsia" w:ascii="方正黑体_GBK" w:hAnsi="方正黑体_GBK" w:eastAsia="方正黑体_GBK"/>
          <w:sz w:val="21"/>
          <w:lang w:val="en-US" w:eastAsia="zh-CN"/>
        </w:rPr>
      </w:pPr>
    </w:p>
    <w:p>
      <w:pPr>
        <w:spacing w:beforeLines="0" w:afterLines="0"/>
        <w:ind w:firstLine="420" w:firstLineChars="200"/>
        <w:jc w:val="left"/>
        <w:rPr>
          <w:rFonts w:hint="eastAsia" w:ascii="方正黑体_GBK" w:hAnsi="方正黑体_GBK" w:eastAsia="方正黑体_GBK"/>
          <w:sz w:val="21"/>
          <w:lang w:val="en-US" w:eastAsia="zh-CN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20" w:lineRule="exact"/>
        <w:ind w:left="279" w:leftChars="133" w:right="159" w:rightChars="0" w:firstLine="8120" w:firstLineChars="2900"/>
        <w:jc w:val="center"/>
        <w:textAlignment w:val="auto"/>
        <w:outlineLvl w:val="9"/>
        <w:rPr>
          <w:rFonts w:hint="eastAsia" w:ascii="方正小标宋_GBK" w:hAnsi="方正小标宋_GBK" w:eastAsia="方正小标宋_GBK"/>
          <w:sz w:val="28"/>
        </w:rPr>
      </w:pPr>
      <w:r>
        <w:rPr>
          <w:rFonts w:hint="eastAsia" w:ascii="方正小标宋_GBK" w:hAnsi="方正小标宋_GBK" w:eastAsia="方正小标宋_GBK"/>
          <w:sz w:val="28"/>
          <w:lang w:val="en-US" w:eastAsia="zh-CN"/>
        </w:rPr>
        <w:t>律公证员变更执业机构核准</w:t>
      </w:r>
      <w:r>
        <w:rPr>
          <w:rFonts w:hint="eastAsia" w:ascii="方正小标宋_GBK" w:hAnsi="方正小标宋_GBK" w:eastAsia="方正小标宋_GBK"/>
          <w:sz w:val="28"/>
        </w:rPr>
        <w:t>办事指南（简版）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20" w:lineRule="exact"/>
        <w:ind w:left="239" w:leftChars="114" w:right="159" w:rightChars="0" w:firstLine="10080" w:firstLineChars="4200"/>
        <w:jc w:val="center"/>
        <w:textAlignment w:val="auto"/>
        <w:outlineLvl w:val="9"/>
        <w:rPr>
          <w:rFonts w:hint="eastAsia" w:ascii="方正小标宋_GBK" w:hAnsi="方正小标宋_GBK" w:eastAsia="方正小标宋_GBK"/>
          <w:sz w:val="24"/>
          <w:lang w:eastAsia="zh-CN"/>
        </w:rPr>
      </w:pPr>
      <w:r>
        <w:rPr>
          <w:rFonts w:hint="eastAsia" w:ascii="方正小标宋_GBK" w:hAnsi="方正小标宋_GBK" w:eastAsia="方正小标宋_GBK"/>
          <w:sz w:val="24"/>
          <w:lang w:eastAsia="zh-CN"/>
        </w:rPr>
        <w:t>玉玉溪市司法局发布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20" w:lineRule="exact"/>
        <w:ind w:right="159" w:rightChars="0" w:firstLine="10320" w:firstLineChars="4300"/>
        <w:jc w:val="center"/>
        <w:textAlignment w:val="auto"/>
        <w:outlineLvl w:val="9"/>
        <w:rPr>
          <w:rFonts w:hint="eastAsia" w:ascii="方正小标宋_GBK" w:hAnsi="方正小标宋_GBK" w:eastAsia="方正小标宋_GBK"/>
          <w:sz w:val="24"/>
          <w:lang w:val="en-US" w:eastAsia="zh-CN"/>
        </w:rPr>
      </w:pPr>
      <w:r>
        <w:rPr>
          <w:rFonts w:hint="eastAsia" w:ascii="方正小标宋_GBK" w:hAnsi="方正小标宋_GBK" w:eastAsia="方正小标宋_GBK"/>
          <w:sz w:val="24"/>
          <w:lang w:val="en-US" w:eastAsia="zh-CN"/>
        </w:rPr>
        <w:t>2   2021年1月8日</w:t>
      </w: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  <w:sectPr>
          <w:pgSz w:w="16838" w:h="11906" w:orient="landscape"/>
          <w:pgMar w:top="1440" w:right="1080" w:bottom="1440" w:left="1080" w:header="851" w:footer="992" w:gutter="0"/>
          <w:cols w:space="427" w:num="2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ind w:left="0" w:leftChars="0"/>
        <w:jc w:val="left"/>
        <w:textAlignment w:val="auto"/>
        <w:outlineLvl w:val="9"/>
        <w:rPr>
          <w:rFonts w:hint="default"/>
          <w:sz w:val="24"/>
        </w:rPr>
      </w:pPr>
      <w:r>
        <w:rPr>
          <w:rFonts w:hint="eastAsia" w:ascii="方正黑体_GBK" w:hAnsi="方正黑体_GBK" w:eastAsia="方正黑体_GBK"/>
          <w:sz w:val="22"/>
        </w:rPr>
        <w:t>一、受理范围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ind w:right="160"/>
        <w:textAlignment w:val="auto"/>
        <w:outlineLvl w:val="9"/>
        <w:rPr>
          <w:rFonts w:hint="eastAsia" w:ascii="方正黑体_GBK" w:hAnsi="方正黑体_GBK" w:eastAsia="方正黑体_GBK"/>
          <w:sz w:val="22"/>
        </w:rPr>
      </w:pPr>
      <w:r>
        <w:rPr>
          <w:rFonts w:hint="eastAsia" w:ascii="宋体" w:hAnsi="宋体"/>
          <w:sz w:val="22"/>
        </w:rPr>
        <w:t>本服务事项适用于玉溪市行政区域内</w:t>
      </w:r>
      <w:r>
        <w:rPr>
          <w:rFonts w:hint="eastAsia" w:ascii="宋体" w:hAnsi="宋体"/>
          <w:sz w:val="22"/>
          <w:lang w:val="en-US" w:eastAsia="zh-CN"/>
        </w:rPr>
        <w:t>公证员变更执业机构许可办理</w:t>
      </w:r>
      <w:r>
        <w:rPr>
          <w:rFonts w:hint="eastAsia" w:ascii="宋体" w:hAnsi="宋体"/>
          <w:sz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ind w:left="0" w:leftChars="0"/>
        <w:jc w:val="left"/>
        <w:textAlignment w:val="auto"/>
        <w:outlineLvl w:val="9"/>
        <w:rPr>
          <w:rFonts w:hint="default"/>
          <w:sz w:val="24"/>
        </w:rPr>
      </w:pPr>
      <w:r>
        <w:rPr>
          <w:rFonts w:hint="eastAsia" w:ascii="方正黑体_GBK" w:hAnsi="方正黑体_GBK" w:eastAsia="方正黑体_GBK"/>
          <w:sz w:val="22"/>
        </w:rPr>
        <w:t>二、办事条件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（一）予以许可的条件：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公证员变更执业机构，应当经所在公证机构同意和拟任用该公证员的公证机构推荐，报所在地司法行政机关同意后，报省、自治区、直辖市司法行政机关办理变更核准手续。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公证员跨省、自治区、直辖市变更执业机构的，经所在的省、自治区、直辖市司法行政机关核准后，由拟任用该公证员的公证机构所在的省、自治区、直辖市司法行政机关办理变更核准手续。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（二）不予许可的情形：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不符合予以许可条件的。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default" w:ascii="方正黑体_GBK" w:hAnsi="方正黑体_GBK" w:eastAsia="方正黑体_GBK"/>
          <w:sz w:val="22"/>
        </w:rPr>
      </w:pPr>
      <w:r>
        <w:rPr>
          <w:rFonts w:hint="eastAsia" w:ascii="方正黑体_GBK" w:hAnsi="方正黑体_GBK" w:eastAsia="方正黑体_GBK"/>
          <w:sz w:val="22"/>
        </w:rPr>
        <w:t>三、受理地点和办事窗口</w:t>
      </w:r>
    </w:p>
    <w:p>
      <w:pPr>
        <w:spacing w:beforeLines="0" w:afterLines="0" w:line="239" w:lineRule="auto"/>
        <w:jc w:val="both"/>
        <w:rPr>
          <w:rFonts w:hint="eastAsia" w:ascii="宋体" w:hAnsi="宋体" w:eastAsiaTheme="minorEastAsia"/>
          <w:sz w:val="22"/>
          <w:lang w:eastAsia="zh-CN"/>
        </w:rPr>
      </w:pPr>
      <w:r>
        <w:rPr>
          <w:rFonts w:hint="eastAsia" w:ascii="宋体" w:hAnsi="宋体"/>
          <w:sz w:val="22"/>
        </w:rPr>
        <w:t>受理地点：玉溪市红塔区</w:t>
      </w:r>
      <w:r>
        <w:rPr>
          <w:rFonts w:hint="eastAsia" w:ascii="宋体" w:hAnsi="宋体"/>
          <w:sz w:val="22"/>
          <w:lang w:eastAsia="zh-CN"/>
        </w:rPr>
        <w:t>南祥路</w:t>
      </w:r>
      <w:r>
        <w:rPr>
          <w:rFonts w:hint="eastAsia" w:ascii="宋体" w:hAnsi="宋体"/>
          <w:sz w:val="22"/>
          <w:lang w:val="en-US" w:eastAsia="zh-CN"/>
        </w:rPr>
        <w:t>10</w:t>
      </w:r>
      <w:r>
        <w:rPr>
          <w:rFonts w:hint="eastAsia" w:ascii="宋体" w:hAnsi="宋体"/>
          <w:sz w:val="22"/>
        </w:rPr>
        <w:t>号</w:t>
      </w:r>
      <w:r>
        <w:rPr>
          <w:rFonts w:hint="eastAsia" w:ascii="宋体" w:hAnsi="宋体"/>
          <w:sz w:val="22"/>
          <w:lang w:eastAsia="zh-CN"/>
        </w:rPr>
        <w:t>市</w:t>
      </w:r>
      <w:r>
        <w:rPr>
          <w:rFonts w:hint="eastAsia" w:ascii="宋体" w:hAnsi="宋体"/>
          <w:sz w:val="22"/>
        </w:rPr>
        <w:t>政府第二办公区</w:t>
      </w:r>
      <w:r>
        <w:rPr>
          <w:rFonts w:hint="eastAsia" w:ascii="宋体" w:hAnsi="宋体"/>
          <w:sz w:val="22"/>
          <w:lang w:eastAsia="zh-CN"/>
        </w:rPr>
        <w:t>。</w:t>
      </w:r>
    </w:p>
    <w:p>
      <w:pPr>
        <w:spacing w:beforeLines="0" w:afterLines="0" w:line="239" w:lineRule="auto"/>
        <w:jc w:val="both"/>
        <w:rPr>
          <w:rFonts w:hint="eastAsia" w:ascii="宋体" w:hAnsi="宋体" w:eastAsiaTheme="minorEastAsia"/>
          <w:sz w:val="22"/>
          <w:lang w:eastAsia="zh-CN"/>
        </w:rPr>
      </w:pPr>
      <w:r>
        <w:rPr>
          <w:rFonts w:hint="eastAsia" w:ascii="宋体" w:hAnsi="宋体"/>
          <w:sz w:val="22"/>
        </w:rPr>
        <w:t>办事窗口：玉溪市司法局公共法律服务管理科（609室）</w:t>
      </w:r>
      <w:r>
        <w:rPr>
          <w:rFonts w:hint="eastAsia" w:ascii="宋体" w:hAnsi="宋体"/>
          <w:sz w:val="22"/>
          <w:lang w:eastAsia="zh-CN"/>
        </w:rPr>
        <w:t>。</w:t>
      </w:r>
    </w:p>
    <w:p>
      <w:pPr>
        <w:spacing w:beforeLines="0" w:afterLines="0" w:line="239" w:lineRule="auto"/>
        <w:jc w:val="both"/>
        <w:rPr>
          <w:rFonts w:hint="eastAsia" w:ascii="宋体" w:hAnsi="宋体" w:eastAsiaTheme="minorEastAsia"/>
          <w:sz w:val="22"/>
          <w:lang w:eastAsia="zh-CN"/>
        </w:rPr>
      </w:pPr>
      <w:r>
        <w:rPr>
          <w:rFonts w:hint="eastAsia" w:ascii="宋体" w:hAnsi="宋体"/>
          <w:sz w:val="22"/>
        </w:rPr>
        <w:t>办公时间：星期一至星期五（国家法定节假日除外）,上午8：00—11：30，下午 14：30—18：00</w:t>
      </w:r>
      <w:r>
        <w:rPr>
          <w:rFonts w:hint="eastAsia" w:ascii="宋体" w:hAnsi="宋体"/>
          <w:sz w:val="22"/>
          <w:lang w:eastAsia="zh-CN"/>
        </w:rPr>
        <w:t>。</w:t>
      </w:r>
    </w:p>
    <w:p>
      <w:pPr>
        <w:spacing w:beforeLines="0" w:afterLines="0" w:line="239" w:lineRule="auto"/>
        <w:jc w:val="both"/>
        <w:rPr>
          <w:rFonts w:hint="default" w:ascii="宋体" w:hAnsi="宋体"/>
          <w:sz w:val="22"/>
        </w:rPr>
      </w:pPr>
      <w:r>
        <w:rPr>
          <w:rFonts w:hint="eastAsia" w:ascii="宋体" w:hAnsi="宋体"/>
          <w:sz w:val="22"/>
        </w:rPr>
        <w:t>乘车方式：市内可乘15、19路公交至市统计局下前往市政府第二办公区。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ind w:left="0" w:leftChars="0"/>
        <w:jc w:val="left"/>
        <w:textAlignment w:val="auto"/>
        <w:outlineLvl w:val="9"/>
        <w:rPr>
          <w:rFonts w:hint="default" w:ascii="方正黑体_GBK" w:hAnsi="方正黑体_GBK" w:eastAsia="方正黑体_GBK"/>
          <w:sz w:val="22"/>
        </w:rPr>
      </w:pPr>
      <w:r>
        <w:rPr>
          <w:rFonts w:hint="eastAsia" w:ascii="方正黑体_GBK" w:hAnsi="方正黑体_GBK" w:eastAsia="方正黑体_GBK"/>
          <w:sz w:val="22"/>
        </w:rPr>
        <w:t>四、申请材料</w:t>
      </w:r>
    </w:p>
    <w:tbl>
      <w:tblPr>
        <w:tblStyle w:val="4"/>
        <w:tblW w:w="4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337"/>
        <w:gridCol w:w="965"/>
        <w:gridCol w:w="818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材料名称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材料形式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份数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材料来源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申请人个人申请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原件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3份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申请人自备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原执业公证机构出具意见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原件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3份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由原执业公证机构提供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拟任用公证机构推荐意见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原件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3份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由拟任用公证机构提供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所在地司法行政机关、主管司法行政机关审查意见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原件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3份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由原执业公证机构和拟任用公证机构的所在地司法行政机关、主管司法行政机关提供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公证员执业证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原件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1份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39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申请人自备</w:t>
            </w:r>
          </w:p>
        </w:tc>
      </w:tr>
    </w:tbl>
    <w:p>
      <w:pPr>
        <w:spacing w:beforeLines="0" w:afterLines="0" w:line="239" w:lineRule="auto"/>
        <w:jc w:val="left"/>
        <w:rPr>
          <w:rFonts w:hint="eastAsia" w:ascii="方正黑体_GBK" w:hAnsi="方正黑体_GBK" w:eastAsia="方正黑体_GBK"/>
          <w:sz w:val="22"/>
        </w:rPr>
      </w:pPr>
      <w:r>
        <w:rPr>
          <w:rFonts w:hint="eastAsia" w:ascii="宋体" w:hAnsi="宋体"/>
          <w:sz w:val="21"/>
        </w:rPr>
        <w:t>注：复印件应选用</w:t>
      </w:r>
      <w:r>
        <w:rPr>
          <w:rFonts w:hint="default" w:ascii="ËÎÌå" w:hAnsi="ËÎÌå" w:eastAsia="ËÎÌå"/>
          <w:sz w:val="21"/>
        </w:rPr>
        <w:t>A4</w:t>
      </w:r>
      <w:r>
        <w:rPr>
          <w:rFonts w:hint="eastAsia" w:ascii="宋体" w:hAnsi="宋体"/>
          <w:sz w:val="21"/>
        </w:rPr>
        <w:t>纸张，提交复印件的在提交时须审核原件，原件审核机关应在复印件上注明“内容与原件一致”并加盖公章。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default"/>
          <w:sz w:val="24"/>
        </w:rPr>
      </w:pPr>
      <w:r>
        <w:rPr>
          <w:rFonts w:hint="eastAsia" w:ascii="方正黑体_GBK" w:hAnsi="方正黑体_GBK" w:eastAsia="方正黑体_GBK"/>
          <w:sz w:val="22"/>
        </w:rPr>
        <w:t>五、办事时限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eastAsiaTheme="minorEastAsia"/>
          <w:sz w:val="24"/>
          <w:lang w:eastAsia="zh-CN"/>
        </w:rPr>
      </w:pPr>
      <w:r>
        <w:rPr>
          <w:rFonts w:hint="eastAsia" w:ascii="宋体" w:hAnsi="宋体"/>
          <w:sz w:val="22"/>
        </w:rPr>
        <w:t>法定时限：</w:t>
      </w:r>
      <w:r>
        <w:rPr>
          <w:rFonts w:hint="eastAsia" w:ascii="ËÎÌå" w:hAnsi="ËÎÌå"/>
          <w:sz w:val="22"/>
          <w:lang w:val="en-US" w:eastAsia="zh-CN"/>
        </w:rPr>
        <w:t>20</w:t>
      </w:r>
      <w:r>
        <w:rPr>
          <w:rFonts w:hint="eastAsia" w:ascii="宋体" w:hAnsi="宋体"/>
          <w:sz w:val="22"/>
        </w:rPr>
        <w:t>个工作日</w:t>
      </w:r>
      <w:r>
        <w:rPr>
          <w:rFonts w:hint="eastAsia" w:ascii="宋体" w:hAnsi="宋体"/>
          <w:sz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ascii="方正黑体_GBK" w:hAnsi="方正黑体_GBK" w:eastAsiaTheme="minorEastAsia"/>
          <w:sz w:val="22"/>
          <w:lang w:eastAsia="zh-CN"/>
        </w:rPr>
      </w:pPr>
      <w:r>
        <w:rPr>
          <w:rFonts w:hint="eastAsia" w:ascii="宋体" w:hAnsi="宋体"/>
          <w:sz w:val="22"/>
        </w:rPr>
        <w:t>承诺时限：</w:t>
      </w:r>
      <w:r>
        <w:rPr>
          <w:rFonts w:hint="eastAsia" w:ascii="ËÎÌå" w:hAnsi="ËÎÌå"/>
          <w:sz w:val="22"/>
          <w:lang w:val="en-US" w:eastAsia="zh-CN"/>
        </w:rPr>
        <w:t xml:space="preserve">1 </w:t>
      </w:r>
      <w:r>
        <w:rPr>
          <w:rFonts w:hint="eastAsia" w:ascii="宋体" w:hAnsi="宋体"/>
          <w:sz w:val="22"/>
        </w:rPr>
        <w:t>个工作日</w:t>
      </w:r>
      <w:r>
        <w:rPr>
          <w:rFonts w:hint="eastAsia" w:ascii="宋体" w:hAnsi="宋体"/>
          <w:sz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default"/>
          <w:sz w:val="24"/>
        </w:rPr>
      </w:pPr>
      <w:r>
        <w:rPr>
          <w:rFonts w:hint="eastAsia" w:ascii="方正黑体_GBK" w:hAnsi="方正黑体_GBK" w:eastAsia="方正黑体_GBK"/>
          <w:sz w:val="22"/>
        </w:rPr>
        <w:t>六、办事收费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ascii="宋体" w:hAnsi="宋体" w:eastAsiaTheme="minorEastAsia"/>
          <w:sz w:val="22"/>
          <w:lang w:eastAsia="zh-CN"/>
        </w:rPr>
      </w:pPr>
      <w:r>
        <w:rPr>
          <w:rFonts w:hint="eastAsia" w:ascii="宋体" w:hAnsi="宋体"/>
          <w:sz w:val="22"/>
        </w:rPr>
        <w:t>本行政许可事项不收取费用</w:t>
      </w:r>
      <w:r>
        <w:rPr>
          <w:rFonts w:hint="eastAsia" w:ascii="宋体" w:hAnsi="宋体"/>
          <w:sz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default"/>
          <w:sz w:val="24"/>
        </w:rPr>
      </w:pPr>
      <w:r>
        <w:rPr>
          <w:rFonts w:hint="eastAsia" w:ascii="方正黑体_GBK" w:hAnsi="方正黑体_GBK" w:eastAsia="方正黑体_GBK"/>
          <w:sz w:val="22"/>
        </w:rPr>
        <w:t>七、办事结果及送达方式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ascii="宋体" w:hAnsi="宋体"/>
          <w:sz w:val="22"/>
          <w:lang w:eastAsia="zh-CN"/>
        </w:rPr>
      </w:pPr>
      <w:r>
        <w:rPr>
          <w:rFonts w:hint="eastAsia" w:ascii="宋体" w:hAnsi="宋体"/>
          <w:sz w:val="22"/>
          <w:lang w:eastAsia="zh-CN"/>
        </w:rPr>
        <w:t>办理结果：对予以许可的申请人，由省司法厅换发公证员执业证，证件有效期为长期有效。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default"/>
          <w:sz w:val="24"/>
        </w:rPr>
      </w:pPr>
      <w:r>
        <w:rPr>
          <w:rFonts w:hint="eastAsia" w:ascii="宋体" w:hAnsi="宋体"/>
          <w:sz w:val="22"/>
          <w:lang w:eastAsia="zh-CN"/>
        </w:rPr>
        <w:t>送达方式：公证员执业证通过邮寄方式送达其主管司法行政机关，或直接到玉溪市司法局公共法律服务</w:t>
      </w:r>
      <w:bookmarkStart w:id="0" w:name="_GoBack"/>
      <w:bookmarkEnd w:id="0"/>
      <w:r>
        <w:rPr>
          <w:rFonts w:hint="eastAsia" w:ascii="宋体" w:hAnsi="宋体"/>
          <w:sz w:val="22"/>
          <w:lang w:eastAsia="zh-CN"/>
        </w:rPr>
        <w:t>管理科领取。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default" w:ascii="方正黑体_GBK" w:hAnsi="方正黑体_GBK" w:eastAsia="方正黑体_GBK"/>
          <w:sz w:val="22"/>
        </w:rPr>
      </w:pPr>
      <w:r>
        <w:rPr>
          <w:rFonts w:hint="eastAsia" w:ascii="方正黑体_GBK" w:hAnsi="方正黑体_GBK" w:eastAsia="方正黑体_GBK"/>
          <w:sz w:val="22"/>
        </w:rPr>
        <w:t>咨询及监督渠道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1.窗口咨询。地址：玉溪市红塔区南祥路10号政府第二办公区玉溪市司法局公共法律服务管理科（609室）。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2.电话咨询。电话号码：0877-2025502。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网站与邮箱：玉溪市司法局门户网站：（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http://xxgk.yuxi.gov.cn/yxszfxxgk/ssfj/</w:t>
      </w:r>
      <w:r>
        <w:rPr>
          <w:rFonts w:hint="eastAsia" w:ascii="宋体" w:hAnsi="宋体"/>
          <w:sz w:val="22"/>
        </w:rPr>
        <w:t>），电子邮箱</w:t>
      </w:r>
      <w:r>
        <w:rPr>
          <w:rFonts w:hint="eastAsia" w:ascii="宋体" w:hAnsi="宋体"/>
          <w:color w:val="000000" w:themeColor="text1"/>
          <w:sz w:val="22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2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/>
          <w:color w:val="000000" w:themeColor="text1"/>
          <w:sz w:val="22"/>
          <w:u w:val="none"/>
          <w14:textFill>
            <w14:solidFill>
              <w14:schemeClr w14:val="tx1"/>
            </w14:solidFill>
          </w14:textFill>
        </w:rPr>
        <w:instrText xml:space="preserve"> HYPERLINK "mailto:yxssfj@163.com" </w:instrText>
      </w:r>
      <w:r>
        <w:rPr>
          <w:rFonts w:hint="eastAsia" w:ascii="宋体" w:hAnsi="宋体"/>
          <w:color w:val="000000" w:themeColor="text1"/>
          <w:sz w:val="2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宋体" w:hAnsi="宋体"/>
          <w:color w:val="000000" w:themeColor="text1"/>
          <w:sz w:val="22"/>
          <w:u w:val="none"/>
          <w14:textFill>
            <w14:solidFill>
              <w14:schemeClr w14:val="tx1"/>
            </w14:solidFill>
          </w14:textFill>
        </w:rPr>
        <w:t>yxssfj@163.com</w:t>
      </w:r>
      <w:r>
        <w:rPr>
          <w:rFonts w:hint="eastAsia" w:ascii="宋体" w:hAnsi="宋体"/>
          <w:color w:val="000000" w:themeColor="text1"/>
          <w:sz w:val="2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  <w:lang w:eastAsia="zh-CN"/>
        </w:rPr>
        <w:t>监督</w:t>
      </w:r>
      <w:r>
        <w:rPr>
          <w:rFonts w:hint="eastAsia" w:ascii="宋体" w:hAnsi="宋体"/>
          <w:sz w:val="22"/>
        </w:rPr>
        <w:t>投诉：玉溪市纪委监委驻玉溪市司法局纪检监察组，电话：0877-2023668。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default"/>
          <w:sz w:val="24"/>
        </w:rPr>
      </w:pPr>
      <w:r>
        <w:rPr>
          <w:rFonts w:hint="eastAsia" w:ascii="方正黑体_GBK" w:hAnsi="方正黑体_GBK" w:eastAsia="方正黑体_GBK"/>
          <w:sz w:val="22"/>
        </w:rPr>
        <w:t>九、文书表单及办事指南下载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default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下载地址：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http://xxgk.yuxi.gov.cn/yxszfxxgk/ssfj/</w:t>
      </w:r>
      <w:r>
        <w:rPr>
          <w:rFonts w:hint="eastAsia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ind w:right="1980"/>
        <w:jc w:val="left"/>
        <w:textAlignment w:val="auto"/>
        <w:outlineLvl w:val="9"/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直接领取：受理窗口。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default" w:ascii="方正黑体_GBK" w:hAnsi="方正黑体_GBK" w:eastAsia="方正黑体_GBK"/>
          <w:sz w:val="22"/>
        </w:rPr>
      </w:pPr>
      <w:r>
        <w:rPr>
          <w:rFonts w:hint="eastAsia" w:ascii="ËÎÌå" w:hAnsi="ËÎÌå" w:eastAsia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黑体_GBK" w:hAnsi="方正黑体_GBK" w:eastAsia="方正黑体_GBK"/>
          <w:color w:val="000000" w:themeColor="text1"/>
          <w:sz w:val="22"/>
          <w14:textFill>
            <w14:solidFill>
              <w14:schemeClr w14:val="tx1"/>
            </w14:solidFill>
          </w14:textFill>
        </w:rPr>
        <w:t>十、本办事指南已经市政府审改办审核通过。办事指南的调整、修改必</w:t>
      </w:r>
      <w:r>
        <w:rPr>
          <w:rFonts w:hint="eastAsia" w:ascii="方正黑体_GBK" w:hAnsi="方正黑体_GBK" w:eastAsia="方正黑体_GBK"/>
          <w:sz w:val="22"/>
        </w:rPr>
        <w:t>须经市政府审改办审核同意。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Lines="0" w:afterLines="0" w:line="280" w:lineRule="exact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53535"/>
          <w:spacing w:val="0"/>
          <w:sz w:val="16"/>
          <w:szCs w:val="16"/>
          <w:u w:val="none"/>
          <w:shd w:val="clear" w:fill="FFFFFF"/>
          <w:lang w:eastAsia="zh-CN"/>
        </w:rPr>
      </w:pPr>
    </w:p>
    <w:sectPr>
      <w:type w:val="continuous"/>
      <w:pgSz w:w="16838" w:h="11906" w:orient="landscape"/>
      <w:pgMar w:top="1440" w:right="1080" w:bottom="1440" w:left="1080" w:header="851" w:footer="992" w:gutter="0"/>
      <w:cols w:space="427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7529"/>
    <w:multiLevelType w:val="singleLevel"/>
    <w:tmpl w:val="59F97529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D7161"/>
    <w:rsid w:val="054814D8"/>
    <w:rsid w:val="064C797C"/>
    <w:rsid w:val="080108CC"/>
    <w:rsid w:val="0ADA7E11"/>
    <w:rsid w:val="0B741B56"/>
    <w:rsid w:val="0C110ABC"/>
    <w:rsid w:val="0EA012C7"/>
    <w:rsid w:val="0EFD3CBB"/>
    <w:rsid w:val="13865813"/>
    <w:rsid w:val="16057322"/>
    <w:rsid w:val="17716F49"/>
    <w:rsid w:val="1C0C21E9"/>
    <w:rsid w:val="20215958"/>
    <w:rsid w:val="23C534C0"/>
    <w:rsid w:val="27330C09"/>
    <w:rsid w:val="2BDC7EC0"/>
    <w:rsid w:val="2F3D4D99"/>
    <w:rsid w:val="334977AF"/>
    <w:rsid w:val="348B1CC7"/>
    <w:rsid w:val="39537AEF"/>
    <w:rsid w:val="3D5C45AA"/>
    <w:rsid w:val="3E752A45"/>
    <w:rsid w:val="404044E0"/>
    <w:rsid w:val="409F09BE"/>
    <w:rsid w:val="45FE20A8"/>
    <w:rsid w:val="468E43CB"/>
    <w:rsid w:val="506C0953"/>
    <w:rsid w:val="53991EE7"/>
    <w:rsid w:val="5612661B"/>
    <w:rsid w:val="5798622B"/>
    <w:rsid w:val="5D07470F"/>
    <w:rsid w:val="687D7161"/>
    <w:rsid w:val="6B31474E"/>
    <w:rsid w:val="769942B6"/>
    <w:rsid w:val="7B1B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rFonts w:hint="default"/>
      <w:b/>
      <w:sz w:val="24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段"/>
    <w:basedOn w:val="1"/>
    <w:qFormat/>
    <w:uiPriority w:val="0"/>
    <w:pPr>
      <w:widowControl/>
      <w:autoSpaceDE w:val="0"/>
      <w:autoSpaceDN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2017-11-01T02:23:00Z</dcterms:created>
  <dc:creator>Cecile丶</dc:creator>
  <cp:lastModifiedBy>SFJ021</cp:lastModifiedBy>
  <dcterms:modified xsi:type="dcterms:W3CDTF">2021-01-08T01:45:17Z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