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idowControl/>
        <w:suppressLineNumbers w:val="0"/>
        <w:kinsoku/>
        <w:wordWrap/>
        <w:overflowPunct/>
        <w:topLinePunct w:val="0"/>
        <w:autoSpaceDE/>
        <w:autoSpaceDN/>
        <w:bidi w:val="0"/>
        <w:snapToGrid/>
        <w:spacing w:before="0" w:beforeAutospacing="0" w:after="0" w:line="560" w:lineRule="exact"/>
        <w:ind w:left="0" w:leftChars="0" w:firstLine="0"/>
        <w:jc w:val="center"/>
        <w:textAlignment w:val="auto"/>
        <w:rPr>
          <w:rStyle w:val="11"/>
          <w:rFonts w:hint="eastAsia" w:ascii="方正小标宋_GBK" w:hAnsi="宋体" w:eastAsia="方正小标宋_GBK" w:cs="方正小标宋_GBK"/>
          <w:sz w:val="44"/>
          <w:szCs w:val="44"/>
          <w:lang w:val="zh-CN" w:eastAsia="zh-CN"/>
        </w:rPr>
      </w:pPr>
      <w:bookmarkStart w:id="1" w:name="_GoBack"/>
      <w:bookmarkEnd w:id="1"/>
    </w:p>
    <w:p>
      <w:pPr>
        <w:pStyle w:val="12"/>
        <w:keepNext w:val="0"/>
        <w:keepLines w:val="0"/>
        <w:pageBreakBefore w:val="0"/>
        <w:widowControl/>
        <w:suppressLineNumbers w:val="0"/>
        <w:kinsoku/>
        <w:wordWrap/>
        <w:overflowPunct/>
        <w:topLinePunct w:val="0"/>
        <w:autoSpaceDE/>
        <w:autoSpaceDN/>
        <w:bidi w:val="0"/>
        <w:snapToGrid/>
        <w:spacing w:before="0" w:beforeAutospacing="0" w:after="0" w:line="560" w:lineRule="exact"/>
        <w:ind w:left="0" w:leftChars="0" w:firstLine="0"/>
        <w:jc w:val="center"/>
        <w:textAlignment w:val="auto"/>
        <w:rPr>
          <w:rFonts w:hint="eastAsia" w:ascii="方正小标宋_GBK" w:hAnsi="宋体" w:eastAsia="方正小标宋_GBK" w:cs="方正小标宋_GBK"/>
          <w:sz w:val="44"/>
          <w:szCs w:val="44"/>
          <w:lang w:val="zh-CN" w:eastAsia="zh-CN"/>
        </w:rPr>
      </w:pPr>
      <w:r>
        <w:rPr>
          <w:rStyle w:val="11"/>
          <w:rFonts w:hint="eastAsia" w:ascii="方正小标宋_GBK" w:hAnsi="宋体" w:eastAsia="方正小标宋_GBK" w:cs="方正小标宋_GBK"/>
          <w:sz w:val="44"/>
          <w:szCs w:val="44"/>
          <w:lang w:val="zh-CN" w:eastAsia="zh-CN"/>
        </w:rPr>
        <w:t>玉溪市民政局财务管理制度</w:t>
      </w:r>
    </w:p>
    <w:p>
      <w:pPr>
        <w:pStyle w:val="10"/>
        <w:keepNext w:val="0"/>
        <w:keepLines w:val="0"/>
        <w:pageBreakBefore w:val="0"/>
        <w:widowControl/>
        <w:suppressLineNumbers w:val="0"/>
        <w:kinsoku/>
        <w:wordWrap/>
        <w:overflowPunct/>
        <w:topLinePunct w:val="0"/>
        <w:autoSpaceDE/>
        <w:autoSpaceDN/>
        <w:bidi w:val="0"/>
        <w:snapToGrid/>
        <w:spacing w:before="0" w:beforeAutospacing="0" w:after="0" w:line="560" w:lineRule="exact"/>
        <w:ind w:left="0" w:leftChars="0"/>
        <w:jc w:val="center"/>
        <w:textAlignment w:val="auto"/>
        <w:rPr>
          <w:rFonts w:hint="eastAsia" w:ascii="方正黑体_GBK" w:hAnsi="宋体" w:eastAsia="方正黑体_GBK" w:cs="方正黑体_GBK"/>
          <w:sz w:val="32"/>
          <w:szCs w:val="32"/>
          <w:lang w:val="zh-CN" w:eastAsia="zh-CN"/>
        </w:rPr>
      </w:pPr>
      <w:r>
        <w:rPr>
          <w:rStyle w:val="9"/>
          <w:rFonts w:hint="eastAsia" w:ascii="方正黑体_GBK" w:hAnsi="宋体" w:eastAsia="方正黑体_GBK" w:cs="方正黑体_GBK"/>
          <w:sz w:val="32"/>
          <w:szCs w:val="32"/>
          <w:lang w:val="zh-CN" w:eastAsia="zh-CN"/>
        </w:rPr>
        <w:t>第一章　总 则</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第一条　为规范财务行为，加强内部财务管理，保障各部门工作的正常、有效运行，根据《会计法》、《行政单位会计制度》、《行政单位财务规则》等有关财务规章制度，制定本制度。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第二条　财务管理的基本原则：执行国家有关法律、法规和财务规章制度；厉行节约，制止奢侈浪费；量入为出，保证重点，兼顾一般；注重资金使用效益。</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第三条　市民政局财务管理的基本任务：</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（一）合理编制预算，统筹安排、合理使用各项资金，保障单位正常工作资金需要。</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（二）定期编制财务报告，如实反映全局预算执行情况，进行财务活动分析。</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（三）建立、健全内部财务管理制度，不断加强对财务活动的控制和监督。</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（四）加强国有资产管理，防止国有资产流失。</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（五）加强票证、财务印章的管理，定期对财务档案进行立卷归档。</w:t>
      </w:r>
    </w:p>
    <w:p>
      <w:pPr>
        <w:pStyle w:val="8"/>
        <w:keepNext w:val="0"/>
        <w:keepLines w:val="0"/>
        <w:pageBreakBefore w:val="0"/>
        <w:widowControl/>
        <w:suppressLineNumbers w:val="0"/>
        <w:kinsoku/>
        <w:wordWrap/>
        <w:overflowPunct/>
        <w:topLinePunct w:val="0"/>
        <w:autoSpaceDE/>
        <w:autoSpaceDN/>
        <w:bidi w:val="0"/>
        <w:snapToGrid/>
        <w:spacing w:before="0" w:after="0" w:line="560" w:lineRule="exact"/>
        <w:ind w:left="0" w:leftChars="0" w:right="48"/>
        <w:jc w:val="center"/>
        <w:textAlignment w:val="auto"/>
        <w:rPr>
          <w:rFonts w:hint="eastAsia" w:ascii="方正黑体_GBK" w:hAnsi="宋体" w:eastAsia="方正黑体_GBK" w:cs="方正黑体_GBK"/>
          <w:sz w:val="32"/>
          <w:szCs w:val="32"/>
          <w:lang w:val="zh-CN" w:eastAsia="zh-CN"/>
        </w:rPr>
      </w:pPr>
      <w:r>
        <w:rPr>
          <w:rStyle w:val="9"/>
          <w:rFonts w:hint="eastAsia" w:ascii="方正黑体_GBK" w:hAnsi="宋体" w:eastAsia="方正黑体_GBK" w:cs="方正黑体_GBK"/>
          <w:sz w:val="32"/>
          <w:szCs w:val="32"/>
          <w:lang w:val="zh-CN" w:eastAsia="zh-CN"/>
        </w:rPr>
        <w:t>第二章  预算管理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第四条　预算是指局机关财务及各部门根据本年度工作职责和任务预先制定的财务收支计划。</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第五条　预算由收入预算和支出预算组成。市民政局的各项收入和支出应当全部纳入预算统一管理，统筹安排使用。</w:t>
      </w:r>
    </w:p>
    <w:p>
      <w:pPr>
        <w:pStyle w:val="10"/>
        <w:keepNext w:val="0"/>
        <w:keepLines w:val="0"/>
        <w:pageBreakBefore w:val="0"/>
        <w:widowControl/>
        <w:suppressLineNumbers w:val="0"/>
        <w:kinsoku/>
        <w:wordWrap/>
        <w:overflowPunct/>
        <w:topLinePunct w:val="0"/>
        <w:autoSpaceDE/>
        <w:autoSpaceDN/>
        <w:bidi w:val="0"/>
        <w:snapToGrid/>
        <w:spacing w:before="0" w:after="0" w:line="560" w:lineRule="exact"/>
        <w:ind w:left="0" w:leftChars="0"/>
        <w:jc w:val="center"/>
        <w:textAlignment w:val="auto"/>
        <w:rPr>
          <w:rFonts w:hint="eastAsia" w:ascii="方正黑体_GBK" w:hAnsi="方正黑体_GBK" w:eastAsia="方正黑体_GBK" w:cs="方正黑体_GBK"/>
          <w:b w:val="0"/>
          <w:bCs/>
          <w:sz w:val="32"/>
          <w:szCs w:val="32"/>
          <w:lang w:val="zh-CN" w:eastAsia="zh-CN"/>
        </w:rPr>
      </w:pPr>
      <w:r>
        <w:rPr>
          <w:rStyle w:val="7"/>
          <w:rFonts w:hint="eastAsia" w:ascii="方正黑体_GBK" w:hAnsi="方正黑体_GBK" w:eastAsia="方正黑体_GBK" w:cs="方正黑体_GBK"/>
          <w:b w:val="0"/>
          <w:bCs/>
          <w:sz w:val="32"/>
          <w:szCs w:val="32"/>
          <w:lang w:val="zh-CN" w:eastAsia="zh-CN"/>
        </w:rPr>
        <w:t>第三章  收入管理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第六条　收入是指依法取得的非偿还性资金,包括财政预算拨款收入以及其他合法收入。</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16" w:firstLineChars="200"/>
        <w:jc w:val="both"/>
        <w:textAlignment w:val="auto"/>
        <w:rPr>
          <w:rFonts w:hint="eastAsia" w:ascii="方正仿宋_GBK" w:hAnsi="方正仿宋_GBK" w:eastAsia="方正仿宋_GBK" w:cs="方正仿宋_GBK"/>
          <w:spacing w:val="-6"/>
          <w:sz w:val="32"/>
          <w:szCs w:val="32"/>
          <w:lang w:val="en-US"/>
        </w:rPr>
      </w:pPr>
      <w:r>
        <w:rPr>
          <w:rFonts w:hint="eastAsia" w:ascii="方正仿宋_GBK" w:hAnsi="方正仿宋_GBK" w:eastAsia="方正仿宋_GBK" w:cs="方正仿宋_GBK"/>
          <w:spacing w:val="-6"/>
          <w:kern w:val="2"/>
          <w:sz w:val="32"/>
          <w:szCs w:val="32"/>
          <w:lang w:val="en-US" w:eastAsia="zh-CN" w:bidi="ar"/>
        </w:rPr>
        <w:t>财政预算拨款收入是指财政部门核拨给本部的财政预算资金。</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其他收入是指依法取得以上范围之外的收入。</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第七条　财政预算拨款收入必须纳入局办规划财务科统一管理。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第四章  支出管理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第八条　支出是指为开展业务活动发生的资金。包括经常性支出、专项支出。</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经常性支出是指为维持和完成正常工作任务发生的支出，包括人员经费和公用经费。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人员经费是指用于工资、职工福利、社会保障等个人待遇方面的支出。</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公用经费是指为开展工作的业务活动所发生的公用方面的支出。包括差旅费、设备购置及运行费、修缮费、会议费、招待费、其他费用等。</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专项支出是指为完成专项或特定工作任务发生的支出。</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本条各款的支出，应分别按其用途列入相应的预算科目。</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第九条　经费支出必须严格执行国家规定的开支范围及开支标准，厉行节约，保证人员经费和单位正常运转必需的开支。</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第十条　经常性支出的管理：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（一）人员经费的管理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局规划财务科是市民政局工资发放机构，在职职工工资纳入市财政工资统发，离退休人员的离退休金由社保机构发放。外聘人员工资的发放，应根据实际工作需要，经批准办理聘用手续后，按规定标准办理。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（二）公用经费管理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1.差旅费管理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color w:val="000000"/>
          <w:sz w:val="32"/>
          <w:szCs w:val="32"/>
          <w:lang w:val="en-US"/>
        </w:rPr>
      </w:pPr>
      <w:r>
        <w:rPr>
          <w:rFonts w:hint="eastAsia" w:ascii="方正仿宋_GBK" w:hAnsi="方正仿宋_GBK" w:eastAsia="方正仿宋_GBK" w:cs="方正仿宋_GBK"/>
          <w:color w:val="000000"/>
          <w:kern w:val="2"/>
          <w:sz w:val="32"/>
          <w:szCs w:val="32"/>
          <w:lang w:val="en-US" w:eastAsia="zh-CN" w:bidi="ar"/>
        </w:rPr>
        <w:t>差旅费开支严格按玉财行〔2014〕162号文件规定执行。</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2.会议经费的管理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会议经</w:t>
      </w:r>
      <w:r>
        <w:rPr>
          <w:rFonts w:hint="eastAsia" w:ascii="方正仿宋_GBK" w:hAnsi="方正仿宋_GBK" w:eastAsia="方正仿宋_GBK" w:cs="方正仿宋_GBK"/>
          <w:color w:val="000000"/>
          <w:kern w:val="2"/>
          <w:sz w:val="32"/>
          <w:szCs w:val="32"/>
          <w:lang w:val="en-US" w:eastAsia="zh-CN" w:bidi="ar"/>
        </w:rPr>
        <w:t>费开支严格按照玉办发〔2014〕64号文件规定执行。</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3.接待费的管理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color w:val="000000"/>
          <w:sz w:val="32"/>
          <w:szCs w:val="32"/>
          <w:lang w:val="en-US"/>
        </w:rPr>
      </w:pPr>
      <w:r>
        <w:rPr>
          <w:rFonts w:hint="eastAsia" w:ascii="方正仿宋_GBK" w:hAnsi="方正仿宋_GBK" w:eastAsia="方正仿宋_GBK" w:cs="方正仿宋_GBK"/>
          <w:color w:val="000000"/>
          <w:kern w:val="2"/>
          <w:sz w:val="32"/>
          <w:szCs w:val="32"/>
          <w:lang w:val="en-US" w:eastAsia="zh-CN" w:bidi="ar"/>
        </w:rPr>
        <w:t>公务接待费开支严格按照玉办发〔2014〕64号文件规定执行。</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4.办公费的管理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办公设备的更新添置由部门提出申请，局办公室提出意见，报局领导批准后（或提交党组会议、局务会研究通过后），由局办公室按有关规定提交政府采购或自行购买。办公用耗材由局办公室统一购买、管理、发放。</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5.电话费的管理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办公电话费由局规划财务科统一结算，公用电话的使用应注重效率，厉行节约。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pacing w:val="-4"/>
          <w:sz w:val="32"/>
          <w:szCs w:val="32"/>
          <w:lang w:val="en-US"/>
        </w:rPr>
      </w:pPr>
      <w:r>
        <w:rPr>
          <w:rFonts w:hint="eastAsia" w:ascii="方正仿宋_GBK" w:hAnsi="方正仿宋_GBK" w:eastAsia="方正仿宋_GBK" w:cs="方正仿宋_GBK"/>
          <w:kern w:val="2"/>
          <w:sz w:val="32"/>
          <w:szCs w:val="32"/>
          <w:lang w:val="en-US" w:eastAsia="zh-CN" w:bidi="ar"/>
        </w:rPr>
        <w:t>第十一条　</w:t>
      </w:r>
      <w:r>
        <w:rPr>
          <w:rFonts w:hint="eastAsia" w:ascii="方正仿宋_GBK" w:hAnsi="方正仿宋_GBK" w:eastAsia="方正仿宋_GBK" w:cs="方正仿宋_GBK"/>
          <w:spacing w:val="-4"/>
          <w:kern w:val="2"/>
          <w:sz w:val="32"/>
          <w:szCs w:val="32"/>
          <w:lang w:val="en-US" w:eastAsia="zh-CN" w:bidi="ar"/>
        </w:rPr>
        <w:t>专项经费支出的管理。各部门开展业务工作需使用专项经费时，应事先与局规划财务科沟通，按照年初经费预算提出经费使用报告，列出开支款项，报局领导审核同意后，送交规划财务科。对一次性开支经费在3万元以内的，由局规划财务科报局长审批同意后办理支付手续；对一次性开支经费在3万元以上的，由规划财务科提请党组会议、局务会研究通过后，由局长审批并办理支付手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第十二条　经费开支的审批范围。单项经费支出在500元以下的，由规划财务科科长审核后，报分管领导审批；500元至3万元以下的，由分管领导、规划财务科科长审核后，报局长审批；3万元以上的，由局党组会或局务会集体讨论决定后，局长审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color w:val="000000"/>
          <w:kern w:val="2"/>
          <w:sz w:val="32"/>
          <w:szCs w:val="32"/>
          <w:lang w:val="en-US" w:eastAsia="zh-CN" w:bidi="ar"/>
        </w:rPr>
        <w:t>各经费独立核算的下属单位，经费支出5000元以上的事前报分管领导审批；</w:t>
      </w:r>
      <w:r>
        <w:rPr>
          <w:rFonts w:hint="eastAsia" w:ascii="方正仿宋_GBK" w:hAnsi="方正仿宋_GBK" w:eastAsia="方正仿宋_GBK" w:cs="方正仿宋_GBK"/>
          <w:kern w:val="2"/>
          <w:sz w:val="32"/>
          <w:szCs w:val="32"/>
          <w:lang w:val="en-US" w:eastAsia="zh-CN" w:bidi="ar"/>
        </w:rPr>
        <w:t>3万元以上的提交局党组会或局务会确定。属于基金等专项经费的列支，按有关规定和审批程序执行。</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第十三条　财务报销手续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（一）报销程序</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各部门支出经费，需填写“经费开支审批单”。具体办理程序为：部门根据支出预计数，与局规划财务科商定后，按照领导分管权限事先报告分管领导或局长，支出费用时，填写“经费开支审批单”，此单分别由科室负责人、经办人、审核人、规划财务科和领导签字后方能报销。</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（二）报销单据的要求</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报销的单据必须是正式发票。发票应填写规范，货物名称、单价、金额等项目清楚，内容真实，手续完备。</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（三）个人借款的管理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因公到规划财务科借款，借用金额3000元及以下的由规划财务科科长审批，借用金额3000元以上的由分管办公室的领导审批。待办完相应公务一个星期内必须结清费用，归还借款。</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（四）支付工具</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接待、购买办公用品或其他物品等支出原则上要使用公务卡，使用现金支付的要注明理由。</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第五章  资产管理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第十四条　资产包括流动资产和固定资产。由局规划财务产统一建账、核算，统一登记、管理。单位对资产应定期或不定期进行清查盘点，保证账账相符，账物相符。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第十五条　流动资产的管理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流动资产包括现金、银行存款、暂付款等。</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（一）严格遵守现金管理的有关规定，加强现金管理。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（二）严格按银行账户开设的有关规定开设账户。各部门不得私自开设账户。</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（三）暂付款：控制规模，及时清理，不得长期挂账。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第十六条　固定资产的管理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固定资产是指使用期限超过一年，单位价值在1000元以上（其中：专用设备单位价值在1500元以上），并且在使用过程中基本保持原有物质形态的资产。单位价值虽然未达到规定标准，但是耐用时间在一年以上的大批同类物资，作为固定资产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一）局机关固定资产由局规划财务科负责统一管理。具体管理维护工作按照谁使用谁负责的原则进行。局规划财务科把固定资产纳入行政事业单位资产管理信息系统，实行动态管理，并开展固定资产的条码管理工作，以确保固定资产的准确性。</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（二）各部门需添置固定资产时，按照先审批后采购的原则办理，先向局办公室提出申请，经局规划财务科提出意见并按权限审批后，方可按照政府采购程序办理采购。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（三）固定资产使用变更时，须经分管领导同意后，由交接双方经手人一同到局规划财务科，对《固定资产卡片》进行变更登记，双方共同签字后作为各部门减少（增加）固定资产的依据。</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（四）固定资产的报废，必须先由部门提出意见，经局规划财务科审验，报分管部领导批准，将报废固定资产交回局规划财务科，同时核销《固定资产卡片》。</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（五）干部职工调离、退休时，一律将所使用固定资产交回所在部门或局规划财务科，经局规划财务核对相符后，方可办理相关手续。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第六章  财务报告</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第十七条　财务报告是反映市民政局一定时期财务状况和预算执行结果的总结性书面文件。包括财务报表和财务情况说明书。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第十八条　局规划财务科应当依据会计核算资料和有关文件，真实、准确、完整地编制财务报告，并按规定报送有关部门。</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第十九条　年终决算后，局规划财务科向局领导报送年终财务报表及年度财务情况说明书。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第七章  调入、调出人员的财务管理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第二十条　人员调入市民政局局时，应在当月到局规划财务科办理个人工资、住房公积金、医疗保险金、养老保险金等有关事宜的转入手续。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第二十一条　人员调出市民政局局时，应先到局规划财务科结清个人账目，交清个人使用的固定资产，然后办理工资、公积金、医疗保险金、养老保险金等有关转出手续。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第六章  附则</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宋体" w:eastAsia="方正仿宋_GBK" w:cs="方正仿宋_GBK"/>
          <w:sz w:val="32"/>
          <w:szCs w:val="32"/>
          <w:lang w:val="en-US"/>
        </w:rPr>
      </w:pPr>
      <w:r>
        <w:rPr>
          <w:rFonts w:hint="eastAsia" w:ascii="方正仿宋_GBK" w:hAnsi="宋体" w:eastAsia="方正仿宋_GBK" w:cs="方正仿宋_GBK"/>
          <w:kern w:val="2"/>
          <w:sz w:val="32"/>
          <w:szCs w:val="32"/>
          <w:lang w:val="en-US" w:eastAsia="zh-CN" w:bidi="ar"/>
        </w:rPr>
        <w:t>第二十二条  本制度由玉溪市民政局规划财务科负责解释。</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宋体" w:eastAsia="方正仿宋_GBK" w:cs="方正仿宋_GBK"/>
          <w:sz w:val="32"/>
          <w:szCs w:val="32"/>
          <w:lang w:val="en-US"/>
        </w:rPr>
      </w:pPr>
      <w:r>
        <w:rPr>
          <w:rFonts w:hint="eastAsia" w:ascii="方正仿宋_GBK" w:hAnsi="宋体" w:eastAsia="方正仿宋_GBK" w:cs="方正仿宋_GBK"/>
          <w:kern w:val="2"/>
          <w:sz w:val="32"/>
          <w:szCs w:val="32"/>
          <w:lang w:val="en-US" w:eastAsia="zh-CN" w:bidi="ar"/>
        </w:rPr>
        <w:t>第二十三条  本制度自印发之日起执行。</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宋体" w:eastAsia="方正仿宋_GBK" w:cs="方正仿宋_GBK"/>
          <w:sz w:val="32"/>
          <w:szCs w:val="32"/>
          <w:lang w:val="en-US"/>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宋体" w:eastAsia="方正仿宋_GBK" w:cs="方正仿宋_GBK"/>
          <w:sz w:val="32"/>
          <w:szCs w:val="32"/>
          <w:lang w:val="en-US"/>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Times New Roman" w:eastAsia="方正小标宋_GBK" w:cs="方正小标宋_GBK"/>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方正小标宋_GBK" w:hAnsi="Times New Roman" w:eastAsia="方正小标宋_GBK" w:cs="方正小标宋_GBK"/>
          <w:sz w:val="44"/>
          <w:szCs w:val="44"/>
          <w:lang w:val="en-US"/>
        </w:rPr>
      </w:pPr>
      <w:r>
        <w:rPr>
          <w:rFonts w:hint="eastAsia" w:ascii="方正小标宋_GBK" w:hAnsi="Times New Roman" w:eastAsia="方正小标宋_GBK" w:cs="方正小标宋_GBK"/>
          <w:kern w:val="2"/>
          <w:sz w:val="44"/>
          <w:szCs w:val="44"/>
          <w:lang w:val="en-US" w:eastAsia="zh-CN" w:bidi="ar"/>
        </w:rPr>
        <w:t>玉溪市民政局资产管理制度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仿宋_GB2312" w:eastAsia="仿宋_GB2312" w:cs="仿宋_GB2312"/>
          <w:sz w:val="32"/>
          <w:szCs w:val="32"/>
          <w:lang w:val="en-US"/>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为规范和加强市民政局资产管理，维护资产的安全完整，防止资产流失，提高使用效率，根据《行政单位的财务规则》、《行政单位国有资产管理办法》及相关的文件规定，制定本制度。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一、资产的购置</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年初，各科室根据需求，将购置计划报局规划财务科审核，通过后按政府采购目录填报《玉溪市政府采购需求申报表》，包括固定资产名称、规格和详细性能要求、数量、金额等，按采购程序进行采购。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二、资产的验收入账</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由采购科室组织人员对资产进行验收，验收合格后填写验收报告，规划财务科按合同约定支付货款，同时为明确资产使用部门和使用管理人员的责任，新购入的资产由科室领导和使用保管人员在《资产领用单》上签字确认。 此单交由规划财务科进行账务登记，规划财务科把每项资产纳入《行政事业单位资产信息管理系统》，设立卡片登记，实行条码管理，定期对实物进行清理盘点。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三、资产的使用、保管</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使用部门做好自用资产的使用管理，经常检查并改善资产的使用状况，减少资产的非正常损耗，做到高效节能，充分发挥资产使用效率，防止损失浪费。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四、资产的转移</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资产使用部门发生资产转移，如人员调动、退休、调整科室等，填写《固定资产移转单》交规划财务科作相应的个人资产使用保管调整。未经变更登记，资产管理责任由原使用保管人负责。</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五、资产的处置</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属于正常使用年限过长或报废淘汰的资产，由使用部门填写《资产处置申请表》交由局规划财务科汇总，按程序上报有关部门审批后作相应的处理，处理过的资产才能进行捐赠活动；若出现丢失、盗窃或</w:t>
      </w:r>
      <w:r>
        <w:rPr>
          <w:rFonts w:hint="eastAsia" w:ascii="方正仿宋_GBK" w:hAnsi="方正仿宋_GBK" w:eastAsia="方正仿宋_GBK" w:cs="方正仿宋_GBK"/>
          <w:color w:val="000000"/>
          <w:kern w:val="2"/>
          <w:sz w:val="32"/>
          <w:szCs w:val="32"/>
          <w:lang w:val="en-US" w:eastAsia="zh-CN" w:bidi="ar"/>
        </w:rPr>
        <w:t>非正常毁损的资产，由责任人按资产重置价值的50%进行赔偿，以保</w:t>
      </w:r>
      <w:r>
        <w:rPr>
          <w:rFonts w:hint="eastAsia" w:ascii="方正仿宋_GBK" w:hAnsi="方正仿宋_GBK" w:eastAsia="方正仿宋_GBK" w:cs="方正仿宋_GBK"/>
          <w:kern w:val="2"/>
          <w:sz w:val="32"/>
          <w:szCs w:val="32"/>
          <w:lang w:val="en-US" w:eastAsia="zh-CN" w:bidi="ar"/>
        </w:rPr>
        <w:t>障资产的安全完整。</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方正小标宋简体" w:hAnsi="方正小标宋简体" w:eastAsia="方正小标宋简体" w:cs="方正小标宋简体"/>
          <w:kern w:val="0"/>
          <w:sz w:val="44"/>
          <w:szCs w:val="44"/>
          <w:lang w:val="en-US" w:eastAsia="zh-CN" w:bidi="ar"/>
        </w:rPr>
      </w:pPr>
      <w:bookmarkStart w:id="0" w:name="_Toc4887"/>
      <w:r>
        <w:rPr>
          <w:rFonts w:hint="eastAsia" w:ascii="方正小标宋简体" w:hAnsi="方正小标宋简体" w:eastAsia="方正小标宋简体" w:cs="方正小标宋简体"/>
          <w:kern w:val="0"/>
          <w:sz w:val="44"/>
          <w:szCs w:val="44"/>
          <w:lang w:val="en-US" w:eastAsia="zh-CN" w:bidi="ar"/>
        </w:rPr>
        <w:t>玉溪市民政基础设施建设项目申报管理办法</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仿宋_GB2312" w:eastAsia="仿宋_GB2312" w:cs="仿宋_GB2312"/>
          <w:sz w:val="32"/>
          <w:szCs w:val="32"/>
          <w:lang w:val="en-US" w:eastAsia="zh-CN"/>
        </w:rPr>
      </w:pPr>
      <w:r>
        <w:rPr>
          <w:rFonts w:hint="eastAsia" w:ascii="方正小标宋简体" w:hAnsi="方正小标宋简体" w:eastAsia="方正小标宋简体" w:cs="方正小标宋简体"/>
          <w:kern w:val="0"/>
          <w:sz w:val="44"/>
          <w:szCs w:val="44"/>
          <w:lang w:val="en-US" w:eastAsia="zh-CN" w:bidi="ar"/>
        </w:rPr>
        <w:t>（试行）</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jc w:val="center"/>
        <w:textAlignment w:val="auto"/>
        <w:rPr>
          <w:rFonts w:hint="eastAsia" w:ascii="仿宋_GB2312" w:eastAsia="仿宋_GB2312" w:cs="仿宋_GB2312"/>
          <w:sz w:val="32"/>
          <w:szCs w:val="32"/>
          <w:lang w:val="en-US" w:eastAsia="zh-CN"/>
        </w:rPr>
      </w:pP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民政工作是社会建设的重要方面，是服务民生、改善民生的基础性工作，而项目建设是为民服务的基础工程，是重中之重的基础。为进一步规范我市各类民政基础设施建设项目的申报、审批等项工作，加强对建设项目的管理和监督，杜绝项目建设的随意性、盲目性，确保每一个民政建设项目都能够发挥最大效益，根据有关规定，制定本办法。</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黑体" w:hAnsi="宋体" w:eastAsia="黑体" w:cs="黑体"/>
          <w:sz w:val="32"/>
          <w:szCs w:val="32"/>
          <w:lang w:val="en-US" w:eastAsia="zh-CN"/>
        </w:rPr>
      </w:pPr>
      <w:r>
        <w:rPr>
          <w:rFonts w:hint="eastAsia" w:ascii="黑体" w:hAnsi="宋体" w:eastAsia="黑体" w:cs="黑体"/>
          <w:kern w:val="0"/>
          <w:sz w:val="32"/>
          <w:szCs w:val="32"/>
          <w:lang w:val="en-US" w:eastAsia="zh-CN" w:bidi="ar"/>
        </w:rPr>
        <w:t>一、申报程序</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宋体" w:hAnsi="宋体" w:eastAsia="宋体" w:cs="宋体"/>
          <w:sz w:val="32"/>
          <w:szCs w:val="32"/>
          <w:lang w:val="en-US" w:eastAsia="zh-CN" w:bidi="ar"/>
        </w:rPr>
      </w:pPr>
      <w:r>
        <w:rPr>
          <w:rFonts w:hint="eastAsia" w:ascii="仿宋_GB2312" w:hAnsi="仿宋_GB2312" w:eastAsia="仿宋_GB2312" w:cs="仿宋_GB2312"/>
          <w:kern w:val="0"/>
          <w:sz w:val="32"/>
          <w:szCs w:val="32"/>
          <w:lang w:val="en-US" w:eastAsia="zh-CN" w:bidi="ar"/>
        </w:rPr>
        <w:t>本办法所称民政基础设施建设项目是指：市级公共财政预算资金、福利彩票公益金，以及其他资金参与投资建设的，由各级民政部门负责或指导组织开展的民政公共服务设施新建、改扩建项目。</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bidi="ar"/>
        </w:rPr>
      </w:pPr>
      <w:r>
        <w:rPr>
          <w:rFonts w:hint="eastAsia" w:ascii="仿宋_GB2312" w:hAnsi="Calibri" w:eastAsia="仿宋_GB2312" w:cs="仿宋_GB2312"/>
          <w:kern w:val="0"/>
          <w:sz w:val="32"/>
          <w:szCs w:val="32"/>
          <w:lang w:val="en-US" w:eastAsia="zh-CN" w:bidi="ar"/>
        </w:rPr>
        <w:t>各县区申请的各类民政基础设施建设项目，必须逐级上报。即先由项目申请单位逐级申报到县区民政局，各县区民政局根据项目申请单位所在地区城乡建设规划、养老服务体系规划</w:t>
      </w:r>
      <w:r>
        <w:rPr>
          <w:rFonts w:hint="eastAsia" w:ascii="仿宋_GB2312" w:hAnsi="仿宋_GB2312" w:eastAsia="仿宋_GB2312" w:cs="仿宋_GB2312"/>
          <w:kern w:val="0"/>
          <w:sz w:val="32"/>
          <w:szCs w:val="32"/>
          <w:lang w:val="en-US" w:eastAsia="zh-CN" w:bidi="ar"/>
        </w:rPr>
        <w:t>和各专项规划</w:t>
      </w:r>
      <w:r>
        <w:rPr>
          <w:rFonts w:hint="eastAsia" w:ascii="仿宋_GB2312" w:hAnsi="Calibri" w:eastAsia="仿宋_GB2312" w:cs="仿宋_GB2312"/>
          <w:kern w:val="0"/>
          <w:sz w:val="32"/>
          <w:szCs w:val="32"/>
          <w:lang w:val="en-US" w:eastAsia="zh-CN" w:bidi="ar"/>
        </w:rPr>
        <w:t>，进行严格筛选、审核并签署具体意见后，单独或联合相关部门分类别上报市民政局相关业务科室。由市民政局相关业务科室对项目进行汇总、评估和复审，并提出具体意见，</w:t>
      </w:r>
      <w:r>
        <w:rPr>
          <w:rFonts w:hint="eastAsia" w:ascii="仿宋_GB2312" w:hAnsi="仿宋_GB2312" w:eastAsia="仿宋_GB2312" w:cs="仿宋_GB2312"/>
          <w:kern w:val="0"/>
          <w:sz w:val="32"/>
          <w:szCs w:val="32"/>
          <w:lang w:val="en-US" w:eastAsia="zh-CN" w:bidi="ar"/>
        </w:rPr>
        <w:t>经分管局领导审批</w:t>
      </w:r>
      <w:r>
        <w:rPr>
          <w:rFonts w:hint="eastAsia" w:ascii="仿宋_GB2312" w:hAnsi="Calibri" w:eastAsia="仿宋_GB2312" w:cs="仿宋_GB2312"/>
          <w:kern w:val="0"/>
          <w:sz w:val="32"/>
          <w:szCs w:val="32"/>
          <w:lang w:val="en-US" w:eastAsia="zh-CN" w:bidi="ar"/>
        </w:rPr>
        <w:t>后送局规划财务科</w:t>
      </w:r>
      <w:r>
        <w:rPr>
          <w:rFonts w:hint="eastAsia" w:ascii="仿宋_GB2312" w:hAnsi="仿宋_GB2312" w:eastAsia="仿宋_GB2312" w:cs="仿宋_GB2312"/>
          <w:kern w:val="0"/>
          <w:sz w:val="32"/>
          <w:szCs w:val="32"/>
          <w:lang w:val="en-US" w:eastAsia="zh-CN" w:bidi="ar"/>
        </w:rPr>
        <w:t>，纳入项目储备库管理。</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市民政局不再直接受理县区以下各级项目申请单位的相关请示、报告及材料。</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市局规划财务科根据当年项目、资金规模、市局业务科室意见等情况，提出初步审批意见，报项目评审领导小组集体研究决定，予以审批。</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黑体" w:hAnsi="宋体" w:eastAsia="黑体" w:cs="黑体"/>
          <w:sz w:val="32"/>
          <w:szCs w:val="32"/>
          <w:lang w:val="en-US" w:eastAsia="zh-CN"/>
        </w:rPr>
      </w:pPr>
      <w:r>
        <w:rPr>
          <w:rFonts w:hint="eastAsia" w:ascii="黑体" w:hAnsi="宋体" w:eastAsia="黑体" w:cs="黑体"/>
          <w:kern w:val="0"/>
          <w:sz w:val="32"/>
          <w:szCs w:val="32"/>
          <w:lang w:val="en-US" w:eastAsia="zh-CN" w:bidi="ar"/>
        </w:rPr>
        <w:t>二、申报原则</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1、坚持公开透明、公平规范的原则。</w:t>
      </w:r>
      <w:r>
        <w:rPr>
          <w:rFonts w:hint="eastAsia" w:ascii="仿宋_GB2312" w:hAnsi="Calibri" w:eastAsia="仿宋_GB2312" w:cs="仿宋_GB2312"/>
          <w:kern w:val="0"/>
          <w:sz w:val="32"/>
          <w:szCs w:val="32"/>
          <w:lang w:val="en-US" w:eastAsia="zh-CN" w:bidi="ar"/>
        </w:rPr>
        <w:t>市民政局有关业务科室对项目准入条件、报批材料、受理情况、审批程序等，均应作出具体规定和明确要求，公开申报流程，确保申报程序和审批过程始终做到公开、公正、便民、透明，避免暗箱操作，方便群众及社会监督。</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2、坚持群众急需、效益优先的原则。</w:t>
      </w:r>
      <w:r>
        <w:rPr>
          <w:rFonts w:hint="eastAsia" w:ascii="仿宋_GB2312" w:hAnsi="Calibri" w:eastAsia="仿宋_GB2312" w:cs="仿宋_GB2312"/>
          <w:kern w:val="0"/>
          <w:sz w:val="32"/>
          <w:szCs w:val="32"/>
          <w:lang w:val="en-US" w:eastAsia="zh-CN" w:bidi="ar"/>
        </w:rPr>
        <w:t>各县区所申报民政建设项目必须符合国家有关法律、法规和具体对口资金的使用范围及相关财务制度，以为民服务为宗旨，以项目成熟能实施、群众迫切需要解决为导向，以提升为民服务能力为目标，认真筛选项目上报。</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3、坚持逐级把关、分类上报的原则。</w:t>
      </w:r>
      <w:r>
        <w:rPr>
          <w:rFonts w:hint="eastAsia" w:ascii="仿宋_GB2312" w:hAnsi="Calibri" w:eastAsia="仿宋_GB2312" w:cs="仿宋_GB2312"/>
          <w:kern w:val="0"/>
          <w:sz w:val="32"/>
          <w:szCs w:val="32"/>
          <w:lang w:val="en-US" w:eastAsia="zh-CN" w:bidi="ar"/>
        </w:rPr>
        <w:t>乡镇（街道）、县区民政局、市局相关科室建立三级项目库制度，分别履行项目审查、把关职责。项目实现分类别申报，同一个项目只接受一次申报，不接受多头申报。当年未能予以安排的，可作为备选项目，于次年优先给予安排。</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4、坚持规划优先、激励先进的原则。</w:t>
      </w:r>
      <w:r>
        <w:rPr>
          <w:rFonts w:hint="eastAsia" w:ascii="仿宋_GB2312" w:hAnsi="Calibri" w:eastAsia="仿宋_GB2312" w:cs="仿宋_GB2312"/>
          <w:kern w:val="0"/>
          <w:sz w:val="32"/>
          <w:szCs w:val="32"/>
          <w:lang w:val="en-US" w:eastAsia="zh-CN" w:bidi="ar"/>
        </w:rPr>
        <w:t>各类建设项目均须符合城乡建设总体规划、养老服务体系建设规划</w:t>
      </w:r>
      <w:r>
        <w:rPr>
          <w:rFonts w:hint="eastAsia" w:ascii="仿宋_GB2312" w:hAnsi="仿宋_GB2312" w:eastAsia="仿宋_GB2312" w:cs="仿宋_GB2312"/>
          <w:kern w:val="0"/>
          <w:sz w:val="32"/>
          <w:szCs w:val="32"/>
          <w:lang w:val="en-US" w:eastAsia="zh-CN" w:bidi="ar"/>
        </w:rPr>
        <w:t>和各专项规划</w:t>
      </w:r>
      <w:r>
        <w:rPr>
          <w:rFonts w:hint="eastAsia" w:ascii="仿宋_GB2312" w:hAnsi="Calibri" w:eastAsia="仿宋_GB2312" w:cs="仿宋_GB2312"/>
          <w:kern w:val="0"/>
          <w:sz w:val="32"/>
          <w:szCs w:val="32"/>
          <w:lang w:val="en-US" w:eastAsia="zh-CN" w:bidi="ar"/>
        </w:rPr>
        <w:t>，并按一次性投资考虑，原则上不追加资金。申报过程中，应将基层组织有积极性、已经在建或建成、社会效益显著的项目优先申报。各县区必须严格把关，严禁虚报项目和投资规模，上报材料必须做到清晰、完整、规范。</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黑体" w:hAnsi="宋体" w:eastAsia="黑体" w:cs="黑体"/>
          <w:kern w:val="0"/>
          <w:sz w:val="32"/>
          <w:szCs w:val="32"/>
          <w:lang w:val="en-US" w:eastAsia="zh-CN" w:bidi="ar"/>
        </w:rPr>
        <w:t>三、申报时限：</w:t>
      </w:r>
      <w:r>
        <w:rPr>
          <w:rFonts w:hint="eastAsia" w:ascii="仿宋_GB2312" w:hAnsi="Calibri" w:eastAsia="仿宋_GB2312" w:cs="仿宋_GB2312"/>
          <w:kern w:val="0"/>
          <w:sz w:val="32"/>
          <w:szCs w:val="32"/>
          <w:lang w:val="en-US" w:eastAsia="zh-CN" w:bidi="ar"/>
        </w:rPr>
        <w:t>各县区计划建设的民政建设项目，于每年4月份统一集中申报完毕。其中主体报告部分、《项目申报汇总表》在提交纸质文件的同时，提供电子文档（电子邮件或软盘）。逾期未报的，视为自动放弃。灾后重建家园类项目的申请不受时间限制，可随时提交申请报告。</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黑体" w:hAnsi="宋体" w:eastAsia="黑体" w:cs="黑体"/>
          <w:sz w:val="32"/>
          <w:szCs w:val="32"/>
          <w:lang w:val="en-US" w:eastAsia="zh-CN"/>
        </w:rPr>
      </w:pPr>
      <w:r>
        <w:rPr>
          <w:rFonts w:hint="eastAsia" w:ascii="黑体" w:hAnsi="宋体" w:eastAsia="黑体" w:cs="黑体"/>
          <w:kern w:val="0"/>
          <w:sz w:val="32"/>
          <w:szCs w:val="32"/>
          <w:lang w:val="en-US" w:eastAsia="zh-CN" w:bidi="ar"/>
        </w:rPr>
        <w:t>四、科室职责及分类接受、评审要求</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00"/>
        <w:jc w:val="both"/>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kern w:val="0"/>
          <w:sz w:val="32"/>
          <w:szCs w:val="32"/>
          <w:lang w:val="en-US" w:eastAsia="zh-CN" w:bidi="ar"/>
        </w:rPr>
        <w:t>民政基础设施项目申报和建设实行分类指导，分级管理。市民政局负责指导全市民政基础设施项目的规划布局，制定项目管理有关制度，编制项目投资补助计划，负责市级项目储备库的建设和日常管理，负责指导、监督、检查项目建设，以及建成项目的管理和运营。市局相关业务科室结合项目库建设，应建立“接受申报项目登记管理制度”，详细登记县区民政局递交申报项目的时间、地点、数量以及交件人姓名、职务、联系方式等信息，以便今后衔接和查询。对不符合本办法要求的项目申报材料，市局业务科室应当场告知并退回交件人，申报材料不齐全的不得接件、受理。对符合申报条件的项目，县区交件人有权要求业务科室当场进行登记，并签字记录备查。县区民政部门应加强民政基础设施项目建设的组织领导，建立长效工作机制，明确工作职责，确定专人负责项目管理工作。市局相关科室职责分别为：</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0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1、社会事务和社会福利科。</w:t>
      </w:r>
      <w:r>
        <w:rPr>
          <w:rFonts w:hint="eastAsia" w:ascii="仿宋_GB2312" w:hAnsi="Calibri" w:eastAsia="仿宋_GB2312" w:cs="仿宋_GB2312"/>
          <w:kern w:val="0"/>
          <w:sz w:val="32"/>
          <w:szCs w:val="32"/>
          <w:lang w:val="en-US" w:eastAsia="zh-CN" w:bidi="ar"/>
        </w:rPr>
        <w:t xml:space="preserve">负责社会福利类项目的审核把关，包括：老年福利机构类、残疾人福利类、儿童福利类、婚姻登记类、社会救助类、殡葬改革类以及其它类等项目。  </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 xml:space="preserve">    </w:t>
      </w:r>
      <w:r>
        <w:rPr>
          <w:rFonts w:hint="eastAsia" w:ascii="楷体_GB2312" w:hAnsi="Calibri" w:eastAsia="楷体_GB2312" w:cs="楷体_GB2312"/>
          <w:kern w:val="0"/>
          <w:sz w:val="32"/>
          <w:szCs w:val="32"/>
          <w:lang w:val="en-US" w:eastAsia="zh-CN" w:bidi="ar"/>
        </w:rPr>
        <w:t>2、老龄工作科。</w:t>
      </w:r>
      <w:r>
        <w:rPr>
          <w:rFonts w:hint="eastAsia" w:ascii="仿宋_GB2312" w:hAnsi="Calibri" w:eastAsia="仿宋_GB2312" w:cs="仿宋_GB2312"/>
          <w:kern w:val="0"/>
          <w:sz w:val="32"/>
          <w:szCs w:val="32"/>
          <w:lang w:val="en-US" w:eastAsia="zh-CN" w:bidi="ar"/>
        </w:rPr>
        <w:t>负责养老服务体系建设项目（乡镇、街道敬老院除外）的审核把关。包括：老年养护院、居家养老服务中心、日间照料中心、百村建设、老年活动场所、农村幸福院等项目。</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3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3、社会救助科。</w:t>
      </w:r>
      <w:r>
        <w:rPr>
          <w:rFonts w:hint="eastAsia" w:ascii="仿宋_GB2312" w:hAnsi="Calibri" w:eastAsia="仿宋_GB2312" w:cs="仿宋_GB2312"/>
          <w:kern w:val="0"/>
          <w:sz w:val="32"/>
          <w:szCs w:val="32"/>
          <w:lang w:val="en-US" w:eastAsia="zh-CN" w:bidi="ar"/>
        </w:rPr>
        <w:t>负责中心敬老院，乡镇、街道敬老院等项目的审核把关。</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　　</w:t>
      </w:r>
      <w:r>
        <w:rPr>
          <w:rFonts w:hint="eastAsia" w:ascii="楷体_GB2312" w:hAnsi="Calibri" w:eastAsia="楷体_GB2312" w:cs="楷体_GB2312"/>
          <w:kern w:val="0"/>
          <w:sz w:val="32"/>
          <w:szCs w:val="32"/>
          <w:lang w:val="en-US" w:eastAsia="zh-CN" w:bidi="ar"/>
        </w:rPr>
        <w:t>4、优抚安置科。</w:t>
      </w:r>
      <w:r>
        <w:rPr>
          <w:rFonts w:hint="eastAsia" w:ascii="仿宋_GB2312" w:hAnsi="Calibri" w:eastAsia="仿宋_GB2312" w:cs="仿宋_GB2312"/>
          <w:kern w:val="0"/>
          <w:sz w:val="32"/>
          <w:szCs w:val="32"/>
          <w:lang w:val="en-US" w:eastAsia="zh-CN" w:bidi="ar"/>
        </w:rPr>
        <w:t>负责烈士纪念设施的建设、维修，军休所、军供站建设、维修及改造项目以及优抚类、安置类项目。</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5、救灾救济科。</w:t>
      </w:r>
      <w:r>
        <w:rPr>
          <w:rFonts w:hint="eastAsia" w:ascii="仿宋_GB2312" w:hAnsi="Calibri" w:eastAsia="仿宋_GB2312" w:cs="仿宋_GB2312"/>
          <w:kern w:val="0"/>
          <w:sz w:val="32"/>
          <w:szCs w:val="32"/>
          <w:lang w:val="en-US" w:eastAsia="zh-CN" w:bidi="ar"/>
        </w:rPr>
        <w:t>负责灾后重建项目的审核把关，根据灾情实际及时组织项目申报。</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6、基层政权和社区建设科。</w:t>
      </w:r>
      <w:r>
        <w:rPr>
          <w:rFonts w:hint="eastAsia" w:ascii="仿宋_GB2312" w:hAnsi="Calibri" w:eastAsia="仿宋_GB2312" w:cs="仿宋_GB2312"/>
          <w:kern w:val="0"/>
          <w:sz w:val="32"/>
          <w:szCs w:val="32"/>
          <w:lang w:val="en-US" w:eastAsia="zh-CN" w:bidi="ar"/>
        </w:rPr>
        <w:t>负责基层政权建设、社区基础设施建设、社区服务类项目的审核把关。</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楷体_GB2312" w:hAnsi="Calibri" w:eastAsia="楷体_GB2312" w:cs="楷体_GB2312"/>
          <w:kern w:val="0"/>
          <w:sz w:val="32"/>
          <w:szCs w:val="32"/>
          <w:lang w:val="en-US" w:eastAsia="zh-CN" w:bidi="ar"/>
        </w:rPr>
        <w:t>7、规划财务科。</w:t>
      </w:r>
      <w:r>
        <w:rPr>
          <w:rFonts w:hint="eastAsia" w:ascii="仿宋_GB2312" w:hAnsi="Calibri" w:eastAsia="仿宋_GB2312" w:cs="仿宋_GB2312"/>
          <w:kern w:val="0"/>
          <w:sz w:val="32"/>
          <w:szCs w:val="32"/>
          <w:lang w:val="en-US" w:eastAsia="zh-CN" w:bidi="ar"/>
        </w:rPr>
        <w:t>负责市级项目储备库建设，负责当年全部申报项目的汇总，</w:t>
      </w:r>
      <w:r>
        <w:rPr>
          <w:rFonts w:hint="eastAsia" w:ascii="仿宋_GB2312" w:hAnsi="仿宋_GB2312" w:eastAsia="仿宋_GB2312" w:cs="仿宋_GB2312"/>
          <w:kern w:val="0"/>
          <w:sz w:val="32"/>
          <w:szCs w:val="32"/>
          <w:lang w:val="en-US" w:eastAsia="zh-CN" w:bidi="ar"/>
        </w:rPr>
        <w:t>编制项目投资补助计划，</w:t>
      </w:r>
      <w:r>
        <w:rPr>
          <w:rFonts w:hint="eastAsia" w:ascii="仿宋_GB2312" w:hAnsi="Calibri" w:eastAsia="仿宋_GB2312" w:cs="仿宋_GB2312"/>
          <w:kern w:val="0"/>
          <w:sz w:val="32"/>
          <w:szCs w:val="32"/>
          <w:lang w:val="en-US" w:eastAsia="zh-CN" w:bidi="ar"/>
        </w:rPr>
        <w:t>提出初步评审意见。</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黑体" w:hAnsi="宋体" w:eastAsia="黑体" w:cs="黑体"/>
          <w:sz w:val="32"/>
          <w:szCs w:val="32"/>
          <w:lang w:val="en-US" w:eastAsia="zh-CN"/>
        </w:rPr>
      </w:pPr>
      <w:r>
        <w:rPr>
          <w:rFonts w:hint="eastAsia" w:ascii="黑体" w:hAnsi="宋体" w:eastAsia="黑体" w:cs="黑体"/>
          <w:kern w:val="0"/>
          <w:sz w:val="32"/>
          <w:szCs w:val="32"/>
          <w:lang w:val="en-US" w:eastAsia="zh-CN" w:bidi="ar"/>
        </w:rPr>
        <w:t>五、申报材料要求</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1、计划总投资超过50万元的项目，县区自筹资金与要求市级配套的资金比例不得低于1：1，即县区自筹须达到项目总投资的1/2（不含土地和房屋折价）；土地无偿划拨。这两项是立项的基本前提。</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2、建设规模应根据项目所在辖区的实际需要对象人数和地方配套资金数额来确定。</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计划总投资超过50万元的项目，要提供项目可行性报告，县区发改部门的立项批文和规划部门的有关批件，县区政府（或乡镇、街道）就项目建设问题研究形成的文件复印件（加盖公章）及落实配套资金的承诺，国土管理部门的用地批准书等。</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老年人活动中心类项目，应提供项目申请单位村（居）民代表或党员代表会议集体研究记录复印件（加盖公章）。</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3、项目建设内容，要充分考虑满足民政服务对象的基本生活需求和生活特性。殡葬改革项目选址要考虑环境保护、当地群众习俗等因素。</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 xml:space="preserve">4、除殡葬改革项目外，其他项目选址宜在交通便利、环境优美、气候适宜、临近街面、购物方便的县、乡镇（街道）中心地点。 </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5、项目申请单位应当提供项目建成后机构管理、营运的具体措施、办法，特别是机构管理、服务人员的报酬如何解决的问题，并作出书面承诺。</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黑体" w:hAnsi="宋体" w:eastAsia="黑体" w:cs="黑体"/>
          <w:sz w:val="32"/>
          <w:szCs w:val="32"/>
          <w:lang w:val="en-US" w:eastAsia="zh-CN"/>
        </w:rPr>
      </w:pPr>
      <w:r>
        <w:rPr>
          <w:rFonts w:hint="eastAsia" w:ascii="黑体" w:hAnsi="宋体" w:eastAsia="黑体" w:cs="黑体"/>
          <w:kern w:val="0"/>
          <w:sz w:val="32"/>
          <w:szCs w:val="32"/>
          <w:lang w:val="en-US" w:eastAsia="zh-CN" w:bidi="ar"/>
        </w:rPr>
        <w:t>六、项目建设、管理</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00"/>
        <w:jc w:val="both"/>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kern w:val="0"/>
          <w:sz w:val="32"/>
          <w:szCs w:val="32"/>
          <w:lang w:val="en-US" w:eastAsia="zh-CN" w:bidi="ar"/>
        </w:rPr>
        <w:t>项目建设单位应当根据《建设工程质量管理条例》和相关法律法规，严格实行项目法人制、招标投标制、工程监理制和合同管理制，确保工程建设质量和施工安全。实行在建项目报告制度，凡是有中央和省、市级补助资金的在建项目，项目所在县区民政局应定期向市民政局业务科室上报项目建设进度情况。属福利彩票公益金补助建设的项目，应当在显著位置标识“彩票公益金资助——中国福利彩票”字样。</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00"/>
        <w:jc w:val="both"/>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kern w:val="0"/>
          <w:sz w:val="32"/>
          <w:szCs w:val="32"/>
          <w:lang w:val="en-US" w:eastAsia="zh-CN" w:bidi="ar"/>
        </w:rPr>
        <w:t>项目建成后，应及时组织相关单位和人员进行竣工验收，及时办理固定资产登记等手续，纳入固定资产管理。建设形成的固定资产，未经主管部门批准，项目建设单位不得随意变更用途或擅自处置。</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00"/>
        <w:jc w:val="both"/>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kern w:val="0"/>
          <w:sz w:val="32"/>
          <w:szCs w:val="32"/>
          <w:lang w:val="en-US" w:eastAsia="zh-CN" w:bidi="ar"/>
        </w:rPr>
        <w:t>项目管理应自觉接受同级或上级财政、发改、审计、监察等部门的监督检查。对管理不善、弄虚作假，不履行基本建设程序，擅自变更建设用地、建设性质、建设内容，挪用、截留建设资金或存在其他违法违纪行为的项目和单位，视情节轻重分别采取限期整改、通报批评、停止拨款、停止安排新建项目等措施，情节严重的，移交纪检监察机关和相关部门处理。</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项目具体实施过程中，民政建设资金一律不得用于投资办企业，不得拆借和委托放贷，不得参与股票和期货交易，也不得为任何单位的任何经济合同提供担保。同时，有下列情形之一的，市民政局将减少直至取消项目资助，并与今后再安排的项目相挂钩：</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1、县区自筹资金达不到规定比例且不能足额到位的；</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2、建筑面积与上报项目材料不符，弄虚作假，报大建小的；</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3、未按规定时限要求完成项目建设任务的；</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4、组织实施不力，工程质量差，主体工程验收不合格的；</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5、基本服务功能不符合规定要求，不能及时发挥应有作用的；</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6、挪用、截留资金，随意改变资金用途，不按规定使用资金，不专款专用的；</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7、产权界定不明确，三证（土地证、房产证、国有资产登记证）不齐全的。</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420"/>
        <w:jc w:val="both"/>
        <w:textAlignment w:val="auto"/>
        <w:rPr>
          <w:rFonts w:hint="eastAsia" w:ascii="仿宋_GB2312" w:hAnsi="仿宋_GB2312" w:eastAsia="仿宋_GB2312" w:cs="仿宋_GB2312"/>
          <w:sz w:val="32"/>
          <w:szCs w:val="32"/>
          <w:lang w:val="en-US" w:eastAsia="zh-CN" w:bidi="ar"/>
        </w:rPr>
      </w:pPr>
      <w:r>
        <w:rPr>
          <w:rFonts w:hint="eastAsia" w:ascii="仿宋_GB2312" w:hAnsi="Calibri" w:eastAsia="仿宋_GB2312" w:cs="仿宋_GB2312"/>
          <w:kern w:val="0"/>
          <w:sz w:val="32"/>
          <w:szCs w:val="32"/>
          <w:lang w:val="en-US" w:eastAsia="zh-CN" w:bidi="ar"/>
        </w:rPr>
        <w:t xml:space="preserve">  本本办法</w:t>
      </w:r>
      <w:r>
        <w:rPr>
          <w:rFonts w:hint="eastAsia" w:ascii="仿宋_GB2312" w:hAnsi="仿宋_GB2312" w:eastAsia="仿宋_GB2312" w:cs="仿宋_GB2312"/>
          <w:kern w:val="0"/>
          <w:sz w:val="32"/>
          <w:szCs w:val="32"/>
          <w:lang w:val="en-US" w:eastAsia="zh-CN" w:bidi="ar"/>
        </w:rPr>
        <w:t>自公布之日起施行。各县区原来已经申报但未或批准的</w:t>
      </w:r>
      <w:r>
        <w:rPr>
          <w:rFonts w:hint="eastAsia" w:ascii="仿宋_GB2312" w:hAnsi="Calibri" w:eastAsia="仿宋_GB2312" w:cs="仿宋_GB2312"/>
          <w:kern w:val="0"/>
          <w:sz w:val="32"/>
          <w:szCs w:val="32"/>
          <w:lang w:val="en-US" w:eastAsia="zh-CN" w:bidi="ar"/>
        </w:rPr>
        <w:t>项目，按本办法要求重新进行申报。各县区、市局有关科室可根据本办法，结合实际制定具体的项目管理办法。</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firstLine="600"/>
        <w:jc w:val="both"/>
        <w:textAlignment w:val="auto"/>
        <w:rPr>
          <w:rFonts w:hint="eastAsia" w:ascii="宋体" w:hAnsi="宋体" w:eastAsia="宋体" w:cs="宋体"/>
          <w:sz w:val="32"/>
          <w:szCs w:val="32"/>
          <w:lang w:val="en-US" w:eastAsia="zh-CN" w:bidi="ar"/>
        </w:rPr>
      </w:pPr>
      <w:r>
        <w:rPr>
          <w:rFonts w:hint="eastAsia" w:ascii="仿宋_GB2312" w:hAnsi="仿宋_GB2312" w:eastAsia="仿宋_GB2312" w:cs="仿宋_GB2312"/>
          <w:kern w:val="0"/>
          <w:sz w:val="32"/>
          <w:szCs w:val="32"/>
          <w:lang w:val="en-US" w:eastAsia="zh-CN" w:bidi="ar"/>
        </w:rPr>
        <w:t>本办法由市民政局规划财务科负责解释。</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仿宋_GB2312" w:eastAsia="仿宋_GB2312" w:cs="仿宋_GB2312"/>
          <w:sz w:val="32"/>
          <w:szCs w:val="32"/>
          <w:lang w:val="en-US" w:eastAsia="zh-CN"/>
        </w:rPr>
      </w:pP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仿宋_GB2312" w:eastAsia="仿宋_GB2312" w:cs="仿宋_GB2312"/>
          <w:sz w:val="32"/>
          <w:szCs w:val="32"/>
          <w:lang w:val="en-US" w:eastAsia="zh-CN"/>
        </w:rPr>
      </w:pPr>
      <w:r>
        <w:rPr>
          <w:rFonts w:hint="eastAsia" w:ascii="仿宋_GB2312" w:hAnsi="Calibri" w:eastAsia="仿宋_GB2312" w:cs="仿宋_GB2312"/>
          <w:kern w:val="0"/>
          <w:sz w:val="32"/>
          <w:szCs w:val="32"/>
          <w:lang w:val="en-US" w:eastAsia="zh-CN" w:bidi="ar"/>
        </w:rPr>
        <w:t>附件：1.《</w:t>
      </w:r>
      <w:r>
        <w:rPr>
          <w:rFonts w:hint="eastAsia" w:ascii="仿宋_GB2312" w:hAnsi="Calibri" w:eastAsia="仿宋_GB2312" w:cs="仿宋_GB2312"/>
          <w:kern w:val="0"/>
          <w:sz w:val="32"/>
          <w:szCs w:val="32"/>
          <w:u w:val="single"/>
          <w:lang w:val="en-US" w:eastAsia="zh-CN" w:bidi="ar"/>
        </w:rPr>
        <w:t xml:space="preserve">    </w:t>
      </w:r>
      <w:r>
        <w:rPr>
          <w:rFonts w:hint="eastAsia" w:ascii="仿宋_GB2312" w:hAnsi="Calibri" w:eastAsia="仿宋_GB2312" w:cs="仿宋_GB2312"/>
          <w:kern w:val="0"/>
          <w:sz w:val="32"/>
          <w:szCs w:val="32"/>
          <w:lang w:val="en-US" w:eastAsia="zh-CN" w:bidi="ar"/>
        </w:rPr>
        <w:t>年度</w:t>
      </w:r>
      <w:r>
        <w:rPr>
          <w:rFonts w:hint="eastAsia" w:ascii="仿宋_GB2312" w:hAnsi="Calibri" w:eastAsia="仿宋_GB2312" w:cs="仿宋_GB2312"/>
          <w:kern w:val="0"/>
          <w:sz w:val="32"/>
          <w:szCs w:val="32"/>
          <w:u w:val="single"/>
          <w:lang w:val="en-US" w:eastAsia="zh-CN" w:bidi="ar"/>
        </w:rPr>
        <w:t xml:space="preserve">    </w:t>
      </w:r>
      <w:r>
        <w:rPr>
          <w:rFonts w:hint="eastAsia" w:ascii="仿宋_GB2312" w:hAnsi="Calibri" w:eastAsia="仿宋_GB2312" w:cs="仿宋_GB2312"/>
          <w:kern w:val="0"/>
          <w:sz w:val="32"/>
          <w:szCs w:val="32"/>
          <w:lang w:val="en-US" w:eastAsia="zh-CN" w:bidi="ar"/>
        </w:rPr>
        <w:t>县区民政社会福利事业项目申报汇总表》</w:t>
      </w:r>
    </w:p>
    <w:p>
      <w:pPr>
        <w:keepNext w:val="0"/>
        <w:keepLines w:val="0"/>
        <w:pageBreakBefore w:val="0"/>
        <w:widowControl/>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小标宋_GBK" w:hAnsi="方正小标宋_GBK" w:eastAsia="方正小标宋_GBK" w:cs="方正小标宋_GBK"/>
          <w:b w:val="0"/>
          <w:bCs/>
        </w:rPr>
      </w:pPr>
      <w:r>
        <w:rPr>
          <w:rFonts w:hint="eastAsia" w:ascii="仿宋_GB2312" w:hAnsi="Calibri" w:eastAsia="仿宋_GB2312" w:cs="仿宋_GB2312"/>
          <w:kern w:val="0"/>
          <w:sz w:val="32"/>
          <w:szCs w:val="32"/>
          <w:lang w:val="en-US" w:eastAsia="zh-CN" w:bidi="ar"/>
        </w:rPr>
        <w:t xml:space="preserve">     2.《</w:t>
      </w:r>
      <w:r>
        <w:rPr>
          <w:rFonts w:hint="eastAsia" w:ascii="仿宋_GB2312" w:hAnsi="Calibri" w:eastAsia="仿宋_GB2312" w:cs="仿宋_GB2312"/>
          <w:kern w:val="0"/>
          <w:sz w:val="32"/>
          <w:szCs w:val="32"/>
          <w:u w:val="single"/>
          <w:lang w:val="en-US" w:eastAsia="zh-CN" w:bidi="ar"/>
        </w:rPr>
        <w:t xml:space="preserve">     </w:t>
      </w:r>
      <w:r>
        <w:rPr>
          <w:rFonts w:hint="eastAsia" w:ascii="仿宋_GB2312" w:hAnsi="Calibri" w:eastAsia="仿宋_GB2312" w:cs="仿宋_GB2312"/>
          <w:kern w:val="0"/>
          <w:sz w:val="32"/>
          <w:szCs w:val="32"/>
          <w:lang w:val="en-US" w:eastAsia="zh-CN" w:bidi="ar"/>
        </w:rPr>
        <w:t>年度</w:t>
      </w:r>
      <w:r>
        <w:rPr>
          <w:rFonts w:hint="eastAsia" w:ascii="仿宋_GB2312" w:hAnsi="Calibri" w:eastAsia="仿宋_GB2312" w:cs="仿宋_GB2312"/>
          <w:kern w:val="0"/>
          <w:sz w:val="32"/>
          <w:szCs w:val="32"/>
          <w:u w:val="single"/>
          <w:lang w:val="en-US" w:eastAsia="zh-CN" w:bidi="ar"/>
        </w:rPr>
        <w:t xml:space="preserve">    </w:t>
      </w:r>
      <w:r>
        <w:rPr>
          <w:rFonts w:hint="eastAsia" w:ascii="仿宋_GB2312" w:hAnsi="Calibri" w:eastAsia="仿宋_GB2312" w:cs="仿宋_GB2312"/>
          <w:kern w:val="0"/>
          <w:sz w:val="32"/>
          <w:szCs w:val="32"/>
          <w:lang w:val="en-US" w:eastAsia="zh-CN" w:bidi="ar"/>
        </w:rPr>
        <w:t>县区老年活动场所建设申请汇总表》</w:t>
      </w: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ageBreakBefore w:val="0"/>
        <w:kinsoku/>
        <w:wordWrap/>
        <w:overflowPunct/>
        <w:topLinePunct w:val="0"/>
        <w:autoSpaceDE/>
        <w:autoSpaceDN/>
        <w:bidi w:val="0"/>
        <w:snapToGrid/>
        <w:spacing w:line="560" w:lineRule="exact"/>
        <w:ind w:left="0" w:leftChars="0"/>
        <w:jc w:val="both"/>
        <w:textAlignment w:val="auto"/>
        <w:rPr>
          <w:rFonts w:hint="eastAsia" w:ascii="方正小标宋_GBK" w:hAnsi="方正小标宋_GBK" w:eastAsia="方正小标宋_GBK" w:cs="方正小标宋_GBK"/>
          <w:b w:val="0"/>
          <w:bCs/>
        </w:rPr>
      </w:pPr>
    </w:p>
    <w:p>
      <w:pPr>
        <w:pStyle w:val="2"/>
        <w:pageBreakBefore w:val="0"/>
        <w:widowControl/>
        <w:kinsoku/>
        <w:wordWrap/>
        <w:overflowPunct/>
        <w:topLinePunct w:val="0"/>
        <w:autoSpaceDE/>
        <w:autoSpaceDN/>
        <w:bidi w:val="0"/>
        <w:snapToGrid/>
        <w:spacing w:before="0" w:after="0" w:line="560" w:lineRule="exact"/>
        <w:ind w:left="0" w:leftChars="0"/>
        <w:jc w:val="center"/>
        <w:textAlignment w:val="auto"/>
        <w:rPr>
          <w:rFonts w:hint="eastAsia" w:ascii="方正小标宋_GBK" w:hAnsi="方正小标宋_GBK" w:eastAsia="方正小标宋_GBK" w:cs="方正小标宋_GBK"/>
          <w:b w:val="0"/>
          <w:bCs/>
        </w:rPr>
      </w:pPr>
      <w:r>
        <w:rPr>
          <w:rFonts w:hint="eastAsia" w:ascii="方正小标宋_GBK" w:hAnsi="方正小标宋_GBK" w:eastAsia="方正小标宋_GBK" w:cs="方正小标宋_GBK"/>
          <w:b w:val="0"/>
          <w:bCs/>
        </w:rPr>
        <w:t>玉溪市民政局“三重一大”集体决策制度</w:t>
      </w:r>
      <w:bookmarkEnd w:id="0"/>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jc w:val="both"/>
        <w:textAlignment w:val="auto"/>
        <w:rPr>
          <w:rFonts w:hint="eastAsia" w:ascii="方正仿宋_GBK" w:hAnsi="方正仿宋_GBK" w:eastAsia="方正仿宋_GBK" w:cs="方正仿宋_GBK"/>
          <w:sz w:val="32"/>
          <w:szCs w:val="20"/>
          <w:lang w:val="en-US"/>
        </w:rPr>
      </w:pP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为切实加强民主集中制建设，促进本局领导班子科学决策、民主决策、依法决策，充分发挥领导班子集体领导的作用，全面贯彻落实科学发展观，切实加强对权力运行的监督和制约，有效防止决策失误、行为失范，保证决策质量，根据市委进一步完善“三重一大”集体决策制度的精神，结合本局实际，制定本制度。</w:t>
      </w:r>
    </w:p>
    <w:p>
      <w:pPr>
        <w:keepNext w:val="0"/>
        <w:keepLines w:val="0"/>
        <w:pageBreakBefore w:val="0"/>
        <w:widowControl w:val="0"/>
        <w:numPr>
          <w:ilvl w:val="0"/>
          <w:numId w:val="1"/>
        </w:numPr>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20"/>
          <w:lang w:val="en-US"/>
        </w:rPr>
      </w:pPr>
      <w:r>
        <w:rPr>
          <w:rFonts w:hint="eastAsia" w:ascii="方正黑体_GBK" w:hAnsi="方正黑体_GBK" w:eastAsia="方正黑体_GBK" w:cs="方正黑体_GBK"/>
          <w:kern w:val="2"/>
          <w:sz w:val="32"/>
          <w:szCs w:val="20"/>
          <w:lang w:val="en-US" w:eastAsia="zh-CN" w:bidi="ar"/>
        </w:rPr>
        <w:t>“三重一大”事项的主要内容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“三重一大”制度是指：重大决策、重要干部任免、重大项目安排、大额度资金的使用（以下简称“三重一大”），必须经过集体讨论决策的制度。</w:t>
      </w:r>
    </w:p>
    <w:p>
      <w:pPr>
        <w:keepNext w:val="0"/>
        <w:keepLines w:val="0"/>
        <w:pageBreakBefore w:val="0"/>
        <w:widowControl w:val="0"/>
        <w:numPr>
          <w:ilvl w:val="0"/>
          <w:numId w:val="2"/>
        </w:numPr>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重大决策</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凡涉及我局改革、发展和稳定，关系干部职工切身利益的重大问题，均属于重大事项决策的范围，主要包括：</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1.贯彻和落实党和国家的路线、方针、政策，市委、市政府及省民政厅的重要会议和文件精神的意见和措施；</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2.我局发展规划、重大改革措施以及实施方案的制定和调整，年度工作报告和工作要点（计划）的制定；</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3.民政局年度经费预算、决算的制定和调整；</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4.向上级请示、报告的重要事项；'</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5.局党建工作、精神文明建设、惩防体系建设和党风廉政建设责任制等重大问题；</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6.民政队伍建设的重大事项，涉及干部职工切身利益的重大事项以及机关内部人员的调整；</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7.重要规章制度的建立、修订与废除。</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20"/>
          <w:lang w:val="en-US"/>
        </w:rPr>
      </w:pPr>
      <w:r>
        <w:rPr>
          <w:rFonts w:hint="eastAsia" w:ascii="方正黑体_GBK" w:hAnsi="方正黑体_GBK" w:eastAsia="方正黑体_GBK" w:cs="方正黑体_GBK"/>
          <w:kern w:val="2"/>
          <w:sz w:val="32"/>
          <w:szCs w:val="20"/>
          <w:lang w:val="en-US" w:eastAsia="zh-CN" w:bidi="ar"/>
        </w:rPr>
        <w:t>(二）重要干部任免</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1.按干部管辖权限应由局党组会议决定的有关干部的推荐、提名、录用、任免、交流和调整；</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2.授予局以上荣誉称号的干部和单位的推荐与确定；</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3.对干部职工的考核、奖励和违纪违法的处理；</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4.上级党代会代表候选人、人大代表候选人、政协委员候选人预备人选的推荐和初审；</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5.其他需要讨论研究的人事事项。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20"/>
          <w:lang w:val="en-US"/>
        </w:rPr>
      </w:pPr>
      <w:r>
        <w:rPr>
          <w:rFonts w:hint="eastAsia" w:ascii="方正黑体_GBK" w:hAnsi="方正黑体_GBK" w:eastAsia="方正黑体_GBK" w:cs="方正黑体_GBK"/>
          <w:kern w:val="2"/>
          <w:sz w:val="32"/>
          <w:szCs w:val="20"/>
          <w:lang w:val="en-US" w:eastAsia="zh-CN" w:bidi="ar"/>
        </w:rPr>
        <w:t>(三）重大项目安排</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1.涉及我局发展的重大建设项目；</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2.直属社会福利机构等民政基础设施建设工程项目；</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3.市民政局用房的修繕工程项目、大项固定资产购置、救灾物资和慰问物资的采购；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4.国有资产的处置；</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5.由局党政班子安排并组织实施的重要会议、重大活动等；</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6.领导班子认为应当集体研究决定的其他重要项目安排。</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20"/>
          <w:lang w:val="en-US"/>
        </w:rPr>
      </w:pPr>
      <w:r>
        <w:rPr>
          <w:rFonts w:hint="eastAsia" w:ascii="方正黑体_GBK" w:hAnsi="方正黑体_GBK" w:eastAsia="方正黑体_GBK" w:cs="方正黑体_GBK"/>
          <w:kern w:val="2"/>
          <w:sz w:val="32"/>
          <w:szCs w:val="20"/>
          <w:lang w:val="en-US" w:eastAsia="zh-CN" w:bidi="ar"/>
        </w:rPr>
        <w:t>(四）大额度资金使用</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 市民政局年度财政预算的编制、执行和调整；</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 财政预算外资金的安排和调整；</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 2万元人民币以上的业务费（会议费、接待费、其他活动经费等)的开支;</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4. 5万元人民币以上的固定资产釆购；</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5. 5万元人民币以上的修缮费开支；</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6. 其他需要集体讨论决定的开支。</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20"/>
          <w:lang w:val="en-US"/>
        </w:rPr>
      </w:pPr>
      <w:r>
        <w:rPr>
          <w:rFonts w:hint="eastAsia" w:ascii="方正黑体_GBK" w:hAnsi="方正黑体_GBK" w:eastAsia="方正黑体_GBK" w:cs="方正黑体_GBK"/>
          <w:kern w:val="2"/>
          <w:sz w:val="32"/>
          <w:szCs w:val="20"/>
          <w:lang w:val="en-US" w:eastAsia="zh-CN" w:bidi="ar"/>
        </w:rPr>
        <w:t>二、“三重一大”决策原则</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1.科学决策原则。尊重客观规律，运用科学的方式，做到现实性和前瞻性相结合，使决策符合民政事业和社会发展规律；</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2.民主决策原则。反映民意，集中民智，做到充分听取各方面的意见和建议，使决策体现和反映最广大人民群众的根本利益；</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3.依法决策原则。严格按照职权法定和程序法定进行，正确履行法定职责。</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20"/>
          <w:lang w:val="en-US"/>
        </w:rPr>
      </w:pPr>
      <w:r>
        <w:rPr>
          <w:rFonts w:hint="eastAsia" w:ascii="方正黑体_GBK" w:hAnsi="方正黑体_GBK" w:eastAsia="方正黑体_GBK" w:cs="方正黑体_GBK"/>
          <w:kern w:val="2"/>
          <w:sz w:val="32"/>
          <w:szCs w:val="20"/>
          <w:lang w:val="en-US" w:eastAsia="zh-CN" w:bidi="ar"/>
        </w:rPr>
        <w:t>三、“三重一大”决策机制</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(一）决策规则</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1.凡需班子会议决议的事项，不得以传阅会签或个别征求意见等方式代替集体决策。</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2.会议要严格按照预定议题进行，一般不能临时改动会议议题或表决事项，特别是不能临时改动重大议题或重要人事任免事项。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3.集体议事决策事项，遵循少数服从多数的原则。</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4.“三重一大”事项决策的情况，包括决策参与人、决策事项、决策过程、决策结论等，要以会议记录、纪要、决定、备忘录等形式留下文字资料，并存档备查。</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(二）决策程序</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凡属“三重一大”事项，除遇重大突发事件和紧急情况外，应由领导班子以会议形式集体讨论决定。会议由局党政班子成员参加，根据工作需要，也可以以班子扩大会议形式召开，副调研员及相关科室、直属事业单位的负责人列席会议。会议必须有三分之二以上班子 成员到会方可召开，</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1.“三重一大”事项决策前，应深入调查研究，充分听取意见。</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2.审议“三重一大”事项，会议通知和有关材料应提前1至2天送达参会人员，并做好必要的会前准备。</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3.“三重一大”事项决策前，班子成员可通过适当形式对有关议题进行酝酿，但不得作出决定或影响决策。</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4.决策“三重一大”事项时，由议题提出人员或有关人员全面、客观、真实地汇报议题的有关情况，班子各成员应认真履行职责，对决策建议逐个明确表示意见。局党组书记、局长应在其他成员充分发表意见的基础上，最后发表意见。会议决策按大多数成员的意见形成。</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5.决策“三重一大”事项需表决的，应按规定进行表决。决定多个事项时，应当逐项进行表决。研究推荐、提名和决定干部任免、奖惩事项，应当逐项表决。表决应釆取口头、举手、无记名投票或记名投票等方式进行表决，表决结果和表决方式应记录在案。表决事项以赞成票超过应到会人数的半数以上为通过(其中，涉及干部人事事项的，执行相关规定），未到会人员的书面意见不计入表决票数。</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6.在决定重大问题时,对少数人的不同意见,应认真考虑。如对重大问题发生争论，应暂缓决定，并进一步调查研究，交换意见，下次再进行表决。</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7.决策“三重一大”事项的会议记录应明确具体事项、决策过程和决策结论。</w:t>
      </w:r>
    </w:p>
    <w:p>
      <w:pPr>
        <w:keepNext w:val="0"/>
        <w:keepLines w:val="0"/>
        <w:pageBreakBefore w:val="0"/>
        <w:widowControl w:val="0"/>
        <w:numPr>
          <w:ilvl w:val="0"/>
          <w:numId w:val="0"/>
        </w:numPr>
        <w:suppressLineNumbers w:val="0"/>
        <w:kinsoku/>
        <w:wordWrap/>
        <w:overflowPunct/>
        <w:topLinePunct w:val="0"/>
        <w:autoSpaceDE/>
        <w:autoSpaceDN/>
        <w:bidi w:val="0"/>
        <w:snapToGrid/>
        <w:spacing w:beforeAutospacing="0" w:afterAutospacing="0" w:line="560" w:lineRule="exact"/>
        <w:ind w:left="0" w:leftChars="0" w:right="0" w:rightChars="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8.全体与会人员必须严格遵守会议纪律，对会议未定和决定但不宜对外公开的事项以及会议讨论情况，不得对外泄露。</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(三）决策实施</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1.会议作出的决定事项，由班子成员按分工和职责组织实施，由局办公室负责督办。遇有分工和职责交叉的，由主要领导明确一名班子成员牵头。</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2.各有关执行科室、直属事业单位应当根据各自职责，全面、及时、正确地贯彻执行本局的重大决策事项。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3.对集体形成的决议，全体班子成员必须执行,个人不得擅自改变或拒绝执行。个人或少数人有不同意见允许保留，也可以按组织程序向上级反映，但在集体没有改变决策前，必须无条件服从。</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4.如在执行过程中情况发生变化，需要改变原来的集体决定，必须经领导班子集体复议，做出新的决定，并按新的决定执行。</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5.遇特殊或紧急情况，未能及时召开会议进行讨论的，经局党组书记、局长同意后，可酌情处置，但事后应当及时向领导班子通报情况。</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20"/>
          <w:lang w:val="en-US"/>
        </w:rPr>
      </w:pPr>
      <w:r>
        <w:rPr>
          <w:rFonts w:hint="eastAsia" w:ascii="方正黑体_GBK" w:hAnsi="方正黑体_GBK" w:eastAsia="方正黑体_GBK" w:cs="方正黑体_GBK"/>
          <w:kern w:val="2"/>
          <w:sz w:val="32"/>
          <w:szCs w:val="20"/>
          <w:lang w:val="en-US" w:eastAsia="zh-CN" w:bidi="ar"/>
        </w:rPr>
        <w:t>四、决策督查</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1.党组成员应根据分工和职责及时向局领导班子报告“三重一大”事项的执行情况，并将执行情况列入年度班子民主生活会和述职述廉的重要内容。</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2.把执行“三重一大”制度情况列入党政领导班子建设、落实党风廉政建设责任制和反腐倡廉建设的重要内容，接受上级纪检监察机关的监督检查。</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3.局办公室督促指导各科室、直属事业单位认真落实好“三重一大”集体决策事项。局办公室应根据决策事项和本局工作安排，釆取跟踪检查、督促催办等措施，确保决策事项的正确施行，并适时向党组书记、局长和分管领导报告督查情况。</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黑体_GBK" w:hAnsi="方正黑体_GBK" w:eastAsia="方正黑体_GBK" w:cs="方正黑体_GBK"/>
          <w:sz w:val="32"/>
          <w:szCs w:val="20"/>
          <w:lang w:val="en-US"/>
        </w:rPr>
      </w:pPr>
      <w:r>
        <w:rPr>
          <w:rFonts w:hint="eastAsia" w:ascii="方正黑体_GBK" w:hAnsi="方正黑体_GBK" w:eastAsia="方正黑体_GBK" w:cs="方正黑体_GBK"/>
          <w:kern w:val="2"/>
          <w:sz w:val="32"/>
          <w:szCs w:val="20"/>
          <w:lang w:val="en-US" w:eastAsia="zh-CN" w:bidi="ar"/>
        </w:rPr>
        <w:t>五、责任追究</w:t>
      </w:r>
    </w:p>
    <w:p>
      <w:pPr>
        <w:keepNext w:val="0"/>
        <w:keepLines w:val="0"/>
        <w:pageBreakBefore w:val="0"/>
        <w:widowControl w:val="0"/>
        <w:suppressLineNumbers w:val="0"/>
        <w:kinsoku/>
        <w:wordWrap/>
        <w:overflowPunct/>
        <w:topLinePunct w:val="0"/>
        <w:autoSpaceDE/>
        <w:autoSpaceDN/>
        <w:bidi w:val="0"/>
        <w:snapToGrid/>
        <w:spacing w:beforeAutospacing="0" w:afterAutospacing="0" w:line="560" w:lineRule="exact"/>
        <w:ind w:left="0" w:leftChars="0" w:right="0" w:firstLine="640" w:firstLineChars="200"/>
        <w:jc w:val="both"/>
        <w:textAlignment w:val="auto"/>
        <w:rPr>
          <w:rFonts w:hint="eastAsia" w:ascii="方正仿宋_GBK" w:hAnsi="方正仿宋_GBK" w:eastAsia="方正仿宋_GBK" w:cs="方正仿宋_GBK"/>
          <w:sz w:val="32"/>
          <w:szCs w:val="20"/>
          <w:lang w:val="en-US"/>
        </w:rPr>
      </w:pPr>
      <w:r>
        <w:rPr>
          <w:rFonts w:hint="eastAsia" w:ascii="方正仿宋_GBK" w:hAnsi="方正仿宋_GBK" w:eastAsia="方正仿宋_GBK" w:cs="方正仿宋_GBK"/>
          <w:kern w:val="2"/>
          <w:sz w:val="32"/>
          <w:szCs w:val="20"/>
          <w:lang w:val="en-US" w:eastAsia="zh-CN" w:bidi="ar"/>
        </w:rPr>
        <w:t>1.未经集体讨论决定“三重一大”事项的，不执行集体决策或擅自改变集体决策的，对集体决策执行不力或错误执行造成经济损失或其他严重后果的，依纪依法进行追究处理。</w:t>
      </w:r>
    </w:p>
    <w:p>
      <w:pPr>
        <w:keepNext w:val="0"/>
        <w:keepLines w:val="0"/>
        <w:pageBreakBefore w:val="0"/>
        <w:widowControl/>
        <w:suppressLineNumbers w:val="0"/>
        <w:kinsoku/>
        <w:wordWrap/>
        <w:overflowPunct/>
        <w:topLinePunct w:val="0"/>
        <w:autoSpaceDE/>
        <w:autoSpaceDN/>
        <w:bidi w:val="0"/>
        <w:snapToGrid/>
        <w:spacing w:line="560" w:lineRule="exact"/>
        <w:ind w:left="0" w:leftChars="0" w:firstLine="640" w:firstLineChars="200"/>
        <w:jc w:val="both"/>
        <w:textAlignment w:val="auto"/>
        <w:rPr>
          <w:rFonts w:hint="eastAsia" w:ascii="方正仿宋_GBK" w:hAnsi="方正仿宋_GBK" w:eastAsia="方正仿宋_GBK" w:cs="Times New Roman"/>
          <w:kern w:val="2"/>
          <w:sz w:val="32"/>
          <w:szCs w:val="20"/>
          <w:lang w:val="en-US" w:eastAsia="zh-CN" w:bidi="ar"/>
        </w:rPr>
      </w:pPr>
      <w:r>
        <w:rPr>
          <w:rFonts w:hint="eastAsia" w:ascii="方正仿宋_GBK" w:hAnsi="方正仿宋_GBK" w:eastAsia="方正仿宋_GBK" w:cs="Times New Roman"/>
          <w:kern w:val="2"/>
          <w:sz w:val="32"/>
          <w:szCs w:val="20"/>
          <w:lang w:val="en-US" w:eastAsia="zh-CN" w:bidi="ar"/>
        </w:rPr>
        <w:t>2.发现集体决策失误或涉嫌违纪违法的，应在查明情况、分清责任的基础上，报上级相关部门并接受相应的责任追究。</w:t>
      </w:r>
    </w:p>
    <w:p>
      <w:pPr>
        <w:keepNext w:val="0"/>
        <w:keepLines w:val="0"/>
        <w:pageBreakBefore w:val="0"/>
        <w:widowControl/>
        <w:suppressLineNumbers w:val="0"/>
        <w:kinsoku/>
        <w:wordWrap/>
        <w:overflowPunct/>
        <w:topLinePunct w:val="0"/>
        <w:autoSpaceDE/>
        <w:autoSpaceDN/>
        <w:bidi w:val="0"/>
        <w:snapToGrid/>
        <w:spacing w:line="560" w:lineRule="exact"/>
        <w:ind w:left="0" w:leftChars="0" w:firstLine="640" w:firstLineChars="200"/>
        <w:jc w:val="both"/>
        <w:textAlignment w:val="auto"/>
        <w:rPr>
          <w:rFonts w:hint="eastAsia" w:ascii="方正仿宋_GBK" w:hAnsi="方正仿宋_GBK" w:eastAsia="方正仿宋_GBK" w:cs="Times New Roman"/>
          <w:kern w:val="2"/>
          <w:sz w:val="32"/>
          <w:szCs w:val="20"/>
          <w:lang w:val="en-US" w:eastAsia="zh-CN" w:bidi="ar"/>
        </w:rPr>
      </w:pPr>
    </w:p>
    <w:p>
      <w:pPr>
        <w:keepNext w:val="0"/>
        <w:keepLines w:val="0"/>
        <w:pageBreakBefore w:val="0"/>
        <w:widowControl/>
        <w:suppressLineNumbers w:val="0"/>
        <w:kinsoku/>
        <w:wordWrap/>
        <w:overflowPunct/>
        <w:topLinePunct w:val="0"/>
        <w:autoSpaceDE/>
        <w:autoSpaceDN/>
        <w:bidi w:val="0"/>
        <w:snapToGrid/>
        <w:spacing w:line="560" w:lineRule="exact"/>
        <w:ind w:left="0" w:leftChars="0" w:firstLine="640" w:firstLineChars="200"/>
        <w:jc w:val="both"/>
        <w:textAlignment w:val="auto"/>
        <w:rPr>
          <w:rFonts w:hint="eastAsia" w:ascii="方正仿宋_GBK" w:hAnsi="方正仿宋_GBK" w:eastAsia="方正仿宋_GBK" w:cs="Times New Roman"/>
          <w:kern w:val="2"/>
          <w:sz w:val="32"/>
          <w:szCs w:val="20"/>
          <w:lang w:val="en-US" w:eastAsia="zh-CN" w:bidi="ar"/>
        </w:rPr>
      </w:pPr>
    </w:p>
    <w:p>
      <w:pPr>
        <w:keepNext w:val="0"/>
        <w:keepLines w:val="0"/>
        <w:pageBreakBefore w:val="0"/>
        <w:widowControl/>
        <w:suppressLineNumbers w:val="0"/>
        <w:kinsoku/>
        <w:wordWrap/>
        <w:overflowPunct/>
        <w:topLinePunct w:val="0"/>
        <w:autoSpaceDE/>
        <w:autoSpaceDN/>
        <w:bidi w:val="0"/>
        <w:snapToGrid/>
        <w:spacing w:line="560" w:lineRule="exact"/>
        <w:ind w:left="0" w:leftChars="0" w:firstLine="5120" w:firstLineChars="1600"/>
        <w:jc w:val="both"/>
        <w:textAlignment w:val="auto"/>
        <w:rPr>
          <w:rFonts w:hint="eastAsia" w:ascii="方正仿宋_GBK" w:hAnsi="方正仿宋_GBK" w:eastAsia="方正仿宋_GBK" w:cs="Times New Roman"/>
          <w:kern w:val="2"/>
          <w:sz w:val="32"/>
          <w:szCs w:val="20"/>
          <w:lang w:val="en-US" w:eastAsia="zh-CN" w:bidi="ar"/>
        </w:rPr>
      </w:pPr>
      <w:r>
        <w:rPr>
          <w:rFonts w:hint="eastAsia" w:ascii="方正仿宋_GBK" w:hAnsi="方正仿宋_GBK" w:eastAsia="方正仿宋_GBK" w:cs="Times New Roman"/>
          <w:kern w:val="2"/>
          <w:sz w:val="32"/>
          <w:szCs w:val="20"/>
          <w:lang w:val="en-US" w:eastAsia="zh-CN" w:bidi="ar"/>
        </w:rPr>
        <w:t>中共玉溪市民政局党组</w:t>
      </w:r>
    </w:p>
    <w:p>
      <w:pPr>
        <w:keepNext w:val="0"/>
        <w:keepLines w:val="0"/>
        <w:pageBreakBefore w:val="0"/>
        <w:widowControl/>
        <w:suppressLineNumbers w:val="0"/>
        <w:kinsoku/>
        <w:wordWrap/>
        <w:overflowPunct/>
        <w:topLinePunct w:val="0"/>
        <w:autoSpaceDE/>
        <w:autoSpaceDN/>
        <w:bidi w:val="0"/>
        <w:snapToGrid/>
        <w:spacing w:line="560" w:lineRule="exact"/>
        <w:ind w:left="0" w:leftChars="0" w:firstLine="5440" w:firstLineChars="1700"/>
        <w:jc w:val="both"/>
        <w:textAlignment w:val="auto"/>
        <w:rPr>
          <w:rFonts w:hint="eastAsia" w:ascii="方正仿宋_GBK" w:hAnsi="方正仿宋_GBK" w:eastAsia="方正仿宋_GBK" w:cs="Times New Roman"/>
          <w:kern w:val="2"/>
          <w:sz w:val="32"/>
          <w:szCs w:val="20"/>
          <w:lang w:val="en-US" w:eastAsia="zh-CN" w:bidi="ar"/>
        </w:rPr>
      </w:pPr>
      <w:r>
        <w:rPr>
          <w:rFonts w:hint="eastAsia" w:ascii="方正仿宋_GBK" w:hAnsi="方正仿宋_GBK" w:eastAsia="方正仿宋_GBK" w:cs="Times New Roman"/>
          <w:kern w:val="2"/>
          <w:sz w:val="32"/>
          <w:szCs w:val="20"/>
          <w:lang w:val="en-US" w:eastAsia="zh-CN" w:bidi="ar"/>
        </w:rPr>
        <w:t>2018年2月9日</w:t>
      </w:r>
    </w:p>
    <w:p>
      <w:pPr>
        <w:pageBreakBefore w:val="0"/>
        <w:kinsoku/>
        <w:wordWrap/>
        <w:overflowPunct/>
        <w:topLinePunct w:val="0"/>
        <w:autoSpaceDE/>
        <w:autoSpaceDN/>
        <w:bidi w:val="0"/>
        <w:snapToGrid/>
        <w:spacing w:line="560" w:lineRule="exact"/>
        <w:ind w:left="0" w:leftChars="0"/>
        <w:jc w:val="both"/>
        <w:textAlignment w:val="auto"/>
      </w:pPr>
    </w:p>
    <w:sectPr>
      <w:headerReference r:id="rId3" w:type="default"/>
      <w:footerReference r:id="rId4" w:type="default"/>
      <w:pgSz w:w="12240" w:h="15840"/>
      <w:pgMar w:top="2098" w:right="1474" w:bottom="1984" w:left="1587"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auto"/>
    <w:pitch w:val="default"/>
    <w:sig w:usb0="00000001" w:usb1="080E0000" w:usb2="00000000" w:usb3="00000000" w:csb0="00040000" w:csb1="00000000"/>
  </w:font>
  <w:font w:name="Cambria Math">
    <w:panose1 w:val="02040503050406030204"/>
    <w:charset w:val="00"/>
    <w:family w:val="auto"/>
    <w:pitch w:val="default"/>
    <w:sig w:usb0="E00002FF" w:usb1="420024FF" w:usb2="00000000" w:usb3="00000000" w:csb0="2000019F" w:csb1="00000000"/>
  </w:font>
  <w:font w:name="@方正小标宋_GBK">
    <w:panose1 w:val="020B0300000000000000"/>
    <w:charset w:val="86"/>
    <w:family w:val="auto"/>
    <w:pitch w:val="default"/>
    <w:sig w:usb0="00000001" w:usb1="080F1810" w:usb2="00000016" w:usb3="00000000" w:csb0="00060007" w:csb1="00000000"/>
  </w:font>
  <w:font w:name="方正黑体_GBK">
    <w:panose1 w:val="03000509000000000000"/>
    <w:charset w:val="86"/>
    <w:family w:val="auto"/>
    <w:pitch w:val="default"/>
    <w:sig w:usb0="00000001" w:usb1="080E0000" w:usb2="00000000" w:usb3="00000000" w:csb0="00040000" w:csb1="00000000"/>
  </w:font>
  <w:font w:name="方正小标宋_GBK">
    <w:panose1 w:val="020B0300000000000000"/>
    <w:charset w:val="86"/>
    <w:family w:val="auto"/>
    <w:pitch w:val="default"/>
    <w:sig w:usb0="00000001" w:usb1="080F1810" w:usb2="00000016" w:usb3="00000000" w:csb0="00060007" w:csb1="00000000"/>
  </w:font>
  <w:font w:name="方正仿宋_GBK">
    <w:panose1 w:val="03000509000000000000"/>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黑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posOffset>2576830</wp:posOffset>
              </wp:positionH>
              <wp:positionV relativeFrom="paragraph">
                <wp:posOffset>-170815</wp:posOffset>
              </wp:positionV>
              <wp:extent cx="702945" cy="2978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02945" cy="2978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r>
                            <w:rPr>
                              <w:rFonts w:hint="default" w:ascii="Times New Roman" w:hAnsi="Times New Roman" w:cs="Times New Roman"/>
                              <w:sz w:val="24"/>
                              <w:szCs w:val="24"/>
                              <w:lang w:eastAsia="zh-CN"/>
                            </w:rPr>
                            <w:t>—</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2.9pt;margin-top:-13.45pt;height:23.45pt;width:55.35pt;mso-position-horizontal-relative:margin;z-index:251658240;mso-width-relative:page;mso-height-relative:page;" filled="f" stroked="f" coordsize="21600,21600" o:gfxdata="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9GpQ4dgAAAAK&#10;AQAADwAAAAAAAAABACAAAAAiAAAAZHJzL2Rvd25yZXYueG1sUEsBAhQAFAAAAAgAh07iQNOTdTAc&#10;AgAAEwQAAA4AAAAAAAAAAQAgAAAAJwEAAGRycy9lMm9Eb2MueG1sUEsFBgAAAAAGAAYAWQEAALUF&#10;AAAAAA==&#10;">
              <v:fill on="f" focussize="0,0"/>
              <v:stroke on="f" weight="0.5pt"/>
              <v:imagedata o:title=""/>
              <o:lock v:ext="edit" aspectratio="f"/>
              <v:textbox inset="0mm,0mm,0mm,0mm">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r>
                      <w:rPr>
                        <w:rFonts w:hint="default" w:ascii="Times New Roman" w:hAnsi="Times New Roman" w:cs="Times New Roman"/>
                        <w:sz w:val="24"/>
                        <w:szCs w:val="24"/>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D522C"/>
    <w:multiLevelType w:val="multilevel"/>
    <w:tmpl w:val="5A7D522C"/>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5A7D5237"/>
    <w:multiLevelType w:val="multilevel"/>
    <w:tmpl w:val="5A7D5237"/>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B415FA"/>
    <w:rsid w:val="00E62A9E"/>
    <w:rsid w:val="27FB6F9E"/>
    <w:rsid w:val="429F7B64"/>
    <w:rsid w:val="43B13594"/>
    <w:rsid w:val="4EB415FA"/>
    <w:rsid w:val="56B0735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3"/>
    <w:qFormat/>
    <w:uiPriority w:val="0"/>
    <w:pPr>
      <w:keepNext/>
      <w:keepLines/>
      <w:widowControl w:val="0"/>
      <w:suppressLineNumbers w:val="0"/>
      <w:spacing w:before="340" w:beforeAutospacing="0" w:after="330" w:afterAutospacing="0" w:line="576" w:lineRule="auto"/>
      <w:ind w:left="0" w:right="0"/>
      <w:jc w:val="both"/>
      <w:outlineLvl w:val="0"/>
    </w:pPr>
    <w:rPr>
      <w:rFonts w:hint="default" w:ascii="Times New Roman" w:hAnsi="Times New Roman" w:eastAsia="宋体" w:cs="Times New Roman"/>
      <w:b/>
      <w:kern w:val="44"/>
      <w:sz w:val="44"/>
      <w:szCs w:val="20"/>
      <w:lang w:val="en-US" w:eastAsia="zh-CN" w:bidi="ar"/>
    </w:rPr>
  </w:style>
  <w:style w:type="character" w:default="1" w:styleId="5">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3">
    <w:name w:val="footer"/>
    <w:basedOn w:val="1"/>
    <w:link w:val="14"/>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 Style34"/>
    <w:basedOn w:val="5"/>
    <w:uiPriority w:val="0"/>
    <w:rPr>
      <w:rFonts w:hint="eastAsia" w:ascii="宋体" w:hAnsi="宋体" w:eastAsia="宋体" w:cs="宋体"/>
      <w:b/>
      <w:spacing w:val="10"/>
      <w:sz w:val="26"/>
      <w:szCs w:val="26"/>
    </w:rPr>
  </w:style>
  <w:style w:type="paragraph" w:customStyle="1" w:styleId="8">
    <w:name w:val="Style6"/>
    <w:basedOn w:val="1"/>
    <w:uiPriority w:val="0"/>
    <w:pPr>
      <w:keepNext w:val="0"/>
      <w:keepLines w:val="0"/>
      <w:widowControl w:val="0"/>
      <w:suppressLineNumbers w:val="0"/>
      <w:adjustRightInd w:val="0"/>
      <w:spacing w:before="0" w:beforeAutospacing="0" w:after="0" w:afterAutospacing="0"/>
      <w:ind w:left="0" w:right="0"/>
      <w:jc w:val="left"/>
    </w:pPr>
    <w:rPr>
      <w:rFonts w:hint="eastAsia" w:ascii="宋体" w:hAnsi="Times New Roman" w:eastAsia="宋体" w:cs="Times New Roman"/>
      <w:kern w:val="0"/>
      <w:sz w:val="24"/>
      <w:szCs w:val="24"/>
      <w:lang w:val="en-US" w:eastAsia="zh-CN" w:bidi="ar"/>
    </w:rPr>
  </w:style>
  <w:style w:type="character" w:customStyle="1" w:styleId="9">
    <w:name w:val="Font Style13"/>
    <w:basedOn w:val="5"/>
    <w:uiPriority w:val="0"/>
    <w:rPr>
      <w:rFonts w:hint="eastAsia" w:ascii="黑体" w:hAnsi="宋体" w:eastAsia="黑体" w:cs="黑体"/>
      <w:sz w:val="28"/>
      <w:szCs w:val="28"/>
    </w:rPr>
  </w:style>
  <w:style w:type="paragraph" w:customStyle="1" w:styleId="10">
    <w:name w:val="Style2"/>
    <w:basedOn w:val="1"/>
    <w:uiPriority w:val="0"/>
    <w:pPr>
      <w:keepNext w:val="0"/>
      <w:keepLines w:val="0"/>
      <w:widowControl w:val="0"/>
      <w:suppressLineNumbers w:val="0"/>
      <w:adjustRightInd w:val="0"/>
      <w:spacing w:before="0" w:beforeAutospacing="0" w:after="0" w:afterAutospacing="0"/>
      <w:ind w:left="0" w:right="0"/>
      <w:jc w:val="left"/>
    </w:pPr>
    <w:rPr>
      <w:rFonts w:hint="eastAsia" w:ascii="宋体" w:hAnsi="Times New Roman" w:eastAsia="宋体" w:cs="Times New Roman"/>
      <w:kern w:val="0"/>
      <w:sz w:val="24"/>
      <w:szCs w:val="24"/>
      <w:lang w:val="en-US" w:eastAsia="zh-CN" w:bidi="ar"/>
    </w:rPr>
  </w:style>
  <w:style w:type="character" w:customStyle="1" w:styleId="11">
    <w:name w:val="Font Style11"/>
    <w:basedOn w:val="5"/>
    <w:uiPriority w:val="0"/>
    <w:rPr>
      <w:rFonts w:hint="eastAsia" w:ascii="黑体" w:hAnsi="宋体" w:eastAsia="黑体" w:cs="黑体"/>
      <w:sz w:val="34"/>
      <w:szCs w:val="34"/>
    </w:rPr>
  </w:style>
  <w:style w:type="paragraph" w:customStyle="1" w:styleId="12">
    <w:name w:val="Style1"/>
    <w:basedOn w:val="1"/>
    <w:uiPriority w:val="0"/>
    <w:pPr>
      <w:keepNext w:val="0"/>
      <w:keepLines w:val="0"/>
      <w:widowControl w:val="0"/>
      <w:suppressLineNumbers w:val="0"/>
      <w:adjustRightInd w:val="0"/>
      <w:spacing w:before="0" w:beforeAutospacing="0" w:after="0" w:afterAutospacing="0" w:line="528" w:lineRule="exact"/>
      <w:ind w:left="0" w:right="0" w:firstLine="595"/>
      <w:jc w:val="both"/>
    </w:pPr>
    <w:rPr>
      <w:rFonts w:hint="eastAsia" w:ascii="宋体" w:hAnsi="Times New Roman" w:eastAsia="宋体" w:cs="Times New Roman"/>
      <w:kern w:val="0"/>
      <w:sz w:val="24"/>
      <w:szCs w:val="24"/>
      <w:lang w:val="en-US" w:eastAsia="zh-CN" w:bidi="ar"/>
    </w:rPr>
  </w:style>
  <w:style w:type="character" w:customStyle="1" w:styleId="13">
    <w:name w:val="标题 1 Char"/>
    <w:basedOn w:val="5"/>
    <w:link w:val="2"/>
    <w:qFormat/>
    <w:uiPriority w:val="0"/>
    <w:rPr>
      <w:b/>
      <w:kern w:val="44"/>
      <w:sz w:val="44"/>
    </w:rPr>
  </w:style>
  <w:style w:type="character" w:customStyle="1" w:styleId="14">
    <w:name w:val="页脚 Char"/>
    <w:basedOn w:val="5"/>
    <w:link w:val="3"/>
    <w:uiPriority w:val="0"/>
    <w:rPr>
      <w:rFonts w:hint="default" w:ascii="Calibri" w:hAnsi="Calibri" w:cs="Calibri"/>
      <w:sz w:val="18"/>
      <w:szCs w:val="18"/>
      <w:lang w:eastAsia="en-US"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玉溪市直属党政机关单位</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2018-02-09T07:39:00Z</dcterms:created>
  <dc:creator>周纯</dc:creator>
  <cp:lastModifiedBy>周纯</cp:lastModifiedBy>
  <dcterms:modified xsi:type="dcterms:W3CDTF">2018-05-04T02:03:42Z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