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云南省人民政府决定承接的8项行政权力事项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6980" cy="3288665"/>
            <wp:effectExtent l="0" t="0" r="1270" b="6985"/>
            <wp:docPr id="1" name="图片 1" descr="附件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8856980" cy="3911600"/>
            <wp:effectExtent l="0" t="0" r="1270" b="12700"/>
            <wp:docPr id="2" name="图片 2" descr="附件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2669F"/>
    <w:rsid w:val="6F7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2020-11-26T02:08:00Z</dcterms:created>
  <dc:creator>李春林</dc:creator>
  <cp:lastModifiedBy>李春林</cp:lastModifiedBy>
  <dcterms:modified xsi:type="dcterms:W3CDTF">2020-11-26T02:09:50Z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