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line="590" w:lineRule="exact"/>
        <w:jc w:val="center"/>
        <w:rPr>
          <w:rFonts w:ascii="方正小标宋简体" w:hAnsi="方正小标宋简体"/>
          <w:sz w:val="36"/>
          <w:szCs w:val="36"/>
        </w:rPr>
      </w:pPr>
      <w:r>
        <w:rPr>
          <w:rFonts w:ascii="方正小标宋简体" w:hAnsi="方正小标宋简体"/>
          <w:sz w:val="36"/>
          <w:szCs w:val="36"/>
        </w:rPr>
        <w:t>玉溪市食品药品检验所部门2019年</w:t>
      </w:r>
    </w:p>
    <w:p>
      <w:pPr>
        <w:adjustRightInd w:val="0"/>
        <w:spacing w:before="100" w:beforeAutospacing="1" w:after="100" w:afterAutospacing="1" w:line="590" w:lineRule="exact"/>
        <w:jc w:val="center"/>
        <w:rPr>
          <w:rFonts w:ascii="Times New Roman" w:hAnsi="Times New Roman" w:eastAsia="方正小标宋简体" w:cs="Times New Roman"/>
          <w:sz w:val="36"/>
          <w:szCs w:val="36"/>
        </w:rPr>
      </w:pPr>
      <w:r>
        <w:rPr>
          <w:rFonts w:ascii="方正小标宋简体" w:hAnsi="方正小标宋简体"/>
          <w:sz w:val="36"/>
          <w:szCs w:val="36"/>
        </w:rPr>
        <w:t>度部门决算</w:t>
      </w:r>
      <w:r>
        <w:rPr>
          <w:rFonts w:ascii="Times New Roman" w:hAnsi="Times New Roman" w:eastAsia="方正小标宋简体" w:cs="Times New Roman"/>
          <w:sz w:val="36"/>
          <w:szCs w:val="36"/>
        </w:rPr>
        <w:t xml:space="preserve"> </w:t>
      </w:r>
    </w:p>
    <w:p>
      <w:pPr>
        <w:adjustRightInd w:val="0"/>
        <w:spacing w:before="100" w:beforeAutospacing="1" w:after="100" w:afterAutospacing="1" w:line="590" w:lineRule="exact"/>
        <w:jc w:val="center"/>
        <w:rPr>
          <w:rFonts w:ascii="Times New Roman" w:hAnsi="Times New Roman" w:eastAsia="黑体" w:cs="Times New Roman"/>
          <w:sz w:val="36"/>
          <w:szCs w:val="36"/>
        </w:rPr>
      </w:pPr>
      <w:r>
        <w:rPr>
          <w:rFonts w:hint="eastAsia" w:ascii="黑体" w:hAnsi="黑体" w:eastAsia="黑体"/>
          <w:sz w:val="36"/>
          <w:szCs w:val="36"/>
        </w:rPr>
        <w:t>目录</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第一部分</w:t>
      </w:r>
      <w:r>
        <w:rPr>
          <w:rFonts w:hint="eastAsia" w:ascii="黑体" w:hAnsi="Times New Roman" w:eastAsia="黑体"/>
          <w:sz w:val="30"/>
          <w:szCs w:val="30"/>
        </w:rPr>
        <w:t xml:space="preserve">  </w:t>
      </w:r>
      <w:r>
        <w:rPr>
          <w:rFonts w:hint="eastAsia" w:ascii="黑体" w:hAnsi="黑体" w:eastAsia="黑体"/>
          <w:sz w:val="30"/>
          <w:szCs w:val="30"/>
        </w:rPr>
        <w:t>玉溪市食品药品检验所概况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一、主要职能</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二、部门基本情况</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第二部分</w:t>
      </w:r>
      <w:r>
        <w:rPr>
          <w:rFonts w:hint="eastAsia" w:ascii="黑体" w:hAnsi="Times New Roman" w:eastAsia="黑体"/>
          <w:sz w:val="30"/>
          <w:szCs w:val="30"/>
        </w:rPr>
        <w:t xml:space="preserve">  2019</w:t>
      </w:r>
      <w:r>
        <w:rPr>
          <w:rFonts w:hint="eastAsia" w:ascii="黑体" w:hAnsi="黑体" w:eastAsia="黑体"/>
          <w:sz w:val="30"/>
          <w:szCs w:val="30"/>
        </w:rPr>
        <w:t>年度部门决算表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一、收入支出决算总表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二、收入决算表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四、财政拨款收入支出决算总表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五、一般公共预算财政拨款收入支出决算表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六、一般公共预算财政拨款基本支出决算表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七、政府性基金预算财政拨款收入支出决算表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八、</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经费、行政参公单位机关运行经费情况表</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第三部分</w:t>
      </w:r>
      <w:r>
        <w:rPr>
          <w:rFonts w:hint="eastAsia" w:ascii="黑体" w:hAnsi="Times New Roman" w:eastAsia="黑体"/>
          <w:sz w:val="30"/>
          <w:szCs w:val="30"/>
        </w:rPr>
        <w:t xml:space="preserve">  2019</w:t>
      </w:r>
      <w:r>
        <w:rPr>
          <w:rFonts w:hint="eastAsia" w:ascii="黑体" w:hAnsi="黑体" w:eastAsia="黑体"/>
          <w:sz w:val="30"/>
          <w:szCs w:val="30"/>
        </w:rPr>
        <w:t>年度部门决算情况说明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一、收入决算情况说明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二、支出决算情况说明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三、一般公共预算财政拨款支出决算情况说明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经费支出决算情况说明</w:t>
      </w:r>
    </w:p>
    <w:p>
      <w:pPr>
        <w:adjustRightInd w:val="0"/>
        <w:spacing w:before="100" w:beforeAutospacing="1" w:after="100" w:afterAutospacing="1" w:line="590" w:lineRule="exact"/>
        <w:rPr>
          <w:rFonts w:ascii="Times New Roman" w:hAnsi="Times New Roman" w:eastAsia="黑体" w:cs="Times New Roman"/>
          <w:sz w:val="30"/>
          <w:szCs w:val="30"/>
        </w:rPr>
      </w:pPr>
      <w:r>
        <w:rPr>
          <w:rFonts w:hint="eastAsia" w:ascii="黑体" w:hAnsi="黑体" w:eastAsia="黑体"/>
          <w:sz w:val="30"/>
          <w:szCs w:val="30"/>
        </w:rPr>
        <w:t>第四部分</w:t>
      </w:r>
      <w:r>
        <w:rPr>
          <w:rFonts w:hint="eastAsia" w:ascii="黑体" w:hAnsi="Times New Roman" w:eastAsia="黑体"/>
          <w:sz w:val="30"/>
          <w:szCs w:val="30"/>
        </w:rPr>
        <w:t xml:space="preserve">  </w:t>
      </w:r>
      <w:r>
        <w:rPr>
          <w:rFonts w:hint="eastAsia" w:ascii="黑体" w:hAnsi="黑体" w:eastAsia="黑体"/>
          <w:sz w:val="30"/>
          <w:szCs w:val="30"/>
        </w:rPr>
        <w:t>其他重要事项及相关口径情况说明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一、机关运行经费支出情况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二、国有资产占有情况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三、政府采购支出情况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四、部门绩效自评情况</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（一）项目支出绩效自评</w:t>
      </w:r>
      <w:r>
        <w:rPr>
          <w:rFonts w:hint="eastAsia" w:ascii="楷体" w:hAnsi="Times New Roman" w:eastAsia="楷体"/>
          <w:sz w:val="30"/>
          <w:szCs w:val="30"/>
        </w:rPr>
        <w:t>/</w:t>
      </w:r>
      <w:r>
        <w:rPr>
          <w:rFonts w:hint="eastAsia" w:ascii="楷体" w:hAnsi="楷体" w:eastAsia="楷体"/>
          <w:sz w:val="30"/>
          <w:szCs w:val="30"/>
        </w:rPr>
        <w:t>项目支出绩效自评报告（表）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（二）部门整体支出绩效自评报告</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（三）部门整体支出绩效自评表</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五、其他重要事项情况说明</w:t>
      </w:r>
    </w:p>
    <w:p>
      <w:pPr>
        <w:adjustRightInd w:val="0"/>
        <w:spacing w:before="100" w:beforeAutospacing="1" w:after="100" w:afterAutospacing="1" w:line="590" w:lineRule="exact"/>
        <w:rPr>
          <w:rFonts w:ascii="Times New Roman" w:hAnsi="Times New Roman" w:eastAsia="楷体" w:cs="Times New Roman"/>
          <w:sz w:val="30"/>
          <w:szCs w:val="30"/>
        </w:rPr>
      </w:pPr>
      <w:r>
        <w:rPr>
          <w:rFonts w:hint="eastAsia" w:ascii="楷体" w:hAnsi="楷体" w:eastAsia="楷体"/>
          <w:sz w:val="30"/>
          <w:szCs w:val="30"/>
        </w:rPr>
        <w:t>六、相关口径说明</w:t>
      </w:r>
    </w:p>
    <w:p>
      <w:pPr>
        <w:adjustRightInd w:val="0"/>
        <w:spacing w:before="100" w:beforeAutospacing="1" w:after="100" w:afterAutospacing="1" w:line="590" w:lineRule="exact"/>
        <w:rPr>
          <w:rFonts w:hint="eastAsia" w:ascii="黑体" w:hAnsi="黑体" w:eastAsia="黑体"/>
          <w:sz w:val="30"/>
          <w:szCs w:val="30"/>
        </w:rPr>
      </w:pPr>
      <w:r>
        <w:rPr>
          <w:rFonts w:hint="eastAsia" w:ascii="黑体" w:hAnsi="黑体" w:eastAsia="黑体"/>
          <w:sz w:val="30"/>
          <w:szCs w:val="30"/>
        </w:rPr>
        <w:t>第五部分</w:t>
      </w:r>
      <w:r>
        <w:rPr>
          <w:rFonts w:hint="eastAsia" w:ascii="黑体" w:hAnsi="Times New Roman" w:eastAsia="黑体"/>
          <w:sz w:val="30"/>
          <w:szCs w:val="30"/>
        </w:rPr>
        <w:t xml:space="preserve">  </w:t>
      </w:r>
      <w:r>
        <w:rPr>
          <w:rFonts w:hint="eastAsia" w:ascii="黑体" w:hAnsi="黑体" w:eastAsia="黑体"/>
          <w:sz w:val="30"/>
          <w:szCs w:val="30"/>
        </w:rPr>
        <w:t>名词解释</w:t>
      </w:r>
    </w:p>
    <w:p>
      <w:pPr>
        <w:adjustRightInd w:val="0"/>
        <w:spacing w:before="100" w:beforeAutospacing="1" w:after="100" w:afterAutospacing="1" w:line="590" w:lineRule="exact"/>
        <w:rPr>
          <w:rFonts w:ascii="Times New Roman" w:hAnsi="Times New Roman" w:eastAsia="黑体" w:cs="Times New Roman"/>
          <w:sz w:val="30"/>
          <w:szCs w:val="30"/>
        </w:rPr>
      </w:pP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第一部分</w:t>
      </w:r>
      <w:r>
        <w:rPr>
          <w:rFonts w:hint="eastAsia" w:ascii="黑体" w:hAnsi="Times New Roman" w:eastAsia="黑体"/>
          <w:sz w:val="32"/>
          <w:szCs w:val="32"/>
        </w:rPr>
        <w:t xml:space="preserve">  </w:t>
      </w:r>
      <w:r>
        <w:rPr>
          <w:rFonts w:hint="eastAsia" w:ascii="黑体" w:hAnsi="黑体" w:eastAsia="黑体"/>
          <w:sz w:val="32"/>
          <w:szCs w:val="32"/>
        </w:rPr>
        <w:t>玉溪市食品药品检验所概况</w:t>
      </w:r>
    </w:p>
    <w:p>
      <w:pPr>
        <w:adjustRightInd w:val="0"/>
        <w:spacing w:before="100" w:beforeAutospacing="1" w:after="100" w:afterAutospacing="1" w:line="590" w:lineRule="exact"/>
        <w:ind w:firstLine="600" w:firstLineChars="200"/>
        <w:rPr>
          <w:rFonts w:ascii="黑体" w:hAnsi="Times New Roman" w:eastAsia="黑体"/>
          <w:sz w:val="30"/>
          <w:szCs w:val="30"/>
        </w:rPr>
      </w:pPr>
      <w:r>
        <w:rPr>
          <w:rFonts w:hint="eastAsia" w:ascii="黑体" w:hAnsi="黑体" w:eastAsia="黑体"/>
          <w:sz w:val="30"/>
          <w:szCs w:val="30"/>
        </w:rPr>
        <w:t>一、主要职能</w:t>
      </w:r>
    </w:p>
    <w:p>
      <w:pPr>
        <w:adjustRightInd w:val="0"/>
        <w:spacing w:before="100" w:beforeAutospacing="1" w:after="100" w:afterAutospacing="1" w:line="590" w:lineRule="exact"/>
        <w:ind w:firstLine="600" w:firstLineChars="200"/>
        <w:rPr>
          <w:rFonts w:hint="eastAsia" w:ascii="Times New Roman" w:hAnsi="Times New Roman" w:eastAsia="楷体" w:cs="Times New Roman"/>
          <w:sz w:val="30"/>
          <w:szCs w:val="30"/>
        </w:rPr>
      </w:pPr>
      <w:r>
        <w:rPr>
          <w:rFonts w:hint="eastAsia" w:ascii="楷体" w:hAnsi="楷体" w:eastAsia="楷体"/>
          <w:sz w:val="30"/>
          <w:szCs w:val="30"/>
        </w:rPr>
        <w:t>（一）主要职能</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仿宋" w:eastAsia="仿宋"/>
          <w:sz w:val="30"/>
          <w:szCs w:val="30"/>
          <w:lang w:eastAsia="zh-CN"/>
        </w:rPr>
        <w:t>玉溪市</w:t>
      </w:r>
      <w:r>
        <w:rPr>
          <w:rFonts w:hint="eastAsia" w:ascii="仿宋" w:hAnsi="仿宋" w:eastAsia="仿宋"/>
          <w:sz w:val="30"/>
          <w:szCs w:val="30"/>
        </w:rPr>
        <w:t>食品药品检验所是一个专门从事药品及食品检验工作的事业单位，负责全市药品、食品、保健食品、化妆品、医疗器械生产、经营、使用单位的监督检验，为玉溪市市场监督管理局及各县区市场监督管理局提供抽验结果；接受药品生产、经营、使用单位的委托检验；接受医疗单位自配制剂的复核检验，提出技术审查意见；对本市有关药品生产、经营、使用单位的质检机构和人员进行业务技术指导和培训；改进提高药品检验检测技术。玉溪市食品药品检验所属玉溪市</w:t>
      </w:r>
      <w:r>
        <w:rPr>
          <w:rFonts w:hint="eastAsia" w:ascii="仿宋" w:hAnsi="仿宋" w:eastAsia="仿宋"/>
          <w:sz w:val="30"/>
          <w:szCs w:val="30"/>
          <w:lang w:eastAsia="zh-CN"/>
        </w:rPr>
        <w:t>市</w:t>
      </w:r>
      <w:r>
        <w:rPr>
          <w:rFonts w:hint="eastAsia" w:ascii="仿宋" w:hAnsi="仿宋" w:eastAsia="仿宋"/>
          <w:sz w:val="30"/>
          <w:szCs w:val="30"/>
        </w:rPr>
        <w:t>场监督管理局下属公益一类事业单位，财政全额拨款</w:t>
      </w:r>
      <w:r>
        <w:rPr>
          <w:rFonts w:hint="eastAsia" w:ascii="仿宋" w:hAnsi="Times New Roman" w:eastAsia="仿宋"/>
          <w:sz w:val="30"/>
          <w:szCs w:val="30"/>
        </w:rPr>
        <w:t>,</w:t>
      </w:r>
      <w:r>
        <w:rPr>
          <w:rFonts w:hint="eastAsia" w:ascii="仿宋" w:hAnsi="仿宋" w:eastAsia="仿宋"/>
          <w:sz w:val="30"/>
          <w:szCs w:val="30"/>
        </w:rPr>
        <w:t>共有事业编制</w:t>
      </w:r>
      <w:r>
        <w:rPr>
          <w:rFonts w:hint="eastAsia" w:ascii="仿宋" w:hAnsi="Times New Roman" w:eastAsia="仿宋"/>
          <w:sz w:val="30"/>
          <w:szCs w:val="30"/>
        </w:rPr>
        <w:t>36名。</w:t>
      </w:r>
    </w:p>
    <w:p>
      <w:pPr>
        <w:snapToGrid w:val="0"/>
        <w:spacing w:line="520" w:lineRule="exact"/>
        <w:ind w:firstLine="600" w:firstLineChars="200"/>
        <w:rPr>
          <w:rFonts w:hint="eastAsia" w:ascii="Times New Roman" w:hAnsi="Times New Roman" w:eastAsia="楷体" w:cs="Times New Roman"/>
          <w:sz w:val="30"/>
          <w:szCs w:val="30"/>
        </w:rPr>
      </w:pPr>
      <w:r>
        <w:rPr>
          <w:rFonts w:hint="eastAsia" w:ascii="楷体" w:hAnsi="楷体" w:eastAsia="楷体"/>
          <w:sz w:val="30"/>
          <w:szCs w:val="30"/>
        </w:rPr>
        <w:t>（二）</w:t>
      </w:r>
      <w:r>
        <w:rPr>
          <w:rFonts w:hint="eastAsia" w:ascii="楷体" w:hAnsi="Times New Roman" w:eastAsia="楷体"/>
          <w:sz w:val="30"/>
          <w:szCs w:val="30"/>
        </w:rPr>
        <w:t>2019</w:t>
      </w:r>
      <w:r>
        <w:rPr>
          <w:rFonts w:hint="eastAsia" w:ascii="楷体" w:hAnsi="楷体" w:eastAsia="楷体"/>
          <w:sz w:val="30"/>
          <w:szCs w:val="30"/>
        </w:rPr>
        <w:t>年度重点工作任务介绍</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药品检验：共检验药品733批次。其中：监督抽验536批次，合格502批次，不合格34批次，合格率为93.7%；基本药物：164批次，全部合格，合格率100%</w:t>
      </w:r>
      <w:r>
        <w:rPr>
          <w:rFonts w:hint="eastAsia" w:ascii="仿宋" w:hAnsi="仿宋" w:eastAsia="仿宋"/>
          <w:sz w:val="30"/>
          <w:szCs w:val="30"/>
          <w:lang w:eastAsia="zh-CN"/>
        </w:rPr>
        <w:t>；</w:t>
      </w:r>
      <w:r>
        <w:rPr>
          <w:rFonts w:hint="eastAsia" w:ascii="仿宋" w:hAnsi="仿宋" w:eastAsia="仿宋"/>
          <w:sz w:val="30"/>
          <w:szCs w:val="30"/>
        </w:rPr>
        <w:t>委托检验：27批次；其他检验：6批次；能力验证5批次；实验室比对1批次。</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2.食品检验共850批次。其中：市级食品安全抽检监测任务100批次，合格98批次，不合格2批次，合格率98%；省级食品安全抽检750批次，包含食品安全抽检监测600批次，合格593批次，不合格7批次，合格率为98.8%</w:t>
      </w:r>
      <w:r>
        <w:rPr>
          <w:rFonts w:hint="eastAsia" w:ascii="仿宋" w:hAnsi="仿宋" w:eastAsia="仿宋"/>
          <w:sz w:val="30"/>
          <w:szCs w:val="30"/>
          <w:lang w:eastAsia="zh-CN"/>
        </w:rPr>
        <w:t>；</w:t>
      </w:r>
      <w:r>
        <w:rPr>
          <w:rFonts w:hint="eastAsia" w:ascii="仿宋" w:hAnsi="仿宋" w:eastAsia="仿宋"/>
          <w:sz w:val="30"/>
          <w:szCs w:val="30"/>
        </w:rPr>
        <w:t>特色产业（蔬菜）风险监测150批次，合格148批次，不合格2批次，合格率为98.7%，不合格项目为“镉”、“毒死蜱”。</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3.化妆品检验30批次，合格20批次，不合格10批次，合格率66.7%。</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4.“玉溪市食品药品检验重点实验室”入选玉溪市重点实验室。我所依托人才、技术及实验室资源，积极开展玉溪市重点实验室申报工作</w:t>
      </w:r>
      <w:r>
        <w:rPr>
          <w:rFonts w:hint="eastAsia" w:ascii="仿宋" w:hAnsi="仿宋" w:eastAsia="仿宋"/>
          <w:sz w:val="30"/>
          <w:szCs w:val="30"/>
          <w:lang w:eastAsia="zh-CN"/>
        </w:rPr>
        <w:t>。</w:t>
      </w:r>
      <w:r>
        <w:rPr>
          <w:rFonts w:hint="eastAsia" w:ascii="仿宋" w:hAnsi="仿宋" w:eastAsia="仿宋"/>
          <w:sz w:val="30"/>
          <w:szCs w:val="30"/>
        </w:rPr>
        <w:t>经玉溪市科学技术局、市财政局、市市场监督管理局及行业有关专家组成的认定</w:t>
      </w:r>
      <w:r>
        <w:rPr>
          <w:rFonts w:hint="eastAsia" w:ascii="仿宋" w:hAnsi="仿宋" w:eastAsia="仿宋"/>
          <w:sz w:val="30"/>
          <w:szCs w:val="30"/>
          <w:lang w:eastAsia="zh-CN"/>
        </w:rPr>
        <w:t>小组认定后，</w:t>
      </w:r>
      <w:r>
        <w:rPr>
          <w:rFonts w:hint="eastAsia" w:ascii="仿宋" w:hAnsi="仿宋" w:eastAsia="仿宋"/>
          <w:sz w:val="30"/>
          <w:szCs w:val="30"/>
        </w:rPr>
        <w:t>玉溪市食品药品检验重点实验室顺利入选玉溪市重点实验室。</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5.开展检验项目扩项工作。2019年12月我所任井办公区通过检验检测机构资质认定及扩项。任井办公区经认定的食品检测参数320项，化妆品检测参数47项。此次评审的通过，意味着我所任井办公区正式具备检验检测能力，将</w:t>
      </w:r>
      <w:r>
        <w:rPr>
          <w:rFonts w:hint="eastAsia" w:ascii="仿宋" w:hAnsi="仿宋" w:eastAsia="仿宋"/>
          <w:sz w:val="30"/>
          <w:szCs w:val="30"/>
          <w:lang w:eastAsia="zh-CN"/>
        </w:rPr>
        <w:t>为</w:t>
      </w:r>
      <w:r>
        <w:rPr>
          <w:rFonts w:hint="eastAsia" w:ascii="仿宋" w:hAnsi="仿宋" w:eastAsia="仿宋"/>
          <w:sz w:val="30"/>
          <w:szCs w:val="30"/>
        </w:rPr>
        <w:t>市场监管提供精准的检验检测服务和技术保障。</w:t>
      </w:r>
    </w:p>
    <w:p>
      <w:pPr>
        <w:adjustRightInd w:val="0"/>
        <w:spacing w:before="100" w:beforeAutospacing="1" w:after="100" w:afterAutospacing="1" w:line="590" w:lineRule="exact"/>
        <w:ind w:firstLine="600" w:firstLineChars="200"/>
        <w:rPr>
          <w:rFonts w:hint="eastAsia" w:ascii="Times New Roman" w:hAnsi="Times New Roman" w:eastAsia="黑体" w:cs="Times New Roman"/>
          <w:sz w:val="30"/>
          <w:szCs w:val="30"/>
        </w:rPr>
      </w:pPr>
      <w:r>
        <w:rPr>
          <w:rFonts w:hint="eastAsia" w:ascii="黑体" w:hAnsi="黑体" w:eastAsia="黑体"/>
          <w:sz w:val="30"/>
          <w:szCs w:val="30"/>
        </w:rPr>
        <w:t>二、部门基本情况</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（一）部门决算单位构成</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仿宋" w:eastAsia="仿宋"/>
          <w:sz w:val="30"/>
          <w:szCs w:val="30"/>
        </w:rPr>
        <w:t>纳入玉溪市食品药品检验所部门</w:t>
      </w:r>
      <w:r>
        <w:rPr>
          <w:rFonts w:hint="eastAsia" w:ascii="仿宋" w:hAnsi="Times New Roman" w:eastAsia="仿宋"/>
          <w:sz w:val="30"/>
          <w:szCs w:val="30"/>
        </w:rPr>
        <w:t>2019年度部门决算编报的单位共1个。其中：行政单位0</w:t>
      </w:r>
      <w:r>
        <w:rPr>
          <w:rFonts w:hint="eastAsia" w:ascii="仿宋" w:hAnsi="仿宋" w:eastAsia="仿宋"/>
          <w:sz w:val="30"/>
          <w:szCs w:val="30"/>
        </w:rPr>
        <w:t>个，参照公务员法管理的事业单位</w:t>
      </w:r>
      <w:r>
        <w:rPr>
          <w:rFonts w:hint="eastAsia" w:ascii="仿宋" w:hAnsi="Times New Roman" w:eastAsia="仿宋"/>
          <w:sz w:val="30"/>
          <w:szCs w:val="30"/>
        </w:rPr>
        <w:t>0</w:t>
      </w:r>
      <w:r>
        <w:rPr>
          <w:rFonts w:hint="eastAsia" w:ascii="仿宋" w:hAnsi="仿宋" w:eastAsia="仿宋"/>
          <w:sz w:val="30"/>
          <w:szCs w:val="30"/>
        </w:rPr>
        <w:t>个，其他事业单位</w:t>
      </w:r>
      <w:r>
        <w:rPr>
          <w:rFonts w:hint="eastAsia" w:ascii="仿宋" w:hAnsi="Times New Roman" w:eastAsia="仿宋"/>
          <w:sz w:val="30"/>
          <w:szCs w:val="30"/>
        </w:rPr>
        <w:t>1</w:t>
      </w:r>
      <w:r>
        <w:rPr>
          <w:rFonts w:hint="eastAsia" w:ascii="仿宋" w:hAnsi="仿宋" w:eastAsia="仿宋"/>
          <w:sz w:val="30"/>
          <w:szCs w:val="30"/>
        </w:rPr>
        <w:t>个。具体为：玉溪市食品药品检验所。</w:t>
      </w:r>
    </w:p>
    <w:p>
      <w:pPr>
        <w:adjustRightInd w:val="0"/>
        <w:spacing w:before="100" w:beforeAutospacing="1" w:after="100" w:afterAutospacing="1" w:line="590" w:lineRule="exact"/>
        <w:ind w:firstLine="600" w:firstLineChars="200"/>
        <w:rPr>
          <w:rFonts w:hint="eastAsia" w:ascii="Times New Roman" w:hAnsi="Times New Roman" w:eastAsia="楷体" w:cs="Times New Roman"/>
          <w:sz w:val="30"/>
          <w:szCs w:val="30"/>
        </w:rPr>
      </w:pPr>
      <w:r>
        <w:rPr>
          <w:rFonts w:hint="eastAsia" w:ascii="楷体" w:hAnsi="楷体" w:eastAsia="楷体"/>
          <w:sz w:val="30"/>
          <w:szCs w:val="30"/>
        </w:rPr>
        <w:t>（二）部门人员和车辆的编制及实有情况</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仿宋" w:eastAsia="仿宋"/>
          <w:sz w:val="30"/>
          <w:szCs w:val="30"/>
        </w:rPr>
        <w:t>玉溪市食品药品检验所部门</w:t>
      </w:r>
      <w:r>
        <w:rPr>
          <w:rFonts w:hint="eastAsia" w:ascii="仿宋" w:hAnsi="Times New Roman" w:eastAsia="仿宋"/>
          <w:sz w:val="30"/>
          <w:szCs w:val="30"/>
        </w:rPr>
        <w:t>2019年末实有人员编制36</w:t>
      </w:r>
      <w:r>
        <w:rPr>
          <w:rFonts w:hint="eastAsia" w:ascii="仿宋" w:hAnsi="仿宋" w:eastAsia="仿宋"/>
          <w:sz w:val="30"/>
          <w:szCs w:val="30"/>
        </w:rPr>
        <w:t>人。其中：行政编制</w:t>
      </w:r>
      <w:r>
        <w:rPr>
          <w:rFonts w:hint="eastAsia" w:ascii="仿宋" w:hAnsi="Times New Roman" w:eastAsia="仿宋"/>
          <w:sz w:val="30"/>
          <w:szCs w:val="30"/>
        </w:rPr>
        <w:t>0</w:t>
      </w:r>
      <w:r>
        <w:rPr>
          <w:rFonts w:hint="eastAsia" w:ascii="仿宋" w:hAnsi="仿宋" w:eastAsia="仿宋"/>
          <w:sz w:val="30"/>
          <w:szCs w:val="30"/>
        </w:rPr>
        <w:t>人（含行政工勤编制</w:t>
      </w:r>
      <w:r>
        <w:rPr>
          <w:rFonts w:hint="eastAsia" w:ascii="仿宋" w:hAnsi="Times New Roman" w:eastAsia="仿宋"/>
          <w:sz w:val="30"/>
          <w:szCs w:val="30"/>
        </w:rPr>
        <w:t>0</w:t>
      </w:r>
      <w:r>
        <w:rPr>
          <w:rFonts w:hint="eastAsia" w:ascii="仿宋" w:hAnsi="仿宋" w:eastAsia="仿宋"/>
          <w:sz w:val="30"/>
          <w:szCs w:val="30"/>
        </w:rPr>
        <w:t>人），事业编制</w:t>
      </w:r>
      <w:r>
        <w:rPr>
          <w:rFonts w:hint="eastAsia" w:ascii="仿宋" w:hAnsi="Times New Roman" w:eastAsia="仿宋"/>
          <w:sz w:val="30"/>
          <w:szCs w:val="30"/>
        </w:rPr>
        <w:t>36</w:t>
      </w:r>
      <w:r>
        <w:rPr>
          <w:rFonts w:hint="eastAsia" w:ascii="仿宋" w:hAnsi="仿宋" w:eastAsia="仿宋"/>
          <w:sz w:val="30"/>
          <w:szCs w:val="30"/>
        </w:rPr>
        <w:t>人（含参公管理事业编制</w:t>
      </w:r>
      <w:r>
        <w:rPr>
          <w:rFonts w:hint="eastAsia" w:ascii="仿宋" w:hAnsi="Times New Roman" w:eastAsia="仿宋"/>
          <w:sz w:val="30"/>
          <w:szCs w:val="30"/>
        </w:rPr>
        <w:t>0</w:t>
      </w:r>
      <w:r>
        <w:rPr>
          <w:rFonts w:hint="eastAsia" w:ascii="仿宋" w:hAnsi="仿宋" w:eastAsia="仿宋"/>
          <w:sz w:val="30"/>
          <w:szCs w:val="30"/>
        </w:rPr>
        <w:t>人）；在职在编实有行政人员</w:t>
      </w:r>
      <w:r>
        <w:rPr>
          <w:rFonts w:hint="eastAsia" w:ascii="仿宋" w:hAnsi="Times New Roman" w:eastAsia="仿宋"/>
          <w:sz w:val="30"/>
          <w:szCs w:val="30"/>
        </w:rPr>
        <w:t>0人（含行政工勤人员0</w:t>
      </w:r>
      <w:r>
        <w:rPr>
          <w:rFonts w:hint="eastAsia" w:ascii="仿宋" w:hAnsi="仿宋" w:eastAsia="仿宋"/>
          <w:sz w:val="30"/>
          <w:szCs w:val="30"/>
        </w:rPr>
        <w:t>人），事业人员</w:t>
      </w:r>
      <w:r>
        <w:rPr>
          <w:rFonts w:hint="eastAsia" w:ascii="仿宋" w:hAnsi="Times New Roman" w:eastAsia="仿宋"/>
          <w:sz w:val="30"/>
          <w:szCs w:val="30"/>
        </w:rPr>
        <w:t>36人（含参公管理事业人员0人），其他人员0人。</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仿宋" w:eastAsia="仿宋"/>
          <w:sz w:val="30"/>
          <w:szCs w:val="30"/>
        </w:rPr>
        <w:t>离退休人员</w:t>
      </w:r>
      <w:r>
        <w:rPr>
          <w:rFonts w:hint="eastAsia" w:ascii="仿宋" w:hAnsi="Times New Roman" w:eastAsia="仿宋"/>
          <w:sz w:val="30"/>
          <w:szCs w:val="30"/>
        </w:rPr>
        <w:t>15</w:t>
      </w:r>
      <w:r>
        <w:rPr>
          <w:rFonts w:hint="eastAsia" w:ascii="仿宋" w:hAnsi="仿宋" w:eastAsia="仿宋"/>
          <w:sz w:val="30"/>
          <w:szCs w:val="30"/>
        </w:rPr>
        <w:t>人。其中：离休</w:t>
      </w:r>
      <w:r>
        <w:rPr>
          <w:rFonts w:hint="eastAsia" w:ascii="仿宋" w:hAnsi="Times New Roman" w:eastAsia="仿宋"/>
          <w:sz w:val="30"/>
          <w:szCs w:val="30"/>
        </w:rPr>
        <w:t>0人，退休15</w:t>
      </w:r>
      <w:r>
        <w:rPr>
          <w:rFonts w:hint="eastAsia" w:ascii="仿宋" w:hAnsi="仿宋" w:eastAsia="仿宋"/>
          <w:sz w:val="30"/>
          <w:szCs w:val="30"/>
        </w:rPr>
        <w:t>人。</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仿宋" w:eastAsia="仿宋"/>
          <w:sz w:val="30"/>
          <w:szCs w:val="30"/>
        </w:rPr>
        <w:t>实有车辆编制</w:t>
      </w:r>
      <w:r>
        <w:rPr>
          <w:rFonts w:hint="eastAsia" w:ascii="仿宋" w:hAnsi="Times New Roman" w:eastAsia="仿宋"/>
          <w:sz w:val="30"/>
          <w:szCs w:val="30"/>
        </w:rPr>
        <w:t>1</w:t>
      </w:r>
      <w:r>
        <w:rPr>
          <w:rFonts w:hint="eastAsia" w:ascii="仿宋" w:hAnsi="仿宋" w:eastAsia="仿宋"/>
          <w:sz w:val="30"/>
          <w:szCs w:val="30"/>
        </w:rPr>
        <w:t>辆，在编实有车辆</w:t>
      </w:r>
      <w:r>
        <w:rPr>
          <w:rFonts w:hint="eastAsia" w:ascii="仿宋" w:hAnsi="Times New Roman" w:eastAsia="仿宋"/>
          <w:sz w:val="30"/>
          <w:szCs w:val="30"/>
        </w:rPr>
        <w:t>1辆。</w:t>
      </w:r>
    </w:p>
    <w:p>
      <w:pPr>
        <w:adjustRightInd w:val="0"/>
        <w:spacing w:before="100" w:beforeAutospacing="1" w:after="100" w:afterAutospacing="1" w:line="590" w:lineRule="exact"/>
        <w:jc w:val="center"/>
        <w:rPr>
          <w:rFonts w:hint="eastAsia" w:ascii="Times New Roman" w:hAnsi="Times New Roman" w:eastAsia="黑体" w:cs="Times New Roman"/>
          <w:sz w:val="32"/>
          <w:szCs w:val="32"/>
        </w:rPr>
      </w:pPr>
      <w:r>
        <w:rPr>
          <w:rFonts w:hint="eastAsia" w:ascii="黑体" w:hAnsi="黑体" w:eastAsia="黑体"/>
          <w:sz w:val="32"/>
          <w:szCs w:val="32"/>
        </w:rPr>
        <w:t>第二部分</w:t>
      </w:r>
      <w:r>
        <w:rPr>
          <w:rFonts w:hint="eastAsia" w:ascii="黑体" w:hAnsi="Times New Roman" w:eastAsia="黑体"/>
          <w:sz w:val="32"/>
          <w:szCs w:val="32"/>
        </w:rPr>
        <w:t xml:space="preserve">  2019</w:t>
      </w:r>
      <w:r>
        <w:rPr>
          <w:rFonts w:hint="eastAsia" w:ascii="黑体" w:hAnsi="黑体" w:eastAsia="黑体"/>
          <w:sz w:val="32"/>
          <w:szCs w:val="32"/>
        </w:rPr>
        <w:t>年度部门决算表</w:t>
      </w:r>
    </w:p>
    <w:p>
      <w:pPr>
        <w:adjustRightInd w:val="0"/>
        <w:spacing w:before="100" w:beforeAutospacing="1" w:after="100" w:afterAutospacing="1" w:line="590" w:lineRule="exact"/>
        <w:jc w:val="center"/>
        <w:rPr>
          <w:rFonts w:ascii="Times New Roman" w:hAnsi="Times New Roman" w:eastAsia="仿宋" w:cs="Times New Roman"/>
          <w:sz w:val="30"/>
          <w:szCs w:val="30"/>
        </w:rPr>
      </w:pPr>
      <w:r>
        <w:rPr>
          <w:rFonts w:hint="eastAsia" w:ascii="仿宋" w:hAnsi="仿宋" w:eastAsia="仿宋"/>
          <w:sz w:val="30"/>
          <w:szCs w:val="30"/>
        </w:rPr>
        <w:t>（详见附件）</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第三部分</w:t>
      </w:r>
      <w:r>
        <w:rPr>
          <w:rFonts w:hint="eastAsia" w:ascii="黑体" w:hAnsi="Times New Roman" w:eastAsia="黑体"/>
          <w:sz w:val="32"/>
          <w:szCs w:val="32"/>
        </w:rPr>
        <w:t xml:space="preserve">  2019</w:t>
      </w:r>
      <w:r>
        <w:rPr>
          <w:rFonts w:hint="eastAsia" w:ascii="黑体" w:hAnsi="黑体" w:eastAsia="黑体"/>
          <w:sz w:val="32"/>
          <w:szCs w:val="32"/>
        </w:rPr>
        <w:t>年度部门决算情况说明</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一、收入决算情况说明</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玉溪市食品药品检验所部门2019年度收入合计1,142.51万元。其中：财政拨款收入1,112.51万元，占总收入的97.37%；上级补助收入0.00万元，占总收入的0.00%；事业收入0.00万元，占总收入的0.00%；经营收入0.00万元，占总收入的0.00%；附属单位缴款收入0.00万元，占总收入的0.00%；其他收入30.00万元，占总收入的2.63%。2019年我所收入比上年减少了68.3万元，降低率为5.64%，主要减少的原因为2019年市本级财政未安排我所项目，项目经费减少所致。</w:t>
      </w:r>
    </w:p>
    <w:p>
      <w:pPr>
        <w:adjustRightInd w:val="0"/>
        <w:spacing w:before="100" w:beforeAutospacing="1" w:after="100" w:afterAutospacing="1" w:line="590" w:lineRule="exact"/>
        <w:rPr>
          <w:rFonts w:hint="eastAsia" w:ascii="Times New Roman" w:hAnsi="Times New Roman" w:eastAsia="黑体" w:cs="Times New Roman"/>
          <w:sz w:val="30"/>
          <w:szCs w:val="30"/>
        </w:rPr>
      </w:pPr>
      <w:r>
        <w:rPr>
          <w:rFonts w:hint="eastAsia" w:ascii="仿宋" w:hAnsi="Times New Roman" w:eastAsia="仿宋"/>
          <w:sz w:val="30"/>
          <w:szCs w:val="30"/>
        </w:rPr>
        <w:t xml:space="preserve"> </w:t>
      </w:r>
      <w:r>
        <w:rPr>
          <w:rFonts w:hint="eastAsia" w:ascii="仿宋" w:hAnsi="Times New Roman" w:eastAsia="仿宋"/>
          <w:sz w:val="30"/>
          <w:szCs w:val="30"/>
          <w:lang w:val="en-US" w:eastAsia="zh-CN"/>
        </w:rPr>
        <w:t xml:space="preserve">   </w:t>
      </w:r>
      <w:r>
        <w:rPr>
          <w:rFonts w:hint="eastAsia" w:ascii="黑体" w:hAnsi="黑体" w:eastAsia="黑体"/>
          <w:sz w:val="30"/>
          <w:szCs w:val="30"/>
        </w:rPr>
        <w:t>二、支出决算情况说明</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玉溪市食品药品检验所部门2019年度支出合计1,177.63万元。其中：基本支出783.95万元，占总支出的66.57%；项目支出393.68万元，占总支出的33.43%；上缴上级支出、经营支出、对附属单位补助支出共0.00万元，占总支出的0.00%。支出较上年有了较大幅度的减少,减少了597.21万元，减少了33.65%,主要原因是因为2019年我所食品安全检</w:t>
      </w:r>
      <w:r>
        <w:rPr>
          <w:rFonts w:hint="eastAsia" w:ascii="仿宋" w:hAnsi="仿宋" w:eastAsia="仿宋"/>
          <w:sz w:val="30"/>
          <w:szCs w:val="30"/>
          <w:lang w:eastAsia="zh-CN"/>
        </w:rPr>
        <w:t>（</w:t>
      </w:r>
      <w:r>
        <w:rPr>
          <w:rFonts w:hint="eastAsia" w:ascii="仿宋" w:hAnsi="仿宋" w:eastAsia="仿宋"/>
          <w:sz w:val="30"/>
          <w:szCs w:val="30"/>
        </w:rPr>
        <w:t>监</w:t>
      </w:r>
      <w:r>
        <w:rPr>
          <w:rFonts w:hint="eastAsia" w:ascii="仿宋" w:hAnsi="仿宋" w:eastAsia="仿宋"/>
          <w:sz w:val="30"/>
          <w:szCs w:val="30"/>
          <w:lang w:eastAsia="zh-CN"/>
        </w:rPr>
        <w:t>）</w:t>
      </w:r>
      <w:r>
        <w:rPr>
          <w:rFonts w:hint="eastAsia" w:ascii="仿宋" w:hAnsi="仿宋" w:eastAsia="仿宋"/>
          <w:sz w:val="30"/>
          <w:szCs w:val="30"/>
        </w:rPr>
        <w:t>测</w:t>
      </w:r>
      <w:r>
        <w:rPr>
          <w:rFonts w:hint="eastAsia" w:ascii="仿宋" w:hAnsi="仿宋" w:eastAsia="仿宋"/>
          <w:sz w:val="30"/>
          <w:szCs w:val="30"/>
          <w:lang w:eastAsia="zh-CN"/>
        </w:rPr>
        <w:t>能力建设</w:t>
      </w:r>
      <w:r>
        <w:rPr>
          <w:rFonts w:hint="eastAsia" w:ascii="仿宋" w:hAnsi="仿宋" w:eastAsia="仿宋"/>
          <w:sz w:val="30"/>
          <w:szCs w:val="30"/>
        </w:rPr>
        <w:t>项目已大部分完成，支出大幅减少所影响。</w:t>
      </w:r>
    </w:p>
    <w:p>
      <w:pPr>
        <w:adjustRightInd w:val="0"/>
        <w:spacing w:before="100" w:beforeAutospacing="1" w:after="100" w:afterAutospacing="1" w:line="590" w:lineRule="exact"/>
        <w:ind w:firstLine="600" w:firstLineChars="200"/>
        <w:rPr>
          <w:rFonts w:hint="eastAsia" w:ascii="Times New Roman" w:hAnsi="Times New Roman" w:eastAsia="楷体" w:cs="Times New Roman"/>
          <w:sz w:val="30"/>
          <w:szCs w:val="30"/>
        </w:rPr>
      </w:pPr>
      <w:r>
        <w:rPr>
          <w:rFonts w:hint="eastAsia" w:ascii="楷体" w:hAnsi="楷体" w:eastAsia="楷体"/>
          <w:sz w:val="30"/>
          <w:szCs w:val="30"/>
        </w:rPr>
        <w:t>（一）基本支出情况</w:t>
      </w:r>
    </w:p>
    <w:p>
      <w:pPr>
        <w:adjustRightInd w:val="0"/>
        <w:spacing w:before="100" w:beforeAutospacing="1" w:after="100" w:afterAutospacing="1" w:line="590" w:lineRule="exact"/>
        <w:ind w:firstLine="600" w:firstLineChars="200"/>
        <w:rPr>
          <w:rFonts w:hint="eastAsia" w:eastAsia="宋体"/>
          <w:color w:val="000000"/>
          <w:lang w:eastAsia="zh-CN"/>
        </w:rPr>
      </w:pPr>
      <w:r>
        <w:rPr>
          <w:rFonts w:hint="eastAsia" w:ascii="仿宋" w:hAnsi="Times New Roman" w:eastAsia="仿宋"/>
          <w:sz w:val="30"/>
          <w:szCs w:val="30"/>
        </w:rPr>
        <w:t>2019</w:t>
      </w:r>
      <w:r>
        <w:rPr>
          <w:rFonts w:hint="eastAsia" w:ascii="仿宋" w:hAnsi="仿宋" w:eastAsia="仿宋"/>
          <w:sz w:val="30"/>
          <w:szCs w:val="30"/>
        </w:rPr>
        <w:t>年度用于保障玉溪市食品药品检验所机构正常运转的日常支出</w:t>
      </w:r>
      <w:r>
        <w:rPr>
          <w:rFonts w:hint="eastAsia" w:ascii="仿宋" w:hAnsi="Times New Roman" w:eastAsia="仿宋"/>
          <w:sz w:val="30"/>
          <w:szCs w:val="30"/>
        </w:rPr>
        <w:t>783.95</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与上年对比</w:t>
      </w:r>
      <w:r>
        <w:rPr>
          <w:rFonts w:hint="eastAsia" w:ascii="仿宋" w:hAnsi="仿宋" w:eastAsia="仿宋"/>
          <w:sz w:val="30"/>
          <w:szCs w:val="30"/>
          <w:lang w:eastAsia="zh-CN"/>
        </w:rPr>
        <w:t>增加了</w:t>
      </w:r>
      <w:r>
        <w:rPr>
          <w:rFonts w:hint="eastAsia" w:ascii="仿宋" w:hAnsi="仿宋" w:eastAsia="仿宋"/>
          <w:sz w:val="30"/>
          <w:szCs w:val="30"/>
          <w:lang w:val="en-US" w:eastAsia="zh-CN"/>
        </w:rPr>
        <w:t>65.2万元，增幅为9.07%,增加的主要是原因是人员的津贴及保险费用的增加</w:t>
      </w:r>
      <w:r>
        <w:rPr>
          <w:rFonts w:hint="eastAsia" w:ascii="仿宋" w:hAnsi="仿宋" w:eastAsia="仿宋"/>
          <w:sz w:val="30"/>
          <w:szCs w:val="30"/>
        </w:rPr>
        <w:t>。包括基本工资、津贴补贴等人员经费支出</w:t>
      </w:r>
      <w:r>
        <w:rPr>
          <w:rFonts w:hint="eastAsia" w:ascii="仿宋" w:hAnsi="仿宋" w:eastAsia="仿宋"/>
          <w:sz w:val="30"/>
          <w:szCs w:val="30"/>
          <w:lang w:val="en-US" w:eastAsia="zh-CN"/>
        </w:rPr>
        <w:t>680.94万元，</w:t>
      </w:r>
      <w:r>
        <w:rPr>
          <w:rFonts w:hint="eastAsia" w:ascii="仿宋" w:hAnsi="仿宋" w:eastAsia="仿宋"/>
          <w:sz w:val="30"/>
          <w:szCs w:val="30"/>
        </w:rPr>
        <w:t>占基本支出的</w:t>
      </w:r>
      <w:r>
        <w:rPr>
          <w:rFonts w:hint="eastAsia" w:ascii="仿宋" w:hAnsi="Times New Roman" w:eastAsia="仿宋"/>
          <w:sz w:val="30"/>
          <w:szCs w:val="30"/>
        </w:rPr>
        <w:t>86.86%</w:t>
      </w:r>
      <w:r>
        <w:rPr>
          <w:rFonts w:hint="eastAsia" w:ascii="仿宋" w:hAnsi="仿宋" w:eastAsia="仿宋"/>
          <w:sz w:val="30"/>
          <w:szCs w:val="30"/>
        </w:rPr>
        <w:t>；办公费、印刷费、水电费、办公设备购置等日常公用经费</w:t>
      </w:r>
      <w:r>
        <w:rPr>
          <w:rFonts w:hint="eastAsia" w:ascii="仿宋" w:hAnsi="仿宋" w:eastAsia="仿宋"/>
          <w:sz w:val="30"/>
          <w:szCs w:val="30"/>
          <w:lang w:val="en-US" w:eastAsia="zh-CN"/>
        </w:rPr>
        <w:t>103.01万元，</w:t>
      </w:r>
      <w:r>
        <w:rPr>
          <w:rFonts w:hint="eastAsia" w:ascii="仿宋" w:hAnsi="仿宋" w:eastAsia="仿宋"/>
          <w:sz w:val="30"/>
          <w:szCs w:val="30"/>
        </w:rPr>
        <w:t>占基本支出的</w:t>
      </w:r>
      <w:r>
        <w:rPr>
          <w:rFonts w:hint="eastAsia" w:ascii="仿宋" w:hAnsi="Times New Roman" w:eastAsia="仿宋"/>
          <w:sz w:val="30"/>
          <w:szCs w:val="30"/>
        </w:rPr>
        <w:t>13.14%</w:t>
      </w:r>
      <w:r>
        <w:rPr>
          <w:rFonts w:hint="eastAsia" w:ascii="仿宋" w:hAnsi="Times New Roman" w:eastAsia="仿宋"/>
          <w:sz w:val="30"/>
          <w:szCs w:val="30"/>
          <w:lang w:eastAsia="zh-CN"/>
        </w:rPr>
        <w:t>，人均公用经费为</w:t>
      </w:r>
      <w:r>
        <w:rPr>
          <w:rFonts w:hint="eastAsia" w:ascii="仿宋" w:hAnsi="Times New Roman" w:eastAsia="仿宋"/>
          <w:sz w:val="30"/>
          <w:szCs w:val="30"/>
          <w:lang w:val="en-US" w:eastAsia="zh-CN"/>
        </w:rPr>
        <w:t>2.86万元</w:t>
      </w:r>
      <w:r>
        <w:rPr>
          <w:rFonts w:hint="eastAsia"/>
          <w:color w:val="000000"/>
        </w:rPr>
        <w:t>。</w:t>
      </w:r>
    </w:p>
    <w:p>
      <w:pPr>
        <w:numPr>
          <w:ilvl w:val="0"/>
          <w:numId w:val="1"/>
        </w:numPr>
        <w:adjustRightInd w:val="0"/>
        <w:spacing w:before="100" w:beforeAutospacing="1" w:after="100" w:afterAutospacing="1" w:line="590" w:lineRule="exact"/>
        <w:ind w:firstLine="600" w:firstLineChars="200"/>
        <w:rPr>
          <w:rFonts w:hint="default" w:ascii="仿宋" w:hAnsi="仿宋" w:eastAsia="仿宋"/>
          <w:sz w:val="30"/>
          <w:szCs w:val="30"/>
          <w:lang w:val="en-US" w:eastAsia="zh-CN"/>
        </w:rPr>
      </w:pPr>
      <w:r>
        <w:rPr>
          <w:rFonts w:hint="eastAsia" w:ascii="楷体" w:hAnsi="楷体" w:eastAsia="楷体"/>
          <w:sz w:val="30"/>
          <w:szCs w:val="30"/>
        </w:rPr>
        <w:t>项目支出情况</w:t>
      </w:r>
    </w:p>
    <w:p>
      <w:pPr>
        <w:numPr>
          <w:numId w:val="0"/>
        </w:numPr>
        <w:adjustRightInd w:val="0"/>
        <w:spacing w:before="100" w:beforeAutospacing="1" w:after="100" w:afterAutospacing="1" w:line="59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2019</w:t>
      </w:r>
      <w:r>
        <w:rPr>
          <w:rFonts w:hint="eastAsia" w:ascii="仿宋" w:hAnsi="仿宋" w:eastAsia="仿宋"/>
          <w:sz w:val="30"/>
          <w:szCs w:val="30"/>
        </w:rPr>
        <w:t>年度用于保障玉溪市食品药品检验所为完成特定的行政工作任务或事业发展目标，用于专项业务工作的经费支出</w:t>
      </w:r>
      <w:r>
        <w:rPr>
          <w:rFonts w:hint="eastAsia" w:ascii="仿宋" w:hAnsi="Times New Roman" w:eastAsia="仿宋"/>
          <w:sz w:val="30"/>
          <w:szCs w:val="30"/>
        </w:rPr>
        <w:t>393.68</w:t>
      </w:r>
      <w:r>
        <w:rPr>
          <w:rFonts w:hint="eastAsia" w:ascii="仿宋" w:hAnsi="仿宋" w:eastAsia="仿宋"/>
          <w:sz w:val="30"/>
          <w:szCs w:val="30"/>
        </w:rPr>
        <w:t>万元。</w:t>
      </w:r>
      <w:r>
        <w:rPr>
          <w:rFonts w:hint="eastAsia" w:ascii="仿宋" w:hAnsi="仿宋" w:eastAsia="仿宋"/>
          <w:sz w:val="30"/>
          <w:szCs w:val="30"/>
          <w:lang w:eastAsia="zh-CN"/>
        </w:rPr>
        <w:t>与上年对比，项目支出减少了</w:t>
      </w:r>
      <w:r>
        <w:rPr>
          <w:rFonts w:hint="eastAsia" w:ascii="仿宋" w:hAnsi="仿宋" w:eastAsia="仿宋"/>
          <w:sz w:val="30"/>
          <w:szCs w:val="30"/>
          <w:lang w:val="en-US" w:eastAsia="zh-CN"/>
        </w:rPr>
        <w:t>662.41万元，减幅为62.72%，减少的主要原因是我单位食品安全检（监）测能力建设项目已进入尾期，项目大部分支出已在2018年完成所导致的。2019年度我单位支出的专项经费中,省抽食品检验项目支出86.41万元，主要用于省级安排的食品抽检任务，共完成了750个批次的检验；食品安全检（监）测能力建设项目支出190.88万元，主要是用于食品检验室的建设；省级下达药品检验经费73.64万元，主要用于完成药品检验任务，共完成了733个批次；重大公共卫生专项支出41.76万元，用于食品安全检（监）测能力建设项目附属工程的建设；中药传承人项目支出0.98万元，用于对中药传承人进行培训。</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三、一般公共预算财政拨款支出决算情况说明</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（一）一般公共预算财政拨款支出决算总体情况</w:t>
      </w:r>
    </w:p>
    <w:p>
      <w:pPr>
        <w:adjustRightInd w:val="0"/>
        <w:spacing w:before="100" w:beforeAutospacing="1" w:after="100" w:afterAutospacing="1" w:line="59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玉溪市食品药品检验所部门</w:t>
      </w:r>
      <w:r>
        <w:rPr>
          <w:rFonts w:hint="eastAsia" w:ascii="仿宋" w:hAnsi="Times New Roman" w:eastAsia="仿宋"/>
          <w:sz w:val="30"/>
          <w:szCs w:val="30"/>
        </w:rPr>
        <w:t>2019</w:t>
      </w:r>
      <w:r>
        <w:rPr>
          <w:rFonts w:hint="eastAsia" w:ascii="仿宋" w:hAnsi="仿宋" w:eastAsia="仿宋"/>
          <w:sz w:val="30"/>
          <w:szCs w:val="30"/>
        </w:rPr>
        <w:t>年度一般公共预算财政拨款支出</w:t>
      </w:r>
      <w:r>
        <w:rPr>
          <w:rFonts w:hint="eastAsia" w:ascii="仿宋" w:hAnsi="Times New Roman" w:eastAsia="仿宋"/>
          <w:sz w:val="30"/>
          <w:szCs w:val="30"/>
        </w:rPr>
        <w:t>900.33</w:t>
      </w:r>
      <w:r>
        <w:rPr>
          <w:rFonts w:hint="eastAsia" w:ascii="仿宋" w:hAnsi="仿宋" w:eastAsia="仿宋"/>
          <w:sz w:val="30"/>
          <w:szCs w:val="30"/>
        </w:rPr>
        <w:t>万元</w:t>
      </w:r>
      <w:r>
        <w:rPr>
          <w:rFonts w:ascii="Times New Roman" w:hAnsi="Times New Roman" w:eastAsia="仿宋" w:cs="Times New Roman"/>
          <w:sz w:val="30"/>
          <w:szCs w:val="30"/>
        </w:rPr>
        <w:t>,</w:t>
      </w:r>
      <w:r>
        <w:rPr>
          <w:rFonts w:hint="eastAsia" w:ascii="仿宋" w:hAnsi="仿宋" w:eastAsia="仿宋"/>
          <w:sz w:val="30"/>
          <w:szCs w:val="30"/>
        </w:rPr>
        <w:t>占本年支出合计的</w:t>
      </w:r>
      <w:r>
        <w:rPr>
          <w:rFonts w:hint="eastAsia" w:ascii="仿宋" w:hAnsi="Times New Roman" w:eastAsia="仿宋"/>
          <w:sz w:val="30"/>
          <w:szCs w:val="30"/>
        </w:rPr>
        <w:t>76.45%</w:t>
      </w:r>
      <w:r>
        <w:rPr>
          <w:rFonts w:hint="eastAsia" w:ascii="仿宋" w:hAnsi="仿宋" w:eastAsia="仿宋"/>
          <w:sz w:val="30"/>
          <w:szCs w:val="30"/>
        </w:rPr>
        <w:t>。与上年对比</w:t>
      </w:r>
      <w:r>
        <w:rPr>
          <w:rFonts w:hint="eastAsia" w:ascii="仿宋" w:hAnsi="仿宋" w:eastAsia="仿宋"/>
          <w:sz w:val="30"/>
          <w:szCs w:val="30"/>
          <w:lang w:eastAsia="zh-CN"/>
        </w:rPr>
        <w:t>支出减少了</w:t>
      </w:r>
      <w:r>
        <w:rPr>
          <w:rFonts w:hint="eastAsia" w:ascii="仿宋" w:hAnsi="仿宋" w:eastAsia="仿宋"/>
          <w:sz w:val="30"/>
          <w:szCs w:val="30"/>
          <w:lang w:val="en-US" w:eastAsia="zh-CN"/>
        </w:rPr>
        <w:t>8.52万元，减幅为1%，主要原因是2019年市本级未对我单位安排项目资金。</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楷体" w:eastAsia="楷体"/>
          <w:sz w:val="30"/>
          <w:szCs w:val="30"/>
        </w:rPr>
        <w:t>（二）一般公共预算财政拨款支出决算具体情况</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w:t>
      </w:r>
      <w:r>
        <w:rPr>
          <w:rFonts w:hint="eastAsia" w:ascii="仿宋" w:hAnsi="仿宋" w:eastAsia="仿宋"/>
          <w:sz w:val="30"/>
          <w:szCs w:val="30"/>
        </w:rPr>
        <w:t>一般公共服务（类）支出</w:t>
      </w:r>
      <w:r>
        <w:rPr>
          <w:rFonts w:hint="eastAsia" w:ascii="仿宋" w:hAnsi="Times New Roman" w:eastAsia="仿宋"/>
          <w:sz w:val="30"/>
          <w:szCs w:val="30"/>
        </w:rPr>
        <w:t>672.28</w:t>
      </w:r>
      <w:r>
        <w:rPr>
          <w:rFonts w:hint="eastAsia" w:ascii="仿宋" w:hAnsi="仿宋" w:eastAsia="仿宋"/>
          <w:sz w:val="30"/>
          <w:szCs w:val="30"/>
        </w:rPr>
        <w:t>万元，占一般公共预算财政拨款总支出的</w:t>
      </w:r>
      <w:r>
        <w:rPr>
          <w:rFonts w:hint="eastAsia" w:ascii="仿宋" w:hAnsi="Times New Roman" w:eastAsia="仿宋"/>
          <w:sz w:val="30"/>
          <w:szCs w:val="30"/>
        </w:rPr>
        <w:t>74.67%</w:t>
      </w:r>
      <w:r>
        <w:rPr>
          <w:rFonts w:hint="eastAsia" w:ascii="仿宋" w:hAnsi="仿宋" w:eastAsia="仿宋"/>
          <w:sz w:val="30"/>
          <w:szCs w:val="30"/>
        </w:rPr>
        <w:t>。主要用于</w:t>
      </w:r>
      <w:r>
        <w:rPr>
          <w:rFonts w:hint="eastAsia" w:ascii="仿宋" w:hAnsi="仿宋" w:eastAsia="仿宋"/>
          <w:sz w:val="30"/>
          <w:szCs w:val="30"/>
          <w:lang w:eastAsia="zh-CN"/>
        </w:rPr>
        <w:t>我单位的日常工作开展、人员经费支出及省级安排的食品药品监管项目支出。</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Times New Roman" w:eastAsia="仿宋"/>
          <w:sz w:val="30"/>
          <w:szCs w:val="30"/>
        </w:rPr>
        <w:t>2.</w:t>
      </w:r>
      <w:r>
        <w:rPr>
          <w:rFonts w:hint="eastAsia" w:ascii="仿宋" w:hAnsi="仿宋" w:eastAsia="仿宋"/>
          <w:sz w:val="30"/>
          <w:szCs w:val="30"/>
        </w:rPr>
        <w:t>外交（类）支出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3.</w:t>
      </w:r>
      <w:r>
        <w:rPr>
          <w:rFonts w:hint="eastAsia" w:ascii="仿宋" w:hAnsi="仿宋" w:eastAsia="仿宋"/>
          <w:sz w:val="30"/>
          <w:szCs w:val="30"/>
        </w:rPr>
        <w:t>国防（类）支出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4.</w:t>
      </w:r>
      <w:r>
        <w:rPr>
          <w:rFonts w:hint="eastAsia" w:ascii="仿宋" w:hAnsi="仿宋" w:eastAsia="仿宋"/>
          <w:sz w:val="30"/>
          <w:szCs w:val="30"/>
        </w:rPr>
        <w:t>公共安全（类）支出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5.</w:t>
      </w:r>
      <w:r>
        <w:rPr>
          <w:rFonts w:hint="eastAsia" w:ascii="仿宋" w:hAnsi="仿宋" w:eastAsia="仿宋"/>
          <w:sz w:val="30"/>
          <w:szCs w:val="30"/>
        </w:rPr>
        <w:t>教育（类）支出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6.</w:t>
      </w:r>
      <w:r>
        <w:rPr>
          <w:rFonts w:hint="eastAsia" w:ascii="仿宋" w:hAnsi="仿宋" w:eastAsia="仿宋"/>
          <w:sz w:val="30"/>
          <w:szCs w:val="30"/>
        </w:rPr>
        <w:t>科学技术（类）支出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7.</w:t>
      </w:r>
      <w:r>
        <w:rPr>
          <w:rFonts w:hint="eastAsia" w:ascii="仿宋" w:hAnsi="仿宋" w:eastAsia="仿宋"/>
          <w:sz w:val="30"/>
          <w:szCs w:val="30"/>
        </w:rPr>
        <w:t>文化旅游体育与传媒（类）支出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lang w:eastAsia="zh-CN"/>
        </w:rPr>
      </w:pPr>
      <w:r>
        <w:rPr>
          <w:rFonts w:hint="eastAsia" w:ascii="仿宋" w:hAnsi="Times New Roman" w:eastAsia="仿宋"/>
          <w:sz w:val="30"/>
          <w:szCs w:val="30"/>
        </w:rPr>
        <w:t>8.</w:t>
      </w:r>
      <w:r>
        <w:rPr>
          <w:rFonts w:hint="eastAsia" w:ascii="仿宋" w:hAnsi="仿宋" w:eastAsia="仿宋"/>
          <w:sz w:val="30"/>
          <w:szCs w:val="30"/>
        </w:rPr>
        <w:t>社会保障和就业（类）支出</w:t>
      </w:r>
      <w:r>
        <w:rPr>
          <w:rFonts w:hint="eastAsia" w:ascii="仿宋" w:hAnsi="Times New Roman" w:eastAsia="仿宋"/>
          <w:sz w:val="30"/>
          <w:szCs w:val="30"/>
        </w:rPr>
        <w:t>90.93</w:t>
      </w:r>
      <w:r>
        <w:rPr>
          <w:rFonts w:hint="eastAsia" w:ascii="仿宋" w:hAnsi="仿宋" w:eastAsia="仿宋"/>
          <w:sz w:val="30"/>
          <w:szCs w:val="30"/>
        </w:rPr>
        <w:t>万元，占一般公共预算财政拨款总支出的</w:t>
      </w:r>
      <w:r>
        <w:rPr>
          <w:rFonts w:hint="eastAsia" w:ascii="仿宋" w:hAnsi="Times New Roman" w:eastAsia="仿宋"/>
          <w:sz w:val="30"/>
          <w:szCs w:val="30"/>
        </w:rPr>
        <w:t>10.10%</w:t>
      </w:r>
      <w:r>
        <w:rPr>
          <w:rFonts w:hint="eastAsia" w:ascii="仿宋" w:hAnsi="仿宋" w:eastAsia="仿宋"/>
          <w:sz w:val="30"/>
          <w:szCs w:val="30"/>
        </w:rPr>
        <w:t>。</w:t>
      </w:r>
      <w:r>
        <w:rPr>
          <w:rFonts w:hint="eastAsia" w:ascii="仿宋" w:hAnsi="仿宋" w:eastAsia="仿宋"/>
          <w:sz w:val="30"/>
          <w:szCs w:val="30"/>
          <w:lang w:eastAsia="zh-CN"/>
        </w:rPr>
        <w:t>主要用于我单位离退休人员费用及养老保险的缴纳。</w:t>
      </w:r>
    </w:p>
    <w:p>
      <w:pPr>
        <w:adjustRightInd w:val="0"/>
        <w:spacing w:before="100" w:beforeAutospacing="1" w:after="100" w:afterAutospacing="1" w:line="590" w:lineRule="exact"/>
        <w:ind w:firstLine="600" w:firstLineChars="200"/>
        <w:rPr>
          <w:rFonts w:hint="default" w:ascii="仿宋" w:hAnsi="仿宋" w:eastAsia="仿宋"/>
          <w:sz w:val="30"/>
          <w:szCs w:val="30"/>
          <w:lang w:val="en-US" w:eastAsia="zh-CN"/>
        </w:rPr>
      </w:pPr>
      <w:r>
        <w:rPr>
          <w:rFonts w:hint="eastAsia" w:ascii="仿宋" w:hAnsi="Times New Roman" w:eastAsia="仿宋"/>
          <w:sz w:val="30"/>
          <w:szCs w:val="30"/>
        </w:rPr>
        <w:t>9.</w:t>
      </w:r>
      <w:r>
        <w:rPr>
          <w:rFonts w:hint="eastAsia" w:ascii="仿宋" w:hAnsi="仿宋" w:eastAsia="仿宋"/>
          <w:sz w:val="30"/>
          <w:szCs w:val="30"/>
        </w:rPr>
        <w:t>卫生健康（类）支出</w:t>
      </w:r>
      <w:r>
        <w:rPr>
          <w:rFonts w:hint="eastAsia" w:ascii="仿宋" w:hAnsi="Times New Roman" w:eastAsia="仿宋"/>
          <w:sz w:val="30"/>
          <w:szCs w:val="30"/>
        </w:rPr>
        <w:t>84.26</w:t>
      </w:r>
      <w:r>
        <w:rPr>
          <w:rFonts w:hint="eastAsia" w:ascii="仿宋" w:hAnsi="仿宋" w:eastAsia="仿宋"/>
          <w:sz w:val="30"/>
          <w:szCs w:val="30"/>
        </w:rPr>
        <w:t>万元，占一般公共预算财政拨款总支出的</w:t>
      </w:r>
      <w:r>
        <w:rPr>
          <w:rFonts w:hint="eastAsia" w:ascii="仿宋" w:hAnsi="Times New Roman" w:eastAsia="仿宋"/>
          <w:sz w:val="30"/>
          <w:szCs w:val="30"/>
        </w:rPr>
        <w:t>9.36%</w:t>
      </w:r>
      <w:r>
        <w:rPr>
          <w:rFonts w:hint="eastAsia" w:ascii="仿宋" w:hAnsi="仿宋" w:eastAsia="仿宋"/>
          <w:sz w:val="30"/>
          <w:szCs w:val="30"/>
        </w:rPr>
        <w:t>。</w:t>
      </w:r>
      <w:r>
        <w:rPr>
          <w:rFonts w:hint="eastAsia" w:ascii="仿宋" w:hAnsi="仿宋" w:eastAsia="仿宋"/>
          <w:sz w:val="30"/>
          <w:szCs w:val="30"/>
          <w:lang w:eastAsia="zh-CN"/>
        </w:rPr>
        <w:t>主要用于我单位人员的医疗保险及公务员补助费用的缴纳。</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10.</w:t>
      </w:r>
      <w:r>
        <w:rPr>
          <w:rFonts w:hint="eastAsia" w:ascii="仿宋" w:hAnsi="仿宋" w:eastAsia="仿宋"/>
          <w:sz w:val="30"/>
          <w:szCs w:val="30"/>
        </w:rPr>
        <w:t>节能环保（类）支出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11.</w:t>
      </w:r>
      <w:r>
        <w:rPr>
          <w:rFonts w:hint="eastAsia" w:ascii="仿宋" w:hAnsi="仿宋" w:eastAsia="仿宋"/>
          <w:sz w:val="30"/>
          <w:szCs w:val="30"/>
        </w:rPr>
        <w:t>城乡社区（类）支出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12.</w:t>
      </w:r>
      <w:r>
        <w:rPr>
          <w:rFonts w:hint="eastAsia" w:ascii="仿宋" w:hAnsi="仿宋" w:eastAsia="仿宋"/>
          <w:sz w:val="30"/>
          <w:szCs w:val="30"/>
        </w:rPr>
        <w:t>农林水（类）支出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13.</w:t>
      </w:r>
      <w:r>
        <w:rPr>
          <w:rFonts w:hint="eastAsia" w:ascii="仿宋" w:hAnsi="仿宋" w:eastAsia="仿宋"/>
          <w:sz w:val="30"/>
          <w:szCs w:val="30"/>
        </w:rPr>
        <w:t>交通运输（类）支出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14.</w:t>
      </w:r>
      <w:r>
        <w:rPr>
          <w:rFonts w:hint="eastAsia" w:ascii="仿宋" w:hAnsi="仿宋" w:eastAsia="仿宋"/>
          <w:sz w:val="30"/>
          <w:szCs w:val="30"/>
        </w:rPr>
        <w:t>资源勘探信息等（类）支出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15.</w:t>
      </w:r>
      <w:r>
        <w:rPr>
          <w:rFonts w:hint="eastAsia" w:ascii="仿宋" w:hAnsi="仿宋" w:eastAsia="仿宋"/>
          <w:sz w:val="30"/>
          <w:szCs w:val="30"/>
        </w:rPr>
        <w:t>商业服务业等（类）支出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16.</w:t>
      </w:r>
      <w:r>
        <w:rPr>
          <w:rFonts w:hint="eastAsia" w:ascii="仿宋" w:hAnsi="仿宋" w:eastAsia="仿宋"/>
          <w:sz w:val="30"/>
          <w:szCs w:val="30"/>
        </w:rPr>
        <w:t>金融（类）支出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17.</w:t>
      </w:r>
      <w:r>
        <w:rPr>
          <w:rFonts w:hint="eastAsia" w:ascii="仿宋" w:hAnsi="仿宋" w:eastAsia="仿宋"/>
          <w:sz w:val="30"/>
          <w:szCs w:val="30"/>
        </w:rPr>
        <w:t>援助其他地区（类）支出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18.</w:t>
      </w:r>
      <w:r>
        <w:rPr>
          <w:rFonts w:hint="eastAsia" w:ascii="仿宋" w:hAnsi="仿宋" w:eastAsia="仿宋"/>
          <w:sz w:val="30"/>
          <w:szCs w:val="30"/>
        </w:rPr>
        <w:t>自然资源海洋气象等（类）支出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r>
        <w:rPr>
          <w:rFonts w:hint="eastAsia" w:ascii="仿宋" w:hAnsi="Times New Roman" w:eastAsia="仿宋"/>
          <w:sz w:val="30"/>
          <w:szCs w:val="30"/>
        </w:rPr>
        <w:t>19.</w:t>
      </w:r>
      <w:r>
        <w:rPr>
          <w:rFonts w:hint="eastAsia" w:ascii="仿宋" w:hAnsi="仿宋" w:eastAsia="仿宋"/>
          <w:sz w:val="30"/>
          <w:szCs w:val="30"/>
        </w:rPr>
        <w:t>住房保障（类）支出</w:t>
      </w:r>
      <w:r>
        <w:rPr>
          <w:rFonts w:hint="eastAsia" w:ascii="仿宋" w:hAnsi="Times New Roman" w:eastAsia="仿宋"/>
          <w:sz w:val="30"/>
          <w:szCs w:val="30"/>
        </w:rPr>
        <w:t>52.85</w:t>
      </w:r>
      <w:r>
        <w:rPr>
          <w:rFonts w:hint="eastAsia" w:ascii="仿宋" w:hAnsi="仿宋" w:eastAsia="仿宋"/>
          <w:sz w:val="30"/>
          <w:szCs w:val="30"/>
        </w:rPr>
        <w:t>万元，占一般公共预算财政拨款总支出的</w:t>
      </w:r>
      <w:r>
        <w:rPr>
          <w:rFonts w:hint="eastAsia" w:ascii="仿宋" w:hAnsi="Times New Roman" w:eastAsia="仿宋"/>
          <w:sz w:val="30"/>
          <w:szCs w:val="30"/>
        </w:rPr>
        <w:t>5.87%</w:t>
      </w:r>
      <w:r>
        <w:rPr>
          <w:rFonts w:hint="eastAsia" w:ascii="仿宋" w:hAnsi="仿宋" w:eastAsia="仿宋"/>
          <w:sz w:val="30"/>
          <w:szCs w:val="30"/>
        </w:rPr>
        <w:t>。主要用于</w:t>
      </w:r>
      <w:r>
        <w:rPr>
          <w:rFonts w:hint="eastAsia" w:ascii="仿宋" w:hAnsi="仿宋" w:eastAsia="仿宋"/>
          <w:sz w:val="30"/>
          <w:szCs w:val="30"/>
          <w:lang w:eastAsia="zh-CN"/>
        </w:rPr>
        <w:t>住房公积金的缴纳及住房补贴的发放。</w:t>
      </w:r>
    </w:p>
    <w:p>
      <w:pPr>
        <w:adjustRightInd w:val="0"/>
        <w:spacing w:before="100" w:beforeAutospacing="1" w:after="100" w:afterAutospacing="1" w:line="590" w:lineRule="exact"/>
        <w:ind w:firstLine="600" w:firstLineChars="200"/>
        <w:rPr>
          <w:rFonts w:ascii="仿宋" w:hAnsi="Times New Roman" w:eastAsia="仿宋"/>
          <w:sz w:val="30"/>
          <w:szCs w:val="30"/>
        </w:rPr>
      </w:pPr>
      <w:r>
        <w:rPr>
          <w:rFonts w:hint="eastAsia" w:ascii="仿宋" w:hAnsi="Times New Roman" w:eastAsia="仿宋"/>
          <w:sz w:val="30"/>
          <w:szCs w:val="30"/>
        </w:rPr>
        <w:t>20.</w:t>
      </w:r>
      <w:r>
        <w:rPr>
          <w:rFonts w:hint="eastAsia" w:ascii="仿宋" w:hAnsi="仿宋" w:eastAsia="仿宋"/>
          <w:sz w:val="30"/>
          <w:szCs w:val="30"/>
        </w:rPr>
        <w:t>粮油物资储备（类）支出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21.</w:t>
      </w:r>
      <w:r>
        <w:rPr>
          <w:rFonts w:hint="eastAsia" w:ascii="仿宋" w:hAnsi="仿宋" w:eastAsia="仿宋"/>
          <w:sz w:val="30"/>
          <w:szCs w:val="30"/>
        </w:rPr>
        <w:t>灾害防治及应急管理（类）支出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22.</w:t>
      </w:r>
      <w:r>
        <w:rPr>
          <w:rFonts w:hint="eastAsia" w:ascii="仿宋" w:hAnsi="仿宋" w:eastAsia="仿宋"/>
          <w:sz w:val="30"/>
          <w:szCs w:val="30"/>
        </w:rPr>
        <w:t>其他（类）支出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23.</w:t>
      </w:r>
      <w:r>
        <w:rPr>
          <w:rFonts w:hint="eastAsia" w:ascii="仿宋" w:hAnsi="仿宋" w:eastAsia="仿宋"/>
          <w:sz w:val="30"/>
          <w:szCs w:val="30"/>
        </w:rPr>
        <w:t>债务还本（类）支出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Times New Roman" w:eastAsia="仿宋"/>
          <w:sz w:val="30"/>
          <w:szCs w:val="30"/>
        </w:rPr>
        <w:t>24.</w:t>
      </w:r>
      <w:r>
        <w:rPr>
          <w:rFonts w:hint="eastAsia" w:ascii="仿宋" w:hAnsi="仿宋" w:eastAsia="仿宋"/>
          <w:sz w:val="30"/>
          <w:szCs w:val="30"/>
        </w:rPr>
        <w:t>债务付息（类）支出</w:t>
      </w:r>
      <w:r>
        <w:rPr>
          <w:rFonts w:hint="eastAsia" w:ascii="仿宋" w:hAnsi="Times New Roman" w:eastAsia="仿宋"/>
          <w:sz w:val="30"/>
          <w:szCs w:val="30"/>
        </w:rPr>
        <w:t>0.00</w:t>
      </w:r>
      <w:r>
        <w:rPr>
          <w:rFonts w:hint="eastAsia" w:ascii="仿宋" w:hAnsi="仿宋" w:eastAsia="仿宋"/>
          <w:sz w:val="30"/>
          <w:szCs w:val="30"/>
        </w:rPr>
        <w:t>万元，占一般公共预算财政拨款总支出的</w:t>
      </w:r>
      <w:r>
        <w:rPr>
          <w:rFonts w:hint="eastAsia" w:ascii="仿宋" w:hAnsi="Times New Roman" w:eastAsia="仿宋"/>
          <w:sz w:val="30"/>
          <w:szCs w:val="30"/>
        </w:rPr>
        <w:t>0.00%</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四、一般公共预算财政拨款</w:t>
      </w:r>
      <w:r>
        <w:rPr>
          <w:rFonts w:ascii="Times New Roman" w:hAnsi="Times New Roman" w:eastAsia="黑体" w:cs="Times New Roman"/>
          <w:sz w:val="30"/>
          <w:szCs w:val="30"/>
        </w:rPr>
        <w:t>“</w:t>
      </w:r>
      <w:r>
        <w:rPr>
          <w:rFonts w:hint="eastAsia" w:ascii="黑体" w:hAnsi="黑体" w:eastAsia="黑体"/>
          <w:sz w:val="30"/>
          <w:szCs w:val="30"/>
        </w:rPr>
        <w:t>三公</w:t>
      </w:r>
      <w:r>
        <w:rPr>
          <w:rFonts w:ascii="Times New Roman" w:hAnsi="Times New Roman" w:eastAsia="黑体" w:cs="Times New Roman"/>
          <w:sz w:val="30"/>
          <w:szCs w:val="30"/>
        </w:rPr>
        <w:t>”</w:t>
      </w:r>
      <w:r>
        <w:rPr>
          <w:rFonts w:hint="eastAsia" w:ascii="黑体" w:hAnsi="黑体" w:eastAsia="黑体"/>
          <w:sz w:val="30"/>
          <w:szCs w:val="30"/>
        </w:rPr>
        <w:t>经费支出决算情况说明</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Times New Roman" w:eastAsia="楷体"/>
          <w:sz w:val="30"/>
          <w:szCs w:val="30"/>
        </w:rPr>
        <w:t>(</w:t>
      </w:r>
      <w:r>
        <w:rPr>
          <w:rFonts w:hint="eastAsia" w:ascii="楷体" w:hAnsi="楷体" w:eastAsia="楷体"/>
          <w:sz w:val="30"/>
          <w:szCs w:val="30"/>
        </w:rPr>
        <w:t>一</w:t>
      </w:r>
      <w:r>
        <w:rPr>
          <w:rFonts w:hint="eastAsia" w:ascii="楷体" w:hAnsi="Times New Roman" w:eastAsia="楷体"/>
          <w:sz w:val="30"/>
          <w:szCs w:val="30"/>
        </w:rPr>
        <w:t>)</w:t>
      </w:r>
      <w:r>
        <w:rPr>
          <w:rFonts w:hint="eastAsia" w:ascii="楷体" w:hAnsi="楷体" w:eastAsia="楷体"/>
          <w:sz w:val="30"/>
          <w:szCs w:val="30"/>
        </w:rPr>
        <w:t>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经费支出决算总体情况</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玉溪市食品药品检验所部门</w:t>
      </w: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经费支出预算为</w:t>
      </w:r>
      <w:r>
        <w:rPr>
          <w:rFonts w:hint="eastAsia" w:ascii="仿宋" w:hAnsi="仿宋" w:eastAsia="仿宋"/>
          <w:sz w:val="30"/>
          <w:szCs w:val="30"/>
          <w:lang w:val="en-US" w:eastAsia="zh-CN"/>
        </w:rPr>
        <w:t>6.94</w:t>
      </w:r>
      <w:r>
        <w:rPr>
          <w:rFonts w:hint="eastAsia" w:ascii="仿宋" w:hAnsi="仿宋" w:eastAsia="仿宋"/>
          <w:sz w:val="30"/>
          <w:szCs w:val="30"/>
        </w:rPr>
        <w:t>万元，支出决算为</w:t>
      </w:r>
      <w:r>
        <w:rPr>
          <w:rFonts w:hint="eastAsia" w:ascii="仿宋" w:hAnsi="Times New Roman" w:eastAsia="仿宋"/>
          <w:sz w:val="30"/>
          <w:szCs w:val="30"/>
        </w:rPr>
        <w:t>1.73</w:t>
      </w:r>
      <w:r>
        <w:rPr>
          <w:rFonts w:hint="eastAsia" w:ascii="仿宋" w:hAnsi="仿宋" w:eastAsia="仿宋"/>
          <w:sz w:val="30"/>
          <w:szCs w:val="30"/>
        </w:rPr>
        <w:t>万元，完成预算的</w:t>
      </w:r>
      <w:r>
        <w:rPr>
          <w:rFonts w:hint="eastAsia" w:ascii="仿宋" w:hAnsi="仿宋" w:eastAsia="仿宋"/>
          <w:sz w:val="30"/>
          <w:szCs w:val="30"/>
          <w:lang w:val="en-US" w:eastAsia="zh-CN"/>
        </w:rPr>
        <w:t>25</w:t>
      </w:r>
      <w:r>
        <w:rPr>
          <w:rFonts w:hint="eastAsia" w:ascii="仿宋" w:hAnsi="仿宋" w:eastAsia="仿宋"/>
          <w:sz w:val="30"/>
          <w:szCs w:val="30"/>
        </w:rPr>
        <w:t>%。其中：因公出国（境）费支出决算为</w:t>
      </w:r>
      <w:r>
        <w:rPr>
          <w:rFonts w:hint="eastAsia" w:ascii="仿宋" w:hAnsi="Times New Roman" w:eastAsia="仿宋"/>
          <w:sz w:val="30"/>
          <w:szCs w:val="30"/>
        </w:rPr>
        <w:t>0.00</w:t>
      </w:r>
      <w:r>
        <w:rPr>
          <w:rFonts w:hint="eastAsia" w:ascii="仿宋" w:hAnsi="仿宋" w:eastAsia="仿宋"/>
          <w:sz w:val="30"/>
          <w:szCs w:val="30"/>
        </w:rPr>
        <w:t>万元，；公务用车购置及运行费支出决算为</w:t>
      </w:r>
      <w:r>
        <w:rPr>
          <w:rFonts w:hint="eastAsia" w:ascii="仿宋" w:hAnsi="Times New Roman" w:eastAsia="仿宋"/>
          <w:sz w:val="30"/>
          <w:szCs w:val="30"/>
        </w:rPr>
        <w:t>1.26</w:t>
      </w:r>
      <w:r>
        <w:rPr>
          <w:rFonts w:hint="eastAsia" w:ascii="仿宋" w:hAnsi="仿宋" w:eastAsia="仿宋"/>
          <w:sz w:val="30"/>
          <w:szCs w:val="30"/>
        </w:rPr>
        <w:t>万元，完成预算的</w:t>
      </w:r>
      <w:r>
        <w:rPr>
          <w:rFonts w:hint="eastAsia" w:ascii="仿宋" w:hAnsi="仿宋" w:eastAsia="仿宋"/>
          <w:sz w:val="30"/>
          <w:szCs w:val="30"/>
          <w:lang w:val="en-US" w:eastAsia="zh-CN"/>
        </w:rPr>
        <w:t>0.48</w:t>
      </w:r>
      <w:r>
        <w:rPr>
          <w:rFonts w:hint="eastAsia" w:ascii="仿宋" w:hAnsi="仿宋" w:eastAsia="仿宋"/>
          <w:sz w:val="30"/>
          <w:szCs w:val="30"/>
        </w:rPr>
        <w:t>%；公务接待费支出决算为</w:t>
      </w:r>
      <w:r>
        <w:rPr>
          <w:rFonts w:hint="eastAsia" w:ascii="仿宋" w:hAnsi="Times New Roman" w:eastAsia="仿宋"/>
          <w:sz w:val="30"/>
          <w:szCs w:val="30"/>
        </w:rPr>
        <w:t>0.47</w:t>
      </w:r>
      <w:r>
        <w:rPr>
          <w:rFonts w:hint="eastAsia" w:ascii="仿宋" w:hAnsi="仿宋" w:eastAsia="仿宋"/>
          <w:sz w:val="30"/>
          <w:szCs w:val="30"/>
        </w:rPr>
        <w:t>万元，完成预算的</w:t>
      </w:r>
      <w:r>
        <w:rPr>
          <w:rFonts w:hint="eastAsia" w:ascii="仿宋" w:hAnsi="仿宋" w:eastAsia="仿宋"/>
          <w:sz w:val="30"/>
          <w:szCs w:val="30"/>
          <w:lang w:val="en-US" w:eastAsia="zh-CN"/>
        </w:rPr>
        <w:t>11</w:t>
      </w:r>
      <w:r>
        <w:rPr>
          <w:rFonts w:hint="eastAsia" w:ascii="仿宋" w:hAnsi="仿宋" w:eastAsia="仿宋"/>
          <w:sz w:val="30"/>
          <w:szCs w:val="30"/>
        </w:rPr>
        <w:t>%。2019年度</w:t>
      </w:r>
      <w:r>
        <w:rPr>
          <w:rFonts w:hint="eastAsia" w:ascii="仿宋" w:hAnsi="仿宋" w:eastAsia="仿宋"/>
          <w:sz w:val="30"/>
          <w:szCs w:val="30"/>
          <w:lang w:eastAsia="zh-CN"/>
        </w:rPr>
        <w:t>由于我单位加强管理，严格执行相关的管理规定，所以</w:t>
      </w:r>
      <w:r>
        <w:rPr>
          <w:rFonts w:hint="eastAsia" w:ascii="仿宋" w:hAnsi="仿宋" w:eastAsia="仿宋"/>
          <w:sz w:val="30"/>
          <w:szCs w:val="30"/>
        </w:rPr>
        <w:t>一般公共预算财政拨款“三公”经费支出决算数小于预算数。</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2019年度一般公共预算财政拨款“三公”经费支出决算数比2018年减少0.59万元，下降25.33%。其中：因公出国（境）费支出决算增加/减少0.00万元，增长/下降0.00%；公务用车购置及运行费支出决算减少0.67万元，下降34.57%</w:t>
      </w:r>
      <w:r>
        <w:rPr>
          <w:rFonts w:hint="eastAsia" w:ascii="仿宋" w:hAnsi="仿宋" w:eastAsia="仿宋"/>
          <w:sz w:val="30"/>
          <w:szCs w:val="30"/>
          <w:lang w:eastAsia="zh-CN"/>
        </w:rPr>
        <w:t>，</w:t>
      </w:r>
      <w:r>
        <w:rPr>
          <w:rFonts w:hint="eastAsia" w:ascii="仿宋_GB2312" w:hAnsi="仿宋" w:eastAsia="仿宋_GB2312"/>
          <w:sz w:val="32"/>
          <w:szCs w:val="32"/>
        </w:rPr>
        <w:t>主要原因为事业单位公车改革，我所减少了公务用车2辆</w:t>
      </w:r>
      <w:r>
        <w:rPr>
          <w:rFonts w:hint="eastAsia" w:ascii="仿宋" w:hAnsi="仿宋" w:eastAsia="仿宋"/>
          <w:sz w:val="30"/>
          <w:szCs w:val="30"/>
        </w:rPr>
        <w:t>；公务接待费支出决算增加0.08万元，增长20.37%</w:t>
      </w:r>
      <w:r>
        <w:rPr>
          <w:rFonts w:hint="eastAsia" w:ascii="仿宋" w:hAnsi="仿宋" w:eastAsia="仿宋"/>
          <w:sz w:val="30"/>
          <w:szCs w:val="30"/>
          <w:lang w:eastAsia="zh-CN"/>
        </w:rPr>
        <w:t>，</w:t>
      </w:r>
      <w:r>
        <w:rPr>
          <w:rFonts w:hint="eastAsia" w:ascii="仿宋_GB2312" w:hAnsi="仿宋" w:eastAsia="仿宋_GB2312"/>
          <w:sz w:val="32"/>
          <w:szCs w:val="32"/>
        </w:rPr>
        <w:t>主要原因是我所2019年进行了实验室资质认证，接待了相关专家所致</w:t>
      </w:r>
      <w:r>
        <w:rPr>
          <w:rFonts w:hint="eastAsia" w:ascii="仿宋" w:hAnsi="仿宋" w:eastAsia="仿宋"/>
          <w:sz w:val="30"/>
          <w:szCs w:val="30"/>
        </w:rPr>
        <w:t>。2019年度一般公共预算财政拨款“三公”经费支出决算减少的主要原因</w:t>
      </w:r>
      <w:r>
        <w:rPr>
          <w:rFonts w:hint="eastAsia" w:ascii="仿宋" w:hAnsi="仿宋" w:eastAsia="仿宋"/>
          <w:sz w:val="30"/>
          <w:szCs w:val="30"/>
          <w:lang w:eastAsia="zh-CN"/>
        </w:rPr>
        <w:t>是我单位对三公经费支出加强了管理，严格执行公务用车及公务接待的相关规定</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Times New Roman" w:hAnsi="Times New Roman" w:eastAsia="楷体" w:cs="Times New Roman"/>
          <w:sz w:val="30"/>
          <w:szCs w:val="30"/>
        </w:rPr>
      </w:pPr>
      <w:r>
        <w:rPr>
          <w:rFonts w:hint="eastAsia" w:ascii="楷体" w:hAnsi="Times New Roman" w:eastAsia="楷体"/>
          <w:sz w:val="30"/>
          <w:szCs w:val="30"/>
        </w:rPr>
        <w:t>(</w:t>
      </w:r>
      <w:r>
        <w:rPr>
          <w:rFonts w:hint="eastAsia" w:ascii="楷体" w:hAnsi="楷体" w:eastAsia="楷体"/>
          <w:sz w:val="30"/>
          <w:szCs w:val="30"/>
        </w:rPr>
        <w:t>二</w:t>
      </w:r>
      <w:r>
        <w:rPr>
          <w:rFonts w:hint="eastAsia" w:ascii="楷体" w:hAnsi="Times New Roman" w:eastAsia="楷体"/>
          <w:sz w:val="30"/>
          <w:szCs w:val="30"/>
        </w:rPr>
        <w:t>)</w:t>
      </w:r>
      <w:r>
        <w:rPr>
          <w:rFonts w:hint="eastAsia" w:ascii="楷体" w:hAnsi="楷体" w:eastAsia="楷体"/>
          <w:sz w:val="30"/>
          <w:szCs w:val="30"/>
        </w:rPr>
        <w:t>一般公共预算财政拨款</w:t>
      </w:r>
      <w:r>
        <w:rPr>
          <w:rFonts w:ascii="Times New Roman" w:hAnsi="Times New Roman" w:eastAsia="楷体" w:cs="Times New Roman"/>
          <w:sz w:val="30"/>
          <w:szCs w:val="30"/>
        </w:rPr>
        <w:t>“</w:t>
      </w:r>
      <w:r>
        <w:rPr>
          <w:rFonts w:hint="eastAsia" w:ascii="楷体" w:hAnsi="楷体" w:eastAsia="楷体"/>
          <w:sz w:val="30"/>
          <w:szCs w:val="30"/>
        </w:rPr>
        <w:t>三公</w:t>
      </w:r>
      <w:r>
        <w:rPr>
          <w:rFonts w:ascii="Times New Roman" w:hAnsi="Times New Roman" w:eastAsia="楷体" w:cs="Times New Roman"/>
          <w:sz w:val="30"/>
          <w:szCs w:val="30"/>
        </w:rPr>
        <w:t>”</w:t>
      </w:r>
      <w:r>
        <w:rPr>
          <w:rFonts w:hint="eastAsia" w:ascii="楷体" w:hAnsi="楷体" w:eastAsia="楷体"/>
          <w:sz w:val="30"/>
          <w:szCs w:val="30"/>
        </w:rPr>
        <w:t>经费支出决算具体情况</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Times New Roman" w:eastAsia="仿宋"/>
          <w:sz w:val="30"/>
          <w:szCs w:val="30"/>
        </w:rPr>
        <w:t>2019</w:t>
      </w:r>
      <w:r>
        <w:rPr>
          <w:rFonts w:hint="eastAsia" w:ascii="仿宋" w:hAnsi="仿宋" w:eastAsia="仿宋"/>
          <w:sz w:val="30"/>
          <w:szCs w:val="30"/>
        </w:rPr>
        <w:t>年度一般公共预算财政拨款</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经费支出决算中，因公出国（境）费支出</w:t>
      </w:r>
      <w:r>
        <w:rPr>
          <w:rFonts w:hint="eastAsia" w:ascii="仿宋" w:hAnsi="Times New Roman" w:eastAsia="仿宋"/>
          <w:sz w:val="30"/>
          <w:szCs w:val="30"/>
        </w:rPr>
        <w:t>0.00</w:t>
      </w:r>
      <w:r>
        <w:rPr>
          <w:rFonts w:hint="eastAsia" w:ascii="仿宋" w:hAnsi="仿宋" w:eastAsia="仿宋"/>
          <w:sz w:val="30"/>
          <w:szCs w:val="30"/>
        </w:rPr>
        <w:t>万元，占</w:t>
      </w:r>
      <w:r>
        <w:rPr>
          <w:rFonts w:hint="eastAsia" w:ascii="仿宋" w:hAnsi="Times New Roman" w:eastAsia="仿宋"/>
          <w:sz w:val="30"/>
          <w:szCs w:val="30"/>
        </w:rPr>
        <w:t>0.00%</w:t>
      </w:r>
      <w:r>
        <w:rPr>
          <w:rFonts w:hint="eastAsia" w:ascii="仿宋" w:hAnsi="仿宋" w:eastAsia="仿宋"/>
          <w:sz w:val="30"/>
          <w:szCs w:val="30"/>
        </w:rPr>
        <w:t>；公务用车购置及运行维护费支出</w:t>
      </w:r>
      <w:r>
        <w:rPr>
          <w:rFonts w:hint="eastAsia" w:ascii="仿宋" w:hAnsi="Times New Roman" w:eastAsia="仿宋"/>
          <w:sz w:val="30"/>
          <w:szCs w:val="30"/>
        </w:rPr>
        <w:t>1.26</w:t>
      </w:r>
      <w:r>
        <w:rPr>
          <w:rFonts w:hint="eastAsia" w:ascii="仿宋" w:hAnsi="仿宋" w:eastAsia="仿宋"/>
          <w:sz w:val="30"/>
          <w:szCs w:val="30"/>
        </w:rPr>
        <w:t>万元，占</w:t>
      </w:r>
      <w:r>
        <w:rPr>
          <w:rFonts w:hint="eastAsia" w:ascii="仿宋" w:hAnsi="Times New Roman" w:eastAsia="仿宋"/>
          <w:sz w:val="30"/>
          <w:szCs w:val="30"/>
        </w:rPr>
        <w:t>72.89%</w:t>
      </w:r>
      <w:r>
        <w:rPr>
          <w:rFonts w:hint="eastAsia" w:ascii="仿宋" w:hAnsi="仿宋" w:eastAsia="仿宋"/>
          <w:sz w:val="30"/>
          <w:szCs w:val="30"/>
        </w:rPr>
        <w:t>；公务接待费支出</w:t>
      </w:r>
      <w:r>
        <w:rPr>
          <w:rFonts w:hint="eastAsia" w:ascii="仿宋" w:hAnsi="Times New Roman" w:eastAsia="仿宋"/>
          <w:sz w:val="30"/>
          <w:szCs w:val="30"/>
        </w:rPr>
        <w:t>0.47</w:t>
      </w:r>
      <w:r>
        <w:rPr>
          <w:rFonts w:hint="eastAsia" w:ascii="仿宋" w:hAnsi="仿宋" w:eastAsia="仿宋"/>
          <w:sz w:val="30"/>
          <w:szCs w:val="30"/>
        </w:rPr>
        <w:t>万元，占</w:t>
      </w:r>
      <w:r>
        <w:rPr>
          <w:rFonts w:hint="eastAsia" w:ascii="仿宋" w:hAnsi="Times New Roman" w:eastAsia="仿宋"/>
          <w:sz w:val="30"/>
          <w:szCs w:val="30"/>
        </w:rPr>
        <w:t>27.11%</w:t>
      </w:r>
      <w:r>
        <w:rPr>
          <w:rFonts w:hint="eastAsia" w:ascii="仿宋" w:hAnsi="仿宋" w:eastAsia="仿宋"/>
          <w:sz w:val="30"/>
          <w:szCs w:val="30"/>
        </w:rPr>
        <w:t>。具体情况如下：</w:t>
      </w:r>
    </w:p>
    <w:p>
      <w:pPr>
        <w:numPr>
          <w:ilvl w:val="0"/>
          <w:numId w:val="0"/>
        </w:numPr>
        <w:adjustRightInd w:val="0"/>
        <w:spacing w:before="100" w:beforeAutospacing="1" w:after="100" w:afterAutospacing="1" w:line="590" w:lineRule="exact"/>
        <w:ind w:firstLine="602" w:firstLineChars="200"/>
        <w:rPr>
          <w:rFonts w:hint="eastAsia" w:ascii="仿宋" w:hAnsi="仿宋" w:eastAsia="仿宋"/>
          <w:sz w:val="30"/>
          <w:szCs w:val="30"/>
        </w:rPr>
      </w:pPr>
      <w:r>
        <w:rPr>
          <w:rFonts w:hint="eastAsia" w:ascii="仿宋" w:hAnsi="仿宋" w:eastAsia="仿宋"/>
          <w:b/>
          <w:bCs/>
          <w:sz w:val="30"/>
          <w:szCs w:val="30"/>
          <w:lang w:val="en-US" w:eastAsia="zh-CN"/>
        </w:rPr>
        <w:t>1.</w:t>
      </w:r>
      <w:r>
        <w:rPr>
          <w:rFonts w:hint="eastAsia" w:ascii="仿宋" w:hAnsi="仿宋" w:eastAsia="仿宋"/>
          <w:b/>
          <w:bCs/>
          <w:sz w:val="30"/>
          <w:szCs w:val="30"/>
        </w:rPr>
        <w:t>因公出国（境）费</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万元，共安排因公出国（境）团组</w:t>
      </w:r>
      <w:r>
        <w:rPr>
          <w:rFonts w:hint="eastAsia" w:ascii="仿宋" w:hAnsi="Times New Roman" w:eastAsia="仿宋"/>
          <w:sz w:val="30"/>
          <w:szCs w:val="30"/>
        </w:rPr>
        <w:t>0</w:t>
      </w:r>
      <w:r>
        <w:rPr>
          <w:rFonts w:hint="eastAsia" w:ascii="仿宋" w:hAnsi="仿宋" w:eastAsia="仿宋"/>
          <w:sz w:val="30"/>
          <w:szCs w:val="30"/>
        </w:rPr>
        <w:t>个，累计</w:t>
      </w:r>
      <w:r>
        <w:rPr>
          <w:rFonts w:hint="eastAsia" w:ascii="仿宋" w:hAnsi="Times New Roman" w:eastAsia="仿宋"/>
          <w:sz w:val="30"/>
          <w:szCs w:val="30"/>
        </w:rPr>
        <w:t>0</w:t>
      </w:r>
      <w:r>
        <w:rPr>
          <w:rFonts w:hint="eastAsia" w:ascii="仿宋" w:hAnsi="仿宋" w:eastAsia="仿宋"/>
          <w:sz w:val="30"/>
          <w:szCs w:val="30"/>
        </w:rPr>
        <w:t>人次。</w:t>
      </w:r>
    </w:p>
    <w:p>
      <w:pPr>
        <w:numPr>
          <w:ilvl w:val="0"/>
          <w:numId w:val="0"/>
        </w:num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lang w:val="en-US" w:eastAsia="zh-CN"/>
        </w:rPr>
        <w:t>2.</w:t>
      </w:r>
      <w:r>
        <w:rPr>
          <w:rFonts w:hint="eastAsia" w:ascii="仿宋" w:hAnsi="仿宋" w:eastAsia="仿宋"/>
          <w:b/>
          <w:bCs/>
          <w:sz w:val="30"/>
          <w:szCs w:val="30"/>
        </w:rPr>
        <w:t>公务用车购置及运行维护费</w:t>
      </w:r>
      <w:r>
        <w:rPr>
          <w:rFonts w:hint="eastAsia" w:ascii="仿宋" w:hAnsi="仿宋" w:eastAsia="仿宋"/>
          <w:sz w:val="30"/>
          <w:szCs w:val="30"/>
        </w:rPr>
        <w:t>支出</w:t>
      </w:r>
      <w:r>
        <w:rPr>
          <w:rFonts w:hint="eastAsia" w:ascii="仿宋" w:hAnsi="Times New Roman" w:eastAsia="仿宋"/>
          <w:sz w:val="30"/>
          <w:szCs w:val="30"/>
        </w:rPr>
        <w:t>1.26</w:t>
      </w:r>
      <w:r>
        <w:rPr>
          <w:rFonts w:hint="eastAsia" w:ascii="仿宋" w:hAnsi="仿宋" w:eastAsia="仿宋"/>
          <w:sz w:val="30"/>
          <w:szCs w:val="30"/>
        </w:rPr>
        <w:t>万元。其中：</w:t>
      </w:r>
    </w:p>
    <w:p>
      <w:pPr>
        <w:adjustRightInd w:val="0"/>
        <w:spacing w:before="100" w:beforeAutospacing="1" w:after="100" w:afterAutospacing="1" w:line="590" w:lineRule="exact"/>
        <w:ind w:firstLine="602" w:firstLineChars="200"/>
        <w:rPr>
          <w:rFonts w:hint="eastAsia" w:ascii="仿宋" w:hAnsi="仿宋" w:eastAsia="仿宋"/>
          <w:sz w:val="30"/>
          <w:szCs w:val="30"/>
        </w:rPr>
      </w:pPr>
      <w:r>
        <w:rPr>
          <w:rFonts w:hint="eastAsia" w:ascii="仿宋" w:hAnsi="仿宋" w:eastAsia="仿宋"/>
          <w:b/>
          <w:bCs/>
          <w:sz w:val="30"/>
          <w:szCs w:val="30"/>
        </w:rPr>
        <w:t>公务用车购置</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万元，购置车辆</w:t>
      </w:r>
      <w:r>
        <w:rPr>
          <w:rFonts w:hint="eastAsia" w:ascii="仿宋" w:hAnsi="Times New Roman" w:eastAsia="仿宋"/>
          <w:sz w:val="30"/>
          <w:szCs w:val="30"/>
        </w:rPr>
        <w:t>0</w:t>
      </w:r>
      <w:r>
        <w:rPr>
          <w:rFonts w:hint="eastAsia" w:ascii="仿宋" w:hAnsi="仿宋" w:eastAsia="仿宋"/>
          <w:sz w:val="30"/>
          <w:szCs w:val="30"/>
        </w:rPr>
        <w:t>辆。</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lang w:val="en-US" w:eastAsia="zh-CN"/>
        </w:rPr>
        <w:t>3.</w:t>
      </w:r>
      <w:r>
        <w:rPr>
          <w:rFonts w:hint="eastAsia" w:ascii="仿宋" w:hAnsi="仿宋" w:eastAsia="仿宋"/>
          <w:b/>
          <w:bCs/>
          <w:sz w:val="30"/>
          <w:szCs w:val="30"/>
        </w:rPr>
        <w:t>公务用车运行维护</w:t>
      </w:r>
      <w:r>
        <w:rPr>
          <w:rFonts w:hint="eastAsia" w:ascii="仿宋" w:hAnsi="仿宋" w:eastAsia="仿宋"/>
          <w:sz w:val="30"/>
          <w:szCs w:val="30"/>
        </w:rPr>
        <w:t>支出</w:t>
      </w:r>
      <w:r>
        <w:rPr>
          <w:rFonts w:hint="eastAsia" w:ascii="仿宋" w:hAnsi="Times New Roman" w:eastAsia="仿宋"/>
          <w:sz w:val="30"/>
          <w:szCs w:val="30"/>
        </w:rPr>
        <w:t>1.26</w:t>
      </w:r>
      <w:r>
        <w:rPr>
          <w:rFonts w:hint="eastAsia" w:ascii="仿宋" w:hAnsi="仿宋" w:eastAsia="仿宋"/>
          <w:sz w:val="30"/>
          <w:szCs w:val="30"/>
        </w:rPr>
        <w:t>万元，开支财政拨款的公务用车保有量为</w:t>
      </w:r>
      <w:r>
        <w:rPr>
          <w:rFonts w:hint="eastAsia" w:ascii="仿宋" w:hAnsi="Times New Roman" w:eastAsia="仿宋"/>
          <w:sz w:val="30"/>
          <w:szCs w:val="30"/>
        </w:rPr>
        <w:t>1</w:t>
      </w:r>
      <w:r>
        <w:rPr>
          <w:rFonts w:hint="eastAsia" w:ascii="仿宋" w:hAnsi="仿宋" w:eastAsia="仿宋"/>
          <w:sz w:val="30"/>
          <w:szCs w:val="30"/>
        </w:rPr>
        <w:t>辆。主要用于</w:t>
      </w:r>
      <w:r>
        <w:rPr>
          <w:rFonts w:hint="eastAsia" w:ascii="仿宋" w:hAnsi="仿宋" w:eastAsia="仿宋"/>
          <w:sz w:val="30"/>
          <w:szCs w:val="30"/>
          <w:lang w:eastAsia="zh-CN"/>
        </w:rPr>
        <w:t>我单位日常工作开展</w:t>
      </w:r>
      <w:r>
        <w:rPr>
          <w:rFonts w:hint="eastAsia" w:ascii="仿宋" w:hAnsi="仿宋" w:eastAsia="仿宋"/>
          <w:sz w:val="30"/>
          <w:szCs w:val="30"/>
        </w:rPr>
        <w:t>所需车辆燃料费、维修费、过路过桥费、保险费等。</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lang w:val="en-US" w:eastAsia="zh-CN"/>
        </w:rPr>
        <w:t>4.</w:t>
      </w:r>
      <w:r>
        <w:rPr>
          <w:rFonts w:hint="eastAsia" w:ascii="仿宋" w:hAnsi="仿宋" w:eastAsia="仿宋"/>
          <w:b/>
          <w:bCs/>
          <w:sz w:val="30"/>
          <w:szCs w:val="30"/>
        </w:rPr>
        <w:t>公务接待费</w:t>
      </w:r>
      <w:r>
        <w:rPr>
          <w:rFonts w:hint="eastAsia" w:ascii="仿宋" w:hAnsi="仿宋" w:eastAsia="仿宋"/>
          <w:sz w:val="30"/>
          <w:szCs w:val="30"/>
        </w:rPr>
        <w:t>支出</w:t>
      </w:r>
      <w:r>
        <w:rPr>
          <w:rFonts w:hint="eastAsia" w:ascii="仿宋" w:hAnsi="Times New Roman" w:eastAsia="仿宋"/>
          <w:sz w:val="30"/>
          <w:szCs w:val="30"/>
        </w:rPr>
        <w:t>0.47</w:t>
      </w:r>
      <w:r>
        <w:rPr>
          <w:rFonts w:hint="eastAsia" w:ascii="仿宋" w:hAnsi="仿宋" w:eastAsia="仿宋"/>
          <w:sz w:val="30"/>
          <w:szCs w:val="30"/>
        </w:rPr>
        <w:t>万元。其中：</w:t>
      </w:r>
    </w:p>
    <w:p>
      <w:pPr>
        <w:adjustRightInd w:val="0"/>
        <w:spacing w:before="100" w:beforeAutospacing="1" w:after="100" w:afterAutospacing="1" w:line="590" w:lineRule="exact"/>
        <w:ind w:firstLine="602" w:firstLineChars="200"/>
        <w:rPr>
          <w:rFonts w:hint="eastAsia" w:ascii="仿宋" w:hAnsi="仿宋" w:eastAsia="仿宋"/>
          <w:sz w:val="30"/>
          <w:szCs w:val="30"/>
        </w:rPr>
      </w:pPr>
      <w:r>
        <w:rPr>
          <w:rFonts w:hint="eastAsia" w:ascii="仿宋" w:hAnsi="仿宋" w:eastAsia="仿宋"/>
          <w:b/>
          <w:bCs/>
          <w:sz w:val="30"/>
          <w:szCs w:val="30"/>
        </w:rPr>
        <w:t>国内接待费</w:t>
      </w:r>
      <w:r>
        <w:rPr>
          <w:rFonts w:hint="eastAsia" w:ascii="仿宋" w:hAnsi="仿宋" w:eastAsia="仿宋"/>
          <w:sz w:val="30"/>
          <w:szCs w:val="30"/>
        </w:rPr>
        <w:t>支出</w:t>
      </w:r>
      <w:r>
        <w:rPr>
          <w:rFonts w:hint="eastAsia" w:ascii="仿宋" w:hAnsi="Times New Roman" w:eastAsia="仿宋"/>
          <w:sz w:val="30"/>
          <w:szCs w:val="30"/>
        </w:rPr>
        <w:t>0.47</w:t>
      </w:r>
      <w:r>
        <w:rPr>
          <w:rFonts w:hint="eastAsia" w:ascii="仿宋" w:hAnsi="仿宋" w:eastAsia="仿宋"/>
          <w:sz w:val="30"/>
          <w:szCs w:val="30"/>
        </w:rPr>
        <w:t>万元（其中：外事接待费支出</w:t>
      </w:r>
      <w:r>
        <w:rPr>
          <w:rFonts w:hint="eastAsia" w:ascii="仿宋" w:hAnsi="Times New Roman" w:eastAsia="仿宋"/>
          <w:sz w:val="30"/>
          <w:szCs w:val="30"/>
        </w:rPr>
        <w:t>0.00</w:t>
      </w:r>
      <w:r>
        <w:rPr>
          <w:rFonts w:hint="eastAsia" w:ascii="仿宋" w:hAnsi="仿宋" w:eastAsia="仿宋"/>
          <w:sz w:val="30"/>
          <w:szCs w:val="30"/>
        </w:rPr>
        <w:t>万元），共安排国内公务接待</w:t>
      </w:r>
      <w:r>
        <w:rPr>
          <w:rFonts w:hint="eastAsia" w:ascii="仿宋" w:hAnsi="Times New Roman" w:eastAsia="仿宋"/>
          <w:sz w:val="30"/>
          <w:szCs w:val="30"/>
        </w:rPr>
        <w:t>4</w:t>
      </w:r>
      <w:r>
        <w:rPr>
          <w:rFonts w:hint="eastAsia" w:ascii="仿宋" w:hAnsi="仿宋" w:eastAsia="仿宋"/>
          <w:sz w:val="30"/>
          <w:szCs w:val="30"/>
        </w:rPr>
        <w:t>批次（其中：外事接待</w:t>
      </w:r>
      <w:r>
        <w:rPr>
          <w:rFonts w:hint="eastAsia" w:ascii="仿宋" w:hAnsi="Times New Roman" w:eastAsia="仿宋"/>
          <w:sz w:val="30"/>
          <w:szCs w:val="30"/>
        </w:rPr>
        <w:t>0</w:t>
      </w:r>
      <w:r>
        <w:rPr>
          <w:rFonts w:hint="eastAsia" w:ascii="仿宋" w:hAnsi="仿宋" w:eastAsia="仿宋"/>
          <w:sz w:val="30"/>
          <w:szCs w:val="30"/>
        </w:rPr>
        <w:t>批次），接待人次</w:t>
      </w:r>
      <w:r>
        <w:rPr>
          <w:rFonts w:hint="eastAsia" w:ascii="仿宋" w:hAnsi="Times New Roman" w:eastAsia="仿宋"/>
          <w:sz w:val="30"/>
          <w:szCs w:val="30"/>
        </w:rPr>
        <w:t>54</w:t>
      </w:r>
      <w:r>
        <w:rPr>
          <w:rFonts w:hint="eastAsia" w:ascii="仿宋" w:hAnsi="仿宋" w:eastAsia="仿宋"/>
          <w:sz w:val="30"/>
          <w:szCs w:val="30"/>
        </w:rPr>
        <w:t>人（其中：外事接待人次</w:t>
      </w:r>
      <w:r>
        <w:rPr>
          <w:rFonts w:hint="eastAsia" w:ascii="仿宋" w:hAnsi="Times New Roman" w:eastAsia="仿宋"/>
          <w:sz w:val="30"/>
          <w:szCs w:val="30"/>
        </w:rPr>
        <w:t>0</w:t>
      </w:r>
      <w:r>
        <w:rPr>
          <w:rFonts w:hint="eastAsia" w:ascii="仿宋" w:hAnsi="仿宋" w:eastAsia="仿宋"/>
          <w:sz w:val="30"/>
          <w:szCs w:val="30"/>
        </w:rPr>
        <w:t>人）。主要用于</w:t>
      </w:r>
      <w:r>
        <w:rPr>
          <w:rFonts w:hint="eastAsia" w:ascii="仿宋" w:hAnsi="仿宋" w:eastAsia="仿宋"/>
          <w:sz w:val="30"/>
          <w:szCs w:val="30"/>
          <w:lang w:eastAsia="zh-CN"/>
        </w:rPr>
        <w:t>食品药品送检工作及实验室论证工作</w:t>
      </w:r>
      <w:r>
        <w:rPr>
          <w:rFonts w:hint="eastAsia" w:ascii="仿宋" w:hAnsi="仿宋" w:eastAsia="仿宋"/>
          <w:sz w:val="30"/>
          <w:szCs w:val="30"/>
        </w:rPr>
        <w:t>发生的接待支出。</w:t>
      </w:r>
    </w:p>
    <w:p>
      <w:pPr>
        <w:adjustRightInd w:val="0"/>
        <w:spacing w:before="100" w:beforeAutospacing="1" w:after="100" w:afterAutospacing="1" w:line="590" w:lineRule="exact"/>
        <w:ind w:firstLine="602" w:firstLineChars="200"/>
        <w:rPr>
          <w:rFonts w:ascii="Times New Roman" w:hAnsi="Times New Roman" w:eastAsia="仿宋" w:cs="Times New Roman"/>
          <w:sz w:val="30"/>
          <w:szCs w:val="30"/>
        </w:rPr>
      </w:pPr>
      <w:r>
        <w:rPr>
          <w:rFonts w:hint="eastAsia" w:ascii="仿宋" w:hAnsi="仿宋" w:eastAsia="仿宋"/>
          <w:b/>
          <w:bCs/>
          <w:sz w:val="30"/>
          <w:szCs w:val="30"/>
          <w:lang w:val="en-US" w:eastAsia="zh-CN"/>
        </w:rPr>
        <w:t>5.</w:t>
      </w:r>
      <w:r>
        <w:rPr>
          <w:rFonts w:hint="eastAsia" w:ascii="仿宋" w:hAnsi="仿宋" w:eastAsia="仿宋"/>
          <w:b/>
          <w:bCs/>
          <w:sz w:val="30"/>
          <w:szCs w:val="30"/>
        </w:rPr>
        <w:t>国（境）外接待费</w:t>
      </w:r>
      <w:r>
        <w:rPr>
          <w:rFonts w:hint="eastAsia" w:ascii="仿宋" w:hAnsi="仿宋" w:eastAsia="仿宋"/>
          <w:sz w:val="30"/>
          <w:szCs w:val="30"/>
        </w:rPr>
        <w:t>支出</w:t>
      </w:r>
      <w:r>
        <w:rPr>
          <w:rFonts w:hint="eastAsia" w:ascii="仿宋" w:hAnsi="Times New Roman" w:eastAsia="仿宋"/>
          <w:sz w:val="30"/>
          <w:szCs w:val="30"/>
        </w:rPr>
        <w:t>0.00</w:t>
      </w:r>
      <w:r>
        <w:rPr>
          <w:rFonts w:hint="eastAsia" w:ascii="仿宋" w:hAnsi="仿宋" w:eastAsia="仿宋"/>
          <w:sz w:val="30"/>
          <w:szCs w:val="30"/>
        </w:rPr>
        <w:t>万元，共安排国（境）外公务接待</w:t>
      </w:r>
      <w:r>
        <w:rPr>
          <w:rFonts w:hint="eastAsia" w:ascii="仿宋" w:hAnsi="Times New Roman" w:eastAsia="仿宋"/>
          <w:sz w:val="30"/>
          <w:szCs w:val="30"/>
        </w:rPr>
        <w:t>0</w:t>
      </w:r>
      <w:r>
        <w:rPr>
          <w:rFonts w:hint="eastAsia" w:ascii="仿宋" w:hAnsi="仿宋" w:eastAsia="仿宋"/>
          <w:sz w:val="30"/>
          <w:szCs w:val="30"/>
        </w:rPr>
        <w:t>批次，接待人次</w:t>
      </w:r>
      <w:r>
        <w:rPr>
          <w:rFonts w:hint="eastAsia" w:ascii="仿宋" w:hAnsi="Times New Roman" w:eastAsia="仿宋"/>
          <w:sz w:val="30"/>
          <w:szCs w:val="30"/>
        </w:rPr>
        <w:t>0</w:t>
      </w:r>
      <w:r>
        <w:rPr>
          <w:rFonts w:hint="eastAsia" w:ascii="仿宋" w:hAnsi="仿宋" w:eastAsia="仿宋"/>
          <w:sz w:val="30"/>
          <w:szCs w:val="30"/>
        </w:rPr>
        <w:t>人。</w:t>
      </w:r>
    </w:p>
    <w:p>
      <w:pPr>
        <w:adjustRightInd w:val="0"/>
        <w:spacing w:before="100" w:beforeAutospacing="1" w:after="100" w:afterAutospacing="1" w:line="590" w:lineRule="exact"/>
        <w:ind w:firstLine="640"/>
        <w:jc w:val="center"/>
        <w:rPr>
          <w:rFonts w:ascii="Times New Roman" w:hAnsi="Times New Roman" w:eastAsia="黑体" w:cs="Times New Roman"/>
          <w:sz w:val="32"/>
          <w:szCs w:val="32"/>
        </w:rPr>
      </w:pPr>
      <w:r>
        <w:rPr>
          <w:rFonts w:hint="eastAsia" w:ascii="黑体" w:hAnsi="黑体" w:eastAsia="黑体"/>
          <w:sz w:val="32"/>
          <w:szCs w:val="32"/>
        </w:rPr>
        <w:t>第四部分</w:t>
      </w:r>
      <w:r>
        <w:rPr>
          <w:rFonts w:hint="eastAsia" w:ascii="黑体" w:hAnsi="Times New Roman" w:eastAsia="黑体"/>
          <w:sz w:val="32"/>
          <w:szCs w:val="32"/>
        </w:rPr>
        <w:t xml:space="preserve">  </w:t>
      </w:r>
      <w:r>
        <w:rPr>
          <w:rFonts w:hint="eastAsia" w:ascii="黑体" w:hAnsi="黑体" w:eastAsia="黑体"/>
          <w:sz w:val="32"/>
          <w:szCs w:val="32"/>
        </w:rPr>
        <w:t>其他重要事项及相关口径情况说明</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一、机关运行经费支出情况</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玉溪市食品药品检验所部门</w:t>
      </w:r>
      <w:r>
        <w:rPr>
          <w:rFonts w:hint="eastAsia" w:ascii="仿宋" w:hAnsi="Times New Roman" w:eastAsia="仿宋"/>
          <w:sz w:val="30"/>
          <w:szCs w:val="30"/>
        </w:rPr>
        <w:t>2019</w:t>
      </w:r>
      <w:r>
        <w:rPr>
          <w:rFonts w:hint="eastAsia" w:ascii="仿宋" w:hAnsi="仿宋" w:eastAsia="仿宋"/>
          <w:sz w:val="30"/>
          <w:szCs w:val="30"/>
        </w:rPr>
        <w:t>年机关运行经费支出</w:t>
      </w:r>
      <w:r>
        <w:rPr>
          <w:rFonts w:hint="eastAsia" w:ascii="仿宋" w:hAnsi="Times New Roman" w:eastAsia="仿宋"/>
          <w:sz w:val="30"/>
          <w:szCs w:val="30"/>
        </w:rPr>
        <w:t>0.00</w:t>
      </w:r>
      <w:r>
        <w:rPr>
          <w:rFonts w:hint="eastAsia" w:ascii="仿宋" w:hAnsi="仿宋" w:eastAsia="仿宋"/>
          <w:sz w:val="30"/>
          <w:szCs w:val="30"/>
        </w:rPr>
        <w:t>万元，</w:t>
      </w:r>
      <w:r>
        <w:rPr>
          <w:rFonts w:hint="eastAsia" w:ascii="仿宋" w:hAnsi="仿宋" w:eastAsia="仿宋"/>
          <w:sz w:val="30"/>
          <w:szCs w:val="30"/>
          <w:lang w:eastAsia="zh-CN"/>
        </w:rPr>
        <w:t>由于我单位属事业单位，无机关运行经费支出</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二、国有资产占用情况</w:t>
      </w:r>
    </w:p>
    <w:p>
      <w:pPr>
        <w:adjustRightInd w:val="0"/>
        <w:spacing w:before="100" w:beforeAutospacing="1" w:after="100" w:afterAutospacing="1" w:line="590" w:lineRule="exact"/>
        <w:ind w:firstLine="600" w:firstLineChars="200"/>
        <w:rPr>
          <w:rFonts w:hint="eastAsia" w:ascii="仿宋" w:hAnsi="Times New Roman" w:eastAsia="仿宋"/>
          <w:sz w:val="30"/>
          <w:szCs w:val="30"/>
        </w:rPr>
      </w:pPr>
      <w:r>
        <w:rPr>
          <w:rFonts w:hint="eastAsia" w:ascii="仿宋" w:hAnsi="仿宋" w:eastAsia="仿宋"/>
          <w:sz w:val="30"/>
          <w:szCs w:val="30"/>
        </w:rPr>
        <w:t>截至</w:t>
      </w:r>
      <w:r>
        <w:rPr>
          <w:rFonts w:hint="eastAsia" w:ascii="仿宋" w:hAnsi="Times New Roman" w:eastAsia="仿宋"/>
          <w:sz w:val="30"/>
          <w:szCs w:val="30"/>
        </w:rPr>
        <w:t>2019</w:t>
      </w:r>
      <w:r>
        <w:rPr>
          <w:rFonts w:hint="eastAsia" w:ascii="仿宋" w:hAnsi="仿宋" w:eastAsia="仿宋"/>
          <w:sz w:val="30"/>
          <w:szCs w:val="30"/>
        </w:rPr>
        <w:t>年</w:t>
      </w:r>
      <w:r>
        <w:rPr>
          <w:rFonts w:hint="eastAsia" w:ascii="仿宋" w:hAnsi="Times New Roman" w:eastAsia="仿宋"/>
          <w:sz w:val="30"/>
          <w:szCs w:val="30"/>
        </w:rPr>
        <w:t>12</w:t>
      </w:r>
      <w:r>
        <w:rPr>
          <w:rFonts w:hint="eastAsia" w:ascii="仿宋" w:hAnsi="仿宋" w:eastAsia="仿宋"/>
          <w:sz w:val="30"/>
          <w:szCs w:val="30"/>
        </w:rPr>
        <w:t>月</w:t>
      </w:r>
      <w:r>
        <w:rPr>
          <w:rFonts w:hint="eastAsia" w:ascii="仿宋" w:hAnsi="Times New Roman" w:eastAsia="仿宋"/>
          <w:sz w:val="30"/>
          <w:szCs w:val="30"/>
        </w:rPr>
        <w:t>31</w:t>
      </w:r>
      <w:r>
        <w:rPr>
          <w:rFonts w:hint="eastAsia" w:ascii="仿宋" w:hAnsi="仿宋" w:eastAsia="仿宋"/>
          <w:sz w:val="30"/>
          <w:szCs w:val="30"/>
        </w:rPr>
        <w:t>日，玉溪市食品药品检验所部门资产总额</w:t>
      </w:r>
      <w:r>
        <w:rPr>
          <w:rFonts w:hint="eastAsia" w:ascii="仿宋" w:hAnsi="Times New Roman" w:eastAsia="仿宋"/>
          <w:sz w:val="30"/>
          <w:szCs w:val="30"/>
        </w:rPr>
        <w:t>3876.55万元，其中，流动资产531.15万元，固定资产1579.65万元，对外投资及有价证券</w:t>
      </w:r>
      <w:r>
        <w:rPr>
          <w:rFonts w:hint="eastAsia" w:ascii="仿宋" w:hAnsi="Times New Roman" w:eastAsia="仿宋"/>
          <w:sz w:val="30"/>
          <w:szCs w:val="30"/>
          <w:lang w:val="en-US" w:eastAsia="zh-CN"/>
        </w:rPr>
        <w:t>0</w:t>
      </w:r>
      <w:r>
        <w:rPr>
          <w:rFonts w:hint="eastAsia" w:ascii="仿宋" w:hAnsi="Times New Roman" w:eastAsia="仿宋"/>
          <w:sz w:val="30"/>
          <w:szCs w:val="30"/>
        </w:rPr>
        <w:t>万元，在建工程1710.59万元，无形资产55.16万元，其他资产</w:t>
      </w:r>
      <w:r>
        <w:rPr>
          <w:rFonts w:hint="eastAsia" w:ascii="仿宋" w:hAnsi="Times New Roman" w:eastAsia="仿宋"/>
          <w:sz w:val="30"/>
          <w:szCs w:val="30"/>
          <w:lang w:val="en-US" w:eastAsia="zh-CN"/>
        </w:rPr>
        <w:t>0</w:t>
      </w:r>
      <w:r>
        <w:rPr>
          <w:rFonts w:hint="eastAsia" w:ascii="仿宋" w:hAnsi="Times New Roman" w:eastAsia="仿宋"/>
          <w:sz w:val="30"/>
          <w:szCs w:val="30"/>
        </w:rPr>
        <w:t>万元（具体内容详见附</w:t>
      </w:r>
      <w:r>
        <w:rPr>
          <w:rFonts w:hint="eastAsia" w:ascii="仿宋" w:hAnsi="仿宋" w:eastAsia="仿宋"/>
          <w:sz w:val="30"/>
          <w:szCs w:val="30"/>
        </w:rPr>
        <w:t>表）。</w:t>
      </w:r>
      <w:r>
        <w:rPr>
          <w:rFonts w:hint="eastAsia" w:ascii="仿宋" w:hAnsi="Times New Roman" w:eastAsia="仿宋"/>
          <w:sz w:val="30"/>
          <w:szCs w:val="30"/>
        </w:rPr>
        <w:t>与上年相比，本年资产总额减少</w:t>
      </w:r>
      <w:r>
        <w:rPr>
          <w:rFonts w:hint="eastAsia" w:ascii="仿宋" w:hAnsi="Times New Roman" w:eastAsia="仿宋"/>
          <w:sz w:val="30"/>
          <w:szCs w:val="30"/>
          <w:lang w:val="en-US" w:eastAsia="zh-CN"/>
        </w:rPr>
        <w:t>156.83</w:t>
      </w:r>
      <w:r>
        <w:rPr>
          <w:rFonts w:hint="eastAsia" w:ascii="仿宋" w:hAnsi="Times New Roman" w:eastAsia="仿宋"/>
          <w:sz w:val="30"/>
          <w:szCs w:val="30"/>
        </w:rPr>
        <w:t>万元，其中;流动资产减少</w:t>
      </w:r>
      <w:r>
        <w:rPr>
          <w:rFonts w:hint="eastAsia" w:ascii="仿宋" w:hAnsi="Times New Roman" w:eastAsia="仿宋"/>
          <w:sz w:val="30"/>
          <w:szCs w:val="30"/>
          <w:lang w:val="en-US" w:eastAsia="zh-CN"/>
        </w:rPr>
        <w:t>108.01</w:t>
      </w:r>
      <w:r>
        <w:rPr>
          <w:rFonts w:hint="eastAsia" w:ascii="仿宋" w:hAnsi="Times New Roman" w:eastAsia="仿宋"/>
          <w:sz w:val="30"/>
          <w:szCs w:val="30"/>
        </w:rPr>
        <w:t>万元，固定资产增加</w:t>
      </w:r>
      <w:r>
        <w:rPr>
          <w:rFonts w:hint="eastAsia" w:ascii="仿宋" w:hAnsi="Times New Roman" w:eastAsia="仿宋"/>
          <w:sz w:val="30"/>
          <w:szCs w:val="30"/>
          <w:lang w:val="en-US" w:eastAsia="zh-CN"/>
        </w:rPr>
        <w:t>192.62</w:t>
      </w:r>
      <w:r>
        <w:rPr>
          <w:rFonts w:hint="eastAsia" w:ascii="仿宋" w:hAnsi="Times New Roman" w:eastAsia="仿宋"/>
          <w:sz w:val="30"/>
          <w:szCs w:val="30"/>
        </w:rPr>
        <w:t>万元,对外投资及有价证券增加</w:t>
      </w:r>
      <w:r>
        <w:rPr>
          <w:rFonts w:hint="eastAsia" w:ascii="仿宋" w:hAnsi="Times New Roman" w:eastAsia="仿宋"/>
          <w:sz w:val="30"/>
          <w:szCs w:val="30"/>
          <w:lang w:val="en-US" w:eastAsia="zh-CN"/>
        </w:rPr>
        <w:t>0</w:t>
      </w:r>
      <w:r>
        <w:rPr>
          <w:rFonts w:hint="eastAsia" w:ascii="仿宋" w:hAnsi="Times New Roman" w:eastAsia="仿宋"/>
          <w:sz w:val="30"/>
          <w:szCs w:val="30"/>
        </w:rPr>
        <w:t>万元，在建工程减少</w:t>
      </w:r>
      <w:r>
        <w:rPr>
          <w:rFonts w:hint="eastAsia" w:ascii="仿宋" w:hAnsi="Times New Roman" w:eastAsia="仿宋"/>
          <w:sz w:val="30"/>
          <w:szCs w:val="30"/>
          <w:lang w:val="en-US" w:eastAsia="zh-CN"/>
        </w:rPr>
        <w:t>240.17</w:t>
      </w:r>
      <w:r>
        <w:rPr>
          <w:rFonts w:hint="eastAsia" w:ascii="仿宋" w:hAnsi="Times New Roman" w:eastAsia="仿宋"/>
          <w:sz w:val="30"/>
          <w:szCs w:val="30"/>
        </w:rPr>
        <w:t>万元，无形资产减少</w:t>
      </w:r>
      <w:r>
        <w:rPr>
          <w:rFonts w:hint="eastAsia" w:ascii="仿宋" w:hAnsi="Times New Roman" w:eastAsia="仿宋"/>
          <w:sz w:val="30"/>
          <w:szCs w:val="30"/>
          <w:lang w:val="en-US" w:eastAsia="zh-CN"/>
        </w:rPr>
        <w:t>1.27</w:t>
      </w:r>
      <w:r>
        <w:rPr>
          <w:rFonts w:hint="eastAsia" w:ascii="仿宋" w:hAnsi="Times New Roman" w:eastAsia="仿宋"/>
          <w:sz w:val="30"/>
          <w:szCs w:val="30"/>
        </w:rPr>
        <w:t>万元，其他资产增加</w:t>
      </w:r>
      <w:r>
        <w:rPr>
          <w:rFonts w:hint="eastAsia" w:ascii="仿宋" w:hAnsi="Times New Roman" w:eastAsia="仿宋"/>
          <w:sz w:val="30"/>
          <w:szCs w:val="30"/>
          <w:lang w:val="en-US" w:eastAsia="zh-CN"/>
        </w:rPr>
        <w:t>0</w:t>
      </w:r>
      <w:r>
        <w:rPr>
          <w:rFonts w:hint="eastAsia" w:ascii="仿宋" w:hAnsi="Times New Roman" w:eastAsia="仿宋"/>
          <w:sz w:val="30"/>
          <w:szCs w:val="30"/>
        </w:rPr>
        <w:t>万元。处置房屋建筑物</w:t>
      </w:r>
      <w:r>
        <w:rPr>
          <w:rFonts w:hint="eastAsia" w:ascii="仿宋" w:hAnsi="Times New Roman" w:eastAsia="仿宋"/>
          <w:sz w:val="30"/>
          <w:szCs w:val="30"/>
          <w:lang w:val="en-US" w:eastAsia="zh-CN"/>
        </w:rPr>
        <w:t>0</w:t>
      </w:r>
      <w:r>
        <w:rPr>
          <w:rFonts w:hint="eastAsia" w:ascii="仿宋" w:hAnsi="Times New Roman" w:eastAsia="仿宋"/>
          <w:sz w:val="30"/>
          <w:szCs w:val="30"/>
        </w:rPr>
        <w:t>平方米，账面原值</w:t>
      </w:r>
      <w:r>
        <w:rPr>
          <w:rFonts w:hint="eastAsia" w:ascii="仿宋" w:hAnsi="Times New Roman" w:eastAsia="仿宋"/>
          <w:sz w:val="30"/>
          <w:szCs w:val="30"/>
          <w:lang w:val="en-US" w:eastAsia="zh-CN"/>
        </w:rPr>
        <w:t>0</w:t>
      </w:r>
      <w:r>
        <w:rPr>
          <w:rFonts w:hint="eastAsia" w:ascii="仿宋" w:hAnsi="Times New Roman" w:eastAsia="仿宋"/>
          <w:sz w:val="30"/>
          <w:szCs w:val="30"/>
        </w:rPr>
        <w:t>万元；处置车辆</w:t>
      </w:r>
      <w:r>
        <w:rPr>
          <w:rFonts w:hint="eastAsia" w:ascii="仿宋" w:hAnsi="Times New Roman" w:eastAsia="仿宋"/>
          <w:sz w:val="30"/>
          <w:szCs w:val="30"/>
          <w:lang w:val="en-US" w:eastAsia="zh-CN"/>
        </w:rPr>
        <w:t>2</w:t>
      </w:r>
      <w:r>
        <w:rPr>
          <w:rFonts w:hint="eastAsia" w:ascii="仿宋" w:hAnsi="Times New Roman" w:eastAsia="仿宋"/>
          <w:sz w:val="30"/>
          <w:szCs w:val="30"/>
        </w:rPr>
        <w:t>辆，账面原值</w:t>
      </w:r>
      <w:r>
        <w:rPr>
          <w:rFonts w:hint="eastAsia" w:ascii="仿宋" w:hAnsi="Times New Roman" w:eastAsia="仿宋"/>
          <w:sz w:val="30"/>
          <w:szCs w:val="30"/>
          <w:lang w:val="en-US" w:eastAsia="zh-CN"/>
        </w:rPr>
        <w:t>43.42</w:t>
      </w:r>
      <w:r>
        <w:rPr>
          <w:rFonts w:hint="eastAsia" w:ascii="仿宋" w:hAnsi="Times New Roman" w:eastAsia="仿宋"/>
          <w:sz w:val="30"/>
          <w:szCs w:val="30"/>
        </w:rPr>
        <w:t>万元；报废报损资产</w:t>
      </w:r>
      <w:r>
        <w:rPr>
          <w:rFonts w:hint="eastAsia" w:ascii="仿宋" w:hAnsi="Times New Roman" w:eastAsia="仿宋"/>
          <w:sz w:val="30"/>
          <w:szCs w:val="30"/>
          <w:lang w:val="en-US" w:eastAsia="zh-CN"/>
        </w:rPr>
        <w:t>0</w:t>
      </w:r>
      <w:r>
        <w:rPr>
          <w:rFonts w:hint="eastAsia" w:ascii="仿宋" w:hAnsi="Times New Roman" w:eastAsia="仿宋"/>
          <w:sz w:val="30"/>
          <w:szCs w:val="30"/>
        </w:rPr>
        <w:t>项，账面原值</w:t>
      </w:r>
      <w:r>
        <w:rPr>
          <w:rFonts w:hint="eastAsia" w:ascii="仿宋" w:hAnsi="Times New Roman" w:eastAsia="仿宋"/>
          <w:sz w:val="30"/>
          <w:szCs w:val="30"/>
          <w:lang w:val="en-US" w:eastAsia="zh-CN"/>
        </w:rPr>
        <w:t>0</w:t>
      </w:r>
      <w:r>
        <w:rPr>
          <w:rFonts w:hint="eastAsia" w:ascii="仿宋" w:hAnsi="Times New Roman" w:eastAsia="仿宋"/>
          <w:sz w:val="30"/>
          <w:szCs w:val="30"/>
        </w:rPr>
        <w:t>万元，实现资产处置收入</w:t>
      </w:r>
      <w:r>
        <w:rPr>
          <w:rFonts w:hint="eastAsia" w:ascii="仿宋" w:hAnsi="Times New Roman" w:eastAsia="仿宋"/>
          <w:sz w:val="30"/>
          <w:szCs w:val="30"/>
          <w:lang w:val="en-US" w:eastAsia="zh-CN"/>
        </w:rPr>
        <w:t>2.94</w:t>
      </w:r>
      <w:r>
        <w:rPr>
          <w:rFonts w:hint="eastAsia" w:ascii="仿宋" w:hAnsi="Times New Roman" w:eastAsia="仿宋"/>
          <w:sz w:val="30"/>
          <w:szCs w:val="30"/>
        </w:rPr>
        <w:t>万元；出租房屋</w:t>
      </w:r>
      <w:r>
        <w:rPr>
          <w:rFonts w:hint="eastAsia" w:ascii="仿宋" w:hAnsi="Times New Roman" w:eastAsia="仿宋"/>
          <w:sz w:val="30"/>
          <w:szCs w:val="30"/>
          <w:lang w:val="en-US" w:eastAsia="zh-CN"/>
        </w:rPr>
        <w:t>89.37</w:t>
      </w:r>
      <w:r>
        <w:rPr>
          <w:rFonts w:hint="eastAsia" w:ascii="仿宋" w:hAnsi="Times New Roman" w:eastAsia="仿宋"/>
          <w:sz w:val="30"/>
          <w:szCs w:val="30"/>
        </w:rPr>
        <w:t>平方米，账面原值</w:t>
      </w:r>
      <w:r>
        <w:rPr>
          <w:rFonts w:hint="eastAsia" w:ascii="仿宋" w:hAnsi="Times New Roman" w:eastAsia="仿宋"/>
          <w:sz w:val="30"/>
          <w:szCs w:val="30"/>
          <w:lang w:val="en-US" w:eastAsia="zh-CN"/>
        </w:rPr>
        <w:t>1.97</w:t>
      </w:r>
      <w:r>
        <w:rPr>
          <w:rFonts w:hint="eastAsia" w:ascii="仿宋" w:hAnsi="Times New Roman" w:eastAsia="仿宋"/>
          <w:sz w:val="30"/>
          <w:szCs w:val="30"/>
        </w:rPr>
        <w:t>万元，实现资产使用收入</w:t>
      </w:r>
      <w:r>
        <w:rPr>
          <w:rFonts w:hint="eastAsia" w:ascii="仿宋" w:hAnsi="Times New Roman" w:eastAsia="仿宋"/>
          <w:sz w:val="30"/>
          <w:szCs w:val="30"/>
          <w:lang w:val="en-US" w:eastAsia="zh-CN"/>
        </w:rPr>
        <w:t>2.78</w:t>
      </w:r>
      <w:r>
        <w:rPr>
          <w:rFonts w:hint="eastAsia" w:ascii="仿宋" w:hAnsi="Times New Roman" w:eastAsia="仿宋"/>
          <w:sz w:val="30"/>
          <w:szCs w:val="30"/>
        </w:rPr>
        <w:t>万元。</w:t>
      </w:r>
    </w:p>
    <w:tbl>
      <w:tblPr>
        <w:tblStyle w:val="4"/>
        <w:tblW w:w="8462" w:type="dxa"/>
        <w:jc w:val="center"/>
        <w:tblInd w:w="0" w:type="dxa"/>
        <w:tblLayout w:type="fixed"/>
        <w:tblCellMar>
          <w:top w:w="0" w:type="dxa"/>
          <w:left w:w="0" w:type="dxa"/>
          <w:bottom w:w="0" w:type="dxa"/>
          <w:right w:w="0" w:type="dxa"/>
        </w:tblCellMar>
      </w:tblPr>
      <w:tblGrid>
        <w:gridCol w:w="280"/>
        <w:gridCol w:w="253"/>
        <w:gridCol w:w="677"/>
        <w:gridCol w:w="671"/>
        <w:gridCol w:w="752"/>
        <w:gridCol w:w="696"/>
        <w:gridCol w:w="589"/>
        <w:gridCol w:w="657"/>
        <w:gridCol w:w="754"/>
        <w:gridCol w:w="545"/>
        <w:gridCol w:w="930"/>
        <w:gridCol w:w="795"/>
        <w:gridCol w:w="240"/>
        <w:gridCol w:w="143"/>
        <w:gridCol w:w="240"/>
        <w:gridCol w:w="240"/>
      </w:tblGrid>
      <w:tr>
        <w:tblPrEx>
          <w:tblLayout w:type="fixed"/>
          <w:tblCellMar>
            <w:top w:w="0" w:type="dxa"/>
            <w:left w:w="0" w:type="dxa"/>
            <w:bottom w:w="0" w:type="dxa"/>
            <w:right w:w="0" w:type="dxa"/>
          </w:tblCellMar>
        </w:tblPrEx>
        <w:trPr>
          <w:trHeight w:val="287" w:hRule="atLeast"/>
          <w:jc w:val="center"/>
        </w:trPr>
        <w:tc>
          <w:tcPr>
            <w:tcW w:w="7982" w:type="dxa"/>
            <w:gridSpan w:val="14"/>
            <w:tcBorders>
              <w:top w:val="nil"/>
              <w:left w:val="nil"/>
              <w:bottom w:val="nil"/>
              <w:right w:val="nil"/>
            </w:tcBorders>
            <w:shd w:val="clear" w:color="auto" w:fill="FFFFFF"/>
            <w:tcMar>
              <w:top w:w="15" w:type="dxa"/>
              <w:left w:w="15" w:type="dxa"/>
              <w:bottom w:w="15" w:type="dxa"/>
              <w:right w:w="15" w:type="dxa"/>
            </w:tcMar>
            <w:vAlign w:val="center"/>
          </w:tcPr>
          <w:p>
            <w:pPr>
              <w:spacing w:before="100" w:beforeAutospacing="1" w:after="100" w:afterAutospacing="1"/>
              <w:jc w:val="center"/>
              <w:rPr>
                <w:rFonts w:ascii="仿宋_GB2312" w:eastAsia="仿宋_GB2312"/>
                <w:b/>
                <w:bCs/>
                <w:color w:val="000000"/>
                <w:sz w:val="30"/>
                <w:szCs w:val="30"/>
              </w:rPr>
            </w:pPr>
            <w:r>
              <w:rPr>
                <w:rFonts w:hint="eastAsia" w:ascii="仿宋_GB2312" w:eastAsia="仿宋_GB2312"/>
                <w:b/>
                <w:bCs/>
                <w:color w:val="000000"/>
                <w:sz w:val="30"/>
                <w:szCs w:val="30"/>
              </w:rPr>
              <w:t>国有资产占有使用情况表</w:t>
            </w:r>
          </w:p>
        </w:tc>
        <w:tc>
          <w:tcPr>
            <w:tcW w:w="480"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r>
      <w:tr>
        <w:tblPrEx>
          <w:tblLayout w:type="fixed"/>
          <w:tblCellMar>
            <w:top w:w="0" w:type="dxa"/>
            <w:left w:w="0" w:type="dxa"/>
            <w:bottom w:w="0" w:type="dxa"/>
            <w:right w:w="0" w:type="dxa"/>
          </w:tblCellMar>
        </w:tblPrEx>
        <w:trPr>
          <w:trHeight w:val="198" w:hRule="atLeast"/>
          <w:jc w:val="center"/>
        </w:trPr>
        <w:tc>
          <w:tcPr>
            <w:tcW w:w="4575" w:type="dxa"/>
            <w:gridSpan w:val="8"/>
            <w:tcBorders>
              <w:top w:val="nil"/>
              <w:left w:val="nil"/>
              <w:bottom w:val="nil"/>
              <w:right w:val="nil"/>
            </w:tcBorders>
            <w:shd w:val="clear" w:color="auto" w:fill="FFFFFF"/>
            <w:tcMar>
              <w:top w:w="15" w:type="dxa"/>
              <w:left w:w="15" w:type="dxa"/>
              <w:bottom w:w="15" w:type="dxa"/>
              <w:right w:w="15" w:type="dxa"/>
            </w:tcMar>
            <w:vAlign w:val="center"/>
          </w:tcPr>
          <w:p>
            <w:pPr>
              <w:spacing w:before="100" w:beforeAutospacing="1" w:after="100" w:afterAutospacing="1"/>
              <w:rPr>
                <w:rFonts w:hint="eastAsia"/>
                <w:color w:val="000000"/>
                <w:sz w:val="20"/>
                <w:szCs w:val="20"/>
              </w:rPr>
            </w:pPr>
            <w:r>
              <w:rPr>
                <w:rFonts w:hint="eastAsia"/>
                <w:color w:val="000000"/>
                <w:sz w:val="20"/>
                <w:szCs w:val="20"/>
              </w:rPr>
              <w:t> </w:t>
            </w:r>
          </w:p>
        </w:tc>
        <w:tc>
          <w:tcPr>
            <w:tcW w:w="754" w:type="dxa"/>
            <w:tcBorders>
              <w:top w:val="nil"/>
              <w:left w:val="nil"/>
              <w:bottom w:val="single" w:color="000000" w:sz="4" w:space="0"/>
              <w:right w:val="nil"/>
            </w:tcBorders>
            <w:shd w:val="clear" w:color="auto" w:fill="FFFFFF"/>
            <w:tcMar>
              <w:top w:w="15" w:type="dxa"/>
              <w:left w:w="15" w:type="dxa"/>
              <w:bottom w:w="15" w:type="dxa"/>
              <w:right w:w="15" w:type="dxa"/>
            </w:tcMar>
            <w:vAlign w:val="center"/>
          </w:tcPr>
          <w:p>
            <w:pPr>
              <w:spacing w:before="100" w:beforeAutospacing="1" w:after="100" w:afterAutospacing="1"/>
              <w:rPr>
                <w:rFonts w:hint="eastAsia"/>
                <w:color w:val="000000"/>
                <w:sz w:val="20"/>
                <w:szCs w:val="20"/>
              </w:rPr>
            </w:pPr>
          </w:p>
        </w:tc>
        <w:tc>
          <w:tcPr>
            <w:tcW w:w="2653" w:type="dxa"/>
            <w:gridSpan w:val="5"/>
            <w:tcBorders>
              <w:top w:val="nil"/>
              <w:left w:val="nil"/>
              <w:bottom w:val="single" w:color="000000" w:sz="4" w:space="0"/>
              <w:right w:val="nil"/>
            </w:tcBorders>
            <w:shd w:val="clear" w:color="auto" w:fill="FFFFFF"/>
            <w:tcMar>
              <w:top w:w="15" w:type="dxa"/>
              <w:left w:w="15" w:type="dxa"/>
              <w:bottom w:w="15" w:type="dxa"/>
              <w:right w:w="15" w:type="dxa"/>
            </w:tcMar>
            <w:vAlign w:val="center"/>
          </w:tcPr>
          <w:p>
            <w:pPr>
              <w:spacing w:before="100" w:beforeAutospacing="1" w:after="100" w:afterAutospacing="1"/>
              <w:jc w:val="right"/>
              <w:rPr>
                <w:rFonts w:hint="eastAsia"/>
                <w:color w:val="000000"/>
                <w:sz w:val="20"/>
                <w:szCs w:val="20"/>
              </w:rPr>
            </w:pPr>
            <w:r>
              <w:rPr>
                <w:rFonts w:hint="eastAsia"/>
                <w:color w:val="000000"/>
                <w:sz w:val="20"/>
                <w:szCs w:val="20"/>
              </w:rPr>
              <w:t>单位：万元</w:t>
            </w:r>
          </w:p>
        </w:tc>
        <w:tc>
          <w:tcPr>
            <w:tcW w:w="480"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r>
      <w:tr>
        <w:tblPrEx>
          <w:tblLayout w:type="fixed"/>
          <w:tblCellMar>
            <w:top w:w="0" w:type="dxa"/>
            <w:left w:w="0" w:type="dxa"/>
            <w:bottom w:w="0" w:type="dxa"/>
            <w:right w:w="0" w:type="dxa"/>
          </w:tblCellMar>
        </w:tblPrEx>
        <w:trPr>
          <w:trHeight w:val="198" w:hRule="atLeast"/>
          <w:jc w:val="center"/>
        </w:trPr>
        <w:tc>
          <w:tcPr>
            <w:tcW w:w="2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项目</w:t>
            </w:r>
          </w:p>
        </w:tc>
        <w:tc>
          <w:tcPr>
            <w:tcW w:w="253"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行次</w:t>
            </w:r>
          </w:p>
        </w:tc>
        <w:tc>
          <w:tcPr>
            <w:tcW w:w="677"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资产总额</w:t>
            </w:r>
          </w:p>
        </w:tc>
        <w:tc>
          <w:tcPr>
            <w:tcW w:w="671"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流动资产</w:t>
            </w:r>
          </w:p>
        </w:tc>
        <w:tc>
          <w:tcPr>
            <w:tcW w:w="3448" w:type="dxa"/>
            <w:gridSpan w:val="5"/>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固定资产</w:t>
            </w:r>
          </w:p>
        </w:tc>
        <w:tc>
          <w:tcPr>
            <w:tcW w:w="545"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对外投资/有价证券</w:t>
            </w:r>
          </w:p>
        </w:tc>
        <w:tc>
          <w:tcPr>
            <w:tcW w:w="93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在建工程</w:t>
            </w:r>
          </w:p>
        </w:tc>
        <w:tc>
          <w:tcPr>
            <w:tcW w:w="795"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无形资产</w:t>
            </w:r>
          </w:p>
        </w:tc>
        <w:tc>
          <w:tcPr>
            <w:tcW w:w="240" w:type="dxa"/>
            <w:vMerge w:val="restart"/>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其他资产</w:t>
            </w:r>
          </w:p>
        </w:tc>
        <w:tc>
          <w:tcPr>
            <w:tcW w:w="383"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c>
          <w:tcPr>
            <w:tcW w:w="240" w:type="dxa"/>
            <w:tcBorders>
              <w:top w:val="nil"/>
              <w:left w:val="nil"/>
              <w:bottom w:val="nil"/>
              <w:right w:val="nil"/>
            </w:tcBorders>
            <w:vAlign w:val="center"/>
          </w:tcPr>
          <w:p>
            <w:pPr>
              <w:rPr>
                <w:rFonts w:hint="eastAsia"/>
              </w:rPr>
            </w:pPr>
          </w:p>
        </w:tc>
      </w:tr>
      <w:tr>
        <w:tblPrEx>
          <w:tblLayout w:type="fixed"/>
          <w:tblCellMar>
            <w:top w:w="0" w:type="dxa"/>
            <w:left w:w="0" w:type="dxa"/>
            <w:bottom w:w="0" w:type="dxa"/>
            <w:right w:w="0" w:type="dxa"/>
          </w:tblCellMar>
        </w:tblPrEx>
        <w:trPr>
          <w:trHeight w:val="229" w:hRule="atLeast"/>
          <w:jc w:val="center"/>
        </w:trPr>
        <w:tc>
          <w:tcPr>
            <w:tcW w:w="28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253"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677" w:type="dxa"/>
            <w:vMerge w:val="continue"/>
            <w:tcBorders>
              <w:top w:val="nil"/>
              <w:left w:val="nil"/>
              <w:bottom w:val="single" w:color="000000" w:sz="4" w:space="0"/>
              <w:right w:val="single" w:color="000000" w:sz="4" w:space="0"/>
            </w:tcBorders>
            <w:vAlign w:val="center"/>
          </w:tcPr>
          <w:p>
            <w:pPr>
              <w:rPr>
                <w:sz w:val="20"/>
                <w:szCs w:val="20"/>
              </w:rPr>
            </w:pPr>
          </w:p>
        </w:tc>
        <w:tc>
          <w:tcPr>
            <w:tcW w:w="671"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752"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小计</w:t>
            </w:r>
          </w:p>
        </w:tc>
        <w:tc>
          <w:tcPr>
            <w:tcW w:w="696"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房屋构筑物</w:t>
            </w:r>
          </w:p>
        </w:tc>
        <w:tc>
          <w:tcPr>
            <w:tcW w:w="589"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车辆</w:t>
            </w:r>
          </w:p>
        </w:tc>
        <w:tc>
          <w:tcPr>
            <w:tcW w:w="657"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单价200万以上大型设备</w:t>
            </w:r>
          </w:p>
        </w:tc>
        <w:tc>
          <w:tcPr>
            <w:tcW w:w="754" w:type="dxa"/>
            <w:vMerge w:val="restart"/>
            <w:tcBorders>
              <w:top w:val="nil"/>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其他固定资产</w:t>
            </w:r>
          </w:p>
        </w:tc>
        <w:tc>
          <w:tcPr>
            <w:tcW w:w="545"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930"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795"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240"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383"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c>
          <w:tcPr>
            <w:tcW w:w="240" w:type="dxa"/>
            <w:tcBorders>
              <w:top w:val="nil"/>
              <w:left w:val="nil"/>
              <w:bottom w:val="nil"/>
              <w:right w:val="nil"/>
            </w:tcBorders>
            <w:vAlign w:val="center"/>
          </w:tcPr>
          <w:p>
            <w:pPr>
              <w:rPr>
                <w:rFonts w:hint="eastAsia"/>
              </w:rPr>
            </w:pPr>
          </w:p>
        </w:tc>
      </w:tr>
      <w:tr>
        <w:tblPrEx>
          <w:tblLayout w:type="fixed"/>
          <w:tblCellMar>
            <w:top w:w="0" w:type="dxa"/>
            <w:left w:w="0" w:type="dxa"/>
            <w:bottom w:w="0" w:type="dxa"/>
            <w:right w:w="0" w:type="dxa"/>
          </w:tblCellMar>
        </w:tblPrEx>
        <w:trPr>
          <w:trHeight w:val="229" w:hRule="atLeast"/>
          <w:jc w:val="center"/>
        </w:trPr>
        <w:tc>
          <w:tcPr>
            <w:tcW w:w="280" w:type="dxa"/>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c>
          <w:tcPr>
            <w:tcW w:w="253"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677" w:type="dxa"/>
            <w:vMerge w:val="continue"/>
            <w:tcBorders>
              <w:top w:val="nil"/>
              <w:left w:val="nil"/>
              <w:bottom w:val="single" w:color="000000" w:sz="4" w:space="0"/>
              <w:right w:val="single" w:color="000000" w:sz="4" w:space="0"/>
            </w:tcBorders>
            <w:vAlign w:val="center"/>
          </w:tcPr>
          <w:p>
            <w:pPr>
              <w:rPr>
                <w:sz w:val="20"/>
                <w:szCs w:val="20"/>
              </w:rPr>
            </w:pPr>
          </w:p>
        </w:tc>
        <w:tc>
          <w:tcPr>
            <w:tcW w:w="671"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752" w:type="dxa"/>
            <w:vMerge w:val="continue"/>
            <w:tcBorders>
              <w:top w:val="nil"/>
              <w:left w:val="nil"/>
              <w:bottom w:val="single" w:color="000000" w:sz="4" w:space="0"/>
              <w:right w:val="single" w:color="000000" w:sz="4" w:space="0"/>
            </w:tcBorders>
            <w:vAlign w:val="center"/>
          </w:tcPr>
          <w:p>
            <w:pPr>
              <w:rPr>
                <w:sz w:val="20"/>
                <w:szCs w:val="20"/>
              </w:rPr>
            </w:pPr>
          </w:p>
        </w:tc>
        <w:tc>
          <w:tcPr>
            <w:tcW w:w="696" w:type="dxa"/>
            <w:vMerge w:val="continue"/>
            <w:tcBorders>
              <w:top w:val="nil"/>
              <w:left w:val="nil"/>
              <w:bottom w:val="single" w:color="000000" w:sz="4" w:space="0"/>
              <w:right w:val="single" w:color="000000" w:sz="4" w:space="0"/>
            </w:tcBorders>
            <w:vAlign w:val="center"/>
          </w:tcPr>
          <w:p>
            <w:pPr>
              <w:rPr>
                <w:sz w:val="20"/>
                <w:szCs w:val="20"/>
              </w:rPr>
            </w:pPr>
          </w:p>
        </w:tc>
        <w:tc>
          <w:tcPr>
            <w:tcW w:w="589" w:type="dxa"/>
            <w:vMerge w:val="continue"/>
            <w:tcBorders>
              <w:top w:val="nil"/>
              <w:left w:val="nil"/>
              <w:bottom w:val="single" w:color="000000" w:sz="4" w:space="0"/>
              <w:right w:val="single" w:color="000000" w:sz="4" w:space="0"/>
            </w:tcBorders>
            <w:vAlign w:val="center"/>
          </w:tcPr>
          <w:p>
            <w:pPr>
              <w:rPr>
                <w:sz w:val="20"/>
                <w:szCs w:val="20"/>
              </w:rPr>
            </w:pPr>
          </w:p>
        </w:tc>
        <w:tc>
          <w:tcPr>
            <w:tcW w:w="657" w:type="dxa"/>
            <w:vMerge w:val="continue"/>
            <w:tcBorders>
              <w:top w:val="nil"/>
              <w:left w:val="nil"/>
              <w:bottom w:val="single" w:color="000000" w:sz="4" w:space="0"/>
              <w:right w:val="single" w:color="000000" w:sz="4" w:space="0"/>
            </w:tcBorders>
            <w:vAlign w:val="center"/>
          </w:tcPr>
          <w:p>
            <w:pPr>
              <w:rPr>
                <w:sz w:val="20"/>
                <w:szCs w:val="20"/>
              </w:rPr>
            </w:pPr>
          </w:p>
        </w:tc>
        <w:tc>
          <w:tcPr>
            <w:tcW w:w="754" w:type="dxa"/>
            <w:vMerge w:val="continue"/>
            <w:tcBorders>
              <w:top w:val="nil"/>
              <w:left w:val="nil"/>
              <w:bottom w:val="single" w:color="000000" w:sz="4" w:space="0"/>
              <w:right w:val="single" w:color="000000" w:sz="4" w:space="0"/>
            </w:tcBorders>
            <w:vAlign w:val="center"/>
          </w:tcPr>
          <w:p>
            <w:pPr>
              <w:rPr>
                <w:sz w:val="20"/>
                <w:szCs w:val="20"/>
              </w:rPr>
            </w:pPr>
          </w:p>
        </w:tc>
        <w:tc>
          <w:tcPr>
            <w:tcW w:w="545"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930"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795"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240" w:type="dxa"/>
            <w:vMerge w:val="continue"/>
            <w:tcBorders>
              <w:top w:val="single" w:color="000000" w:sz="4" w:space="0"/>
              <w:left w:val="nil"/>
              <w:bottom w:val="single" w:color="000000" w:sz="4" w:space="0"/>
              <w:right w:val="single" w:color="000000" w:sz="4" w:space="0"/>
            </w:tcBorders>
            <w:vAlign w:val="center"/>
          </w:tcPr>
          <w:p>
            <w:pPr>
              <w:rPr>
                <w:sz w:val="20"/>
                <w:szCs w:val="20"/>
              </w:rPr>
            </w:pPr>
          </w:p>
        </w:tc>
        <w:tc>
          <w:tcPr>
            <w:tcW w:w="383"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c>
          <w:tcPr>
            <w:tcW w:w="240" w:type="dxa"/>
            <w:tcBorders>
              <w:top w:val="nil"/>
              <w:left w:val="nil"/>
              <w:bottom w:val="nil"/>
              <w:right w:val="nil"/>
            </w:tcBorders>
            <w:vAlign w:val="center"/>
          </w:tcPr>
          <w:p>
            <w:pPr>
              <w:rPr>
                <w:rFonts w:hint="eastAsia"/>
              </w:rPr>
            </w:pPr>
          </w:p>
        </w:tc>
      </w:tr>
      <w:tr>
        <w:tblPrEx>
          <w:tblLayout w:type="fixed"/>
          <w:tblCellMar>
            <w:top w:w="0" w:type="dxa"/>
            <w:left w:w="0" w:type="dxa"/>
            <w:bottom w:w="0" w:type="dxa"/>
            <w:right w:w="0" w:type="dxa"/>
          </w:tblCellMar>
        </w:tblPrEx>
        <w:trPr>
          <w:trHeight w:val="220" w:hRule="atLeast"/>
          <w:jc w:val="center"/>
        </w:trPr>
        <w:tc>
          <w:tcPr>
            <w:tcW w:w="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栏次</w:t>
            </w:r>
          </w:p>
        </w:tc>
        <w:tc>
          <w:tcPr>
            <w:tcW w:w="2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rPr>
                <w:rFonts w:hint="eastAsia"/>
                <w:sz w:val="20"/>
                <w:szCs w:val="20"/>
              </w:rPr>
            </w:pPr>
            <w:r>
              <w:rPr>
                <w:rFonts w:hint="eastAsia"/>
                <w:sz w:val="20"/>
                <w:szCs w:val="20"/>
              </w:rPr>
              <w:t> </w:t>
            </w:r>
          </w:p>
        </w:tc>
        <w:tc>
          <w:tcPr>
            <w:tcW w:w="6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1</w:t>
            </w:r>
          </w:p>
        </w:tc>
        <w:tc>
          <w:tcPr>
            <w:tcW w:w="67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2</w:t>
            </w:r>
          </w:p>
        </w:tc>
        <w:tc>
          <w:tcPr>
            <w:tcW w:w="75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3</w:t>
            </w:r>
          </w:p>
        </w:tc>
        <w:tc>
          <w:tcPr>
            <w:tcW w:w="6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4</w:t>
            </w:r>
          </w:p>
        </w:tc>
        <w:tc>
          <w:tcPr>
            <w:tcW w:w="58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5</w:t>
            </w:r>
          </w:p>
        </w:tc>
        <w:tc>
          <w:tcPr>
            <w:tcW w:w="6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6</w:t>
            </w:r>
          </w:p>
        </w:tc>
        <w:tc>
          <w:tcPr>
            <w:tcW w:w="7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7</w:t>
            </w:r>
          </w:p>
        </w:tc>
        <w:tc>
          <w:tcPr>
            <w:tcW w:w="54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8</w:t>
            </w:r>
          </w:p>
        </w:tc>
        <w:tc>
          <w:tcPr>
            <w:tcW w:w="9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9</w:t>
            </w:r>
          </w:p>
        </w:tc>
        <w:tc>
          <w:tcPr>
            <w:tcW w:w="79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10</w:t>
            </w:r>
          </w:p>
        </w:tc>
        <w:tc>
          <w:tcPr>
            <w:tcW w:w="2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11</w:t>
            </w:r>
          </w:p>
        </w:tc>
        <w:tc>
          <w:tcPr>
            <w:tcW w:w="383"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c>
          <w:tcPr>
            <w:tcW w:w="240" w:type="dxa"/>
            <w:tcBorders>
              <w:top w:val="nil"/>
              <w:left w:val="nil"/>
              <w:bottom w:val="nil"/>
              <w:right w:val="nil"/>
            </w:tcBorders>
            <w:vAlign w:val="center"/>
          </w:tcPr>
          <w:p>
            <w:pPr>
              <w:rPr>
                <w:rFonts w:hint="eastAsia"/>
              </w:rPr>
            </w:pPr>
          </w:p>
        </w:tc>
      </w:tr>
      <w:tr>
        <w:tblPrEx>
          <w:tblLayout w:type="fixed"/>
          <w:tblCellMar>
            <w:top w:w="0" w:type="dxa"/>
            <w:left w:w="0" w:type="dxa"/>
            <w:bottom w:w="0" w:type="dxa"/>
            <w:right w:w="0" w:type="dxa"/>
          </w:tblCellMar>
        </w:tblPrEx>
        <w:trPr>
          <w:trHeight w:val="242" w:hRule="atLeast"/>
          <w:jc w:val="center"/>
        </w:trPr>
        <w:tc>
          <w:tcPr>
            <w:tcW w:w="2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合计</w:t>
            </w:r>
          </w:p>
        </w:tc>
        <w:tc>
          <w:tcPr>
            <w:tcW w:w="253"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eastAsia"/>
                <w:sz w:val="20"/>
                <w:szCs w:val="20"/>
              </w:rPr>
            </w:pPr>
            <w:r>
              <w:rPr>
                <w:rFonts w:hint="eastAsia"/>
                <w:sz w:val="20"/>
                <w:szCs w:val="20"/>
              </w:rPr>
              <w:t>1</w:t>
            </w:r>
          </w:p>
        </w:tc>
        <w:tc>
          <w:tcPr>
            <w:tcW w:w="67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default" w:eastAsia="宋体"/>
                <w:sz w:val="18"/>
                <w:szCs w:val="18"/>
                <w:lang w:val="en-US" w:eastAsia="zh-CN"/>
              </w:rPr>
            </w:pPr>
            <w:r>
              <w:rPr>
                <w:rFonts w:hint="eastAsia"/>
                <w:sz w:val="18"/>
                <w:szCs w:val="18"/>
                <w:lang w:val="en-US" w:eastAsia="zh-CN"/>
              </w:rPr>
              <w:t>3876.55</w:t>
            </w:r>
          </w:p>
        </w:tc>
        <w:tc>
          <w:tcPr>
            <w:tcW w:w="67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center"/>
              <w:rPr>
                <w:rFonts w:hint="default" w:eastAsia="宋体"/>
                <w:sz w:val="18"/>
                <w:szCs w:val="18"/>
                <w:lang w:val="en-US" w:eastAsia="zh-CN"/>
              </w:rPr>
            </w:pPr>
            <w:r>
              <w:rPr>
                <w:rFonts w:hint="eastAsia"/>
                <w:sz w:val="18"/>
                <w:szCs w:val="18"/>
                <w:lang w:val="en-US" w:eastAsia="zh-CN"/>
              </w:rPr>
              <w:t>531.15</w:t>
            </w:r>
          </w:p>
        </w:tc>
        <w:tc>
          <w:tcPr>
            <w:tcW w:w="75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sz w:val="18"/>
                <w:szCs w:val="18"/>
                <w:lang w:val="en-US" w:eastAsia="zh-CN"/>
              </w:rPr>
            </w:pPr>
            <w:r>
              <w:rPr>
                <w:rFonts w:hint="eastAsia"/>
                <w:sz w:val="18"/>
                <w:szCs w:val="18"/>
                <w:lang w:val="en-US" w:eastAsia="zh-CN"/>
              </w:rPr>
              <w:t>1579.65</w:t>
            </w:r>
          </w:p>
        </w:tc>
        <w:tc>
          <w:tcPr>
            <w:tcW w:w="69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sz w:val="18"/>
                <w:szCs w:val="18"/>
                <w:lang w:val="en-US" w:eastAsia="zh-CN"/>
              </w:rPr>
            </w:pPr>
            <w:r>
              <w:rPr>
                <w:rFonts w:hint="eastAsia"/>
                <w:sz w:val="18"/>
                <w:szCs w:val="18"/>
                <w:lang w:val="en-US" w:eastAsia="zh-CN"/>
              </w:rPr>
              <w:t>951.61</w:t>
            </w:r>
          </w:p>
        </w:tc>
        <w:tc>
          <w:tcPr>
            <w:tcW w:w="589"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sz w:val="18"/>
                <w:szCs w:val="18"/>
                <w:lang w:val="en-US" w:eastAsia="zh-CN"/>
              </w:rPr>
            </w:pPr>
          </w:p>
        </w:tc>
        <w:tc>
          <w:tcPr>
            <w:tcW w:w="65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eastAsia"/>
                <w:sz w:val="18"/>
                <w:szCs w:val="18"/>
              </w:rPr>
            </w:pPr>
            <w:r>
              <w:rPr>
                <w:rFonts w:hint="eastAsia"/>
                <w:sz w:val="18"/>
                <w:szCs w:val="18"/>
              </w:rPr>
              <w:t> </w:t>
            </w:r>
          </w:p>
        </w:tc>
        <w:tc>
          <w:tcPr>
            <w:tcW w:w="75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default" w:eastAsia="宋体"/>
                <w:sz w:val="18"/>
                <w:szCs w:val="18"/>
                <w:lang w:val="en-US" w:eastAsia="zh-CN"/>
              </w:rPr>
            </w:pPr>
            <w:r>
              <w:rPr>
                <w:rFonts w:hint="eastAsia"/>
                <w:sz w:val="18"/>
                <w:szCs w:val="18"/>
                <w:lang w:val="en-US" w:eastAsia="zh-CN"/>
              </w:rPr>
              <w:t>628.04</w:t>
            </w:r>
          </w:p>
        </w:tc>
        <w:tc>
          <w:tcPr>
            <w:tcW w:w="54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eastAsia"/>
                <w:sz w:val="18"/>
                <w:szCs w:val="18"/>
              </w:rPr>
            </w:pPr>
          </w:p>
        </w:tc>
        <w:tc>
          <w:tcPr>
            <w:tcW w:w="93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tabs>
                <w:tab w:val="left" w:pos="210"/>
              </w:tabs>
              <w:spacing w:before="100" w:beforeAutospacing="1" w:after="100" w:afterAutospacing="1"/>
              <w:jc w:val="both"/>
              <w:rPr>
                <w:rFonts w:hint="default" w:eastAsia="宋体"/>
                <w:sz w:val="18"/>
                <w:szCs w:val="18"/>
                <w:lang w:val="en-US" w:eastAsia="zh-CN"/>
              </w:rPr>
            </w:pPr>
            <w:r>
              <w:rPr>
                <w:rFonts w:hint="eastAsia"/>
                <w:sz w:val="18"/>
                <w:szCs w:val="18"/>
                <w:lang w:eastAsia="zh-CN"/>
              </w:rPr>
              <w:tab/>
            </w:r>
            <w:r>
              <w:rPr>
                <w:rFonts w:hint="eastAsia"/>
                <w:sz w:val="18"/>
                <w:szCs w:val="18"/>
                <w:lang w:val="en-US" w:eastAsia="zh-CN"/>
              </w:rPr>
              <w:t>1710.59</w:t>
            </w:r>
          </w:p>
        </w:tc>
        <w:tc>
          <w:tcPr>
            <w:tcW w:w="79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tabs>
                <w:tab w:val="left" w:pos="248"/>
              </w:tabs>
              <w:spacing w:before="100" w:beforeAutospacing="1" w:after="100" w:afterAutospacing="1"/>
              <w:jc w:val="left"/>
              <w:rPr>
                <w:rFonts w:hint="default" w:eastAsia="宋体"/>
                <w:sz w:val="18"/>
                <w:szCs w:val="18"/>
                <w:lang w:val="en-US" w:eastAsia="zh-CN"/>
              </w:rPr>
            </w:pPr>
            <w:r>
              <w:rPr>
                <w:rFonts w:hint="eastAsia"/>
                <w:sz w:val="18"/>
                <w:szCs w:val="18"/>
                <w:lang w:eastAsia="zh-CN"/>
              </w:rPr>
              <w:tab/>
            </w:r>
            <w:r>
              <w:rPr>
                <w:rFonts w:hint="eastAsia"/>
                <w:sz w:val="18"/>
                <w:szCs w:val="18"/>
                <w:lang w:val="en-US" w:eastAsia="zh-CN"/>
              </w:rPr>
              <w:t>55.06</w:t>
            </w:r>
          </w:p>
        </w:tc>
        <w:tc>
          <w:tcPr>
            <w:tcW w:w="2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spacing w:before="100" w:beforeAutospacing="1" w:after="100" w:afterAutospacing="1"/>
              <w:jc w:val="right"/>
              <w:rPr>
                <w:rFonts w:hint="eastAsia"/>
              </w:rPr>
            </w:pPr>
          </w:p>
        </w:tc>
        <w:tc>
          <w:tcPr>
            <w:tcW w:w="383"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c>
          <w:tcPr>
            <w:tcW w:w="240" w:type="dxa"/>
            <w:tcBorders>
              <w:top w:val="nil"/>
              <w:left w:val="nil"/>
              <w:bottom w:val="nil"/>
              <w:right w:val="nil"/>
            </w:tcBorders>
            <w:vAlign w:val="center"/>
          </w:tcPr>
          <w:p>
            <w:pPr>
              <w:rPr>
                <w:rFonts w:hint="eastAsia"/>
              </w:rPr>
            </w:pPr>
          </w:p>
        </w:tc>
      </w:tr>
      <w:tr>
        <w:tblPrEx>
          <w:tblLayout w:type="fixed"/>
          <w:tblCellMar>
            <w:top w:w="0" w:type="dxa"/>
            <w:left w:w="0" w:type="dxa"/>
            <w:bottom w:w="0" w:type="dxa"/>
            <w:right w:w="0" w:type="dxa"/>
          </w:tblCellMar>
        </w:tblPrEx>
        <w:trPr>
          <w:trHeight w:val="176" w:hRule="atLeast"/>
          <w:jc w:val="center"/>
        </w:trPr>
        <w:tc>
          <w:tcPr>
            <w:tcW w:w="6804" w:type="dxa"/>
            <w:gridSpan w:val="11"/>
            <w:tcBorders>
              <w:top w:val="nil"/>
              <w:left w:val="nil"/>
              <w:bottom w:val="nil"/>
              <w:right w:val="nil"/>
            </w:tcBorders>
            <w:tcMar>
              <w:top w:w="15" w:type="dxa"/>
              <w:left w:w="15" w:type="dxa"/>
              <w:bottom w:w="15" w:type="dxa"/>
              <w:right w:w="15" w:type="dxa"/>
            </w:tcMar>
            <w:vAlign w:val="bottom"/>
          </w:tcPr>
          <w:p>
            <w:pPr>
              <w:spacing w:before="100" w:beforeAutospacing="1" w:after="100" w:afterAutospacing="1"/>
              <w:jc w:val="right"/>
              <w:rPr>
                <w:rFonts w:hint="eastAsia"/>
              </w:rPr>
            </w:pPr>
          </w:p>
        </w:tc>
        <w:tc>
          <w:tcPr>
            <w:tcW w:w="795" w:type="dxa"/>
            <w:tcBorders>
              <w:top w:val="nil"/>
              <w:left w:val="nil"/>
              <w:bottom w:val="nil"/>
              <w:right w:val="nil"/>
            </w:tcBorders>
            <w:tcMar>
              <w:top w:w="15" w:type="dxa"/>
              <w:left w:w="15" w:type="dxa"/>
              <w:bottom w:w="15" w:type="dxa"/>
              <w:right w:w="15" w:type="dxa"/>
            </w:tcMar>
            <w:vAlign w:val="bottom"/>
          </w:tcPr>
          <w:p>
            <w:pPr>
              <w:spacing w:before="100" w:beforeAutospacing="1" w:after="100" w:afterAutospacing="1"/>
              <w:rPr>
                <w:rFonts w:hint="eastAsia"/>
              </w:rPr>
            </w:pPr>
          </w:p>
        </w:tc>
        <w:tc>
          <w:tcPr>
            <w:tcW w:w="383" w:type="dxa"/>
            <w:gridSpan w:val="2"/>
            <w:tcBorders>
              <w:top w:val="nil"/>
              <w:left w:val="nil"/>
              <w:bottom w:val="nil"/>
              <w:right w:val="nil"/>
            </w:tcBorders>
            <w:tcMar>
              <w:top w:w="15" w:type="dxa"/>
              <w:left w:w="15" w:type="dxa"/>
              <w:bottom w:w="15" w:type="dxa"/>
              <w:right w:w="15" w:type="dxa"/>
            </w:tcMar>
            <w:vAlign w:val="bottom"/>
          </w:tcPr>
          <w:p>
            <w:pPr>
              <w:spacing w:before="100" w:beforeAutospacing="1" w:after="100" w:afterAutospacing="1"/>
              <w:rPr>
                <w:rFonts w:hint="eastAsia"/>
              </w:rPr>
            </w:pPr>
          </w:p>
        </w:tc>
        <w:tc>
          <w:tcPr>
            <w:tcW w:w="480"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r>
      <w:tr>
        <w:tblPrEx>
          <w:tblLayout w:type="fixed"/>
          <w:tblCellMar>
            <w:top w:w="0" w:type="dxa"/>
            <w:left w:w="0" w:type="dxa"/>
            <w:bottom w:w="0" w:type="dxa"/>
            <w:right w:w="0" w:type="dxa"/>
          </w:tblCellMar>
        </w:tblPrEx>
        <w:trPr>
          <w:trHeight w:val="220" w:hRule="atLeast"/>
          <w:jc w:val="center"/>
        </w:trPr>
        <w:tc>
          <w:tcPr>
            <w:tcW w:w="7982" w:type="dxa"/>
            <w:gridSpan w:val="14"/>
            <w:tcBorders>
              <w:top w:val="nil"/>
              <w:left w:val="nil"/>
              <w:bottom w:val="nil"/>
              <w:right w:val="nil"/>
            </w:tcBorders>
            <w:tcMar>
              <w:top w:w="15" w:type="dxa"/>
              <w:left w:w="15" w:type="dxa"/>
              <w:bottom w:w="15" w:type="dxa"/>
              <w:right w:w="15" w:type="dxa"/>
            </w:tcMar>
            <w:vAlign w:val="bottom"/>
          </w:tcPr>
          <w:p>
            <w:pPr>
              <w:spacing w:before="100" w:beforeAutospacing="1" w:after="100" w:afterAutospacing="1"/>
              <w:rPr>
                <w:rFonts w:hint="eastAsia" w:ascii="仿宋_GB2312" w:eastAsia="仿宋_GB2312"/>
              </w:rPr>
            </w:pPr>
            <w:r>
              <w:rPr>
                <w:rFonts w:hint="eastAsia" w:ascii="仿宋_GB2312" w:eastAsia="仿宋_GB2312"/>
              </w:rPr>
              <w:t>填报说明：1.资产总额＝流动资产＋固定资产＋对外投资／有价证券＋在建工程＋无形资产＋其他资产2.固定资产＝房屋构筑物＋车辆＋单价200万元以上大型设备＋其他固定资产</w:t>
            </w:r>
          </w:p>
        </w:tc>
        <w:tc>
          <w:tcPr>
            <w:tcW w:w="480" w:type="dxa"/>
            <w:gridSpan w:val="2"/>
            <w:tcBorders>
              <w:top w:val="nil"/>
              <w:left w:val="nil"/>
              <w:bottom w:val="nil"/>
              <w:right w:val="nil"/>
            </w:tcBorders>
            <w:vAlign w:val="center"/>
          </w:tcPr>
          <w:p>
            <w:pPr>
              <w:spacing w:before="100" w:beforeAutospacing="1" w:after="100" w:afterAutospacing="1"/>
              <w:rPr>
                <w:rFonts w:hint="eastAsia"/>
              </w:rPr>
            </w:pPr>
            <w:r>
              <w:rPr>
                <w:rFonts w:hint="eastAsia"/>
              </w:rPr>
              <w:t> </w:t>
            </w:r>
          </w:p>
        </w:tc>
      </w:tr>
      <w:tr>
        <w:tblPrEx>
          <w:tblLayout w:type="fixed"/>
          <w:tblCellMar>
            <w:top w:w="0" w:type="dxa"/>
            <w:left w:w="0" w:type="dxa"/>
            <w:bottom w:w="0" w:type="dxa"/>
            <w:right w:w="0" w:type="dxa"/>
          </w:tblCellMar>
        </w:tblPrEx>
        <w:trPr>
          <w:jc w:val="center"/>
        </w:trPr>
        <w:tc>
          <w:tcPr>
            <w:tcW w:w="280" w:type="dxa"/>
            <w:tcBorders>
              <w:top w:val="nil"/>
              <w:left w:val="nil"/>
              <w:bottom w:val="nil"/>
              <w:right w:val="nil"/>
            </w:tcBorders>
            <w:vAlign w:val="center"/>
          </w:tcPr>
          <w:p>
            <w:pPr>
              <w:rPr>
                <w:rFonts w:hint="eastAsia"/>
              </w:rPr>
            </w:pPr>
            <w:r>
              <w:rPr>
                <w:rFonts w:hint="eastAsia"/>
              </w:rPr>
              <w:t> </w:t>
            </w:r>
          </w:p>
        </w:tc>
        <w:tc>
          <w:tcPr>
            <w:tcW w:w="253" w:type="dxa"/>
            <w:tcBorders>
              <w:top w:val="nil"/>
              <w:left w:val="nil"/>
              <w:bottom w:val="nil"/>
              <w:right w:val="nil"/>
            </w:tcBorders>
            <w:vAlign w:val="center"/>
          </w:tcPr>
          <w:p>
            <w:pPr>
              <w:rPr>
                <w:rFonts w:hint="eastAsia"/>
              </w:rPr>
            </w:pPr>
            <w:r>
              <w:rPr>
                <w:rFonts w:hint="eastAsia"/>
              </w:rPr>
              <w:t> </w:t>
            </w:r>
          </w:p>
        </w:tc>
        <w:tc>
          <w:tcPr>
            <w:tcW w:w="677" w:type="dxa"/>
            <w:tcBorders>
              <w:top w:val="nil"/>
              <w:left w:val="nil"/>
              <w:bottom w:val="nil"/>
              <w:right w:val="nil"/>
            </w:tcBorders>
            <w:vAlign w:val="center"/>
          </w:tcPr>
          <w:p>
            <w:pPr>
              <w:rPr>
                <w:rFonts w:hint="eastAsia"/>
              </w:rPr>
            </w:pPr>
            <w:r>
              <w:rPr>
                <w:rFonts w:hint="eastAsia"/>
              </w:rPr>
              <w:t> </w:t>
            </w:r>
          </w:p>
        </w:tc>
        <w:tc>
          <w:tcPr>
            <w:tcW w:w="671" w:type="dxa"/>
            <w:tcBorders>
              <w:top w:val="nil"/>
              <w:left w:val="nil"/>
              <w:bottom w:val="nil"/>
              <w:right w:val="nil"/>
            </w:tcBorders>
            <w:vAlign w:val="center"/>
          </w:tcPr>
          <w:p>
            <w:pPr>
              <w:rPr>
                <w:rFonts w:hint="eastAsia"/>
              </w:rPr>
            </w:pPr>
            <w:r>
              <w:rPr>
                <w:rFonts w:hint="eastAsia"/>
              </w:rPr>
              <w:t> </w:t>
            </w:r>
          </w:p>
        </w:tc>
        <w:tc>
          <w:tcPr>
            <w:tcW w:w="752" w:type="dxa"/>
            <w:tcBorders>
              <w:top w:val="nil"/>
              <w:left w:val="nil"/>
              <w:bottom w:val="nil"/>
              <w:right w:val="nil"/>
            </w:tcBorders>
            <w:vAlign w:val="center"/>
          </w:tcPr>
          <w:p>
            <w:pPr>
              <w:rPr>
                <w:rFonts w:hint="eastAsia"/>
              </w:rPr>
            </w:pPr>
            <w:r>
              <w:rPr>
                <w:rFonts w:hint="eastAsia"/>
              </w:rPr>
              <w:t> </w:t>
            </w:r>
          </w:p>
        </w:tc>
        <w:tc>
          <w:tcPr>
            <w:tcW w:w="696" w:type="dxa"/>
            <w:tcBorders>
              <w:top w:val="nil"/>
              <w:left w:val="nil"/>
              <w:bottom w:val="nil"/>
              <w:right w:val="nil"/>
            </w:tcBorders>
            <w:vAlign w:val="center"/>
          </w:tcPr>
          <w:p>
            <w:pPr>
              <w:rPr>
                <w:rFonts w:hint="eastAsia"/>
              </w:rPr>
            </w:pPr>
            <w:r>
              <w:rPr>
                <w:rFonts w:hint="eastAsia"/>
              </w:rPr>
              <w:t> </w:t>
            </w:r>
          </w:p>
        </w:tc>
        <w:tc>
          <w:tcPr>
            <w:tcW w:w="589" w:type="dxa"/>
            <w:tcBorders>
              <w:top w:val="nil"/>
              <w:left w:val="nil"/>
              <w:bottom w:val="nil"/>
              <w:right w:val="nil"/>
            </w:tcBorders>
            <w:vAlign w:val="center"/>
          </w:tcPr>
          <w:p>
            <w:pPr>
              <w:rPr>
                <w:rFonts w:hint="eastAsia"/>
              </w:rPr>
            </w:pPr>
            <w:r>
              <w:rPr>
                <w:rFonts w:hint="eastAsia"/>
              </w:rPr>
              <w:t> </w:t>
            </w:r>
          </w:p>
        </w:tc>
        <w:tc>
          <w:tcPr>
            <w:tcW w:w="657" w:type="dxa"/>
            <w:tcBorders>
              <w:top w:val="nil"/>
              <w:left w:val="nil"/>
              <w:bottom w:val="nil"/>
              <w:right w:val="nil"/>
            </w:tcBorders>
            <w:vAlign w:val="center"/>
          </w:tcPr>
          <w:p>
            <w:pPr>
              <w:rPr>
                <w:rFonts w:hint="eastAsia"/>
              </w:rPr>
            </w:pPr>
            <w:r>
              <w:rPr>
                <w:rFonts w:hint="eastAsia"/>
              </w:rPr>
              <w:t> </w:t>
            </w:r>
          </w:p>
        </w:tc>
        <w:tc>
          <w:tcPr>
            <w:tcW w:w="754" w:type="dxa"/>
            <w:tcBorders>
              <w:top w:val="nil"/>
              <w:left w:val="nil"/>
              <w:bottom w:val="nil"/>
              <w:right w:val="nil"/>
            </w:tcBorders>
            <w:vAlign w:val="center"/>
          </w:tcPr>
          <w:p>
            <w:pPr>
              <w:rPr>
                <w:rFonts w:hint="eastAsia"/>
              </w:rPr>
            </w:pPr>
            <w:r>
              <w:rPr>
                <w:rFonts w:hint="eastAsia"/>
              </w:rPr>
              <w:t> </w:t>
            </w:r>
          </w:p>
        </w:tc>
        <w:tc>
          <w:tcPr>
            <w:tcW w:w="545" w:type="dxa"/>
            <w:tcBorders>
              <w:top w:val="nil"/>
              <w:left w:val="nil"/>
              <w:bottom w:val="nil"/>
              <w:right w:val="nil"/>
            </w:tcBorders>
            <w:vAlign w:val="center"/>
          </w:tcPr>
          <w:p>
            <w:pPr>
              <w:rPr>
                <w:rFonts w:hint="eastAsia"/>
              </w:rPr>
            </w:pPr>
            <w:r>
              <w:rPr>
                <w:rFonts w:hint="eastAsia"/>
              </w:rPr>
              <w:t> </w:t>
            </w:r>
          </w:p>
        </w:tc>
        <w:tc>
          <w:tcPr>
            <w:tcW w:w="930" w:type="dxa"/>
            <w:tcBorders>
              <w:top w:val="nil"/>
              <w:left w:val="nil"/>
              <w:bottom w:val="nil"/>
              <w:right w:val="nil"/>
            </w:tcBorders>
            <w:vAlign w:val="center"/>
          </w:tcPr>
          <w:p>
            <w:pPr>
              <w:rPr>
                <w:rFonts w:hint="eastAsia"/>
              </w:rPr>
            </w:pPr>
            <w:r>
              <w:rPr>
                <w:rFonts w:hint="eastAsia"/>
              </w:rPr>
              <w:t> </w:t>
            </w:r>
          </w:p>
        </w:tc>
        <w:tc>
          <w:tcPr>
            <w:tcW w:w="795" w:type="dxa"/>
            <w:tcBorders>
              <w:top w:val="nil"/>
              <w:left w:val="nil"/>
              <w:bottom w:val="nil"/>
              <w:right w:val="nil"/>
            </w:tcBorders>
            <w:vAlign w:val="center"/>
          </w:tcPr>
          <w:p>
            <w:pPr>
              <w:rPr>
                <w:rFonts w:hint="eastAsia"/>
              </w:rPr>
            </w:pPr>
            <w:r>
              <w:rPr>
                <w:rFonts w:hint="eastAsia"/>
              </w:rPr>
              <w:t> </w:t>
            </w:r>
          </w:p>
        </w:tc>
        <w:tc>
          <w:tcPr>
            <w:tcW w:w="240" w:type="dxa"/>
            <w:tcBorders>
              <w:top w:val="nil"/>
              <w:left w:val="nil"/>
              <w:bottom w:val="nil"/>
              <w:right w:val="nil"/>
            </w:tcBorders>
            <w:vAlign w:val="center"/>
          </w:tcPr>
          <w:p>
            <w:pPr>
              <w:rPr>
                <w:rFonts w:hint="eastAsia"/>
              </w:rPr>
            </w:pPr>
            <w:r>
              <w:rPr>
                <w:rFonts w:hint="eastAsia"/>
              </w:rPr>
              <w:t> </w:t>
            </w:r>
          </w:p>
        </w:tc>
        <w:tc>
          <w:tcPr>
            <w:tcW w:w="143" w:type="dxa"/>
            <w:tcBorders>
              <w:top w:val="nil"/>
              <w:left w:val="nil"/>
              <w:bottom w:val="nil"/>
              <w:right w:val="nil"/>
            </w:tcBorders>
            <w:vAlign w:val="center"/>
          </w:tcPr>
          <w:p>
            <w:pPr>
              <w:rPr>
                <w:rFonts w:hint="eastAsia"/>
              </w:rPr>
            </w:pPr>
            <w:r>
              <w:rPr>
                <w:rFonts w:hint="eastAsia"/>
              </w:rPr>
              <w:t> </w:t>
            </w:r>
          </w:p>
        </w:tc>
        <w:tc>
          <w:tcPr>
            <w:tcW w:w="240" w:type="dxa"/>
            <w:tcBorders>
              <w:top w:val="nil"/>
              <w:left w:val="nil"/>
              <w:bottom w:val="nil"/>
              <w:right w:val="nil"/>
            </w:tcBorders>
            <w:vAlign w:val="center"/>
          </w:tcPr>
          <w:p>
            <w:pPr>
              <w:rPr>
                <w:rFonts w:hint="eastAsia"/>
              </w:rPr>
            </w:pPr>
            <w:r>
              <w:rPr>
                <w:rFonts w:hint="eastAsia"/>
              </w:rPr>
              <w:t> </w:t>
            </w:r>
          </w:p>
        </w:tc>
        <w:tc>
          <w:tcPr>
            <w:tcW w:w="240" w:type="dxa"/>
            <w:tcBorders>
              <w:top w:val="nil"/>
              <w:left w:val="nil"/>
              <w:bottom w:val="nil"/>
              <w:right w:val="nil"/>
            </w:tcBorders>
            <w:vAlign w:val="center"/>
          </w:tcPr>
          <w:p>
            <w:pPr>
              <w:rPr>
                <w:rFonts w:hint="eastAsia"/>
              </w:rPr>
            </w:pPr>
            <w:r>
              <w:rPr>
                <w:rFonts w:hint="eastAsia"/>
              </w:rPr>
              <w:t> </w:t>
            </w:r>
          </w:p>
        </w:tc>
      </w:tr>
    </w:tbl>
    <w:p>
      <w:pPr>
        <w:adjustRightInd w:val="0"/>
        <w:spacing w:before="100" w:beforeAutospacing="1" w:after="100" w:afterAutospacing="1"/>
        <w:jc w:val="both"/>
        <w:rPr>
          <w:rFonts w:ascii="Times New Roman" w:hAnsi="Times New Roman" w:eastAsia="黑体" w:cs="Times New Roman"/>
          <w:sz w:val="30"/>
          <w:szCs w:val="30"/>
        </w:rPr>
      </w:pPr>
      <w:r>
        <w:rPr>
          <w:rFonts w:ascii="Times New Roman" w:hAnsi="Times New Roman" w:cs="Times New Roman"/>
          <w:color w:val="FF0000"/>
          <w:sz w:val="30"/>
          <w:szCs w:val="30"/>
        </w:rPr>
        <w:t xml:space="preserve"> </w:t>
      </w:r>
      <w:r>
        <w:rPr>
          <w:rFonts w:hint="eastAsia" w:ascii="Times New Roman" w:hAnsi="Times New Roman" w:cs="Times New Roman"/>
          <w:color w:val="FF0000"/>
          <w:sz w:val="30"/>
          <w:szCs w:val="30"/>
          <w:lang w:val="en-US" w:eastAsia="zh-CN"/>
        </w:rPr>
        <w:t xml:space="preserve">   </w:t>
      </w:r>
      <w:r>
        <w:rPr>
          <w:rFonts w:hint="eastAsia" w:ascii="黑体" w:hAnsi="黑体" w:eastAsia="黑体"/>
          <w:sz w:val="30"/>
          <w:szCs w:val="30"/>
        </w:rPr>
        <w:t>三、政府采购支出情况</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rPr>
        <w:t>2019年度，部门政府采购支出总额</w:t>
      </w:r>
      <w:r>
        <w:rPr>
          <w:rFonts w:hint="eastAsia" w:ascii="仿宋" w:hAnsi="仿宋" w:eastAsia="仿宋"/>
          <w:sz w:val="30"/>
          <w:szCs w:val="30"/>
          <w:lang w:val="en-US" w:eastAsia="zh-CN"/>
        </w:rPr>
        <w:t>44.71</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28.58</w:t>
      </w:r>
      <w:r>
        <w:rPr>
          <w:rFonts w:hint="eastAsia" w:ascii="仿宋" w:hAnsi="仿宋" w:eastAsia="仿宋"/>
          <w:sz w:val="30"/>
          <w:szCs w:val="30"/>
        </w:rPr>
        <w:t>万元;政府采购工程支出</w:t>
      </w:r>
      <w:r>
        <w:rPr>
          <w:rFonts w:hint="eastAsia" w:ascii="仿宋" w:hAnsi="仿宋" w:eastAsia="仿宋"/>
          <w:sz w:val="30"/>
          <w:szCs w:val="30"/>
          <w:lang w:val="en-US" w:eastAsia="zh-CN"/>
        </w:rPr>
        <w:t>0</w:t>
      </w:r>
      <w:r>
        <w:rPr>
          <w:rFonts w:hint="eastAsia" w:ascii="仿宋" w:hAnsi="仿宋" w:eastAsia="仿宋"/>
          <w:sz w:val="30"/>
          <w:szCs w:val="30"/>
        </w:rPr>
        <w:t>万元;政府采购服务支出</w:t>
      </w:r>
      <w:r>
        <w:rPr>
          <w:rFonts w:hint="eastAsia" w:ascii="仿宋" w:hAnsi="仿宋" w:eastAsia="仿宋"/>
          <w:sz w:val="30"/>
          <w:szCs w:val="30"/>
          <w:lang w:val="en-US" w:eastAsia="zh-CN"/>
        </w:rPr>
        <w:t>16.13</w:t>
      </w:r>
      <w:r>
        <w:rPr>
          <w:rFonts w:hint="eastAsia" w:ascii="仿宋" w:hAnsi="仿宋" w:eastAsia="仿宋"/>
          <w:sz w:val="30"/>
          <w:szCs w:val="30"/>
        </w:rPr>
        <w:t>万元;授予中小企业合同金额</w:t>
      </w:r>
      <w:r>
        <w:rPr>
          <w:rFonts w:hint="eastAsia" w:ascii="仿宋" w:hAnsi="仿宋" w:eastAsia="仿宋"/>
          <w:sz w:val="30"/>
          <w:szCs w:val="30"/>
          <w:lang w:val="en-US" w:eastAsia="zh-CN"/>
        </w:rPr>
        <w:t>44.71</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44.71</w:t>
      </w:r>
      <w:r>
        <w:rPr>
          <w:rFonts w:hint="eastAsia" w:ascii="仿宋" w:hAnsi="仿宋" w:eastAsia="仿宋"/>
          <w:sz w:val="30"/>
          <w:szCs w:val="30"/>
        </w:rPr>
        <w:t>%。</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color w:val="000000"/>
          <w:sz w:val="30"/>
          <w:szCs w:val="30"/>
        </w:rPr>
        <w:t>四、部门绩效自评情况</w:t>
      </w:r>
    </w:p>
    <w:p>
      <w:pPr>
        <w:adjustRightInd w:val="0"/>
        <w:spacing w:before="100" w:beforeAutospacing="1" w:after="100" w:afterAutospacing="1" w:line="59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部门绩效自评情况表详见附表（附表</w:t>
      </w:r>
      <w:r>
        <w:rPr>
          <w:rFonts w:hint="eastAsia" w:ascii="仿宋" w:hAnsi="Times New Roman" w:eastAsia="仿宋"/>
          <w:color w:val="000000"/>
          <w:sz w:val="30"/>
          <w:szCs w:val="30"/>
        </w:rPr>
        <w:t>9-</w:t>
      </w:r>
      <w:r>
        <w:rPr>
          <w:rFonts w:hint="eastAsia" w:ascii="仿宋" w:hAnsi="仿宋" w:eastAsia="仿宋"/>
          <w:color w:val="000000"/>
          <w:sz w:val="30"/>
          <w:szCs w:val="30"/>
        </w:rPr>
        <w:t>附表</w:t>
      </w:r>
      <w:r>
        <w:rPr>
          <w:rFonts w:hint="eastAsia" w:ascii="仿宋" w:hAnsi="Times New Roman" w:eastAsia="仿宋"/>
          <w:color w:val="000000"/>
          <w:sz w:val="30"/>
          <w:szCs w:val="30"/>
        </w:rPr>
        <w:t>11</w:t>
      </w:r>
      <w:r>
        <w:rPr>
          <w:rFonts w:hint="eastAsia" w:ascii="仿宋" w:hAnsi="仿宋" w:eastAsia="仿宋"/>
          <w:color w:val="000000"/>
          <w:sz w:val="30"/>
          <w:szCs w:val="30"/>
        </w:rPr>
        <w:t>）</w:t>
      </w:r>
    </w:p>
    <w:p>
      <w:pPr>
        <w:adjustRightInd w:val="0"/>
        <w:spacing w:before="100" w:beforeAutospacing="1" w:after="100" w:afterAutospacing="1" w:line="590" w:lineRule="exact"/>
        <w:ind w:firstLine="600" w:firstLineChars="200"/>
        <w:rPr>
          <w:rFonts w:hint="eastAsia" w:ascii="黑体" w:hAnsi="黑体" w:eastAsia="黑体"/>
          <w:sz w:val="30"/>
          <w:szCs w:val="30"/>
          <w:lang w:val="en-US" w:eastAsia="zh-CN"/>
        </w:rPr>
      </w:pPr>
      <w:r>
        <w:rPr>
          <w:rFonts w:hint="eastAsia" w:ascii="黑体" w:hAnsi="黑体" w:eastAsia="黑体"/>
          <w:sz w:val="30"/>
          <w:szCs w:val="30"/>
          <w:lang w:val="en-US" w:eastAsia="zh-CN"/>
        </w:rPr>
        <w:t>1、预算绩效管理工作开展情况</w:t>
      </w:r>
    </w:p>
    <w:p>
      <w:pPr>
        <w:adjustRightInd w:val="0"/>
        <w:spacing w:before="100" w:beforeAutospacing="1" w:after="100" w:afterAutospacing="1" w:line="590" w:lineRule="exact"/>
        <w:ind w:firstLine="600" w:firstLineChars="200"/>
        <w:rPr>
          <w:rFonts w:hint="eastAsia" w:ascii="仿宋" w:hAnsi="仿宋" w:eastAsia="仿宋"/>
          <w:sz w:val="30"/>
          <w:szCs w:val="30"/>
        </w:rPr>
      </w:pPr>
      <w:r>
        <w:rPr>
          <w:rFonts w:hint="eastAsia" w:ascii="仿宋" w:hAnsi="仿宋" w:eastAsia="仿宋"/>
          <w:sz w:val="30"/>
          <w:szCs w:val="30"/>
          <w:lang w:eastAsia="zh-CN"/>
        </w:rPr>
        <w:t>玉溪市食品药品检验所属玉溪市市场监督管理局直属二级事业单位，根据主管部门</w:t>
      </w:r>
      <w:r>
        <w:rPr>
          <w:rFonts w:hint="eastAsia" w:ascii="仿宋" w:hAnsi="仿宋" w:eastAsia="仿宋"/>
          <w:sz w:val="30"/>
          <w:szCs w:val="30"/>
        </w:rPr>
        <w:t>制定</w:t>
      </w:r>
      <w:r>
        <w:rPr>
          <w:rFonts w:hint="eastAsia" w:ascii="仿宋" w:hAnsi="仿宋" w:eastAsia="仿宋"/>
          <w:sz w:val="30"/>
          <w:szCs w:val="30"/>
          <w:lang w:eastAsia="zh-CN"/>
        </w:rPr>
        <w:t>的</w:t>
      </w:r>
      <w:r>
        <w:rPr>
          <w:rFonts w:hint="eastAsia" w:ascii="仿宋" w:hAnsi="仿宋" w:eastAsia="仿宋"/>
          <w:sz w:val="30"/>
          <w:szCs w:val="30"/>
        </w:rPr>
        <w:t>《玉溪市市场监督管理局绩效管理制度》，</w:t>
      </w:r>
      <w:r>
        <w:rPr>
          <w:rFonts w:hint="eastAsia" w:ascii="仿宋" w:hAnsi="仿宋" w:eastAsia="仿宋"/>
          <w:sz w:val="30"/>
          <w:szCs w:val="30"/>
          <w:lang w:eastAsia="zh-CN"/>
        </w:rPr>
        <w:t>我单位</w:t>
      </w:r>
      <w:r>
        <w:rPr>
          <w:rFonts w:hint="eastAsia" w:ascii="仿宋" w:hAnsi="仿宋" w:eastAsia="仿宋"/>
          <w:sz w:val="30"/>
          <w:szCs w:val="30"/>
        </w:rPr>
        <w:t>将绩效目标管理、绩效运行监控、绩效效果评价和应用融入监管资金预算编制、执行和监督全过程的管理活动，明确了预算绩效管理的对象和内容，</w:t>
      </w:r>
      <w:r>
        <w:rPr>
          <w:rFonts w:hint="eastAsia" w:ascii="仿宋" w:hAnsi="仿宋" w:eastAsia="仿宋"/>
          <w:sz w:val="30"/>
          <w:szCs w:val="30"/>
          <w:lang w:eastAsia="zh-CN"/>
        </w:rPr>
        <w:t>根据主管部门的要求积极</w:t>
      </w:r>
      <w:r>
        <w:rPr>
          <w:rFonts w:hint="eastAsia" w:ascii="仿宋" w:hAnsi="仿宋" w:eastAsia="仿宋"/>
          <w:sz w:val="30"/>
          <w:szCs w:val="30"/>
        </w:rPr>
        <w:t>开展绩效</w:t>
      </w:r>
      <w:r>
        <w:rPr>
          <w:rFonts w:hint="eastAsia" w:ascii="仿宋" w:hAnsi="仿宋" w:eastAsia="仿宋"/>
          <w:sz w:val="30"/>
          <w:szCs w:val="30"/>
          <w:lang w:eastAsia="zh-CN"/>
        </w:rPr>
        <w:t>自评</w:t>
      </w:r>
      <w:r>
        <w:rPr>
          <w:rFonts w:hint="eastAsia" w:ascii="仿宋" w:hAnsi="仿宋" w:eastAsia="仿宋"/>
          <w:sz w:val="30"/>
          <w:szCs w:val="30"/>
        </w:rPr>
        <w:t>工作。</w:t>
      </w:r>
    </w:p>
    <w:p>
      <w:pPr>
        <w:adjustRightInd w:val="0"/>
        <w:spacing w:before="100" w:beforeAutospacing="1" w:after="100" w:afterAutospacing="1" w:line="590" w:lineRule="exact"/>
        <w:ind w:firstLine="600" w:firstLineChars="200"/>
        <w:rPr>
          <w:rFonts w:hint="eastAsia" w:ascii="黑体" w:hAnsi="黑体" w:eastAsia="黑体"/>
          <w:sz w:val="30"/>
          <w:szCs w:val="30"/>
          <w:lang w:val="en-US" w:eastAsia="zh-CN"/>
        </w:rPr>
      </w:pPr>
      <w:r>
        <w:rPr>
          <w:rFonts w:hint="eastAsia" w:ascii="黑体" w:hAnsi="黑体" w:eastAsia="黑体"/>
          <w:sz w:val="30"/>
          <w:szCs w:val="30"/>
          <w:lang w:val="en-US" w:eastAsia="zh-CN"/>
        </w:rPr>
        <w:t>2、部门整体支出自评结果</w:t>
      </w:r>
    </w:p>
    <w:p>
      <w:pPr>
        <w:adjustRightInd w:val="0"/>
        <w:spacing w:before="100" w:beforeAutospacing="1" w:after="100" w:afterAutospacing="1" w:line="59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玉溪市食品药品检验所属玉溪市市场监督管理局直属二级事业单位，未单独编报部门整体支出目标，纳入主管部门进行绩效管理。</w:t>
      </w:r>
    </w:p>
    <w:p>
      <w:pPr>
        <w:adjustRightInd w:val="0"/>
        <w:spacing w:before="100" w:beforeAutospacing="1" w:after="100" w:afterAutospacing="1" w:line="590" w:lineRule="exact"/>
        <w:ind w:firstLine="600" w:firstLineChars="200"/>
        <w:rPr>
          <w:rFonts w:hint="eastAsia" w:ascii="黑体" w:hAnsi="黑体" w:eastAsia="黑体"/>
          <w:sz w:val="30"/>
          <w:szCs w:val="30"/>
          <w:lang w:val="en-US" w:eastAsia="zh-CN"/>
        </w:rPr>
      </w:pPr>
      <w:r>
        <w:rPr>
          <w:rFonts w:hint="eastAsia" w:ascii="黑体" w:hAnsi="黑体" w:eastAsia="黑体"/>
          <w:sz w:val="30"/>
          <w:szCs w:val="30"/>
          <w:lang w:val="en-US" w:eastAsia="zh-CN"/>
        </w:rPr>
        <w:t>3、</w:t>
      </w:r>
      <w:bookmarkStart w:id="0" w:name="_GoBack"/>
      <w:bookmarkEnd w:id="0"/>
      <w:r>
        <w:rPr>
          <w:rFonts w:hint="eastAsia" w:ascii="黑体" w:hAnsi="黑体" w:eastAsia="黑体"/>
          <w:sz w:val="30"/>
          <w:szCs w:val="30"/>
          <w:lang w:val="en-US" w:eastAsia="zh-CN"/>
        </w:rPr>
        <w:t>部门决算中项目支出自评结果</w:t>
      </w:r>
    </w:p>
    <w:p>
      <w:pPr>
        <w:adjustRightInd w:val="0"/>
        <w:spacing w:before="100" w:beforeAutospacing="1" w:after="100" w:afterAutospacing="1" w:line="59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（一）项目一：食品（含保健品）检验验项目绩效情况</w:t>
      </w:r>
    </w:p>
    <w:p>
      <w:pPr>
        <w:adjustRightInd w:val="0"/>
        <w:spacing w:before="100" w:beforeAutospacing="1" w:after="100" w:afterAutospacing="1" w:line="59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玉溪市食品药品检验所根据每年市级食品药品监督管理部门制定的食品（含保健品）抽验工作计划，承担依法实施食品质量监督检查所需的检验工作，并对检验结果进行整理汇总分析。该项目为省级安排抽检任务，预计检验任务约为750批，费用计划150万元。由于该项目资金于12月18日才拨付到位，已无法开展项目。计划将于2020年完成项目目标。</w:t>
      </w:r>
    </w:p>
    <w:p>
      <w:pPr>
        <w:adjustRightInd w:val="0"/>
        <w:spacing w:before="100" w:beforeAutospacing="1" w:after="100" w:afterAutospacing="1" w:line="59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（二）项目二：药品及化妆品检验项目绩效情况</w:t>
      </w:r>
    </w:p>
    <w:p>
      <w:pPr>
        <w:adjustRightInd w:val="0"/>
        <w:spacing w:before="100" w:beforeAutospacing="1" w:after="100" w:afterAutospacing="1" w:line="59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玉溪市食品药品检验所作为药品监督管理部门设置的药品检验机构，根据每年市级药品监督管理部门制定的药品抽验工作计划，承担依法实施药品质量监督检查所需的药品检验工作，并对检验结果进行整理汇总分析。全年完成药品监督抽验280批，项目费用25.9万元。项目下达及资金到位为12月中下旬，已无法开展项目。该项目将转至2020年实施。</w:t>
      </w:r>
    </w:p>
    <w:p>
      <w:pPr>
        <w:adjustRightInd w:val="0"/>
        <w:spacing w:before="100" w:beforeAutospacing="1" w:after="100" w:afterAutospacing="1" w:line="59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（三）项目三：中药传承人培养项目绩效情况</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该项目为中央安排项目，对考核合格的中药传承人进行培养，项目资金3万元。2019年该项目被培养人参加了传承人培训2次，共支出项目资金0.98万元，完成培训总结心得2篇。培养对象全面掌握相关专业知识，游学轮转观摩学习内容涵盖中药栽培、资源保护及利用、鉴定、炮制、传统制药工艺、制剂、调剂等各个方面；学习期间在国内外公开发行的期刊上发表1篇总结中药特色技术传承学习情况的论文。由于该项目在云南只设立了两个培训基地，其余培训基地均在省外。培训时间安排没有相关部门统一协调，导致培训时间相对集中重叠，所以影响培训次数的完成。建议2020年能有项目主管部门集中统一安排，加快推进项目实施。</w:t>
      </w:r>
    </w:p>
    <w:p>
      <w:pPr>
        <w:adjustRightInd w:val="0"/>
        <w:spacing w:before="100" w:beforeAutospacing="1" w:after="100" w:afterAutospacing="1" w:line="59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（四）项目四：检验设备购置项目绩效情况</w:t>
      </w:r>
    </w:p>
    <w:p>
      <w:pPr>
        <w:adjustRightInd w:val="0"/>
        <w:spacing w:before="100" w:beforeAutospacing="1" w:after="100" w:afterAutospacing="1" w:line="59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该项目为省级安排项目，用于我所检验设备的购置，项目资金100万元。该项目资金到位较晚，于2019年11月才拨付到位。我单位计划采购一台高效液相色谱-电感耦合等离子体质谱联用系统（HPLC-ICPMS）。由于该设备通过公开招标的方式进行采购且为进口设备采购，前期审批手续较多，公告期较长，以致该项目2019年12月20日才完成采购程序，在财政停止结算前未能支付项目资金。因此该项目需结转至2020年完成。</w:t>
      </w:r>
    </w:p>
    <w:p>
      <w:pPr>
        <w:adjustRightInd w:val="0"/>
        <w:spacing w:before="100" w:beforeAutospacing="1" w:after="100" w:afterAutospacing="1" w:line="59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（五）项目五：工业产品质量监管项目绩效情况</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590" w:lineRule="exact"/>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该项目为省级2019年安排项目，完成2019年19类283个批次产品质量监督抽查和风险预警任务,保证产品质量安全。2019年我单位完成药品监督检验536个批次，远远超出了项目计划。主要原因是监督部门为提高药品质量，加大了抽检计划。由于部分检验用品未能及时支付，导致项目资金结转，未能按计划完成支出。将于2020年3月前完成项目。</w:t>
      </w:r>
    </w:p>
    <w:p>
      <w:pPr>
        <w:adjustRightInd w:val="0"/>
        <w:spacing w:before="100" w:beforeAutospacing="1" w:after="100" w:afterAutospacing="1" w:line="590" w:lineRule="exact"/>
        <w:ind w:firstLine="600" w:firstLineChars="200"/>
        <w:rPr>
          <w:rFonts w:hint="eastAsia" w:ascii="仿宋" w:hAnsi="仿宋" w:eastAsia="仿宋"/>
          <w:color w:val="000000"/>
          <w:sz w:val="30"/>
          <w:szCs w:val="30"/>
        </w:rPr>
      </w:pP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五、其他重要事项情况说明</w:t>
      </w:r>
    </w:p>
    <w:p>
      <w:pPr>
        <w:adjustRightInd w:val="0"/>
        <w:spacing w:before="100" w:beforeAutospacing="1" w:after="100" w:afterAutospacing="1" w:line="590" w:lineRule="exact"/>
        <w:ind w:firstLine="600" w:firstLineChars="200"/>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无重要事项说明。</w:t>
      </w:r>
    </w:p>
    <w:p>
      <w:pPr>
        <w:adjustRightInd w:val="0"/>
        <w:spacing w:before="100" w:beforeAutospacing="1" w:after="100" w:afterAutospacing="1" w:line="590" w:lineRule="exact"/>
        <w:ind w:firstLine="600" w:firstLineChars="200"/>
        <w:rPr>
          <w:rFonts w:ascii="Times New Roman" w:hAnsi="Times New Roman" w:eastAsia="黑体" w:cs="Times New Roman"/>
          <w:sz w:val="30"/>
          <w:szCs w:val="30"/>
        </w:rPr>
      </w:pPr>
      <w:r>
        <w:rPr>
          <w:rFonts w:hint="eastAsia" w:ascii="黑体" w:hAnsi="黑体" w:eastAsia="黑体"/>
          <w:sz w:val="30"/>
          <w:szCs w:val="30"/>
        </w:rPr>
        <w:t>六、相关口径说明</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（一）基本支出中人员经费包括工资福利支出和对个人和家庭的补助，日常公用支出包括商品和服务支出、资本性支出等人员经费以外的支出。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（二）机关运行经费指行政单位和参照公务员法管理的事业单位使用一般公共预算财政拨款安排的基本支出中的日常公用经费支出。</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（三）按照党中央、国务院有关文件及部门预算管理有关规定，</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djustRightInd w:val="0"/>
        <w:spacing w:before="100" w:beforeAutospacing="1" w:after="100" w:afterAutospacing="1" w:line="590" w:lineRule="exact"/>
        <w:ind w:firstLine="600" w:firstLineChars="200"/>
        <w:rPr>
          <w:rFonts w:ascii="Times New Roman" w:hAnsi="Times New Roman" w:eastAsia="仿宋" w:cs="Times New Roman"/>
          <w:sz w:val="30"/>
          <w:szCs w:val="30"/>
        </w:rPr>
      </w:pPr>
      <w:r>
        <w:rPr>
          <w:rFonts w:hint="eastAsia" w:ascii="仿宋" w:hAnsi="仿宋" w:eastAsia="仿宋"/>
          <w:sz w:val="30"/>
          <w:szCs w:val="30"/>
        </w:rPr>
        <w:t>（四）</w:t>
      </w:r>
      <w:r>
        <w:rPr>
          <w:rFonts w:ascii="Times New Roman" w:hAnsi="Times New Roman" w:eastAsia="仿宋" w:cs="Times New Roman"/>
          <w:sz w:val="30"/>
          <w:szCs w:val="30"/>
        </w:rPr>
        <w:t>“</w:t>
      </w:r>
      <w:r>
        <w:rPr>
          <w:rFonts w:hint="eastAsia" w:ascii="仿宋" w:hAnsi="仿宋" w:eastAsia="仿宋"/>
          <w:sz w:val="30"/>
          <w:szCs w:val="30"/>
        </w:rPr>
        <w:t>三公</w:t>
      </w:r>
      <w:r>
        <w:rPr>
          <w:rFonts w:ascii="Times New Roman" w:hAnsi="Times New Roman" w:eastAsia="仿宋" w:cs="Times New Roman"/>
          <w:sz w:val="30"/>
          <w:szCs w:val="30"/>
        </w:rPr>
        <w:t>”</w:t>
      </w:r>
      <w:r>
        <w:rPr>
          <w:rFonts w:hint="eastAsia" w:ascii="仿宋" w:hAnsi="仿宋" w:eastAsia="仿宋"/>
          <w:sz w:val="30"/>
          <w:szCs w:val="30"/>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djustRightInd w:val="0"/>
        <w:spacing w:before="100" w:beforeAutospacing="1" w:after="100" w:afterAutospacing="1" w:line="590" w:lineRule="exact"/>
        <w:jc w:val="center"/>
        <w:rPr>
          <w:rFonts w:ascii="Times New Roman" w:hAnsi="Times New Roman" w:eastAsia="黑体" w:cs="Times New Roman"/>
          <w:sz w:val="32"/>
          <w:szCs w:val="32"/>
        </w:rPr>
      </w:pPr>
      <w:r>
        <w:rPr>
          <w:rFonts w:hint="eastAsia" w:ascii="黑体" w:hAnsi="黑体" w:eastAsia="黑体"/>
          <w:sz w:val="32"/>
          <w:szCs w:val="32"/>
        </w:rPr>
        <w:t>第五部分</w:t>
      </w:r>
      <w:r>
        <w:rPr>
          <w:rFonts w:hint="eastAsia" w:ascii="黑体" w:hAnsi="Times New Roman" w:eastAsia="黑体"/>
          <w:sz w:val="32"/>
          <w:szCs w:val="32"/>
        </w:rPr>
        <w:t xml:space="preserve">  </w:t>
      </w:r>
      <w:r>
        <w:rPr>
          <w:rFonts w:hint="eastAsia" w:ascii="黑体" w:hAnsi="黑体" w:eastAsia="黑体"/>
          <w:sz w:val="32"/>
          <w:szCs w:val="32"/>
        </w:rPr>
        <w:t>名词解释</w:t>
      </w:r>
    </w:p>
    <w:p>
      <w:pPr>
        <w:rPr>
          <w:rFonts w:hint="eastAsia" w:ascii="仿宋" w:hAnsi="仿宋" w:eastAsia="仿宋"/>
          <w:sz w:val="30"/>
          <w:szCs w:val="30"/>
        </w:rPr>
      </w:pPr>
      <w:r>
        <w:rPr>
          <w:rFonts w:hint="eastAsia" w:ascii="仿宋" w:hAnsi="仿宋" w:eastAsia="仿宋"/>
          <w:sz w:val="30"/>
          <w:szCs w:val="30"/>
        </w:rPr>
        <w:t>不涉及专用名词。</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590" w:lineRule="exact"/>
        <w:textAlignment w:val="auto"/>
        <w:rPr>
          <w:rFonts w:hint="eastAsia" w:ascii="仿宋" w:hAnsi="仿宋" w:eastAsia="仿宋"/>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590" w:lineRule="exact"/>
        <w:ind w:firstLine="3900" w:firstLineChars="13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玉溪市食品药品检验所</w:t>
      </w:r>
    </w:p>
    <w:p>
      <w:pPr>
        <w:keepNext w:val="0"/>
        <w:keepLines w:val="0"/>
        <w:pageBreakBefore w:val="0"/>
        <w:widowControl/>
        <w:numPr>
          <w:ilvl w:val="0"/>
          <w:numId w:val="0"/>
        </w:numPr>
        <w:kinsoku/>
        <w:wordWrap/>
        <w:overflowPunct/>
        <w:topLinePunct w:val="0"/>
        <w:autoSpaceDE/>
        <w:autoSpaceDN/>
        <w:bidi w:val="0"/>
        <w:adjustRightInd w:val="0"/>
        <w:snapToGrid/>
        <w:spacing w:before="100" w:beforeAutospacing="1" w:after="100" w:afterAutospacing="1" w:line="590" w:lineRule="exact"/>
        <w:ind w:firstLine="4200" w:firstLineChars="1400"/>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2020年9月20日</w:t>
      </w:r>
    </w:p>
    <w:p>
      <w:pPr>
        <w:adjustRightInd w:val="0"/>
        <w:spacing w:before="100" w:beforeAutospacing="1" w:after="100" w:afterAutospacing="1" w:line="590" w:lineRule="exact"/>
        <w:ind w:firstLine="600" w:firstLineChars="200"/>
        <w:rPr>
          <w:rFonts w:hint="eastAsia" w:ascii="仿宋" w:hAnsi="仿宋" w:eastAsia="仿宋"/>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580A0"/>
    <w:multiLevelType w:val="singleLevel"/>
    <w:tmpl w:val="ECE580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E4"/>
    <w:rsid w:val="00380F3B"/>
    <w:rsid w:val="00636916"/>
    <w:rsid w:val="008815E4"/>
    <w:rsid w:val="00FF7716"/>
    <w:rsid w:val="02965A55"/>
    <w:rsid w:val="0A0A50C0"/>
    <w:rsid w:val="15107E76"/>
    <w:rsid w:val="32081B4C"/>
    <w:rsid w:val="371B7E38"/>
    <w:rsid w:val="380436BA"/>
    <w:rsid w:val="44C61E17"/>
    <w:rsid w:val="5039458F"/>
    <w:rsid w:val="56B43B11"/>
    <w:rsid w:val="5A300A24"/>
    <w:rsid w:val="65DE799A"/>
    <w:rsid w:val="677E071E"/>
    <w:rsid w:val="6A8F6E34"/>
    <w:rsid w:val="6AEE297C"/>
    <w:rsid w:val="7086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951</Words>
  <Characters>5424</Characters>
  <Lines>45</Lines>
  <Paragraphs>12</Paragraphs>
  <TotalTime>14</TotalTime>
  <ScaleCrop>false</ScaleCrop>
  <LinksUpToDate>false</LinksUpToDate>
  <CharactersWithSpaces>6363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2020-09-11T01:46:00Z</dcterms:created>
  <dc:creator>彭鑫</dc:creator>
  <cp:lastModifiedBy>dell</cp:lastModifiedBy>
  <dcterms:modified xsi:type="dcterms:W3CDTF">2020-09-24T03:31:43Z</dcterms:modified>
  <dc:title>玉溪市食品药品检验所部门2019年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