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77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39"/>
        <w:gridCol w:w="1121"/>
        <w:gridCol w:w="2276"/>
        <w:gridCol w:w="678"/>
        <w:gridCol w:w="1201"/>
        <w:gridCol w:w="659"/>
        <w:gridCol w:w="1184"/>
        <w:gridCol w:w="3649"/>
        <w:gridCol w:w="678"/>
        <w:gridCol w:w="940"/>
      </w:tblGrid>
      <w:tr w:rsidR="00AE03E4">
        <w:trPr>
          <w:trHeight w:val="420"/>
        </w:trPr>
        <w:tc>
          <w:tcPr>
            <w:tcW w:w="13677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460" w:lineRule="auto"/>
              <w:jc w:val="center"/>
            </w:pPr>
            <w:r>
              <w:rPr>
                <w:rFonts w:ascii="方正小标宋_GBK" w:eastAsia="方正小标宋_GBK" w:hAnsi="方正小标宋_GBK" w:cs="方正小标宋_GBK"/>
                <w:sz w:val="40"/>
              </w:rPr>
              <w:t>玉溪市商务局市场监管领域统一随机抽查事项清单</w:t>
            </w:r>
          </w:p>
        </w:tc>
      </w:tr>
      <w:tr w:rsidR="00AE03E4">
        <w:trPr>
          <w:trHeight w:val="4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序号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部门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 xml:space="preserve">抽查项目 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事项类别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检查对象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检查方式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检查主体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检查依据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适用区域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26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备注</w:t>
            </w:r>
          </w:p>
        </w:tc>
      </w:tr>
      <w:tr w:rsidR="00AE03E4">
        <w:trPr>
          <w:trHeight w:val="35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抽查类别</w:t>
            </w:r>
          </w:p>
        </w:tc>
        <w:tc>
          <w:tcPr>
            <w:tcW w:w="2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sz w:val="22"/>
              </w:rPr>
            </w:pPr>
            <w:r>
              <w:rPr>
                <w:rFonts w:ascii="方正黑体_GBK" w:eastAsia="方正黑体_GBK" w:hAnsi="方正黑体_GBK" w:cs="方正黑体_GBK"/>
                <w:b/>
                <w:sz w:val="22"/>
              </w:rPr>
              <w:t>抽查事项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AE03E4" w:rsidTr="00AE03E4">
        <w:trPr>
          <w:trHeight w:val="6044"/>
        </w:trPr>
        <w:tc>
          <w:tcPr>
            <w:tcW w:w="55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市商务局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对石油成品油零售经营企业的联合检查</w:t>
            </w:r>
          </w:p>
        </w:tc>
        <w:tc>
          <w:tcPr>
            <w:tcW w:w="2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Pr="00AE03E4" w:rsidRDefault="00AE03E4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03E4">
              <w:rPr>
                <w:rFonts w:ascii="宋体" w:hAnsi="宋体" w:cs="宋体" w:hint="eastAsia"/>
                <w:kern w:val="0"/>
                <w:sz w:val="18"/>
                <w:szCs w:val="18"/>
              </w:rPr>
              <w:t>1.成品油零售经营企业经营资格年度检查；2.是否存在涂改、倒卖、出租、出借或者以其他形式非法转让成品油经营批准证书的；3.是否存在违反《成品油管理办法》规定的条件和程序，未经许可擅自新建、迁建和扩建加油站的；4.是否存在采取掺杂掺假、以假充真、以次充好或者以不合格产品冒充合格产品等手段销售成品油，或者销售国家明令淘汰并禁止销售的成品油的；5.是否存在销售走私成品油的；6.是否存在擅自改动加油机或利用其他手段克扣油量的；7.是否存在超越经营范围进行经营活动的；8.是否存在违反有关技术规范要求的；9.是否存在法律、法规、规章规定的其他违法行为。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石油成品油批发、仓储、零售经营企业</w:t>
            </w:r>
          </w:p>
        </w:tc>
        <w:tc>
          <w:tcPr>
            <w:tcW w:w="6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实地核查和年度审查</w:t>
            </w:r>
          </w:p>
        </w:tc>
        <w:tc>
          <w:tcPr>
            <w:tcW w:w="11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县级以上商务主管部门</w:t>
            </w:r>
          </w:p>
        </w:tc>
        <w:tc>
          <w:tcPr>
            <w:tcW w:w="3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《成品油市场管理办法》（商务部令2006年第23号，根据2015年10月28日《商务部关于修改部分规章和规范性文件的决定》修正）第五章第第三十二条、第五章第三十六条第一款、第六章第四十三条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AE03E4" w:rsidTr="00AE03E4">
        <w:trPr>
          <w:trHeight w:val="6939"/>
        </w:trPr>
        <w:tc>
          <w:tcPr>
            <w:tcW w:w="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Theme="minorEastAsia" w:hAnsiTheme="minorEastAsia" w:cs="Calibri" w:hint="eastAsia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7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市商务局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对外承</w:t>
            </w:r>
          </w:p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包工程</w:t>
            </w:r>
          </w:p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企业检</w:t>
            </w:r>
          </w:p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查</w:t>
            </w:r>
          </w:p>
        </w:tc>
        <w:tc>
          <w:tcPr>
            <w:tcW w:w="2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1.是否采取安全保障措施。2.是否扰乱对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外承包工程市场秩序行为。3.是否存在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未履行报告义务的行为。4.是否存在通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</w:rPr>
              <w:t>过未依法</w:t>
            </w:r>
            <w:proofErr w:type="gramEnd"/>
            <w:r>
              <w:rPr>
                <w:rFonts w:ascii="宋体" w:eastAsia="宋体" w:hAnsi="宋体" w:cs="宋体" w:hint="eastAsia"/>
                <w:sz w:val="20"/>
              </w:rPr>
              <w:t>取得许可或者有重大违法行为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的中介机构招用外派人员，或者不依照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《对外承包工程管理条例》规定为外派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人员购买境外人身意外伤害保险，或者</w:t>
            </w:r>
          </w:p>
          <w:p w:rsidR="00AE03E4" w:rsidRDefault="00AE03E4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未按照规定存缴备用金的行为。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一般检查事项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对外承包工程企业</w:t>
            </w:r>
          </w:p>
        </w:tc>
        <w:tc>
          <w:tcPr>
            <w:tcW w:w="6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书面检查</w:t>
            </w:r>
          </w:p>
        </w:tc>
        <w:tc>
          <w:tcPr>
            <w:tcW w:w="11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0"/>
                <w:u w:val="single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县级以上商务主管部门</w:t>
            </w:r>
          </w:p>
        </w:tc>
        <w:tc>
          <w:tcPr>
            <w:tcW w:w="364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《对外承包工程管理条例》（中</w:t>
            </w:r>
          </w:p>
          <w:p w:rsidR="00AE03E4" w:rsidRDefault="00AE03E4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华人民共和国</w:t>
            </w:r>
            <w:proofErr w:type="gramStart"/>
            <w:r>
              <w:rPr>
                <w:rFonts w:ascii="宋体" w:eastAsia="宋体" w:hAnsi="宋体" w:cs="宋体" w:hint="eastAsia"/>
                <w:sz w:val="20"/>
              </w:rPr>
              <w:t>国务院令第</w:t>
            </w:r>
            <w:proofErr w:type="gramEnd"/>
            <w:r>
              <w:rPr>
                <w:rFonts w:ascii="宋体" w:eastAsia="宋体" w:hAnsi="宋体" w:cs="宋体" w:hint="eastAsia"/>
                <w:sz w:val="20"/>
              </w:rPr>
              <w:t xml:space="preserve"> 527</w:t>
            </w:r>
          </w:p>
          <w:p w:rsidR="00AE03E4" w:rsidRDefault="00AE03E4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号）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普遍适用</w:t>
            </w:r>
          </w:p>
        </w:tc>
        <w:tc>
          <w:tcPr>
            <w:tcW w:w="9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E03E4" w:rsidRDefault="00AE03E4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AE03E4" w:rsidRDefault="00AE03E4">
      <w:pPr>
        <w:rPr>
          <w:rFonts w:ascii="Calibri" w:eastAsia="Calibri" w:hAnsi="Calibri" w:cs="Calibri"/>
        </w:rPr>
      </w:pPr>
    </w:p>
    <w:p w:rsidR="00BF6816" w:rsidRDefault="00BF6816"/>
    <w:sectPr w:rsidR="00BF6816" w:rsidSect="00000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3E4"/>
    <w:rsid w:val="00102419"/>
    <w:rsid w:val="003E4728"/>
    <w:rsid w:val="00523D6A"/>
    <w:rsid w:val="00AE03E4"/>
    <w:rsid w:val="00B52C21"/>
    <w:rsid w:val="00B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商务局管理员</dc:creator>
  <cp:keywords/>
  <dc:description/>
  <cp:lastModifiedBy>商务局管理员</cp:lastModifiedBy>
  <cp:revision>2</cp:revision>
  <dcterms:created xsi:type="dcterms:W3CDTF">2020-04-14T09:47:00Z</dcterms:created>
  <dcterms:modified xsi:type="dcterms:W3CDTF">2020-04-14T09:50:00Z</dcterms:modified>
</cp:coreProperties>
</file>