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BA844">
      <w:pPr>
        <w:jc w:val="center"/>
        <w:rPr>
          <w:rFonts w:eastAsia="黑体"/>
          <w:b/>
          <w:bCs/>
          <w:kern w:val="2"/>
          <w:sz w:val="36"/>
          <w:szCs w:val="32"/>
        </w:rPr>
      </w:pPr>
    </w:p>
    <w:p w14:paraId="2D147DA0">
      <w:pPr>
        <w:jc w:val="center"/>
        <w:rPr>
          <w:rFonts w:eastAsia="黑体"/>
          <w:b/>
          <w:bCs/>
          <w:kern w:val="2"/>
          <w:sz w:val="36"/>
          <w:szCs w:val="32"/>
        </w:rPr>
      </w:pPr>
    </w:p>
    <w:p w14:paraId="35BFF2AD">
      <w:pPr>
        <w:jc w:val="center"/>
        <w:rPr>
          <w:rFonts w:eastAsia="黑体"/>
          <w:b/>
          <w:bCs/>
          <w:kern w:val="2"/>
          <w:sz w:val="36"/>
          <w:szCs w:val="32"/>
        </w:rPr>
      </w:pPr>
    </w:p>
    <w:p w14:paraId="5C723504">
      <w:pPr>
        <w:jc w:val="center"/>
        <w:rPr>
          <w:rFonts w:eastAsia="黑体"/>
          <w:b/>
          <w:bCs/>
          <w:kern w:val="2"/>
          <w:sz w:val="36"/>
          <w:szCs w:val="32"/>
        </w:rPr>
      </w:pPr>
    </w:p>
    <w:p w14:paraId="317E8F8B">
      <w:pPr>
        <w:jc w:val="center"/>
        <w:rPr>
          <w:rFonts w:eastAsia="黑体"/>
          <w:b/>
          <w:bCs/>
          <w:kern w:val="2"/>
          <w:sz w:val="44"/>
          <w:szCs w:val="40"/>
        </w:rPr>
      </w:pPr>
    </w:p>
    <w:p w14:paraId="4F75E4CD">
      <w:pPr>
        <w:jc w:val="center"/>
        <w:rPr>
          <w:rFonts w:eastAsia="黑体"/>
          <w:b/>
          <w:bCs/>
          <w:kern w:val="2"/>
          <w:sz w:val="52"/>
          <w:szCs w:val="48"/>
        </w:rPr>
      </w:pPr>
      <w:r>
        <w:rPr>
          <w:rFonts w:eastAsia="黑体"/>
          <w:b/>
          <w:bCs/>
          <w:kern w:val="2"/>
          <w:sz w:val="52"/>
          <w:szCs w:val="48"/>
        </w:rPr>
        <w:t>玉溪高新技术产业开发区</w:t>
      </w:r>
    </w:p>
    <w:p w14:paraId="492721FB">
      <w:pPr>
        <w:jc w:val="center"/>
        <w:rPr>
          <w:rFonts w:eastAsia="黑体"/>
          <w:b/>
          <w:bCs/>
          <w:kern w:val="2"/>
          <w:sz w:val="52"/>
          <w:szCs w:val="48"/>
        </w:rPr>
      </w:pPr>
      <w:r>
        <w:rPr>
          <w:rFonts w:hint="eastAsia" w:eastAsia="黑体"/>
          <w:b/>
          <w:bCs/>
          <w:kern w:val="2"/>
          <w:sz w:val="52"/>
          <w:szCs w:val="48"/>
          <w:lang w:eastAsia="zh"/>
        </w:rPr>
        <w:t>主导</w:t>
      </w:r>
      <w:r>
        <w:rPr>
          <w:rFonts w:eastAsia="黑体"/>
          <w:b/>
          <w:bCs/>
          <w:kern w:val="2"/>
          <w:sz w:val="52"/>
          <w:szCs w:val="48"/>
        </w:rPr>
        <w:t>产业发展行动方案（2022-2025）</w:t>
      </w:r>
    </w:p>
    <w:p w14:paraId="6336C68A">
      <w:pPr>
        <w:jc w:val="center"/>
        <w:rPr>
          <w:rFonts w:eastAsia="黑体"/>
          <w:b/>
          <w:bCs/>
          <w:kern w:val="2"/>
          <w:sz w:val="52"/>
          <w:szCs w:val="48"/>
        </w:rPr>
      </w:pPr>
    </w:p>
    <w:p w14:paraId="4311C908">
      <w:pPr>
        <w:jc w:val="center"/>
        <w:rPr>
          <w:rFonts w:eastAsia="黑体"/>
          <w:b/>
          <w:bCs/>
          <w:kern w:val="2"/>
          <w:sz w:val="52"/>
          <w:szCs w:val="48"/>
        </w:rPr>
      </w:pPr>
    </w:p>
    <w:p w14:paraId="21B048B4">
      <w:pPr>
        <w:jc w:val="center"/>
        <w:rPr>
          <w:rFonts w:eastAsia="黑体"/>
          <w:b/>
          <w:bCs/>
          <w:kern w:val="2"/>
          <w:sz w:val="52"/>
          <w:szCs w:val="48"/>
        </w:rPr>
      </w:pPr>
    </w:p>
    <w:p w14:paraId="6B16F8F9">
      <w:pPr>
        <w:jc w:val="center"/>
        <w:rPr>
          <w:rFonts w:eastAsia="黑体"/>
          <w:b/>
          <w:bCs/>
          <w:kern w:val="2"/>
          <w:sz w:val="52"/>
          <w:szCs w:val="48"/>
        </w:rPr>
      </w:pPr>
    </w:p>
    <w:p w14:paraId="7B326E72">
      <w:pPr>
        <w:jc w:val="center"/>
        <w:rPr>
          <w:rFonts w:eastAsia="黑体"/>
          <w:b/>
          <w:bCs/>
          <w:kern w:val="2"/>
          <w:sz w:val="44"/>
          <w:szCs w:val="40"/>
        </w:rPr>
      </w:pPr>
    </w:p>
    <w:p w14:paraId="30F4DCE3">
      <w:pPr>
        <w:jc w:val="center"/>
        <w:rPr>
          <w:rFonts w:eastAsia="黑体"/>
          <w:b/>
          <w:bCs/>
          <w:kern w:val="2"/>
          <w:sz w:val="36"/>
          <w:szCs w:val="32"/>
        </w:rPr>
      </w:pPr>
    </w:p>
    <w:p w14:paraId="3C72D9CF">
      <w:pPr>
        <w:jc w:val="center"/>
        <w:rPr>
          <w:rFonts w:eastAsia="黑体"/>
          <w:b/>
          <w:bCs/>
          <w:kern w:val="2"/>
          <w:sz w:val="36"/>
          <w:szCs w:val="32"/>
        </w:rPr>
      </w:pPr>
    </w:p>
    <w:p w14:paraId="5BFDEFB3">
      <w:pPr>
        <w:jc w:val="center"/>
        <w:rPr>
          <w:rFonts w:eastAsia="黑体"/>
          <w:b/>
          <w:bCs/>
          <w:kern w:val="2"/>
          <w:sz w:val="36"/>
          <w:szCs w:val="32"/>
        </w:rPr>
      </w:pPr>
    </w:p>
    <w:p w14:paraId="7BE6C78F">
      <w:pPr>
        <w:jc w:val="center"/>
        <w:rPr>
          <w:rFonts w:eastAsia="黑体"/>
          <w:b/>
          <w:bCs/>
          <w:kern w:val="2"/>
          <w:sz w:val="36"/>
          <w:szCs w:val="32"/>
        </w:rPr>
      </w:pPr>
    </w:p>
    <w:p w14:paraId="11C7CFAA">
      <w:pPr>
        <w:jc w:val="center"/>
        <w:rPr>
          <w:rFonts w:eastAsia="黑体"/>
          <w:b/>
          <w:bCs/>
          <w:kern w:val="2"/>
          <w:sz w:val="36"/>
          <w:szCs w:val="32"/>
        </w:rPr>
      </w:pPr>
    </w:p>
    <w:p w14:paraId="051E3BB4">
      <w:pPr>
        <w:jc w:val="center"/>
        <w:rPr>
          <w:rFonts w:eastAsia="黑体"/>
          <w:b/>
          <w:bCs/>
          <w:kern w:val="2"/>
          <w:sz w:val="36"/>
          <w:szCs w:val="32"/>
        </w:rPr>
      </w:pPr>
      <w:r>
        <w:rPr>
          <w:rFonts w:eastAsia="黑体"/>
          <w:b/>
          <w:bCs/>
          <w:kern w:val="2"/>
          <w:sz w:val="36"/>
          <w:szCs w:val="32"/>
        </w:rPr>
        <w:t>玉溪高新技术产业开发区管理委员会</w:t>
      </w:r>
    </w:p>
    <w:p w14:paraId="33B752E2">
      <w:pPr>
        <w:jc w:val="center"/>
        <w:rPr>
          <w:rFonts w:eastAsia="黑体"/>
          <w:b/>
          <w:bCs/>
          <w:kern w:val="2"/>
          <w:sz w:val="36"/>
          <w:szCs w:val="32"/>
        </w:rPr>
      </w:pPr>
      <w:r>
        <w:rPr>
          <w:rFonts w:eastAsia="黑体"/>
          <w:b/>
          <w:bCs/>
          <w:kern w:val="2"/>
          <w:sz w:val="36"/>
          <w:szCs w:val="32"/>
        </w:rPr>
        <w:t>2022</w:t>
      </w:r>
      <w:r>
        <w:rPr>
          <w:rFonts w:hint="eastAsia" w:eastAsia="黑体"/>
          <w:b/>
          <w:bCs/>
          <w:kern w:val="2"/>
          <w:sz w:val="36"/>
          <w:szCs w:val="32"/>
        </w:rPr>
        <w:t>年</w:t>
      </w:r>
      <w:r>
        <w:rPr>
          <w:rFonts w:eastAsia="黑体"/>
          <w:b/>
          <w:bCs/>
          <w:kern w:val="2"/>
          <w:sz w:val="36"/>
          <w:szCs w:val="32"/>
        </w:rPr>
        <w:t>6</w:t>
      </w:r>
      <w:r>
        <w:rPr>
          <w:rFonts w:hint="eastAsia" w:eastAsia="黑体"/>
          <w:b/>
          <w:bCs/>
          <w:kern w:val="2"/>
          <w:sz w:val="36"/>
          <w:szCs w:val="32"/>
        </w:rPr>
        <w:t>月</w:t>
      </w:r>
    </w:p>
    <w:p w14:paraId="497956F8">
      <w:pPr>
        <w:spacing w:before="65" w:beforeLines="20" w:after="65" w:afterLines="20" w:line="312" w:lineRule="auto"/>
        <w:jc w:val="both"/>
        <w:rPr>
          <w:rFonts w:eastAsia="黑体"/>
          <w:b/>
          <w:bCs/>
          <w:kern w:val="2"/>
          <w:sz w:val="36"/>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upperRoman" w:start="1"/>
          <w:cols w:space="425" w:num="1"/>
          <w:titlePg/>
          <w:docGrid w:type="lines" w:linePitch="326" w:charSpace="0"/>
        </w:sectPr>
      </w:pPr>
      <w:r>
        <w:rPr>
          <w:rFonts w:eastAsia="黑体"/>
          <w:b/>
          <w:bCs/>
          <w:kern w:val="2"/>
          <w:sz w:val="36"/>
          <w:szCs w:val="32"/>
        </w:rPr>
        <w:br w:type="page"/>
      </w:r>
    </w:p>
    <w:p w14:paraId="6425B240">
      <w:pPr>
        <w:pStyle w:val="16"/>
        <w:jc w:val="center"/>
        <w:rPr>
          <w:rFonts w:ascii="Times New Roman" w:hAnsi="Times New Roman" w:cs="Times New Roman"/>
          <w:sz w:val="32"/>
          <w:szCs w:val="32"/>
        </w:rPr>
      </w:pPr>
      <w:r>
        <w:rPr>
          <w:rFonts w:ascii="Times New Roman" w:hAnsi="Times New Roman" w:cs="Times New Roman"/>
          <w:sz w:val="32"/>
          <w:szCs w:val="32"/>
        </w:rPr>
        <w:t>目  录</w:t>
      </w:r>
    </w:p>
    <w:p w14:paraId="3ADD327D">
      <w:pPr>
        <w:pStyle w:val="16"/>
        <w:tabs>
          <w:tab w:val="clear" w:pos="960"/>
        </w:tabs>
        <w:rPr>
          <w:rFonts w:asciiTheme="minorHAnsi" w:hAnsiTheme="minorHAnsi" w:eastAsiaTheme="minorEastAsia" w:cstheme="minorBidi"/>
          <w:b w:val="0"/>
          <w:bCs w:val="0"/>
          <w:caps w:val="0"/>
          <w:kern w:val="2"/>
          <w:sz w:val="21"/>
          <w:szCs w:val="22"/>
        </w:rPr>
      </w:pPr>
      <w:r>
        <w:rPr>
          <w:rFonts w:ascii="Times New Roman" w:hAnsi="Times New Roman" w:eastAsia="仿宋_GB2312" w:cs="Times New Roman"/>
          <w:b w:val="0"/>
          <w:bCs w:val="0"/>
        </w:rPr>
        <w:fldChar w:fldCharType="begin"/>
      </w:r>
      <w:r>
        <w:rPr>
          <w:rFonts w:ascii="Times New Roman" w:hAnsi="Times New Roman" w:eastAsia="仿宋_GB2312" w:cs="Times New Roman"/>
          <w:b w:val="0"/>
          <w:bCs w:val="0"/>
        </w:rPr>
        <w:instrText xml:space="preserve"> TOC \o "1-2" \h \z \u </w:instrText>
      </w:r>
      <w:r>
        <w:rPr>
          <w:rFonts w:ascii="Times New Roman" w:hAnsi="Times New Roman" w:eastAsia="仿宋_GB2312" w:cs="Times New Roman"/>
          <w:b w:val="0"/>
          <w:bCs w:val="0"/>
        </w:rPr>
        <w:fldChar w:fldCharType="separate"/>
      </w:r>
      <w:r>
        <w:fldChar w:fldCharType="begin"/>
      </w:r>
      <w:r>
        <w:instrText xml:space="preserve"> HYPERLINK \l "_Toc106901679" </w:instrText>
      </w:r>
      <w:r>
        <w:fldChar w:fldCharType="separate"/>
      </w:r>
      <w:r>
        <w:rPr>
          <w:rStyle w:val="31"/>
          <w:b w:val="0"/>
          <w:bCs w:val="0"/>
        </w:rPr>
        <w:t>前  言</w:t>
      </w:r>
      <w:r>
        <w:rPr>
          <w:b w:val="0"/>
          <w:bCs w:val="0"/>
        </w:rPr>
        <w:tab/>
      </w:r>
      <w:r>
        <w:rPr>
          <w:b w:val="0"/>
          <w:bCs w:val="0"/>
        </w:rPr>
        <w:t xml:space="preserve"> </w:t>
      </w:r>
      <w:r>
        <w:rPr>
          <w:b w:val="0"/>
          <w:bCs w:val="0"/>
        </w:rPr>
        <w:fldChar w:fldCharType="begin"/>
      </w:r>
      <w:r>
        <w:rPr>
          <w:b w:val="0"/>
          <w:bCs w:val="0"/>
        </w:rPr>
        <w:instrText xml:space="preserve"> PAGEREF _Toc106901679 \h </w:instrText>
      </w:r>
      <w:r>
        <w:rPr>
          <w:b w:val="0"/>
          <w:bCs w:val="0"/>
        </w:rPr>
        <w:fldChar w:fldCharType="separate"/>
      </w:r>
      <w:r>
        <w:rPr>
          <w:b w:val="0"/>
          <w:bCs w:val="0"/>
        </w:rPr>
        <w:t>1</w:t>
      </w:r>
      <w:r>
        <w:rPr>
          <w:b w:val="0"/>
          <w:bCs w:val="0"/>
        </w:rPr>
        <w:fldChar w:fldCharType="end"/>
      </w:r>
      <w:r>
        <w:rPr>
          <w:b w:val="0"/>
          <w:bCs w:val="0"/>
        </w:rPr>
        <w:fldChar w:fldCharType="end"/>
      </w:r>
    </w:p>
    <w:p w14:paraId="6C6477D5">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"_Toc106901680" </w:instrText>
      </w:r>
      <w:r>
        <w:fldChar w:fldCharType="separate"/>
      </w:r>
      <w:r>
        <w:rPr>
          <w:rStyle w:val="31"/>
          <w:rFonts w:hint="eastAsia" w:ascii="Times New Roman" w:hAnsi="Times New Roman" w:cs="Times New Roman"/>
          <w:b w:val="0"/>
          <w:bCs w:val="0"/>
        </w:rPr>
        <w:t>一、发展背景</w:t>
      </w:r>
      <w:r>
        <w:rPr>
          <w:b w:val="0"/>
          <w:bCs w:val="0"/>
        </w:rPr>
        <w:tab/>
      </w:r>
      <w:r>
        <w:rPr>
          <w:b w:val="0"/>
          <w:bCs w:val="0"/>
        </w:rPr>
        <w:fldChar w:fldCharType="begin"/>
      </w:r>
      <w:r>
        <w:rPr>
          <w:b w:val="0"/>
          <w:bCs w:val="0"/>
        </w:rPr>
        <w:instrText xml:space="preserve"> PAGEREF _Toc106901680 \h </w:instrText>
      </w:r>
      <w:r>
        <w:rPr>
          <w:b w:val="0"/>
          <w:bCs w:val="0"/>
        </w:rPr>
        <w:fldChar w:fldCharType="separate"/>
      </w:r>
      <w:r>
        <w:rPr>
          <w:b w:val="0"/>
          <w:bCs w:val="0"/>
        </w:rPr>
        <w:t>2</w:t>
      </w:r>
      <w:r>
        <w:rPr>
          <w:b w:val="0"/>
          <w:bCs w:val="0"/>
        </w:rPr>
        <w:fldChar w:fldCharType="end"/>
      </w:r>
      <w:r>
        <w:rPr>
          <w:b w:val="0"/>
          <w:bCs w:val="0"/>
        </w:rPr>
        <w:fldChar w:fldCharType="end"/>
      </w:r>
    </w:p>
    <w:p w14:paraId="3F691988">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"_Toc106901681" </w:instrText>
      </w:r>
      <w:r>
        <w:fldChar w:fldCharType="separate"/>
      </w:r>
      <w:r>
        <w:rPr>
          <w:rStyle w:val="31"/>
          <w:rFonts w:hint="eastAsia" w:ascii="Times New Roman" w:hAnsi="Times New Roman" w:cs="Times New Roman"/>
          <w:b w:val="0"/>
        </w:rPr>
        <w:t>（一）发展趋势</w:t>
      </w:r>
      <w:r>
        <w:rPr>
          <w:b w:val="0"/>
        </w:rPr>
        <w:tab/>
      </w:r>
      <w:r>
        <w:rPr>
          <w:b w:val="0"/>
        </w:rPr>
        <w:fldChar w:fldCharType="begin"/>
      </w:r>
      <w:r>
        <w:rPr>
          <w:b w:val="0"/>
        </w:rPr>
        <w:instrText xml:space="preserve"> PAGEREF _Toc106901681 \h </w:instrText>
      </w:r>
      <w:r>
        <w:rPr>
          <w:b w:val="0"/>
        </w:rPr>
        <w:fldChar w:fldCharType="separate"/>
      </w:r>
      <w:r>
        <w:rPr>
          <w:b w:val="0"/>
        </w:rPr>
        <w:t>2</w:t>
      </w:r>
      <w:r>
        <w:rPr>
          <w:b w:val="0"/>
        </w:rPr>
        <w:fldChar w:fldCharType="end"/>
      </w:r>
      <w:r>
        <w:rPr>
          <w:b w:val="0"/>
        </w:rPr>
        <w:fldChar w:fldCharType="end"/>
      </w:r>
    </w:p>
    <w:p w14:paraId="730D7AC9">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"_Toc106901682" </w:instrText>
      </w:r>
      <w:r>
        <w:fldChar w:fldCharType="separate"/>
      </w:r>
      <w:r>
        <w:rPr>
          <w:rStyle w:val="31"/>
          <w:rFonts w:hint="eastAsia" w:ascii="Times New Roman" w:hAnsi="Times New Roman" w:cs="Times New Roman"/>
          <w:b w:val="0"/>
        </w:rPr>
        <w:t>（二）发展基础</w:t>
      </w:r>
      <w:r>
        <w:rPr>
          <w:b w:val="0"/>
        </w:rPr>
        <w:tab/>
      </w:r>
      <w:r>
        <w:rPr>
          <w:b w:val="0"/>
        </w:rPr>
        <w:fldChar w:fldCharType="begin"/>
      </w:r>
      <w:r>
        <w:rPr>
          <w:b w:val="0"/>
        </w:rPr>
        <w:instrText xml:space="preserve"> PAGEREF _Toc106901682 \h </w:instrText>
      </w:r>
      <w:r>
        <w:rPr>
          <w:b w:val="0"/>
        </w:rPr>
        <w:fldChar w:fldCharType="separate"/>
      </w:r>
      <w:r>
        <w:rPr>
          <w:b w:val="0"/>
        </w:rPr>
        <w:t>5</w:t>
      </w:r>
      <w:r>
        <w:rPr>
          <w:b w:val="0"/>
        </w:rPr>
        <w:fldChar w:fldCharType="end"/>
      </w:r>
      <w:r>
        <w:rPr>
          <w:b w:val="0"/>
        </w:rPr>
        <w:fldChar w:fldCharType="end"/>
      </w:r>
    </w:p>
    <w:p w14:paraId="2F4CBB15">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"_Toc106901683" </w:instrText>
      </w:r>
      <w:r>
        <w:fldChar w:fldCharType="separate"/>
      </w:r>
      <w:r>
        <w:rPr>
          <w:rStyle w:val="31"/>
          <w:rFonts w:hint="eastAsia" w:ascii="Times New Roman" w:hAnsi="Times New Roman" w:cs="Times New Roman"/>
          <w:b w:val="0"/>
          <w:bCs w:val="0"/>
        </w:rPr>
        <w:t>二、总体思路</w:t>
      </w:r>
      <w:r>
        <w:rPr>
          <w:b w:val="0"/>
          <w:bCs w:val="0"/>
        </w:rPr>
        <w:tab/>
      </w:r>
      <w:r>
        <w:rPr>
          <w:b w:val="0"/>
          <w:bCs w:val="0"/>
        </w:rPr>
        <w:fldChar w:fldCharType="begin"/>
      </w:r>
      <w:r>
        <w:rPr>
          <w:b w:val="0"/>
          <w:bCs w:val="0"/>
        </w:rPr>
        <w:instrText xml:space="preserve"> PAGEREF _Toc106901683 \h </w:instrText>
      </w:r>
      <w:r>
        <w:rPr>
          <w:b w:val="0"/>
          <w:bCs w:val="0"/>
        </w:rPr>
        <w:fldChar w:fldCharType="separate"/>
      </w:r>
      <w:r>
        <w:rPr>
          <w:b w:val="0"/>
          <w:bCs w:val="0"/>
        </w:rPr>
        <w:t>13</w:t>
      </w:r>
      <w:r>
        <w:rPr>
          <w:b w:val="0"/>
          <w:bCs w:val="0"/>
        </w:rPr>
        <w:fldChar w:fldCharType="end"/>
      </w:r>
      <w:r>
        <w:rPr>
          <w:b w:val="0"/>
          <w:bCs w:val="0"/>
        </w:rPr>
        <w:fldChar w:fldCharType="end"/>
      </w:r>
    </w:p>
    <w:p w14:paraId="380E14E6">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"_Toc106901684" </w:instrText>
      </w:r>
      <w:r>
        <w:fldChar w:fldCharType="separate"/>
      </w:r>
      <w:r>
        <w:rPr>
          <w:rStyle w:val="31"/>
          <w:rFonts w:hint="eastAsia" w:ascii="Times New Roman" w:hAnsi="Times New Roman" w:cs="Times New Roman"/>
          <w:b w:val="0"/>
        </w:rPr>
        <w:t>（一）指导思想</w:t>
      </w:r>
      <w:r>
        <w:rPr>
          <w:b w:val="0"/>
        </w:rPr>
        <w:tab/>
      </w:r>
      <w:r>
        <w:rPr>
          <w:b w:val="0"/>
        </w:rPr>
        <w:fldChar w:fldCharType="begin"/>
      </w:r>
      <w:r>
        <w:rPr>
          <w:b w:val="0"/>
        </w:rPr>
        <w:instrText xml:space="preserve"> PAGEREF _Toc106901684 \h </w:instrText>
      </w:r>
      <w:r>
        <w:rPr>
          <w:b w:val="0"/>
        </w:rPr>
        <w:fldChar w:fldCharType="separate"/>
      </w:r>
      <w:r>
        <w:rPr>
          <w:b w:val="0"/>
        </w:rPr>
        <w:t>13</w:t>
      </w:r>
      <w:r>
        <w:rPr>
          <w:b w:val="0"/>
        </w:rPr>
        <w:fldChar w:fldCharType="end"/>
      </w:r>
      <w:r>
        <w:rPr>
          <w:b w:val="0"/>
        </w:rPr>
        <w:fldChar w:fldCharType="end"/>
      </w:r>
    </w:p>
    <w:p w14:paraId="6E1A51C2">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"_Toc106901685" </w:instrText>
      </w:r>
      <w:r>
        <w:fldChar w:fldCharType="separate"/>
      </w:r>
      <w:r>
        <w:rPr>
          <w:rStyle w:val="31"/>
          <w:rFonts w:hint="eastAsia" w:ascii="Times New Roman" w:hAnsi="Times New Roman" w:cs="Times New Roman"/>
          <w:b w:val="0"/>
        </w:rPr>
        <w:t>（二）发展原则</w:t>
      </w:r>
      <w:r>
        <w:rPr>
          <w:b w:val="0"/>
        </w:rPr>
        <w:tab/>
      </w:r>
      <w:r>
        <w:rPr>
          <w:b w:val="0"/>
        </w:rPr>
        <w:fldChar w:fldCharType="begin"/>
      </w:r>
      <w:r>
        <w:rPr>
          <w:b w:val="0"/>
        </w:rPr>
        <w:instrText xml:space="preserve"> PAGEREF _Toc106901685 \h </w:instrText>
      </w:r>
      <w:r>
        <w:rPr>
          <w:b w:val="0"/>
        </w:rPr>
        <w:fldChar w:fldCharType="separate"/>
      </w:r>
      <w:r>
        <w:rPr>
          <w:b w:val="0"/>
        </w:rPr>
        <w:t>13</w:t>
      </w:r>
      <w:r>
        <w:rPr>
          <w:b w:val="0"/>
        </w:rPr>
        <w:fldChar w:fldCharType="end"/>
      </w:r>
      <w:r>
        <w:rPr>
          <w:b w:val="0"/>
        </w:rPr>
        <w:fldChar w:fldCharType="end"/>
      </w:r>
    </w:p>
    <w:p w14:paraId="08E200CF">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"_Toc106901686" </w:instrText>
      </w:r>
      <w:r>
        <w:fldChar w:fldCharType="separate"/>
      </w:r>
      <w:r>
        <w:rPr>
          <w:rStyle w:val="31"/>
          <w:rFonts w:hint="eastAsia" w:ascii="Times New Roman" w:hAnsi="Times New Roman" w:cs="Times New Roman"/>
          <w:b w:val="0"/>
        </w:rPr>
        <w:t>（三）发展目标</w:t>
      </w:r>
      <w:r>
        <w:rPr>
          <w:b w:val="0"/>
        </w:rPr>
        <w:tab/>
      </w:r>
      <w:r>
        <w:rPr>
          <w:b w:val="0"/>
        </w:rPr>
        <w:fldChar w:fldCharType="begin"/>
      </w:r>
      <w:r>
        <w:rPr>
          <w:b w:val="0"/>
        </w:rPr>
        <w:instrText xml:space="preserve"> PAGEREF _Toc106901686 \h </w:instrText>
      </w:r>
      <w:r>
        <w:rPr>
          <w:b w:val="0"/>
        </w:rPr>
        <w:fldChar w:fldCharType="separate"/>
      </w:r>
      <w:r>
        <w:rPr>
          <w:b w:val="0"/>
        </w:rPr>
        <w:t>14</w:t>
      </w:r>
      <w:r>
        <w:rPr>
          <w:b w:val="0"/>
        </w:rPr>
        <w:fldChar w:fldCharType="end"/>
      </w:r>
      <w:r>
        <w:rPr>
          <w:b w:val="0"/>
        </w:rPr>
        <w:fldChar w:fldCharType="end"/>
      </w:r>
    </w:p>
    <w:p w14:paraId="52F6FBAF">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"_Toc106901687" </w:instrText>
      </w:r>
      <w:r>
        <w:fldChar w:fldCharType="separate"/>
      </w:r>
      <w:r>
        <w:rPr>
          <w:rFonts w:hint="eastAsia"/>
          <w:lang w:eastAsia="zh"/>
        </w:rPr>
        <w:t>三</w:t>
      </w:r>
      <w:r>
        <w:rPr>
          <w:rStyle w:val="31"/>
          <w:rFonts w:hint="eastAsia" w:ascii="Times New Roman" w:hAnsi="Times New Roman" w:cs="Times New Roman"/>
          <w:b w:val="0"/>
          <w:bCs w:val="0"/>
        </w:rPr>
        <w:t>、工作任务</w:t>
      </w:r>
      <w:r>
        <w:rPr>
          <w:b w:val="0"/>
          <w:bCs w:val="0"/>
        </w:rPr>
        <w:tab/>
      </w:r>
      <w:r>
        <w:rPr>
          <w:b w:val="0"/>
          <w:bCs w:val="0"/>
        </w:rPr>
        <w:fldChar w:fldCharType="begin"/>
      </w:r>
      <w:r>
        <w:rPr>
          <w:b w:val="0"/>
          <w:bCs w:val="0"/>
        </w:rPr>
        <w:instrText xml:space="preserve"> PAGEREF _Toc106901687 \h </w:instrText>
      </w:r>
      <w:r>
        <w:rPr>
          <w:b w:val="0"/>
          <w:bCs w:val="0"/>
        </w:rPr>
        <w:fldChar w:fldCharType="separate"/>
      </w:r>
      <w:r>
        <w:rPr>
          <w:b w:val="0"/>
          <w:bCs w:val="0"/>
        </w:rPr>
        <w:t>17</w:t>
      </w:r>
      <w:r>
        <w:rPr>
          <w:b w:val="0"/>
          <w:bCs w:val="0"/>
        </w:rPr>
        <w:fldChar w:fldCharType="end"/>
      </w:r>
      <w:r>
        <w:rPr>
          <w:b w:val="0"/>
          <w:bCs w:val="0"/>
        </w:rPr>
        <w:fldChar w:fldCharType="end"/>
      </w:r>
    </w:p>
    <w:p w14:paraId="162AF271">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"_Toc106901688" </w:instrText>
      </w:r>
      <w:r>
        <w:fldChar w:fldCharType="separate"/>
      </w:r>
      <w:r>
        <w:rPr>
          <w:rStyle w:val="31"/>
          <w:rFonts w:hint="eastAsia" w:ascii="Times New Roman" w:hAnsi="Times New Roman" w:cs="Times New Roman"/>
          <w:b w:val="0"/>
        </w:rPr>
        <w:t>（一）打造</w:t>
      </w:r>
      <w:r>
        <w:rPr>
          <w:rStyle w:val="31"/>
          <w:rFonts w:ascii="Times New Roman" w:hAnsi="Times New Roman" w:cs="Times New Roman"/>
          <w:b w:val="0"/>
        </w:rPr>
        <w:t>“221”</w:t>
      </w:r>
      <w:r>
        <w:rPr>
          <w:rStyle w:val="31"/>
          <w:rFonts w:hint="eastAsia" w:ascii="Times New Roman" w:hAnsi="Times New Roman" w:cs="Times New Roman"/>
          <w:b w:val="0"/>
        </w:rPr>
        <w:t>现代产业体系</w:t>
      </w:r>
      <w:r>
        <w:rPr>
          <w:b w:val="0"/>
        </w:rPr>
        <w:tab/>
      </w:r>
      <w:r>
        <w:rPr>
          <w:b w:val="0"/>
        </w:rPr>
        <w:fldChar w:fldCharType="begin"/>
      </w:r>
      <w:r>
        <w:rPr>
          <w:b w:val="0"/>
        </w:rPr>
        <w:instrText xml:space="preserve"> PAGEREF _Toc106901688 \h </w:instrText>
      </w:r>
      <w:r>
        <w:rPr>
          <w:b w:val="0"/>
        </w:rPr>
        <w:fldChar w:fldCharType="separate"/>
      </w:r>
      <w:r>
        <w:rPr>
          <w:b w:val="0"/>
        </w:rPr>
        <w:t>17</w:t>
      </w:r>
      <w:r>
        <w:rPr>
          <w:b w:val="0"/>
        </w:rPr>
        <w:fldChar w:fldCharType="end"/>
      </w:r>
      <w:r>
        <w:rPr>
          <w:b w:val="0"/>
        </w:rPr>
        <w:fldChar w:fldCharType="end"/>
      </w:r>
    </w:p>
    <w:p w14:paraId="69EA100A">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"_Toc106901689" </w:instrText>
      </w:r>
      <w:r>
        <w:fldChar w:fldCharType="separate"/>
      </w:r>
      <w:r>
        <w:rPr>
          <w:rStyle w:val="31"/>
          <w:rFonts w:hint="eastAsia" w:ascii="Times New Roman" w:hAnsi="Times New Roman" w:cs="Times New Roman"/>
          <w:b w:val="0"/>
        </w:rPr>
        <w:t>（二）构建</w:t>
      </w:r>
      <w:r>
        <w:rPr>
          <w:rStyle w:val="31"/>
          <w:rFonts w:ascii="Times New Roman" w:hAnsi="Times New Roman" w:cs="Times New Roman"/>
          <w:b w:val="0"/>
        </w:rPr>
        <w:t>“</w:t>
      </w:r>
      <w:r>
        <w:rPr>
          <w:rStyle w:val="31"/>
          <w:rFonts w:hint="eastAsia" w:ascii="Times New Roman" w:hAnsi="Times New Roman" w:cs="Times New Roman"/>
          <w:b w:val="0"/>
        </w:rPr>
        <w:t>一核两区多园</w:t>
      </w:r>
      <w:r>
        <w:rPr>
          <w:rStyle w:val="31"/>
          <w:rFonts w:ascii="Times New Roman" w:hAnsi="Times New Roman" w:cs="Times New Roman"/>
          <w:b w:val="0"/>
        </w:rPr>
        <w:t>”</w:t>
      </w:r>
      <w:r>
        <w:rPr>
          <w:rStyle w:val="31"/>
          <w:rFonts w:hint="eastAsia" w:ascii="Times New Roman" w:hAnsi="Times New Roman" w:cs="Times New Roman"/>
          <w:b w:val="0"/>
        </w:rPr>
        <w:t>产业空间格局</w:t>
      </w:r>
      <w:r>
        <w:rPr>
          <w:b w:val="0"/>
        </w:rPr>
        <w:tab/>
      </w:r>
      <w:r>
        <w:rPr>
          <w:b w:val="0"/>
        </w:rPr>
        <w:fldChar w:fldCharType="begin"/>
      </w:r>
      <w:r>
        <w:rPr>
          <w:b w:val="0"/>
        </w:rPr>
        <w:instrText xml:space="preserve"> PAGEREF _Toc106901689 \h </w:instrText>
      </w:r>
      <w:r>
        <w:rPr>
          <w:b w:val="0"/>
        </w:rPr>
        <w:fldChar w:fldCharType="separate"/>
      </w:r>
      <w:r>
        <w:rPr>
          <w:b w:val="0"/>
        </w:rPr>
        <w:t>49</w:t>
      </w:r>
      <w:r>
        <w:rPr>
          <w:b w:val="0"/>
        </w:rPr>
        <w:fldChar w:fldCharType="end"/>
      </w:r>
      <w:r>
        <w:rPr>
          <w:b w:val="0"/>
        </w:rPr>
        <w:fldChar w:fldCharType="end"/>
      </w:r>
    </w:p>
    <w:p w14:paraId="1BD11D73">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"_Toc106901690" </w:instrText>
      </w:r>
      <w:r>
        <w:fldChar w:fldCharType="separate"/>
      </w:r>
      <w:r>
        <w:rPr>
          <w:rStyle w:val="31"/>
          <w:rFonts w:hint="eastAsia" w:ascii="Times New Roman" w:hAnsi="Times New Roman" w:cs="Times New Roman"/>
          <w:b w:val="0"/>
        </w:rPr>
        <w:t>（三）完善企业梯度培育体系</w:t>
      </w:r>
      <w:r>
        <w:rPr>
          <w:b w:val="0"/>
        </w:rPr>
        <w:tab/>
      </w:r>
      <w:r>
        <w:rPr>
          <w:b w:val="0"/>
        </w:rPr>
        <w:fldChar w:fldCharType="begin"/>
      </w:r>
      <w:r>
        <w:rPr>
          <w:b w:val="0"/>
        </w:rPr>
        <w:instrText xml:space="preserve"> PAGEREF _Toc106901690 \h </w:instrText>
      </w:r>
      <w:r>
        <w:rPr>
          <w:b w:val="0"/>
        </w:rPr>
        <w:fldChar w:fldCharType="separate"/>
      </w:r>
      <w:r>
        <w:rPr>
          <w:b w:val="0"/>
        </w:rPr>
        <w:t>56</w:t>
      </w:r>
      <w:r>
        <w:rPr>
          <w:b w:val="0"/>
        </w:rPr>
        <w:fldChar w:fldCharType="end"/>
      </w:r>
      <w:r>
        <w:rPr>
          <w:b w:val="0"/>
        </w:rPr>
        <w:fldChar w:fldCharType="end"/>
      </w:r>
    </w:p>
    <w:p w14:paraId="65DBD5F8">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"_Toc106901691" </w:instrText>
      </w:r>
      <w:r>
        <w:fldChar w:fldCharType="separate"/>
      </w:r>
      <w:r>
        <w:rPr>
          <w:rStyle w:val="31"/>
          <w:rFonts w:hint="eastAsia" w:ascii="Times New Roman" w:hAnsi="Times New Roman" w:cs="Times New Roman"/>
          <w:b w:val="0"/>
        </w:rPr>
        <w:t>（四）强化产业人才队伍建设</w:t>
      </w:r>
      <w:r>
        <w:rPr>
          <w:b w:val="0"/>
        </w:rPr>
        <w:tab/>
      </w:r>
      <w:r>
        <w:rPr>
          <w:b w:val="0"/>
        </w:rPr>
        <w:fldChar w:fldCharType="begin"/>
      </w:r>
      <w:r>
        <w:rPr>
          <w:b w:val="0"/>
        </w:rPr>
        <w:instrText xml:space="preserve"> PAGEREF _Toc106901691 \h </w:instrText>
      </w:r>
      <w:r>
        <w:rPr>
          <w:b w:val="0"/>
        </w:rPr>
        <w:fldChar w:fldCharType="separate"/>
      </w:r>
      <w:r>
        <w:rPr>
          <w:b w:val="0"/>
        </w:rPr>
        <w:t>57</w:t>
      </w:r>
      <w:r>
        <w:rPr>
          <w:b w:val="0"/>
        </w:rPr>
        <w:fldChar w:fldCharType="end"/>
      </w:r>
      <w:r>
        <w:rPr>
          <w:b w:val="0"/>
        </w:rPr>
        <w:fldChar w:fldCharType="end"/>
      </w:r>
    </w:p>
    <w:p w14:paraId="2F8F51CD">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"_Toc106901692" </w:instrText>
      </w:r>
      <w:r>
        <w:fldChar w:fldCharType="separate"/>
      </w:r>
      <w:r>
        <w:rPr>
          <w:rStyle w:val="31"/>
          <w:rFonts w:hint="eastAsia" w:ascii="Times New Roman" w:hAnsi="Times New Roman" w:cs="Times New Roman"/>
          <w:b w:val="0"/>
        </w:rPr>
        <w:t>（五）夯实招商工作根基</w:t>
      </w:r>
      <w:r>
        <w:rPr>
          <w:b w:val="0"/>
        </w:rPr>
        <w:tab/>
      </w:r>
      <w:r>
        <w:rPr>
          <w:b w:val="0"/>
        </w:rPr>
        <w:fldChar w:fldCharType="begin"/>
      </w:r>
      <w:r>
        <w:rPr>
          <w:b w:val="0"/>
        </w:rPr>
        <w:instrText xml:space="preserve"> PAGEREF _Toc106901692 \h </w:instrText>
      </w:r>
      <w:r>
        <w:rPr>
          <w:b w:val="0"/>
        </w:rPr>
        <w:fldChar w:fldCharType="separate"/>
      </w:r>
      <w:r>
        <w:rPr>
          <w:b w:val="0"/>
        </w:rPr>
        <w:t>58</w:t>
      </w:r>
      <w:r>
        <w:rPr>
          <w:b w:val="0"/>
        </w:rPr>
        <w:fldChar w:fldCharType="end"/>
      </w:r>
      <w:r>
        <w:rPr>
          <w:b w:val="0"/>
        </w:rPr>
        <w:fldChar w:fldCharType="end"/>
      </w:r>
    </w:p>
    <w:p w14:paraId="7C66C8EF">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"_Toc106901693" </w:instrText>
      </w:r>
      <w:r>
        <w:fldChar w:fldCharType="separate"/>
      </w:r>
      <w:r>
        <w:rPr>
          <w:rStyle w:val="31"/>
          <w:rFonts w:hint="eastAsia" w:ascii="Times New Roman" w:hAnsi="Times New Roman" w:cs="Times New Roman"/>
          <w:b w:val="0"/>
        </w:rPr>
        <w:t>（六）建设数字绿色园区</w:t>
      </w:r>
      <w:r>
        <w:rPr>
          <w:b w:val="0"/>
        </w:rPr>
        <w:tab/>
      </w:r>
      <w:r>
        <w:rPr>
          <w:b w:val="0"/>
        </w:rPr>
        <w:fldChar w:fldCharType="begin"/>
      </w:r>
      <w:r>
        <w:rPr>
          <w:b w:val="0"/>
        </w:rPr>
        <w:instrText xml:space="preserve"> PAGEREF _Toc106901693 \h </w:instrText>
      </w:r>
      <w:r>
        <w:rPr>
          <w:b w:val="0"/>
        </w:rPr>
        <w:fldChar w:fldCharType="separate"/>
      </w:r>
      <w:r>
        <w:rPr>
          <w:b w:val="0"/>
        </w:rPr>
        <w:t>59</w:t>
      </w:r>
      <w:r>
        <w:rPr>
          <w:b w:val="0"/>
        </w:rPr>
        <w:fldChar w:fldCharType="end"/>
      </w:r>
      <w:r>
        <w:rPr>
          <w:b w:val="0"/>
        </w:rPr>
        <w:fldChar w:fldCharType="end"/>
      </w:r>
    </w:p>
    <w:p w14:paraId="58334C2C">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"_Toc106901694" </w:instrText>
      </w:r>
      <w:r>
        <w:fldChar w:fldCharType="separate"/>
      </w:r>
      <w:r>
        <w:rPr>
          <w:rStyle w:val="31"/>
          <w:rFonts w:hint="eastAsia" w:ascii="Times New Roman" w:hAnsi="Times New Roman" w:cs="Times New Roman"/>
          <w:b w:val="0"/>
        </w:rPr>
        <w:t>（七）优化产业服务体系</w:t>
      </w:r>
      <w:r>
        <w:rPr>
          <w:b w:val="0"/>
        </w:rPr>
        <w:tab/>
      </w:r>
      <w:r>
        <w:rPr>
          <w:b w:val="0"/>
        </w:rPr>
        <w:fldChar w:fldCharType="begin"/>
      </w:r>
      <w:r>
        <w:rPr>
          <w:b w:val="0"/>
        </w:rPr>
        <w:instrText xml:space="preserve"> PAGEREF _Toc106901694 \h </w:instrText>
      </w:r>
      <w:r>
        <w:rPr>
          <w:b w:val="0"/>
        </w:rPr>
        <w:fldChar w:fldCharType="separate"/>
      </w:r>
      <w:r>
        <w:rPr>
          <w:b w:val="0"/>
        </w:rPr>
        <w:t>60</w:t>
      </w:r>
      <w:r>
        <w:rPr>
          <w:b w:val="0"/>
        </w:rPr>
        <w:fldChar w:fldCharType="end"/>
      </w:r>
      <w:r>
        <w:rPr>
          <w:b w:val="0"/>
        </w:rPr>
        <w:fldChar w:fldCharType="end"/>
      </w:r>
    </w:p>
    <w:p w14:paraId="42FFADB0">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"_Toc106901695" </w:instrText>
      </w:r>
      <w:r>
        <w:fldChar w:fldCharType="separate"/>
      </w:r>
      <w:r>
        <w:rPr>
          <w:rFonts w:hint="eastAsia"/>
          <w:lang w:eastAsia="zh"/>
        </w:rPr>
        <w:t>四</w:t>
      </w:r>
      <w:r>
        <w:rPr>
          <w:rStyle w:val="31"/>
          <w:rFonts w:hint="eastAsia" w:ascii="Times New Roman" w:hAnsi="Times New Roman" w:cs="Times New Roman"/>
          <w:b w:val="0"/>
          <w:bCs w:val="0"/>
        </w:rPr>
        <w:t>、保障措施</w:t>
      </w:r>
      <w:r>
        <w:rPr>
          <w:b w:val="0"/>
          <w:bCs w:val="0"/>
        </w:rPr>
        <w:tab/>
      </w:r>
      <w:r>
        <w:rPr>
          <w:b w:val="0"/>
          <w:bCs w:val="0"/>
        </w:rPr>
        <w:fldChar w:fldCharType="begin"/>
      </w:r>
      <w:r>
        <w:rPr>
          <w:b w:val="0"/>
          <w:bCs w:val="0"/>
        </w:rPr>
        <w:instrText xml:space="preserve"> PAGEREF _Toc106901695 \h </w:instrText>
      </w:r>
      <w:r>
        <w:rPr>
          <w:b w:val="0"/>
          <w:bCs w:val="0"/>
        </w:rPr>
        <w:fldChar w:fldCharType="separate"/>
      </w:r>
      <w:r>
        <w:rPr>
          <w:b w:val="0"/>
          <w:bCs w:val="0"/>
        </w:rPr>
        <w:t>61</w:t>
      </w:r>
      <w:r>
        <w:rPr>
          <w:b w:val="0"/>
          <w:bCs w:val="0"/>
        </w:rPr>
        <w:fldChar w:fldCharType="end"/>
      </w:r>
      <w:r>
        <w:rPr>
          <w:b w:val="0"/>
          <w:bCs w:val="0"/>
        </w:rPr>
        <w:fldChar w:fldCharType="end"/>
      </w:r>
    </w:p>
    <w:p w14:paraId="0A001255">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"_Toc106901696" </w:instrText>
      </w:r>
      <w:r>
        <w:fldChar w:fldCharType="separate"/>
      </w:r>
      <w:r>
        <w:rPr>
          <w:rStyle w:val="31"/>
          <w:rFonts w:hint="eastAsia" w:ascii="Times New Roman" w:hAnsi="Times New Roman" w:cs="Times New Roman"/>
          <w:b w:val="0"/>
        </w:rPr>
        <w:t>（一）强化组织领导保障</w:t>
      </w:r>
      <w:r>
        <w:rPr>
          <w:b w:val="0"/>
        </w:rPr>
        <w:tab/>
      </w:r>
      <w:r>
        <w:rPr>
          <w:b w:val="0"/>
        </w:rPr>
        <w:fldChar w:fldCharType="begin"/>
      </w:r>
      <w:r>
        <w:rPr>
          <w:b w:val="0"/>
        </w:rPr>
        <w:instrText xml:space="preserve"> PAGEREF _Toc106901696 \h </w:instrText>
      </w:r>
      <w:r>
        <w:rPr>
          <w:b w:val="0"/>
        </w:rPr>
        <w:fldChar w:fldCharType="separate"/>
      </w:r>
      <w:r>
        <w:rPr>
          <w:b w:val="0"/>
        </w:rPr>
        <w:t>61</w:t>
      </w:r>
      <w:r>
        <w:rPr>
          <w:b w:val="0"/>
        </w:rPr>
        <w:fldChar w:fldCharType="end"/>
      </w:r>
      <w:r>
        <w:rPr>
          <w:b w:val="0"/>
        </w:rPr>
        <w:fldChar w:fldCharType="end"/>
      </w:r>
    </w:p>
    <w:p w14:paraId="38440D46">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"_Toc106901697" </w:instrText>
      </w:r>
      <w:r>
        <w:fldChar w:fldCharType="separate"/>
      </w:r>
      <w:r>
        <w:rPr>
          <w:rStyle w:val="31"/>
          <w:rFonts w:hint="eastAsia" w:ascii="Times New Roman" w:hAnsi="Times New Roman" w:cs="Times New Roman"/>
          <w:b w:val="0"/>
        </w:rPr>
        <w:t>（二）强化资金投入保障</w:t>
      </w:r>
      <w:r>
        <w:rPr>
          <w:b w:val="0"/>
        </w:rPr>
        <w:tab/>
      </w:r>
      <w:r>
        <w:rPr>
          <w:b w:val="0"/>
        </w:rPr>
        <w:fldChar w:fldCharType="begin"/>
      </w:r>
      <w:r>
        <w:rPr>
          <w:b w:val="0"/>
        </w:rPr>
        <w:instrText xml:space="preserve"> PAGEREF _Toc106901697 \h </w:instrText>
      </w:r>
      <w:r>
        <w:rPr>
          <w:b w:val="0"/>
        </w:rPr>
        <w:fldChar w:fldCharType="separate"/>
      </w:r>
      <w:r>
        <w:rPr>
          <w:b w:val="0"/>
        </w:rPr>
        <w:t>62</w:t>
      </w:r>
      <w:r>
        <w:rPr>
          <w:b w:val="0"/>
        </w:rPr>
        <w:fldChar w:fldCharType="end"/>
      </w:r>
      <w:r>
        <w:rPr>
          <w:b w:val="0"/>
        </w:rPr>
        <w:fldChar w:fldCharType="end"/>
      </w:r>
    </w:p>
    <w:p w14:paraId="380C7650">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"_Toc106901698" </w:instrText>
      </w:r>
      <w:r>
        <w:fldChar w:fldCharType="separate"/>
      </w:r>
      <w:r>
        <w:rPr>
          <w:rStyle w:val="31"/>
          <w:rFonts w:hint="eastAsia" w:ascii="Times New Roman" w:hAnsi="Times New Roman" w:cs="Times New Roman"/>
          <w:b w:val="0"/>
        </w:rPr>
        <w:t>（三）强化土地要素保障</w:t>
      </w:r>
      <w:r>
        <w:rPr>
          <w:b w:val="0"/>
        </w:rPr>
        <w:tab/>
      </w:r>
      <w:r>
        <w:rPr>
          <w:b w:val="0"/>
        </w:rPr>
        <w:fldChar w:fldCharType="begin"/>
      </w:r>
      <w:r>
        <w:rPr>
          <w:b w:val="0"/>
        </w:rPr>
        <w:instrText xml:space="preserve"> PAGEREF _Toc106901698 \h </w:instrText>
      </w:r>
      <w:r>
        <w:rPr>
          <w:b w:val="0"/>
        </w:rPr>
        <w:fldChar w:fldCharType="separate"/>
      </w:r>
      <w:r>
        <w:rPr>
          <w:b w:val="0"/>
        </w:rPr>
        <w:t>62</w:t>
      </w:r>
      <w:r>
        <w:rPr>
          <w:b w:val="0"/>
        </w:rPr>
        <w:fldChar w:fldCharType="end"/>
      </w:r>
      <w:r>
        <w:rPr>
          <w:b w:val="0"/>
        </w:rPr>
        <w:fldChar w:fldCharType="end"/>
      </w:r>
    </w:p>
    <w:p w14:paraId="68CBEF67">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"_Toc106901699" </w:instrText>
      </w:r>
      <w:r>
        <w:fldChar w:fldCharType="separate"/>
      </w:r>
      <w:r>
        <w:rPr>
          <w:rStyle w:val="31"/>
          <w:rFonts w:hint="eastAsia" w:ascii="Times New Roman" w:hAnsi="Times New Roman" w:cs="Times New Roman"/>
          <w:b w:val="0"/>
          <w:bCs w:val="0"/>
        </w:rPr>
        <w:t>附件一</w:t>
      </w:r>
      <w:r>
        <w:rPr>
          <w:rStyle w:val="31"/>
          <w:rFonts w:ascii="Times New Roman" w:hAnsi="Times New Roman" w:cs="Times New Roman"/>
          <w:b w:val="0"/>
          <w:bCs w:val="0"/>
        </w:rPr>
        <w:t xml:space="preserve"> </w:t>
      </w:r>
      <w:r>
        <w:rPr>
          <w:rStyle w:val="31"/>
          <w:rFonts w:hint="eastAsia" w:ascii="Times New Roman" w:hAnsi="Times New Roman" w:cs="Times New Roman"/>
          <w:b w:val="0"/>
          <w:bCs w:val="0"/>
        </w:rPr>
        <w:t>玉溪高新区产业发展汇总表</w:t>
      </w:r>
      <w:r>
        <w:rPr>
          <w:b w:val="0"/>
          <w:bCs w:val="0"/>
        </w:rPr>
        <w:tab/>
      </w:r>
      <w:r>
        <w:rPr>
          <w:b w:val="0"/>
          <w:bCs w:val="0"/>
        </w:rPr>
        <w:fldChar w:fldCharType="begin"/>
      </w:r>
      <w:r>
        <w:rPr>
          <w:b w:val="0"/>
          <w:bCs w:val="0"/>
        </w:rPr>
        <w:instrText xml:space="preserve"> PAGEREF _Toc106901699 \h </w:instrText>
      </w:r>
      <w:r>
        <w:rPr>
          <w:b w:val="0"/>
          <w:bCs w:val="0"/>
        </w:rPr>
        <w:fldChar w:fldCharType="separate"/>
      </w:r>
      <w:r>
        <w:rPr>
          <w:b w:val="0"/>
          <w:bCs w:val="0"/>
        </w:rPr>
        <w:t>64</w:t>
      </w:r>
      <w:r>
        <w:rPr>
          <w:b w:val="0"/>
          <w:bCs w:val="0"/>
        </w:rPr>
        <w:fldChar w:fldCharType="end"/>
      </w:r>
      <w:r>
        <w:rPr>
          <w:b w:val="0"/>
          <w:bCs w:val="0"/>
        </w:rPr>
        <w:fldChar w:fldCharType="end"/>
      </w:r>
    </w:p>
    <w:p w14:paraId="3BEE9C3B">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"_Toc106901700" </w:instrText>
      </w:r>
      <w:r>
        <w:fldChar w:fldCharType="separate"/>
      </w:r>
      <w:r>
        <w:rPr>
          <w:rStyle w:val="31"/>
          <w:rFonts w:hint="eastAsia" w:ascii="Times New Roman" w:hAnsi="Times New Roman" w:cs="Times New Roman"/>
          <w:b w:val="0"/>
          <w:bCs w:val="0"/>
        </w:rPr>
        <w:t>附件二：十大创新平台及十大产业载体</w:t>
      </w:r>
      <w:r>
        <w:rPr>
          <w:b w:val="0"/>
          <w:bCs w:val="0"/>
        </w:rPr>
        <w:tab/>
      </w:r>
      <w:r>
        <w:rPr>
          <w:b w:val="0"/>
          <w:bCs w:val="0"/>
        </w:rPr>
        <w:fldChar w:fldCharType="begin"/>
      </w:r>
      <w:r>
        <w:rPr>
          <w:b w:val="0"/>
          <w:bCs w:val="0"/>
        </w:rPr>
        <w:instrText xml:space="preserve"> PAGEREF _Toc106901700 \h </w:instrText>
      </w:r>
      <w:r>
        <w:rPr>
          <w:b w:val="0"/>
          <w:bCs w:val="0"/>
        </w:rPr>
        <w:fldChar w:fldCharType="separate"/>
      </w:r>
      <w:r>
        <w:rPr>
          <w:b w:val="0"/>
          <w:bCs w:val="0"/>
        </w:rPr>
        <w:t>68</w:t>
      </w:r>
      <w:r>
        <w:rPr>
          <w:b w:val="0"/>
          <w:bCs w:val="0"/>
        </w:rPr>
        <w:fldChar w:fldCharType="end"/>
      </w:r>
      <w:r>
        <w:rPr>
          <w:b w:val="0"/>
          <w:bCs w:val="0"/>
        </w:rPr>
        <w:fldChar w:fldCharType="end"/>
      </w:r>
    </w:p>
    <w:p w14:paraId="39D11D56">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"_Toc106901701" </w:instrText>
      </w:r>
      <w:r>
        <w:fldChar w:fldCharType="separate"/>
      </w:r>
      <w:r>
        <w:rPr>
          <w:rStyle w:val="31"/>
          <w:rFonts w:hint="eastAsia" w:ascii="Times New Roman" w:hAnsi="Times New Roman" w:cs="Times New Roman"/>
          <w:b w:val="0"/>
        </w:rPr>
        <w:t>（一）十大创新平台</w:t>
      </w:r>
      <w:r>
        <w:rPr>
          <w:b w:val="0"/>
        </w:rPr>
        <w:tab/>
      </w:r>
      <w:r>
        <w:rPr>
          <w:b w:val="0"/>
        </w:rPr>
        <w:fldChar w:fldCharType="begin"/>
      </w:r>
      <w:r>
        <w:rPr>
          <w:b w:val="0"/>
        </w:rPr>
        <w:instrText xml:space="preserve"> PAGEREF _Toc106901701 \h </w:instrText>
      </w:r>
      <w:r>
        <w:rPr>
          <w:b w:val="0"/>
        </w:rPr>
        <w:fldChar w:fldCharType="separate"/>
      </w:r>
      <w:r>
        <w:rPr>
          <w:b w:val="0"/>
        </w:rPr>
        <w:t>68</w:t>
      </w:r>
      <w:r>
        <w:rPr>
          <w:b w:val="0"/>
        </w:rPr>
        <w:fldChar w:fldCharType="end"/>
      </w:r>
      <w:r>
        <w:rPr>
          <w:b w:val="0"/>
        </w:rPr>
        <w:fldChar w:fldCharType="end"/>
      </w:r>
    </w:p>
    <w:p w14:paraId="7CF2413C">
      <w:pPr>
        <w:pStyle w:val="20"/>
        <w:rPr>
          <w:rFonts w:asciiTheme="minorHAnsi" w:hAnsiTheme="minorHAnsi" w:eastAsiaTheme="minorEastAsia" w:cstheme="minorBidi"/>
          <w:b w:val="0"/>
          <w:smallCaps w:val="0"/>
          <w:kern w:val="2"/>
          <w:sz w:val="21"/>
          <w:szCs w:val="22"/>
        </w:rPr>
      </w:pPr>
      <w:r>
        <w:fldChar w:fldCharType="begin"/>
      </w:r>
      <w:r>
        <w:instrText xml:space="preserve"> HYPERLINK \l "_Toc106901702" </w:instrText>
      </w:r>
      <w:r>
        <w:fldChar w:fldCharType="separate"/>
      </w:r>
      <w:r>
        <w:rPr>
          <w:rStyle w:val="31"/>
          <w:rFonts w:hint="eastAsia" w:ascii="Times New Roman" w:hAnsi="Times New Roman" w:cs="Times New Roman"/>
          <w:b w:val="0"/>
        </w:rPr>
        <w:t>（二）十大产业载体</w:t>
      </w:r>
      <w:r>
        <w:rPr>
          <w:b w:val="0"/>
        </w:rPr>
        <w:tab/>
      </w:r>
      <w:r>
        <w:rPr>
          <w:b w:val="0"/>
        </w:rPr>
        <w:fldChar w:fldCharType="begin"/>
      </w:r>
      <w:r>
        <w:rPr>
          <w:b w:val="0"/>
        </w:rPr>
        <w:instrText xml:space="preserve"> PAGEREF _Toc106901702 \h </w:instrText>
      </w:r>
      <w:r>
        <w:rPr>
          <w:b w:val="0"/>
        </w:rPr>
        <w:fldChar w:fldCharType="separate"/>
      </w:r>
      <w:r>
        <w:rPr>
          <w:b w:val="0"/>
        </w:rPr>
        <w:t>70</w:t>
      </w:r>
      <w:r>
        <w:rPr>
          <w:b w:val="0"/>
        </w:rPr>
        <w:fldChar w:fldCharType="end"/>
      </w:r>
      <w:r>
        <w:rPr>
          <w:b w:val="0"/>
        </w:rPr>
        <w:fldChar w:fldCharType="end"/>
      </w:r>
    </w:p>
    <w:p w14:paraId="1093FE87">
      <w:pPr>
        <w:pStyle w:val="16"/>
        <w:rPr>
          <w:rFonts w:asciiTheme="minorHAnsi" w:hAnsiTheme="minorHAnsi" w:eastAsiaTheme="minorEastAsia" w:cstheme="minorBidi"/>
          <w:b w:val="0"/>
          <w:bCs w:val="0"/>
          <w:caps w:val="0"/>
          <w:kern w:val="2"/>
          <w:sz w:val="21"/>
          <w:szCs w:val="22"/>
        </w:rPr>
      </w:pPr>
      <w:r>
        <w:fldChar w:fldCharType="begin"/>
      </w:r>
      <w:r>
        <w:instrText xml:space="preserve"> HYPERLINK \l "_Toc106901703" </w:instrText>
      </w:r>
      <w:r>
        <w:fldChar w:fldCharType="separate"/>
      </w:r>
      <w:r>
        <w:rPr>
          <w:rStyle w:val="31"/>
          <w:rFonts w:hint="eastAsia" w:ascii="Times New Roman" w:hAnsi="Times New Roman" w:cs="Times New Roman"/>
          <w:b w:val="0"/>
          <w:bCs w:val="0"/>
        </w:rPr>
        <w:t>附件三</w:t>
      </w:r>
      <w:r>
        <w:rPr>
          <w:rStyle w:val="31"/>
          <w:rFonts w:ascii="Times New Roman" w:hAnsi="Times New Roman" w:cs="Times New Roman"/>
          <w:b w:val="0"/>
          <w:bCs w:val="0"/>
        </w:rPr>
        <w:t xml:space="preserve"> </w:t>
      </w:r>
      <w:r>
        <w:rPr>
          <w:rStyle w:val="31"/>
          <w:rFonts w:hint="eastAsia" w:ascii="Times New Roman" w:hAnsi="Times New Roman" w:cs="Times New Roman"/>
          <w:b w:val="0"/>
          <w:bCs w:val="0"/>
        </w:rPr>
        <w:t>玉溪高新区重点产业项目汇总表</w:t>
      </w:r>
      <w:r>
        <w:rPr>
          <w:b w:val="0"/>
          <w:bCs w:val="0"/>
        </w:rPr>
        <w:tab/>
      </w:r>
      <w:r>
        <w:rPr>
          <w:b w:val="0"/>
          <w:bCs w:val="0"/>
        </w:rPr>
        <w:fldChar w:fldCharType="begin"/>
      </w:r>
      <w:r>
        <w:rPr>
          <w:b w:val="0"/>
          <w:bCs w:val="0"/>
        </w:rPr>
        <w:instrText xml:space="preserve"> PAGEREF _Toc106901703 \h </w:instrText>
      </w:r>
      <w:r>
        <w:rPr>
          <w:b w:val="0"/>
          <w:bCs w:val="0"/>
        </w:rPr>
        <w:fldChar w:fldCharType="separate"/>
      </w:r>
      <w:r>
        <w:rPr>
          <w:b w:val="0"/>
          <w:bCs w:val="0"/>
        </w:rPr>
        <w:t>72</w:t>
      </w:r>
      <w:r>
        <w:rPr>
          <w:b w:val="0"/>
          <w:bCs w:val="0"/>
        </w:rPr>
        <w:fldChar w:fldCharType="end"/>
      </w:r>
      <w:r>
        <w:rPr>
          <w:b w:val="0"/>
          <w:bCs w:val="0"/>
        </w:rPr>
        <w:fldChar w:fldCharType="end"/>
      </w:r>
    </w:p>
    <w:p w14:paraId="6A529487">
      <w:pPr>
        <w:pStyle w:val="16"/>
        <w:spacing w:line="320" w:lineRule="exact"/>
        <w:rPr>
          <w:rFonts w:ascii="Times New Roman" w:hAnsi="Times New Roman" w:cs="Times New Roman"/>
          <w:b w:val="0"/>
          <w:bCs w:val="0"/>
          <w:caps w:val="0"/>
        </w:rPr>
        <w:sectPr>
          <w:footerReference r:id="rId9" w:type="first"/>
          <w:pgSz w:w="11906" w:h="16838"/>
          <w:pgMar w:top="1440" w:right="1800" w:bottom="1440" w:left="1800" w:header="851" w:footer="992" w:gutter="0"/>
          <w:pgNumType w:fmt="upperRoman" w:start="1"/>
          <w:cols w:space="425" w:num="1"/>
          <w:titlePg/>
          <w:docGrid w:type="lines" w:linePitch="326" w:charSpace="0"/>
        </w:sectPr>
      </w:pPr>
      <w:r>
        <w:rPr>
          <w:rFonts w:ascii="Times New Roman" w:hAnsi="Times New Roman" w:cs="Times New Roman"/>
          <w:b w:val="0"/>
          <w:bCs w:val="0"/>
          <w:caps w:val="0"/>
        </w:rPr>
        <w:fldChar w:fldCharType="end"/>
      </w:r>
    </w:p>
    <w:p w14:paraId="73850C6B">
      <w:pPr>
        <w:pStyle w:val="37"/>
        <w:widowControl w:val="0"/>
        <w:spacing w:before="0" w:beforeLines="0" w:after="0" w:afterLines="0" w:line="600" w:lineRule="exact"/>
        <w:ind w:firstLine="1" w:firstLineChars="0"/>
        <w:jc w:val="center"/>
        <w:outlineLvl w:val="0"/>
        <w:rPr>
          <w:rFonts w:ascii="黑体" w:hAnsi="黑体" w:eastAsia="黑体"/>
          <w:b/>
          <w:sz w:val="32"/>
          <w:szCs w:val="32"/>
        </w:rPr>
      </w:pPr>
      <w:bookmarkStart w:id="0" w:name="_Toc88225181"/>
      <w:bookmarkStart w:id="1" w:name="_Toc106901679"/>
      <w:bookmarkStart w:id="2" w:name="_Toc82871348"/>
      <w:r>
        <w:rPr>
          <w:rFonts w:hint="eastAsia" w:ascii="黑体" w:hAnsi="黑体" w:eastAsia="黑体"/>
          <w:b/>
          <w:sz w:val="32"/>
          <w:szCs w:val="32"/>
        </w:rPr>
        <w:t xml:space="preserve">前 </w:t>
      </w:r>
      <w:r>
        <w:rPr>
          <w:rFonts w:ascii="黑体" w:hAnsi="黑体" w:eastAsia="黑体"/>
          <w:b/>
          <w:sz w:val="32"/>
          <w:szCs w:val="32"/>
        </w:rPr>
        <w:t xml:space="preserve"> </w:t>
      </w:r>
      <w:r>
        <w:rPr>
          <w:rFonts w:hint="eastAsia" w:ascii="黑体" w:hAnsi="黑体" w:eastAsia="黑体"/>
          <w:b/>
          <w:sz w:val="32"/>
          <w:szCs w:val="32"/>
        </w:rPr>
        <w:t>言</w:t>
      </w:r>
      <w:bookmarkEnd w:id="0"/>
      <w:bookmarkEnd w:id="1"/>
      <w:bookmarkEnd w:id="2"/>
    </w:p>
    <w:p w14:paraId="1774B662">
      <w:pPr>
        <w:pStyle w:val="42"/>
        <w:spacing w:before="97" w:after="97"/>
        <w:ind w:firstLine="640"/>
      </w:pPr>
      <w:r>
        <w:rPr>
          <w:rFonts w:hint="eastAsia"/>
        </w:rPr>
        <w:t>玉溪高新技术产业开发区（以下简称“玉溪高新区”）成立于1992年8月，2012年经国务院批准成为国家级高新技术产业开发区。自升级为国家高新区以来，玉溪高新区立足新经济发展主线，坚持推进科技和经济融合发展，特色产业体系发展迅猛，创新创业成效显著，经济社会发展实现新提升，在国家高新区综合排名中由2015年第72位上升至第62位。2021年4月，按照《中共云南省委云南省人民政府关于印发&lt;云南省各类开发区优化提升总体方案&gt;的通知》（云委〔2020〕287号）文件要求，将红塔工业园区、玉溪研和工业园区整体并入玉溪高新区，形成“一核两片区”（即核心区、红塔片区、研和片区）的空间发展格局。</w:t>
      </w:r>
    </w:p>
    <w:p w14:paraId="0851A2B5">
      <w:pPr>
        <w:pStyle w:val="42"/>
        <w:spacing w:before="97" w:after="97"/>
        <w:ind w:firstLine="640"/>
        <w:rPr>
          <w:rFonts w:ascii="Times New Roman"/>
        </w:rPr>
      </w:pPr>
      <w:r>
        <w:rPr>
          <w:rFonts w:hint="eastAsia" w:hAnsi="仿宋"/>
        </w:rPr>
        <w:t>为深入落实云南省委省政府玉溪现场办公会、玉溪市第六次党代会精神，加快推动玉溪高新区</w:t>
      </w:r>
      <w:r>
        <w:rPr>
          <w:rFonts w:hAnsi="仿宋"/>
        </w:rPr>
        <w:t>产业的强链补链升级</w:t>
      </w:r>
      <w:r>
        <w:rPr>
          <w:rFonts w:hint="eastAsia" w:hAnsi="仿宋"/>
        </w:rPr>
        <w:t>，提升产业综合竞争力，带动区域产业转型和发展方式转变，实现高质量发展，依据《国务院关于促进国家高新技术产业开发区高质量发展的若干意见》</w:t>
      </w:r>
      <w:r>
        <w:rPr>
          <w:rFonts w:hint="eastAsia" w:hAnsi="黑体"/>
        </w:rPr>
        <w:t>《云南省人民政府关于促进高新技术产业开发区高质量发展的实施意见》《中共云南省委 云南省人民政府关于贯彻新发展理念推动各州市高质量跨越式发展的指导意见》《云南省推动重点产业园区高质量发展若干政策措施的通知》《玉溪市国民经济和社会发展第十四个五年规划和二</w:t>
      </w:r>
      <w:r>
        <w:rPr>
          <w:rFonts w:hint="eastAsia" w:ascii="微软雅黑" w:hAnsi="微软雅黑" w:eastAsia="微软雅黑" w:cs="微软雅黑"/>
        </w:rPr>
        <w:t>〇</w:t>
      </w:r>
      <w:r>
        <w:rPr>
          <w:rFonts w:hint="eastAsia" w:hAnsi="仿宋_GB2312" w:cs="仿宋_GB2312"/>
        </w:rPr>
        <w:t>三五年远景目标纲要</w:t>
      </w:r>
      <w:r>
        <w:rPr>
          <w:rFonts w:hint="eastAsia" w:hAnsi="黑体"/>
        </w:rPr>
        <w:t>》《玉溪高新区“十四五”发展规划纲要》，编制《玉溪高新技术产业开发区产业发展行动方案（2</w:t>
      </w:r>
      <w:r>
        <w:rPr>
          <w:rFonts w:hAnsi="黑体"/>
        </w:rPr>
        <w:t>022</w:t>
      </w:r>
      <w:r>
        <w:rPr>
          <w:rFonts w:hint="eastAsia" w:hAnsi="黑体"/>
        </w:rPr>
        <w:t>-</w:t>
      </w:r>
      <w:r>
        <w:rPr>
          <w:rFonts w:hAnsi="黑体"/>
        </w:rPr>
        <w:t>2025</w:t>
      </w:r>
      <w:r>
        <w:rPr>
          <w:rFonts w:hint="eastAsia" w:hAnsi="黑体"/>
        </w:rPr>
        <w:t>）》</w:t>
      </w:r>
      <w:r>
        <w:rPr>
          <w:rFonts w:hAnsi="仿宋"/>
        </w:rPr>
        <w:t>。</w:t>
      </w:r>
    </w:p>
    <w:p w14:paraId="5449A866">
      <w:pPr>
        <w:pStyle w:val="2"/>
        <w:spacing w:before="163" w:after="163"/>
        <w:ind w:left="643" w:firstLine="0" w:firstLineChars="0"/>
        <w:rPr>
          <w:rFonts w:ascii="Times New Roman" w:hAnsi="Times New Roman" w:cs="Times New Roman"/>
        </w:rPr>
      </w:pPr>
      <w:bookmarkStart w:id="3" w:name="_Toc106901680"/>
      <w:bookmarkStart w:id="4" w:name="_Toc82871349"/>
      <w:r>
        <w:rPr>
          <w:rFonts w:ascii="Times New Roman" w:hAnsi="Times New Roman" w:cs="Times New Roman"/>
        </w:rPr>
        <w:t>一、发展背景</w:t>
      </w:r>
      <w:bookmarkEnd w:id="3"/>
      <w:bookmarkEnd w:id="4"/>
    </w:p>
    <w:p w14:paraId="562A1AFE">
      <w:pPr>
        <w:pStyle w:val="3"/>
        <w:spacing w:before="163" w:after="163"/>
        <w:ind w:firstLine="643"/>
        <w:rPr>
          <w:rFonts w:ascii="Times New Roman" w:hAnsi="Times New Roman" w:cs="Times New Roman"/>
        </w:rPr>
      </w:pPr>
      <w:bookmarkStart w:id="5" w:name="_Toc82871350"/>
      <w:bookmarkStart w:id="6" w:name="_Toc106901681"/>
      <w:r>
        <w:rPr>
          <w:rFonts w:ascii="Times New Roman" w:hAnsi="Times New Roman" w:cs="Times New Roman"/>
        </w:rPr>
        <w:t>（一）发展趋势</w:t>
      </w:r>
      <w:bookmarkEnd w:id="5"/>
      <w:bookmarkEnd w:id="6"/>
    </w:p>
    <w:p w14:paraId="48EFE965">
      <w:pPr>
        <w:pStyle w:val="42"/>
        <w:spacing w:before="97" w:after="97"/>
        <w:ind w:firstLine="640"/>
        <w:rPr>
          <w:rFonts w:ascii="Times New Roman"/>
        </w:rPr>
      </w:pPr>
      <w:r>
        <w:rPr>
          <w:rFonts w:ascii="Times New Roman"/>
        </w:rPr>
        <w:t>当前，国内外产业发展环境正发生深刻变化，信息技术带来的新一轮科技革命加速推动产业技术变革与模式变革，加速了国内经济结构调整与制度变化，同时也加剧了产业发展方式转变。面对新形势、新机遇和新挑战，高新区必须顺应产业发展趋势与规律，加快产业创新发展步伐，在新起点上奋力前行。</w:t>
      </w:r>
    </w:p>
    <w:p w14:paraId="23687313">
      <w:pPr>
        <w:pStyle w:val="5"/>
        <w:ind w:firstLine="643"/>
        <w:rPr>
          <w:rFonts w:ascii="Times New Roman" w:hAnsi="Times New Roman" w:cs="Times New Roman"/>
        </w:rPr>
      </w:pPr>
      <w:bookmarkStart w:id="7" w:name="_Toc44505512"/>
      <w:bookmarkStart w:id="8" w:name="_Toc47457613"/>
      <w:bookmarkStart w:id="9" w:name="_Toc43906639"/>
      <w:bookmarkStart w:id="10" w:name="_Toc44581100"/>
      <w:bookmarkStart w:id="11" w:name="_Toc54378547"/>
      <w:bookmarkStart w:id="12" w:name="_Toc82871351"/>
      <w:bookmarkStart w:id="13" w:name="_Toc44489774"/>
      <w:r>
        <w:rPr>
          <w:rFonts w:ascii="Times New Roman" w:hAnsi="Times New Roman" w:cs="Times New Roman"/>
        </w:rPr>
        <w:t>1、国际形势复杂多变，产业链供应链自主可控成为我国高质量发展基础</w:t>
      </w:r>
    </w:p>
    <w:bookmarkEnd w:id="7"/>
    <w:bookmarkEnd w:id="8"/>
    <w:bookmarkEnd w:id="9"/>
    <w:bookmarkEnd w:id="10"/>
    <w:bookmarkEnd w:id="11"/>
    <w:bookmarkEnd w:id="12"/>
    <w:bookmarkEnd w:id="13"/>
    <w:p w14:paraId="3B79F8FD">
      <w:pPr>
        <w:pStyle w:val="42"/>
        <w:spacing w:before="97" w:after="97"/>
        <w:ind w:firstLine="640"/>
        <w:rPr>
          <w:rFonts w:ascii="Times New Roman"/>
          <w:szCs w:val="22"/>
        </w:rPr>
      </w:pPr>
      <w:r>
        <w:rPr>
          <w:rFonts w:ascii="Times New Roman"/>
          <w:szCs w:val="22"/>
        </w:rPr>
        <w:t>国际形势发生深刻而复杂的变化，新冠疫情的蔓延使全球经济受到重创，美国对华科技围堵加速，技术脱钩将成常态，国际贸易、人才国际交流受阻，</w:t>
      </w:r>
      <w:r>
        <w:rPr>
          <w:rFonts w:ascii="Times New Roman"/>
        </w:rPr>
        <w:t>欧美等国加大引导高端制造“回流”，推进产业链、供应链本地化、区域化布局。2020年中央经济工作会议列出的八大重点任务中，“强化国家战略科技力量”和“增强产业链供应链自主可控能力”分别位列第一第二。玉溪</w:t>
      </w:r>
      <w:r>
        <w:rPr>
          <w:rFonts w:ascii="Times New Roman"/>
          <w:szCs w:val="22"/>
        </w:rPr>
        <w:t>高新区应紧抓云南省产业升级优化机遇，深入贯彻玉溪市第六次党代会精神，实施工业倍增计划，立足产业创新发展需求，重点</w:t>
      </w:r>
      <w:r>
        <w:rPr>
          <w:rFonts w:ascii="Times New Roman"/>
        </w:rPr>
        <w:t>瞄准先进装备制造、生物医药、新能源电池及材料等产业</w:t>
      </w:r>
      <w:r>
        <w:rPr>
          <w:rFonts w:ascii="Times New Roman"/>
          <w:szCs w:val="22"/>
        </w:rPr>
        <w:t>，提升整合产业资源，强化产业链补链、延链、强链，推动产业优化升级，强化协同发展，提升产业链供应链配套供应能力和产业综合竞争力。</w:t>
      </w:r>
    </w:p>
    <w:p w14:paraId="6E059663">
      <w:pPr>
        <w:pStyle w:val="5"/>
        <w:ind w:firstLine="643"/>
        <w:rPr>
          <w:rFonts w:ascii="Times New Roman" w:hAnsi="Times New Roman" w:cs="Times New Roman"/>
        </w:rPr>
      </w:pPr>
      <w:bookmarkStart w:id="14" w:name="_Toc47457614"/>
      <w:bookmarkStart w:id="15" w:name="_Toc82871352"/>
      <w:bookmarkStart w:id="16" w:name="_Toc43906640"/>
      <w:bookmarkStart w:id="17" w:name="_Toc44505513"/>
      <w:bookmarkStart w:id="18" w:name="_Toc44489775"/>
      <w:bookmarkStart w:id="19" w:name="_Toc44581101"/>
      <w:bookmarkStart w:id="20" w:name="_Toc54378548"/>
      <w:r>
        <w:rPr>
          <w:rFonts w:ascii="Times New Roman" w:hAnsi="Times New Roman" w:cs="Times New Roman"/>
        </w:rPr>
        <w:t>2、产业发展呈现新的规律与组织方式，新经济成为全国各地抢抓的新动能增长点</w:t>
      </w:r>
      <w:bookmarkEnd w:id="14"/>
      <w:bookmarkEnd w:id="15"/>
      <w:bookmarkEnd w:id="16"/>
      <w:bookmarkEnd w:id="17"/>
      <w:bookmarkEnd w:id="18"/>
      <w:bookmarkEnd w:id="19"/>
      <w:bookmarkEnd w:id="20"/>
    </w:p>
    <w:p w14:paraId="0E4F0494">
      <w:pPr>
        <w:pStyle w:val="42"/>
        <w:spacing w:before="97" w:after="97"/>
        <w:ind w:firstLine="640"/>
        <w:rPr>
          <w:rFonts w:ascii="Times New Roman"/>
        </w:rPr>
      </w:pPr>
      <w:r>
        <w:rPr>
          <w:rFonts w:ascii="Times New Roman"/>
          <w:szCs w:val="22"/>
        </w:rPr>
        <w:t>新一轮科技革命与产业变革深度演进，以人工智能、生命科学等为代表的颠覆性技术持续全面爆发，</w:t>
      </w:r>
      <w:r>
        <w:rPr>
          <w:rFonts w:ascii="Times New Roman"/>
          <w:szCs w:val="32"/>
        </w:rPr>
        <w:t>国家发展改革委以及北京、上海、成都、厦门等多个城市相继出台促进新经济发展相关政策，</w:t>
      </w:r>
      <w:r>
        <w:rPr>
          <w:rFonts w:ascii="Times New Roman"/>
        </w:rPr>
        <w:t>数字经济、智能经济、平台经济发展迅猛。瞪羚独角兽企业成为区域经济增长生力军，</w:t>
      </w:r>
      <w:r>
        <w:rPr>
          <w:rFonts w:ascii="Times New Roman"/>
          <w:szCs w:val="32"/>
        </w:rPr>
        <w:t>场景作为新兴产业生态的聚合器，以市场应用为核心，是产业迭代创新的原点，主动营造各类产业场景成为吸引新兴企业落地、加快产业爆发的新手段。玉溪</w:t>
      </w:r>
      <w:r>
        <w:rPr>
          <w:rFonts w:ascii="Times New Roman"/>
          <w:szCs w:val="22"/>
        </w:rPr>
        <w:t>高新区应以新的发展理念和打法，抢抓新经济发展机遇，推动传统产业与新技术、新模式的融合发展，大力培育新产业、新业态，打造一批应用场景，加快集聚一批瞪羚、独角兽企业，助力区域创新崛起。</w:t>
      </w:r>
    </w:p>
    <w:p w14:paraId="3AFA5870">
      <w:pPr>
        <w:pStyle w:val="5"/>
        <w:ind w:firstLine="643"/>
        <w:rPr>
          <w:rFonts w:ascii="Times New Roman" w:hAnsi="Times New Roman" w:cs="Times New Roman"/>
        </w:rPr>
      </w:pPr>
      <w:bookmarkStart w:id="21" w:name="_Toc82871353"/>
      <w:r>
        <w:rPr>
          <w:rFonts w:ascii="Times New Roman" w:hAnsi="Times New Roman" w:cs="Times New Roman"/>
        </w:rPr>
        <w:t>3、“数字中国”、“制造强国”、碳达峰碳中和等国家战略深入实施，</w:t>
      </w:r>
      <w:bookmarkStart w:id="22" w:name="_Hlk85122928"/>
      <w:r>
        <w:rPr>
          <w:rFonts w:ascii="Times New Roman" w:hAnsi="Times New Roman" w:cs="Times New Roman"/>
        </w:rPr>
        <w:t>数字化、智能化、绿色化</w:t>
      </w:r>
      <w:bookmarkEnd w:id="22"/>
      <w:r>
        <w:rPr>
          <w:rFonts w:ascii="Times New Roman" w:hAnsi="Times New Roman" w:cs="Times New Roman"/>
        </w:rPr>
        <w:t>成为产业创新与变革的重要方向</w:t>
      </w:r>
      <w:bookmarkEnd w:id="21"/>
    </w:p>
    <w:p w14:paraId="74BA5011">
      <w:pPr>
        <w:pStyle w:val="42"/>
        <w:spacing w:before="97" w:after="97"/>
        <w:ind w:firstLine="640"/>
        <w:rPr>
          <w:rFonts w:ascii="Times New Roman"/>
        </w:rPr>
      </w:pPr>
      <w:r>
        <w:rPr>
          <w:rFonts w:ascii="Times New Roman"/>
        </w:rPr>
        <w:t>国家深入实施创新驱动发展战略，先后推出“数字中国”、“制造强国”等战略，提出碳达峰碳中和目标，致力于形成中国经济增长“新势力”。“数字中国”推动产业跨界融合，促进传统产业在线化、数据化，将从根本上革新产业组织关系。“制造强国”重点推进高档数控机床、生物医药等领域高端发展，加快中国从制造大国转向质量强国。2030年达到碳达峰、2060年达到碳中和是中国对世界的承诺，云南省提出打造“绿色能源牌”“绿色食品牌”“健康生活目的地牌”三张牌，绿色发展成为产业转型的重点导向。玉溪高新区高新区应深入贯彻落实国家、省战略要求，以数字化、智能化、绿色化为引领，推广数字、智能、绿色技术和产品在制造业的广泛应用，实施绿色发展战略，加快以疫苗为核心的生物医药、新能源电池及材料等新兴产业培育壮大，形成资源节约、环境友好的产业结构、生产方式、生活方式，打造云南产业现代化升级转型发展的标杆样板。</w:t>
      </w:r>
    </w:p>
    <w:p w14:paraId="624EA3E0">
      <w:pPr>
        <w:pStyle w:val="5"/>
        <w:ind w:firstLine="643"/>
        <w:rPr>
          <w:rFonts w:ascii="Times New Roman" w:hAnsi="Times New Roman" w:cs="Times New Roman"/>
        </w:rPr>
      </w:pPr>
      <w:bookmarkStart w:id="23" w:name="_Toc82871354"/>
      <w:r>
        <w:rPr>
          <w:rFonts w:ascii="Times New Roman" w:hAnsi="Times New Roman" w:cs="Times New Roman"/>
        </w:rPr>
        <w:t>4、全国区域竞争和发展模式出现新变化，塑造区域个性和优化营商环境成为提高产业竞争力的关键</w:t>
      </w:r>
      <w:bookmarkEnd w:id="23"/>
    </w:p>
    <w:p w14:paraId="628886AD">
      <w:pPr>
        <w:pStyle w:val="42"/>
        <w:spacing w:before="97" w:after="97"/>
        <w:ind w:firstLine="640"/>
        <w:rPr>
          <w:rFonts w:ascii="Times New Roman"/>
        </w:rPr>
      </w:pPr>
      <w:r>
        <w:rPr>
          <w:rFonts w:ascii="Times New Roman"/>
        </w:rPr>
        <w:t>随着国家全面深化改革，统一开放、竞争有序的市场体系正逐渐形成，环境承载能力已经达到或接近上限，生产要素成本持续增加，投资和出口增速明显放缓，传统意义上区域经济发展的老三样“土地、政策、招商”难以为继，大项目大招商越来越机遇难求。区域之间的竞争已经由“拼政策”转为“拼环境、拼服务、拼特色”，尤其是习近平总书记多次强调“打造市场化、法治化、国际化营商环境”，表明营商环境既是竞争力又是生产力。玉溪高新区应深入落实省委省政府玉溪现场办公会以及玉溪市第六次党代会精神，充分发挥面向两亚、生态环境及资源优势和个性，深化改革，着力促进创新创业环境升级，健全政务服务体系，提升政务服务效能，不断激发营商环境“新动能”，为企业发展营造最优环境。</w:t>
      </w:r>
    </w:p>
    <w:p w14:paraId="3EBACBBD">
      <w:pPr>
        <w:pStyle w:val="3"/>
        <w:spacing w:before="163" w:after="163"/>
        <w:ind w:left="643" w:firstLine="0" w:firstLineChars="0"/>
        <w:rPr>
          <w:rFonts w:ascii="Times New Roman" w:hAnsi="Times New Roman" w:cs="Times New Roman"/>
        </w:rPr>
      </w:pPr>
      <w:bookmarkStart w:id="24" w:name="_Toc106901682"/>
      <w:bookmarkStart w:id="25" w:name="_Toc82871361"/>
      <w:bookmarkStart w:id="26" w:name="_Toc82871355"/>
      <w:r>
        <w:rPr>
          <w:rFonts w:ascii="Times New Roman" w:hAnsi="Times New Roman" w:cs="Times New Roman"/>
        </w:rPr>
        <w:t>（二）发展基础</w:t>
      </w:r>
      <w:bookmarkEnd w:id="24"/>
    </w:p>
    <w:p w14:paraId="553A7C60">
      <w:pPr>
        <w:pStyle w:val="5"/>
        <w:ind w:firstLine="643"/>
        <w:rPr>
          <w:rFonts w:ascii="Times New Roman" w:hAnsi="Times New Roman" w:cs="Times New Roman"/>
        </w:rPr>
      </w:pPr>
      <w:r>
        <w:rPr>
          <w:rFonts w:ascii="Times New Roman" w:hAnsi="Times New Roman" w:cs="Times New Roman"/>
        </w:rPr>
        <w:t>1、综合实力稳步提升，产业转型升级效果显著</w:t>
      </w:r>
    </w:p>
    <w:p w14:paraId="416A3EEC">
      <w:pPr>
        <w:pStyle w:val="42"/>
        <w:spacing w:before="97" w:after="97"/>
        <w:ind w:firstLine="640"/>
        <w:rPr>
          <w:rFonts w:ascii="Times New Roman"/>
        </w:rPr>
      </w:pPr>
      <w:r>
        <w:rPr>
          <w:rFonts w:hint="eastAsia" w:ascii="Times New Roman"/>
        </w:rPr>
        <w:t>近年来，</w:t>
      </w:r>
      <w:r>
        <w:rPr>
          <w:rFonts w:ascii="Times New Roman"/>
        </w:rPr>
        <w:t>高新区经济持续高速增长，提质增效成效显著。</w:t>
      </w:r>
      <w:r>
        <w:rPr>
          <w:rFonts w:ascii="Times New Roman"/>
          <w:b/>
        </w:rPr>
        <w:t>经济总量稳步提升</w:t>
      </w:r>
      <w:r>
        <w:rPr>
          <w:rFonts w:ascii="Times New Roman"/>
        </w:rPr>
        <w:t>。2021年，高新区核心区实现生产总值（含烟）571.4亿元，规模以上工业增加值501.7亿元，分别占全市总量的24.3%和57%；红塔片区和研和片区共实现规模以上工业总产值414亿元。</w:t>
      </w:r>
      <w:r>
        <w:rPr>
          <w:rFonts w:ascii="Times New Roman"/>
          <w:b/>
        </w:rPr>
        <w:t>非烟经济提速发展</w:t>
      </w:r>
      <w:r>
        <w:rPr>
          <w:rFonts w:ascii="Times New Roman"/>
        </w:rPr>
        <w:t>。2021年，高新区核心区实现非烟地区生产总值126亿元，近五年年均增长15%，占高新区地区生产总值（含烟）的比重为22%，其中非烟规模以上工业增加值71亿元，较2016年</w:t>
      </w:r>
      <w:r>
        <w:rPr>
          <w:rFonts w:hint="eastAsia" w:ascii="Times New Roman"/>
        </w:rPr>
        <w:t>翻番</w:t>
      </w:r>
      <w:r>
        <w:rPr>
          <w:rFonts w:ascii="Times New Roman"/>
        </w:rPr>
        <w:t>。</w:t>
      </w:r>
    </w:p>
    <w:p w14:paraId="3FE5B955">
      <w:pPr>
        <w:pStyle w:val="42"/>
        <w:spacing w:before="97" w:after="97" w:line="240" w:lineRule="auto"/>
        <w:ind w:firstLine="0" w:firstLineChars="0"/>
        <w:jc w:val="center"/>
        <w:rPr>
          <w:rFonts w:ascii="Times New Roman"/>
        </w:rPr>
      </w:pPr>
      <w:r>
        <w:rPr>
          <w:rFonts w:ascii="Times New Roman"/>
        </w:rPr>
        <w:drawing>
          <wp:inline distT="0" distB="0" distL="0" distR="0">
            <wp:extent cx="5031740" cy="293306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059386" cy="2949379"/>
                    </a:xfrm>
                    <a:prstGeom prst="rect">
                      <a:avLst/>
                    </a:prstGeom>
                  </pic:spPr>
                </pic:pic>
              </a:graphicData>
            </a:graphic>
          </wp:inline>
        </w:drawing>
      </w:r>
    </w:p>
    <w:p w14:paraId="0EDBBFA6">
      <w:pPr>
        <w:widowControl w:val="0"/>
        <w:spacing w:line="600" w:lineRule="exact"/>
        <w:jc w:val="center"/>
        <w:rPr>
          <w:rFonts w:eastAsia="仿宋_GB2312"/>
          <w:b/>
          <w:kern w:val="2"/>
        </w:rPr>
      </w:pPr>
      <w:r>
        <w:rPr>
          <w:rFonts w:eastAsia="仿宋_GB2312"/>
          <w:b/>
          <w:kern w:val="2"/>
        </w:rPr>
        <w:t>图1：2016-2021年玉溪高新区核心区地区生产总值</w:t>
      </w:r>
    </w:p>
    <w:p w14:paraId="44F68A1A">
      <w:pPr>
        <w:pStyle w:val="5"/>
        <w:ind w:firstLine="643"/>
        <w:rPr>
          <w:rFonts w:ascii="Times New Roman" w:hAnsi="Times New Roman" w:cs="Times New Roman"/>
        </w:rPr>
      </w:pPr>
      <w:r>
        <w:rPr>
          <w:rFonts w:ascii="Times New Roman" w:hAnsi="Times New Roman" w:cs="Times New Roman"/>
        </w:rPr>
        <w:t>2、特色产业快速发展，现代化产业体系初步成型</w:t>
      </w:r>
    </w:p>
    <w:p w14:paraId="086085D9">
      <w:pPr>
        <w:pStyle w:val="42"/>
        <w:spacing w:before="97" w:after="97"/>
        <w:ind w:firstLine="640"/>
        <w:rPr>
          <w:rFonts w:ascii="Times New Roman"/>
          <w:b/>
          <w:bCs/>
        </w:rPr>
      </w:pPr>
      <w:r>
        <w:rPr>
          <w:rFonts w:ascii="Times New Roman"/>
        </w:rPr>
        <w:t>高新区坚持产业立区，全力推进产业扩规模、提质量、强效益，卷烟及配套产业优势突出，先进装备制造产业、金属冶炼及压延加工产业积极转型，生物医药产业、新能源电池及材料产业等加速培育，为高新区高质量发展奠定坚实的基础。截至2021年底，培育高新技术企业83家，占全市比重近50%。</w:t>
      </w:r>
    </w:p>
    <w:p w14:paraId="3D746447">
      <w:pPr>
        <w:pStyle w:val="42"/>
        <w:spacing w:before="97" w:after="97"/>
        <w:ind w:firstLine="643"/>
        <w:rPr>
          <w:rFonts w:ascii="Times New Roman"/>
        </w:rPr>
      </w:pPr>
      <w:r>
        <w:rPr>
          <w:rFonts w:ascii="Times New Roman"/>
          <w:b/>
          <w:bCs/>
        </w:rPr>
        <w:t>——卷烟及配套产业。</w:t>
      </w:r>
      <w:r>
        <w:rPr>
          <w:rFonts w:ascii="Times New Roman"/>
        </w:rPr>
        <w:t>高新区集聚红塔集团、恩捷新材料、中烟施伟策等一批骨干企业，涉及卷烟制造、烟标、香精香料、产品包装等细分领域。受相关政策和市场影响，高新区积极推动卷烟配套企业强化技术创新、配方改进、产品研发和市场拓展，实现了向液体包装盒、食品包装膜、农用防伪技术等民用市场的拓展。</w:t>
      </w:r>
    </w:p>
    <w:p w14:paraId="27B670F5">
      <w:pPr>
        <w:pStyle w:val="42"/>
        <w:spacing w:before="97" w:after="97"/>
        <w:ind w:firstLine="640"/>
        <w:rPr>
          <w:rFonts w:ascii="Times New Roman"/>
        </w:rPr>
      </w:pPr>
      <w:r>
        <w:rPr>
          <w:rFonts w:ascii="Times New Roman"/>
        </w:rPr>
        <w:t>——</w:t>
      </w:r>
      <w:r>
        <w:rPr>
          <w:rFonts w:ascii="Times New Roman"/>
          <w:b/>
          <w:bCs/>
        </w:rPr>
        <w:t>先进装备制造业。</w:t>
      </w:r>
      <w:r>
        <w:rPr>
          <w:rFonts w:ascii="Times New Roman"/>
        </w:rPr>
        <w:t>高新区建设了装备制造产业园、数控机床产业园、同济大学玉溪智能制造研究院等平台载体，集聚正成工、中汇电力、腾达机械、新天力等一批实力企业，形成以数控机床、电气装备、农用器械为核心的细分产业领域。其中，研和工业园区数控机床产业特色突出，建成了集“冶炼铸造、零部件加工、光机制造、整机装配、销售服务”于一体，具有完整产业链的规模化产业集群，已形成年产2万台光机、1万台整机、5万吨精密机床铸件的生产能力，成为云南省数控机床产业的支柱。</w:t>
      </w:r>
    </w:p>
    <w:p w14:paraId="344DDDA8">
      <w:pPr>
        <w:pStyle w:val="42"/>
        <w:spacing w:before="97" w:after="97"/>
        <w:ind w:firstLine="640"/>
        <w:rPr>
          <w:rFonts w:ascii="Times New Roman"/>
        </w:rPr>
      </w:pPr>
      <w:r>
        <w:rPr>
          <w:rFonts w:ascii="Times New Roman"/>
        </w:rPr>
        <w:t>——</w:t>
      </w:r>
      <w:r>
        <w:rPr>
          <w:rFonts w:ascii="Times New Roman"/>
          <w:b/>
        </w:rPr>
        <w:t>以疫苗为核心的</w:t>
      </w:r>
      <w:r>
        <w:rPr>
          <w:rFonts w:ascii="Times New Roman"/>
          <w:b/>
          <w:bCs/>
        </w:rPr>
        <w:t>生物医药产业。</w:t>
      </w:r>
      <w:r>
        <w:rPr>
          <w:rFonts w:hint="eastAsia" w:ascii="Times New Roman"/>
        </w:rPr>
        <w:t>近年来，</w:t>
      </w:r>
      <w:r>
        <w:rPr>
          <w:rFonts w:ascii="Times New Roman"/>
        </w:rPr>
        <w:t>高新区先后引进了宫颈癌疫苗产业化等一批产业项目，集聚沃森生物、九洲生物、泽润生物、嘉和生物等上下游企业23家，业务范围涵盖新型疫苗、重组蛋白质药物、现代中药创新药等领域，获批“国家火炬玉溪高新区生物医药特色产业基地”。其中，核心区以沃森生物为龙头带动，大力发展疫苗产业，创新突破mRNA新冠疫苗、23价和13价肺炎疫苗、HPV疫苗等关键技术研发，填补了疫苗领域国内技术空白，技术水平达国内领先。</w:t>
      </w:r>
    </w:p>
    <w:p w14:paraId="533B0976">
      <w:pPr>
        <w:pStyle w:val="42"/>
        <w:spacing w:before="97" w:after="97"/>
        <w:ind w:firstLine="640"/>
        <w:rPr>
          <w:rFonts w:ascii="Times New Roman"/>
        </w:rPr>
      </w:pPr>
      <w:r>
        <w:rPr>
          <w:rFonts w:ascii="Times New Roman"/>
        </w:rPr>
        <w:t>——</w:t>
      </w:r>
      <w:r>
        <w:rPr>
          <w:rFonts w:ascii="Times New Roman"/>
          <w:b/>
          <w:bCs/>
        </w:rPr>
        <w:t>新能源电池及材料。</w:t>
      </w:r>
      <w:r>
        <w:rPr>
          <w:rFonts w:ascii="Times New Roman"/>
        </w:rPr>
        <w:t>高新区</w:t>
      </w:r>
      <w:r>
        <w:rPr>
          <w:rFonts w:ascii="Times New Roman"/>
          <w:bCs/>
        </w:rPr>
        <w:t>围绕省委省政府、市委市政府关于新能源、新材料的产业发展布局要求，高新区积极布局新能源电池及材料产业，云南恩捷新材料股份有限公司已经与玉溪市人民政府签订《战略合作框架协议》，计划3至5年内在玉溪建设以动力电池、储能电池、消费电池制造为主的新能源电池全产业链产业体系，打造国内一流锂电池产业基地。同时，先后对接洽谈德方纳米等一批新能源电池生产及上下游等项目，累计意向投资超100亿元，新能源电池及材料产业发展蓄势待发</w:t>
      </w:r>
      <w:r>
        <w:rPr>
          <w:rFonts w:ascii="Times New Roman"/>
        </w:rPr>
        <w:t>。同时，拥有蓝晶科技等一批光电子材料实力企业，引进了3500万片蓝宝石LED衬底片生产项目，光电子材料产业发展态势初显。</w:t>
      </w:r>
    </w:p>
    <w:p w14:paraId="4C2779E6">
      <w:pPr>
        <w:pStyle w:val="42"/>
        <w:spacing w:before="97" w:after="97"/>
        <w:ind w:firstLine="643"/>
        <w:rPr>
          <w:rFonts w:ascii="Times New Roman"/>
        </w:rPr>
      </w:pPr>
      <w:r>
        <w:rPr>
          <w:rFonts w:ascii="Times New Roman"/>
          <w:b/>
        </w:rPr>
        <w:t>——金属冶炼及压延加工。</w:t>
      </w:r>
      <w:r>
        <w:rPr>
          <w:rFonts w:ascii="Times New Roman"/>
        </w:rPr>
        <w:t>依托玉溪丰富的矿产资源优势，高新区金属冶炼及压延加工产业快速发展，集聚新兴钢铁、太标钢铁等一批实力骨干企业，实现年产能159万吨生铁、222万吨粗钢、270万吨钢材。近年来，以打造“云南绿色钢城”为标志，高新区钢铁产业加快提档升级步伐，加快淘汰落后产能，积极朝抗震用钢、腐蚀用钢等高端钢铁领域进发，逐步实现新旧动能转换。</w:t>
      </w:r>
    </w:p>
    <w:p w14:paraId="751C8667">
      <w:pPr>
        <w:pStyle w:val="42"/>
        <w:spacing w:before="97" w:after="97"/>
        <w:ind w:firstLine="640"/>
        <w:rPr>
          <w:rFonts w:ascii="Times New Roman"/>
        </w:rPr>
      </w:pPr>
    </w:p>
    <w:p w14:paraId="50B42B81">
      <w:pPr>
        <w:pStyle w:val="42"/>
        <w:spacing w:before="97" w:after="97"/>
        <w:ind w:firstLine="643"/>
        <w:rPr>
          <w:rFonts w:ascii="Times New Roman"/>
          <w:b/>
        </w:rPr>
      </w:pPr>
    </w:p>
    <w:p w14:paraId="3D6C1820">
      <w:pPr>
        <w:widowControl w:val="0"/>
        <w:spacing w:line="600" w:lineRule="exact"/>
        <w:jc w:val="center"/>
        <w:rPr>
          <w:rFonts w:eastAsia="仿宋_GB2312"/>
          <w:b/>
          <w:kern w:val="2"/>
        </w:rPr>
      </w:pPr>
      <w:r>
        <w:rPr>
          <w:rFonts w:eastAsia="仿宋_GB2312"/>
          <w:b/>
          <w:kern w:val="2"/>
        </w:rPr>
        <w:t>表1：玉溪高新区产业基础情况</w:t>
      </w:r>
    </w:p>
    <w:tbl>
      <w:tblPr>
        <w:tblStyle w:val="60"/>
        <w:tblW w:w="879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3686"/>
        <w:gridCol w:w="3402"/>
      </w:tblGrid>
      <w:tr w14:paraId="5BE8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702" w:type="dxa"/>
            <w:vAlign w:val="center"/>
          </w:tcPr>
          <w:p w14:paraId="3E4FF736">
            <w:pPr>
              <w:pStyle w:val="50"/>
              <w:widowControl w:val="0"/>
              <w:ind w:firstLine="0" w:firstLineChars="0"/>
              <w:jc w:val="center"/>
              <w:rPr>
                <w:b/>
                <w:bCs w:val="0"/>
              </w:rPr>
            </w:pPr>
            <w:r>
              <w:rPr>
                <w:b/>
                <w:bCs w:val="0"/>
              </w:rPr>
              <w:t>产业类型</w:t>
            </w:r>
          </w:p>
        </w:tc>
        <w:tc>
          <w:tcPr>
            <w:tcW w:w="3686" w:type="dxa"/>
            <w:vAlign w:val="center"/>
          </w:tcPr>
          <w:p w14:paraId="60B1341F">
            <w:pPr>
              <w:pStyle w:val="50"/>
              <w:widowControl w:val="0"/>
              <w:ind w:firstLine="0" w:firstLineChars="0"/>
              <w:jc w:val="center"/>
              <w:rPr>
                <w:b/>
                <w:bCs w:val="0"/>
              </w:rPr>
            </w:pPr>
            <w:r>
              <w:rPr>
                <w:b/>
                <w:bCs w:val="0"/>
              </w:rPr>
              <w:t>代表企业</w:t>
            </w:r>
          </w:p>
        </w:tc>
        <w:tc>
          <w:tcPr>
            <w:tcW w:w="3402" w:type="dxa"/>
            <w:vAlign w:val="center"/>
          </w:tcPr>
          <w:p w14:paraId="631EE4C7">
            <w:pPr>
              <w:pStyle w:val="50"/>
              <w:widowControl w:val="0"/>
              <w:ind w:firstLine="0" w:firstLineChars="0"/>
              <w:jc w:val="center"/>
              <w:rPr>
                <w:b/>
                <w:bCs w:val="0"/>
              </w:rPr>
            </w:pPr>
            <w:r>
              <w:rPr>
                <w:b/>
                <w:bCs w:val="0"/>
              </w:rPr>
              <w:t>涵盖领域</w:t>
            </w:r>
          </w:p>
        </w:tc>
      </w:tr>
      <w:tr w14:paraId="5966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02" w:type="dxa"/>
            <w:vAlign w:val="center"/>
          </w:tcPr>
          <w:p w14:paraId="6DA3B808">
            <w:pPr>
              <w:pStyle w:val="50"/>
              <w:widowControl w:val="0"/>
              <w:ind w:firstLine="0" w:firstLineChars="0"/>
              <w:jc w:val="center"/>
            </w:pPr>
            <w:r>
              <w:t>卷烟及配套</w:t>
            </w:r>
          </w:p>
        </w:tc>
        <w:tc>
          <w:tcPr>
            <w:tcW w:w="3686" w:type="dxa"/>
            <w:vAlign w:val="center"/>
          </w:tcPr>
          <w:p w14:paraId="7B53DFB7">
            <w:pPr>
              <w:pStyle w:val="50"/>
              <w:widowControl w:val="0"/>
              <w:ind w:firstLine="0" w:firstLineChars="0"/>
            </w:pPr>
            <w:r>
              <w:t>红塔集团、恩捷股份、自强集团</w:t>
            </w:r>
          </w:p>
        </w:tc>
        <w:tc>
          <w:tcPr>
            <w:tcW w:w="3402" w:type="dxa"/>
            <w:vAlign w:val="center"/>
          </w:tcPr>
          <w:p w14:paraId="17228903">
            <w:pPr>
              <w:pStyle w:val="50"/>
              <w:widowControl w:val="0"/>
              <w:ind w:firstLine="0" w:firstLineChars="0"/>
            </w:pPr>
            <w:r>
              <w:t>卷烟及配套装备制造</w:t>
            </w:r>
          </w:p>
        </w:tc>
      </w:tr>
      <w:tr w14:paraId="74F9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02" w:type="dxa"/>
            <w:vAlign w:val="center"/>
          </w:tcPr>
          <w:p w14:paraId="2414EA79">
            <w:pPr>
              <w:pStyle w:val="50"/>
              <w:widowControl w:val="0"/>
              <w:ind w:firstLine="0" w:firstLineChars="0"/>
              <w:jc w:val="center"/>
            </w:pPr>
            <w:r>
              <w:t>先进装备制造</w:t>
            </w:r>
          </w:p>
        </w:tc>
        <w:tc>
          <w:tcPr>
            <w:tcW w:w="3686" w:type="dxa"/>
            <w:vAlign w:val="center"/>
          </w:tcPr>
          <w:p w14:paraId="7EFFE0D2">
            <w:pPr>
              <w:pStyle w:val="50"/>
              <w:widowControl w:val="0"/>
              <w:ind w:firstLine="0" w:firstLineChars="0"/>
            </w:pPr>
            <w:r>
              <w:t>正成工、腾达机械、中汇电力、新天力、信德科技</w:t>
            </w:r>
          </w:p>
        </w:tc>
        <w:tc>
          <w:tcPr>
            <w:tcW w:w="3402" w:type="dxa"/>
            <w:vAlign w:val="center"/>
          </w:tcPr>
          <w:p w14:paraId="5D5EB35B">
            <w:pPr>
              <w:pStyle w:val="50"/>
              <w:widowControl w:val="0"/>
              <w:ind w:firstLine="0" w:firstLineChars="0"/>
            </w:pPr>
            <w:r>
              <w:t>数控机床、电气装备、农机装备、智能终端装备</w:t>
            </w:r>
          </w:p>
        </w:tc>
      </w:tr>
      <w:tr w14:paraId="7E47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02" w:type="dxa"/>
            <w:vAlign w:val="center"/>
          </w:tcPr>
          <w:p w14:paraId="38AAEA24">
            <w:pPr>
              <w:pStyle w:val="50"/>
              <w:widowControl w:val="0"/>
              <w:ind w:firstLine="0" w:firstLineChars="0"/>
              <w:jc w:val="center"/>
            </w:pPr>
            <w:r>
              <w:t>生物医药</w:t>
            </w:r>
          </w:p>
        </w:tc>
        <w:tc>
          <w:tcPr>
            <w:tcW w:w="3686" w:type="dxa"/>
            <w:vAlign w:val="center"/>
          </w:tcPr>
          <w:p w14:paraId="19FF999E">
            <w:pPr>
              <w:pStyle w:val="50"/>
              <w:widowControl w:val="0"/>
              <w:ind w:firstLine="0" w:firstLineChars="0"/>
            </w:pPr>
            <w:r>
              <w:t>沃森生物、九州生物、维和药业、嘉和生物、达利食品</w:t>
            </w:r>
          </w:p>
        </w:tc>
        <w:tc>
          <w:tcPr>
            <w:tcW w:w="3402" w:type="dxa"/>
            <w:vAlign w:val="center"/>
          </w:tcPr>
          <w:p w14:paraId="43F10135">
            <w:pPr>
              <w:pStyle w:val="50"/>
              <w:widowControl w:val="0"/>
              <w:ind w:firstLine="0" w:firstLineChars="0"/>
            </w:pPr>
            <w:r>
              <w:t>生物药、现代中药、绿色健康食品及保健品、医疗器械</w:t>
            </w:r>
          </w:p>
        </w:tc>
      </w:tr>
      <w:tr w14:paraId="49CD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02" w:type="dxa"/>
            <w:vAlign w:val="center"/>
          </w:tcPr>
          <w:p w14:paraId="589FC75D">
            <w:pPr>
              <w:pStyle w:val="50"/>
              <w:widowControl w:val="0"/>
              <w:ind w:firstLine="0" w:firstLineChars="0"/>
              <w:jc w:val="center"/>
            </w:pPr>
            <w:r>
              <w:t>新能源电池及材料</w:t>
            </w:r>
          </w:p>
        </w:tc>
        <w:tc>
          <w:tcPr>
            <w:tcW w:w="3686" w:type="dxa"/>
            <w:vAlign w:val="center"/>
          </w:tcPr>
          <w:p w14:paraId="14938DE0">
            <w:pPr>
              <w:pStyle w:val="50"/>
              <w:widowControl w:val="0"/>
              <w:ind w:firstLine="0" w:firstLineChars="0"/>
              <w:rPr>
                <w:highlight w:val="yellow"/>
              </w:rPr>
            </w:pPr>
            <w:r>
              <w:t>蓝晶科技</w:t>
            </w:r>
          </w:p>
        </w:tc>
        <w:tc>
          <w:tcPr>
            <w:tcW w:w="3402" w:type="dxa"/>
            <w:vAlign w:val="center"/>
          </w:tcPr>
          <w:p w14:paraId="67FA0837">
            <w:pPr>
              <w:pStyle w:val="50"/>
              <w:widowControl w:val="0"/>
              <w:ind w:firstLine="0" w:firstLineChars="0"/>
            </w:pPr>
            <w:r>
              <w:t>新能源电池及材料、光电材料</w:t>
            </w:r>
          </w:p>
        </w:tc>
      </w:tr>
      <w:tr w14:paraId="274B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02" w:type="dxa"/>
            <w:vAlign w:val="center"/>
          </w:tcPr>
          <w:p w14:paraId="377276E7">
            <w:pPr>
              <w:pStyle w:val="50"/>
              <w:widowControl w:val="0"/>
              <w:ind w:firstLine="0" w:firstLineChars="0"/>
              <w:jc w:val="center"/>
            </w:pPr>
            <w:r>
              <w:t>金属冶炼及压延加工</w:t>
            </w:r>
          </w:p>
        </w:tc>
        <w:tc>
          <w:tcPr>
            <w:tcW w:w="3686" w:type="dxa"/>
            <w:vAlign w:val="center"/>
          </w:tcPr>
          <w:p w14:paraId="4CDFF409">
            <w:pPr>
              <w:pStyle w:val="50"/>
              <w:widowControl w:val="0"/>
              <w:ind w:firstLine="0" w:firstLineChars="0"/>
            </w:pPr>
            <w:r>
              <w:t>新兴钢铁、太标钢铁</w:t>
            </w:r>
          </w:p>
        </w:tc>
        <w:tc>
          <w:tcPr>
            <w:tcW w:w="3402" w:type="dxa"/>
            <w:vAlign w:val="center"/>
          </w:tcPr>
          <w:p w14:paraId="7F4B27F2">
            <w:pPr>
              <w:pStyle w:val="50"/>
              <w:widowControl w:val="0"/>
              <w:ind w:firstLine="0" w:firstLineChars="0"/>
            </w:pPr>
            <w:r>
              <w:t>矿产、炼钢、制品加工</w:t>
            </w:r>
          </w:p>
        </w:tc>
      </w:tr>
    </w:tbl>
    <w:p w14:paraId="3C53925F">
      <w:pPr>
        <w:pStyle w:val="5"/>
        <w:ind w:firstLine="643"/>
        <w:rPr>
          <w:rFonts w:ascii="Times New Roman" w:hAnsi="Times New Roman" w:cs="Times New Roman"/>
        </w:rPr>
      </w:pPr>
      <w:r>
        <w:rPr>
          <w:rFonts w:ascii="Times New Roman" w:hAnsi="Times New Roman" w:cs="Times New Roman"/>
        </w:rPr>
        <w:t>3、创新资源不断汇聚，产业自主创新能力不断提升</w:t>
      </w:r>
    </w:p>
    <w:p w14:paraId="52F28BFD">
      <w:pPr>
        <w:pStyle w:val="42"/>
        <w:spacing w:before="97" w:after="97"/>
        <w:ind w:firstLine="640"/>
        <w:rPr>
          <w:rFonts w:ascii="Times New Roman"/>
        </w:rPr>
      </w:pPr>
      <w:r>
        <w:rPr>
          <w:rFonts w:ascii="Times New Roman"/>
          <w:bCs/>
        </w:rPr>
        <w:t>高新区高度重视科技创新，大力汇聚创新平台、创新人才等高端要素资源，不断推动高新区创新能力提升，成为高新区经济高质量发展的有力支撑。</w:t>
      </w:r>
      <w:r>
        <w:rPr>
          <w:rFonts w:ascii="Times New Roman"/>
          <w:b/>
        </w:rPr>
        <w:t>创新平台机构取得突破。</w:t>
      </w:r>
      <w:r>
        <w:rPr>
          <w:rFonts w:ascii="Times New Roman"/>
          <w:bCs/>
        </w:rPr>
        <w:t>拥有研究院</w:t>
      </w:r>
      <w:r>
        <w:rPr>
          <w:rFonts w:ascii="Times New Roman"/>
        </w:rPr>
        <w:t>所4家，省级以上重点实验室2家，市级以上工程技术研究中心17家，市级以上企业技术中心36家，各类院士（专家）工作站7个，其中，省级企业技术中心16家。</w:t>
      </w:r>
      <w:r>
        <w:rPr>
          <w:rFonts w:ascii="Times New Roman"/>
          <w:b/>
        </w:rPr>
        <w:t>创业孵化机构能级提升。</w:t>
      </w:r>
      <w:r>
        <w:rPr>
          <w:rFonts w:ascii="Times New Roman"/>
          <w:bCs/>
        </w:rPr>
        <w:t>建设</w:t>
      </w:r>
      <w:r>
        <w:rPr>
          <w:rFonts w:ascii="Times New Roman"/>
        </w:rPr>
        <w:t>科技企业孵化器3家（国家级1家），众创空间4家（科技部备案众创空间1家），科技企业加速器、大学科技园、生产力促进中心、产业技术创新联盟各1家，技术转移机构2家，具有国家级相关资质的产品检验检测机构2家。</w:t>
      </w:r>
      <w:r>
        <w:rPr>
          <w:rFonts w:ascii="Times New Roman"/>
          <w:b/>
        </w:rPr>
        <w:t>金融服务机构逐步丰富。</w:t>
      </w:r>
      <w:r>
        <w:rPr>
          <w:rFonts w:ascii="Times New Roman"/>
        </w:rPr>
        <w:t>培育创业风险投资机构3家，银行19家，保险代理机构12家，证券机构1家，担保公司3家，小额贷款公司5家，科技融资租赁公司与科技金融服务机构各1家。</w:t>
      </w:r>
      <w:r>
        <w:rPr>
          <w:rFonts w:ascii="Times New Roman"/>
          <w:b/>
          <w:bCs/>
        </w:rPr>
        <w:t>科技人才队伍不断壮大。</w:t>
      </w:r>
      <w:r>
        <w:rPr>
          <w:rFonts w:ascii="Times New Roman"/>
        </w:rPr>
        <w:t>积极落实云南省“云岭英才计划”、玉溪市“兴玉英才计划”等人才引进计划，引进国家级专家7人，享受“国贴”专家1人，云南省产业技术领军人才4人，省“百名海外高层次人才”入选者2人。此外，研和片区、红塔片区积极推进数控机床研究院、中国中医药大学产学研基地等一批公共服务平台建设，加快行业共性关键技术研发，支撑产业创新发展需求。</w:t>
      </w:r>
    </w:p>
    <w:p w14:paraId="2CB50589">
      <w:pPr>
        <w:widowControl w:val="0"/>
        <w:spacing w:line="600" w:lineRule="exact"/>
        <w:jc w:val="center"/>
        <w:rPr>
          <w:rFonts w:eastAsia="仿宋_GB2312"/>
          <w:b/>
          <w:kern w:val="2"/>
        </w:rPr>
      </w:pPr>
      <w:r>
        <w:rPr>
          <w:rFonts w:eastAsia="仿宋_GB2312"/>
          <w:b/>
          <w:kern w:val="2"/>
        </w:rPr>
        <w:t>表2：玉溪高新区部分主要研发创新平台</w:t>
      </w:r>
    </w:p>
    <w:tbl>
      <w:tblPr>
        <w:tblStyle w:val="60"/>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417"/>
        <w:gridCol w:w="4407"/>
        <w:gridCol w:w="2397"/>
      </w:tblGrid>
      <w:tr w14:paraId="142C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16F1A338">
            <w:pPr>
              <w:pStyle w:val="42"/>
              <w:widowControl/>
              <w:spacing w:before="0" w:beforeLines="0" w:after="0" w:afterLines="0" w:line="360" w:lineRule="auto"/>
              <w:ind w:firstLine="0" w:firstLineChars="0"/>
              <w:jc w:val="center"/>
              <w:rPr>
                <w:rFonts w:ascii="Times New Roman" w:eastAsiaTheme="minorEastAsia"/>
                <w:sz w:val="22"/>
                <w:szCs w:val="22"/>
              </w:rPr>
            </w:pPr>
            <w:r>
              <w:rPr>
                <w:rFonts w:ascii="Times New Roman" w:eastAsiaTheme="minorEastAsia"/>
                <w:b/>
                <w:bCs/>
                <w:sz w:val="22"/>
                <w:szCs w:val="22"/>
              </w:rPr>
              <w:t>序号</w:t>
            </w:r>
          </w:p>
        </w:tc>
        <w:tc>
          <w:tcPr>
            <w:tcW w:w="1417" w:type="dxa"/>
            <w:vAlign w:val="center"/>
          </w:tcPr>
          <w:p w14:paraId="23E00044">
            <w:pPr>
              <w:pStyle w:val="42"/>
              <w:widowControl/>
              <w:spacing w:before="0" w:beforeLines="0" w:after="0" w:afterLines="0" w:line="360" w:lineRule="auto"/>
              <w:ind w:firstLine="0" w:firstLineChars="0"/>
              <w:jc w:val="center"/>
              <w:rPr>
                <w:rFonts w:ascii="Times New Roman" w:eastAsiaTheme="minorEastAsia"/>
                <w:sz w:val="22"/>
                <w:szCs w:val="22"/>
              </w:rPr>
            </w:pPr>
            <w:r>
              <w:rPr>
                <w:rFonts w:ascii="Times New Roman" w:eastAsiaTheme="minorEastAsia"/>
                <w:b/>
                <w:bCs/>
                <w:sz w:val="22"/>
                <w:szCs w:val="22"/>
              </w:rPr>
              <w:t>机构级别</w:t>
            </w:r>
          </w:p>
        </w:tc>
        <w:tc>
          <w:tcPr>
            <w:tcW w:w="4407" w:type="dxa"/>
            <w:vAlign w:val="center"/>
          </w:tcPr>
          <w:p w14:paraId="0F6B26DD">
            <w:pPr>
              <w:pStyle w:val="42"/>
              <w:widowControl/>
              <w:spacing w:before="0" w:beforeLines="0" w:after="0" w:afterLines="0" w:line="360" w:lineRule="auto"/>
              <w:ind w:firstLine="0" w:firstLineChars="0"/>
              <w:jc w:val="center"/>
              <w:rPr>
                <w:rFonts w:ascii="Times New Roman" w:eastAsiaTheme="minorEastAsia"/>
                <w:sz w:val="22"/>
                <w:szCs w:val="22"/>
              </w:rPr>
            </w:pPr>
            <w:r>
              <w:rPr>
                <w:rFonts w:ascii="Times New Roman" w:eastAsiaTheme="minorEastAsia"/>
                <w:b/>
                <w:bCs/>
                <w:sz w:val="22"/>
                <w:szCs w:val="22"/>
              </w:rPr>
              <w:t>研发机构名称</w:t>
            </w:r>
          </w:p>
        </w:tc>
        <w:tc>
          <w:tcPr>
            <w:tcW w:w="2397" w:type="dxa"/>
            <w:vAlign w:val="center"/>
          </w:tcPr>
          <w:p w14:paraId="222FFF15">
            <w:pPr>
              <w:pStyle w:val="42"/>
              <w:widowControl/>
              <w:spacing w:before="0" w:beforeLines="0" w:after="0" w:afterLines="0" w:line="360" w:lineRule="auto"/>
              <w:ind w:firstLine="0" w:firstLineChars="0"/>
              <w:jc w:val="center"/>
              <w:rPr>
                <w:rFonts w:ascii="Times New Roman" w:eastAsiaTheme="minorEastAsia"/>
                <w:sz w:val="22"/>
                <w:szCs w:val="22"/>
              </w:rPr>
            </w:pPr>
            <w:r>
              <w:rPr>
                <w:rFonts w:ascii="Times New Roman" w:eastAsiaTheme="minorEastAsia"/>
                <w:b/>
                <w:bCs/>
                <w:sz w:val="22"/>
                <w:szCs w:val="22"/>
              </w:rPr>
              <w:t>机构类型</w:t>
            </w:r>
          </w:p>
        </w:tc>
      </w:tr>
      <w:tr w14:paraId="7151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5260754F">
            <w:pPr>
              <w:pStyle w:val="50"/>
              <w:widowControl w:val="0"/>
              <w:ind w:firstLine="0" w:firstLineChars="0"/>
              <w:jc w:val="center"/>
            </w:pPr>
            <w:r>
              <w:t>1</w:t>
            </w:r>
          </w:p>
        </w:tc>
        <w:tc>
          <w:tcPr>
            <w:tcW w:w="1417" w:type="dxa"/>
            <w:vAlign w:val="center"/>
          </w:tcPr>
          <w:p w14:paraId="7901B377">
            <w:pPr>
              <w:pStyle w:val="50"/>
              <w:widowControl w:val="0"/>
              <w:ind w:firstLine="0" w:firstLineChars="0"/>
              <w:jc w:val="center"/>
            </w:pPr>
            <w:r>
              <w:t>国家级</w:t>
            </w:r>
          </w:p>
        </w:tc>
        <w:tc>
          <w:tcPr>
            <w:tcW w:w="4407" w:type="dxa"/>
            <w:vAlign w:val="center"/>
          </w:tcPr>
          <w:p w14:paraId="1A6F6906">
            <w:pPr>
              <w:pStyle w:val="50"/>
              <w:widowControl w:val="0"/>
              <w:ind w:firstLine="0" w:firstLineChars="0"/>
              <w:jc w:val="center"/>
            </w:pPr>
            <w:r>
              <w:t>红塔（烟草）集团企业技术中心</w:t>
            </w:r>
          </w:p>
        </w:tc>
        <w:tc>
          <w:tcPr>
            <w:tcW w:w="2397" w:type="dxa"/>
            <w:vAlign w:val="center"/>
          </w:tcPr>
          <w:p w14:paraId="78CED610">
            <w:pPr>
              <w:pStyle w:val="50"/>
              <w:widowControl w:val="0"/>
              <w:ind w:firstLine="0" w:firstLineChars="0"/>
              <w:jc w:val="center"/>
            </w:pPr>
            <w:r>
              <w:t>企业技术中心</w:t>
            </w:r>
          </w:p>
        </w:tc>
      </w:tr>
      <w:tr w14:paraId="30D8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1A8336A5">
            <w:pPr>
              <w:pStyle w:val="50"/>
              <w:widowControl w:val="0"/>
              <w:ind w:firstLine="0" w:firstLineChars="0"/>
              <w:jc w:val="center"/>
            </w:pPr>
            <w:r>
              <w:t>2</w:t>
            </w:r>
          </w:p>
        </w:tc>
        <w:tc>
          <w:tcPr>
            <w:tcW w:w="1417" w:type="dxa"/>
            <w:vAlign w:val="center"/>
          </w:tcPr>
          <w:p w14:paraId="58A59375">
            <w:pPr>
              <w:pStyle w:val="50"/>
              <w:widowControl w:val="0"/>
              <w:ind w:firstLine="0" w:firstLineChars="0"/>
              <w:jc w:val="center"/>
            </w:pPr>
            <w:r>
              <w:t>省级</w:t>
            </w:r>
          </w:p>
        </w:tc>
        <w:tc>
          <w:tcPr>
            <w:tcW w:w="4407" w:type="dxa"/>
            <w:vAlign w:val="center"/>
          </w:tcPr>
          <w:p w14:paraId="2C016E1D">
            <w:pPr>
              <w:pStyle w:val="50"/>
              <w:widowControl w:val="0"/>
              <w:ind w:firstLine="0" w:firstLineChars="0"/>
              <w:jc w:val="center"/>
            </w:pPr>
            <w:r>
              <w:t>玉溪中烟种子产业化重点实验室</w:t>
            </w:r>
          </w:p>
        </w:tc>
        <w:tc>
          <w:tcPr>
            <w:tcW w:w="2397" w:type="dxa"/>
            <w:vAlign w:val="center"/>
          </w:tcPr>
          <w:p w14:paraId="50A055C4">
            <w:pPr>
              <w:pStyle w:val="50"/>
              <w:widowControl w:val="0"/>
              <w:ind w:firstLine="0" w:firstLineChars="0"/>
              <w:jc w:val="center"/>
            </w:pPr>
            <w:r>
              <w:t>重点实验室</w:t>
            </w:r>
          </w:p>
        </w:tc>
      </w:tr>
      <w:tr w14:paraId="105C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4D507F53">
            <w:pPr>
              <w:pStyle w:val="50"/>
              <w:widowControl w:val="0"/>
              <w:ind w:firstLine="0" w:firstLineChars="0"/>
              <w:jc w:val="center"/>
            </w:pPr>
            <w:r>
              <w:t>3</w:t>
            </w:r>
          </w:p>
        </w:tc>
        <w:tc>
          <w:tcPr>
            <w:tcW w:w="1417" w:type="dxa"/>
            <w:vAlign w:val="center"/>
          </w:tcPr>
          <w:p w14:paraId="0442C8D3">
            <w:pPr>
              <w:pStyle w:val="50"/>
              <w:widowControl w:val="0"/>
              <w:ind w:firstLine="0" w:firstLineChars="0"/>
              <w:jc w:val="center"/>
            </w:pPr>
            <w:r>
              <w:t>省级</w:t>
            </w:r>
          </w:p>
        </w:tc>
        <w:tc>
          <w:tcPr>
            <w:tcW w:w="4407" w:type="dxa"/>
            <w:vAlign w:val="center"/>
          </w:tcPr>
          <w:p w14:paraId="31CEF6DB">
            <w:pPr>
              <w:pStyle w:val="50"/>
              <w:widowControl w:val="0"/>
              <w:ind w:firstLine="0" w:firstLineChars="0"/>
              <w:jc w:val="center"/>
            </w:pPr>
            <w:r>
              <w:t>玉溪市光热工程技术研究中心</w:t>
            </w:r>
          </w:p>
        </w:tc>
        <w:tc>
          <w:tcPr>
            <w:tcW w:w="2397" w:type="dxa"/>
            <w:vAlign w:val="center"/>
          </w:tcPr>
          <w:p w14:paraId="6D453CA9">
            <w:pPr>
              <w:pStyle w:val="50"/>
              <w:widowControl w:val="0"/>
              <w:ind w:firstLine="0" w:firstLineChars="0"/>
              <w:jc w:val="center"/>
            </w:pPr>
            <w:r>
              <w:t>工程技术研究中心</w:t>
            </w:r>
          </w:p>
        </w:tc>
      </w:tr>
      <w:tr w14:paraId="371D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1BA79DFE">
            <w:pPr>
              <w:pStyle w:val="50"/>
              <w:widowControl w:val="0"/>
              <w:ind w:firstLine="0" w:firstLineChars="0"/>
              <w:jc w:val="center"/>
            </w:pPr>
            <w:r>
              <w:t>4</w:t>
            </w:r>
          </w:p>
        </w:tc>
        <w:tc>
          <w:tcPr>
            <w:tcW w:w="1417" w:type="dxa"/>
            <w:vAlign w:val="center"/>
          </w:tcPr>
          <w:p w14:paraId="6FD4CEE0">
            <w:pPr>
              <w:pStyle w:val="50"/>
              <w:widowControl w:val="0"/>
              <w:ind w:firstLine="0" w:firstLineChars="0"/>
              <w:jc w:val="center"/>
            </w:pPr>
            <w:r>
              <w:t>省级</w:t>
            </w:r>
          </w:p>
        </w:tc>
        <w:tc>
          <w:tcPr>
            <w:tcW w:w="4407" w:type="dxa"/>
            <w:vAlign w:val="center"/>
          </w:tcPr>
          <w:p w14:paraId="0BDA2769">
            <w:pPr>
              <w:pStyle w:val="50"/>
              <w:widowControl w:val="0"/>
              <w:ind w:firstLine="0" w:firstLineChars="0"/>
              <w:jc w:val="center"/>
            </w:pPr>
            <w:r>
              <w:t>玉溪新兴钢铁企业技术中心</w:t>
            </w:r>
          </w:p>
        </w:tc>
        <w:tc>
          <w:tcPr>
            <w:tcW w:w="2397" w:type="dxa"/>
            <w:vAlign w:val="center"/>
          </w:tcPr>
          <w:p w14:paraId="0B3C38B7">
            <w:pPr>
              <w:pStyle w:val="50"/>
              <w:widowControl w:val="0"/>
              <w:ind w:firstLine="0" w:firstLineChars="0"/>
              <w:jc w:val="center"/>
            </w:pPr>
            <w:r>
              <w:t>企业技术中心</w:t>
            </w:r>
          </w:p>
        </w:tc>
      </w:tr>
      <w:tr w14:paraId="485B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1D300E0B">
            <w:pPr>
              <w:pStyle w:val="50"/>
              <w:widowControl w:val="0"/>
              <w:ind w:firstLine="0" w:firstLineChars="0"/>
              <w:jc w:val="center"/>
            </w:pPr>
            <w:r>
              <w:t>5</w:t>
            </w:r>
          </w:p>
        </w:tc>
        <w:tc>
          <w:tcPr>
            <w:tcW w:w="1417" w:type="dxa"/>
            <w:vAlign w:val="center"/>
          </w:tcPr>
          <w:p w14:paraId="1CD82298">
            <w:pPr>
              <w:pStyle w:val="50"/>
              <w:widowControl w:val="0"/>
              <w:ind w:firstLine="0" w:firstLineChars="0"/>
              <w:jc w:val="center"/>
            </w:pPr>
            <w:r>
              <w:t>省级</w:t>
            </w:r>
          </w:p>
        </w:tc>
        <w:tc>
          <w:tcPr>
            <w:tcW w:w="4407" w:type="dxa"/>
            <w:vAlign w:val="center"/>
          </w:tcPr>
          <w:p w14:paraId="73FC5CFA">
            <w:pPr>
              <w:pStyle w:val="50"/>
              <w:widowControl w:val="0"/>
              <w:ind w:firstLine="0" w:firstLineChars="0"/>
              <w:jc w:val="center"/>
            </w:pPr>
            <w:r>
              <w:t>太标太阳能设备企业技术中心</w:t>
            </w:r>
          </w:p>
        </w:tc>
        <w:tc>
          <w:tcPr>
            <w:tcW w:w="2397" w:type="dxa"/>
            <w:vAlign w:val="center"/>
          </w:tcPr>
          <w:p w14:paraId="3D9D5374">
            <w:pPr>
              <w:pStyle w:val="50"/>
              <w:widowControl w:val="0"/>
              <w:ind w:firstLine="0" w:firstLineChars="0"/>
              <w:jc w:val="center"/>
            </w:pPr>
            <w:r>
              <w:t>企业技术中心</w:t>
            </w:r>
          </w:p>
        </w:tc>
      </w:tr>
      <w:tr w14:paraId="6A44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63E298F3">
            <w:pPr>
              <w:pStyle w:val="50"/>
              <w:widowControl w:val="0"/>
              <w:ind w:firstLine="0" w:firstLineChars="0"/>
              <w:jc w:val="center"/>
            </w:pPr>
            <w:r>
              <w:t>6</w:t>
            </w:r>
          </w:p>
        </w:tc>
        <w:tc>
          <w:tcPr>
            <w:tcW w:w="1417" w:type="dxa"/>
            <w:vAlign w:val="center"/>
          </w:tcPr>
          <w:p w14:paraId="41989CED">
            <w:pPr>
              <w:pStyle w:val="50"/>
              <w:widowControl w:val="0"/>
              <w:ind w:firstLine="0" w:firstLineChars="0"/>
              <w:jc w:val="center"/>
            </w:pPr>
            <w:r>
              <w:t>省级</w:t>
            </w:r>
          </w:p>
        </w:tc>
        <w:tc>
          <w:tcPr>
            <w:tcW w:w="4407" w:type="dxa"/>
            <w:vAlign w:val="center"/>
          </w:tcPr>
          <w:p w14:paraId="4434A3E4">
            <w:pPr>
              <w:pStyle w:val="50"/>
              <w:widowControl w:val="0"/>
              <w:ind w:firstLine="0" w:firstLineChars="0"/>
              <w:jc w:val="center"/>
            </w:pPr>
            <w:r>
              <w:t>中汇电力企业技术中心</w:t>
            </w:r>
          </w:p>
        </w:tc>
        <w:tc>
          <w:tcPr>
            <w:tcW w:w="2397" w:type="dxa"/>
            <w:vAlign w:val="center"/>
          </w:tcPr>
          <w:p w14:paraId="46633A67">
            <w:pPr>
              <w:pStyle w:val="50"/>
              <w:widowControl w:val="0"/>
              <w:ind w:firstLine="0" w:firstLineChars="0"/>
              <w:jc w:val="center"/>
            </w:pPr>
            <w:r>
              <w:t>企业技术中心</w:t>
            </w:r>
          </w:p>
        </w:tc>
      </w:tr>
      <w:tr w14:paraId="0BE3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10" w:type="dxa"/>
            <w:vAlign w:val="center"/>
          </w:tcPr>
          <w:p w14:paraId="304C5F94">
            <w:pPr>
              <w:pStyle w:val="50"/>
              <w:widowControl w:val="0"/>
              <w:ind w:firstLine="0" w:firstLineChars="0"/>
              <w:jc w:val="center"/>
            </w:pPr>
            <w:r>
              <w:t>7</w:t>
            </w:r>
          </w:p>
        </w:tc>
        <w:tc>
          <w:tcPr>
            <w:tcW w:w="1417" w:type="dxa"/>
            <w:vAlign w:val="center"/>
          </w:tcPr>
          <w:p w14:paraId="1B759940">
            <w:pPr>
              <w:pStyle w:val="50"/>
              <w:widowControl w:val="0"/>
              <w:ind w:firstLine="0" w:firstLineChars="0"/>
              <w:jc w:val="center"/>
            </w:pPr>
            <w:r>
              <w:t>市级</w:t>
            </w:r>
          </w:p>
        </w:tc>
        <w:tc>
          <w:tcPr>
            <w:tcW w:w="4407" w:type="dxa"/>
            <w:vAlign w:val="center"/>
          </w:tcPr>
          <w:p w14:paraId="04321008">
            <w:pPr>
              <w:pStyle w:val="50"/>
              <w:widowControl w:val="0"/>
              <w:ind w:firstLine="0" w:firstLineChars="0"/>
              <w:jc w:val="center"/>
            </w:pPr>
            <w:r>
              <w:t>玉溪市配电智能运维工程技术研究中心</w:t>
            </w:r>
          </w:p>
        </w:tc>
        <w:tc>
          <w:tcPr>
            <w:tcW w:w="2397" w:type="dxa"/>
            <w:vAlign w:val="center"/>
          </w:tcPr>
          <w:p w14:paraId="29FA83B7">
            <w:pPr>
              <w:pStyle w:val="50"/>
              <w:widowControl w:val="0"/>
              <w:ind w:firstLine="0" w:firstLineChars="0"/>
              <w:jc w:val="center"/>
            </w:pPr>
            <w:r>
              <w:t>工程技术研究中心</w:t>
            </w:r>
          </w:p>
        </w:tc>
      </w:tr>
      <w:tr w14:paraId="58DD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3C6C6BD8">
            <w:pPr>
              <w:pStyle w:val="50"/>
              <w:widowControl w:val="0"/>
              <w:ind w:firstLine="0" w:firstLineChars="0"/>
              <w:jc w:val="center"/>
            </w:pPr>
            <w:r>
              <w:t>8</w:t>
            </w:r>
          </w:p>
        </w:tc>
        <w:tc>
          <w:tcPr>
            <w:tcW w:w="1417" w:type="dxa"/>
            <w:vAlign w:val="center"/>
          </w:tcPr>
          <w:p w14:paraId="2D4C31F3">
            <w:pPr>
              <w:pStyle w:val="50"/>
              <w:widowControl w:val="0"/>
              <w:ind w:firstLine="0" w:firstLineChars="0"/>
              <w:jc w:val="center"/>
            </w:pPr>
            <w:r>
              <w:t>市级</w:t>
            </w:r>
          </w:p>
        </w:tc>
        <w:tc>
          <w:tcPr>
            <w:tcW w:w="4407" w:type="dxa"/>
            <w:vAlign w:val="center"/>
          </w:tcPr>
          <w:p w14:paraId="77FA4FE8">
            <w:pPr>
              <w:pStyle w:val="50"/>
              <w:widowControl w:val="0"/>
              <w:ind w:firstLine="0" w:firstLineChars="0"/>
              <w:jc w:val="center"/>
            </w:pPr>
            <w:r>
              <w:t>玉溪市龙门式数控机床光机产品工程技术研究中心</w:t>
            </w:r>
          </w:p>
        </w:tc>
        <w:tc>
          <w:tcPr>
            <w:tcW w:w="2397" w:type="dxa"/>
            <w:vAlign w:val="center"/>
          </w:tcPr>
          <w:p w14:paraId="63259C11">
            <w:pPr>
              <w:pStyle w:val="50"/>
              <w:widowControl w:val="0"/>
              <w:ind w:firstLine="0" w:firstLineChars="0"/>
              <w:jc w:val="center"/>
            </w:pPr>
            <w:r>
              <w:t>工程技术研究中心</w:t>
            </w:r>
          </w:p>
        </w:tc>
      </w:tr>
      <w:tr w14:paraId="3BB8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0B60E9F0">
            <w:pPr>
              <w:pStyle w:val="50"/>
              <w:widowControl w:val="0"/>
              <w:ind w:firstLine="0" w:firstLineChars="0"/>
              <w:jc w:val="center"/>
            </w:pPr>
            <w:r>
              <w:t>9</w:t>
            </w:r>
          </w:p>
        </w:tc>
        <w:tc>
          <w:tcPr>
            <w:tcW w:w="1417" w:type="dxa"/>
            <w:vAlign w:val="center"/>
          </w:tcPr>
          <w:p w14:paraId="4256789B">
            <w:pPr>
              <w:pStyle w:val="50"/>
              <w:widowControl w:val="0"/>
              <w:ind w:firstLine="0" w:firstLineChars="0"/>
              <w:jc w:val="center"/>
            </w:pPr>
            <w:r>
              <w:t>市级</w:t>
            </w:r>
          </w:p>
        </w:tc>
        <w:tc>
          <w:tcPr>
            <w:tcW w:w="4407" w:type="dxa"/>
            <w:vAlign w:val="center"/>
          </w:tcPr>
          <w:p w14:paraId="494A668B">
            <w:pPr>
              <w:pStyle w:val="50"/>
              <w:widowControl w:val="0"/>
              <w:ind w:firstLine="0" w:firstLineChars="0"/>
              <w:jc w:val="center"/>
            </w:pPr>
            <w:r>
              <w:t>玉溪市农机装备工程技术研究中心</w:t>
            </w:r>
          </w:p>
        </w:tc>
        <w:tc>
          <w:tcPr>
            <w:tcW w:w="2397" w:type="dxa"/>
            <w:vAlign w:val="center"/>
          </w:tcPr>
          <w:p w14:paraId="7F9FCBCA">
            <w:pPr>
              <w:pStyle w:val="50"/>
              <w:widowControl w:val="0"/>
              <w:ind w:firstLine="0" w:firstLineChars="0"/>
              <w:jc w:val="center"/>
            </w:pPr>
            <w:r>
              <w:t>工程技术研究中心</w:t>
            </w:r>
          </w:p>
        </w:tc>
      </w:tr>
      <w:tr w14:paraId="4A7F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75BB81C3">
            <w:pPr>
              <w:pStyle w:val="50"/>
              <w:widowControl w:val="0"/>
              <w:ind w:firstLine="0" w:firstLineChars="0"/>
              <w:jc w:val="center"/>
            </w:pPr>
            <w:r>
              <w:t>10</w:t>
            </w:r>
          </w:p>
        </w:tc>
        <w:tc>
          <w:tcPr>
            <w:tcW w:w="1417" w:type="dxa"/>
            <w:vAlign w:val="center"/>
          </w:tcPr>
          <w:p w14:paraId="58DACB11">
            <w:pPr>
              <w:pStyle w:val="50"/>
              <w:widowControl w:val="0"/>
              <w:ind w:firstLine="0" w:firstLineChars="0"/>
              <w:jc w:val="center"/>
            </w:pPr>
            <w:r>
              <w:t>市级</w:t>
            </w:r>
          </w:p>
        </w:tc>
        <w:tc>
          <w:tcPr>
            <w:tcW w:w="4407" w:type="dxa"/>
            <w:vAlign w:val="center"/>
          </w:tcPr>
          <w:p w14:paraId="0C0DA675">
            <w:pPr>
              <w:pStyle w:val="50"/>
              <w:widowControl w:val="0"/>
              <w:ind w:firstLine="0" w:firstLineChars="0"/>
              <w:jc w:val="center"/>
            </w:pPr>
            <w:r>
              <w:t>云南腾达机械企业技术中心</w:t>
            </w:r>
          </w:p>
        </w:tc>
        <w:tc>
          <w:tcPr>
            <w:tcW w:w="2397" w:type="dxa"/>
            <w:vAlign w:val="center"/>
          </w:tcPr>
          <w:p w14:paraId="0A599321">
            <w:pPr>
              <w:pStyle w:val="50"/>
              <w:widowControl w:val="0"/>
              <w:ind w:firstLine="0" w:firstLineChars="0"/>
              <w:jc w:val="center"/>
            </w:pPr>
            <w:r>
              <w:t>企业技术中心</w:t>
            </w:r>
          </w:p>
        </w:tc>
      </w:tr>
      <w:tr w14:paraId="3163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6C9C3563">
            <w:pPr>
              <w:pStyle w:val="50"/>
              <w:widowControl w:val="0"/>
              <w:ind w:firstLine="0" w:firstLineChars="0"/>
              <w:jc w:val="center"/>
            </w:pPr>
            <w:r>
              <w:t>11</w:t>
            </w:r>
          </w:p>
        </w:tc>
        <w:tc>
          <w:tcPr>
            <w:tcW w:w="1417" w:type="dxa"/>
            <w:vAlign w:val="center"/>
          </w:tcPr>
          <w:p w14:paraId="0999C092">
            <w:pPr>
              <w:pStyle w:val="50"/>
              <w:widowControl w:val="0"/>
              <w:ind w:firstLine="0" w:firstLineChars="0"/>
              <w:jc w:val="center"/>
            </w:pPr>
            <w:r>
              <w:t>市级</w:t>
            </w:r>
          </w:p>
        </w:tc>
        <w:tc>
          <w:tcPr>
            <w:tcW w:w="4407" w:type="dxa"/>
            <w:vAlign w:val="center"/>
          </w:tcPr>
          <w:p w14:paraId="7FE26D03">
            <w:pPr>
              <w:pStyle w:val="50"/>
              <w:widowControl w:val="0"/>
              <w:ind w:firstLine="0" w:firstLineChars="0"/>
              <w:jc w:val="center"/>
            </w:pPr>
            <w:r>
              <w:t>云南联塑科技企业技术中心</w:t>
            </w:r>
          </w:p>
        </w:tc>
        <w:tc>
          <w:tcPr>
            <w:tcW w:w="2397" w:type="dxa"/>
            <w:vAlign w:val="center"/>
          </w:tcPr>
          <w:p w14:paraId="3462EAF9">
            <w:pPr>
              <w:pStyle w:val="50"/>
              <w:widowControl w:val="0"/>
              <w:ind w:firstLine="0" w:firstLineChars="0"/>
              <w:jc w:val="center"/>
            </w:pPr>
            <w:r>
              <w:t>企业技术中心</w:t>
            </w:r>
          </w:p>
        </w:tc>
      </w:tr>
      <w:tr w14:paraId="476D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54B5ACC1">
            <w:pPr>
              <w:pStyle w:val="50"/>
              <w:widowControl w:val="0"/>
              <w:ind w:firstLine="0" w:firstLineChars="0"/>
              <w:jc w:val="center"/>
            </w:pPr>
            <w:r>
              <w:t>12</w:t>
            </w:r>
          </w:p>
        </w:tc>
        <w:tc>
          <w:tcPr>
            <w:tcW w:w="1417" w:type="dxa"/>
            <w:vAlign w:val="center"/>
          </w:tcPr>
          <w:p w14:paraId="01141F11">
            <w:pPr>
              <w:pStyle w:val="50"/>
              <w:widowControl w:val="0"/>
              <w:ind w:firstLine="0" w:firstLineChars="0"/>
              <w:jc w:val="center"/>
            </w:pPr>
            <w:r>
              <w:t>市级</w:t>
            </w:r>
          </w:p>
        </w:tc>
        <w:tc>
          <w:tcPr>
            <w:tcW w:w="4407" w:type="dxa"/>
            <w:vAlign w:val="center"/>
          </w:tcPr>
          <w:p w14:paraId="7490C90E">
            <w:pPr>
              <w:pStyle w:val="50"/>
              <w:widowControl w:val="0"/>
              <w:ind w:firstLine="0" w:firstLineChars="0"/>
              <w:jc w:val="center"/>
            </w:pPr>
            <w:r>
              <w:t>云南太标数控机床企业技术中心</w:t>
            </w:r>
          </w:p>
        </w:tc>
        <w:tc>
          <w:tcPr>
            <w:tcW w:w="2397" w:type="dxa"/>
            <w:vAlign w:val="center"/>
          </w:tcPr>
          <w:p w14:paraId="06EDD291">
            <w:pPr>
              <w:pStyle w:val="50"/>
              <w:widowControl w:val="0"/>
              <w:ind w:firstLine="0" w:firstLineChars="0"/>
              <w:jc w:val="center"/>
            </w:pPr>
            <w:r>
              <w:t>企业技术中心</w:t>
            </w:r>
          </w:p>
        </w:tc>
      </w:tr>
      <w:tr w14:paraId="2F20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21B4D689">
            <w:pPr>
              <w:pStyle w:val="50"/>
              <w:widowControl w:val="0"/>
              <w:ind w:firstLine="0" w:firstLineChars="0"/>
              <w:jc w:val="center"/>
            </w:pPr>
            <w:r>
              <w:t>13</w:t>
            </w:r>
          </w:p>
        </w:tc>
        <w:tc>
          <w:tcPr>
            <w:tcW w:w="1417" w:type="dxa"/>
            <w:vAlign w:val="center"/>
          </w:tcPr>
          <w:p w14:paraId="7792A9FD">
            <w:pPr>
              <w:pStyle w:val="50"/>
              <w:widowControl w:val="0"/>
              <w:ind w:firstLine="0" w:firstLineChars="0"/>
              <w:jc w:val="center"/>
            </w:pPr>
            <w:r>
              <w:t>市级</w:t>
            </w:r>
          </w:p>
        </w:tc>
        <w:tc>
          <w:tcPr>
            <w:tcW w:w="4407" w:type="dxa"/>
            <w:vAlign w:val="center"/>
          </w:tcPr>
          <w:p w14:paraId="7DF4EE0E">
            <w:pPr>
              <w:pStyle w:val="50"/>
              <w:widowControl w:val="0"/>
              <w:ind w:firstLine="0" w:firstLineChars="0"/>
              <w:jc w:val="center"/>
            </w:pPr>
            <w:r>
              <w:t>云南特固电气企业技术中心</w:t>
            </w:r>
          </w:p>
        </w:tc>
        <w:tc>
          <w:tcPr>
            <w:tcW w:w="2397" w:type="dxa"/>
            <w:vAlign w:val="center"/>
          </w:tcPr>
          <w:p w14:paraId="46CA5FAF">
            <w:pPr>
              <w:pStyle w:val="50"/>
              <w:widowControl w:val="0"/>
              <w:ind w:firstLine="0" w:firstLineChars="0"/>
              <w:jc w:val="center"/>
            </w:pPr>
            <w:r>
              <w:t>企业技术中心</w:t>
            </w:r>
          </w:p>
        </w:tc>
      </w:tr>
      <w:tr w14:paraId="0A92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44805875">
            <w:pPr>
              <w:pStyle w:val="50"/>
              <w:widowControl w:val="0"/>
              <w:ind w:firstLine="0" w:firstLineChars="0"/>
              <w:jc w:val="center"/>
            </w:pPr>
            <w:r>
              <w:t>14</w:t>
            </w:r>
          </w:p>
        </w:tc>
        <w:tc>
          <w:tcPr>
            <w:tcW w:w="1417" w:type="dxa"/>
            <w:vAlign w:val="center"/>
          </w:tcPr>
          <w:p w14:paraId="721F5995">
            <w:pPr>
              <w:pStyle w:val="50"/>
              <w:widowControl w:val="0"/>
              <w:ind w:firstLine="0" w:firstLineChars="0"/>
              <w:jc w:val="center"/>
            </w:pPr>
            <w:r>
              <w:t>市级</w:t>
            </w:r>
          </w:p>
        </w:tc>
        <w:tc>
          <w:tcPr>
            <w:tcW w:w="4407" w:type="dxa"/>
            <w:vAlign w:val="center"/>
          </w:tcPr>
          <w:p w14:paraId="3E5FCD0D">
            <w:pPr>
              <w:pStyle w:val="50"/>
              <w:widowControl w:val="0"/>
              <w:ind w:firstLine="0" w:firstLineChars="0"/>
              <w:jc w:val="center"/>
            </w:pPr>
            <w:r>
              <w:t>云南正成工企业技术中心</w:t>
            </w:r>
          </w:p>
        </w:tc>
        <w:tc>
          <w:tcPr>
            <w:tcW w:w="2397" w:type="dxa"/>
            <w:vAlign w:val="center"/>
          </w:tcPr>
          <w:p w14:paraId="011CE48E">
            <w:pPr>
              <w:pStyle w:val="50"/>
              <w:widowControl w:val="0"/>
              <w:ind w:firstLine="0" w:firstLineChars="0"/>
              <w:jc w:val="center"/>
            </w:pPr>
            <w:r>
              <w:t>企业技术中心</w:t>
            </w:r>
          </w:p>
        </w:tc>
      </w:tr>
      <w:tr w14:paraId="544F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3FC92B39">
            <w:pPr>
              <w:pStyle w:val="50"/>
              <w:widowControl w:val="0"/>
              <w:ind w:firstLine="0" w:firstLineChars="0"/>
              <w:jc w:val="center"/>
            </w:pPr>
            <w:r>
              <w:t>15</w:t>
            </w:r>
          </w:p>
        </w:tc>
        <w:tc>
          <w:tcPr>
            <w:tcW w:w="1417" w:type="dxa"/>
            <w:vAlign w:val="center"/>
          </w:tcPr>
          <w:p w14:paraId="49B1FC03">
            <w:pPr>
              <w:pStyle w:val="50"/>
              <w:widowControl w:val="0"/>
              <w:ind w:firstLine="0" w:firstLineChars="0"/>
              <w:jc w:val="center"/>
            </w:pPr>
            <w:r>
              <w:t>--</w:t>
            </w:r>
          </w:p>
        </w:tc>
        <w:tc>
          <w:tcPr>
            <w:tcW w:w="4407" w:type="dxa"/>
            <w:vAlign w:val="center"/>
          </w:tcPr>
          <w:p w14:paraId="1B303BE3">
            <w:pPr>
              <w:pStyle w:val="50"/>
              <w:widowControl w:val="0"/>
              <w:ind w:firstLine="0" w:firstLineChars="0"/>
              <w:jc w:val="center"/>
            </w:pPr>
            <w:r>
              <w:t>陈云飞专家工作站</w:t>
            </w:r>
          </w:p>
        </w:tc>
        <w:tc>
          <w:tcPr>
            <w:tcW w:w="2397" w:type="dxa"/>
            <w:vAlign w:val="center"/>
          </w:tcPr>
          <w:p w14:paraId="0FCC7B6C">
            <w:pPr>
              <w:pStyle w:val="50"/>
              <w:widowControl w:val="0"/>
              <w:ind w:firstLine="0" w:firstLineChars="0"/>
              <w:jc w:val="center"/>
            </w:pPr>
            <w:r>
              <w:t>院士工作站</w:t>
            </w:r>
          </w:p>
        </w:tc>
      </w:tr>
      <w:tr w14:paraId="4617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10" w:type="dxa"/>
            <w:vAlign w:val="center"/>
          </w:tcPr>
          <w:p w14:paraId="3A397150">
            <w:pPr>
              <w:pStyle w:val="50"/>
              <w:widowControl w:val="0"/>
              <w:ind w:firstLine="0" w:firstLineChars="0"/>
              <w:jc w:val="center"/>
            </w:pPr>
            <w:r>
              <w:t>16</w:t>
            </w:r>
          </w:p>
        </w:tc>
        <w:tc>
          <w:tcPr>
            <w:tcW w:w="1417" w:type="dxa"/>
            <w:vAlign w:val="center"/>
          </w:tcPr>
          <w:p w14:paraId="26B02EEB">
            <w:pPr>
              <w:pStyle w:val="50"/>
              <w:widowControl w:val="0"/>
              <w:ind w:firstLine="0" w:firstLineChars="0"/>
              <w:jc w:val="center"/>
            </w:pPr>
            <w:r>
              <w:t>--</w:t>
            </w:r>
          </w:p>
        </w:tc>
        <w:tc>
          <w:tcPr>
            <w:tcW w:w="4407" w:type="dxa"/>
            <w:vAlign w:val="center"/>
          </w:tcPr>
          <w:p w14:paraId="3FDD9265">
            <w:pPr>
              <w:pStyle w:val="50"/>
              <w:widowControl w:val="0"/>
              <w:ind w:firstLine="0" w:firstLineChars="0"/>
              <w:jc w:val="center"/>
            </w:pPr>
            <w:r>
              <w:t>云南省闻邦椿院士工作站</w:t>
            </w:r>
          </w:p>
        </w:tc>
        <w:tc>
          <w:tcPr>
            <w:tcW w:w="2397" w:type="dxa"/>
            <w:vAlign w:val="center"/>
          </w:tcPr>
          <w:p w14:paraId="2C232900">
            <w:pPr>
              <w:pStyle w:val="50"/>
              <w:widowControl w:val="0"/>
              <w:ind w:firstLine="0" w:firstLineChars="0"/>
              <w:jc w:val="center"/>
            </w:pPr>
            <w:r>
              <w:t>院士工作站</w:t>
            </w:r>
          </w:p>
        </w:tc>
      </w:tr>
    </w:tbl>
    <w:p w14:paraId="08E7A0A4">
      <w:pPr>
        <w:pStyle w:val="5"/>
        <w:ind w:firstLine="643"/>
        <w:rPr>
          <w:rFonts w:ascii="Times New Roman" w:hAnsi="Times New Roman" w:cs="Times New Roman"/>
        </w:rPr>
      </w:pPr>
      <w:r>
        <w:rPr>
          <w:rFonts w:ascii="Times New Roman" w:hAnsi="Times New Roman" w:cs="Times New Roman"/>
        </w:rPr>
        <w:t>4、产业空间持续拓展，基础配套设施不断完善</w:t>
      </w:r>
    </w:p>
    <w:p w14:paraId="634D16B0">
      <w:pPr>
        <w:pStyle w:val="42"/>
        <w:spacing w:before="97" w:after="97"/>
        <w:ind w:firstLine="640"/>
        <w:rPr>
          <w:rFonts w:ascii="Times New Roman"/>
        </w:rPr>
      </w:pPr>
      <w:r>
        <w:rPr>
          <w:rFonts w:ascii="Times New Roman"/>
        </w:rPr>
        <w:t>高新区重视土地资源集约化发展，持续优化产业发展空间，2017年高新区和龙泉园区实行一体化发展，2020年红塔工业园区、研和工业园区并入高新区，整体形成“一核两片区”的空间布局，即核心区（南片区、九龙片区、龙泉片区）、红塔片区、研和片区，产业发展空间进一步扩大，为高新区产业发展提供空间保障。</w:t>
      </w:r>
    </w:p>
    <w:p w14:paraId="0BA64A5B">
      <w:pPr>
        <w:pStyle w:val="42"/>
        <w:spacing w:before="97" w:after="97"/>
        <w:ind w:firstLine="643"/>
        <w:rPr>
          <w:rFonts w:ascii="Times New Roman"/>
        </w:rPr>
      </w:pPr>
      <w:r>
        <w:rPr>
          <w:rFonts w:ascii="Times New Roman"/>
          <w:b/>
        </w:rPr>
        <w:t>核心区</w:t>
      </w:r>
      <w:r>
        <w:rPr>
          <w:rFonts w:ascii="Times New Roman"/>
        </w:rPr>
        <w:t>以南片区、九龙片区和龙泉片区为依托，重点打造健康数字产城融合示范区，其中，南片区积极谋划土地集约转换，完成“退二进三”转型升级城市更新项目13个，盘活约284亩低效利用土地，持续推进生物医药产业园基础设施建设，完成高新小学建设，谋划打造“玉溪高新智慧城”，成为玉溪城市功能重要承载区；九龙片区积极布局数字产业基础设施，截至目前，建设完成九龙大数据产业园25.1万平方米标准厂房，建成华为、联通两大数据中心，共计2400个机柜。</w:t>
      </w:r>
    </w:p>
    <w:p w14:paraId="49E1334E">
      <w:pPr>
        <w:pStyle w:val="42"/>
        <w:spacing w:before="97" w:after="97"/>
        <w:ind w:firstLine="643"/>
        <w:rPr>
          <w:rFonts w:ascii="Times New Roman"/>
        </w:rPr>
      </w:pPr>
      <w:r>
        <w:rPr>
          <w:rFonts w:ascii="Times New Roman"/>
          <w:b/>
        </w:rPr>
        <w:t>红塔片区</w:t>
      </w:r>
      <w:r>
        <w:rPr>
          <w:rFonts w:ascii="Times New Roman"/>
        </w:rPr>
        <w:t>加快推进以“路、水、电、房”为重点的高新区基础设施建设，累计完成基础设施建设投资9.5亿元，修建道路8千米、铺设给排水管道24千米、架设供电线路40千米、修建标准厂房35.57万平方米，建成110KV彩虹变电站、10KV供电线路工程，持续完善生产原水供给、市政用水供应设施。</w:t>
      </w:r>
    </w:p>
    <w:p w14:paraId="0B98A87F">
      <w:pPr>
        <w:pStyle w:val="42"/>
        <w:spacing w:before="97" w:after="97"/>
        <w:ind w:firstLine="643"/>
        <w:rPr>
          <w:rFonts w:ascii="Times New Roman"/>
        </w:rPr>
      </w:pPr>
      <w:r>
        <w:rPr>
          <w:rFonts w:ascii="Times New Roman"/>
          <w:b/>
          <w:bCs/>
        </w:rPr>
        <w:t>研和片区</w:t>
      </w:r>
      <w:r>
        <w:rPr>
          <w:rFonts w:ascii="Times New Roman"/>
          <w:bCs/>
        </w:rPr>
        <w:t>以</w:t>
      </w:r>
      <w:r>
        <w:rPr>
          <w:rFonts w:ascii="Times New Roman"/>
        </w:rPr>
        <w:t>产业发展为核心，不断完善水、电、路、气、房等配套基础设施，新型城镇化功能不断完善。</w:t>
      </w:r>
      <w:r>
        <w:rPr>
          <w:rFonts w:hint="eastAsia" w:ascii="Times New Roman"/>
        </w:rPr>
        <w:t>累计</w:t>
      </w:r>
      <w:r>
        <w:rPr>
          <w:rFonts w:ascii="Times New Roman"/>
        </w:rPr>
        <w:t>建设省道102线等主干道11.8公里，产业性干道11条，生活性干道7条，合计24.2公里。绿化面积达12.19万平方米，配套公共照明路灯1746盏。建成110KV研和变电站、宋官变电站、哨坡变电站以及110KV玉钢2号变输电线路，其中10KV线路长度12.85KM，110KV线路长度9.98KM。建成研和公共租赁住房和双创中心4200套，总建筑面积达22万平方米。持续加大产业载体建设投入，产业功能持续完善。数控机床产业园建成14万平方米标准化厂房，现代物流产业园启动建设，云南最大铁路物流区玉溪研和新火车货运站竣工建成，成为泛亚铁路中线上的重要物流中心，中国西南·玉溪国际物流港项目完成了项目规划发展工作，玉磨铁路研和站进站道路工程即将完工。滇中（玉溪）粮食物流产业园已经开工建设，一期粮食仓储中转区建设项目和救灾物资储备库已经建成投入使用。</w:t>
      </w:r>
    </w:p>
    <w:p w14:paraId="5836312D">
      <w:pPr>
        <w:pStyle w:val="5"/>
        <w:ind w:firstLine="643"/>
        <w:rPr>
          <w:rFonts w:ascii="Times New Roman" w:hAnsi="Times New Roman" w:cs="Times New Roman"/>
        </w:rPr>
      </w:pPr>
      <w:r>
        <w:rPr>
          <w:rFonts w:ascii="Times New Roman" w:hAnsi="Times New Roman" w:cs="Times New Roman"/>
        </w:rPr>
        <w:t>5、持续营造一流营商环境，产业发展环境不断优化</w:t>
      </w:r>
    </w:p>
    <w:p w14:paraId="64FF4701">
      <w:pPr>
        <w:pStyle w:val="42"/>
        <w:spacing w:before="97" w:after="97"/>
        <w:ind w:firstLine="640"/>
        <w:rPr>
          <w:rFonts w:ascii="Times New Roman"/>
        </w:rPr>
      </w:pPr>
      <w:r>
        <w:rPr>
          <w:rFonts w:ascii="Times New Roman"/>
        </w:rPr>
        <w:t>高新区持续推进体制机制改革，不断优化营商环境，</w:t>
      </w:r>
      <w:r>
        <w:rPr>
          <w:rFonts w:ascii="Times New Roman"/>
          <w:bCs/>
        </w:rPr>
        <w:t>完善政策体系，提高开放程度</w:t>
      </w:r>
      <w:r>
        <w:rPr>
          <w:rFonts w:ascii="Times New Roman"/>
        </w:rPr>
        <w:t>，着力构建以企业发展、人才培育为核心的政策支撑体系，</w:t>
      </w:r>
      <w:r>
        <w:rPr>
          <w:rFonts w:ascii="Times New Roman"/>
          <w:bCs/>
        </w:rPr>
        <w:t>营造产业发展的良好环境</w:t>
      </w:r>
      <w:r>
        <w:rPr>
          <w:rFonts w:ascii="Times New Roman"/>
        </w:rPr>
        <w:t>。</w:t>
      </w:r>
      <w:r>
        <w:rPr>
          <w:rFonts w:ascii="Times New Roman"/>
          <w:b/>
          <w:bCs/>
        </w:rPr>
        <w:t>积极落实“放管服”改革。</w:t>
      </w:r>
      <w:r>
        <w:rPr>
          <w:rFonts w:ascii="Times New Roman"/>
        </w:rPr>
        <w:t>按照“一枚印章管审批”要求，全面清理审批事项，减少审批手续，搭建一站式“互联网+政务服务”平台，精简审批事项超过30%，服务事项平均办结时限由16.9天降到8.5天。</w:t>
      </w:r>
      <w:r>
        <w:rPr>
          <w:rFonts w:ascii="Times New Roman"/>
          <w:b/>
          <w:bCs/>
        </w:rPr>
        <w:t>完善政策支撑体系。</w:t>
      </w:r>
      <w:r>
        <w:rPr>
          <w:rFonts w:ascii="Times New Roman"/>
        </w:rPr>
        <w:t>围绕企业在科技创新、项目建设、人才引进、贷款融资等方面需求，陆续出台《玉溪高新区加快园区企业发展的意见》《玉溪高新区引进高层次人才暂行办法》《玉溪高新区企业贷款置换资金管理暂行办法》等系列政策，支持企业创新发展，不断优化高新区“软环境”。</w:t>
      </w:r>
      <w:r>
        <w:rPr>
          <w:rFonts w:ascii="Times New Roman"/>
          <w:b/>
          <w:bCs/>
        </w:rPr>
        <w:t>搭建资源链接平台。</w:t>
      </w:r>
      <w:r>
        <w:rPr>
          <w:rFonts w:ascii="Times New Roman"/>
        </w:rPr>
        <w:t>多次在深圳、上海等举办企业家座谈会、推介会，接待美国、韩国、马来西亚等诸多国内外企业来访。组织企业先后参加第五届中国——南亚博览会暨第25届中国昆明进出口商品交易会、第三届国际人才交流会生物医药大健康产业发展论坛——玉溪、孟中印缅商务论坛、第16届东盟华商会、滇港企业家对话活动等诸多交流活动，持续开拓国内外市场。</w:t>
      </w:r>
    </w:p>
    <w:p w14:paraId="7B724FBC">
      <w:pPr>
        <w:pStyle w:val="42"/>
        <w:spacing w:before="97" w:after="97"/>
        <w:ind w:firstLine="640"/>
        <w:rPr>
          <w:rFonts w:ascii="Times New Roman"/>
          <w:b/>
          <w:bCs/>
        </w:rPr>
      </w:pPr>
      <w:r>
        <w:rPr>
          <w:rFonts w:ascii="Times New Roman"/>
        </w:rPr>
        <w:t>总体来说，高新区依托区域资源优势及坚实的产业基础，在产业培育、创新资源集聚、产业空间拓展等方面取得一定成绩，但放眼全国，高新区产业发展仍存在发展困境，具体体现在以下五个方面：</w:t>
      </w:r>
      <w:r>
        <w:rPr>
          <w:rFonts w:ascii="Times New Roman"/>
          <w:b/>
        </w:rPr>
        <w:t>一是产业规模有待做大</w:t>
      </w:r>
      <w:r>
        <w:rPr>
          <w:rFonts w:ascii="Times New Roman"/>
        </w:rPr>
        <w:t>。2021年高新区实现</w:t>
      </w:r>
      <w:r>
        <w:rPr>
          <w:rFonts w:hint="eastAsia" w:ascii="Times New Roman"/>
        </w:rPr>
        <w:t>企业总营收约1</w:t>
      </w:r>
      <w:r>
        <w:rPr>
          <w:rFonts w:ascii="Times New Roman"/>
        </w:rPr>
        <w:t>500</w:t>
      </w:r>
      <w:r>
        <w:rPr>
          <w:rFonts w:hint="eastAsia" w:ascii="Times New Roman"/>
        </w:rPr>
        <w:t>亿元</w:t>
      </w:r>
      <w:r>
        <w:rPr>
          <w:rFonts w:ascii="Times New Roman"/>
        </w:rPr>
        <w:t>，同省份排名相近的昆明高新区（综合排名60位）、以及外省排名接近</w:t>
      </w:r>
      <w:r>
        <w:rPr>
          <w:rFonts w:hint="eastAsia" w:ascii="Times New Roman"/>
        </w:rPr>
        <w:t>的</w:t>
      </w:r>
      <w:r>
        <w:rPr>
          <w:rFonts w:ascii="Times New Roman"/>
        </w:rPr>
        <w:t>济宁高新区（综合排名79位）分别实现总营收2407.9亿元、3780亿元，高新区产业规模亟需做大。</w:t>
      </w:r>
      <w:r>
        <w:rPr>
          <w:rFonts w:ascii="Times New Roman"/>
          <w:b/>
        </w:rPr>
        <w:t>二是产业结构有待完善。</w:t>
      </w:r>
      <w:r>
        <w:rPr>
          <w:rFonts w:ascii="Times New Roman"/>
        </w:rPr>
        <w:t>卷烟及配套产业占地区生产总值（含烟）的比重近80%，新兴产业仍处于发展初期，产业规模较小。相较于楚雄高新区，</w:t>
      </w:r>
      <w:r>
        <w:rPr>
          <w:rFonts w:ascii="Times New Roman"/>
          <w:szCs w:val="32"/>
        </w:rPr>
        <w:t>新材料与绿色能源产业以及绿色食品产业等新兴产业规模发展较快，分别占高新区工业总产值25.8%和10.9%，共计占比36.7%以上。玉溪高新区新能源电池及材料、生物医药等产业目前产业链较短，未与周边区域形成有效竞合关系，还需加强产业链强链延链补链，进一步完善产业结构。</w:t>
      </w:r>
      <w:r>
        <w:rPr>
          <w:rFonts w:ascii="Times New Roman"/>
          <w:b/>
        </w:rPr>
        <w:t>三是产业创新能力有待提升</w:t>
      </w:r>
      <w:r>
        <w:rPr>
          <w:rFonts w:ascii="Times New Roman"/>
        </w:rPr>
        <w:t>。国家级、省级创新平台偏少，远低于综合排名接近的荆门（国家级研发机构13个）、大庆（国家级研发机构6个）等高新区，双创服务体系有待完善；高新区企业以加工制造为主，上游研发环节普遍缺失，研发创新能力偏弱。</w:t>
      </w:r>
      <w:r>
        <w:rPr>
          <w:rFonts w:ascii="Times New Roman"/>
          <w:b/>
        </w:rPr>
        <w:t>四是企业主体有待壮大</w:t>
      </w:r>
      <w:r>
        <w:rPr>
          <w:rFonts w:ascii="Times New Roman"/>
          <w:b/>
          <w:bCs/>
        </w:rPr>
        <w:t>。</w:t>
      </w:r>
      <w:r>
        <w:rPr>
          <w:rFonts w:ascii="Times New Roman"/>
        </w:rPr>
        <w:t>2021年，玉溪高新区高新技术企业累计达到83家，远低于国家高新区的中位数102家，瞪羚、独角兽企业目前仍未实现“零”的突破，亟需强化“双高”企业主体的引培和集聚。</w:t>
      </w:r>
      <w:r>
        <w:rPr>
          <w:rFonts w:ascii="Times New Roman"/>
          <w:b/>
          <w:bCs/>
        </w:rPr>
        <w:t>五是产业环境有待提升。</w:t>
      </w:r>
      <w:r>
        <w:rPr>
          <w:rFonts w:ascii="Times New Roman"/>
        </w:rPr>
        <w:t>研和片区配套基础设施亟需完善，产业政策及资金支持比较薄弱，产业发展软硬件环境有待进一步提高。</w:t>
      </w:r>
    </w:p>
    <w:bookmarkEnd w:id="25"/>
    <w:bookmarkEnd w:id="26"/>
    <w:p w14:paraId="168C3C3C">
      <w:pPr>
        <w:pStyle w:val="2"/>
        <w:spacing w:before="163" w:after="163"/>
        <w:ind w:left="620" w:firstLine="0" w:firstLineChars="0"/>
        <w:rPr>
          <w:rFonts w:ascii="Times New Roman" w:hAnsi="Times New Roman" w:cs="Times New Roman"/>
        </w:rPr>
      </w:pPr>
      <w:bookmarkStart w:id="27" w:name="_Toc84955596"/>
      <w:bookmarkEnd w:id="27"/>
      <w:bookmarkStart w:id="28" w:name="_Toc84955593"/>
      <w:bookmarkEnd w:id="28"/>
      <w:bookmarkStart w:id="29" w:name="_Toc84955505"/>
      <w:bookmarkEnd w:id="29"/>
      <w:bookmarkStart w:id="30" w:name="_Toc84955458"/>
      <w:bookmarkEnd w:id="30"/>
      <w:bookmarkStart w:id="31" w:name="_Toc84955468"/>
      <w:bookmarkEnd w:id="31"/>
      <w:bookmarkStart w:id="32" w:name="_Toc84955506"/>
      <w:bookmarkEnd w:id="32"/>
      <w:bookmarkStart w:id="33" w:name="_Toc84955459"/>
      <w:bookmarkEnd w:id="33"/>
      <w:bookmarkStart w:id="34" w:name="_Toc84955507"/>
      <w:bookmarkEnd w:id="34"/>
      <w:bookmarkStart w:id="35" w:name="_Toc84955462"/>
      <w:bookmarkEnd w:id="35"/>
      <w:bookmarkStart w:id="36" w:name="_Toc84955597"/>
      <w:bookmarkEnd w:id="36"/>
      <w:bookmarkStart w:id="37" w:name="_Toc84955594"/>
      <w:bookmarkEnd w:id="37"/>
      <w:bookmarkStart w:id="38" w:name="_Toc84955461"/>
      <w:bookmarkEnd w:id="38"/>
      <w:bookmarkStart w:id="39" w:name="_Toc84955456"/>
      <w:bookmarkEnd w:id="39"/>
      <w:bookmarkStart w:id="40" w:name="_Toc84955595"/>
      <w:bookmarkEnd w:id="40"/>
      <w:bookmarkStart w:id="41" w:name="_Toc84955460"/>
      <w:bookmarkEnd w:id="41"/>
      <w:bookmarkStart w:id="42" w:name="_Toc84955601"/>
      <w:bookmarkEnd w:id="42"/>
      <w:bookmarkStart w:id="43" w:name="_Toc84955466"/>
      <w:bookmarkEnd w:id="43"/>
      <w:bookmarkStart w:id="44" w:name="_Toc84955464"/>
      <w:bookmarkEnd w:id="44"/>
      <w:bookmarkStart w:id="45" w:name="_Toc84955600"/>
      <w:bookmarkEnd w:id="45"/>
      <w:bookmarkStart w:id="46" w:name="_Toc84955463"/>
      <w:bookmarkEnd w:id="46"/>
      <w:bookmarkStart w:id="47" w:name="_Toc84955598"/>
      <w:bookmarkEnd w:id="47"/>
      <w:bookmarkStart w:id="48" w:name="_Toc84955599"/>
      <w:bookmarkEnd w:id="48"/>
      <w:bookmarkStart w:id="49" w:name="_Toc84955469"/>
      <w:bookmarkEnd w:id="49"/>
      <w:bookmarkStart w:id="50" w:name="_Toc84955467"/>
      <w:bookmarkEnd w:id="50"/>
      <w:bookmarkStart w:id="51" w:name="_Toc84955457"/>
      <w:bookmarkEnd w:id="51"/>
      <w:bookmarkStart w:id="52" w:name="_Toc84955465"/>
      <w:bookmarkEnd w:id="52"/>
      <w:bookmarkStart w:id="53" w:name="_Toc106901683"/>
      <w:bookmarkStart w:id="54" w:name="_Toc82871364"/>
      <w:r>
        <w:rPr>
          <w:rFonts w:ascii="Times New Roman" w:hAnsi="Times New Roman" w:cs="Times New Roman"/>
        </w:rPr>
        <w:t>二、总体思路</w:t>
      </w:r>
      <w:bookmarkEnd w:id="53"/>
      <w:bookmarkEnd w:id="54"/>
    </w:p>
    <w:p w14:paraId="3522FC5C">
      <w:pPr>
        <w:pStyle w:val="3"/>
        <w:spacing w:before="163" w:after="163"/>
        <w:ind w:firstLine="643"/>
        <w:rPr>
          <w:rFonts w:ascii="Times New Roman" w:hAnsi="Times New Roman" w:cs="Times New Roman"/>
        </w:rPr>
      </w:pPr>
      <w:bookmarkStart w:id="55" w:name="_Toc106901684"/>
      <w:r>
        <w:rPr>
          <w:rFonts w:ascii="Times New Roman" w:hAnsi="Times New Roman" w:cs="Times New Roman"/>
        </w:rPr>
        <w:t>（一）指导思想</w:t>
      </w:r>
      <w:bookmarkEnd w:id="55"/>
    </w:p>
    <w:p w14:paraId="1CF72C40">
      <w:pPr>
        <w:pStyle w:val="42"/>
        <w:spacing w:before="97" w:after="97"/>
        <w:ind w:firstLine="640"/>
        <w:rPr>
          <w:rFonts w:ascii="Times New Roman"/>
        </w:rPr>
      </w:pPr>
      <w:r>
        <w:rPr>
          <w:rFonts w:ascii="Times New Roman"/>
        </w:rPr>
        <w:t>以习近平新时代中国特色社会主义思想为指导，深入贯彻党的十九大</w:t>
      </w:r>
      <w:r>
        <w:rPr>
          <w:rFonts w:hint="eastAsia" w:ascii="Times New Roman"/>
          <w:lang w:eastAsia="zh-CN"/>
        </w:rPr>
        <w:t>和</w:t>
      </w:r>
      <w:r>
        <w:rPr>
          <w:rFonts w:ascii="Times New Roman"/>
        </w:rPr>
        <w:t>十九届历次全会精神、习近平总书记考察云南重要讲话和重要</w:t>
      </w:r>
      <w:r>
        <w:rPr>
          <w:rFonts w:hint="eastAsia" w:ascii="Times New Roman"/>
        </w:rPr>
        <w:t>指示批示</w:t>
      </w:r>
      <w:r>
        <w:rPr>
          <w:rFonts w:ascii="Times New Roman"/>
        </w:rPr>
        <w:t>精神，落实</w:t>
      </w:r>
      <w:r>
        <w:rPr>
          <w:rFonts w:hint="eastAsia" w:ascii="Times New Roman"/>
          <w:lang w:eastAsia="zh-CN"/>
        </w:rPr>
        <w:t>省第十一次党代会</w:t>
      </w:r>
      <w:r>
        <w:rPr>
          <w:rFonts w:ascii="Times New Roman"/>
        </w:rPr>
        <w:t>精神，完整、准确、全面贯彻新发展理念，聚焦主业，实施</w:t>
      </w:r>
      <w:r>
        <w:rPr>
          <w:rFonts w:ascii="Times New Roman"/>
          <w:b/>
          <w:bCs/>
        </w:rPr>
        <w:t>工业倍增计划</w:t>
      </w:r>
      <w:r>
        <w:rPr>
          <w:rFonts w:ascii="Times New Roman"/>
        </w:rPr>
        <w:t>，围绕以卷烟及配套和先进装备制造两大产业为优势，生物医药和新能源电池及材料两大产业为新兴，金属冶炼及压延加工为支撑的</w:t>
      </w:r>
      <w:r>
        <w:rPr>
          <w:rFonts w:ascii="Times New Roman"/>
          <w:b/>
          <w:bCs/>
        </w:rPr>
        <w:t>“二优二新一支撑”</w:t>
      </w:r>
      <w:r>
        <w:rPr>
          <w:rFonts w:ascii="Times New Roman"/>
        </w:rPr>
        <w:t>高质量现代产业体系，开展</w:t>
      </w:r>
      <w:r>
        <w:rPr>
          <w:rFonts w:ascii="Times New Roman"/>
          <w:b/>
          <w:bCs/>
        </w:rPr>
        <w:t>双十双百行动</w:t>
      </w:r>
      <w:r>
        <w:rPr>
          <w:rFonts w:ascii="Times New Roman"/>
        </w:rPr>
        <w:t>，建设</w:t>
      </w:r>
      <w:r>
        <w:rPr>
          <w:rFonts w:ascii="Times New Roman"/>
          <w:b/>
          <w:bCs/>
        </w:rPr>
        <w:t>十大专业化产业载体，搭建十大专业创新平台</w:t>
      </w:r>
      <w:r>
        <w:rPr>
          <w:rFonts w:ascii="Times New Roman"/>
        </w:rPr>
        <w:t>，突破</w:t>
      </w:r>
      <w:r>
        <w:rPr>
          <w:rFonts w:ascii="Times New Roman"/>
          <w:b/>
          <w:bCs/>
        </w:rPr>
        <w:t>百家高新技术企业</w:t>
      </w:r>
      <w:r>
        <w:rPr>
          <w:rFonts w:ascii="Times New Roman"/>
        </w:rPr>
        <w:t>，打造三个</w:t>
      </w:r>
      <w:r>
        <w:rPr>
          <w:rFonts w:hint="eastAsia" w:ascii="Times New Roman"/>
          <w:b/>
          <w:bCs/>
        </w:rPr>
        <w:t>五</w:t>
      </w:r>
      <w:r>
        <w:rPr>
          <w:rFonts w:ascii="Times New Roman"/>
          <w:b/>
          <w:bCs/>
        </w:rPr>
        <w:t>百亿产业集群</w:t>
      </w:r>
      <w:r>
        <w:rPr>
          <w:rFonts w:ascii="Times New Roman"/>
        </w:rPr>
        <w:t>，持续完善产业服务体系，加速优化产业空间布局和发展环境，着力提升数字化、智能化、绿色化水平，实现创新驱动高质量发展，将玉溪高新技术产业开发区打造成为“西南开放特色新经济增长极”，为全市打造“一极两区”贡献“高新力量”，为云南省高质量跨越式发展提供有力支撑。</w:t>
      </w:r>
    </w:p>
    <w:p w14:paraId="0963FD68">
      <w:pPr>
        <w:pStyle w:val="3"/>
        <w:spacing w:before="163" w:after="163"/>
        <w:ind w:firstLine="643"/>
        <w:rPr>
          <w:rFonts w:ascii="Times New Roman" w:hAnsi="Times New Roman" w:cs="Times New Roman"/>
        </w:rPr>
      </w:pPr>
      <w:bookmarkStart w:id="56" w:name="_Toc82871366"/>
      <w:bookmarkStart w:id="57" w:name="_Toc106901685"/>
      <w:r>
        <w:rPr>
          <w:rFonts w:ascii="Times New Roman" w:hAnsi="Times New Roman" w:cs="Times New Roman"/>
        </w:rPr>
        <w:t>（二）发展原则</w:t>
      </w:r>
      <w:bookmarkEnd w:id="56"/>
      <w:bookmarkEnd w:id="57"/>
    </w:p>
    <w:p w14:paraId="1C0F4F3A">
      <w:pPr>
        <w:pStyle w:val="42"/>
        <w:spacing w:before="97" w:after="97"/>
        <w:ind w:firstLine="643"/>
        <w:rPr>
          <w:rFonts w:ascii="Times New Roman"/>
        </w:rPr>
      </w:pPr>
      <w:r>
        <w:rPr>
          <w:rFonts w:ascii="Times New Roman"/>
          <w:b/>
          <w:bCs/>
        </w:rPr>
        <w:t>科技引领，创新驱动。</w:t>
      </w:r>
      <w:r>
        <w:rPr>
          <w:rFonts w:ascii="Times New Roman"/>
        </w:rPr>
        <w:t>将创新作为产业培育壮大核心动力，优化创新创业环境，强化企业创新主体地位和主导作用，汇聚技术、人才、金融等创新要素，聚焦产业链高价值环节提升关键核心技术创新能力，实施一批显著提升产业核心竞争能力和质量效益水平的创新驱动型项目。</w:t>
      </w:r>
    </w:p>
    <w:p w14:paraId="505DEFA0">
      <w:pPr>
        <w:pStyle w:val="42"/>
        <w:spacing w:before="97" w:after="97"/>
        <w:ind w:firstLine="643"/>
        <w:rPr>
          <w:rFonts w:ascii="Times New Roman"/>
        </w:rPr>
      </w:pPr>
      <w:r>
        <w:rPr>
          <w:rFonts w:ascii="Times New Roman"/>
          <w:b/>
          <w:bCs/>
        </w:rPr>
        <w:t>强基补链，特色发展。</w:t>
      </w:r>
      <w:r>
        <w:rPr>
          <w:rFonts w:ascii="Times New Roman"/>
        </w:rPr>
        <w:t>立足区域特色，综合利用优势资源，强化先进装备制造、生物医药、新能源电池及材料等产业补链强链，提升产业核心竞争力，打造具有影响力的产业集群，推动卷烟及配套和金属冶炼及压延加工产业特色化发展，引领区域新旧动能转换。</w:t>
      </w:r>
    </w:p>
    <w:p w14:paraId="06FA2C9C">
      <w:pPr>
        <w:pStyle w:val="42"/>
        <w:spacing w:before="97" w:after="97"/>
        <w:ind w:firstLine="643"/>
        <w:rPr>
          <w:rFonts w:ascii="Times New Roman"/>
          <w:b/>
          <w:bCs/>
        </w:rPr>
      </w:pPr>
      <w:r>
        <w:rPr>
          <w:rFonts w:ascii="Times New Roman"/>
          <w:b/>
          <w:bCs/>
        </w:rPr>
        <w:t>特色主导，协同发展。</w:t>
      </w:r>
      <w:r>
        <w:rPr>
          <w:rFonts w:ascii="Times New Roman"/>
        </w:rPr>
        <w:t>以一区一特色为主导，在更大、更广的范围内整合集聚资源，主动链接北京、上海、广州等创新高地，与省内昆明、楚雄等产业高地形成特色化、差异化发展。强化园区间产业配合，探索多园区协同新机制，加强区域协同发展，加快辐射共享引领经济高质量发展的体制机制和发展方式。</w:t>
      </w:r>
    </w:p>
    <w:p w14:paraId="2FDD6565">
      <w:pPr>
        <w:pStyle w:val="42"/>
        <w:spacing w:before="97" w:after="97"/>
        <w:ind w:firstLine="643"/>
        <w:rPr>
          <w:rFonts w:ascii="Times New Roman"/>
        </w:rPr>
      </w:pPr>
      <w:r>
        <w:rPr>
          <w:rFonts w:ascii="Times New Roman"/>
          <w:b/>
          <w:bCs/>
        </w:rPr>
        <w:t>生态优先，绿色发展。</w:t>
      </w:r>
      <w:r>
        <w:rPr>
          <w:rFonts w:ascii="Times New Roman"/>
        </w:rPr>
        <w:t>正确处理好经济发展与环境保护的关系，从企业、产业、园区三个层面探索绿色经济发展路径与模式，积极探索绿色技术，践行资源节约型、环境友好型的产业发展模式和园区建设模式。</w:t>
      </w:r>
    </w:p>
    <w:p w14:paraId="115EAC8F">
      <w:pPr>
        <w:pStyle w:val="3"/>
        <w:spacing w:before="163" w:after="163"/>
        <w:ind w:firstLine="643"/>
        <w:rPr>
          <w:rFonts w:ascii="Times New Roman" w:hAnsi="Times New Roman" w:cs="Times New Roman"/>
        </w:rPr>
      </w:pPr>
      <w:bookmarkStart w:id="58" w:name="_Toc82871367"/>
      <w:bookmarkStart w:id="59" w:name="_Toc106901686"/>
      <w:r>
        <w:rPr>
          <w:rFonts w:ascii="Times New Roman" w:hAnsi="Times New Roman" w:cs="Times New Roman"/>
        </w:rPr>
        <w:t>（三）发展目标</w:t>
      </w:r>
      <w:bookmarkEnd w:id="58"/>
      <w:bookmarkEnd w:id="59"/>
    </w:p>
    <w:p w14:paraId="7306299A">
      <w:pPr>
        <w:pStyle w:val="42"/>
        <w:spacing w:before="97" w:after="97"/>
        <w:ind w:firstLine="640"/>
      </w:pPr>
      <w:r>
        <w:rPr>
          <w:rFonts w:hint="eastAsia"/>
        </w:rPr>
        <w:t>到2</w:t>
      </w:r>
      <w:r>
        <w:t>025</w:t>
      </w:r>
      <w:r>
        <w:rPr>
          <w:rFonts w:hint="eastAsia"/>
        </w:rPr>
        <w:t>年，玉溪高新区产业发展取得新成效，产业体系不断完善，创新能力大幅提升，数字化、绿色化、智能化程度进一步提升，实现产业规模与创新能力双倍增，区域经济、科技、生态良性发展，奋力建设创新驱动发展示范区和高质量发展先行区，加快建成西南开放特色新经济的新兴增长极。</w:t>
      </w:r>
    </w:p>
    <w:p w14:paraId="584D0613">
      <w:pPr>
        <w:pStyle w:val="42"/>
        <w:spacing w:before="97" w:after="97"/>
        <w:ind w:firstLine="643"/>
        <w:rPr>
          <w:rFonts w:ascii="Times New Roman"/>
        </w:rPr>
      </w:pPr>
      <w:r>
        <w:rPr>
          <w:rFonts w:hint="eastAsia"/>
          <w:b/>
          <w:bCs/>
        </w:rPr>
        <w:t>——</w:t>
      </w:r>
      <w:r>
        <w:rPr>
          <w:b/>
          <w:bCs/>
        </w:rPr>
        <w:t>经济发展再上新台阶</w:t>
      </w:r>
      <w:r>
        <w:rPr>
          <w:rFonts w:hint="eastAsia"/>
          <w:b/>
          <w:bCs/>
        </w:rPr>
        <w:t>。</w:t>
      </w:r>
      <w:r>
        <w:rPr>
          <w:rFonts w:ascii="Times New Roman"/>
        </w:rPr>
        <w:t>到2025年，经济规模大幅提升，规模以上工业总产值由2021年1156亿元提高到2000亿元，年均增长14.7%；规模以上工业</w:t>
      </w:r>
      <w:r>
        <w:rPr>
          <w:rFonts w:hint="eastAsia" w:ascii="Times New Roman"/>
        </w:rPr>
        <w:t>增加值</w:t>
      </w:r>
      <w:r>
        <w:rPr>
          <w:rFonts w:ascii="Times New Roman"/>
        </w:rPr>
        <w:t>值由2021年531.7亿元提高到1100亿元，年均增长20</w:t>
      </w:r>
      <w:r>
        <w:rPr>
          <w:rFonts w:hint="eastAsia" w:ascii="Times New Roman"/>
        </w:rPr>
        <w:t>%</w:t>
      </w:r>
      <w:r>
        <w:rPr>
          <w:rFonts w:ascii="Times New Roman"/>
        </w:rPr>
        <w:t>。</w:t>
      </w:r>
    </w:p>
    <w:p w14:paraId="6A03D3D8">
      <w:pPr>
        <w:pStyle w:val="42"/>
        <w:spacing w:before="97" w:after="97"/>
        <w:ind w:firstLine="643"/>
        <w:rPr>
          <w:rFonts w:ascii="Times New Roman"/>
        </w:rPr>
      </w:pPr>
      <w:r>
        <w:rPr>
          <w:rFonts w:hint="eastAsia"/>
          <w:b/>
          <w:bCs/>
        </w:rPr>
        <w:t>——</w:t>
      </w:r>
      <w:r>
        <w:rPr>
          <w:b/>
          <w:bCs/>
        </w:rPr>
        <w:t>产业综合实力</w:t>
      </w:r>
      <w:r>
        <w:rPr>
          <w:rFonts w:hint="eastAsia"/>
          <w:b/>
          <w:bCs/>
        </w:rPr>
        <w:t>大幅</w:t>
      </w:r>
      <w:r>
        <w:rPr>
          <w:b/>
          <w:bCs/>
        </w:rPr>
        <w:t>提升</w:t>
      </w:r>
      <w:r>
        <w:rPr>
          <w:rFonts w:hint="eastAsia"/>
          <w:b/>
          <w:bCs/>
        </w:rPr>
        <w:t>。</w:t>
      </w:r>
      <w:r>
        <w:rPr>
          <w:rFonts w:ascii="Times New Roman"/>
        </w:rPr>
        <w:t>卷烟及配套产业提升发展成效明显，生物医药产业具有全国影响力，先进装备制造、金属冶炼及压延加工产业加速转型，新能源电池及材料产业逐步成型，新旧动能有序接力，产业发展质量和效益明显提高。到2025年，</w:t>
      </w:r>
      <w:r>
        <w:rPr>
          <w:rFonts w:hint="eastAsia" w:ascii="Times New Roman"/>
        </w:rPr>
        <w:t>集聚</w:t>
      </w:r>
      <w:r>
        <w:rPr>
          <w:rFonts w:ascii="Times New Roman"/>
        </w:rPr>
        <w:t>产值500亿元以上企业2家，100亿元以上企业5家，10亿元以上企业20家；</w:t>
      </w:r>
      <w:r>
        <w:rPr>
          <w:rFonts w:hint="eastAsia" w:ascii="Times New Roman"/>
        </w:rPr>
        <w:t>主营业务收入达到2</w:t>
      </w:r>
      <w:r>
        <w:rPr>
          <w:rFonts w:ascii="Times New Roman"/>
        </w:rPr>
        <w:t>8</w:t>
      </w:r>
      <w:r>
        <w:rPr>
          <w:rFonts w:hint="eastAsia" w:ascii="Times New Roman"/>
        </w:rPr>
        <w:t>00亿元，其中</w:t>
      </w:r>
      <w:r>
        <w:rPr>
          <w:rFonts w:ascii="Times New Roman"/>
        </w:rPr>
        <w:t>卷烟及配套产业</w:t>
      </w:r>
      <w:r>
        <w:rPr>
          <w:rFonts w:hint="eastAsia" w:ascii="Times New Roman"/>
        </w:rPr>
        <w:t>6</w:t>
      </w:r>
      <w:r>
        <w:rPr>
          <w:rFonts w:ascii="Times New Roman"/>
        </w:rPr>
        <w:t>00</w:t>
      </w:r>
      <w:r>
        <w:rPr>
          <w:rFonts w:hint="eastAsia" w:ascii="Times New Roman"/>
        </w:rPr>
        <w:t>亿元、</w:t>
      </w:r>
      <w:r>
        <w:rPr>
          <w:rFonts w:ascii="Times New Roman"/>
        </w:rPr>
        <w:t>生物医药产业</w:t>
      </w:r>
      <w:r>
        <w:rPr>
          <w:rFonts w:hint="eastAsia" w:ascii="Times New Roman"/>
        </w:rPr>
        <w:t>4</w:t>
      </w:r>
      <w:r>
        <w:rPr>
          <w:rFonts w:ascii="Times New Roman"/>
        </w:rPr>
        <w:t>00</w:t>
      </w:r>
      <w:r>
        <w:rPr>
          <w:rFonts w:hint="eastAsia" w:ascii="Times New Roman"/>
        </w:rPr>
        <w:t>亿元、</w:t>
      </w:r>
      <w:r>
        <w:rPr>
          <w:rFonts w:ascii="Times New Roman"/>
        </w:rPr>
        <w:t>先进装备制造产业</w:t>
      </w:r>
      <w:r>
        <w:rPr>
          <w:rFonts w:hint="eastAsia" w:ascii="Times New Roman"/>
        </w:rPr>
        <w:t>5</w:t>
      </w:r>
      <w:r>
        <w:rPr>
          <w:rFonts w:ascii="Times New Roman"/>
        </w:rPr>
        <w:t>00</w:t>
      </w:r>
      <w:r>
        <w:rPr>
          <w:rFonts w:hint="eastAsia" w:ascii="Times New Roman"/>
        </w:rPr>
        <w:t>亿元、</w:t>
      </w:r>
      <w:r>
        <w:rPr>
          <w:rFonts w:ascii="Times New Roman"/>
        </w:rPr>
        <w:t>新能源电池及材料产业</w:t>
      </w:r>
      <w:r>
        <w:rPr>
          <w:rFonts w:hint="eastAsia" w:ascii="Times New Roman"/>
        </w:rPr>
        <w:t>6</w:t>
      </w:r>
      <w:r>
        <w:rPr>
          <w:rFonts w:ascii="Times New Roman"/>
        </w:rPr>
        <w:t>00</w:t>
      </w:r>
      <w:r>
        <w:rPr>
          <w:rFonts w:hint="eastAsia" w:ascii="Times New Roman"/>
        </w:rPr>
        <w:t>亿元、</w:t>
      </w:r>
      <w:r>
        <w:rPr>
          <w:rFonts w:ascii="Times New Roman"/>
        </w:rPr>
        <w:t>金属冶炼及压延加工</w:t>
      </w:r>
      <w:r>
        <w:rPr>
          <w:rFonts w:hint="eastAsia" w:ascii="Times New Roman"/>
        </w:rPr>
        <w:t>产业</w:t>
      </w:r>
      <w:r>
        <w:rPr>
          <w:rFonts w:ascii="Times New Roman"/>
        </w:rPr>
        <w:t>400</w:t>
      </w:r>
      <w:r>
        <w:rPr>
          <w:rFonts w:hint="eastAsia" w:ascii="Times New Roman"/>
        </w:rPr>
        <w:t>亿元</w:t>
      </w:r>
      <w:r>
        <w:rPr>
          <w:rFonts w:ascii="Times New Roman"/>
        </w:rPr>
        <w:t>。</w:t>
      </w:r>
    </w:p>
    <w:p w14:paraId="6E0E1E98">
      <w:pPr>
        <w:pStyle w:val="42"/>
        <w:spacing w:before="97" w:after="97"/>
        <w:ind w:firstLine="643"/>
        <w:rPr>
          <w:rFonts w:ascii="Times New Roman"/>
        </w:rPr>
      </w:pPr>
      <w:r>
        <w:rPr>
          <w:rFonts w:hint="eastAsia"/>
          <w:b/>
          <w:bCs/>
        </w:rPr>
        <w:t>——产业发展质量</w:t>
      </w:r>
      <w:r>
        <w:rPr>
          <w:b/>
          <w:bCs/>
        </w:rPr>
        <w:t>效益稳步增强</w:t>
      </w:r>
      <w:r>
        <w:rPr>
          <w:rFonts w:hint="eastAsia"/>
          <w:b/>
          <w:bCs/>
        </w:rPr>
        <w:t>。</w:t>
      </w:r>
      <w:r>
        <w:rPr>
          <w:rFonts w:ascii="Times New Roman"/>
        </w:rPr>
        <w:t>高质量企业进一步集聚，高成长企业实现零的突破，带动发展质量逐步提升，土地优化更新成效明显、利用效率和产出率明显提高，到2025年，亩均营业收入达到700万元</w:t>
      </w:r>
      <w:r>
        <w:rPr>
          <w:rFonts w:hint="eastAsia" w:ascii="Times New Roman"/>
        </w:rPr>
        <w:t>，</w:t>
      </w:r>
      <w:r>
        <w:rPr>
          <w:rFonts w:ascii="Times New Roman"/>
        </w:rPr>
        <w:t>亩均产值达到500万元</w:t>
      </w:r>
      <w:r>
        <w:rPr>
          <w:rFonts w:hint="eastAsia" w:ascii="Times New Roman"/>
        </w:rPr>
        <w:t>，</w:t>
      </w:r>
      <w:r>
        <w:rPr>
          <w:rFonts w:ascii="Times New Roman"/>
        </w:rPr>
        <w:t>亩均税收达到10万元</w:t>
      </w:r>
      <w:r>
        <w:rPr>
          <w:rFonts w:hint="eastAsia" w:ascii="Times New Roman"/>
        </w:rPr>
        <w:t>；</w:t>
      </w:r>
      <w:r>
        <w:rPr>
          <w:rFonts w:ascii="Times New Roman"/>
        </w:rPr>
        <w:t>世界500强、全国100强或行业领军企业10家，高新技术企业达到150家，高成长（瞪羚企业）企业达到2家，境内外上市（挂牌）企业达8家。</w:t>
      </w:r>
    </w:p>
    <w:p w14:paraId="35E33DD8">
      <w:pPr>
        <w:pStyle w:val="42"/>
        <w:spacing w:before="97" w:after="97"/>
        <w:ind w:firstLine="643"/>
        <w:rPr>
          <w:rFonts w:ascii="Times New Roman"/>
        </w:rPr>
      </w:pPr>
      <w:r>
        <w:rPr>
          <w:rFonts w:hint="eastAsia" w:ascii="Times New Roman"/>
          <w:b/>
          <w:bCs/>
        </w:rPr>
        <w:t>——</w:t>
      </w:r>
      <w:r>
        <w:rPr>
          <w:rFonts w:ascii="Times New Roman"/>
          <w:b/>
          <w:bCs/>
        </w:rPr>
        <w:t>高水平创新能力实现突破</w:t>
      </w:r>
      <w:r>
        <w:rPr>
          <w:rFonts w:hint="eastAsia" w:ascii="Times New Roman"/>
          <w:b/>
          <w:bCs/>
        </w:rPr>
        <w:t>。</w:t>
      </w:r>
      <w:r>
        <w:rPr>
          <w:rFonts w:ascii="Times New Roman"/>
        </w:rPr>
        <w:t>科技投入持续加大，双创平台载体提质增效，高水平的科技成果持续涌现。到2025年，研究与试验发展经费投入占生产总值比重达到1.6%，企业每万人从业人员当年发明专利授权达到35件，国家级研发机构、创新创业服务机构达到5家。</w:t>
      </w:r>
    </w:p>
    <w:p w14:paraId="2784A2BB">
      <w:pPr>
        <w:pStyle w:val="42"/>
        <w:spacing w:before="97" w:after="97"/>
        <w:ind w:firstLine="643"/>
        <w:rPr>
          <w:rFonts w:ascii="Times New Roman"/>
        </w:rPr>
      </w:pPr>
      <w:r>
        <w:rPr>
          <w:rFonts w:hint="eastAsia" w:ascii="Times New Roman"/>
          <w:b/>
          <w:bCs/>
        </w:rPr>
        <w:t>——</w:t>
      </w:r>
      <w:r>
        <w:rPr>
          <w:rFonts w:ascii="Times New Roman"/>
          <w:b/>
          <w:bCs/>
        </w:rPr>
        <w:t>高标准产业环境逐步形成</w:t>
      </w:r>
      <w:r>
        <w:rPr>
          <w:rFonts w:hint="eastAsia" w:ascii="Times New Roman"/>
          <w:b/>
          <w:bCs/>
        </w:rPr>
        <w:t>。</w:t>
      </w:r>
      <w:r>
        <w:rPr>
          <w:rFonts w:ascii="Times New Roman"/>
        </w:rPr>
        <w:t>产业空间布局不断优化，产业功能、创新功能、城市功能深度融合，产业空间布局和产业创新资源配置紧密结合，专业园区建设有序推进，</w:t>
      </w:r>
      <w:r>
        <w:rPr>
          <w:rFonts w:hint="eastAsia" w:ascii="Times New Roman"/>
        </w:rPr>
        <w:t>综合能效进一步提升，</w:t>
      </w:r>
      <w:r>
        <w:rPr>
          <w:rFonts w:ascii="Times New Roman"/>
        </w:rPr>
        <w:t>生态资源保护和环境综合治理全面推进。到2025年，单位规上增加值综合能耗降低至0.3吨标准煤/万元。</w:t>
      </w:r>
    </w:p>
    <w:p w14:paraId="09DA6791">
      <w:pPr>
        <w:spacing w:after="163" w:afterLines="50" w:line="560" w:lineRule="exact"/>
        <w:jc w:val="center"/>
        <w:rPr>
          <w:rFonts w:eastAsia="仿宋_GB2312"/>
          <w:b/>
          <w:szCs w:val="32"/>
        </w:rPr>
      </w:pPr>
      <w:r>
        <w:rPr>
          <w:rFonts w:eastAsia="仿宋_GB2312"/>
          <w:b/>
          <w:szCs w:val="32"/>
        </w:rPr>
        <w:t>表3：玉溪高新区产业发展指标体系</w:t>
      </w:r>
    </w:p>
    <w:tbl>
      <w:tblPr>
        <w:tblStyle w:val="26"/>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8"/>
        <w:gridCol w:w="993"/>
        <w:gridCol w:w="1134"/>
      </w:tblGrid>
      <w:tr w14:paraId="077C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1" w:type="dxa"/>
            <w:vAlign w:val="center"/>
          </w:tcPr>
          <w:p w14:paraId="0DE9DB5E">
            <w:pPr>
              <w:snapToGrid w:val="0"/>
              <w:jc w:val="center"/>
              <w:rPr>
                <w:rFonts w:eastAsia="仿宋_GB2312"/>
                <w:b/>
                <w:bCs/>
                <w:sz w:val="22"/>
                <w:szCs w:val="30"/>
              </w:rPr>
            </w:pPr>
            <w:r>
              <w:rPr>
                <w:rFonts w:eastAsia="仿宋_GB2312"/>
                <w:b/>
                <w:bCs/>
                <w:sz w:val="22"/>
                <w:szCs w:val="30"/>
              </w:rPr>
              <w:t>类别</w:t>
            </w:r>
          </w:p>
        </w:tc>
        <w:tc>
          <w:tcPr>
            <w:tcW w:w="5528" w:type="dxa"/>
            <w:vAlign w:val="center"/>
          </w:tcPr>
          <w:p w14:paraId="58384BBD">
            <w:pPr>
              <w:snapToGrid w:val="0"/>
              <w:jc w:val="center"/>
              <w:rPr>
                <w:rFonts w:eastAsia="仿宋_GB2312"/>
                <w:b/>
                <w:bCs/>
                <w:sz w:val="22"/>
                <w:szCs w:val="30"/>
              </w:rPr>
            </w:pPr>
            <w:r>
              <w:rPr>
                <w:rFonts w:eastAsia="仿宋_GB2312"/>
                <w:b/>
                <w:bCs/>
                <w:sz w:val="22"/>
                <w:szCs w:val="30"/>
              </w:rPr>
              <w:t>具体指标</w:t>
            </w:r>
          </w:p>
        </w:tc>
        <w:tc>
          <w:tcPr>
            <w:tcW w:w="993" w:type="dxa"/>
          </w:tcPr>
          <w:p w14:paraId="3D4D1FB4">
            <w:pPr>
              <w:snapToGrid w:val="0"/>
              <w:jc w:val="center"/>
              <w:rPr>
                <w:rFonts w:eastAsia="仿宋_GB2312"/>
                <w:b/>
                <w:bCs/>
                <w:sz w:val="22"/>
                <w:szCs w:val="30"/>
              </w:rPr>
            </w:pPr>
            <w:r>
              <w:rPr>
                <w:rFonts w:eastAsia="仿宋_GB2312"/>
                <w:b/>
                <w:bCs/>
                <w:sz w:val="22"/>
                <w:szCs w:val="30"/>
              </w:rPr>
              <w:t>2021年</w:t>
            </w:r>
          </w:p>
        </w:tc>
        <w:tc>
          <w:tcPr>
            <w:tcW w:w="1134" w:type="dxa"/>
            <w:vAlign w:val="center"/>
          </w:tcPr>
          <w:p w14:paraId="7C896447">
            <w:pPr>
              <w:snapToGrid w:val="0"/>
              <w:jc w:val="center"/>
              <w:rPr>
                <w:rFonts w:eastAsia="仿宋_GB2312"/>
                <w:b/>
                <w:bCs/>
                <w:sz w:val="22"/>
                <w:szCs w:val="30"/>
              </w:rPr>
            </w:pPr>
            <w:r>
              <w:rPr>
                <w:rFonts w:eastAsia="仿宋_GB2312"/>
                <w:b/>
                <w:bCs/>
                <w:sz w:val="22"/>
                <w:szCs w:val="30"/>
              </w:rPr>
              <w:t>2025</w:t>
            </w:r>
          </w:p>
        </w:tc>
      </w:tr>
      <w:tr w14:paraId="3FC9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58F0DAF7">
            <w:pPr>
              <w:rPr>
                <w:rFonts w:eastAsia="仿宋_GB2312"/>
                <w:b/>
                <w:bCs/>
                <w:sz w:val="22"/>
                <w:szCs w:val="30"/>
              </w:rPr>
            </w:pPr>
            <w:r>
              <w:rPr>
                <w:rFonts w:eastAsia="仿宋_GB2312"/>
                <w:b/>
                <w:bCs/>
                <w:sz w:val="22"/>
                <w:szCs w:val="30"/>
              </w:rPr>
              <w:t>产业规模</w:t>
            </w:r>
          </w:p>
        </w:tc>
        <w:tc>
          <w:tcPr>
            <w:tcW w:w="5528" w:type="dxa"/>
            <w:vAlign w:val="center"/>
          </w:tcPr>
          <w:p w14:paraId="682D36CB">
            <w:pPr>
              <w:adjustRightInd w:val="0"/>
              <w:snapToGrid w:val="0"/>
              <w:rPr>
                <w:rFonts w:eastAsia="仿宋_GB2312"/>
                <w:sz w:val="22"/>
              </w:rPr>
            </w:pPr>
            <w:r>
              <w:rPr>
                <w:rFonts w:eastAsia="仿宋_GB2312"/>
                <w:sz w:val="22"/>
              </w:rPr>
              <w:t>规模以上工业总产值（亿元）</w:t>
            </w:r>
          </w:p>
        </w:tc>
        <w:tc>
          <w:tcPr>
            <w:tcW w:w="993" w:type="dxa"/>
          </w:tcPr>
          <w:p w14:paraId="662EF68D">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1156</w:t>
            </w:r>
          </w:p>
        </w:tc>
        <w:tc>
          <w:tcPr>
            <w:tcW w:w="1134" w:type="dxa"/>
            <w:vAlign w:val="center"/>
          </w:tcPr>
          <w:p w14:paraId="5A06928B">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2000</w:t>
            </w:r>
          </w:p>
        </w:tc>
      </w:tr>
      <w:tr w14:paraId="485A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5C055B6C">
            <w:pPr>
              <w:rPr>
                <w:rFonts w:eastAsia="仿宋_GB2312"/>
                <w:b/>
                <w:bCs/>
                <w:sz w:val="22"/>
                <w:szCs w:val="30"/>
              </w:rPr>
            </w:pPr>
          </w:p>
        </w:tc>
        <w:tc>
          <w:tcPr>
            <w:tcW w:w="5528" w:type="dxa"/>
            <w:vAlign w:val="center"/>
          </w:tcPr>
          <w:p w14:paraId="4B59C5DD">
            <w:pPr>
              <w:adjustRightInd w:val="0"/>
              <w:snapToGrid w:val="0"/>
              <w:rPr>
                <w:rFonts w:eastAsia="仿宋_GB2312"/>
                <w:sz w:val="22"/>
              </w:rPr>
            </w:pPr>
            <w:r>
              <w:rPr>
                <w:rFonts w:eastAsia="仿宋_GB2312"/>
                <w:sz w:val="22"/>
              </w:rPr>
              <w:t>规模以上工业增加值（亿元）</w:t>
            </w:r>
          </w:p>
        </w:tc>
        <w:tc>
          <w:tcPr>
            <w:tcW w:w="993" w:type="dxa"/>
          </w:tcPr>
          <w:p w14:paraId="2C5508A7">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531.7</w:t>
            </w:r>
          </w:p>
        </w:tc>
        <w:tc>
          <w:tcPr>
            <w:tcW w:w="1134" w:type="dxa"/>
            <w:vAlign w:val="center"/>
          </w:tcPr>
          <w:p w14:paraId="27A8FDBB">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1100</w:t>
            </w:r>
          </w:p>
        </w:tc>
      </w:tr>
      <w:tr w14:paraId="5DA1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4E08D257">
            <w:pPr>
              <w:rPr>
                <w:rFonts w:eastAsia="仿宋_GB2312"/>
                <w:b/>
                <w:bCs/>
                <w:sz w:val="22"/>
                <w:szCs w:val="30"/>
              </w:rPr>
            </w:pPr>
          </w:p>
        </w:tc>
        <w:tc>
          <w:tcPr>
            <w:tcW w:w="5528" w:type="dxa"/>
            <w:vAlign w:val="center"/>
          </w:tcPr>
          <w:p w14:paraId="78E7A29F">
            <w:pPr>
              <w:adjustRightInd w:val="0"/>
              <w:snapToGrid w:val="0"/>
              <w:rPr>
                <w:rFonts w:eastAsia="仿宋_GB2312"/>
                <w:sz w:val="22"/>
              </w:rPr>
            </w:pPr>
            <w:r>
              <w:rPr>
                <w:rFonts w:eastAsia="仿宋_GB2312"/>
                <w:sz w:val="22"/>
              </w:rPr>
              <w:t>招商引资到位资金（亿元）</w:t>
            </w:r>
          </w:p>
        </w:tc>
        <w:tc>
          <w:tcPr>
            <w:tcW w:w="993" w:type="dxa"/>
          </w:tcPr>
          <w:p w14:paraId="6339FA29">
            <w:pPr>
              <w:snapToGrid w:val="0"/>
              <w:spacing w:line="400" w:lineRule="exact"/>
              <w:ind w:left="720" w:hanging="720"/>
              <w:jc w:val="center"/>
              <w:textAlignment w:val="baseline"/>
              <w:rPr>
                <w:rFonts w:eastAsia="仿宋_GB2312"/>
                <w:color w:val="000000" w:themeColor="text1"/>
                <w:sz w:val="22"/>
                <w:highlight w:val="yellow"/>
                <w14:textFill>
                  <w14:solidFill>
                    <w14:schemeClr w14:val="tx1"/>
                  </w14:solidFill>
                </w14:textFill>
              </w:rPr>
            </w:pPr>
            <w:r>
              <w:rPr>
                <w:rFonts w:eastAsia="仿宋_GB2312"/>
                <w:color w:val="000000" w:themeColor="text1"/>
                <w:sz w:val="22"/>
                <w14:textFill>
                  <w14:solidFill>
                    <w14:schemeClr w14:val="tx1"/>
                  </w14:solidFill>
                </w14:textFill>
              </w:rPr>
              <w:t>99</w:t>
            </w:r>
          </w:p>
        </w:tc>
        <w:tc>
          <w:tcPr>
            <w:tcW w:w="1134" w:type="dxa"/>
            <w:vAlign w:val="center"/>
          </w:tcPr>
          <w:p w14:paraId="27CD40F5">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200</w:t>
            </w:r>
          </w:p>
        </w:tc>
      </w:tr>
      <w:tr w14:paraId="3405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72D3A7F">
            <w:pPr>
              <w:rPr>
                <w:rFonts w:eastAsia="仿宋_GB2312"/>
                <w:b/>
                <w:bCs/>
                <w:sz w:val="22"/>
                <w:szCs w:val="30"/>
              </w:rPr>
            </w:pPr>
          </w:p>
        </w:tc>
        <w:tc>
          <w:tcPr>
            <w:tcW w:w="5528" w:type="dxa"/>
            <w:vAlign w:val="center"/>
          </w:tcPr>
          <w:p w14:paraId="34DFF9EF">
            <w:pPr>
              <w:adjustRightInd w:val="0"/>
              <w:snapToGrid w:val="0"/>
              <w:rPr>
                <w:rFonts w:eastAsia="仿宋_GB2312"/>
                <w:sz w:val="22"/>
              </w:rPr>
            </w:pPr>
            <w:r>
              <w:rPr>
                <w:rFonts w:eastAsia="仿宋_GB2312"/>
                <w:sz w:val="22"/>
              </w:rPr>
              <w:t>主营业务收入（亿元）</w:t>
            </w:r>
          </w:p>
        </w:tc>
        <w:tc>
          <w:tcPr>
            <w:tcW w:w="993" w:type="dxa"/>
          </w:tcPr>
          <w:p w14:paraId="6EFCAA1B">
            <w:pPr>
              <w:snapToGrid w:val="0"/>
              <w:spacing w:line="400" w:lineRule="exact"/>
              <w:ind w:left="720" w:hanging="720"/>
              <w:jc w:val="center"/>
              <w:textAlignment w:val="baseline"/>
              <w:rPr>
                <w:rFonts w:eastAsia="仿宋_GB2312"/>
                <w:color w:val="000000" w:themeColor="text1"/>
                <w:sz w:val="22"/>
                <w:highlight w:val="yellow"/>
                <w14:textFill>
                  <w14:solidFill>
                    <w14:schemeClr w14:val="tx1"/>
                  </w14:solidFill>
                </w14:textFill>
              </w:rPr>
            </w:pPr>
            <w:r>
              <w:rPr>
                <w:rFonts w:eastAsia="仿宋_GB2312"/>
                <w:color w:val="000000" w:themeColor="text1"/>
                <w:sz w:val="22"/>
                <w14:textFill>
                  <w14:solidFill>
                    <w14:schemeClr w14:val="tx1"/>
                  </w14:solidFill>
                </w14:textFill>
              </w:rPr>
              <w:t>1500</w:t>
            </w:r>
          </w:p>
        </w:tc>
        <w:tc>
          <w:tcPr>
            <w:tcW w:w="1134" w:type="dxa"/>
            <w:vAlign w:val="center"/>
          </w:tcPr>
          <w:p w14:paraId="716EF5C8">
            <w:pPr>
              <w:snapToGrid w:val="0"/>
              <w:spacing w:line="400" w:lineRule="exact"/>
              <w:ind w:left="720" w:hanging="720"/>
              <w:jc w:val="center"/>
              <w:textAlignment w:val="baseline"/>
              <w:rPr>
                <w:rFonts w:eastAsia="仿宋_GB2312"/>
                <w:color w:val="000000" w:themeColor="text1"/>
                <w:sz w:val="22"/>
                <w:highlight w:val="yellow"/>
                <w14:textFill>
                  <w14:solidFill>
                    <w14:schemeClr w14:val="tx1"/>
                  </w14:solidFill>
                </w14:textFill>
              </w:rPr>
            </w:pPr>
            <w:r>
              <w:rPr>
                <w:rFonts w:eastAsia="仿宋_GB2312"/>
                <w:color w:val="000000" w:themeColor="text1"/>
                <w:sz w:val="22"/>
                <w14:textFill>
                  <w14:solidFill>
                    <w14:schemeClr w14:val="tx1"/>
                  </w14:solidFill>
                </w14:textFill>
              </w:rPr>
              <w:t>2800</w:t>
            </w:r>
          </w:p>
        </w:tc>
      </w:tr>
      <w:tr w14:paraId="2D64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48B5FB8C">
            <w:pPr>
              <w:rPr>
                <w:rFonts w:eastAsia="仿宋_GB2312"/>
                <w:b/>
                <w:bCs/>
                <w:sz w:val="22"/>
                <w:szCs w:val="30"/>
              </w:rPr>
            </w:pPr>
          </w:p>
        </w:tc>
        <w:tc>
          <w:tcPr>
            <w:tcW w:w="5528" w:type="dxa"/>
            <w:vAlign w:val="center"/>
          </w:tcPr>
          <w:p w14:paraId="26B76670">
            <w:pPr>
              <w:adjustRightInd w:val="0"/>
              <w:snapToGrid w:val="0"/>
              <w:rPr>
                <w:rFonts w:eastAsia="仿宋_GB2312"/>
                <w:sz w:val="22"/>
              </w:rPr>
            </w:pPr>
            <w:r>
              <w:rPr>
                <w:rFonts w:eastAsia="仿宋_GB2312"/>
                <w:sz w:val="22"/>
              </w:rPr>
              <w:t>——卷烟及配套产业</w:t>
            </w:r>
            <w:r>
              <w:rPr>
                <w:rFonts w:hint="eastAsia" w:eastAsia="仿宋_GB2312"/>
                <w:sz w:val="22"/>
              </w:rPr>
              <w:t>营业收入</w:t>
            </w:r>
            <w:r>
              <w:rPr>
                <w:rFonts w:eastAsia="仿宋_GB2312"/>
                <w:sz w:val="22"/>
              </w:rPr>
              <w:t>（亿元）</w:t>
            </w:r>
          </w:p>
        </w:tc>
        <w:tc>
          <w:tcPr>
            <w:tcW w:w="993" w:type="dxa"/>
            <w:vAlign w:val="center"/>
          </w:tcPr>
          <w:p w14:paraId="7D7A4EC7">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545</w:t>
            </w:r>
          </w:p>
        </w:tc>
        <w:tc>
          <w:tcPr>
            <w:tcW w:w="1134" w:type="dxa"/>
            <w:vAlign w:val="center"/>
          </w:tcPr>
          <w:p w14:paraId="69F73196">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600</w:t>
            </w:r>
          </w:p>
        </w:tc>
      </w:tr>
      <w:tr w14:paraId="06C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816089D">
            <w:pPr>
              <w:rPr>
                <w:rFonts w:eastAsia="仿宋_GB2312"/>
                <w:b/>
                <w:bCs/>
                <w:sz w:val="22"/>
                <w:szCs w:val="30"/>
              </w:rPr>
            </w:pPr>
          </w:p>
        </w:tc>
        <w:tc>
          <w:tcPr>
            <w:tcW w:w="5528" w:type="dxa"/>
            <w:vAlign w:val="center"/>
          </w:tcPr>
          <w:p w14:paraId="2CD9A05D">
            <w:pPr>
              <w:adjustRightInd w:val="0"/>
              <w:snapToGrid w:val="0"/>
              <w:rPr>
                <w:rFonts w:eastAsia="仿宋_GB2312"/>
                <w:sz w:val="22"/>
              </w:rPr>
            </w:pPr>
            <w:r>
              <w:rPr>
                <w:rFonts w:eastAsia="仿宋_GB2312"/>
                <w:sz w:val="22"/>
              </w:rPr>
              <w:t>——先进装备制造产业</w:t>
            </w:r>
            <w:r>
              <w:rPr>
                <w:rFonts w:hint="eastAsia" w:eastAsia="仿宋_GB2312"/>
                <w:sz w:val="22"/>
              </w:rPr>
              <w:t>营业收入</w:t>
            </w:r>
            <w:r>
              <w:rPr>
                <w:rFonts w:eastAsia="仿宋_GB2312"/>
                <w:sz w:val="22"/>
              </w:rPr>
              <w:t>（亿元）</w:t>
            </w:r>
          </w:p>
        </w:tc>
        <w:tc>
          <w:tcPr>
            <w:tcW w:w="993" w:type="dxa"/>
            <w:vAlign w:val="center"/>
          </w:tcPr>
          <w:p w14:paraId="11296116">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90</w:t>
            </w:r>
          </w:p>
        </w:tc>
        <w:tc>
          <w:tcPr>
            <w:tcW w:w="1134" w:type="dxa"/>
            <w:vAlign w:val="center"/>
          </w:tcPr>
          <w:p w14:paraId="19A97593">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500</w:t>
            </w:r>
          </w:p>
        </w:tc>
      </w:tr>
      <w:tr w14:paraId="3F0B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00C21931">
            <w:pPr>
              <w:rPr>
                <w:rFonts w:eastAsia="仿宋_GB2312"/>
                <w:b/>
                <w:bCs/>
                <w:sz w:val="22"/>
                <w:szCs w:val="30"/>
              </w:rPr>
            </w:pPr>
          </w:p>
        </w:tc>
        <w:tc>
          <w:tcPr>
            <w:tcW w:w="5528" w:type="dxa"/>
            <w:vAlign w:val="center"/>
          </w:tcPr>
          <w:p w14:paraId="61A69FEC">
            <w:pPr>
              <w:adjustRightInd w:val="0"/>
              <w:snapToGrid w:val="0"/>
              <w:rPr>
                <w:rFonts w:eastAsia="仿宋_GB2312"/>
                <w:sz w:val="22"/>
              </w:rPr>
            </w:pPr>
            <w:r>
              <w:rPr>
                <w:rFonts w:eastAsia="仿宋_GB2312"/>
                <w:sz w:val="22"/>
              </w:rPr>
              <w:t>——生物医药产业</w:t>
            </w:r>
            <w:r>
              <w:rPr>
                <w:rFonts w:hint="eastAsia" w:eastAsia="仿宋_GB2312"/>
                <w:sz w:val="22"/>
              </w:rPr>
              <w:t>营业收入</w:t>
            </w:r>
            <w:r>
              <w:rPr>
                <w:rFonts w:eastAsia="仿宋_GB2312"/>
                <w:sz w:val="22"/>
              </w:rPr>
              <w:t>（亿元）</w:t>
            </w:r>
          </w:p>
        </w:tc>
        <w:tc>
          <w:tcPr>
            <w:tcW w:w="993" w:type="dxa"/>
            <w:vAlign w:val="center"/>
          </w:tcPr>
          <w:p w14:paraId="20E72351">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98</w:t>
            </w:r>
          </w:p>
        </w:tc>
        <w:tc>
          <w:tcPr>
            <w:tcW w:w="1134" w:type="dxa"/>
            <w:vAlign w:val="center"/>
          </w:tcPr>
          <w:p w14:paraId="52A6EC6A">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400</w:t>
            </w:r>
          </w:p>
        </w:tc>
      </w:tr>
      <w:tr w14:paraId="67E1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42F31437">
            <w:pPr>
              <w:rPr>
                <w:rFonts w:eastAsia="仿宋_GB2312"/>
                <w:b/>
                <w:bCs/>
                <w:sz w:val="22"/>
                <w:szCs w:val="30"/>
              </w:rPr>
            </w:pPr>
          </w:p>
        </w:tc>
        <w:tc>
          <w:tcPr>
            <w:tcW w:w="5528" w:type="dxa"/>
            <w:vAlign w:val="center"/>
          </w:tcPr>
          <w:p w14:paraId="1B43D8F3">
            <w:pPr>
              <w:adjustRightInd w:val="0"/>
              <w:snapToGrid w:val="0"/>
              <w:rPr>
                <w:rFonts w:eastAsia="仿宋_GB2312"/>
                <w:sz w:val="22"/>
              </w:rPr>
            </w:pPr>
            <w:r>
              <w:rPr>
                <w:rFonts w:eastAsia="仿宋_GB2312"/>
                <w:sz w:val="22"/>
              </w:rPr>
              <w:t>——新能源电池及材料产业</w:t>
            </w:r>
            <w:r>
              <w:rPr>
                <w:rFonts w:hint="eastAsia" w:eastAsia="仿宋_GB2312"/>
                <w:sz w:val="22"/>
              </w:rPr>
              <w:t>营业收入（亿</w:t>
            </w:r>
            <w:r>
              <w:rPr>
                <w:rFonts w:eastAsia="仿宋_GB2312"/>
                <w:sz w:val="22"/>
              </w:rPr>
              <w:t>元）</w:t>
            </w:r>
          </w:p>
        </w:tc>
        <w:tc>
          <w:tcPr>
            <w:tcW w:w="993" w:type="dxa"/>
            <w:vAlign w:val="center"/>
          </w:tcPr>
          <w:p w14:paraId="15FAC7D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hint="eastAsia" w:eastAsia="仿宋_GB2312"/>
                <w:sz w:val="22"/>
              </w:rPr>
              <w:t>-</w:t>
            </w:r>
          </w:p>
        </w:tc>
        <w:tc>
          <w:tcPr>
            <w:tcW w:w="1134" w:type="dxa"/>
            <w:vAlign w:val="center"/>
          </w:tcPr>
          <w:p w14:paraId="37F39F9B">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600</w:t>
            </w:r>
          </w:p>
        </w:tc>
      </w:tr>
      <w:tr w14:paraId="674F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F112AC1">
            <w:pPr>
              <w:rPr>
                <w:rFonts w:eastAsia="仿宋_GB2312"/>
                <w:b/>
                <w:bCs/>
                <w:sz w:val="22"/>
                <w:szCs w:val="30"/>
              </w:rPr>
            </w:pPr>
          </w:p>
        </w:tc>
        <w:tc>
          <w:tcPr>
            <w:tcW w:w="5528" w:type="dxa"/>
            <w:vAlign w:val="center"/>
          </w:tcPr>
          <w:p w14:paraId="067669E8">
            <w:pPr>
              <w:adjustRightInd w:val="0"/>
              <w:snapToGrid w:val="0"/>
              <w:rPr>
                <w:rFonts w:eastAsia="仿宋_GB2312"/>
                <w:sz w:val="22"/>
              </w:rPr>
            </w:pPr>
            <w:r>
              <w:rPr>
                <w:rFonts w:eastAsia="仿宋_GB2312"/>
                <w:sz w:val="22"/>
              </w:rPr>
              <w:t>——金属冶炼及压延加工产业</w:t>
            </w:r>
            <w:r>
              <w:rPr>
                <w:rFonts w:hint="eastAsia" w:eastAsia="仿宋_GB2312"/>
                <w:sz w:val="22"/>
              </w:rPr>
              <w:t>营业收入</w:t>
            </w:r>
            <w:r>
              <w:rPr>
                <w:rFonts w:eastAsia="仿宋_GB2312"/>
                <w:sz w:val="22"/>
              </w:rPr>
              <w:t>（亿元）</w:t>
            </w:r>
          </w:p>
        </w:tc>
        <w:tc>
          <w:tcPr>
            <w:tcW w:w="993" w:type="dxa"/>
          </w:tcPr>
          <w:p w14:paraId="72173653">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332</w:t>
            </w:r>
          </w:p>
        </w:tc>
        <w:tc>
          <w:tcPr>
            <w:tcW w:w="1134" w:type="dxa"/>
            <w:vAlign w:val="center"/>
          </w:tcPr>
          <w:p w14:paraId="69061E79">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400</w:t>
            </w:r>
          </w:p>
        </w:tc>
      </w:tr>
      <w:tr w14:paraId="29F7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4D5CCC6C">
            <w:pPr>
              <w:rPr>
                <w:rFonts w:eastAsia="仿宋_GB2312"/>
                <w:b/>
                <w:bCs/>
                <w:sz w:val="22"/>
                <w:szCs w:val="30"/>
              </w:rPr>
            </w:pPr>
          </w:p>
        </w:tc>
        <w:tc>
          <w:tcPr>
            <w:tcW w:w="5528" w:type="dxa"/>
            <w:vAlign w:val="center"/>
          </w:tcPr>
          <w:p w14:paraId="1E4A42BB">
            <w:pPr>
              <w:adjustRightInd w:val="0"/>
              <w:snapToGrid w:val="0"/>
              <w:rPr>
                <w:rFonts w:eastAsia="仿宋_GB2312"/>
                <w:sz w:val="22"/>
              </w:rPr>
            </w:pPr>
            <w:r>
              <w:rPr>
                <w:rFonts w:eastAsia="仿宋_GB2312"/>
                <w:sz w:val="22"/>
              </w:rPr>
              <w:t>产值达500亿企业数（家）</w:t>
            </w:r>
          </w:p>
        </w:tc>
        <w:tc>
          <w:tcPr>
            <w:tcW w:w="993" w:type="dxa"/>
          </w:tcPr>
          <w:p w14:paraId="301201FA">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w:t>
            </w:r>
          </w:p>
        </w:tc>
        <w:tc>
          <w:tcPr>
            <w:tcW w:w="1134" w:type="dxa"/>
            <w:vAlign w:val="center"/>
          </w:tcPr>
          <w:p w14:paraId="28A70482">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w:t>
            </w:r>
          </w:p>
        </w:tc>
      </w:tr>
      <w:tr w14:paraId="0977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358404E">
            <w:pPr>
              <w:rPr>
                <w:rFonts w:eastAsia="仿宋_GB2312"/>
                <w:b/>
                <w:bCs/>
                <w:sz w:val="22"/>
                <w:szCs w:val="30"/>
              </w:rPr>
            </w:pPr>
          </w:p>
        </w:tc>
        <w:tc>
          <w:tcPr>
            <w:tcW w:w="5528" w:type="dxa"/>
            <w:vAlign w:val="center"/>
          </w:tcPr>
          <w:p w14:paraId="53B399EC">
            <w:pPr>
              <w:adjustRightInd w:val="0"/>
              <w:snapToGrid w:val="0"/>
              <w:rPr>
                <w:rFonts w:eastAsia="仿宋_GB2312"/>
                <w:sz w:val="22"/>
              </w:rPr>
            </w:pPr>
            <w:r>
              <w:rPr>
                <w:rFonts w:eastAsia="仿宋_GB2312"/>
                <w:sz w:val="22"/>
              </w:rPr>
              <w:t>产值达100亿企业数（家）</w:t>
            </w:r>
          </w:p>
        </w:tc>
        <w:tc>
          <w:tcPr>
            <w:tcW w:w="993" w:type="dxa"/>
          </w:tcPr>
          <w:p w14:paraId="611F0F0B">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w:t>
            </w:r>
          </w:p>
        </w:tc>
        <w:tc>
          <w:tcPr>
            <w:tcW w:w="1134" w:type="dxa"/>
            <w:vAlign w:val="center"/>
          </w:tcPr>
          <w:p w14:paraId="27DE431D">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w:t>
            </w:r>
          </w:p>
        </w:tc>
      </w:tr>
      <w:tr w14:paraId="1C01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51" w:type="dxa"/>
            <w:vMerge w:val="continue"/>
            <w:vAlign w:val="center"/>
          </w:tcPr>
          <w:p w14:paraId="45728ACE">
            <w:pPr>
              <w:rPr>
                <w:rFonts w:eastAsia="仿宋_GB2312"/>
                <w:b/>
                <w:bCs/>
                <w:sz w:val="22"/>
                <w:szCs w:val="30"/>
              </w:rPr>
            </w:pPr>
          </w:p>
        </w:tc>
        <w:tc>
          <w:tcPr>
            <w:tcW w:w="5528" w:type="dxa"/>
            <w:vAlign w:val="center"/>
          </w:tcPr>
          <w:p w14:paraId="48C799BA">
            <w:pPr>
              <w:adjustRightInd w:val="0"/>
              <w:snapToGrid w:val="0"/>
              <w:rPr>
                <w:rFonts w:eastAsia="仿宋_GB2312"/>
                <w:sz w:val="22"/>
              </w:rPr>
            </w:pPr>
            <w:r>
              <w:rPr>
                <w:rFonts w:eastAsia="仿宋_GB2312"/>
                <w:sz w:val="22"/>
              </w:rPr>
              <w:t>产值达10亿企业数（家）</w:t>
            </w:r>
          </w:p>
        </w:tc>
        <w:tc>
          <w:tcPr>
            <w:tcW w:w="993" w:type="dxa"/>
          </w:tcPr>
          <w:p w14:paraId="0F623D9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w:t>
            </w:r>
          </w:p>
        </w:tc>
        <w:tc>
          <w:tcPr>
            <w:tcW w:w="1134" w:type="dxa"/>
            <w:vAlign w:val="center"/>
          </w:tcPr>
          <w:p w14:paraId="6A9B254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20</w:t>
            </w:r>
          </w:p>
        </w:tc>
      </w:tr>
      <w:tr w14:paraId="37C0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0704AD11">
            <w:pPr>
              <w:rPr>
                <w:rFonts w:eastAsia="仿宋_GB2312"/>
                <w:b/>
                <w:bCs/>
                <w:sz w:val="22"/>
                <w:szCs w:val="30"/>
              </w:rPr>
            </w:pPr>
            <w:r>
              <w:rPr>
                <w:rFonts w:hint="eastAsia" w:eastAsia="仿宋_GB2312"/>
                <w:b/>
                <w:bCs/>
                <w:sz w:val="22"/>
                <w:szCs w:val="30"/>
              </w:rPr>
              <w:t>产业效益</w:t>
            </w:r>
          </w:p>
        </w:tc>
        <w:tc>
          <w:tcPr>
            <w:tcW w:w="5528" w:type="dxa"/>
            <w:vAlign w:val="center"/>
          </w:tcPr>
          <w:p w14:paraId="152949F6">
            <w:pPr>
              <w:adjustRightInd w:val="0"/>
              <w:snapToGrid w:val="0"/>
              <w:rPr>
                <w:rFonts w:eastAsia="仿宋_GB2312"/>
                <w:sz w:val="22"/>
              </w:rPr>
            </w:pPr>
            <w:r>
              <w:rPr>
                <w:rFonts w:eastAsia="仿宋_GB2312"/>
                <w:sz w:val="22"/>
              </w:rPr>
              <w:t>亩均营业收入（万元）</w:t>
            </w:r>
          </w:p>
        </w:tc>
        <w:tc>
          <w:tcPr>
            <w:tcW w:w="993" w:type="dxa"/>
          </w:tcPr>
          <w:p w14:paraId="045D6C32">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446.8</w:t>
            </w:r>
          </w:p>
        </w:tc>
        <w:tc>
          <w:tcPr>
            <w:tcW w:w="1134" w:type="dxa"/>
            <w:vAlign w:val="center"/>
          </w:tcPr>
          <w:p w14:paraId="3A09738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700</w:t>
            </w:r>
          </w:p>
        </w:tc>
      </w:tr>
      <w:tr w14:paraId="74A2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04367F78">
            <w:pPr>
              <w:rPr>
                <w:rFonts w:eastAsia="仿宋_GB2312"/>
                <w:b/>
                <w:bCs/>
                <w:sz w:val="22"/>
                <w:szCs w:val="30"/>
              </w:rPr>
            </w:pPr>
          </w:p>
        </w:tc>
        <w:tc>
          <w:tcPr>
            <w:tcW w:w="5528" w:type="dxa"/>
            <w:vAlign w:val="center"/>
          </w:tcPr>
          <w:p w14:paraId="29CC3124">
            <w:pPr>
              <w:adjustRightInd w:val="0"/>
              <w:snapToGrid w:val="0"/>
              <w:rPr>
                <w:rFonts w:eastAsia="仿宋_GB2312"/>
                <w:sz w:val="22"/>
              </w:rPr>
            </w:pPr>
            <w:r>
              <w:rPr>
                <w:rFonts w:eastAsia="仿宋_GB2312"/>
                <w:sz w:val="22"/>
              </w:rPr>
              <w:t>亩均产值（万元）</w:t>
            </w:r>
          </w:p>
        </w:tc>
        <w:tc>
          <w:tcPr>
            <w:tcW w:w="993" w:type="dxa"/>
          </w:tcPr>
          <w:p w14:paraId="30E0937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344</w:t>
            </w:r>
          </w:p>
        </w:tc>
        <w:tc>
          <w:tcPr>
            <w:tcW w:w="1134" w:type="dxa"/>
            <w:vAlign w:val="center"/>
          </w:tcPr>
          <w:p w14:paraId="3D24CB3C">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500</w:t>
            </w:r>
          </w:p>
        </w:tc>
      </w:tr>
      <w:tr w14:paraId="18EF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1A33468F">
            <w:pPr>
              <w:rPr>
                <w:rFonts w:eastAsia="仿宋_GB2312"/>
                <w:b/>
                <w:bCs/>
                <w:sz w:val="22"/>
                <w:szCs w:val="30"/>
              </w:rPr>
            </w:pPr>
          </w:p>
        </w:tc>
        <w:tc>
          <w:tcPr>
            <w:tcW w:w="5528" w:type="dxa"/>
            <w:vAlign w:val="center"/>
          </w:tcPr>
          <w:p w14:paraId="64C694A2">
            <w:pPr>
              <w:adjustRightInd w:val="0"/>
              <w:snapToGrid w:val="0"/>
              <w:rPr>
                <w:rFonts w:eastAsia="仿宋_GB2312"/>
                <w:sz w:val="22"/>
              </w:rPr>
            </w:pPr>
            <w:r>
              <w:rPr>
                <w:rFonts w:eastAsia="仿宋_GB2312"/>
                <w:sz w:val="22"/>
              </w:rPr>
              <w:t>亩均税收（万元）</w:t>
            </w:r>
          </w:p>
        </w:tc>
        <w:tc>
          <w:tcPr>
            <w:tcW w:w="993" w:type="dxa"/>
          </w:tcPr>
          <w:p w14:paraId="5386A154">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4.7</w:t>
            </w:r>
          </w:p>
        </w:tc>
        <w:tc>
          <w:tcPr>
            <w:tcW w:w="1134" w:type="dxa"/>
            <w:vAlign w:val="center"/>
          </w:tcPr>
          <w:p w14:paraId="34C0D1BD">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10</w:t>
            </w:r>
          </w:p>
        </w:tc>
      </w:tr>
      <w:tr w14:paraId="2FEC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8A6DB1B">
            <w:pPr>
              <w:rPr>
                <w:rFonts w:eastAsia="仿宋_GB2312"/>
                <w:b/>
                <w:bCs/>
                <w:sz w:val="22"/>
                <w:szCs w:val="30"/>
              </w:rPr>
            </w:pPr>
          </w:p>
        </w:tc>
        <w:tc>
          <w:tcPr>
            <w:tcW w:w="5528" w:type="dxa"/>
            <w:vAlign w:val="center"/>
          </w:tcPr>
          <w:p w14:paraId="4CF0D39A">
            <w:pPr>
              <w:adjustRightInd w:val="0"/>
              <w:snapToGrid w:val="0"/>
              <w:rPr>
                <w:rFonts w:eastAsia="仿宋_GB2312"/>
                <w:sz w:val="22"/>
              </w:rPr>
            </w:pPr>
            <w:r>
              <w:rPr>
                <w:rFonts w:eastAsia="仿宋_GB2312"/>
                <w:sz w:val="22"/>
              </w:rPr>
              <w:t>引入世界500强、全国100强及行业领军企业数（家）</w:t>
            </w:r>
          </w:p>
        </w:tc>
        <w:tc>
          <w:tcPr>
            <w:tcW w:w="993" w:type="dxa"/>
          </w:tcPr>
          <w:p w14:paraId="0CD0CBF4">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w:t>
            </w:r>
          </w:p>
        </w:tc>
        <w:tc>
          <w:tcPr>
            <w:tcW w:w="1134" w:type="dxa"/>
            <w:vAlign w:val="center"/>
          </w:tcPr>
          <w:p w14:paraId="6EA78056">
            <w:pPr>
              <w:snapToGrid w:val="0"/>
              <w:spacing w:line="400" w:lineRule="exact"/>
              <w:ind w:left="720" w:hanging="720"/>
              <w:jc w:val="center"/>
              <w:textAlignment w:val="baseline"/>
              <w:rPr>
                <w:rFonts w:eastAsia="仿宋_GB2312"/>
                <w:color w:val="000000" w:themeColor="text1"/>
                <w:sz w:val="22"/>
                <w:highlight w:val="yellow"/>
                <w14:textFill>
                  <w14:solidFill>
                    <w14:schemeClr w14:val="tx1"/>
                  </w14:solidFill>
                </w14:textFill>
              </w:rPr>
            </w:pPr>
            <w:r>
              <w:rPr>
                <w:rFonts w:eastAsia="仿宋_GB2312"/>
                <w:color w:val="000000" w:themeColor="text1"/>
                <w:sz w:val="22"/>
                <w14:textFill>
                  <w14:solidFill>
                    <w14:schemeClr w14:val="tx1"/>
                  </w14:solidFill>
                </w14:textFill>
              </w:rPr>
              <w:t>10</w:t>
            </w:r>
          </w:p>
        </w:tc>
      </w:tr>
      <w:tr w14:paraId="0EB0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0E3B95E5">
            <w:pPr>
              <w:rPr>
                <w:rFonts w:eastAsia="仿宋_GB2312"/>
                <w:b/>
                <w:bCs/>
                <w:sz w:val="22"/>
                <w:szCs w:val="30"/>
              </w:rPr>
            </w:pPr>
          </w:p>
        </w:tc>
        <w:tc>
          <w:tcPr>
            <w:tcW w:w="5528" w:type="dxa"/>
            <w:vAlign w:val="center"/>
          </w:tcPr>
          <w:p w14:paraId="1EB5FDC9">
            <w:pPr>
              <w:adjustRightInd w:val="0"/>
              <w:snapToGrid w:val="0"/>
              <w:rPr>
                <w:rFonts w:eastAsia="仿宋_GB2312"/>
                <w:sz w:val="22"/>
              </w:rPr>
            </w:pPr>
            <w:r>
              <w:rPr>
                <w:rFonts w:eastAsia="仿宋_GB2312"/>
                <w:sz w:val="22"/>
              </w:rPr>
              <w:t>高新技术企业数（家）</w:t>
            </w:r>
          </w:p>
        </w:tc>
        <w:tc>
          <w:tcPr>
            <w:tcW w:w="993" w:type="dxa"/>
          </w:tcPr>
          <w:p w14:paraId="06CB3344">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83</w:t>
            </w:r>
          </w:p>
        </w:tc>
        <w:tc>
          <w:tcPr>
            <w:tcW w:w="1134" w:type="dxa"/>
            <w:vAlign w:val="center"/>
          </w:tcPr>
          <w:p w14:paraId="6B478B99">
            <w:pPr>
              <w:snapToGrid w:val="0"/>
              <w:spacing w:line="400" w:lineRule="exact"/>
              <w:ind w:left="720" w:hanging="720"/>
              <w:jc w:val="center"/>
              <w:textAlignment w:val="baseline"/>
              <w:rPr>
                <w:rFonts w:eastAsia="仿宋_GB2312"/>
                <w:color w:val="000000" w:themeColor="text1"/>
                <w:sz w:val="22"/>
                <w:highlight w:val="yellow"/>
                <w14:textFill>
                  <w14:solidFill>
                    <w14:schemeClr w14:val="tx1"/>
                  </w14:solidFill>
                </w14:textFill>
              </w:rPr>
            </w:pPr>
            <w:r>
              <w:rPr>
                <w:rFonts w:eastAsia="仿宋_GB2312"/>
                <w:color w:val="000000" w:themeColor="text1"/>
                <w:sz w:val="22"/>
                <w14:textFill>
                  <w14:solidFill>
                    <w14:schemeClr w14:val="tx1"/>
                  </w14:solidFill>
                </w14:textFill>
              </w:rPr>
              <w:t>150</w:t>
            </w:r>
          </w:p>
        </w:tc>
      </w:tr>
      <w:tr w14:paraId="1C6B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0522283E">
            <w:pPr>
              <w:rPr>
                <w:rFonts w:eastAsia="仿宋_GB2312"/>
                <w:b/>
                <w:bCs/>
                <w:sz w:val="22"/>
                <w:szCs w:val="30"/>
              </w:rPr>
            </w:pPr>
          </w:p>
        </w:tc>
        <w:tc>
          <w:tcPr>
            <w:tcW w:w="5528" w:type="dxa"/>
            <w:vAlign w:val="center"/>
          </w:tcPr>
          <w:p w14:paraId="3871CFA7">
            <w:pPr>
              <w:adjustRightInd w:val="0"/>
              <w:snapToGrid w:val="0"/>
              <w:rPr>
                <w:rFonts w:eastAsia="仿宋_GB2312"/>
                <w:sz w:val="22"/>
              </w:rPr>
            </w:pPr>
            <w:r>
              <w:rPr>
                <w:rFonts w:eastAsia="仿宋_GB2312"/>
                <w:sz w:val="22"/>
              </w:rPr>
              <w:t>高成长（瞪羚企业）企业数（家）</w:t>
            </w:r>
          </w:p>
        </w:tc>
        <w:tc>
          <w:tcPr>
            <w:tcW w:w="993" w:type="dxa"/>
          </w:tcPr>
          <w:p w14:paraId="1C6E1234">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0</w:t>
            </w:r>
          </w:p>
        </w:tc>
        <w:tc>
          <w:tcPr>
            <w:tcW w:w="1134" w:type="dxa"/>
            <w:vAlign w:val="center"/>
          </w:tcPr>
          <w:p w14:paraId="5E03E5F1">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w:t>
            </w:r>
          </w:p>
        </w:tc>
      </w:tr>
      <w:tr w14:paraId="76F8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0A96FDBA">
            <w:pPr>
              <w:rPr>
                <w:rFonts w:eastAsia="仿宋_GB2312"/>
                <w:b/>
                <w:bCs/>
                <w:sz w:val="22"/>
                <w:szCs w:val="30"/>
              </w:rPr>
            </w:pPr>
          </w:p>
        </w:tc>
        <w:tc>
          <w:tcPr>
            <w:tcW w:w="5528" w:type="dxa"/>
            <w:vAlign w:val="center"/>
          </w:tcPr>
          <w:p w14:paraId="188629BC">
            <w:pPr>
              <w:adjustRightInd w:val="0"/>
              <w:snapToGrid w:val="0"/>
              <w:rPr>
                <w:rFonts w:eastAsia="仿宋_GB2312"/>
                <w:sz w:val="22"/>
              </w:rPr>
            </w:pPr>
            <w:r>
              <w:rPr>
                <w:rFonts w:eastAsia="仿宋_GB2312"/>
                <w:sz w:val="22"/>
              </w:rPr>
              <w:t>境内外上市（挂牌）企业数（家）</w:t>
            </w:r>
          </w:p>
        </w:tc>
        <w:tc>
          <w:tcPr>
            <w:tcW w:w="993" w:type="dxa"/>
          </w:tcPr>
          <w:p w14:paraId="565EBB8E">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6</w:t>
            </w:r>
          </w:p>
        </w:tc>
        <w:tc>
          <w:tcPr>
            <w:tcW w:w="1134" w:type="dxa"/>
            <w:vAlign w:val="center"/>
          </w:tcPr>
          <w:p w14:paraId="3AB23EBF">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8</w:t>
            </w:r>
          </w:p>
        </w:tc>
      </w:tr>
      <w:tr w14:paraId="008C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7E134B0F">
            <w:pPr>
              <w:snapToGrid w:val="0"/>
              <w:jc w:val="center"/>
              <w:rPr>
                <w:rFonts w:eastAsia="仿宋_GB2312"/>
                <w:b/>
                <w:bCs/>
                <w:sz w:val="22"/>
                <w:szCs w:val="30"/>
              </w:rPr>
            </w:pPr>
            <w:r>
              <w:rPr>
                <w:rFonts w:eastAsia="仿宋_GB2312"/>
                <w:b/>
                <w:bCs/>
                <w:sz w:val="22"/>
                <w:szCs w:val="30"/>
              </w:rPr>
              <w:t>产业创新</w:t>
            </w:r>
          </w:p>
        </w:tc>
        <w:tc>
          <w:tcPr>
            <w:tcW w:w="5528" w:type="dxa"/>
            <w:vAlign w:val="center"/>
          </w:tcPr>
          <w:p w14:paraId="7351477D">
            <w:pPr>
              <w:adjustRightInd w:val="0"/>
              <w:snapToGrid w:val="0"/>
              <w:rPr>
                <w:rFonts w:eastAsia="仿宋_GB2312"/>
                <w:sz w:val="22"/>
              </w:rPr>
            </w:pPr>
            <w:r>
              <w:rPr>
                <w:rFonts w:eastAsia="仿宋_GB2312"/>
                <w:sz w:val="22"/>
              </w:rPr>
              <w:t>研究与试验发展（R&amp;D）经费投入占生产总值比重</w:t>
            </w:r>
          </w:p>
        </w:tc>
        <w:tc>
          <w:tcPr>
            <w:tcW w:w="993" w:type="dxa"/>
          </w:tcPr>
          <w:p w14:paraId="40F9EDF0">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1.4%</w:t>
            </w:r>
          </w:p>
        </w:tc>
        <w:tc>
          <w:tcPr>
            <w:tcW w:w="1134" w:type="dxa"/>
            <w:vAlign w:val="center"/>
          </w:tcPr>
          <w:p w14:paraId="6D30F535">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1.6%</w:t>
            </w:r>
          </w:p>
        </w:tc>
      </w:tr>
      <w:tr w14:paraId="043D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718EE2D">
            <w:pPr>
              <w:snapToGrid w:val="0"/>
              <w:jc w:val="center"/>
              <w:rPr>
                <w:rFonts w:eastAsia="仿宋_GB2312"/>
                <w:b/>
                <w:bCs/>
                <w:sz w:val="22"/>
                <w:szCs w:val="30"/>
              </w:rPr>
            </w:pPr>
          </w:p>
        </w:tc>
        <w:tc>
          <w:tcPr>
            <w:tcW w:w="5528" w:type="dxa"/>
            <w:vAlign w:val="center"/>
          </w:tcPr>
          <w:p w14:paraId="2A722380">
            <w:pPr>
              <w:adjustRightInd w:val="0"/>
              <w:snapToGrid w:val="0"/>
              <w:rPr>
                <w:rFonts w:eastAsia="仿宋_GB2312"/>
                <w:sz w:val="22"/>
              </w:rPr>
            </w:pPr>
            <w:r>
              <w:rPr>
                <w:rFonts w:eastAsia="仿宋_GB2312"/>
                <w:sz w:val="22"/>
              </w:rPr>
              <w:t>企业每万人从业人员当年发明专利授权（数）</w:t>
            </w:r>
          </w:p>
        </w:tc>
        <w:tc>
          <w:tcPr>
            <w:tcW w:w="993" w:type="dxa"/>
          </w:tcPr>
          <w:p w14:paraId="7AEB8C84">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28</w:t>
            </w:r>
          </w:p>
        </w:tc>
        <w:tc>
          <w:tcPr>
            <w:tcW w:w="1134" w:type="dxa"/>
            <w:vAlign w:val="center"/>
          </w:tcPr>
          <w:p w14:paraId="65D8C16D">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35</w:t>
            </w:r>
          </w:p>
        </w:tc>
      </w:tr>
      <w:tr w14:paraId="230A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4089AC4E">
            <w:pPr>
              <w:rPr>
                <w:rFonts w:eastAsia="仿宋_GB2312"/>
                <w:b/>
                <w:bCs/>
                <w:sz w:val="22"/>
                <w:szCs w:val="30"/>
              </w:rPr>
            </w:pPr>
          </w:p>
        </w:tc>
        <w:tc>
          <w:tcPr>
            <w:tcW w:w="5528" w:type="dxa"/>
            <w:vAlign w:val="center"/>
          </w:tcPr>
          <w:p w14:paraId="0018E24D">
            <w:pPr>
              <w:adjustRightInd w:val="0"/>
              <w:snapToGrid w:val="0"/>
              <w:rPr>
                <w:rFonts w:eastAsia="仿宋_GB2312"/>
                <w:sz w:val="22"/>
              </w:rPr>
            </w:pPr>
            <w:r>
              <w:rPr>
                <w:rFonts w:eastAsia="仿宋_GB2312"/>
                <w:sz w:val="22"/>
              </w:rPr>
              <w:t>高新区各类研发机构当量数（家）</w:t>
            </w:r>
          </w:p>
        </w:tc>
        <w:tc>
          <w:tcPr>
            <w:tcW w:w="993" w:type="dxa"/>
          </w:tcPr>
          <w:p w14:paraId="691AF4C5">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17</w:t>
            </w:r>
          </w:p>
        </w:tc>
        <w:tc>
          <w:tcPr>
            <w:tcW w:w="1134" w:type="dxa"/>
            <w:vAlign w:val="center"/>
          </w:tcPr>
          <w:p w14:paraId="128206D6">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20</w:t>
            </w:r>
          </w:p>
        </w:tc>
      </w:tr>
      <w:tr w14:paraId="40C7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2909F812">
            <w:pPr>
              <w:rPr>
                <w:rFonts w:eastAsia="仿宋_GB2312"/>
                <w:b/>
                <w:bCs/>
                <w:sz w:val="22"/>
                <w:szCs w:val="30"/>
              </w:rPr>
            </w:pPr>
          </w:p>
        </w:tc>
        <w:tc>
          <w:tcPr>
            <w:tcW w:w="5528" w:type="dxa"/>
            <w:vAlign w:val="center"/>
          </w:tcPr>
          <w:p w14:paraId="65295C6D">
            <w:pPr>
              <w:adjustRightInd w:val="0"/>
              <w:snapToGrid w:val="0"/>
              <w:rPr>
                <w:rFonts w:eastAsia="仿宋_GB2312"/>
                <w:sz w:val="22"/>
              </w:rPr>
            </w:pPr>
            <w:r>
              <w:rPr>
                <w:rFonts w:eastAsia="仿宋_GB2312"/>
                <w:sz w:val="22"/>
              </w:rPr>
              <w:t>——国家级研发机构数（家）</w:t>
            </w:r>
          </w:p>
        </w:tc>
        <w:tc>
          <w:tcPr>
            <w:tcW w:w="993" w:type="dxa"/>
          </w:tcPr>
          <w:p w14:paraId="3DF31DB3">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0</w:t>
            </w:r>
          </w:p>
        </w:tc>
        <w:tc>
          <w:tcPr>
            <w:tcW w:w="1134" w:type="dxa"/>
            <w:vAlign w:val="center"/>
          </w:tcPr>
          <w:p w14:paraId="24BA497D">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w:t>
            </w:r>
          </w:p>
        </w:tc>
      </w:tr>
      <w:tr w14:paraId="47C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6B3FDE25">
            <w:pPr>
              <w:rPr>
                <w:rFonts w:eastAsia="仿宋_GB2312"/>
                <w:b/>
                <w:bCs/>
                <w:sz w:val="22"/>
                <w:szCs w:val="30"/>
              </w:rPr>
            </w:pPr>
          </w:p>
        </w:tc>
        <w:tc>
          <w:tcPr>
            <w:tcW w:w="5528" w:type="dxa"/>
            <w:vAlign w:val="center"/>
          </w:tcPr>
          <w:p w14:paraId="4DADB22C">
            <w:pPr>
              <w:adjustRightInd w:val="0"/>
              <w:snapToGrid w:val="0"/>
              <w:rPr>
                <w:rFonts w:eastAsia="仿宋_GB2312"/>
                <w:sz w:val="22"/>
              </w:rPr>
            </w:pPr>
            <w:r>
              <w:rPr>
                <w:rFonts w:eastAsia="仿宋_GB2312"/>
                <w:sz w:val="22"/>
              </w:rPr>
              <w:t>高新区各类创新创业服务机构当量数（家）</w:t>
            </w:r>
          </w:p>
        </w:tc>
        <w:tc>
          <w:tcPr>
            <w:tcW w:w="993" w:type="dxa"/>
          </w:tcPr>
          <w:p w14:paraId="3BD2DF0C">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5</w:t>
            </w:r>
          </w:p>
        </w:tc>
        <w:tc>
          <w:tcPr>
            <w:tcW w:w="1134" w:type="dxa"/>
            <w:vAlign w:val="center"/>
          </w:tcPr>
          <w:p w14:paraId="34944D51">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8</w:t>
            </w:r>
          </w:p>
        </w:tc>
      </w:tr>
      <w:tr w14:paraId="3525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2885D530">
            <w:pPr>
              <w:rPr>
                <w:rFonts w:eastAsia="仿宋_GB2312"/>
                <w:b/>
                <w:bCs/>
                <w:sz w:val="22"/>
                <w:szCs w:val="30"/>
              </w:rPr>
            </w:pPr>
          </w:p>
        </w:tc>
        <w:tc>
          <w:tcPr>
            <w:tcW w:w="5528" w:type="dxa"/>
            <w:vAlign w:val="center"/>
          </w:tcPr>
          <w:p w14:paraId="70B4FD0A">
            <w:pPr>
              <w:adjustRightInd w:val="0"/>
              <w:snapToGrid w:val="0"/>
              <w:rPr>
                <w:rFonts w:eastAsia="仿宋_GB2312"/>
                <w:sz w:val="22"/>
              </w:rPr>
            </w:pPr>
            <w:r>
              <w:rPr>
                <w:rFonts w:eastAsia="仿宋_GB2312"/>
                <w:sz w:val="22"/>
              </w:rPr>
              <w:t>——国家级创新创业服务机构数（家）</w:t>
            </w:r>
          </w:p>
        </w:tc>
        <w:tc>
          <w:tcPr>
            <w:tcW w:w="993" w:type="dxa"/>
          </w:tcPr>
          <w:p w14:paraId="2A3E9E90">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w:t>
            </w:r>
          </w:p>
        </w:tc>
        <w:tc>
          <w:tcPr>
            <w:tcW w:w="1134" w:type="dxa"/>
            <w:vAlign w:val="center"/>
          </w:tcPr>
          <w:p w14:paraId="225CDF2E">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3</w:t>
            </w:r>
          </w:p>
        </w:tc>
      </w:tr>
      <w:tr w14:paraId="16AB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539EA308">
            <w:pPr>
              <w:rPr>
                <w:rFonts w:eastAsia="仿宋_GB2312"/>
                <w:b/>
                <w:bCs/>
                <w:sz w:val="22"/>
                <w:szCs w:val="30"/>
              </w:rPr>
            </w:pPr>
            <w:r>
              <w:rPr>
                <w:rFonts w:eastAsia="仿宋_GB2312"/>
                <w:b/>
                <w:bCs/>
                <w:sz w:val="22"/>
                <w:szCs w:val="30"/>
              </w:rPr>
              <w:t>产业环境</w:t>
            </w:r>
          </w:p>
        </w:tc>
        <w:tc>
          <w:tcPr>
            <w:tcW w:w="5528" w:type="dxa"/>
            <w:vAlign w:val="center"/>
          </w:tcPr>
          <w:p w14:paraId="1E173A64">
            <w:pPr>
              <w:adjustRightInd w:val="0"/>
              <w:snapToGrid w:val="0"/>
              <w:rPr>
                <w:rFonts w:eastAsia="仿宋_GB2312"/>
                <w:sz w:val="22"/>
              </w:rPr>
            </w:pPr>
            <w:r>
              <w:rPr>
                <w:rFonts w:eastAsia="仿宋_GB2312"/>
                <w:sz w:val="22"/>
              </w:rPr>
              <w:t>高新区单位规上增加值综合能耗（吨标准煤/万元）</w:t>
            </w:r>
          </w:p>
        </w:tc>
        <w:tc>
          <w:tcPr>
            <w:tcW w:w="993" w:type="dxa"/>
            <w:vAlign w:val="center"/>
          </w:tcPr>
          <w:p w14:paraId="78AD1B8F">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0.38</w:t>
            </w:r>
          </w:p>
        </w:tc>
        <w:tc>
          <w:tcPr>
            <w:tcW w:w="1134" w:type="dxa"/>
            <w:vAlign w:val="center"/>
          </w:tcPr>
          <w:p w14:paraId="637BBC85">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0.3</w:t>
            </w:r>
          </w:p>
        </w:tc>
      </w:tr>
      <w:tr w14:paraId="7169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3914FFCA">
            <w:pPr>
              <w:rPr>
                <w:rFonts w:eastAsia="仿宋_GB2312"/>
                <w:b/>
                <w:bCs/>
                <w:sz w:val="22"/>
                <w:szCs w:val="30"/>
              </w:rPr>
            </w:pPr>
          </w:p>
        </w:tc>
        <w:tc>
          <w:tcPr>
            <w:tcW w:w="5528" w:type="dxa"/>
            <w:vAlign w:val="center"/>
          </w:tcPr>
          <w:p w14:paraId="4E90325C">
            <w:pPr>
              <w:adjustRightInd w:val="0"/>
              <w:snapToGrid w:val="0"/>
              <w:rPr>
                <w:rFonts w:eastAsia="仿宋_GB2312"/>
                <w:sz w:val="22"/>
              </w:rPr>
            </w:pPr>
            <w:r>
              <w:rPr>
                <w:rFonts w:eastAsia="仿宋_GB2312"/>
                <w:sz w:val="22"/>
              </w:rPr>
              <w:t>制造业与互联网融合试点示范项目数（个）</w:t>
            </w:r>
          </w:p>
        </w:tc>
        <w:tc>
          <w:tcPr>
            <w:tcW w:w="993" w:type="dxa"/>
          </w:tcPr>
          <w:p w14:paraId="35ADB0D8">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hint="eastAsia" w:eastAsia="仿宋_GB2312"/>
                <w:color w:val="000000" w:themeColor="text1"/>
                <w:sz w:val="22"/>
                <w14:textFill>
                  <w14:solidFill>
                    <w14:schemeClr w14:val="tx1"/>
                  </w14:solidFill>
                </w14:textFill>
              </w:rPr>
              <w:t>-</w:t>
            </w:r>
          </w:p>
        </w:tc>
        <w:tc>
          <w:tcPr>
            <w:tcW w:w="1134" w:type="dxa"/>
            <w:vAlign w:val="center"/>
          </w:tcPr>
          <w:p w14:paraId="06E0ECE5">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3</w:t>
            </w:r>
          </w:p>
        </w:tc>
      </w:tr>
      <w:tr w14:paraId="3B64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55B6A708">
            <w:pPr>
              <w:rPr>
                <w:rFonts w:eastAsia="仿宋_GB2312"/>
                <w:b/>
                <w:bCs/>
                <w:sz w:val="22"/>
                <w:szCs w:val="30"/>
              </w:rPr>
            </w:pPr>
          </w:p>
        </w:tc>
        <w:tc>
          <w:tcPr>
            <w:tcW w:w="5528" w:type="dxa"/>
            <w:vAlign w:val="center"/>
          </w:tcPr>
          <w:p w14:paraId="52BA818D">
            <w:pPr>
              <w:adjustRightInd w:val="0"/>
              <w:snapToGrid w:val="0"/>
              <w:rPr>
                <w:rFonts w:eastAsia="仿宋_GB2312"/>
                <w:sz w:val="22"/>
              </w:rPr>
            </w:pPr>
            <w:r>
              <w:rPr>
                <w:rFonts w:eastAsia="仿宋_GB2312"/>
                <w:sz w:val="22"/>
              </w:rPr>
              <w:t>生产现场实现数据互联企业占比</w:t>
            </w:r>
          </w:p>
        </w:tc>
        <w:tc>
          <w:tcPr>
            <w:tcW w:w="993" w:type="dxa"/>
          </w:tcPr>
          <w:p w14:paraId="30AA7D9F">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w:t>
            </w:r>
          </w:p>
        </w:tc>
        <w:tc>
          <w:tcPr>
            <w:tcW w:w="1134" w:type="dxa"/>
            <w:vAlign w:val="center"/>
          </w:tcPr>
          <w:p w14:paraId="25743E5C">
            <w:pPr>
              <w:snapToGrid w:val="0"/>
              <w:spacing w:line="400" w:lineRule="exact"/>
              <w:ind w:left="720" w:hanging="720"/>
              <w:jc w:val="center"/>
              <w:textAlignment w:val="baseline"/>
              <w:rPr>
                <w:rFonts w:eastAsia="仿宋_GB2312"/>
                <w:color w:val="000000" w:themeColor="text1"/>
                <w:sz w:val="22"/>
                <w14:textFill>
                  <w14:solidFill>
                    <w14:schemeClr w14:val="tx1"/>
                  </w14:solidFill>
                </w14:textFill>
              </w:rPr>
            </w:pPr>
            <w:r>
              <w:rPr>
                <w:rFonts w:eastAsia="仿宋_GB2312"/>
                <w:color w:val="000000" w:themeColor="text1"/>
                <w:sz w:val="22"/>
                <w14:textFill>
                  <w14:solidFill>
                    <w14:schemeClr w14:val="tx1"/>
                  </w14:solidFill>
                </w14:textFill>
              </w:rPr>
              <w:t>20%</w:t>
            </w:r>
          </w:p>
        </w:tc>
      </w:tr>
    </w:tbl>
    <w:p w14:paraId="11BAD2E8">
      <w:pPr>
        <w:pStyle w:val="2"/>
        <w:spacing w:before="163" w:after="163"/>
        <w:ind w:firstLine="643"/>
        <w:rPr>
          <w:rFonts w:ascii="Times New Roman" w:hAnsi="Times New Roman" w:cs="Times New Roman"/>
        </w:rPr>
      </w:pPr>
      <w:bookmarkStart w:id="60" w:name="_Toc106901687"/>
      <w:r>
        <w:rPr>
          <w:rFonts w:ascii="Times New Roman" w:hAnsi="Times New Roman" w:cs="Times New Roman"/>
        </w:rPr>
        <w:t>四、工作任务</w:t>
      </w:r>
      <w:bookmarkEnd w:id="60"/>
    </w:p>
    <w:p w14:paraId="0740B5A5">
      <w:pPr>
        <w:pStyle w:val="3"/>
        <w:spacing w:before="163" w:after="163"/>
        <w:ind w:firstLine="643"/>
        <w:rPr>
          <w:rFonts w:ascii="Times New Roman" w:hAnsi="Times New Roman" w:cs="Times New Roman"/>
        </w:rPr>
      </w:pPr>
      <w:bookmarkStart w:id="61" w:name="_Toc106901688"/>
      <w:r>
        <w:rPr>
          <w:rFonts w:ascii="Times New Roman" w:hAnsi="Times New Roman" w:cs="Times New Roman"/>
        </w:rPr>
        <w:t>（一）打造“221”</w:t>
      </w:r>
      <w:r>
        <w:rPr>
          <w:rFonts w:hint="eastAsia" w:ascii="Times New Roman" w:hAnsi="Times New Roman" w:cs="Times New Roman"/>
        </w:rPr>
        <w:t>现代</w:t>
      </w:r>
      <w:r>
        <w:rPr>
          <w:rFonts w:ascii="Times New Roman" w:hAnsi="Times New Roman" w:cs="Times New Roman"/>
        </w:rPr>
        <w:t>产业体系</w:t>
      </w:r>
      <w:bookmarkEnd w:id="61"/>
    </w:p>
    <w:p w14:paraId="20ED6D75">
      <w:pPr>
        <w:pStyle w:val="5"/>
        <w:ind w:firstLine="643"/>
        <w:rPr>
          <w:rFonts w:ascii="Times New Roman" w:hAnsi="Times New Roman" w:cs="Times New Roman"/>
        </w:rPr>
      </w:pPr>
      <w:bookmarkStart w:id="62" w:name="_Toc82871368"/>
      <w:r>
        <w:rPr>
          <w:rFonts w:ascii="Times New Roman" w:hAnsi="Times New Roman" w:cs="Times New Roman"/>
        </w:rPr>
        <w:t>1、转型发展卷烟及配套产业</w:t>
      </w:r>
      <w:bookmarkEnd w:id="62"/>
    </w:p>
    <w:p w14:paraId="6C12B6F0">
      <w:pPr>
        <w:pStyle w:val="42"/>
        <w:spacing w:before="97" w:after="97"/>
        <w:ind w:firstLine="643"/>
        <w:rPr>
          <w:rFonts w:ascii="Times New Roman"/>
          <w:b/>
          <w:bCs/>
        </w:rPr>
      </w:pPr>
      <w:r>
        <w:rPr>
          <w:rFonts w:ascii="Times New Roman"/>
          <w:b/>
          <w:bCs/>
        </w:rPr>
        <w:t>（1）本地基础及存在问题</w:t>
      </w:r>
    </w:p>
    <w:p w14:paraId="077D36E4">
      <w:pPr>
        <w:pStyle w:val="42"/>
        <w:spacing w:before="97" w:after="97"/>
        <w:ind w:firstLine="643"/>
        <w:rPr>
          <w:rFonts w:ascii="Times New Roman"/>
        </w:rPr>
      </w:pPr>
      <w:r>
        <w:rPr>
          <w:rFonts w:hint="eastAsia" w:ascii="Times New Roman"/>
          <w:b/>
          <w:bCs/>
        </w:rPr>
        <w:t>本地基础：一是</w:t>
      </w:r>
      <w:r>
        <w:rPr>
          <w:rFonts w:ascii="Times New Roman"/>
          <w:b/>
          <w:bCs/>
        </w:rPr>
        <w:t>以红塔集团为龙头形成了完善的卷烟及配套产业集群。</w:t>
      </w:r>
      <w:r>
        <w:rPr>
          <w:rFonts w:ascii="Times New Roman"/>
        </w:rPr>
        <w:t>红塔集团拥有高新区唯一一家国家级企业技术中心。围绕红塔集团，集聚了一批卷烟配套企业，其中规上企业14户，高新技术企业共13户，科技型中小企业共17户，涵盖包装彩印、香精香料、卷烟辅料等众多领域，共建成省、市级工程技术中心重点实验室各1家，市级企业技术中心1家。</w:t>
      </w:r>
      <w:r>
        <w:rPr>
          <w:rFonts w:hint="eastAsia" w:ascii="Times New Roman"/>
          <w:b/>
          <w:bCs/>
        </w:rPr>
        <w:t>二是</w:t>
      </w:r>
      <w:r>
        <w:rPr>
          <w:rFonts w:ascii="Times New Roman"/>
          <w:b/>
          <w:bCs/>
        </w:rPr>
        <w:t>产品逐步成为行业头部品牌。</w:t>
      </w:r>
      <w:r>
        <w:rPr>
          <w:rFonts w:ascii="Times New Roman"/>
        </w:rPr>
        <w:t>红塔集团在不断做大做强的同时，积极推进“大市场、大企业、大品牌”战略，通过现代制造、严格规范、精益管理等手段，塑造出“红塔山”、“玉溪”、“国宾”等一系列经典品牌，深入人心，广受消费者认可。包装材料领域技术领先。</w:t>
      </w:r>
    </w:p>
    <w:p w14:paraId="074153F8">
      <w:pPr>
        <w:pStyle w:val="42"/>
        <w:spacing w:before="97" w:after="97" w:line="240" w:lineRule="auto"/>
        <w:ind w:firstLine="0" w:firstLineChars="0"/>
        <w:jc w:val="center"/>
        <w:rPr>
          <w:rFonts w:ascii="Times New Roman"/>
        </w:rPr>
      </w:pPr>
      <w:r>
        <w:rPr>
          <w:rFonts w:ascii="Times New Roman"/>
          <w:b/>
          <w:bCs/>
          <w:lang w:val="zh-CN"/>
        </w:rPr>
        <w:drawing>
          <wp:inline distT="0" distB="0" distL="0" distR="0">
            <wp:extent cx="5288280" cy="2464435"/>
            <wp:effectExtent l="0" t="0" r="0" b="0"/>
            <wp:docPr id="39" name="图片 3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示&#10;&#10;描述已自动生成"/>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332007" cy="2485247"/>
                    </a:xfrm>
                    <a:prstGeom prst="rect">
                      <a:avLst/>
                    </a:prstGeom>
                  </pic:spPr>
                </pic:pic>
              </a:graphicData>
            </a:graphic>
          </wp:inline>
        </w:drawing>
      </w:r>
    </w:p>
    <w:p w14:paraId="67940379">
      <w:pPr>
        <w:spacing w:line="560" w:lineRule="exact"/>
        <w:jc w:val="center"/>
        <w:rPr>
          <w:b/>
          <w:szCs w:val="32"/>
        </w:rPr>
      </w:pPr>
      <w:r>
        <w:rPr>
          <w:rFonts w:eastAsia="仿宋_GB2312"/>
          <w:b/>
          <w:szCs w:val="32"/>
        </w:rPr>
        <w:t>图2：玉溪高新区卷烟及配套产业链分布情况</w:t>
      </w:r>
    </w:p>
    <w:p w14:paraId="3DA3E1E0">
      <w:pPr>
        <w:pStyle w:val="42"/>
        <w:spacing w:before="97" w:after="97"/>
        <w:ind w:firstLine="643"/>
        <w:rPr>
          <w:rFonts w:ascii="Times New Roman"/>
        </w:rPr>
      </w:pPr>
      <w:r>
        <w:rPr>
          <w:rFonts w:ascii="Times New Roman"/>
          <w:b/>
          <w:bCs/>
        </w:rPr>
        <w:t>产业存在问题：一是政策收紧，产业发展受限。</w:t>
      </w:r>
      <w:r>
        <w:rPr>
          <w:rFonts w:ascii="Times New Roman"/>
        </w:rPr>
        <w:t>随着国家“禁烟”政策的加强，烟草行业加强总量控制，调税顺价，行业经济不断下行，相关配套企业在市场开放条件下，成本升高，竞争加剧。</w:t>
      </w:r>
      <w:r>
        <w:rPr>
          <w:rFonts w:ascii="Times New Roman"/>
          <w:b/>
          <w:bCs/>
        </w:rPr>
        <w:t>二是产品创新能力不足，不能跟上市场发展。</w:t>
      </w:r>
      <w:r>
        <w:rPr>
          <w:rFonts w:ascii="Times New Roman"/>
        </w:rPr>
        <w:t>大多数配套企业缺乏危机感，产品结构相对单一，收入来源单一，对新技术、新产品的研究开发重视不够，不能有效满足红塔集团传统卷烟创新品类和新型烟草制品需要，抗风险能力较弱。</w:t>
      </w:r>
      <w:r>
        <w:rPr>
          <w:rFonts w:ascii="Times New Roman"/>
          <w:b/>
          <w:bCs/>
        </w:rPr>
        <w:t>三是产业合力不足，竞争力提升缓慢。</w:t>
      </w:r>
      <w:r>
        <w:rPr>
          <w:rFonts w:ascii="Times New Roman"/>
        </w:rPr>
        <w:t>省外地方保护主义、云南中烟招投标政策变化，进一步压缩了配套企业生存空间。在此形势下，高新区配套企业单打独斗特征明显，跨行业渗透性不强，不能与高新区其他行业形成有效抱团，转型速度较慢。</w:t>
      </w:r>
    </w:p>
    <w:p w14:paraId="2B8309E3">
      <w:pPr>
        <w:pStyle w:val="42"/>
        <w:spacing w:before="97" w:after="97"/>
        <w:ind w:firstLine="643"/>
        <w:rPr>
          <w:rFonts w:ascii="Times New Roman"/>
          <w:b/>
          <w:bCs/>
        </w:rPr>
      </w:pPr>
      <w:bookmarkStart w:id="63" w:name="_Toc82871370"/>
      <w:r>
        <w:rPr>
          <w:rFonts w:ascii="Times New Roman"/>
          <w:b/>
          <w:bCs/>
        </w:rPr>
        <w:t>（2）发展思路</w:t>
      </w:r>
      <w:bookmarkEnd w:id="63"/>
    </w:p>
    <w:p w14:paraId="3C8B64BD">
      <w:pPr>
        <w:pStyle w:val="42"/>
        <w:spacing w:before="97" w:after="97"/>
        <w:ind w:firstLine="640"/>
        <w:rPr>
          <w:rFonts w:ascii="Times New Roman"/>
        </w:rPr>
      </w:pPr>
      <w:r>
        <w:rPr>
          <w:rFonts w:ascii="Times New Roman"/>
        </w:rPr>
        <w:t>立足本地卷烟及配套产业基础，坚持“降焦减害新产品研发、非烟市场产品拓展”两大核心路径，依托红塔集团新型烟草及电子烟技术要求，推动相关配套领域技术创新，充分发挥区域内集群优势，打造多行业协同体系，逐步构建具有玉溪特色的卷烟配套体系，进一步形成具有全国的影响力的卷烟及配套产业品牌。力争到2025年，实现主营业务收入600亿元。</w:t>
      </w:r>
    </w:p>
    <w:p w14:paraId="7396AEEC">
      <w:pPr>
        <w:pStyle w:val="42"/>
        <w:spacing w:before="97" w:after="97" w:line="240" w:lineRule="auto"/>
        <w:ind w:firstLine="0" w:firstLineChars="0"/>
        <w:jc w:val="center"/>
        <w:rPr>
          <w:rFonts w:ascii="Times New Roman"/>
        </w:rPr>
      </w:pPr>
      <w:r>
        <w:rPr>
          <w:rFonts w:ascii="Times New Roman"/>
        </w:rPr>
        <w:drawing>
          <wp:inline distT="0" distB="0" distL="0" distR="0">
            <wp:extent cx="5274310" cy="2186305"/>
            <wp:effectExtent l="0" t="0" r="0" b="0"/>
            <wp:docPr id="3" name="图片 3"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文本&#10;&#10;描述已自动生成"/>
                    <pic:cNvPicPr>
                      <a:picLocks noChangeAspect="1"/>
                    </pic:cNvPicPr>
                  </pic:nvPicPr>
                  <pic:blipFill>
                    <a:blip r:embed="rId19"/>
                    <a:stretch>
                      <a:fillRect/>
                    </a:stretch>
                  </pic:blipFill>
                  <pic:spPr>
                    <a:xfrm>
                      <a:off x="0" y="0"/>
                      <a:ext cx="5274310" cy="2186305"/>
                    </a:xfrm>
                    <a:prstGeom prst="rect">
                      <a:avLst/>
                    </a:prstGeom>
                  </pic:spPr>
                </pic:pic>
              </a:graphicData>
            </a:graphic>
          </wp:inline>
        </w:drawing>
      </w:r>
    </w:p>
    <w:p w14:paraId="1F3E5354">
      <w:pPr>
        <w:spacing w:line="560" w:lineRule="exact"/>
        <w:jc w:val="center"/>
        <w:rPr>
          <w:rFonts w:eastAsia="仿宋_GB2312"/>
        </w:rPr>
      </w:pPr>
      <w:r>
        <w:rPr>
          <w:rFonts w:eastAsia="仿宋_GB2312"/>
          <w:b/>
          <w:szCs w:val="32"/>
        </w:rPr>
        <w:t>图3：卷烟及配套产业发展路径图</w:t>
      </w:r>
    </w:p>
    <w:p w14:paraId="7A22574F">
      <w:pPr>
        <w:pStyle w:val="42"/>
        <w:spacing w:before="97" w:after="97"/>
        <w:ind w:firstLine="643"/>
        <w:rPr>
          <w:rFonts w:ascii="Times New Roman"/>
          <w:b/>
          <w:bCs/>
        </w:rPr>
      </w:pPr>
      <w:bookmarkStart w:id="64" w:name="_Toc82871371"/>
      <w:r>
        <w:rPr>
          <w:rFonts w:ascii="Times New Roman"/>
          <w:b/>
          <w:bCs/>
        </w:rPr>
        <w:t>（3）发展重点</w:t>
      </w:r>
      <w:bookmarkEnd w:id="64"/>
    </w:p>
    <w:p w14:paraId="0C19E3EF">
      <w:pPr>
        <w:pStyle w:val="42"/>
        <w:spacing w:before="97" w:after="97"/>
        <w:ind w:firstLine="643"/>
        <w:rPr>
          <w:rFonts w:ascii="Times New Roman"/>
        </w:rPr>
      </w:pPr>
      <w:r>
        <w:rPr>
          <w:rFonts w:ascii="Times New Roman"/>
          <w:b/>
          <w:bCs/>
        </w:rPr>
        <w:t>卷烟领域。</w:t>
      </w:r>
      <w:r>
        <w:rPr>
          <w:rFonts w:ascii="Times New Roman"/>
        </w:rPr>
        <w:t>重点突破烟草降焦减害关键技术，积极发展烟草育种、新型烟草制品等领域，研发低焦低害的高技术、高品质烟草制品。</w:t>
      </w:r>
    </w:p>
    <w:p w14:paraId="0E8E5A3F">
      <w:pPr>
        <w:pStyle w:val="42"/>
        <w:spacing w:before="97" w:after="97"/>
        <w:ind w:firstLine="643"/>
        <w:rPr>
          <w:rFonts w:ascii="Times New Roman"/>
        </w:rPr>
      </w:pPr>
      <w:r>
        <w:rPr>
          <w:rFonts w:ascii="Times New Roman"/>
          <w:b/>
          <w:bCs/>
        </w:rPr>
        <w:t>配套领域。</w:t>
      </w:r>
      <w:r>
        <w:rPr>
          <w:rFonts w:ascii="Times New Roman"/>
        </w:rPr>
        <w:t>重发展包装彩印、香精香料、卷烟辅料等领域，转型发展激光防伪、ROF热收缩膜、BOPA、BOPP薄膜、日化香精香料等产品，鼓励企业与专业科研院所展开合作，延伸布局卷烟配套产品在日化领域的应用方案。</w:t>
      </w:r>
    </w:p>
    <w:p w14:paraId="68E1EF04">
      <w:pPr>
        <w:pStyle w:val="42"/>
        <w:spacing w:before="97" w:after="97"/>
        <w:ind w:firstLine="643"/>
        <w:rPr>
          <w:rFonts w:ascii="Times New Roman"/>
        </w:rPr>
      </w:pPr>
      <w:r>
        <w:rPr>
          <w:rFonts w:ascii="Times New Roman"/>
          <w:b/>
          <w:bCs/>
        </w:rPr>
        <w:t>新赛道：</w:t>
      </w:r>
      <w:r>
        <w:rPr>
          <w:rFonts w:ascii="Times New Roman"/>
        </w:rPr>
        <w:t>聚焦智能包装，重点发展功能材料型领域及信息型包装领域，重点发展纹理防伪技术、TTI（时间温度指示器）标签包装技术，突破RFID射频包装技术应用。</w:t>
      </w:r>
    </w:p>
    <w:p w14:paraId="5DF2F95F">
      <w:pPr>
        <w:pStyle w:val="42"/>
        <w:spacing w:before="97" w:after="97"/>
        <w:ind w:firstLine="643"/>
        <w:rPr>
          <w:rFonts w:ascii="Times New Roman"/>
          <w:b/>
          <w:bCs/>
        </w:rPr>
      </w:pPr>
      <w:bookmarkStart w:id="65" w:name="_Toc82871372"/>
      <w:r>
        <w:rPr>
          <w:rFonts w:ascii="Times New Roman"/>
          <w:b/>
          <w:bCs/>
        </w:rPr>
        <w:t>（4）发展策略</w:t>
      </w:r>
      <w:bookmarkEnd w:id="65"/>
    </w:p>
    <w:p w14:paraId="0F9C4726">
      <w:pPr>
        <w:pStyle w:val="42"/>
        <w:spacing w:before="97" w:after="97"/>
        <w:ind w:firstLine="643"/>
        <w:rPr>
          <w:rFonts w:ascii="Times New Roman"/>
        </w:rPr>
      </w:pPr>
      <w:r>
        <w:rPr>
          <w:rFonts w:ascii="Times New Roman"/>
          <w:b/>
          <w:bCs/>
        </w:rPr>
        <w:t>大力推进技术提升和创新，强化科技创新支撑。</w:t>
      </w:r>
      <w:r>
        <w:rPr>
          <w:rFonts w:ascii="Times New Roman"/>
        </w:rPr>
        <w:t>举办高新区卷烟配套企业推介会，聚焦电子烟领域，积极对接珠三角、长三角等地电子烟厂商对香精香料及烟油需求，引导企业根据市场需求加强创新力度。定期邀请红塔集团对相关配套企业开展技术培训，针对红塔集团开发加热不燃烧烟草制品，对相关配套产品的参数、指标及技术需求加以指导，围绕红塔集团需求指引相关配套企业创新方向。举办卷烟配套产业技术成果对接会，积极对接高校院所、科技中介服务机构，组织激光防伪、BOPA、BOPP薄膜、香精香料等企业精准对接先进技术成果，对参与交易的多方给予奖励，加快配套产业转型升级。</w:t>
      </w:r>
    </w:p>
    <w:p w14:paraId="72EA1B93">
      <w:pPr>
        <w:pStyle w:val="42"/>
        <w:spacing w:before="97" w:after="97"/>
        <w:ind w:firstLine="643"/>
        <w:rPr>
          <w:rFonts w:ascii="Times New Roman"/>
        </w:rPr>
      </w:pPr>
      <w:r>
        <w:rPr>
          <w:rFonts w:ascii="Times New Roman"/>
          <w:b/>
        </w:rPr>
        <w:t>依托企业核心技术优势，积极拓展非烟产品市场。</w:t>
      </w:r>
      <w:r>
        <w:rPr>
          <w:rFonts w:ascii="Times New Roman"/>
          <w:bCs/>
        </w:rPr>
        <w:t>组建产业转型领导小组，邀请红塔集团、恩捷、红创等公司企业家参与，共同制定转型战略，支持相关配套企业拓展食品包装、电子包装、日化香精香料等领域，引导企业利用</w:t>
      </w:r>
      <w:r>
        <w:rPr>
          <w:rFonts w:ascii="Times New Roman"/>
        </w:rPr>
        <w:t>设备、技术、资金、人才等优势，调整产品结构。加强与高新区内外非烟市场协同配套，定期举办供需对接会，邀请省内一线食品、日用品生产企业参加，搭建整零对接平台，对于区内配套企业首次与区外企业实现协作配套的，根据供货量给予一次性资金奖励。支持香精香料骨干企业依托玉溪丰富高原作物，打造特色化调香平台，引领行业向日用化转型。</w:t>
      </w:r>
    </w:p>
    <w:p w14:paraId="39FBD4CB">
      <w:pPr>
        <w:pStyle w:val="42"/>
        <w:spacing w:before="97" w:after="97"/>
        <w:ind w:firstLine="643"/>
        <w:rPr>
          <w:rFonts w:ascii="Times New Roman"/>
        </w:rPr>
      </w:pPr>
      <w:r>
        <w:rPr>
          <w:rFonts w:ascii="Times New Roman"/>
          <w:b/>
          <w:bCs/>
        </w:rPr>
        <w:t>加强行业联合，发挥集群优势。</w:t>
      </w:r>
      <w:r>
        <w:rPr>
          <w:rFonts w:ascii="Times New Roman"/>
        </w:rPr>
        <w:t>牵头组建玉溪高新区卷烟配套产业联盟，通过推进行业整合、行业协会等方式实施行业联合重组，达到优化资源和要素配置的目的。鼓励龙头企业通过投资、并购等方式进行强强联合，向上下游领域延伸产业链条，形成相互配套、优势互补，进一步提升高新区卷烟配套产业在全国的影响力。</w:t>
      </w:r>
    </w:p>
    <w:p w14:paraId="26EF26E7">
      <w:pPr>
        <w:pStyle w:val="42"/>
        <w:spacing w:before="97" w:after="97"/>
        <w:ind w:firstLine="643"/>
        <w:rPr>
          <w:rFonts w:ascii="Times New Roman"/>
        </w:rPr>
      </w:pPr>
      <w:r>
        <w:rPr>
          <w:rFonts w:ascii="Times New Roman"/>
          <w:b/>
          <w:bCs/>
        </w:rPr>
        <w:t>把握区位升级优势，积极探索智能包装新赛道。</w:t>
      </w:r>
      <w:r>
        <w:rPr>
          <w:rFonts w:ascii="Times New Roman"/>
        </w:rPr>
        <w:t>紧抓泛亚铁路通车，大力发展现代物流业时机，依托高新区包装材料行业先进技术，挑选一批有实力、有意愿的骨干企业，举办“一对一”企业对接会，协助企业积极对接美斯特、新大陆、英内物联等国内一流RFID领域企业。出台相关政策，给予一定补贴，大力支持相关企业开发RFID射频包装解决方案。聚焦TTI标签技术在冷链运输和药品包装箱上的应用，实时关注行业发展，适时引进相关企业研发、生产环节，打造智能包装材料新高地，为高新区生物医药、绿色食品等产业发展保驾护航。</w:t>
      </w:r>
    </w:p>
    <w:p w14:paraId="54E608B8">
      <w:pPr>
        <w:pStyle w:val="42"/>
        <w:spacing w:before="97" w:after="97"/>
        <w:ind w:firstLine="643"/>
        <w:rPr>
          <w:rFonts w:ascii="Times New Roman"/>
          <w:b/>
          <w:bCs/>
        </w:rPr>
      </w:pPr>
      <w:bookmarkStart w:id="66" w:name="_Toc82871373"/>
      <w:r>
        <w:rPr>
          <w:rFonts w:ascii="Times New Roman"/>
          <w:b/>
          <w:bCs/>
        </w:rPr>
        <w:t>（5）重大项目表</w:t>
      </w:r>
      <w:bookmarkEnd w:id="66"/>
    </w:p>
    <w:tbl>
      <w:tblPr>
        <w:tblStyle w:val="2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5"/>
      </w:tblGrid>
      <w:tr w14:paraId="39F4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16B6A06C">
            <w:pPr>
              <w:spacing w:before="48" w:after="48"/>
              <w:jc w:val="center"/>
              <w:rPr>
                <w:rFonts w:eastAsia="黑体"/>
                <w:bCs/>
                <w:sz w:val="28"/>
              </w:rPr>
            </w:pPr>
            <w:r>
              <w:rPr>
                <w:rFonts w:eastAsia="黑体"/>
                <w:bCs/>
                <w:sz w:val="28"/>
              </w:rPr>
              <w:t>重大项目</w:t>
            </w:r>
          </w:p>
        </w:tc>
      </w:tr>
      <w:tr w14:paraId="3A29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19B9F881">
            <w:pPr>
              <w:spacing w:line="288" w:lineRule="auto"/>
              <w:ind w:firstLine="482" w:firstLineChars="200"/>
              <w:jc w:val="both"/>
              <w:rPr>
                <w:rFonts w:eastAsia="仿宋_GB2312"/>
                <w:b/>
                <w:szCs w:val="28"/>
              </w:rPr>
            </w:pPr>
            <w:r>
              <w:rPr>
                <w:rFonts w:eastAsia="仿宋_GB2312"/>
                <w:b/>
                <w:szCs w:val="28"/>
              </w:rPr>
              <w:t>项目名称：红塔集团玉溪卷烟厂就地技术改造项目</w:t>
            </w:r>
          </w:p>
          <w:p w14:paraId="0CEF88F1">
            <w:pPr>
              <w:spacing w:line="288" w:lineRule="auto"/>
              <w:ind w:firstLine="482" w:firstLineChars="200"/>
              <w:jc w:val="both"/>
              <w:rPr>
                <w:rFonts w:eastAsia="仿宋_GB2312"/>
              </w:rPr>
            </w:pPr>
            <w:r>
              <w:rPr>
                <w:rFonts w:eastAsia="仿宋_GB2312"/>
                <w:b/>
                <w:szCs w:val="28"/>
              </w:rPr>
              <w:t>实施主体：</w:t>
            </w:r>
            <w:r>
              <w:rPr>
                <w:rFonts w:eastAsia="仿宋_GB2312"/>
              </w:rPr>
              <w:t>红塔集团</w:t>
            </w:r>
          </w:p>
          <w:p w14:paraId="64D26745">
            <w:pPr>
              <w:spacing w:line="288" w:lineRule="auto"/>
              <w:ind w:firstLine="482" w:firstLineChars="200"/>
              <w:jc w:val="both"/>
              <w:rPr>
                <w:rFonts w:eastAsia="仿宋_GB2312"/>
                <w:szCs w:val="28"/>
              </w:rPr>
            </w:pPr>
            <w:r>
              <w:rPr>
                <w:rFonts w:eastAsia="仿宋_GB2312"/>
                <w:b/>
                <w:bCs/>
              </w:rPr>
              <w:t>实施年限</w:t>
            </w:r>
            <w:r>
              <w:rPr>
                <w:rFonts w:eastAsia="仿宋_GB2312"/>
                <w:b/>
                <w:szCs w:val="28"/>
              </w:rPr>
              <w:t>：</w:t>
            </w:r>
            <w:r>
              <w:rPr>
                <w:rFonts w:eastAsia="仿宋_GB2312"/>
              </w:rPr>
              <w:t>2022-2025</w:t>
            </w:r>
          </w:p>
          <w:p w14:paraId="1BA17045">
            <w:pPr>
              <w:spacing w:line="288" w:lineRule="auto"/>
              <w:ind w:firstLine="482" w:firstLineChars="200"/>
              <w:jc w:val="both"/>
              <w:rPr>
                <w:rFonts w:eastAsia="仿宋_GB2312"/>
              </w:rPr>
            </w:pPr>
            <w:r>
              <w:rPr>
                <w:rFonts w:eastAsia="仿宋_GB2312"/>
                <w:b/>
                <w:szCs w:val="28"/>
              </w:rPr>
              <w:t>项目内容：</w:t>
            </w:r>
            <w:r>
              <w:rPr>
                <w:rFonts w:eastAsia="仿宋_GB2312"/>
              </w:rPr>
              <w:t>计划投资23亿元。玉溪卷烟厂按1100亿支（220万箱）/年的生产规模进行规划，其中,一号联合生产工房生产能力700亿支（140万箱）/年，二号联合生产工房生产能力400亿支（80万箱）/年。项目新建扩建建筑面积102980平方米，改造建筑面积146274平方米。目前在施工图设计阶段。</w:t>
            </w:r>
          </w:p>
          <w:p w14:paraId="3BF34E31">
            <w:pPr>
              <w:spacing w:line="288" w:lineRule="auto"/>
              <w:ind w:firstLine="480" w:firstLineChars="200"/>
              <w:jc w:val="both"/>
              <w:rPr>
                <w:rFonts w:eastAsia="仿宋_GB2312"/>
              </w:rPr>
            </w:pPr>
          </w:p>
          <w:p w14:paraId="0F1E8390">
            <w:pPr>
              <w:spacing w:line="288" w:lineRule="auto"/>
              <w:ind w:firstLine="482" w:firstLineChars="200"/>
              <w:jc w:val="both"/>
              <w:rPr>
                <w:rFonts w:eastAsia="仿宋_GB2312"/>
                <w:b/>
                <w:szCs w:val="28"/>
              </w:rPr>
            </w:pPr>
            <w:r>
              <w:rPr>
                <w:rFonts w:eastAsia="仿宋_GB2312"/>
                <w:b/>
                <w:szCs w:val="28"/>
              </w:rPr>
              <w:t>项目名称：年产7万吨BOPP薄膜改扩建项目</w:t>
            </w:r>
          </w:p>
          <w:p w14:paraId="6A954BF3">
            <w:pPr>
              <w:spacing w:line="288" w:lineRule="auto"/>
              <w:ind w:firstLine="482" w:firstLineChars="200"/>
              <w:jc w:val="both"/>
              <w:rPr>
                <w:rFonts w:eastAsia="仿宋_GB2312"/>
              </w:rPr>
            </w:pPr>
            <w:r>
              <w:rPr>
                <w:rFonts w:eastAsia="仿宋_GB2312"/>
                <w:b/>
                <w:szCs w:val="28"/>
              </w:rPr>
              <w:t>实施主体：</w:t>
            </w:r>
            <w:r>
              <w:rPr>
                <w:rFonts w:eastAsia="仿宋_GB2312"/>
              </w:rPr>
              <w:t>云南红塔塑胶有限公司</w:t>
            </w:r>
          </w:p>
          <w:p w14:paraId="58DF15DC">
            <w:pPr>
              <w:spacing w:line="288" w:lineRule="auto"/>
              <w:ind w:firstLine="482" w:firstLineChars="200"/>
              <w:jc w:val="both"/>
              <w:rPr>
                <w:rFonts w:eastAsia="仿宋_GB2312"/>
                <w:szCs w:val="28"/>
              </w:rPr>
            </w:pPr>
            <w:r>
              <w:rPr>
                <w:rFonts w:eastAsia="仿宋_GB2312"/>
                <w:b/>
                <w:bCs/>
              </w:rPr>
              <w:t>实施年限</w:t>
            </w:r>
            <w:r>
              <w:rPr>
                <w:rFonts w:eastAsia="仿宋_GB2312"/>
                <w:b/>
                <w:szCs w:val="28"/>
              </w:rPr>
              <w:t>：</w:t>
            </w:r>
            <w:r>
              <w:rPr>
                <w:rFonts w:eastAsia="仿宋_GB2312"/>
              </w:rPr>
              <w:t>2022</w:t>
            </w:r>
          </w:p>
          <w:p w14:paraId="5264EE02">
            <w:pPr>
              <w:spacing w:line="288" w:lineRule="auto"/>
              <w:ind w:firstLine="482" w:firstLineChars="200"/>
              <w:jc w:val="both"/>
              <w:rPr>
                <w:rFonts w:eastAsia="仿宋_GB2312"/>
              </w:rPr>
            </w:pPr>
            <w:r>
              <w:rPr>
                <w:rFonts w:eastAsia="仿宋_GB2312"/>
                <w:b/>
                <w:szCs w:val="28"/>
              </w:rPr>
              <w:t>项目内容：</w:t>
            </w:r>
            <w:r>
              <w:rPr>
                <w:rFonts w:eastAsia="仿宋_GB2312"/>
              </w:rPr>
              <w:t>计划投资3.6亿元。用地110亩，建筑面积33000平方米，其中：车间厂房23000平方米，原料、成品库8000平方米，生产研发中心等2000平方米。技改扩建生产线３条，形成年产7万吨功能性薄膜的生产能力。</w:t>
            </w:r>
          </w:p>
          <w:p w14:paraId="0B480FFF">
            <w:pPr>
              <w:spacing w:line="288" w:lineRule="auto"/>
              <w:ind w:firstLine="480" w:firstLineChars="200"/>
              <w:jc w:val="both"/>
              <w:rPr>
                <w:rFonts w:eastAsia="仿宋_GB2312"/>
              </w:rPr>
            </w:pPr>
          </w:p>
          <w:p w14:paraId="69A7286A">
            <w:pPr>
              <w:spacing w:line="288" w:lineRule="auto"/>
              <w:ind w:firstLine="482" w:firstLineChars="200"/>
              <w:jc w:val="both"/>
              <w:rPr>
                <w:rFonts w:eastAsia="仿宋_GB2312"/>
                <w:b/>
                <w:bCs/>
              </w:rPr>
            </w:pPr>
            <w:r>
              <w:rPr>
                <w:rFonts w:eastAsia="仿宋_GB2312"/>
                <w:b/>
                <w:bCs/>
              </w:rPr>
              <w:t>项目名称：100吨烟碱及烟用香精香料生产线项目</w:t>
            </w:r>
          </w:p>
          <w:p w14:paraId="11981248">
            <w:pPr>
              <w:spacing w:line="288" w:lineRule="auto"/>
              <w:ind w:firstLine="482" w:firstLineChars="200"/>
              <w:jc w:val="both"/>
              <w:rPr>
                <w:rFonts w:eastAsia="仿宋_GB2312"/>
              </w:rPr>
            </w:pPr>
            <w:r>
              <w:rPr>
                <w:rFonts w:eastAsia="仿宋_GB2312"/>
                <w:b/>
                <w:szCs w:val="28"/>
              </w:rPr>
              <w:t>实施主体：</w:t>
            </w:r>
            <w:r>
              <w:rPr>
                <w:rFonts w:eastAsia="仿宋_GB2312"/>
              </w:rPr>
              <w:t>推介项目</w:t>
            </w:r>
          </w:p>
          <w:p w14:paraId="6B99452B">
            <w:pPr>
              <w:spacing w:line="288" w:lineRule="auto"/>
              <w:ind w:firstLine="482" w:firstLineChars="200"/>
              <w:jc w:val="both"/>
              <w:rPr>
                <w:rFonts w:eastAsia="仿宋_GB2312"/>
                <w:szCs w:val="28"/>
              </w:rPr>
            </w:pPr>
            <w:r>
              <w:rPr>
                <w:rFonts w:eastAsia="仿宋_GB2312"/>
                <w:b/>
                <w:bCs/>
              </w:rPr>
              <w:t>实施年限</w:t>
            </w:r>
            <w:r>
              <w:rPr>
                <w:rFonts w:eastAsia="仿宋_GB2312"/>
                <w:b/>
                <w:szCs w:val="28"/>
              </w:rPr>
              <w:t>：</w:t>
            </w:r>
            <w:r>
              <w:rPr>
                <w:rFonts w:eastAsia="仿宋_GB2312"/>
              </w:rPr>
              <w:t>2022</w:t>
            </w:r>
          </w:p>
          <w:p w14:paraId="7B04B310">
            <w:pPr>
              <w:spacing w:line="288" w:lineRule="auto"/>
              <w:ind w:firstLine="482" w:firstLineChars="200"/>
              <w:jc w:val="both"/>
              <w:rPr>
                <w:rFonts w:eastAsia="仿宋_GB2312"/>
                <w:szCs w:val="28"/>
              </w:rPr>
            </w:pPr>
            <w:r>
              <w:rPr>
                <w:rFonts w:eastAsia="仿宋_GB2312"/>
                <w:b/>
                <w:szCs w:val="28"/>
              </w:rPr>
              <w:t>项目内容：</w:t>
            </w:r>
            <w:r>
              <w:rPr>
                <w:rFonts w:eastAsia="仿宋_GB2312"/>
              </w:rPr>
              <w:t>计划投资0.32亿元。租用玉溪环境清洁中心厂房3134平方米，办公楼500平方米，建设年产100吨烟碱，5吨烟用香精香料生产线。</w:t>
            </w:r>
          </w:p>
        </w:tc>
      </w:tr>
    </w:tbl>
    <w:p w14:paraId="69AAEBFB">
      <w:pPr>
        <w:spacing w:line="20" w:lineRule="exact"/>
      </w:pPr>
    </w:p>
    <w:p w14:paraId="50CAE63E">
      <w:pPr>
        <w:pStyle w:val="5"/>
        <w:ind w:firstLine="643"/>
        <w:rPr>
          <w:rFonts w:ascii="Times New Roman" w:hAnsi="Times New Roman" w:cs="Times New Roman"/>
        </w:rPr>
      </w:pPr>
      <w:bookmarkStart w:id="67" w:name="_Toc82871380"/>
      <w:bookmarkStart w:id="68" w:name="_Toc82871374"/>
      <w:r>
        <w:rPr>
          <w:rFonts w:ascii="Times New Roman" w:hAnsi="Times New Roman" w:cs="Times New Roman"/>
        </w:rPr>
        <w:t>2、大力发展先进装备制造产业</w:t>
      </w:r>
    </w:p>
    <w:p w14:paraId="5F13156E">
      <w:pPr>
        <w:pStyle w:val="42"/>
        <w:spacing w:before="97" w:after="97"/>
        <w:ind w:firstLine="643"/>
        <w:rPr>
          <w:rFonts w:ascii="Times New Roman"/>
          <w:b/>
          <w:bCs/>
        </w:rPr>
      </w:pPr>
      <w:r>
        <w:rPr>
          <w:rFonts w:ascii="Times New Roman"/>
          <w:b/>
          <w:bCs/>
        </w:rPr>
        <w:t>（1）本地基础及存在问题</w:t>
      </w:r>
    </w:p>
    <w:p w14:paraId="120B0D13">
      <w:pPr>
        <w:pStyle w:val="42"/>
        <w:spacing w:before="97" w:after="97"/>
        <w:ind w:firstLine="643"/>
        <w:rPr>
          <w:rFonts w:ascii="Times New Roman"/>
        </w:rPr>
      </w:pPr>
      <w:r>
        <w:rPr>
          <w:rFonts w:hint="eastAsia" w:ascii="Times New Roman"/>
          <w:b/>
          <w:bCs/>
        </w:rPr>
        <w:t>本地基础：一是</w:t>
      </w:r>
      <w:r>
        <w:rPr>
          <w:rFonts w:ascii="Times New Roman"/>
          <w:b/>
          <w:bCs/>
        </w:rPr>
        <w:t>先进装备制造业基础扎实，</w:t>
      </w:r>
      <w:r>
        <w:rPr>
          <w:rFonts w:ascii="Times New Roman"/>
        </w:rPr>
        <w:t>拥有装备制造产业园、数控机床产业园、绿色智能精密铸件产业园区等一批产业园区。集聚正成工、太标、联塑科技、中汇电力、恩典科技、腾达机械等一批实力企业，形成以数控机床、电气装备、农机装备、智能终端制造为核心的先进装备制造产业体系。</w:t>
      </w:r>
      <w:r>
        <w:rPr>
          <w:rFonts w:hint="eastAsia" w:ascii="Times New Roman"/>
          <w:b/>
          <w:bCs/>
        </w:rPr>
        <w:t>二是</w:t>
      </w:r>
      <w:r>
        <w:rPr>
          <w:rFonts w:ascii="Times New Roman"/>
          <w:b/>
        </w:rPr>
        <w:t>积极推动先进装备制造企业研发升级</w:t>
      </w:r>
      <w:r>
        <w:rPr>
          <w:rFonts w:ascii="Times New Roman"/>
        </w:rPr>
        <w:t>，引进同济大学玉溪智能制造研究院等高能级研发创新平台，申请认定了玉溪市龙门式数控机床光机产品工程技术研究中心、玉溪市农机装备工程技术研究中心等一批省级、市级重点实验室、工程技术研究中心、企业技术中心等研发平台，大幅度提升了企业研发创新效率。</w:t>
      </w:r>
    </w:p>
    <w:p w14:paraId="5FC78B44">
      <w:pPr>
        <w:pStyle w:val="42"/>
        <w:spacing w:before="97" w:after="97" w:line="240" w:lineRule="auto"/>
        <w:ind w:firstLine="0" w:firstLineChars="0"/>
        <w:jc w:val="center"/>
        <w:rPr>
          <w:rFonts w:ascii="Times New Roman"/>
          <w:b/>
        </w:rPr>
      </w:pPr>
      <w:r>
        <w:rPr>
          <w:rFonts w:ascii="Times New Roman"/>
        </w:rPr>
        <w:drawing>
          <wp:inline distT="0" distB="0" distL="0" distR="0">
            <wp:extent cx="5274310" cy="2929890"/>
            <wp:effectExtent l="0" t="0" r="254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0"/>
                    <a:stretch>
                      <a:fillRect/>
                    </a:stretch>
                  </pic:blipFill>
                  <pic:spPr>
                    <a:xfrm>
                      <a:off x="0" y="0"/>
                      <a:ext cx="5274310" cy="2929890"/>
                    </a:xfrm>
                    <a:prstGeom prst="rect">
                      <a:avLst/>
                    </a:prstGeom>
                  </pic:spPr>
                </pic:pic>
              </a:graphicData>
            </a:graphic>
          </wp:inline>
        </w:drawing>
      </w:r>
    </w:p>
    <w:p w14:paraId="0E992E6B">
      <w:pPr>
        <w:spacing w:line="560" w:lineRule="exact"/>
        <w:jc w:val="center"/>
        <w:rPr>
          <w:rFonts w:eastAsia="仿宋_GB2312"/>
          <w:b/>
          <w:szCs w:val="32"/>
        </w:rPr>
      </w:pPr>
      <w:r>
        <w:rPr>
          <w:rFonts w:eastAsia="仿宋_GB2312"/>
          <w:b/>
          <w:szCs w:val="32"/>
        </w:rPr>
        <w:t>图4： 玉溪高新区先进装备制造企业产业链分布情况</w:t>
      </w:r>
    </w:p>
    <w:p w14:paraId="2004C7C7">
      <w:pPr>
        <w:pStyle w:val="42"/>
        <w:spacing w:before="97" w:after="97"/>
        <w:ind w:firstLine="643"/>
        <w:rPr>
          <w:rFonts w:ascii="Times New Roman"/>
        </w:rPr>
      </w:pPr>
      <w:r>
        <w:rPr>
          <w:rFonts w:ascii="Times New Roman"/>
          <w:b/>
        </w:rPr>
        <w:t>产业存在问题</w:t>
      </w:r>
      <w:r>
        <w:rPr>
          <w:rFonts w:ascii="Times New Roman"/>
        </w:rPr>
        <w:t>：</w:t>
      </w:r>
      <w:r>
        <w:rPr>
          <w:rFonts w:ascii="Times New Roman"/>
          <w:b/>
        </w:rPr>
        <w:t>一是产业规模较小</w:t>
      </w:r>
      <w:r>
        <w:rPr>
          <w:rFonts w:ascii="Times New Roman"/>
        </w:rPr>
        <w:t>。高新区先进装备制造业缺乏龙头企业带动，产业集群效应较弱。电气装备、农机装备领域规上企业各1家，分别为中汇电力、新天力，智能终端装备领域暂无规上企业。</w:t>
      </w:r>
      <w:r>
        <w:rPr>
          <w:rFonts w:ascii="Times New Roman"/>
          <w:b/>
        </w:rPr>
        <w:t>二是研发创新能力不足</w:t>
      </w:r>
      <w:r>
        <w:rPr>
          <w:rFonts w:ascii="Times New Roman"/>
        </w:rPr>
        <w:t>。高能级创新平台较少，省级及以上研发平台仅4家，国家级研发平台仅红塔（烟草）企业技术中心一家。高新区先进装备制造企业主要以加工制造为主，新技术、新工艺等研发能力偏弱，处于价值链低端环节。</w:t>
      </w:r>
      <w:r>
        <w:rPr>
          <w:rFonts w:ascii="Times New Roman"/>
          <w:b/>
        </w:rPr>
        <w:t>三是产业链不完整</w:t>
      </w:r>
      <w:r>
        <w:rPr>
          <w:rFonts w:ascii="Times New Roman"/>
        </w:rPr>
        <w:t>。数控机床领域除了铸件及机床光机的生产之外，只有外覆盖件及一些小件的生产企业，缺乏主轴、数控系统、伺服驱动、机床关键零部件等生产企业。电气装备、农机装备领域目前企业数量较少，缺乏线圈、电子元器件、农用结构部件等关键零部件生产厂家，无法形成产业链互补、配套的发展关系。</w:t>
      </w:r>
    </w:p>
    <w:p w14:paraId="1A096758">
      <w:pPr>
        <w:pStyle w:val="42"/>
        <w:spacing w:before="97" w:after="97"/>
        <w:ind w:firstLine="643"/>
        <w:rPr>
          <w:rFonts w:ascii="Times New Roman"/>
          <w:b/>
          <w:bCs/>
        </w:rPr>
      </w:pPr>
      <w:r>
        <w:rPr>
          <w:rFonts w:ascii="Times New Roman"/>
          <w:b/>
          <w:bCs/>
        </w:rPr>
        <w:t>（2）发展思路</w:t>
      </w:r>
    </w:p>
    <w:p w14:paraId="142FE9C7">
      <w:pPr>
        <w:pStyle w:val="4"/>
        <w:spacing w:before="97" w:after="97" w:line="560" w:lineRule="exact"/>
        <w:ind w:firstLine="640"/>
        <w:rPr>
          <w:rFonts w:ascii="Times New Roman" w:hAnsi="Times New Roman" w:eastAsia="仿宋_GB2312" w:cs="Times New Roman"/>
        </w:rPr>
      </w:pPr>
      <w:r>
        <w:rPr>
          <w:rFonts w:ascii="Times New Roman" w:hAnsi="Times New Roman" w:eastAsia="仿宋_GB2312" w:cs="Times New Roman"/>
        </w:rPr>
        <w:t>紧抓国家先进制造业战略发展机遇，坚持“高价值、智能化、集群化”发展思路，坚持制造与服务相融合理念，打造专业化产业载体，以研发创新推动产品价值链提升，强化“外引内培”，重点发展数控机床装备，优化提升电气装备、农机装备，积极发展智能制造装备，持续提升先进制造业产业规模和创新发展能力，打造以数控机床为特色的先进装备制造产业集群，逐步构建云南省智能制造高地。力争到2025年，实现主营业务收入500亿元。</w:t>
      </w:r>
    </w:p>
    <w:p w14:paraId="32642D56">
      <w:pPr>
        <w:pStyle w:val="4"/>
        <w:spacing w:before="97" w:after="97"/>
        <w:ind w:firstLine="0" w:firstLineChars="0"/>
        <w:jc w:val="center"/>
        <w:rPr>
          <w:rFonts w:ascii="Times New Roman" w:hAnsi="Times New Roman" w:eastAsia="仿宋_GB2312" w:cs="Times New Roman"/>
        </w:rPr>
      </w:pPr>
      <w:r>
        <w:rPr>
          <w:rFonts w:ascii="Times New Roman" w:hAnsi="Times New Roman" w:eastAsia="仿宋_GB2312" w:cs="Times New Roman"/>
        </w:rPr>
        <w:drawing>
          <wp:inline distT="0" distB="0" distL="0" distR="0">
            <wp:extent cx="5274310" cy="2590800"/>
            <wp:effectExtent l="0" t="0" r="0" b="0"/>
            <wp:docPr id="27" name="图片 2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文本&#10;&#10;描述已自动生成"/>
                    <pic:cNvPicPr>
                      <a:picLocks noChangeAspect="1"/>
                    </pic:cNvPicPr>
                  </pic:nvPicPr>
                  <pic:blipFill>
                    <a:blip r:embed="rId21"/>
                    <a:stretch>
                      <a:fillRect/>
                    </a:stretch>
                  </pic:blipFill>
                  <pic:spPr>
                    <a:xfrm>
                      <a:off x="0" y="0"/>
                      <a:ext cx="5274310" cy="2590800"/>
                    </a:xfrm>
                    <a:prstGeom prst="rect">
                      <a:avLst/>
                    </a:prstGeom>
                  </pic:spPr>
                </pic:pic>
              </a:graphicData>
            </a:graphic>
          </wp:inline>
        </w:drawing>
      </w:r>
    </w:p>
    <w:p w14:paraId="164910DC">
      <w:pPr>
        <w:spacing w:line="560" w:lineRule="exact"/>
        <w:jc w:val="center"/>
        <w:rPr>
          <w:rFonts w:eastAsia="仿宋_GB2312"/>
        </w:rPr>
      </w:pPr>
      <w:r>
        <w:rPr>
          <w:rFonts w:eastAsia="仿宋_GB2312"/>
          <w:b/>
          <w:szCs w:val="32"/>
        </w:rPr>
        <w:t>图5：先进装备制造产业发展路径图</w:t>
      </w:r>
    </w:p>
    <w:p w14:paraId="617C3F60">
      <w:pPr>
        <w:pStyle w:val="42"/>
        <w:spacing w:before="97" w:after="97"/>
        <w:ind w:firstLine="643"/>
        <w:rPr>
          <w:rFonts w:ascii="Times New Roman"/>
          <w:b/>
          <w:bCs/>
        </w:rPr>
      </w:pPr>
      <w:r>
        <w:rPr>
          <w:rFonts w:ascii="Times New Roman"/>
          <w:b/>
          <w:bCs/>
        </w:rPr>
        <w:t>（3）发展重点</w:t>
      </w:r>
    </w:p>
    <w:p w14:paraId="32E6D8D4">
      <w:pPr>
        <w:pStyle w:val="42"/>
        <w:spacing w:before="97" w:after="97"/>
        <w:ind w:firstLine="643"/>
        <w:rPr>
          <w:rFonts w:ascii="Times New Roman"/>
        </w:rPr>
      </w:pPr>
      <w:r>
        <w:rPr>
          <w:rFonts w:ascii="Times New Roman"/>
          <w:b/>
        </w:rPr>
        <w:t>数控机床</w:t>
      </w:r>
      <w:r>
        <w:rPr>
          <w:rFonts w:ascii="Times New Roman"/>
        </w:rPr>
        <w:t>。面向汽车制造、航空航天、消费电子等领域应用需求，兼顾高中低端市场，优先布局四轴、五轴的高精度、多轴机床，重点发展数控车床、金属切削机床、金属成形机床、系列化加工中心等成套化装备。积极强链、延链、补链，发展机床光机、数控系统、伺服电机、传感器、刀具、主轴、丝杆、精密轴承等核心零部件。延伸发展复合柔性制造单元的系列化产品、客户化定制设备等领域，加快突破数字化设计、数字控制和伺服驱动技术、多轴联动加工技术等关键技术研发，打造云南省机床行业数字化转型示范区、全国一流的数控机床生产基地。</w:t>
      </w:r>
    </w:p>
    <w:p w14:paraId="1462CEFD">
      <w:pPr>
        <w:pStyle w:val="42"/>
        <w:spacing w:before="97" w:after="97"/>
        <w:ind w:firstLine="643"/>
        <w:rPr>
          <w:rFonts w:ascii="Times New Roman"/>
        </w:rPr>
      </w:pPr>
      <w:r>
        <w:rPr>
          <w:rFonts w:ascii="Times New Roman"/>
          <w:b/>
        </w:rPr>
        <w:t>电气装备。</w:t>
      </w:r>
      <w:r>
        <w:rPr>
          <w:rFonts w:ascii="Times New Roman"/>
        </w:rPr>
        <w:t>优化提升中低压设备性能，重点发展低压配电柜、高压配电柜等高附加值成套开关类设备，延伸发展接触器、断路器、熔断器、隔离开关、负荷开关等开关类设备，积极发展特高压变压器、电线电缆、电流互感器、变流器等电网设备，培育发展汽车充电桩、新型永磁驱动电机等新能源电气装备。</w:t>
      </w:r>
    </w:p>
    <w:p w14:paraId="7868DF79">
      <w:pPr>
        <w:pStyle w:val="42"/>
        <w:spacing w:before="97" w:after="97"/>
        <w:ind w:firstLine="643"/>
        <w:rPr>
          <w:rFonts w:ascii="Times New Roman"/>
          <w:b/>
        </w:rPr>
      </w:pPr>
      <w:r>
        <w:rPr>
          <w:rFonts w:ascii="Times New Roman"/>
          <w:b/>
        </w:rPr>
        <w:t>农机装备。</w:t>
      </w:r>
      <w:r>
        <w:rPr>
          <w:rFonts w:ascii="Times New Roman"/>
        </w:rPr>
        <w:t>面向西南高原地区及周边国家农机装备市场需求，聚焦烟草、甘蔗等经济作物和水稻、玉米等粮食作物耕种收环节，以绿色化、智能化为导向，重点发展耕地机、播种机、施肥机、地膜机、大型拖拉机、大马力柴油机、联合收割机等整机装备。积极发展农业专用传感器、转向驱动桥、电液悬挂系统等核心零部件。培育发展智慧农业监测系统、农业大数据平台、农业物联网等农业科技服务。</w:t>
      </w:r>
    </w:p>
    <w:p w14:paraId="63A7848E">
      <w:pPr>
        <w:pStyle w:val="42"/>
        <w:spacing w:before="97" w:after="97"/>
        <w:ind w:firstLine="643"/>
        <w:rPr>
          <w:rFonts w:ascii="Times New Roman"/>
        </w:rPr>
      </w:pPr>
      <w:r>
        <w:rPr>
          <w:rFonts w:ascii="Times New Roman"/>
          <w:b/>
        </w:rPr>
        <w:t>智能制造装备</w:t>
      </w:r>
      <w:r>
        <w:rPr>
          <w:rFonts w:ascii="Times New Roman"/>
        </w:rPr>
        <w:t>。深刻把握产业发展规律，紧抓东南沿海地区产业转移机遇，重点发展手机、平板电脑、智能可穿戴设备、智能车载终端等智能终端装备制造。积极发展3D打印设备、精密减速器、智能控制系统等领域。</w:t>
      </w:r>
    </w:p>
    <w:p w14:paraId="3E2E9044">
      <w:pPr>
        <w:pStyle w:val="42"/>
        <w:spacing w:before="97" w:after="97"/>
        <w:ind w:firstLine="643"/>
        <w:rPr>
          <w:rFonts w:ascii="Times New Roman"/>
          <w:b/>
          <w:bCs/>
        </w:rPr>
      </w:pPr>
      <w:r>
        <w:rPr>
          <w:rFonts w:ascii="Times New Roman"/>
          <w:b/>
          <w:bCs/>
        </w:rPr>
        <w:t>（4）发展策略</w:t>
      </w:r>
    </w:p>
    <w:p w14:paraId="5BDB53C6">
      <w:pPr>
        <w:pStyle w:val="42"/>
        <w:spacing w:before="97" w:after="97"/>
        <w:ind w:firstLine="643"/>
        <w:rPr>
          <w:rFonts w:ascii="Times New Roman"/>
        </w:rPr>
      </w:pPr>
      <w:r>
        <w:rPr>
          <w:rFonts w:ascii="Times New Roman"/>
          <w:b/>
        </w:rPr>
        <w:t>重点发展数控机床装备</w:t>
      </w:r>
      <w:r>
        <w:rPr>
          <w:rFonts w:ascii="Times New Roman"/>
        </w:rPr>
        <w:t>。进一步推进研和片区数控机床产业园建设，围绕铸造、数控机床光机、整机等领域开展工业互联网公共服务平台建设，提升数控机床制造网络化、数字化、智能化水平，实现产业链协同发展新模式，打造产业集群数字化转型标杆示范。实施“精准招商”行动计划，成立招商专班，聚焦四轴、五轴数控机床整机及数控系统、伺服系统、刀具等上游核心零部件，积极链接广州、重庆、武汉、济南等先进城市，招引一批实力企业入驻，进一步扩大数控机床装备产业规模。依托玉溪市龙门式数控机床光机产品工程技术研究中心、同济玉溪智能制造研究等研发创新平台，加强与同济大学、东南大学等高校院所合作，重点加强开放式数控系统架构、五轴联动技术、高精度数控技术、硬质合金刀具等关键技术研发。支持太标、优铸科技等有实力的企业，联合昆明理工、云南大学等高校院所，共建铸造工艺研发中心，加强大型机床关键大件的铸造工艺及结构改进、检测及控制技术等技术研发，优化提升机床铸造技术。紧抓“一带一路”、中国加入RCEP等战略发展机遇，组织高新区数控机床生产企业参加面向老挝、越南、缅甸等国的展销会、推介会，逐步扩大海外市场规模。</w:t>
      </w:r>
    </w:p>
    <w:p w14:paraId="7A0C35C1">
      <w:pPr>
        <w:pStyle w:val="42"/>
        <w:spacing w:before="97" w:after="97"/>
        <w:ind w:firstLine="643"/>
        <w:rPr>
          <w:rFonts w:ascii="Times New Roman"/>
        </w:rPr>
      </w:pPr>
      <w:r>
        <w:rPr>
          <w:rFonts w:ascii="Times New Roman"/>
          <w:b/>
        </w:rPr>
        <w:t>提升发展电气装备</w:t>
      </w:r>
      <w:r>
        <w:rPr>
          <w:rFonts w:ascii="Times New Roman"/>
        </w:rPr>
        <w:t>。鼓励支持中汇电力加强低压开关柜、高压开关柜、固定式开关柜等产品研发与技术创新，布局智能化、数字化、模块化产品创新工程，推动人工智能、大数据分析等信息技术在开关柜领域的融合应用，打造一批高可靠、高稳定、高精度品牌产品。充分利用云南省将玉溪列为新能源电池及材料产业发展的重点地区的政策优势，积极对接长三角、珠三角，聚焦新能源充电桩、新型永磁驱动电机等领域，招引一批实力制造企业。支持高新区企业加强与国家电网、南方电网两大国内电力龙头企业的合作，围绕配电网新建改造、农网改造等工程，推动低压开关柜、变压器、积电抗器、互感器等设备纳入国家电网、南方电网采购体系。</w:t>
      </w:r>
    </w:p>
    <w:p w14:paraId="7C4F27DD">
      <w:pPr>
        <w:pStyle w:val="42"/>
        <w:spacing w:before="97" w:after="97"/>
        <w:ind w:firstLine="643"/>
        <w:rPr>
          <w:rFonts w:ascii="Times New Roman"/>
        </w:rPr>
      </w:pPr>
      <w:r>
        <w:rPr>
          <w:rFonts w:ascii="Times New Roman"/>
          <w:b/>
        </w:rPr>
        <w:t>聚力培育农机装备</w:t>
      </w:r>
      <w:r>
        <w:rPr>
          <w:rFonts w:ascii="Times New Roman"/>
        </w:rPr>
        <w:t>。支持新天力与东北大学、昆明理工大学、云南大学等高校院所合作，聚焦甘蔗种植机、喷杆喷雾机、烟草种植机等适合于高原地区的特色农机装备，加强整机和零部件研发，打造企业高原农机装备特色品牌。围绕农用专业柴油机、大型拖拉机等农机动力装备领域，积极链接山东、江苏等产业高地，招引一批实力生产型企业入驻。依托玉溪市农机装备工程技术研究中心、闻邦椿院士工作站等研发创新平台，联合昆明理工、</w:t>
      </w:r>
      <w:r>
        <w:rPr>
          <w:rFonts w:hint="eastAsia" w:ascii="Times New Roman"/>
        </w:rPr>
        <w:t>中国科学院</w:t>
      </w:r>
      <w:r>
        <w:rPr>
          <w:rFonts w:ascii="Times New Roman"/>
        </w:rPr>
        <w:t>等高校院所，加强农业机械数字化设计实验验证技术、农业机械传感与控制技术等关键技术研发，积极推进相关研发技术成果转移转化，提升农机装备智能化、精细化水平。</w:t>
      </w:r>
    </w:p>
    <w:p w14:paraId="02283F58">
      <w:pPr>
        <w:pStyle w:val="42"/>
        <w:spacing w:before="97" w:after="97"/>
        <w:ind w:firstLine="643"/>
        <w:rPr>
          <w:rFonts w:ascii="Times New Roman"/>
        </w:rPr>
      </w:pPr>
      <w:r>
        <w:rPr>
          <w:rFonts w:ascii="Times New Roman"/>
          <w:b/>
        </w:rPr>
        <w:t>拓展布局智能制造装备</w:t>
      </w:r>
      <w:r>
        <w:rPr>
          <w:rFonts w:ascii="Times New Roman"/>
        </w:rPr>
        <w:t>。充分发挥高新区九龙大数据产业园区作用，提升改造高新区空闲标准厂房，为智能终端装备制造提供载体基础。依托同济玉溪智能制造研究院，加强与同济大学、</w:t>
      </w:r>
      <w:r>
        <w:rPr>
          <w:rFonts w:hint="eastAsia" w:ascii="Times New Roman"/>
        </w:rPr>
        <w:t>中国科学院</w:t>
      </w:r>
      <w:r>
        <w:rPr>
          <w:rFonts w:ascii="Times New Roman"/>
        </w:rPr>
        <w:t>、云南大学等高校院所合作，积极推进智能控制系统、数字化加工系统等领域技术研发和科技成果转移转化，加快推进科技成果项目落地。由高新区管委会牵头，联合昆明理工、云南大学等高校以及正成工精密机械等骨干企业，三方共建智能终端装备检验检测平台，打造集“智能装备性能检验、零部件检测、环境测试、系统评定、标准制定”于一体的第三方检测、试验及认证平台。开展智能装备制造数字工厂示范建设工程，支持有条件的企业通过自动化、智能化升级，建立数据贯通、集成互联、分析优化的智能化示范工厂，打造区域标杆示范效应。</w:t>
      </w:r>
    </w:p>
    <w:p w14:paraId="099476FD">
      <w:pPr>
        <w:pStyle w:val="42"/>
        <w:spacing w:before="97" w:after="97"/>
        <w:ind w:firstLine="643"/>
        <w:rPr>
          <w:rFonts w:ascii="Times New Roman"/>
          <w:b/>
          <w:bCs/>
        </w:rPr>
      </w:pPr>
      <w:r>
        <w:rPr>
          <w:rFonts w:ascii="Times New Roman"/>
          <w:b/>
          <w:bCs/>
        </w:rPr>
        <w:t>（5）重大项目表</w:t>
      </w:r>
    </w:p>
    <w:tbl>
      <w:tblPr>
        <w:tblStyle w:val="25"/>
        <w:tblW w:w="8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3"/>
      </w:tblGrid>
      <w:tr w14:paraId="2908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059F816D">
            <w:pPr>
              <w:ind w:firstLine="560"/>
              <w:jc w:val="center"/>
              <w:rPr>
                <w:rFonts w:eastAsia="黑体"/>
                <w:bCs/>
                <w:sz w:val="28"/>
              </w:rPr>
            </w:pPr>
            <w:r>
              <w:rPr>
                <w:rFonts w:eastAsia="黑体"/>
                <w:bCs/>
                <w:sz w:val="28"/>
              </w:rPr>
              <w:t>重大创新平台1：云南数控机床产业技术研究院</w:t>
            </w:r>
          </w:p>
        </w:tc>
      </w:tr>
      <w:tr w14:paraId="4D9C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2B3A0C79">
            <w:pPr>
              <w:spacing w:line="288" w:lineRule="auto"/>
              <w:ind w:firstLine="482" w:firstLineChars="200"/>
              <w:rPr>
                <w:rFonts w:eastAsia="仿宋_GB2312"/>
                <w:b/>
                <w:szCs w:val="28"/>
              </w:rPr>
            </w:pPr>
            <w:r>
              <w:rPr>
                <w:rFonts w:eastAsia="仿宋_GB2312"/>
                <w:b/>
                <w:szCs w:val="28"/>
              </w:rPr>
              <w:t>实施主体：</w:t>
            </w:r>
            <w:r>
              <w:rPr>
                <w:rFonts w:eastAsia="仿宋_GB2312"/>
                <w:szCs w:val="28"/>
              </w:rPr>
              <w:t>研和工业园区与云南省机械研究设计院合作共建</w:t>
            </w:r>
          </w:p>
          <w:p w14:paraId="02190B4E">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计划投资5000万元，</w:t>
            </w:r>
            <w:r>
              <w:rPr>
                <w:rFonts w:eastAsia="仿宋_GB2312"/>
                <w:bCs/>
                <w:szCs w:val="28"/>
              </w:rPr>
              <w:t>建设数控机床技术创新中心、公共服务平台、孵化中心、中试基地、实训基地等</w:t>
            </w:r>
          </w:p>
          <w:p w14:paraId="0083D043">
            <w:pPr>
              <w:ind w:firstLine="482" w:firstLineChars="200"/>
              <w:rPr>
                <w:rFonts w:eastAsia="黑体"/>
                <w:bCs/>
                <w:sz w:val="28"/>
              </w:rPr>
            </w:pPr>
            <w:r>
              <w:rPr>
                <w:rFonts w:eastAsia="仿宋_GB2312"/>
                <w:b/>
                <w:szCs w:val="28"/>
              </w:rPr>
              <w:t>实施年限：</w:t>
            </w:r>
            <w:r>
              <w:rPr>
                <w:rFonts w:eastAsia="仿宋_GB2312"/>
              </w:rPr>
              <w:t>2022-2023</w:t>
            </w:r>
            <w:r>
              <w:rPr>
                <w:rFonts w:eastAsia="仿宋_GB2312"/>
                <w:szCs w:val="28"/>
              </w:rPr>
              <w:t>年</w:t>
            </w:r>
          </w:p>
        </w:tc>
      </w:tr>
      <w:tr w14:paraId="2618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1839FD6F">
            <w:pPr>
              <w:spacing w:line="288" w:lineRule="auto"/>
              <w:jc w:val="center"/>
              <w:rPr>
                <w:rFonts w:eastAsia="仿宋_GB2312"/>
                <w:b/>
                <w:szCs w:val="28"/>
              </w:rPr>
            </w:pPr>
            <w:r>
              <w:rPr>
                <w:rFonts w:eastAsia="黑体"/>
                <w:bCs/>
                <w:sz w:val="28"/>
              </w:rPr>
              <w:t>重大产业载体1：云南（玉溪）大数据及智能制造产业园</w:t>
            </w:r>
          </w:p>
        </w:tc>
      </w:tr>
      <w:tr w14:paraId="6FD3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6FB5521F">
            <w:pPr>
              <w:spacing w:line="288" w:lineRule="auto"/>
              <w:ind w:firstLine="482" w:firstLineChars="200"/>
              <w:rPr>
                <w:rFonts w:eastAsia="仿宋_GB2312"/>
                <w:b/>
                <w:szCs w:val="28"/>
              </w:rPr>
            </w:pPr>
            <w:r>
              <w:rPr>
                <w:rFonts w:eastAsia="仿宋_GB2312"/>
                <w:b/>
                <w:szCs w:val="28"/>
              </w:rPr>
              <w:t>实施主体：</w:t>
            </w:r>
            <w:r>
              <w:rPr>
                <w:rFonts w:eastAsia="仿宋_GB2312"/>
                <w:szCs w:val="28"/>
              </w:rPr>
              <w:t>玉溪高新区</w:t>
            </w:r>
          </w:p>
          <w:p w14:paraId="2EA254EF">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29.4亿元。投资1.6亿元，实施1幢15层49213平方米倒班宿舍建设；投资1.8亿元，实施5幢5层标准厂房建设，总建筑面积93000平方米；投资4亿元，实施玉溪融建大数据中心项目建设，用地面积9881平方米，总建筑面积15760平方米，计划设置1572个机柜；投资20亿元，占地36亩，建设中国移动数据中心；投资2亿元，建设中国电信数据中心。</w:t>
            </w:r>
          </w:p>
          <w:p w14:paraId="1C8C7966">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tc>
      </w:tr>
      <w:tr w14:paraId="60BF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3318BEB6">
            <w:pPr>
              <w:spacing w:line="288" w:lineRule="auto"/>
              <w:ind w:firstLine="1680" w:firstLineChars="600"/>
              <w:rPr>
                <w:rFonts w:eastAsia="仿宋_GB2312"/>
                <w:b/>
                <w:szCs w:val="28"/>
              </w:rPr>
            </w:pPr>
            <w:r>
              <w:rPr>
                <w:rFonts w:eastAsia="黑体"/>
                <w:bCs/>
                <w:sz w:val="28"/>
              </w:rPr>
              <w:t>重大产业载体2：先进装备制造产业园</w:t>
            </w:r>
          </w:p>
        </w:tc>
      </w:tr>
      <w:tr w14:paraId="21AE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8743" w:type="dxa"/>
            <w:tcBorders>
              <w:top w:val="single" w:color="auto" w:sz="4" w:space="0"/>
              <w:left w:val="single" w:color="auto" w:sz="4" w:space="0"/>
              <w:bottom w:val="single" w:color="auto" w:sz="4" w:space="0"/>
              <w:right w:val="single" w:color="auto" w:sz="4" w:space="0"/>
            </w:tcBorders>
          </w:tcPr>
          <w:p w14:paraId="406FF7D4">
            <w:pPr>
              <w:spacing w:line="288" w:lineRule="auto"/>
              <w:ind w:firstLine="482" w:firstLineChars="200"/>
              <w:rPr>
                <w:rFonts w:eastAsia="仿宋_GB2312"/>
                <w:b/>
                <w:szCs w:val="28"/>
              </w:rPr>
            </w:pPr>
            <w:r>
              <w:rPr>
                <w:rFonts w:eastAsia="仿宋_GB2312"/>
                <w:b/>
                <w:szCs w:val="28"/>
              </w:rPr>
              <w:t>实施主体：</w:t>
            </w:r>
            <w:r>
              <w:rPr>
                <w:rFonts w:eastAsia="仿宋_GB2312"/>
                <w:szCs w:val="28"/>
              </w:rPr>
              <w:t>红塔工业园区</w:t>
            </w:r>
          </w:p>
          <w:p w14:paraId="5506F338">
            <w:pPr>
              <w:spacing w:line="288" w:lineRule="auto"/>
              <w:ind w:firstLine="482" w:firstLineChars="200"/>
              <w:rPr>
                <w:rFonts w:eastAsia="仿宋_GB2312"/>
                <w:szCs w:val="28"/>
              </w:rPr>
            </w:pPr>
            <w:r>
              <w:rPr>
                <w:rFonts w:eastAsia="仿宋_GB2312"/>
                <w:b/>
                <w:szCs w:val="28"/>
              </w:rPr>
              <w:t>建设内容：</w:t>
            </w:r>
            <w:r>
              <w:rPr>
                <w:rFonts w:eastAsia="仿宋_GB2312"/>
                <w:szCs w:val="28"/>
              </w:rPr>
              <w:t>以观音山已建成的区域和元春和红砖厂地块（已建成2000亩，待开发470亩），主要突出先进装备制造和中国南亚装备制造中小企业合作示范园两大特色，突出在新型建筑工厂化生产和推动绿色发展上展示特色。</w:t>
            </w:r>
          </w:p>
          <w:p w14:paraId="57A93B34">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tc>
      </w:tr>
      <w:tr w14:paraId="2D1C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051090DE">
            <w:pPr>
              <w:spacing w:line="288" w:lineRule="auto"/>
              <w:ind w:firstLine="1680" w:firstLineChars="600"/>
              <w:rPr>
                <w:rFonts w:eastAsia="仿宋_GB2312"/>
                <w:b/>
                <w:szCs w:val="28"/>
              </w:rPr>
            </w:pPr>
            <w:r>
              <w:rPr>
                <w:rFonts w:eastAsia="黑体"/>
                <w:bCs/>
                <w:sz w:val="28"/>
              </w:rPr>
              <w:t>重大产业载体3：数控机床产业园</w:t>
            </w:r>
          </w:p>
        </w:tc>
      </w:tr>
      <w:tr w14:paraId="3113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6F91DD47">
            <w:pPr>
              <w:spacing w:line="288" w:lineRule="auto"/>
              <w:ind w:firstLine="482" w:firstLineChars="200"/>
              <w:rPr>
                <w:rFonts w:eastAsia="仿宋_GB2312"/>
                <w:color w:val="000000"/>
              </w:rPr>
            </w:pPr>
            <w:r>
              <w:rPr>
                <w:rFonts w:eastAsia="仿宋_GB2312"/>
                <w:b/>
                <w:bCs/>
                <w:color w:val="000000"/>
              </w:rPr>
              <w:t>实施主体：</w:t>
            </w:r>
            <w:r>
              <w:rPr>
                <w:rFonts w:eastAsia="仿宋_GB2312"/>
                <w:color w:val="000000"/>
              </w:rPr>
              <w:t>研和工业园区</w:t>
            </w:r>
          </w:p>
          <w:p w14:paraId="720E2D99">
            <w:pPr>
              <w:spacing w:line="288" w:lineRule="auto"/>
              <w:ind w:firstLine="482" w:firstLineChars="200"/>
              <w:rPr>
                <w:rFonts w:eastAsia="仿宋_GB2312"/>
                <w:color w:val="000000"/>
              </w:rPr>
            </w:pPr>
            <w:r>
              <w:rPr>
                <w:rFonts w:eastAsia="仿宋_GB2312"/>
                <w:b/>
                <w:bCs/>
                <w:color w:val="000000"/>
              </w:rPr>
              <w:t>建设内容：</w:t>
            </w:r>
            <w:r>
              <w:rPr>
                <w:rFonts w:eastAsia="仿宋_GB2312"/>
                <w:color w:val="000000"/>
              </w:rPr>
              <w:t>规划面积1226亩，已建成面积541亩，在建面积133亩，主要建设玉溪高端铸造3D打印智能工厂，数控机床智能研发，铸锻件全产业链供应提升项目，机械手、关节机器人等项目；三期300余亩规划建设整机生产。</w:t>
            </w:r>
          </w:p>
          <w:p w14:paraId="415E980C">
            <w:pPr>
              <w:spacing w:line="288" w:lineRule="auto"/>
              <w:ind w:firstLine="482" w:firstLineChars="200"/>
              <w:rPr>
                <w:rFonts w:eastAsia="黑体"/>
                <w:bCs/>
                <w:sz w:val="28"/>
              </w:rPr>
            </w:pPr>
            <w:r>
              <w:rPr>
                <w:rFonts w:eastAsia="仿宋_GB2312"/>
                <w:b/>
                <w:bCs/>
                <w:color w:val="000000"/>
              </w:rPr>
              <w:t>实施年限：</w:t>
            </w:r>
            <w:r>
              <w:rPr>
                <w:rFonts w:eastAsia="仿宋_GB2312"/>
                <w:color w:val="000000"/>
              </w:rPr>
              <w:t>2022-2025年</w:t>
            </w:r>
          </w:p>
        </w:tc>
      </w:tr>
      <w:tr w14:paraId="5531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43" w:type="dxa"/>
            <w:tcBorders>
              <w:top w:val="single" w:color="auto" w:sz="4" w:space="0"/>
              <w:left w:val="single" w:color="auto" w:sz="4" w:space="0"/>
              <w:bottom w:val="single" w:color="auto" w:sz="4" w:space="0"/>
              <w:right w:val="single" w:color="auto" w:sz="4" w:space="0"/>
            </w:tcBorders>
          </w:tcPr>
          <w:p w14:paraId="6AE395B2">
            <w:pPr>
              <w:ind w:firstLine="560"/>
              <w:jc w:val="center"/>
              <w:rPr>
                <w:rFonts w:eastAsia="黑体"/>
                <w:bCs/>
                <w:sz w:val="28"/>
              </w:rPr>
            </w:pPr>
            <w:r>
              <w:rPr>
                <w:rFonts w:eastAsia="黑体"/>
                <w:bCs/>
                <w:sz w:val="28"/>
              </w:rPr>
              <w:t>重大项目</w:t>
            </w:r>
          </w:p>
        </w:tc>
      </w:tr>
      <w:tr w14:paraId="7644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8743" w:type="dxa"/>
            <w:tcBorders>
              <w:top w:val="single" w:color="auto" w:sz="4" w:space="0"/>
              <w:left w:val="single" w:color="auto" w:sz="4" w:space="0"/>
              <w:bottom w:val="single" w:color="auto" w:sz="4" w:space="0"/>
              <w:right w:val="single" w:color="auto" w:sz="4" w:space="0"/>
            </w:tcBorders>
            <w:vAlign w:val="center"/>
          </w:tcPr>
          <w:p w14:paraId="18F9759A">
            <w:pPr>
              <w:spacing w:line="288" w:lineRule="auto"/>
              <w:ind w:firstLine="482" w:firstLineChars="200"/>
              <w:rPr>
                <w:rFonts w:eastAsia="仿宋_GB2312"/>
                <w:b/>
                <w:szCs w:val="28"/>
              </w:rPr>
            </w:pPr>
            <w:r>
              <w:rPr>
                <w:rFonts w:eastAsia="仿宋_GB2312"/>
                <w:b/>
                <w:szCs w:val="28"/>
              </w:rPr>
              <w:t>项目名称：云南高端数控园基础设施及配套建设项目</w:t>
            </w:r>
          </w:p>
          <w:p w14:paraId="0A15D986">
            <w:pPr>
              <w:spacing w:line="288" w:lineRule="auto"/>
              <w:ind w:firstLine="482" w:firstLineChars="200"/>
              <w:rPr>
                <w:rFonts w:eastAsia="仿宋_GB2312"/>
                <w:b/>
                <w:szCs w:val="28"/>
              </w:rPr>
            </w:pPr>
            <w:r>
              <w:rPr>
                <w:rFonts w:eastAsia="仿宋_GB2312"/>
                <w:b/>
                <w:szCs w:val="28"/>
              </w:rPr>
              <w:t>实施主体：</w:t>
            </w:r>
            <w:r>
              <w:rPr>
                <w:rFonts w:eastAsia="仿宋_GB2312"/>
                <w:szCs w:val="28"/>
              </w:rPr>
              <w:t>研和工业园区</w:t>
            </w:r>
          </w:p>
          <w:p w14:paraId="29ECB4E2">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p w14:paraId="4FFC7A2B">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计划投资2.5亿元，</w:t>
            </w:r>
            <w:r>
              <w:rPr>
                <w:rFonts w:eastAsia="仿宋_GB2312"/>
                <w:bCs/>
                <w:szCs w:val="28"/>
              </w:rPr>
              <w:t>项目用地133亩，建设标准厂房及配套设施面积6.31万平方米，同时建立机床产业大数据及应用平台，推动现有机床制造能力数字化转型，打造全国性数控机床品牌。</w:t>
            </w:r>
          </w:p>
          <w:p w14:paraId="5E2F6C79">
            <w:pPr>
              <w:spacing w:line="288" w:lineRule="auto"/>
              <w:ind w:firstLine="482" w:firstLineChars="200"/>
              <w:rPr>
                <w:rFonts w:eastAsia="仿宋_GB2312"/>
                <w:b/>
                <w:kern w:val="2"/>
                <w:szCs w:val="28"/>
              </w:rPr>
            </w:pPr>
          </w:p>
          <w:p w14:paraId="582FEA4B">
            <w:pPr>
              <w:spacing w:line="288" w:lineRule="auto"/>
              <w:ind w:firstLine="482" w:firstLineChars="200"/>
              <w:rPr>
                <w:rFonts w:eastAsia="仿宋_GB2312"/>
                <w:b/>
                <w:szCs w:val="28"/>
              </w:rPr>
            </w:pPr>
            <w:r>
              <w:rPr>
                <w:rFonts w:eastAsia="仿宋_GB2312"/>
                <w:b/>
                <w:szCs w:val="28"/>
              </w:rPr>
              <w:t>项目名称：云南省制造业产业集群（机床行业）数字化转型示范项目</w:t>
            </w:r>
          </w:p>
          <w:p w14:paraId="77664F82">
            <w:pPr>
              <w:spacing w:line="288" w:lineRule="auto"/>
              <w:ind w:firstLine="482" w:firstLineChars="200"/>
              <w:rPr>
                <w:rFonts w:eastAsia="仿宋_GB2312"/>
                <w:b/>
                <w:szCs w:val="28"/>
              </w:rPr>
            </w:pPr>
            <w:r>
              <w:rPr>
                <w:rFonts w:eastAsia="仿宋_GB2312"/>
                <w:b/>
                <w:szCs w:val="28"/>
              </w:rPr>
              <w:t>实施主体：</w:t>
            </w:r>
            <w:r>
              <w:rPr>
                <w:rFonts w:eastAsia="仿宋_GB2312"/>
                <w:szCs w:val="28"/>
              </w:rPr>
              <w:t>研和工业园区</w:t>
            </w:r>
          </w:p>
          <w:p w14:paraId="687F282F">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p w14:paraId="3D65CAB6">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1.5亿元。主要工作：1.园区数字化基础设施，提升园区信息通信基础能力，实现园区全光纤链接、5G/物联网网络全覆盖，完善集聚园区高速、泛在、融合、便捷的网络服务，提升园区内部管理服务网络和企业内外网建设水平，满足数据流动、泛在云服务的网络要求。建设园区物联感知网络，满足园区实时监控和企业全面数字化改造需求。构建“云边端”相结合的信息基础设施，针对不同层级提供数据存储、交换、计算、处理等功能，夯实园区数据底座。2.建立园区综合数字化管理服务平台，充分利用物联网技术，构建园区基础设施、安全防范、公共服务、设施管理的数字化体系。3.机床行业工业互联网应用平台，以建设我省机床行业工业互联网公共应用平台，面向行业和产业链上下游企业提供信息化基础设施、物联网接入、云化应用部署和服务能力，汇聚行业资源和要素，构筑全流程、全产业链、全生命周期的工业数据链接，为园区数字化改造化数字化转型提供服务，为开展基于互联网的联合研发创新和发展先进制造模式提供支撑。</w:t>
            </w:r>
          </w:p>
          <w:p w14:paraId="007BE185">
            <w:pPr>
              <w:spacing w:line="288" w:lineRule="auto"/>
              <w:ind w:firstLine="482" w:firstLineChars="200"/>
              <w:rPr>
                <w:rFonts w:eastAsia="仿宋_GB2312"/>
                <w:b/>
                <w:kern w:val="2"/>
                <w:szCs w:val="28"/>
              </w:rPr>
            </w:pPr>
          </w:p>
          <w:p w14:paraId="16E4657D">
            <w:pPr>
              <w:spacing w:line="288" w:lineRule="auto"/>
              <w:ind w:firstLine="482" w:firstLineChars="200"/>
              <w:rPr>
                <w:rFonts w:eastAsia="仿宋_GB2312"/>
                <w:b/>
                <w:szCs w:val="28"/>
              </w:rPr>
            </w:pPr>
            <w:r>
              <w:rPr>
                <w:rFonts w:eastAsia="仿宋_GB2312"/>
                <w:b/>
                <w:szCs w:val="28"/>
              </w:rPr>
              <w:t>项目名称：3D 打印智能工厂建设项目</w:t>
            </w:r>
          </w:p>
          <w:p w14:paraId="4E2CF79C">
            <w:pPr>
              <w:spacing w:line="288" w:lineRule="auto"/>
              <w:ind w:firstLine="482" w:firstLineChars="200"/>
              <w:rPr>
                <w:rFonts w:eastAsia="仿宋_GB2312"/>
                <w:b/>
                <w:szCs w:val="28"/>
              </w:rPr>
            </w:pPr>
            <w:r>
              <w:rPr>
                <w:rFonts w:eastAsia="仿宋_GB2312"/>
                <w:b/>
                <w:szCs w:val="28"/>
              </w:rPr>
              <w:t>实施主体：</w:t>
            </w:r>
            <w:r>
              <w:rPr>
                <w:rFonts w:eastAsia="仿宋_GB2312"/>
                <w:szCs w:val="28"/>
              </w:rPr>
              <w:t>优铸科技（北京）有限公司</w:t>
            </w:r>
          </w:p>
          <w:p w14:paraId="600684F0">
            <w:pPr>
              <w:spacing w:line="288" w:lineRule="auto"/>
              <w:ind w:firstLine="482" w:firstLineChars="200"/>
              <w:rPr>
                <w:rFonts w:eastAsia="仿宋_GB2312"/>
                <w:b/>
                <w:szCs w:val="28"/>
              </w:rPr>
            </w:pPr>
            <w:r>
              <w:rPr>
                <w:rFonts w:eastAsia="仿宋_GB2312"/>
                <w:b/>
                <w:szCs w:val="28"/>
              </w:rPr>
              <w:t>实施年限：</w:t>
            </w:r>
            <w:r>
              <w:rPr>
                <w:rFonts w:eastAsia="仿宋_GB2312"/>
              </w:rPr>
              <w:t>2022-2023</w:t>
            </w:r>
            <w:r>
              <w:rPr>
                <w:rFonts w:eastAsia="仿宋_GB2312"/>
                <w:szCs w:val="28"/>
              </w:rPr>
              <w:t>年</w:t>
            </w:r>
          </w:p>
          <w:p w14:paraId="6FC049AE">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计划投资4.5亿元，</w:t>
            </w:r>
            <w:r>
              <w:rPr>
                <w:rFonts w:eastAsia="仿宋_GB2312"/>
                <w:bCs/>
                <w:szCs w:val="28"/>
              </w:rPr>
              <w:t>以3D 打印技术与铸造工艺技术深度融合，从事高端铸造产品的生产制造业务，建设高端铸造智能工厂。项目选址位于数控机床产业园区南侧，占地约113亩，总建筑面积约4万平方米，分二期建设，其中：一期占地约51亩，建筑总面积1.98万平方米（包括管理及研发中心2000平方米，厂房1.74万平方米）；二期占地62亩，建筑总面积2.02万平方米（其中厂房建筑面积3.87万平方米）。</w:t>
            </w:r>
          </w:p>
          <w:p w14:paraId="17CA2BA2">
            <w:pPr>
              <w:spacing w:line="288" w:lineRule="auto"/>
              <w:ind w:firstLine="482" w:firstLineChars="200"/>
              <w:rPr>
                <w:rFonts w:eastAsia="仿宋_GB2312"/>
                <w:b/>
                <w:szCs w:val="28"/>
              </w:rPr>
            </w:pPr>
            <w:r>
              <w:rPr>
                <w:rFonts w:eastAsia="仿宋_GB2312"/>
                <w:b/>
                <w:szCs w:val="28"/>
              </w:rPr>
              <w:t>项目名称：优铸科技智能装备及工业技术孵化中心</w:t>
            </w:r>
          </w:p>
          <w:p w14:paraId="28176CF6">
            <w:pPr>
              <w:spacing w:line="288" w:lineRule="auto"/>
              <w:ind w:firstLine="482" w:firstLineChars="200"/>
              <w:rPr>
                <w:rFonts w:eastAsia="仿宋_GB2312"/>
                <w:b/>
                <w:szCs w:val="28"/>
              </w:rPr>
            </w:pPr>
            <w:r>
              <w:rPr>
                <w:rFonts w:eastAsia="仿宋_GB2312"/>
                <w:b/>
                <w:szCs w:val="28"/>
              </w:rPr>
              <w:t>实施主体：</w:t>
            </w:r>
            <w:r>
              <w:rPr>
                <w:rFonts w:eastAsia="仿宋_GB2312"/>
                <w:szCs w:val="28"/>
              </w:rPr>
              <w:t>优铸装备技术（玉溪）有限公司</w:t>
            </w:r>
          </w:p>
          <w:p w14:paraId="2CA540C2">
            <w:pPr>
              <w:spacing w:line="288" w:lineRule="auto"/>
              <w:ind w:firstLine="482" w:firstLineChars="200"/>
              <w:rPr>
                <w:rFonts w:eastAsia="仿宋_GB2312"/>
                <w:b/>
                <w:szCs w:val="28"/>
              </w:rPr>
            </w:pPr>
            <w:r>
              <w:rPr>
                <w:rFonts w:eastAsia="仿宋_GB2312"/>
                <w:b/>
                <w:szCs w:val="28"/>
              </w:rPr>
              <w:t>实施年限：</w:t>
            </w:r>
            <w:r>
              <w:rPr>
                <w:rFonts w:eastAsia="仿宋_GB2312"/>
              </w:rPr>
              <w:t>2022-2023</w:t>
            </w:r>
            <w:r>
              <w:rPr>
                <w:rFonts w:eastAsia="仿宋_GB2312"/>
                <w:szCs w:val="28"/>
              </w:rPr>
              <w:t>年</w:t>
            </w:r>
          </w:p>
          <w:p w14:paraId="027DAB57">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总投资2亿元，项目复制建设了一条美国SpaceX航天公司猎鹰9号项目精密铸造工厂生产线，并以此为基础持续进行自主创新，打造自主知识产权的智能精铸装备本土化生产能力，同时引进全球领先的德国VCIC真空离心铸造工艺技术，以汽车用涡轮增压器组件、发动机组件、国六排气系统铸件、新能源车用铜制电机转子作为初期产品，不断更新优化产品结构，部署优铸科技自主研发的智能工厂平台系统与工业物联网一体机，以工业大数据驱动实现全工厂智能化管理。新建生产车间1万平米，购置生产及检测设备共计 360 台（套），项目一期租用厂房4500平方米，投资0.45亿元。</w:t>
            </w:r>
          </w:p>
          <w:p w14:paraId="738B6C97">
            <w:pPr>
              <w:spacing w:line="288" w:lineRule="auto"/>
              <w:ind w:firstLine="482" w:firstLineChars="200"/>
              <w:rPr>
                <w:rFonts w:eastAsia="仿宋_GB2312"/>
                <w:b/>
                <w:kern w:val="2"/>
                <w:szCs w:val="28"/>
              </w:rPr>
            </w:pPr>
          </w:p>
          <w:p w14:paraId="0C13B790">
            <w:pPr>
              <w:spacing w:line="288" w:lineRule="auto"/>
              <w:ind w:firstLine="482" w:firstLineChars="200"/>
              <w:rPr>
                <w:rFonts w:eastAsia="仿宋_GB2312"/>
                <w:b/>
                <w:szCs w:val="28"/>
              </w:rPr>
            </w:pPr>
            <w:r>
              <w:rPr>
                <w:rFonts w:eastAsia="仿宋_GB2312"/>
                <w:b/>
                <w:szCs w:val="28"/>
              </w:rPr>
              <w:t>项目名称：高端数控机床铸件智能化加工生产线</w:t>
            </w:r>
          </w:p>
          <w:p w14:paraId="7F79CD6B">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云南太标数控机床有限公司</w:t>
            </w:r>
          </w:p>
          <w:p w14:paraId="295BB418">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p w14:paraId="13663F35">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计划投资5亿元。购置国内外先进生产设备324台套，检测设备21台套，引进智能化生产管理系统，形成年产12万吨高端数控机床铸件的智能化加工生产线。</w:t>
            </w:r>
          </w:p>
          <w:p w14:paraId="4EC94417">
            <w:pPr>
              <w:spacing w:line="288" w:lineRule="auto"/>
              <w:ind w:firstLine="482" w:firstLineChars="200"/>
              <w:rPr>
                <w:rFonts w:eastAsia="仿宋_GB2312"/>
                <w:b/>
                <w:kern w:val="2"/>
                <w:szCs w:val="28"/>
              </w:rPr>
            </w:pPr>
          </w:p>
          <w:p w14:paraId="3E65DCF4">
            <w:pPr>
              <w:spacing w:line="288" w:lineRule="auto"/>
              <w:ind w:firstLine="482" w:firstLineChars="200"/>
              <w:rPr>
                <w:rFonts w:eastAsia="仿宋_GB2312"/>
                <w:b/>
                <w:szCs w:val="28"/>
              </w:rPr>
            </w:pPr>
            <w:r>
              <w:rPr>
                <w:rFonts w:eastAsia="仿宋_GB2312"/>
                <w:b/>
                <w:szCs w:val="28"/>
              </w:rPr>
              <w:t>项目名称：云南太标精工铸造有限公司铸锻件全产业链供应提升项目</w:t>
            </w:r>
          </w:p>
          <w:p w14:paraId="07033D72">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云南太标精工铸造有限公司</w:t>
            </w:r>
          </w:p>
          <w:p w14:paraId="31442FDE">
            <w:pPr>
              <w:spacing w:line="288" w:lineRule="auto"/>
              <w:ind w:firstLine="482" w:firstLineChars="200"/>
              <w:rPr>
                <w:rFonts w:eastAsia="仿宋_GB2312"/>
                <w:b/>
                <w:szCs w:val="28"/>
              </w:rPr>
            </w:pPr>
            <w:r>
              <w:rPr>
                <w:rFonts w:eastAsia="仿宋_GB2312"/>
                <w:b/>
                <w:szCs w:val="28"/>
              </w:rPr>
              <w:t>实施年限：</w:t>
            </w:r>
            <w:r>
              <w:rPr>
                <w:rFonts w:eastAsia="仿宋_GB2312"/>
              </w:rPr>
              <w:t>2022-2025</w:t>
            </w:r>
            <w:r>
              <w:rPr>
                <w:rFonts w:eastAsia="仿宋_GB2312"/>
                <w:szCs w:val="28"/>
              </w:rPr>
              <w:t>年</w:t>
            </w:r>
          </w:p>
          <w:p w14:paraId="1AD629CC">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6亿元。新建铸造车间、铸钢锻造车间、综合办公楼，铸造车间布置2座10吨一拖三中频炉、1座10吨一拖二中频炉、树脂砂自动造型线三条（手动造型线四条）、黏土砂造型线一条、V法造型线一条、消失模自动化生产线一条、3D打印铸造砂型线及相关砂处理线各一条；铸钢锻造车间布置1座30吨电弧炉、1套30吨LF精炼炉、1套30吨VD炉、模铸生产线一条、连铸生产线一条、10万吨锻件加工生产线一条、10吨单相气氛保护电渣炉2座、铸铁机2条；配套铸件抛丸、清砂打磨、退火炉、喷漆线等工艺设备及环保除尘、电炉渣处理、公辅设施等。</w:t>
            </w:r>
          </w:p>
          <w:p w14:paraId="666B695A">
            <w:pPr>
              <w:spacing w:line="288" w:lineRule="auto"/>
              <w:ind w:firstLine="482" w:firstLineChars="200"/>
              <w:rPr>
                <w:rFonts w:eastAsia="仿宋_GB2312"/>
                <w:b/>
                <w:kern w:val="2"/>
                <w:szCs w:val="28"/>
              </w:rPr>
            </w:pPr>
          </w:p>
          <w:p w14:paraId="004C3689">
            <w:pPr>
              <w:spacing w:line="288" w:lineRule="auto"/>
              <w:ind w:firstLine="482" w:firstLineChars="200"/>
              <w:rPr>
                <w:rFonts w:eastAsia="仿宋_GB2312"/>
                <w:b/>
                <w:szCs w:val="28"/>
              </w:rPr>
            </w:pPr>
            <w:r>
              <w:rPr>
                <w:rFonts w:eastAsia="仿宋_GB2312"/>
                <w:b/>
                <w:szCs w:val="28"/>
              </w:rPr>
              <w:t>项目名称：数控机床智能研发及技术改造项目</w:t>
            </w:r>
          </w:p>
          <w:p w14:paraId="23BB9C37">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云南正成工精密机械有限公司</w:t>
            </w:r>
          </w:p>
          <w:p w14:paraId="2988CC74">
            <w:pPr>
              <w:spacing w:line="288" w:lineRule="auto"/>
              <w:ind w:firstLine="482" w:firstLineChars="200"/>
              <w:rPr>
                <w:rFonts w:eastAsia="仿宋_GB2312"/>
                <w:b/>
                <w:szCs w:val="28"/>
              </w:rPr>
            </w:pPr>
            <w:r>
              <w:rPr>
                <w:rFonts w:eastAsia="仿宋_GB2312"/>
                <w:b/>
                <w:szCs w:val="28"/>
              </w:rPr>
              <w:t>实施年限：</w:t>
            </w:r>
            <w:r>
              <w:rPr>
                <w:rFonts w:eastAsia="仿宋_GB2312"/>
              </w:rPr>
              <w:t>2022-2022</w:t>
            </w:r>
            <w:r>
              <w:rPr>
                <w:rFonts w:eastAsia="仿宋_GB2312"/>
                <w:szCs w:val="28"/>
              </w:rPr>
              <w:t>年</w:t>
            </w:r>
          </w:p>
          <w:p w14:paraId="5062FC92">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9000万元。租用玉溪研和土地开发投资有限公司新建标准厂房3000平方米进行装修改造，通过硬件设施的建设和配制、硬件改造以及配套的公用工程、新增检测仪器、研发设备的购置配备、通过设计开发、检测、分析软件、实施项目的人才招募、研发团队组建，筹建企业研发中心；新增龙门、五面体加工中心等生产设备，实施企业生产线技改升级提质增效，形成年产10000台数控机床光机生产和整机试验的产能。</w:t>
            </w:r>
          </w:p>
        </w:tc>
      </w:tr>
      <w:bookmarkEnd w:id="67"/>
      <w:bookmarkEnd w:id="68"/>
    </w:tbl>
    <w:p w14:paraId="5232745D">
      <w:pPr>
        <w:pStyle w:val="5"/>
        <w:ind w:firstLine="643"/>
        <w:rPr>
          <w:rFonts w:ascii="Times New Roman" w:hAnsi="Times New Roman" w:cs="Times New Roman"/>
        </w:rPr>
      </w:pPr>
      <w:bookmarkStart w:id="69" w:name="_Toc82871386"/>
      <w:r>
        <w:rPr>
          <w:rFonts w:ascii="Times New Roman" w:hAnsi="Times New Roman" w:cs="Times New Roman"/>
        </w:rPr>
        <w:t>3、重点发展生物医药产业</w:t>
      </w:r>
    </w:p>
    <w:p w14:paraId="4BF9A75D">
      <w:pPr>
        <w:pStyle w:val="42"/>
        <w:spacing w:before="97" w:after="97"/>
        <w:ind w:firstLine="643"/>
        <w:rPr>
          <w:rFonts w:ascii="Times New Roman"/>
          <w:b/>
          <w:bCs/>
        </w:rPr>
      </w:pPr>
      <w:r>
        <w:rPr>
          <w:rFonts w:ascii="Times New Roman"/>
          <w:b/>
          <w:bCs/>
        </w:rPr>
        <w:t>（1）本地基础及存在问题</w:t>
      </w:r>
    </w:p>
    <w:p w14:paraId="6EB41678">
      <w:pPr>
        <w:pStyle w:val="42"/>
        <w:spacing w:before="97" w:after="97"/>
        <w:ind w:firstLine="643"/>
        <w:rPr>
          <w:rFonts w:ascii="Times New Roman"/>
        </w:rPr>
      </w:pPr>
      <w:r>
        <w:rPr>
          <w:rFonts w:hint="eastAsia" w:ascii="Times New Roman"/>
          <w:b/>
          <w:bCs/>
        </w:rPr>
        <w:t>本地基础：</w:t>
      </w:r>
      <w:r>
        <w:rPr>
          <w:rFonts w:ascii="Times New Roman"/>
        </w:rPr>
        <w:t>生物医药产业是高新区重点培育的战略性新兴产业，先后建设玉溪生物医药产业园、绿色食品产业园等一批专业园区。集聚生物医药企业23户，拥有沃森、九州、泽润、嘉和、维和等一批龙头骨干企业，其中，营收规模超过10亿元企业1家，超过5亿元企业5家。业务领域涵盖疫苗、单抗药物、中成药制剂、高纯度茄尼醇、辅酶Q10、天然色素、三七总皂甙等诸多领域。研发创新方面，获批药品文号165个，已与昆明理工、云南大学、云南生态农业研究所、上海理工大学、华南理工等高校院所开展深度产学研合作。疫苗、现代中药、绿色食品及保健品等领域优势显著。</w:t>
      </w:r>
    </w:p>
    <w:p w14:paraId="7BFA48EA">
      <w:pPr>
        <w:pStyle w:val="42"/>
        <w:spacing w:before="97" w:after="97"/>
        <w:ind w:firstLine="643"/>
        <w:rPr>
          <w:rFonts w:ascii="Times New Roman"/>
        </w:rPr>
      </w:pPr>
      <w:r>
        <w:rPr>
          <w:rFonts w:ascii="Times New Roman"/>
          <w:b/>
        </w:rPr>
        <w:t>——疫苗产业集群达国内领先水平</w:t>
      </w:r>
      <w:r>
        <w:rPr>
          <w:rFonts w:ascii="Times New Roman"/>
        </w:rPr>
        <w:t>。玉溪沃森生物入选“2019年度中国生物医药企业20强”，是全球唯一同时具备23价肺炎球菌多糖疫苗和13价肺炎疫苗生产能力的企业，13价肺炎结合疫苗打破美国疫苗巨头在婴幼儿肺炎疫苗领域10余年的垄断，填补国内市场空白。同时，沃森国内首个mRNA新冠疫苗生产车间建设项目建设完成并交付使用。玉溪嘉和生物杰诺利单抗有望成为中国首款用于治疗外周T细胞淋巴瘤的1类PD-1单抗。泽润2价HPV疫苗完成3期临床揭盲，9价HPV疫苗、重组EV71疫苗取得技术突破。九洲生物马破伤风免疫球蛋白将完成III期临床试验并申报生产。</w:t>
      </w:r>
    </w:p>
    <w:p w14:paraId="5876EEFF">
      <w:pPr>
        <w:pStyle w:val="42"/>
        <w:spacing w:before="97" w:after="97"/>
        <w:ind w:firstLine="643"/>
        <w:rPr>
          <w:rFonts w:ascii="Times New Roman"/>
        </w:rPr>
      </w:pPr>
      <w:r>
        <w:rPr>
          <w:rFonts w:ascii="Times New Roman"/>
          <w:b/>
        </w:rPr>
        <w:t>——现代中药领域基础扎实</w:t>
      </w:r>
      <w:r>
        <w:rPr>
          <w:rFonts w:ascii="Times New Roman"/>
        </w:rPr>
        <w:t>。赛灵集团“恒古骨伤愈合剂”相关研究荣获中华中医药学会科学技术一等奖、国际科学技术进步一等奖，产品远销中亚五国及俄罗斯、土耳其、美国、奥地利、匈牙利等国家；“维和”“玉药”等知名品牌享誉全国，产品畅销国内外。</w:t>
      </w:r>
    </w:p>
    <w:p w14:paraId="2A614B23">
      <w:pPr>
        <w:pStyle w:val="42"/>
        <w:spacing w:before="97" w:after="97"/>
        <w:ind w:firstLine="643"/>
        <w:rPr>
          <w:rFonts w:ascii="Times New Roman"/>
        </w:rPr>
      </w:pPr>
      <w:r>
        <w:rPr>
          <w:rFonts w:ascii="Times New Roman"/>
          <w:b/>
        </w:rPr>
        <w:t>——绿色有机食品及保健品领域蓄势待发</w:t>
      </w:r>
      <w:r>
        <w:rPr>
          <w:rFonts w:ascii="Times New Roman"/>
        </w:rPr>
        <w:t>。依托本土高原特色农作物资源优势，玉溪高新区积极发展绿色食品制造业。谋划建设绿色食品产业园，集聚了滇雪粮油、达利集团、贡润祥、猫哆哩等一批头部企业，形成特色突出、绿色集约、安全高效的绿色食品产业体系，业务范围涵盖粮油深加工、蔬菜深加工、水果深加工等领域。其中，滇雪粮油进入中国油菜籽加工企业10强榜单，达利食品有限公司连续3年入选云南省绿色食品10强企业，猫哆哩专注于酸角、滇橄榄、酸多依等林果资源进行综合开发利用，生产规模达到每年2万吨，是云南省知名品牌。同时，高新区地理优势独特，拥有丰富多样、生态环保、安全优质、品质独特的高原特色植物群，为生物医药产业发展提供有力保障。</w:t>
      </w:r>
    </w:p>
    <w:p w14:paraId="2850CBD3">
      <w:pPr>
        <w:jc w:val="center"/>
        <w:rPr>
          <w:rFonts w:eastAsia="仿宋_GB2312"/>
          <w:b/>
          <w:szCs w:val="32"/>
        </w:rPr>
      </w:pPr>
      <w:r>
        <w:rPr>
          <w:rFonts w:eastAsia="仿宋_GB2312"/>
          <w:b/>
          <w:szCs w:val="32"/>
        </w:rPr>
        <w:drawing>
          <wp:inline distT="0" distB="0" distL="0" distR="0">
            <wp:extent cx="5274310" cy="2954020"/>
            <wp:effectExtent l="0" t="0" r="0" b="5080"/>
            <wp:docPr id="40" name="图片 40"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包含 图示&#10;&#10;描述已自动生成"/>
                    <pic:cNvPicPr>
                      <a:picLocks noChangeAspect="1"/>
                    </pic:cNvPicPr>
                  </pic:nvPicPr>
                  <pic:blipFill>
                    <a:blip r:embed="rId22"/>
                    <a:stretch>
                      <a:fillRect/>
                    </a:stretch>
                  </pic:blipFill>
                  <pic:spPr>
                    <a:xfrm>
                      <a:off x="0" y="0"/>
                      <a:ext cx="5274310" cy="2954020"/>
                    </a:xfrm>
                    <a:prstGeom prst="rect">
                      <a:avLst/>
                    </a:prstGeom>
                  </pic:spPr>
                </pic:pic>
              </a:graphicData>
            </a:graphic>
          </wp:inline>
        </w:drawing>
      </w:r>
    </w:p>
    <w:p w14:paraId="2A5E0757">
      <w:pPr>
        <w:jc w:val="center"/>
        <w:rPr>
          <w:rFonts w:eastAsia="仿宋_GB2312"/>
          <w:b/>
          <w:szCs w:val="32"/>
        </w:rPr>
      </w:pPr>
      <w:r>
        <w:rPr>
          <w:rFonts w:eastAsia="仿宋_GB2312"/>
          <w:b/>
          <w:szCs w:val="32"/>
        </w:rPr>
        <w:t>图6：玉溪高新区生物医药企业产业链分布情况</w:t>
      </w:r>
    </w:p>
    <w:p w14:paraId="0490B1A3">
      <w:pPr>
        <w:pStyle w:val="42"/>
        <w:spacing w:before="97" w:after="97"/>
        <w:ind w:firstLine="643"/>
        <w:rPr>
          <w:rFonts w:ascii="Times New Roman"/>
        </w:rPr>
      </w:pPr>
      <w:r>
        <w:rPr>
          <w:rFonts w:ascii="Times New Roman"/>
          <w:b/>
          <w:bCs/>
        </w:rPr>
        <w:t>产业存在问题：</w:t>
      </w:r>
      <w:r>
        <w:rPr>
          <w:rFonts w:ascii="Times New Roman"/>
          <w:b/>
        </w:rPr>
        <w:t>一是产业溢价能力不高，</w:t>
      </w:r>
      <w:r>
        <w:rPr>
          <w:rFonts w:ascii="Times New Roman"/>
          <w:bCs/>
        </w:rPr>
        <w:t>目前高新区大部分企业主要集中在生产制造环节，研发服务环节相对缺失。</w:t>
      </w:r>
      <w:r>
        <w:rPr>
          <w:rFonts w:ascii="Times New Roman"/>
          <w:b/>
        </w:rPr>
        <w:t>二是创新能力不强</w:t>
      </w:r>
      <w:r>
        <w:rPr>
          <w:rFonts w:ascii="Times New Roman"/>
        </w:rPr>
        <w:t>，生物医药领域缺乏省级、国家级等高能级研发创新平台，暂未有新型研发机构、公共技术创新平台等产业创新平台布局，企业研发投入和高层次人才缺乏，产业创新能力相对不足。</w:t>
      </w:r>
      <w:r>
        <w:rPr>
          <w:rFonts w:ascii="Times New Roman"/>
          <w:b/>
        </w:rPr>
        <w:t>三是产业集聚度不够。</w:t>
      </w:r>
      <w:r>
        <w:rPr>
          <w:rFonts w:ascii="Times New Roman"/>
        </w:rPr>
        <w:t>目前，高新区疫苗、单抗领域发展较快，企业实力较强，现代中药、绿色食品及保健品领域相对较弱。绿色食品及保健品领域实力企业仅达利集团、猫哆哩、贡润祥3家，无法形成规模效应。</w:t>
      </w:r>
    </w:p>
    <w:p w14:paraId="5545C1A0">
      <w:pPr>
        <w:pStyle w:val="42"/>
        <w:spacing w:before="97" w:after="97"/>
        <w:ind w:firstLine="643"/>
        <w:rPr>
          <w:rFonts w:ascii="Times New Roman"/>
          <w:b/>
          <w:bCs/>
        </w:rPr>
      </w:pPr>
      <w:r>
        <w:rPr>
          <w:rFonts w:ascii="Times New Roman"/>
          <w:b/>
          <w:bCs/>
        </w:rPr>
        <w:t>（2）发展思路</w:t>
      </w:r>
    </w:p>
    <w:p w14:paraId="76EC19F9">
      <w:pPr>
        <w:pStyle w:val="4"/>
        <w:spacing w:before="97" w:after="97" w:line="520" w:lineRule="exact"/>
        <w:ind w:firstLine="640"/>
        <w:rPr>
          <w:rFonts w:ascii="Times New Roman" w:hAnsi="Times New Roman" w:eastAsia="仿宋_GB2312" w:cs="Times New Roman"/>
        </w:rPr>
      </w:pPr>
      <w:r>
        <w:rPr>
          <w:rFonts w:ascii="Times New Roman" w:hAnsi="Times New Roman" w:eastAsia="仿宋_GB2312" w:cs="Times New Roman"/>
        </w:rPr>
        <w:t>把握生命科学前沿技术发展趋势，依托本地产业基础，坚持“特色发展、集群发展”原则，加快推动高能级创新研发平台建设，积极推进科技成果转移转化，重点发展</w:t>
      </w:r>
      <w:r>
        <w:rPr>
          <w:rFonts w:ascii="Times New Roman" w:hAnsi="Times New Roman" w:eastAsia="仿宋_GB2312" w:cs="Times New Roman"/>
          <w:bCs/>
        </w:rPr>
        <w:t>以疫苗为核心的生物技术药，巩固发展现代中药、绿色健康食品及保健品两大领域，前瞻布局精准医疗领域</w:t>
      </w:r>
      <w:r>
        <w:rPr>
          <w:rFonts w:ascii="Times New Roman" w:hAnsi="Times New Roman" w:eastAsia="仿宋_GB2312" w:cs="Times New Roman"/>
        </w:rPr>
        <w:t>，全面壮大产业规模，提升产业链价值，带动全省和全市生物医药产业率先突破发展，打造全国领先的以疫苗为核心的生物医药产业集群。力争到2025年，实现主营业务收入</w:t>
      </w:r>
      <w:r>
        <w:rPr>
          <w:rFonts w:ascii="Times New Roman" w:hAnsi="Times New Roman" w:eastAsia="仿宋_GB2312" w:cs="Times New Roman"/>
          <w:color w:val="000000" w:themeColor="text1"/>
          <w14:textFill>
            <w14:solidFill>
              <w14:schemeClr w14:val="tx1"/>
            </w14:solidFill>
          </w14:textFill>
        </w:rPr>
        <w:t>400</w:t>
      </w:r>
      <w:r>
        <w:rPr>
          <w:rFonts w:ascii="Times New Roman" w:hAnsi="Times New Roman" w:eastAsia="仿宋_GB2312" w:cs="Times New Roman"/>
        </w:rPr>
        <w:t>亿元。</w:t>
      </w:r>
    </w:p>
    <w:p w14:paraId="400E939D">
      <w:pPr>
        <w:pStyle w:val="4"/>
        <w:spacing w:before="97" w:after="97"/>
        <w:ind w:firstLine="0" w:firstLineChars="0"/>
        <w:jc w:val="center"/>
        <w:rPr>
          <w:rFonts w:ascii="Times New Roman" w:hAnsi="Times New Roman" w:eastAsia="仿宋_GB2312" w:cs="Times New Roman"/>
        </w:rPr>
      </w:pPr>
      <w:r>
        <w:rPr>
          <w:rFonts w:ascii="Times New Roman" w:hAnsi="Times New Roman" w:eastAsia="仿宋_GB2312" w:cs="Times New Roman"/>
        </w:rPr>
        <w:drawing>
          <wp:inline distT="0" distB="0" distL="0" distR="0">
            <wp:extent cx="5274310" cy="2576830"/>
            <wp:effectExtent l="0" t="0" r="0" b="1270"/>
            <wp:docPr id="41" name="图片 4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文本&#10;&#10;描述已自动生成"/>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576830"/>
                    </a:xfrm>
                    <a:prstGeom prst="rect">
                      <a:avLst/>
                    </a:prstGeom>
                  </pic:spPr>
                </pic:pic>
              </a:graphicData>
            </a:graphic>
          </wp:inline>
        </w:drawing>
      </w:r>
    </w:p>
    <w:p w14:paraId="2B5231E4">
      <w:pPr>
        <w:pStyle w:val="4"/>
        <w:spacing w:before="97" w:after="97"/>
        <w:ind w:firstLine="0" w:firstLineChars="0"/>
        <w:jc w:val="center"/>
        <w:rPr>
          <w:rFonts w:ascii="Times New Roman" w:hAnsi="Times New Roman" w:eastAsia="仿宋_GB2312" w:cs="Times New Roman"/>
        </w:rPr>
      </w:pPr>
      <w:r>
        <w:rPr>
          <w:rFonts w:ascii="Times New Roman" w:hAnsi="Times New Roman" w:eastAsia="楷体" w:cs="Times New Roman"/>
          <w:b/>
          <w:bCs/>
          <w:sz w:val="24"/>
          <w:szCs w:val="18"/>
        </w:rPr>
        <w:t>图7：生物医药产业发展路径图</w:t>
      </w:r>
    </w:p>
    <w:p w14:paraId="540BA4E4">
      <w:pPr>
        <w:pStyle w:val="42"/>
        <w:spacing w:before="97" w:after="97"/>
        <w:ind w:firstLine="643"/>
        <w:rPr>
          <w:rFonts w:ascii="Times New Roman"/>
          <w:b/>
          <w:bCs/>
        </w:rPr>
      </w:pPr>
      <w:r>
        <w:rPr>
          <w:rFonts w:ascii="Times New Roman"/>
          <w:b/>
          <w:bCs/>
        </w:rPr>
        <w:t>（3）发展重点</w:t>
      </w:r>
    </w:p>
    <w:p w14:paraId="6F3B15DC">
      <w:pPr>
        <w:pStyle w:val="4"/>
        <w:spacing w:before="97" w:after="97" w:line="520" w:lineRule="exact"/>
        <w:ind w:firstLine="643"/>
        <w:rPr>
          <w:rFonts w:ascii="Times New Roman" w:hAnsi="Times New Roman" w:eastAsia="仿宋_GB2312" w:cs="Times New Roman"/>
        </w:rPr>
      </w:pPr>
      <w:r>
        <w:rPr>
          <w:rFonts w:ascii="Times New Roman" w:hAnsi="Times New Roman" w:eastAsia="仿宋_GB2312" w:cs="Times New Roman"/>
          <w:b/>
        </w:rPr>
        <w:t>生物技术药</w:t>
      </w:r>
      <w:r>
        <w:rPr>
          <w:rFonts w:ascii="Times New Roman" w:hAnsi="Times New Roman" w:eastAsia="仿宋_GB2312" w:cs="Times New Roman"/>
        </w:rPr>
        <w:t>。把握新冠疫情全球化、疫苗国产化机遇，面向生物药紧缺环节，重点发展疫苗领域，积极发展免疫球蛋白、单克隆抗体两大领域。围绕感染性疾病与肿瘤等应用方向，重点发展病毒载体疫苗、灭活疫苗、核酸疫苗、多联多价疫苗、基因工程疫苗等新型疫苗。针对肿瘤、免疫系统疾病和感染性疾病的治疗应用，积极发展单克隆抗体、免疫球蛋白等抗体类、重组蛋白类药物。</w:t>
      </w:r>
    </w:p>
    <w:p w14:paraId="6140A615">
      <w:pPr>
        <w:pStyle w:val="4"/>
        <w:spacing w:before="97" w:after="97" w:line="520" w:lineRule="exact"/>
        <w:ind w:firstLine="643"/>
        <w:rPr>
          <w:rFonts w:ascii="Times New Roman" w:hAnsi="Times New Roman" w:eastAsia="仿宋_GB2312" w:cs="Times New Roman"/>
          <w:b/>
        </w:rPr>
      </w:pPr>
      <w:r>
        <w:rPr>
          <w:rFonts w:ascii="Times New Roman" w:hAnsi="Times New Roman" w:eastAsia="仿宋_GB2312" w:cs="Times New Roman"/>
          <w:b/>
        </w:rPr>
        <w:t>现代中药。</w:t>
      </w:r>
      <w:r>
        <w:rPr>
          <w:rFonts w:ascii="Times New Roman" w:hAnsi="Times New Roman" w:eastAsia="仿宋_GB2312" w:cs="Times New Roman"/>
        </w:rPr>
        <w:t>面向中医药临床治疗优势病种，依托云南省三七、石斛等本地优势药材，围绕呼吸系统类、消化系统类、抗感染类、心脑血管类、儿童类、老年类等细分领域，重点开发疗效确切、安全性高、作用机理清晰、制备工艺先进的中成药，协同发展三七、砂仁、茯苓、石斛、诃子等中成药颗粒。积极发展跌打损伤、祛风除湿、补血养血等特色民族药。培育发展以中药为基源的中药饮料、中药零食、中药保健品、药酒、药妆等中药新业态。</w:t>
      </w:r>
    </w:p>
    <w:p w14:paraId="7EE68BE9">
      <w:pPr>
        <w:pStyle w:val="4"/>
        <w:spacing w:before="97" w:after="97" w:line="520" w:lineRule="exact"/>
        <w:ind w:firstLine="643"/>
        <w:rPr>
          <w:rFonts w:ascii="Times New Roman" w:hAnsi="Times New Roman" w:eastAsia="仿宋_GB2312" w:cs="Times New Roman"/>
        </w:rPr>
      </w:pPr>
      <w:r>
        <w:rPr>
          <w:rFonts w:ascii="Times New Roman" w:hAnsi="Times New Roman" w:eastAsia="仿宋_GB2312" w:cs="Times New Roman"/>
          <w:b/>
        </w:rPr>
        <w:t>绿色健康食品及保健品。</w:t>
      </w:r>
      <w:r>
        <w:rPr>
          <w:rFonts w:ascii="Times New Roman" w:hAnsi="Times New Roman" w:eastAsia="仿宋_GB2312" w:cs="Times New Roman"/>
        </w:rPr>
        <w:t>紧抓云南省打造“绿色食品牌”机遇，重点发展粮油类食品、绿色休闲类食品及高原特色新品。粮油类食品重点发展菜籽油、亚麻籽油等绿色食用油类产品，休闲类食品重点发展酸角糕、普洱茶、百香果、滇橄榄、酸多依等本土特色营养健康食品，积极开发膳食纤维、多糖、冻干粉等高附加值、深加工高原特色新产品，延伸发展基于辅酶Q10、维生素K2等为主要原料的功能保健品和日化品。</w:t>
      </w:r>
    </w:p>
    <w:p w14:paraId="5FC1167E">
      <w:pPr>
        <w:pStyle w:val="4"/>
        <w:spacing w:before="97" w:after="97" w:line="520" w:lineRule="exact"/>
        <w:ind w:firstLine="643"/>
        <w:rPr>
          <w:rFonts w:ascii="Times New Roman" w:hAnsi="Times New Roman" w:eastAsia="仿宋_GB2312" w:cs="Times New Roman"/>
        </w:rPr>
      </w:pPr>
      <w:r>
        <w:rPr>
          <w:rFonts w:ascii="Times New Roman" w:hAnsi="Times New Roman" w:eastAsia="仿宋_GB2312" w:cs="Times New Roman"/>
          <w:b/>
        </w:rPr>
        <w:t>新赛道</w:t>
      </w:r>
      <w:r>
        <w:rPr>
          <w:rFonts w:ascii="Times New Roman" w:hAnsi="Times New Roman" w:eastAsia="仿宋_GB2312" w:cs="Times New Roman"/>
        </w:rPr>
        <w:t>。瞄准生物医药前沿领域，以发展基因工程疫苗为带动，充分借助基因技术优势，延伸发展精准医疗领域，前瞻布局基因筛检、基因携带检测、干细胞治疗、免疫治疗、体外诊断等细分领域。</w:t>
      </w:r>
    </w:p>
    <w:p w14:paraId="088381EF">
      <w:pPr>
        <w:pStyle w:val="42"/>
        <w:spacing w:before="97" w:after="97"/>
        <w:ind w:firstLine="643"/>
        <w:rPr>
          <w:rFonts w:ascii="Times New Roman"/>
          <w:b/>
          <w:bCs/>
        </w:rPr>
      </w:pPr>
      <w:r>
        <w:rPr>
          <w:rFonts w:ascii="Times New Roman"/>
          <w:b/>
          <w:bCs/>
        </w:rPr>
        <w:t>（4）发展策略</w:t>
      </w:r>
    </w:p>
    <w:p w14:paraId="698E9FB1">
      <w:pPr>
        <w:pStyle w:val="42"/>
        <w:spacing w:before="97" w:after="97" w:line="520" w:lineRule="exact"/>
        <w:ind w:firstLine="643"/>
        <w:rPr>
          <w:rFonts w:ascii="Times New Roman"/>
          <w:highlight w:val="yellow"/>
        </w:rPr>
      </w:pPr>
      <w:r>
        <w:rPr>
          <w:rFonts w:ascii="Times New Roman"/>
          <w:b/>
        </w:rPr>
        <w:t>做大做强生物技术药</w:t>
      </w:r>
      <w:r>
        <w:rPr>
          <w:rFonts w:ascii="Times New Roman"/>
        </w:rPr>
        <w:t>。加快推进红塔工业园区生物医药和大健康产业园建设，强化服务对接，确保项目按计划推进。鼓励支持沃森、维和等骨干企业搭建基于AI、大数据、工业互联网的mRNA信使平台、实验动物中心等创新平台，利用新一代信息技术优势开展多联价疫苗、基因工程疫苗等关键技术攻关，加快突破疫苗新产品研发瓶颈。支持九州、嘉和等高新区骨干企业联合昆明理工、云南大学、云南生态农业研究所等高校院所共建生物医药公共技术服务平台，为企业提供检验检测、技术研发、中试等服务，提高高新区企业研发效率。联合云南大学、云南生态农业研究所等高校院所，联合共建生物医药产业技术研究院，加强与云南大学、上海理工大学、华南理工大学等高校院所合作，按照“研发一批、转化一批”的思路，加快推进科技成果转移转化，落地一批生物药项目。出台相关产业扶持政策，支持高新区企业拓展国内市场，协助企业对接政府疫苗采购项目，争取进入国家卫生医疗集采清单，进一步提升国内市场份额。</w:t>
      </w:r>
    </w:p>
    <w:p w14:paraId="2076B77B">
      <w:pPr>
        <w:pStyle w:val="42"/>
        <w:spacing w:before="97" w:after="97" w:line="520" w:lineRule="exact"/>
        <w:ind w:firstLine="643"/>
        <w:rPr>
          <w:rFonts w:ascii="Times New Roman"/>
          <w:highlight w:val="yellow"/>
        </w:rPr>
      </w:pPr>
      <w:r>
        <w:rPr>
          <w:rFonts w:ascii="Times New Roman"/>
          <w:b/>
        </w:rPr>
        <w:t>巩固发展现代中药</w:t>
      </w:r>
      <w:r>
        <w:rPr>
          <w:rFonts w:ascii="Times New Roman"/>
        </w:rPr>
        <w:t>。实施现代中药龙头企业培育计划，建立龙头企业培育库，梳理并筛选符合条件的企业入库，对入库企业在科技研发、重组并购、土地空间、金融、税收等领域制定针对性扶持政策，培育一批龙头企业。鼓励维和、玉药等有条件的企业自建、联建中药材种养殖基地，补充完善产业链上游，为企业发展提供充足原料保障。谋划推进GAP标准中药材种植示范基地建设，开展基于“互联网+”中药材种植养殖平台建设，提高中药材优良品种选育和无公害规范化产业化种植水平，保障中药材原料质量。鼓励支持维和、红云等区域骨干企业自建或联建省级及以上工程研究中心、重点实验室、企业技术中心等高能级研发平台，加强对中药配方颗粒、中药提取物、生产制造工艺等关键技术攻关，着力突破一批关键技术。加大政策支持奖励力度，协助相关企业重点开拓东南亚、南亚市场，积极拓展国外市场。</w:t>
      </w:r>
    </w:p>
    <w:p w14:paraId="04054997">
      <w:pPr>
        <w:pStyle w:val="42"/>
        <w:spacing w:before="97" w:after="97" w:line="520" w:lineRule="exact"/>
        <w:ind w:firstLine="643"/>
        <w:rPr>
          <w:rFonts w:ascii="Times New Roman"/>
        </w:rPr>
      </w:pPr>
      <w:r>
        <w:rPr>
          <w:rFonts w:ascii="Times New Roman"/>
          <w:b/>
        </w:rPr>
        <w:t>壮大提升绿色健康食品及保健品</w:t>
      </w:r>
      <w:r>
        <w:rPr>
          <w:rFonts w:ascii="Times New Roman"/>
        </w:rPr>
        <w:t>。加快推进绿色食品产业园建设，强化对接服务，确保项目工程按计划进行。依托段曰汤工作站、玉溪市普洱茶膏产业化工程技术研究中心等企业研发平台，加强对普洱茶、酸角、滇山楂、滇刺枣等本土特色作物研发，持续丰富健康食品种类。加强与云南大学、云南生态农业研究所、上海食品研究所等高校院所开展产学研合作，重点聚焦膳食纤维、多糖、冻干粉等领域，加强科技成果转移转化，推动一批研发成果商业化。支持健坤制药等骨干企业加强对基于辅酶Q10、维生素K2等中间体的功能保健品、化妆品研发，延伸发展下游产品，进一步完善产业链。提高品牌意识，打造“玉溪高原特色农产品交流会”品牌活动。</w:t>
      </w:r>
    </w:p>
    <w:p w14:paraId="57536F28">
      <w:pPr>
        <w:pStyle w:val="42"/>
        <w:spacing w:before="97" w:after="97" w:line="520" w:lineRule="exact"/>
        <w:ind w:firstLine="643"/>
        <w:rPr>
          <w:rFonts w:ascii="Times New Roman"/>
        </w:rPr>
      </w:pPr>
      <w:r>
        <w:rPr>
          <w:rFonts w:ascii="Times New Roman"/>
          <w:b/>
          <w:bCs/>
        </w:rPr>
        <w:t>探索发展精准医疗。</w:t>
      </w:r>
      <w:r>
        <w:rPr>
          <w:rFonts w:ascii="Times New Roman"/>
        </w:rPr>
        <w:t>以生物医药和大健康产业园为载体依托，对接长三角、珠三角区域高端协会、专业平台以及行业基金等高端资源，适时联合相关机构设立产业发展市场化基金，着力引进一批基因检测、免疫治疗、核酸药物、体外诊断、干细胞与再生医学、3D生物打印等领域高科技生物公司。紧抓高新区5G数字园区建设机遇，积极搭建高新区健康大数据平台、数字化防疫平台等医疗信息化服务平台，为发展精准医疗提供大数据平台支撑。支持沃森生物、九州生物等骨干企业联合建设细胞工程中心、细胞存储库，与云南大学、</w:t>
      </w:r>
      <w:r>
        <w:rPr>
          <w:rFonts w:hint="eastAsia" w:ascii="Times New Roman"/>
        </w:rPr>
        <w:t>中国科学院</w:t>
      </w:r>
      <w:bookmarkStart w:id="102" w:name="_GoBack"/>
      <w:bookmarkEnd w:id="102"/>
      <w:r>
        <w:rPr>
          <w:rFonts w:ascii="Times New Roman"/>
        </w:rPr>
        <w:t>等合作，着力开展肿瘤免疫细胞治疗、干细胞治疗、基因治疗、基因编辑等精准治疗技术研发。</w:t>
      </w:r>
    </w:p>
    <w:p w14:paraId="0AB0812A">
      <w:pPr>
        <w:pStyle w:val="42"/>
        <w:spacing w:before="97" w:after="97"/>
        <w:ind w:firstLine="643"/>
        <w:rPr>
          <w:rFonts w:ascii="Times New Roman"/>
          <w:b/>
          <w:bCs/>
        </w:rPr>
      </w:pPr>
      <w:r>
        <w:rPr>
          <w:rFonts w:ascii="Times New Roman"/>
          <w:b/>
          <w:bCs/>
        </w:rPr>
        <w:t>（5）重大项目表</w:t>
      </w:r>
    </w:p>
    <w:tbl>
      <w:tblPr>
        <w:tblStyle w:val="25"/>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14:paraId="18BA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41B4EFFC">
            <w:pPr>
              <w:jc w:val="center"/>
              <w:rPr>
                <w:rFonts w:eastAsia="黑体"/>
                <w:bCs/>
                <w:sz w:val="28"/>
                <w:szCs w:val="22"/>
              </w:rPr>
            </w:pPr>
            <w:r>
              <w:rPr>
                <w:rFonts w:eastAsia="黑体"/>
                <w:bCs/>
                <w:sz w:val="28"/>
              </w:rPr>
              <w:t>重大创新平台2：生物医药产业技术研究院</w:t>
            </w:r>
          </w:p>
        </w:tc>
      </w:tr>
      <w:tr w14:paraId="5E66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70ADF162">
            <w:pPr>
              <w:spacing w:line="288" w:lineRule="auto"/>
              <w:ind w:firstLine="482" w:firstLineChars="200"/>
              <w:rPr>
                <w:rFonts w:eastAsia="仿宋_GB2312"/>
                <w:b/>
                <w:szCs w:val="28"/>
              </w:rPr>
            </w:pPr>
            <w:r>
              <w:rPr>
                <w:rFonts w:eastAsia="仿宋_GB2312"/>
                <w:b/>
                <w:szCs w:val="28"/>
              </w:rPr>
              <w:t>实施主体：</w:t>
            </w:r>
            <w:r>
              <w:rPr>
                <w:rFonts w:eastAsia="仿宋_GB2312"/>
                <w:szCs w:val="28"/>
              </w:rPr>
              <w:t>高新区联合高校院所共建</w:t>
            </w:r>
          </w:p>
          <w:p w14:paraId="1F1FA12A">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计划投资3000万元，</w:t>
            </w:r>
            <w:r>
              <w:rPr>
                <w:rFonts w:eastAsia="仿宋_GB2312"/>
                <w:bCs/>
                <w:szCs w:val="28"/>
              </w:rPr>
              <w:t>建设技术转移中心、创业孵化中心、人才培育中心、战略咨询中心等</w:t>
            </w:r>
          </w:p>
          <w:p w14:paraId="297002C5">
            <w:pPr>
              <w:ind w:firstLine="482" w:firstLineChars="200"/>
              <w:rPr>
                <w:rFonts w:eastAsia="黑体"/>
                <w:bCs/>
                <w:sz w:val="28"/>
              </w:rPr>
            </w:pPr>
            <w:r>
              <w:rPr>
                <w:rFonts w:eastAsia="仿宋_GB2312"/>
                <w:b/>
                <w:szCs w:val="28"/>
              </w:rPr>
              <w:t>实施年限：</w:t>
            </w:r>
            <w:r>
              <w:rPr>
                <w:rFonts w:eastAsia="仿宋_GB2312"/>
              </w:rPr>
              <w:t>2022-2023</w:t>
            </w:r>
            <w:r>
              <w:rPr>
                <w:rFonts w:eastAsia="仿宋_GB2312"/>
                <w:szCs w:val="28"/>
              </w:rPr>
              <w:t>年</w:t>
            </w:r>
          </w:p>
        </w:tc>
      </w:tr>
      <w:tr w14:paraId="348C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00A968B5">
            <w:pPr>
              <w:spacing w:line="288" w:lineRule="auto"/>
              <w:ind w:firstLine="1680" w:firstLineChars="600"/>
              <w:rPr>
                <w:rFonts w:eastAsia="仿宋_GB2312"/>
                <w:b/>
                <w:szCs w:val="28"/>
              </w:rPr>
            </w:pPr>
            <w:r>
              <w:rPr>
                <w:rFonts w:eastAsia="黑体"/>
                <w:bCs/>
                <w:sz w:val="28"/>
              </w:rPr>
              <w:t>重大创新平台3：生物医药公共技术服务平台</w:t>
            </w:r>
          </w:p>
        </w:tc>
      </w:tr>
      <w:tr w14:paraId="686E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4C4FD7FF">
            <w:pPr>
              <w:spacing w:line="288" w:lineRule="auto"/>
              <w:ind w:firstLine="482" w:firstLineChars="200"/>
              <w:rPr>
                <w:rFonts w:eastAsia="仿宋_GB2312"/>
                <w:b/>
                <w:szCs w:val="28"/>
              </w:rPr>
            </w:pPr>
            <w:r>
              <w:rPr>
                <w:rFonts w:eastAsia="仿宋_GB2312"/>
                <w:b/>
                <w:szCs w:val="28"/>
              </w:rPr>
              <w:t>实施主体：</w:t>
            </w:r>
            <w:r>
              <w:rPr>
                <w:rFonts w:eastAsia="仿宋_GB2312"/>
                <w:szCs w:val="28"/>
              </w:rPr>
              <w:t>园区骨干企业联合高校院所共建</w:t>
            </w:r>
          </w:p>
          <w:p w14:paraId="72D0A63B">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计划投资5000万元，提供</w:t>
            </w:r>
            <w:r>
              <w:rPr>
                <w:rFonts w:eastAsia="仿宋_GB2312"/>
                <w:bCs/>
                <w:szCs w:val="28"/>
              </w:rPr>
              <w:t>技术研发、检验检测、知识产权、中试基地等服务</w:t>
            </w:r>
          </w:p>
          <w:p w14:paraId="38867873">
            <w:pPr>
              <w:spacing w:line="288" w:lineRule="auto"/>
              <w:ind w:firstLine="482" w:firstLineChars="200"/>
              <w:rPr>
                <w:rFonts w:eastAsia="黑体"/>
                <w:bCs/>
                <w:sz w:val="28"/>
              </w:rPr>
            </w:pPr>
            <w:r>
              <w:rPr>
                <w:rFonts w:eastAsia="仿宋_GB2312"/>
                <w:b/>
                <w:szCs w:val="28"/>
              </w:rPr>
              <w:t>实施年限：</w:t>
            </w:r>
            <w:r>
              <w:rPr>
                <w:rFonts w:eastAsia="仿宋_GB2312"/>
              </w:rPr>
              <w:t>2022-2023</w:t>
            </w:r>
            <w:r>
              <w:rPr>
                <w:rFonts w:eastAsia="仿宋_GB2312"/>
                <w:szCs w:val="28"/>
              </w:rPr>
              <w:t>年</w:t>
            </w:r>
          </w:p>
        </w:tc>
      </w:tr>
      <w:tr w14:paraId="7A10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2077DB5C">
            <w:pPr>
              <w:jc w:val="center"/>
              <w:rPr>
                <w:rFonts w:eastAsia="仿宋_GB2312"/>
                <w:b/>
                <w:szCs w:val="28"/>
              </w:rPr>
            </w:pPr>
            <w:r>
              <w:rPr>
                <w:rFonts w:eastAsia="黑体"/>
                <w:bCs/>
                <w:sz w:val="28"/>
              </w:rPr>
              <w:t>重大创新平台4：生物医药和大健康产业园中国中医药大学产学研基地</w:t>
            </w:r>
          </w:p>
        </w:tc>
      </w:tr>
      <w:tr w14:paraId="7D86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1ACCEF62">
            <w:pPr>
              <w:spacing w:line="288" w:lineRule="auto"/>
              <w:ind w:firstLine="482" w:firstLineChars="200"/>
              <w:rPr>
                <w:rFonts w:eastAsia="仿宋_GB2312"/>
                <w:b/>
                <w:szCs w:val="28"/>
              </w:rPr>
            </w:pPr>
            <w:r>
              <w:rPr>
                <w:rFonts w:eastAsia="仿宋_GB2312"/>
                <w:b/>
                <w:szCs w:val="28"/>
              </w:rPr>
              <w:t>实施主体：</w:t>
            </w:r>
            <w:r>
              <w:rPr>
                <w:rFonts w:eastAsia="仿宋_GB2312"/>
                <w:szCs w:val="28"/>
              </w:rPr>
              <w:t>玉溪高新区联合中国中医药大学共建</w:t>
            </w:r>
          </w:p>
          <w:p w14:paraId="6026293A">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计划投资2亿元。建设中国中医药大学产学研基地</w:t>
            </w:r>
          </w:p>
          <w:p w14:paraId="6450617C">
            <w:pPr>
              <w:spacing w:line="288" w:lineRule="auto"/>
              <w:ind w:firstLine="482" w:firstLineChars="200"/>
              <w:rPr>
                <w:rFonts w:eastAsia="仿宋_GB2312"/>
                <w:b/>
                <w:szCs w:val="28"/>
              </w:rPr>
            </w:pPr>
            <w:r>
              <w:rPr>
                <w:rFonts w:eastAsia="仿宋_GB2312"/>
                <w:b/>
                <w:szCs w:val="28"/>
              </w:rPr>
              <w:t>实施年限：</w:t>
            </w:r>
            <w:r>
              <w:rPr>
                <w:rFonts w:eastAsia="仿宋_GB2312"/>
              </w:rPr>
              <w:t>2024-2025</w:t>
            </w:r>
            <w:r>
              <w:rPr>
                <w:rFonts w:eastAsia="仿宋_GB2312"/>
                <w:szCs w:val="28"/>
              </w:rPr>
              <w:t>年</w:t>
            </w:r>
          </w:p>
        </w:tc>
      </w:tr>
      <w:tr w14:paraId="0A4D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06D31027">
            <w:pPr>
              <w:spacing w:line="400" w:lineRule="exact"/>
              <w:jc w:val="center"/>
              <w:rPr>
                <w:rFonts w:eastAsia="黑体"/>
                <w:bCs/>
                <w:sz w:val="28"/>
              </w:rPr>
            </w:pPr>
            <w:r>
              <w:rPr>
                <w:rFonts w:eastAsia="黑体"/>
                <w:bCs/>
                <w:sz w:val="28"/>
              </w:rPr>
              <w:t>重大创新平台5：生物医药和大健康产业园云南省中医药大学产学研</w:t>
            </w:r>
          </w:p>
          <w:p w14:paraId="5AD6111D">
            <w:pPr>
              <w:spacing w:line="400" w:lineRule="exact"/>
              <w:jc w:val="center"/>
              <w:rPr>
                <w:rFonts w:eastAsia="仿宋_GB2312"/>
                <w:b/>
                <w:szCs w:val="28"/>
              </w:rPr>
            </w:pPr>
            <w:r>
              <w:rPr>
                <w:rFonts w:eastAsia="黑体"/>
                <w:bCs/>
                <w:sz w:val="28"/>
              </w:rPr>
              <w:t>实训基地</w:t>
            </w:r>
          </w:p>
        </w:tc>
      </w:tr>
      <w:tr w14:paraId="17C1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192A69A5">
            <w:pPr>
              <w:spacing w:line="288" w:lineRule="auto"/>
              <w:ind w:firstLine="482" w:firstLineChars="200"/>
              <w:rPr>
                <w:rFonts w:eastAsia="仿宋_GB2312"/>
                <w:b/>
                <w:szCs w:val="28"/>
              </w:rPr>
            </w:pPr>
            <w:r>
              <w:rPr>
                <w:rFonts w:eastAsia="仿宋_GB2312"/>
                <w:b/>
                <w:szCs w:val="28"/>
              </w:rPr>
              <w:t>实施主体：</w:t>
            </w:r>
            <w:r>
              <w:rPr>
                <w:rFonts w:eastAsia="仿宋_GB2312"/>
                <w:szCs w:val="28"/>
              </w:rPr>
              <w:t>玉溪高新区联合云南中医药大学共建</w:t>
            </w:r>
          </w:p>
          <w:p w14:paraId="6B544BBA">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计划投资3亿元。建设云南省中医药大学产学研实训基地</w:t>
            </w:r>
          </w:p>
          <w:p w14:paraId="790A53F4">
            <w:pPr>
              <w:spacing w:line="288" w:lineRule="auto"/>
              <w:ind w:firstLine="482" w:firstLineChars="200"/>
              <w:rPr>
                <w:rFonts w:eastAsia="仿宋_GB2312"/>
                <w:b/>
                <w:szCs w:val="28"/>
              </w:rPr>
            </w:pPr>
            <w:r>
              <w:rPr>
                <w:rFonts w:eastAsia="仿宋_GB2312"/>
                <w:b/>
                <w:szCs w:val="28"/>
              </w:rPr>
              <w:t>实施年限：</w:t>
            </w:r>
            <w:r>
              <w:rPr>
                <w:rFonts w:eastAsia="仿宋_GB2312"/>
              </w:rPr>
              <w:t>2024-2025</w:t>
            </w:r>
            <w:r>
              <w:rPr>
                <w:rFonts w:eastAsia="仿宋_GB2312"/>
                <w:szCs w:val="28"/>
              </w:rPr>
              <w:t>年</w:t>
            </w:r>
          </w:p>
        </w:tc>
      </w:tr>
      <w:tr w14:paraId="521A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14D046B9">
            <w:pPr>
              <w:spacing w:line="288" w:lineRule="auto"/>
              <w:ind w:firstLine="1680" w:firstLineChars="600"/>
              <w:rPr>
                <w:rFonts w:eastAsia="仿宋_GB2312"/>
                <w:b/>
                <w:szCs w:val="28"/>
              </w:rPr>
            </w:pPr>
            <w:r>
              <w:rPr>
                <w:rFonts w:eastAsia="黑体"/>
                <w:bCs/>
                <w:sz w:val="28"/>
              </w:rPr>
              <w:t>重大产业载体4：生物医药大健康产业园</w:t>
            </w:r>
          </w:p>
        </w:tc>
      </w:tr>
      <w:tr w14:paraId="6E81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1570056D">
            <w:pPr>
              <w:spacing w:line="288" w:lineRule="auto"/>
              <w:ind w:firstLine="482" w:firstLineChars="200"/>
              <w:rPr>
                <w:rFonts w:eastAsia="仿宋_GB2312"/>
                <w:b/>
                <w:szCs w:val="28"/>
              </w:rPr>
            </w:pPr>
            <w:r>
              <w:rPr>
                <w:rFonts w:eastAsia="仿宋_GB2312"/>
                <w:b/>
                <w:szCs w:val="28"/>
              </w:rPr>
              <w:t>实施主体：</w:t>
            </w:r>
            <w:r>
              <w:rPr>
                <w:rFonts w:eastAsia="仿宋_GB2312"/>
                <w:szCs w:val="28"/>
              </w:rPr>
              <w:t>玉溪高新区</w:t>
            </w:r>
          </w:p>
          <w:p w14:paraId="076C2F44">
            <w:pPr>
              <w:spacing w:line="288" w:lineRule="auto"/>
              <w:ind w:firstLine="482" w:firstLineChars="200"/>
              <w:rPr>
                <w:rFonts w:eastAsia="仿宋_GB2312"/>
                <w:b/>
                <w:szCs w:val="28"/>
              </w:rPr>
            </w:pPr>
            <w:r>
              <w:rPr>
                <w:rFonts w:eastAsia="仿宋_GB2312"/>
                <w:b/>
                <w:szCs w:val="28"/>
              </w:rPr>
              <w:t>建设内容：</w:t>
            </w:r>
            <w:r>
              <w:rPr>
                <w:rFonts w:eastAsia="仿宋_GB2312"/>
                <w:szCs w:val="28"/>
              </w:rPr>
              <w:t>计划投资10亿元。以北城莲池地块约1000亩用地和维和、赛灵为依托，打造“生物医药产业园”，重点在中成药、民族药研发、生产上形成特色。</w:t>
            </w:r>
          </w:p>
          <w:p w14:paraId="50B12C5E">
            <w:pPr>
              <w:spacing w:line="288" w:lineRule="auto"/>
              <w:ind w:firstLine="482" w:firstLineChars="200"/>
              <w:rPr>
                <w:rFonts w:eastAsia="黑体"/>
                <w:bCs/>
                <w:sz w:val="28"/>
              </w:rPr>
            </w:pPr>
            <w:r>
              <w:rPr>
                <w:rFonts w:eastAsia="仿宋_GB2312"/>
                <w:b/>
                <w:szCs w:val="28"/>
              </w:rPr>
              <w:t>实施年限：</w:t>
            </w:r>
            <w:r>
              <w:rPr>
                <w:rFonts w:eastAsia="仿宋_GB2312"/>
              </w:rPr>
              <w:t>2023-2025</w:t>
            </w:r>
            <w:r>
              <w:rPr>
                <w:rFonts w:eastAsia="仿宋_GB2312"/>
                <w:szCs w:val="28"/>
              </w:rPr>
              <w:t>年</w:t>
            </w:r>
          </w:p>
        </w:tc>
      </w:tr>
      <w:tr w14:paraId="380A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6B739AB3">
            <w:pPr>
              <w:spacing w:line="288" w:lineRule="auto"/>
              <w:jc w:val="center"/>
              <w:rPr>
                <w:rFonts w:eastAsia="黑体"/>
                <w:bCs/>
                <w:sz w:val="28"/>
              </w:rPr>
            </w:pPr>
            <w:r>
              <w:rPr>
                <w:rFonts w:eastAsia="黑体"/>
                <w:bCs/>
                <w:sz w:val="28"/>
              </w:rPr>
              <w:t>重大产业载体5：绿色食品产业园</w:t>
            </w:r>
          </w:p>
        </w:tc>
      </w:tr>
      <w:tr w14:paraId="20B1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1823E778">
            <w:pPr>
              <w:spacing w:line="288" w:lineRule="auto"/>
              <w:ind w:firstLine="482" w:firstLineChars="200"/>
              <w:rPr>
                <w:rFonts w:eastAsia="仿宋_GB2312"/>
                <w:b/>
                <w:szCs w:val="28"/>
              </w:rPr>
            </w:pPr>
            <w:r>
              <w:rPr>
                <w:rFonts w:eastAsia="仿宋_GB2312"/>
                <w:b/>
                <w:szCs w:val="28"/>
              </w:rPr>
              <w:t>实施主体：</w:t>
            </w:r>
            <w:r>
              <w:rPr>
                <w:rFonts w:eastAsia="仿宋_GB2312"/>
                <w:szCs w:val="28"/>
              </w:rPr>
              <w:t>猫哆哩、云南夜草生物科技、玉溪沈氏生物科技</w:t>
            </w:r>
          </w:p>
          <w:p w14:paraId="4FBD32F8">
            <w:pPr>
              <w:spacing w:line="288" w:lineRule="auto"/>
              <w:ind w:firstLine="482" w:firstLineChars="200"/>
              <w:rPr>
                <w:rFonts w:eastAsia="仿宋_GB2312"/>
                <w:b/>
                <w:szCs w:val="28"/>
              </w:rPr>
            </w:pPr>
            <w:r>
              <w:rPr>
                <w:rFonts w:eastAsia="仿宋_GB2312"/>
                <w:b/>
                <w:szCs w:val="28"/>
              </w:rPr>
              <w:t>建设内容：</w:t>
            </w:r>
            <w:r>
              <w:rPr>
                <w:rFonts w:eastAsia="仿宋_GB2312"/>
                <w:szCs w:val="28"/>
              </w:rPr>
              <w:t>计划投资2.15亿元。1、云南猫哆哩集团食品有限公司投资5500万元，建设果蔬新产品开发及生产线、果酱新产品开发及生产线；2、云南夜草生物科技有限公司投资6000万元，新建果蔬浓缩汁、果蔬冻干粉、果蔬冻干片、高膳食纤维营养水果粉等新产品项目。</w:t>
            </w:r>
          </w:p>
          <w:p w14:paraId="76EB5E31">
            <w:pPr>
              <w:spacing w:line="288" w:lineRule="auto"/>
              <w:ind w:firstLine="482" w:firstLineChars="200"/>
              <w:rPr>
                <w:rFonts w:eastAsia="仿宋_GB2312"/>
                <w:szCs w:val="28"/>
              </w:rPr>
            </w:pPr>
            <w:r>
              <w:rPr>
                <w:rFonts w:eastAsia="仿宋_GB2312"/>
                <w:b/>
                <w:szCs w:val="28"/>
              </w:rPr>
              <w:t>实施年限：</w:t>
            </w:r>
            <w:r>
              <w:rPr>
                <w:rFonts w:eastAsia="仿宋_GB2312"/>
              </w:rPr>
              <w:t>2022-2025</w:t>
            </w:r>
            <w:r>
              <w:rPr>
                <w:rFonts w:eastAsia="仿宋_GB2312"/>
                <w:szCs w:val="28"/>
              </w:rPr>
              <w:t>年</w:t>
            </w:r>
          </w:p>
        </w:tc>
      </w:tr>
      <w:tr w14:paraId="6D33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067" w:type="dxa"/>
            <w:tcBorders>
              <w:top w:val="single" w:color="auto" w:sz="4" w:space="0"/>
              <w:left w:val="single" w:color="auto" w:sz="4" w:space="0"/>
              <w:bottom w:val="single" w:color="auto" w:sz="4" w:space="0"/>
              <w:right w:val="single" w:color="auto" w:sz="4" w:space="0"/>
            </w:tcBorders>
          </w:tcPr>
          <w:p w14:paraId="6B69B21F">
            <w:pPr>
              <w:spacing w:line="288" w:lineRule="auto"/>
              <w:jc w:val="center"/>
              <w:rPr>
                <w:rFonts w:eastAsia="黑体"/>
                <w:bCs/>
                <w:sz w:val="28"/>
              </w:rPr>
            </w:pPr>
            <w:r>
              <w:rPr>
                <w:rFonts w:eastAsia="黑体"/>
                <w:bCs/>
                <w:sz w:val="28"/>
              </w:rPr>
              <w:t>重大项目</w:t>
            </w:r>
          </w:p>
        </w:tc>
      </w:tr>
      <w:tr w14:paraId="415F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9067" w:type="dxa"/>
            <w:tcBorders>
              <w:top w:val="single" w:color="auto" w:sz="4" w:space="0"/>
              <w:left w:val="single" w:color="auto" w:sz="4" w:space="0"/>
              <w:bottom w:val="single" w:color="auto" w:sz="4" w:space="0"/>
              <w:right w:val="single" w:color="auto" w:sz="4" w:space="0"/>
            </w:tcBorders>
            <w:vAlign w:val="center"/>
          </w:tcPr>
          <w:p w14:paraId="046BE172">
            <w:pPr>
              <w:spacing w:line="288" w:lineRule="auto"/>
              <w:ind w:firstLine="482" w:firstLineChars="200"/>
              <w:rPr>
                <w:rFonts w:eastAsia="仿宋_GB2312"/>
                <w:b/>
                <w:szCs w:val="28"/>
              </w:rPr>
            </w:pPr>
            <w:r>
              <w:rPr>
                <w:rFonts w:eastAsia="仿宋_GB2312"/>
                <w:b/>
                <w:szCs w:val="28"/>
              </w:rPr>
              <w:t>项目名称：玉溪沃森破伤风原液车间扩建项目</w:t>
            </w:r>
          </w:p>
          <w:p w14:paraId="672B795F">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云南沃森生物技术股份有限公司</w:t>
            </w:r>
          </w:p>
          <w:p w14:paraId="61F191D4">
            <w:pPr>
              <w:spacing w:line="288" w:lineRule="auto"/>
              <w:ind w:firstLine="482" w:firstLineChars="200"/>
              <w:rPr>
                <w:rFonts w:eastAsia="仿宋_GB2312"/>
                <w:b/>
                <w:szCs w:val="28"/>
              </w:rPr>
            </w:pPr>
            <w:r>
              <w:rPr>
                <w:rFonts w:eastAsia="仿宋_GB2312"/>
                <w:b/>
                <w:szCs w:val="28"/>
              </w:rPr>
              <w:t>实施年限：</w:t>
            </w:r>
            <w:r>
              <w:rPr>
                <w:rFonts w:eastAsia="仿宋_GB2312"/>
              </w:rPr>
              <w:t>2022-2022</w:t>
            </w:r>
            <w:r>
              <w:rPr>
                <w:rFonts w:eastAsia="仿宋_GB2312"/>
                <w:szCs w:val="28"/>
              </w:rPr>
              <w:t>年</w:t>
            </w:r>
          </w:p>
          <w:p w14:paraId="30BB5CD8">
            <w:pPr>
              <w:spacing w:line="288" w:lineRule="auto"/>
              <w:ind w:firstLine="482" w:firstLineChars="200"/>
              <w:rPr>
                <w:rFonts w:eastAsia="仿宋_GB2312"/>
                <w:bCs/>
                <w:szCs w:val="28"/>
              </w:rPr>
            </w:pPr>
            <w:r>
              <w:rPr>
                <w:rFonts w:eastAsia="仿宋_GB2312"/>
                <w:b/>
                <w:szCs w:val="28"/>
              </w:rPr>
              <w:t>建设内容：</w:t>
            </w:r>
            <w:r>
              <w:rPr>
                <w:rFonts w:eastAsia="仿宋_GB2312"/>
                <w:szCs w:val="28"/>
              </w:rPr>
              <w:t>计划投资1.4亿元，</w:t>
            </w:r>
            <w:r>
              <w:rPr>
                <w:rFonts w:eastAsia="仿宋_GB2312"/>
                <w:bCs/>
                <w:szCs w:val="28"/>
              </w:rPr>
              <w:t>在玉溪疫苗产业园K栋破伤风疫苗车间二层预留的708.22</w:t>
            </w:r>
            <w:r>
              <w:rPr>
                <w:rFonts w:eastAsia="Segoe UI Symbol"/>
                <w:bCs/>
                <w:szCs w:val="28"/>
              </w:rPr>
              <w:t>㎡</w:t>
            </w:r>
            <w:r>
              <w:rPr>
                <w:rFonts w:eastAsia="仿宋_GB2312"/>
                <w:bCs/>
                <w:szCs w:val="28"/>
              </w:rPr>
              <w:t>区域新建一个破伤风载体蛋白生产车间，本项目达产后，计划蛋白产量为22000g/年，达产后预计年产值21亿元。</w:t>
            </w:r>
          </w:p>
          <w:p w14:paraId="0FF92349">
            <w:pPr>
              <w:spacing w:line="288" w:lineRule="auto"/>
              <w:ind w:firstLine="480" w:firstLineChars="200"/>
              <w:rPr>
                <w:rFonts w:eastAsia="仿宋_GB2312"/>
                <w:bCs/>
                <w:szCs w:val="28"/>
              </w:rPr>
            </w:pPr>
          </w:p>
          <w:p w14:paraId="26F086E5">
            <w:pPr>
              <w:spacing w:line="288" w:lineRule="auto"/>
              <w:ind w:firstLine="480" w:firstLineChars="200"/>
              <w:rPr>
                <w:rFonts w:eastAsia="仿宋_GB2312"/>
                <w:bCs/>
                <w:szCs w:val="28"/>
              </w:rPr>
            </w:pPr>
          </w:p>
          <w:p w14:paraId="5C3833F2">
            <w:pPr>
              <w:spacing w:line="288" w:lineRule="auto"/>
              <w:ind w:firstLine="480" w:firstLineChars="200"/>
              <w:rPr>
                <w:rFonts w:eastAsia="仿宋_GB2312"/>
                <w:bCs/>
                <w:szCs w:val="28"/>
              </w:rPr>
            </w:pPr>
          </w:p>
          <w:p w14:paraId="7493422B">
            <w:pPr>
              <w:spacing w:line="288" w:lineRule="auto"/>
              <w:ind w:firstLine="482" w:firstLineChars="200"/>
              <w:rPr>
                <w:rFonts w:eastAsia="仿宋_GB2312"/>
                <w:b/>
                <w:szCs w:val="28"/>
              </w:rPr>
            </w:pPr>
            <w:r>
              <w:rPr>
                <w:rFonts w:eastAsia="仿宋_GB2312"/>
                <w:b/>
                <w:szCs w:val="28"/>
              </w:rPr>
              <w:t>项目名称：玉溪沃森四价流脑多糖结合疫苗产业化暨多糖结合疫苗扩产扩能项目</w:t>
            </w:r>
          </w:p>
          <w:p w14:paraId="20EA8C4C">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云南沃森生物技术股份有限公司</w:t>
            </w:r>
          </w:p>
          <w:p w14:paraId="01620008">
            <w:pPr>
              <w:spacing w:line="288" w:lineRule="auto"/>
              <w:ind w:firstLine="482" w:firstLineChars="200"/>
              <w:rPr>
                <w:rFonts w:eastAsia="仿宋_GB2312"/>
                <w:b/>
                <w:szCs w:val="28"/>
              </w:rPr>
            </w:pPr>
            <w:r>
              <w:rPr>
                <w:rFonts w:eastAsia="仿宋_GB2312"/>
                <w:b/>
                <w:szCs w:val="28"/>
              </w:rPr>
              <w:t>实施年限：</w:t>
            </w:r>
            <w:r>
              <w:rPr>
                <w:rFonts w:eastAsia="仿宋_GB2312"/>
              </w:rPr>
              <w:t>2022-2023</w:t>
            </w:r>
            <w:r>
              <w:rPr>
                <w:rFonts w:eastAsia="仿宋_GB2312"/>
                <w:szCs w:val="28"/>
              </w:rPr>
              <w:t>年</w:t>
            </w:r>
          </w:p>
          <w:p w14:paraId="740E1FB8">
            <w:pPr>
              <w:spacing w:line="288" w:lineRule="auto"/>
              <w:ind w:firstLine="482" w:firstLineChars="200"/>
              <w:rPr>
                <w:rFonts w:eastAsia="仿宋_GB2312"/>
                <w:bCs/>
                <w:szCs w:val="28"/>
              </w:rPr>
            </w:pPr>
            <w:r>
              <w:rPr>
                <w:rFonts w:eastAsia="仿宋_GB2312"/>
                <w:b/>
                <w:szCs w:val="28"/>
              </w:rPr>
              <w:t>建设内容：</w:t>
            </w:r>
            <w:r>
              <w:rPr>
                <w:rFonts w:eastAsia="仿宋_GB2312"/>
                <w:szCs w:val="28"/>
              </w:rPr>
              <w:t>计划投资6.9亿元，过拆除原成品配送中心（105#楼）在原址上规划新建一个疫苗原生产大楼，项目占地面积约 1550</w:t>
            </w:r>
            <w:r>
              <w:rPr>
                <w:rFonts w:eastAsia="Segoe UI Symbol"/>
                <w:szCs w:val="28"/>
              </w:rPr>
              <w:t>㎡</w:t>
            </w:r>
            <w:r>
              <w:rPr>
                <w:rFonts w:eastAsia="仿宋_GB2312"/>
                <w:szCs w:val="28"/>
              </w:rPr>
              <w:t>，建筑面积约16000</w:t>
            </w:r>
            <w:r>
              <w:rPr>
                <w:rFonts w:eastAsia="Segoe UI Symbol"/>
                <w:szCs w:val="28"/>
              </w:rPr>
              <w:t>㎡</w:t>
            </w:r>
            <w:r>
              <w:rPr>
                <w:rFonts w:eastAsia="仿宋_GB2312"/>
                <w:szCs w:val="28"/>
              </w:rPr>
              <w:t>，疫苗生产大楼建成后，能够生产四价流脑结合疫苗原液 1000 万剂，多糖疫苗原液 800 万剂， 13 价肺炎结合疫苗原液 3000 万剂，达产后预计年产值89亿元。</w:t>
            </w:r>
          </w:p>
          <w:p w14:paraId="04A37F5A">
            <w:pPr>
              <w:spacing w:line="288" w:lineRule="auto"/>
              <w:ind w:firstLine="482" w:firstLineChars="200"/>
              <w:rPr>
                <w:rFonts w:eastAsia="仿宋_GB2312"/>
                <w:b/>
                <w:kern w:val="2"/>
                <w:szCs w:val="28"/>
              </w:rPr>
            </w:pPr>
          </w:p>
          <w:p w14:paraId="4FECC3BD">
            <w:pPr>
              <w:spacing w:line="288" w:lineRule="auto"/>
              <w:ind w:firstLine="482" w:firstLineChars="200"/>
              <w:rPr>
                <w:rFonts w:eastAsia="仿宋_GB2312"/>
                <w:b/>
                <w:szCs w:val="28"/>
              </w:rPr>
            </w:pPr>
            <w:r>
              <w:rPr>
                <w:rFonts w:eastAsia="仿宋_GB2312"/>
                <w:b/>
                <w:szCs w:val="28"/>
              </w:rPr>
              <w:t>项目名称：mRNA新冠疫苗产业化建设项目</w:t>
            </w:r>
          </w:p>
          <w:p w14:paraId="0322E281">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云南沃森生物技术股份有限公司</w:t>
            </w:r>
          </w:p>
          <w:p w14:paraId="6322DC2E">
            <w:pPr>
              <w:spacing w:line="288" w:lineRule="auto"/>
              <w:ind w:firstLine="482" w:firstLineChars="200"/>
              <w:rPr>
                <w:rFonts w:eastAsia="仿宋_GB2312"/>
                <w:b/>
                <w:szCs w:val="28"/>
              </w:rPr>
            </w:pPr>
            <w:r>
              <w:rPr>
                <w:rFonts w:eastAsia="仿宋_GB2312"/>
                <w:b/>
                <w:szCs w:val="28"/>
              </w:rPr>
              <w:t>实施年限：</w:t>
            </w:r>
            <w:r>
              <w:rPr>
                <w:rFonts w:eastAsia="仿宋_GB2312"/>
              </w:rPr>
              <w:t>2022</w:t>
            </w:r>
            <w:r>
              <w:rPr>
                <w:rFonts w:eastAsia="仿宋_GB2312"/>
                <w:szCs w:val="28"/>
              </w:rPr>
              <w:t>年</w:t>
            </w:r>
          </w:p>
          <w:p w14:paraId="723A7EEC">
            <w:pPr>
              <w:spacing w:line="288" w:lineRule="auto"/>
              <w:ind w:firstLine="482" w:firstLineChars="200"/>
              <w:rPr>
                <w:rFonts w:eastAsia="仿宋_GB2312"/>
                <w:szCs w:val="28"/>
              </w:rPr>
            </w:pPr>
            <w:r>
              <w:rPr>
                <w:rFonts w:eastAsia="仿宋_GB2312"/>
                <w:b/>
                <w:szCs w:val="28"/>
              </w:rPr>
              <w:t>建设内容：</w:t>
            </w:r>
            <w:r>
              <w:rPr>
                <w:rFonts w:eastAsia="仿宋_GB2312"/>
                <w:szCs w:val="28"/>
              </w:rPr>
              <w:t>计划投资2.8亿元，在玉溪疫苗产业园预留地块，采用模块厂房方式现场组建一个占地1000</w:t>
            </w:r>
            <w:r>
              <w:rPr>
                <w:rFonts w:eastAsia="Segoe UI Symbol"/>
                <w:szCs w:val="28"/>
              </w:rPr>
              <w:t>㎡</w:t>
            </w:r>
            <w:r>
              <w:rPr>
                <w:rFonts w:eastAsia="仿宋_GB2312"/>
                <w:szCs w:val="28"/>
              </w:rPr>
              <w:t>，建筑面积2000</w:t>
            </w:r>
            <w:r>
              <w:rPr>
                <w:rFonts w:eastAsia="Segoe UI Symbol"/>
                <w:szCs w:val="28"/>
              </w:rPr>
              <w:t>㎡</w:t>
            </w:r>
            <w:r>
              <w:rPr>
                <w:rFonts w:eastAsia="仿宋_GB2312"/>
                <w:szCs w:val="28"/>
              </w:rPr>
              <w:t>多层厂房，项目建成后年产新冠疫苗1.2亿剂/年。达产后预计年产值50亿元。</w:t>
            </w:r>
          </w:p>
          <w:p w14:paraId="55DA9788">
            <w:pPr>
              <w:spacing w:line="288" w:lineRule="auto"/>
              <w:ind w:firstLine="480" w:firstLineChars="200"/>
              <w:rPr>
                <w:rFonts w:eastAsia="仿宋_GB2312"/>
                <w:szCs w:val="28"/>
              </w:rPr>
            </w:pPr>
          </w:p>
          <w:p w14:paraId="0EC386E4">
            <w:pPr>
              <w:spacing w:line="288" w:lineRule="auto"/>
              <w:ind w:firstLine="482" w:firstLineChars="200"/>
              <w:rPr>
                <w:rFonts w:eastAsia="仿宋_GB2312"/>
                <w:b/>
                <w:szCs w:val="28"/>
              </w:rPr>
            </w:pPr>
            <w:r>
              <w:rPr>
                <w:rFonts w:eastAsia="仿宋_GB2312"/>
                <w:b/>
                <w:szCs w:val="28"/>
              </w:rPr>
              <w:t>项目名称：玉溪沃森疫苗配套设施建设项目</w:t>
            </w:r>
          </w:p>
          <w:p w14:paraId="31F6F943">
            <w:pPr>
              <w:spacing w:line="288" w:lineRule="auto"/>
              <w:ind w:firstLine="482" w:firstLineChars="200"/>
              <w:rPr>
                <w:rFonts w:eastAsia="仿宋_GB2312"/>
                <w:b/>
                <w:szCs w:val="28"/>
              </w:rPr>
            </w:pPr>
            <w:r>
              <w:rPr>
                <w:rFonts w:eastAsia="仿宋_GB2312"/>
                <w:b/>
                <w:szCs w:val="28"/>
              </w:rPr>
              <w:t>实施主体：</w:t>
            </w:r>
            <w:r>
              <w:rPr>
                <w:rFonts w:eastAsia="仿宋_GB2312"/>
                <w:szCs w:val="28"/>
              </w:rPr>
              <w:t>云南沃森生物技术股份有限公司</w:t>
            </w:r>
          </w:p>
          <w:p w14:paraId="478F7223">
            <w:pPr>
              <w:spacing w:line="288" w:lineRule="auto"/>
              <w:ind w:firstLine="482" w:firstLineChars="200"/>
              <w:rPr>
                <w:rFonts w:eastAsia="仿宋_GB2312"/>
                <w:b/>
                <w:szCs w:val="28"/>
              </w:rPr>
            </w:pPr>
            <w:r>
              <w:rPr>
                <w:rFonts w:eastAsia="仿宋_GB2312"/>
                <w:b/>
                <w:szCs w:val="28"/>
              </w:rPr>
              <w:t>实施年限：</w:t>
            </w:r>
            <w:r>
              <w:rPr>
                <w:rFonts w:eastAsia="仿宋_GB2312"/>
              </w:rPr>
              <w:t>2022-2024</w:t>
            </w:r>
            <w:r>
              <w:rPr>
                <w:rFonts w:eastAsia="仿宋_GB2312"/>
                <w:szCs w:val="28"/>
              </w:rPr>
              <w:t>年</w:t>
            </w:r>
          </w:p>
          <w:p w14:paraId="1ECD202A">
            <w:pPr>
              <w:spacing w:line="288" w:lineRule="auto"/>
              <w:ind w:firstLine="482" w:firstLineChars="200"/>
              <w:rPr>
                <w:rFonts w:eastAsia="仿宋_GB2312"/>
                <w:b/>
                <w:kern w:val="2"/>
                <w:szCs w:val="28"/>
              </w:rPr>
            </w:pPr>
            <w:r>
              <w:rPr>
                <w:rFonts w:eastAsia="仿宋_GB2312"/>
                <w:b/>
                <w:szCs w:val="28"/>
              </w:rPr>
              <w:t>建设内容：</w:t>
            </w:r>
            <w:r>
              <w:rPr>
                <w:rFonts w:eastAsia="仿宋_GB2312"/>
                <w:szCs w:val="28"/>
              </w:rPr>
              <w:t>计划投资1.8亿元，通过拆除现有F栋(110#)动物繁育中心、E栋（104#）白喉车间，并在原址上规划新建一栋建筑，该建筑占地1500</w:t>
            </w:r>
            <w:r>
              <w:rPr>
                <w:rFonts w:eastAsia="Segoe UI Symbol"/>
                <w:szCs w:val="28"/>
              </w:rPr>
              <w:t>㎡</w:t>
            </w:r>
            <w:r>
              <w:rPr>
                <w:rFonts w:eastAsia="仿宋_GB2312"/>
                <w:szCs w:val="28"/>
              </w:rPr>
              <w:t>，规划总建筑面积9000</w:t>
            </w:r>
            <w:r>
              <w:rPr>
                <w:rFonts w:eastAsia="Segoe UI Symbol"/>
                <w:szCs w:val="28"/>
              </w:rPr>
              <w:t>㎡</w:t>
            </w:r>
            <w:r>
              <w:rPr>
                <w:rFonts w:eastAsia="仿宋_GB2312"/>
                <w:szCs w:val="28"/>
              </w:rPr>
              <w:t>，该建筑建成后将规划有库房、冷库及中试车间。</w:t>
            </w:r>
          </w:p>
        </w:tc>
      </w:tr>
    </w:tbl>
    <w:p w14:paraId="35AD9EE3">
      <w:pPr>
        <w:pStyle w:val="5"/>
        <w:ind w:firstLine="643"/>
        <w:rPr>
          <w:rFonts w:ascii="Times New Roman" w:hAnsi="Times New Roman" w:cs="Times New Roman"/>
        </w:rPr>
      </w:pPr>
      <w:r>
        <w:rPr>
          <w:rFonts w:ascii="Times New Roman" w:hAnsi="Times New Roman" w:cs="Times New Roman"/>
        </w:rPr>
        <w:t>4、重点培育新能源电池及材料</w:t>
      </w:r>
      <w:bookmarkEnd w:id="69"/>
      <w:r>
        <w:rPr>
          <w:rFonts w:ascii="Times New Roman" w:hAnsi="Times New Roman" w:cs="Times New Roman"/>
        </w:rPr>
        <w:t>产业</w:t>
      </w:r>
    </w:p>
    <w:p w14:paraId="5B82CE0C">
      <w:pPr>
        <w:pStyle w:val="42"/>
        <w:spacing w:before="97" w:after="97"/>
        <w:ind w:firstLine="643"/>
        <w:rPr>
          <w:rFonts w:ascii="Times New Roman"/>
          <w:b/>
          <w:bCs/>
        </w:rPr>
      </w:pPr>
      <w:r>
        <w:rPr>
          <w:rFonts w:ascii="Times New Roman"/>
          <w:b/>
          <w:bCs/>
        </w:rPr>
        <w:t>（1）本地基础及存在问题</w:t>
      </w:r>
    </w:p>
    <w:p w14:paraId="527D6935">
      <w:pPr>
        <w:pStyle w:val="42"/>
        <w:spacing w:before="97" w:after="97"/>
        <w:ind w:firstLine="643"/>
        <w:rPr>
          <w:rFonts w:ascii="Times New Roman"/>
        </w:rPr>
      </w:pPr>
      <w:r>
        <w:rPr>
          <w:rFonts w:hint="eastAsia" w:ascii="Times New Roman"/>
          <w:b/>
          <w:bCs/>
        </w:rPr>
        <w:t>本地基础：一是</w:t>
      </w:r>
      <w:r>
        <w:rPr>
          <w:rFonts w:ascii="Times New Roman"/>
          <w:b/>
          <w:bCs/>
        </w:rPr>
        <w:t>矿产资源丰富，</w:t>
      </w:r>
      <w:r>
        <w:rPr>
          <w:rFonts w:ascii="Times New Roman"/>
        </w:rPr>
        <w:t>玉溪市拥有丰富的金属矿、非金属矿、燃料矿等资源，已新发现大量的锂矿资源，预计资源量达百万吨，对推进当地发展新能源锂电池是一项重大的战略机遇。</w:t>
      </w:r>
      <w:r>
        <w:rPr>
          <w:rFonts w:hint="eastAsia" w:ascii="Times New Roman"/>
          <w:b/>
          <w:bCs/>
        </w:rPr>
        <w:t>二是</w:t>
      </w:r>
      <w:r>
        <w:rPr>
          <w:rFonts w:ascii="Times New Roman"/>
          <w:b/>
        </w:rPr>
        <w:t>产业</w:t>
      </w:r>
      <w:r>
        <w:rPr>
          <w:rFonts w:hint="eastAsia" w:ascii="Times New Roman"/>
          <w:b/>
        </w:rPr>
        <w:t>加速</w:t>
      </w:r>
      <w:r>
        <w:rPr>
          <w:rFonts w:ascii="Times New Roman"/>
          <w:b/>
        </w:rPr>
        <w:t>起步</w:t>
      </w:r>
      <w:r>
        <w:rPr>
          <w:rFonts w:ascii="Times New Roman"/>
        </w:rPr>
        <w:t>，高新区的新能源电池产业不断加快投资建设，正积极引进恩捷股份、德方纳米等一批新能源电池生产及上下游等项目。以蓝晶科技有限公司为主的新材料企业经营多年，在产品供应、技术支持和售后服务等方面拥有经验，可与相关配套企业协同发展，加快紫外LED外延芯片及蓝宝石衬底制造、封装等环节发展，配合完善光电材料产业链，打造电子信息产业园，逐步实现产业集群化发展。</w:t>
      </w:r>
      <w:r>
        <w:rPr>
          <w:rFonts w:hint="eastAsia" w:ascii="Times New Roman"/>
          <w:b/>
          <w:bCs/>
        </w:rPr>
        <w:t>三是</w:t>
      </w:r>
      <w:r>
        <w:rPr>
          <w:rFonts w:ascii="Times New Roman"/>
          <w:b/>
        </w:rPr>
        <w:t>创新平台集聚，</w:t>
      </w:r>
      <w:r>
        <w:rPr>
          <w:rFonts w:ascii="Times New Roman"/>
        </w:rPr>
        <w:t>高新区积极与省内外高校和科研机构建立合作，在产业园区中将逐步建立新能源产业技术研究院、电池检测中心、先进锂电池云南联合实验室等平台，并集聚产业领域专业人才，有利于加快矿产资源开发和深化产业技术创新。</w:t>
      </w:r>
    </w:p>
    <w:p w14:paraId="6463774D">
      <w:pPr>
        <w:pStyle w:val="59"/>
        <w:spacing w:before="65" w:after="65" w:line="240" w:lineRule="auto"/>
        <w:ind w:firstLine="0" w:firstLineChars="0"/>
        <w:jc w:val="center"/>
        <w:rPr>
          <w:rFonts w:ascii="Times New Roman" w:cs="Times New Roman"/>
        </w:rPr>
      </w:pPr>
      <w:r>
        <w:rPr>
          <w:rFonts w:ascii="Times New Roman" w:cs="Times New Roman"/>
        </w:rPr>
        <w:drawing>
          <wp:inline distT="0" distB="0" distL="0" distR="0">
            <wp:extent cx="4834255" cy="2205355"/>
            <wp:effectExtent l="0" t="0" r="4445" b="4445"/>
            <wp:docPr id="44" name="图片 4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示&#10;&#10;描述已自动生成"/>
                    <pic:cNvPicPr>
                      <a:picLocks noChangeAspect="1"/>
                    </pic:cNvPicPr>
                  </pic:nvPicPr>
                  <pic:blipFill>
                    <a:blip r:embed="rId24"/>
                    <a:stretch>
                      <a:fillRect/>
                    </a:stretch>
                  </pic:blipFill>
                  <pic:spPr>
                    <a:xfrm>
                      <a:off x="0" y="0"/>
                      <a:ext cx="4838329" cy="2207131"/>
                    </a:xfrm>
                    <a:prstGeom prst="rect">
                      <a:avLst/>
                    </a:prstGeom>
                  </pic:spPr>
                </pic:pic>
              </a:graphicData>
            </a:graphic>
          </wp:inline>
        </w:drawing>
      </w:r>
    </w:p>
    <w:p w14:paraId="7384A7D7">
      <w:pPr>
        <w:spacing w:line="560" w:lineRule="exact"/>
        <w:jc w:val="center"/>
        <w:rPr>
          <w:b/>
        </w:rPr>
      </w:pPr>
      <w:r>
        <w:rPr>
          <w:rFonts w:eastAsia="仿宋_GB2312"/>
          <w:b/>
          <w:szCs w:val="32"/>
        </w:rPr>
        <w:t>图8：玉溪高新区新能源电池企业产业链分布情况</w:t>
      </w:r>
    </w:p>
    <w:p w14:paraId="558FD0F0">
      <w:pPr>
        <w:pStyle w:val="59"/>
        <w:spacing w:before="65" w:after="65" w:line="580" w:lineRule="exact"/>
        <w:ind w:firstLine="643"/>
        <w:rPr>
          <w:rFonts w:ascii="Times New Roman" w:cs="Times New Roman"/>
        </w:rPr>
      </w:pPr>
      <w:r>
        <w:rPr>
          <w:rFonts w:ascii="Times New Roman" w:cs="Times New Roman"/>
          <w:b/>
          <w:bCs/>
        </w:rPr>
        <w:t>产业存在问题：</w:t>
      </w:r>
      <w:r>
        <w:rPr>
          <w:rFonts w:ascii="Times New Roman" w:cs="Times New Roman"/>
        </w:rPr>
        <w:t>高新区新能源电池及材料产业正处于项目引进及建设阶段，主要以项目建设为主，企业主体偏少，缺乏下游龙头企业支撑引领，暂未形成集聚效应。</w:t>
      </w:r>
    </w:p>
    <w:p w14:paraId="276E2B76">
      <w:pPr>
        <w:pStyle w:val="42"/>
        <w:spacing w:before="97" w:after="97"/>
        <w:ind w:firstLine="643"/>
        <w:rPr>
          <w:rFonts w:ascii="Times New Roman"/>
          <w:b/>
          <w:bCs/>
        </w:rPr>
      </w:pPr>
      <w:bookmarkStart w:id="70" w:name="_Toc84955736"/>
      <w:bookmarkEnd w:id="70"/>
      <w:bookmarkStart w:id="71" w:name="_Toc82871390"/>
      <w:r>
        <w:rPr>
          <w:rFonts w:ascii="Times New Roman"/>
          <w:b/>
          <w:bCs/>
        </w:rPr>
        <w:t>（2）发展思路</w:t>
      </w:r>
      <w:bookmarkEnd w:id="71"/>
    </w:p>
    <w:p w14:paraId="5189EFA4">
      <w:pPr>
        <w:pStyle w:val="42"/>
        <w:spacing w:before="97" w:after="97"/>
        <w:ind w:firstLine="640"/>
        <w:rPr>
          <w:rFonts w:ascii="Times New Roman"/>
        </w:rPr>
      </w:pPr>
      <w:r>
        <w:rPr>
          <w:rFonts w:ascii="Times New Roman"/>
        </w:rPr>
        <w:t>紧抓云南省打造“绿色能源牌”和玉溪发现大规模锂矿的战略机遇，</w:t>
      </w:r>
      <w:r>
        <w:rPr>
          <w:rFonts w:ascii="Times New Roman"/>
          <w:szCs w:val="32"/>
        </w:rPr>
        <w:t>强化人才、技术、资本等要素链接能力，大力发展新能源电池和光电材料领域，</w:t>
      </w:r>
      <w:r>
        <w:rPr>
          <w:rFonts w:ascii="Times New Roman"/>
        </w:rPr>
        <w:t>持续</w:t>
      </w:r>
      <w:r>
        <w:rPr>
          <w:rFonts w:ascii="Times New Roman"/>
          <w:bCs/>
        </w:rPr>
        <w:t>扩大动力锂电池及储能电池生产规模，推进光电材料领域向产业链下游延伸，</w:t>
      </w:r>
      <w:r>
        <w:rPr>
          <w:rFonts w:ascii="Times New Roman"/>
        </w:rPr>
        <w:t>逐步打造新能源电池及材料产业集群，构建云南省新能源新材料产业重要增长极。力争到2025年，实现主营业务收入600亿元。</w:t>
      </w:r>
    </w:p>
    <w:p w14:paraId="3BC775F5">
      <w:pPr>
        <w:pStyle w:val="42"/>
        <w:spacing w:before="97" w:after="97" w:line="240" w:lineRule="auto"/>
        <w:ind w:firstLine="0" w:firstLineChars="0"/>
        <w:jc w:val="center"/>
        <w:rPr>
          <w:rFonts w:ascii="Times New Roman"/>
        </w:rPr>
      </w:pPr>
      <w:r>
        <w:rPr>
          <w:rFonts w:ascii="Times New Roman"/>
        </w:rPr>
        <w:drawing>
          <wp:inline distT="0" distB="0" distL="0" distR="0">
            <wp:extent cx="5274310" cy="1991995"/>
            <wp:effectExtent l="0" t="0" r="0" b="1905"/>
            <wp:docPr id="42" name="图片 42"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文本&#10;&#10;中度可信度描述已自动生成"/>
                    <pic:cNvPicPr>
                      <a:picLocks noChangeAspect="1"/>
                    </pic:cNvPicPr>
                  </pic:nvPicPr>
                  <pic:blipFill>
                    <a:blip r:embed="rId25"/>
                    <a:stretch>
                      <a:fillRect/>
                    </a:stretch>
                  </pic:blipFill>
                  <pic:spPr>
                    <a:xfrm>
                      <a:off x="0" y="0"/>
                      <a:ext cx="5274310" cy="1991995"/>
                    </a:xfrm>
                    <a:prstGeom prst="rect">
                      <a:avLst/>
                    </a:prstGeom>
                  </pic:spPr>
                </pic:pic>
              </a:graphicData>
            </a:graphic>
          </wp:inline>
        </w:drawing>
      </w:r>
    </w:p>
    <w:p w14:paraId="21B75CA7">
      <w:pPr>
        <w:spacing w:line="560" w:lineRule="exact"/>
        <w:jc w:val="center"/>
        <w:rPr>
          <w:rFonts w:eastAsia="仿宋_GB2312"/>
          <w:b/>
          <w:szCs w:val="32"/>
        </w:rPr>
      </w:pPr>
      <w:r>
        <w:rPr>
          <w:rFonts w:eastAsia="仿宋_GB2312"/>
          <w:b/>
          <w:szCs w:val="32"/>
        </w:rPr>
        <w:t>图9：新能源电池与材料发展路径图</w:t>
      </w:r>
    </w:p>
    <w:p w14:paraId="79A1D9C9">
      <w:pPr>
        <w:pStyle w:val="42"/>
        <w:spacing w:before="97" w:after="97"/>
        <w:ind w:firstLine="643"/>
        <w:rPr>
          <w:rFonts w:ascii="Times New Roman"/>
          <w:b/>
          <w:bCs/>
        </w:rPr>
      </w:pPr>
      <w:bookmarkStart w:id="72" w:name="_Toc82871391"/>
      <w:r>
        <w:rPr>
          <w:rFonts w:ascii="Times New Roman"/>
          <w:b/>
          <w:bCs/>
        </w:rPr>
        <w:t>（3）发展重点</w:t>
      </w:r>
      <w:bookmarkEnd w:id="72"/>
    </w:p>
    <w:p w14:paraId="6FFEF70D">
      <w:pPr>
        <w:pStyle w:val="42"/>
        <w:spacing w:before="97" w:after="97"/>
        <w:ind w:firstLine="643"/>
        <w:rPr>
          <w:rFonts w:ascii="Times New Roman"/>
          <w:b/>
          <w:bCs/>
        </w:rPr>
      </w:pPr>
      <w:r>
        <w:rPr>
          <w:rFonts w:ascii="Times New Roman"/>
          <w:b/>
          <w:bCs/>
        </w:rPr>
        <w:t>锂电池领域，</w:t>
      </w:r>
      <w:r>
        <w:rPr>
          <w:rFonts w:ascii="Times New Roman"/>
        </w:rPr>
        <w:t>重点发展电池材料及电池组生产领域。电池材料领域重点突破石墨烯负极材料的应用以及磷酸铁电池技术，提升电解液、隔膜等其他材料生产效率。电池组生产领域重点突破全固态电池技术，加强布局电芯制造、pack封装等生产环节。</w:t>
      </w:r>
    </w:p>
    <w:p w14:paraId="4DD249F2">
      <w:pPr>
        <w:pStyle w:val="42"/>
        <w:spacing w:before="97" w:after="97"/>
        <w:ind w:firstLine="643"/>
        <w:rPr>
          <w:rFonts w:ascii="Times New Roman"/>
        </w:rPr>
      </w:pPr>
      <w:r>
        <w:rPr>
          <w:rFonts w:ascii="Times New Roman"/>
          <w:b/>
          <w:bCs/>
        </w:rPr>
        <w:t>光电材料领域，</w:t>
      </w:r>
      <w:r>
        <w:rPr>
          <w:rFonts w:ascii="Times New Roman"/>
        </w:rPr>
        <w:t>壮大发展蓝宝石衬底的研发生产环节，进一步提高产能。围绕以蓝宝石衬底为原料，积极延链发展，持续布局下游LED芯片封装及应用环节，引进屏幕、照明、消杀、激光应用等下游厂商。</w:t>
      </w:r>
    </w:p>
    <w:p w14:paraId="623CBB73">
      <w:pPr>
        <w:pStyle w:val="42"/>
        <w:spacing w:before="97" w:after="97"/>
        <w:ind w:firstLine="643"/>
        <w:rPr>
          <w:rFonts w:ascii="Times New Roman"/>
        </w:rPr>
      </w:pPr>
      <w:r>
        <w:rPr>
          <w:rFonts w:ascii="Times New Roman"/>
          <w:b/>
          <w:bCs/>
        </w:rPr>
        <w:t>新型储能领域，</w:t>
      </w:r>
      <w:r>
        <w:rPr>
          <w:rFonts w:ascii="Times New Roman"/>
        </w:rPr>
        <w:t>紧抓“碳达峰”“碳中和”政策发展机遇，以发展锂电池为契机，依托区域风能、水能、太阳能等资源优势，以核心零部件为切入点逐步扩展到储能系统集成领域为发展路径，重点发展储能系统集成、安装、运维等领域，配套发展电池管理系统、能源管理系统等智慧储能管控平台，推动能源管理信息化、智慧化、可视化。</w:t>
      </w:r>
    </w:p>
    <w:p w14:paraId="11287D70">
      <w:pPr>
        <w:pStyle w:val="42"/>
        <w:spacing w:before="97" w:after="97"/>
        <w:ind w:firstLine="643"/>
        <w:rPr>
          <w:rFonts w:ascii="Times New Roman"/>
          <w:b/>
          <w:bCs/>
        </w:rPr>
      </w:pPr>
      <w:bookmarkStart w:id="73" w:name="_Toc82871392"/>
      <w:r>
        <w:rPr>
          <w:rFonts w:ascii="Times New Roman"/>
          <w:b/>
          <w:bCs/>
        </w:rPr>
        <w:t>（4）发展策略</w:t>
      </w:r>
      <w:bookmarkEnd w:id="73"/>
    </w:p>
    <w:p w14:paraId="296D2CC2">
      <w:pPr>
        <w:pStyle w:val="42"/>
        <w:spacing w:before="97" w:after="97"/>
        <w:ind w:firstLine="643"/>
        <w:rPr>
          <w:rFonts w:ascii="Times New Roman"/>
          <w:bCs/>
        </w:rPr>
      </w:pPr>
      <w:r>
        <w:rPr>
          <w:rFonts w:ascii="Times New Roman"/>
          <w:b/>
        </w:rPr>
        <w:t>前沿布局锂电池领域。</w:t>
      </w:r>
      <w:r>
        <w:rPr>
          <w:rFonts w:ascii="Times New Roman"/>
          <w:bCs/>
        </w:rPr>
        <w:t>积极对接云南省科学技术院、昆明理工大学、天津大学等高校院所以及中电力神集团等骨干公司，加快成立云南省新能源电池及材料产业技术研究院，进一步完善高新区新能源电池及材料产业顶层设计。利用自身影响力，围绕石墨烯负极材料、磷酸铁锂电池技术、全固态电池技术等重点技术环节招才引智，争取国家及省市重大项目。联合云南省科技院、清华大学、恩利新能源科技公司，加快推动地校共建“先进锂电池联合实验室”，搭建公共研发平台，开展先进电池关键技术研发及工程化应用研究，不断促进高新区锂电池领域科技成果转化、应用。鼓励华电达新能源科技有限公司，进一步加强与清华大学合作，加强研发锂离子电池和氢能源电池双电耦合型电池，扩大以新能源汽车为主的动力型锂电池及储能电池生产规模，逐步构造西南锂电池产业研发、生产高地。</w:t>
      </w:r>
    </w:p>
    <w:p w14:paraId="1169123C">
      <w:pPr>
        <w:pStyle w:val="42"/>
        <w:spacing w:before="97" w:after="97"/>
        <w:ind w:firstLine="643"/>
        <w:rPr>
          <w:rFonts w:ascii="Times New Roman"/>
          <w:bCs/>
        </w:rPr>
      </w:pPr>
      <w:r>
        <w:rPr>
          <w:rFonts w:ascii="Times New Roman"/>
          <w:b/>
        </w:rPr>
        <w:t>延伸发展光电材料领域。</w:t>
      </w:r>
      <w:r>
        <w:rPr>
          <w:rFonts w:ascii="Times New Roman"/>
          <w:bCs/>
        </w:rPr>
        <w:t>联合云南省蓝晶科技有限公司、天合立光电技术有限公司、罗高科技有限公司等企业与昆明理工大学等云南高校，进一步加强校企合作，搭建公共研究平台，引导企业培育光电材料研发人才，开展蓝宝石衬底基片的创新技术研发，加快扩大衬底基片生产规模。加快推进电子信息产业园建设，围绕光电材料产业链中下游环节，积极推动精准招商引资，加大企业普惠政策力度，引进相关配套企业延伸LED芯片制造、封装等下游环节，促进产业链补链、延链。适时布局屏幕显示、照明灯具、激光器、雷达等应用龙头企业，引导企业与光机所合作发展，拓展光电材料在先进领域的应用，推动产业集群化发展。</w:t>
      </w:r>
    </w:p>
    <w:p w14:paraId="14C71339">
      <w:pPr>
        <w:pStyle w:val="42"/>
        <w:spacing w:before="97" w:after="97"/>
        <w:ind w:firstLine="643"/>
        <w:rPr>
          <w:rFonts w:ascii="Times New Roman"/>
        </w:rPr>
      </w:pPr>
      <w:r>
        <w:rPr>
          <w:rFonts w:ascii="Times New Roman"/>
          <w:b/>
          <w:bCs/>
        </w:rPr>
        <w:t>积极探索新型储能领域。</w:t>
      </w:r>
      <w:r>
        <w:rPr>
          <w:rFonts w:ascii="Times New Roman"/>
        </w:rPr>
        <w:t>实时关注新型储能产业发展动态，组织成立专门研究小组，加深对新型储能技术运用的方向研究，绘制储能产业目录，探索高新区新型储能产业发展布局。打造高新区储能利用新场景，争取省市相关部门的支持，出台相应政策，鼓励围绕分布式新能源、微电网、大数据中心、5G基站、充电设施等终端应用，探索储能融合发展新场景。依托区域特色能源优势，积极对接国内长三角、珠三角等产业高地，积极引进电池管理系统、能源管理系统等智慧储能管控平台企业，适时引进新型储能电池相关生产、研发企业，逐步引领区域储能领域发展。</w:t>
      </w:r>
    </w:p>
    <w:p w14:paraId="5E29282A">
      <w:pPr>
        <w:pStyle w:val="42"/>
        <w:spacing w:before="97" w:after="97"/>
        <w:ind w:firstLine="643"/>
        <w:rPr>
          <w:rFonts w:ascii="Times New Roman"/>
          <w:b/>
          <w:bCs/>
        </w:rPr>
      </w:pPr>
      <w:r>
        <w:rPr>
          <w:rFonts w:ascii="Times New Roman"/>
          <w:b/>
          <w:bCs/>
        </w:rPr>
        <w:t>（5）重大项目表</w:t>
      </w:r>
    </w:p>
    <w:tbl>
      <w:tblPr>
        <w:tblStyle w:val="25"/>
        <w:tblW w:w="8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5"/>
      </w:tblGrid>
      <w:tr w14:paraId="6142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21D1DA47">
            <w:pPr>
              <w:spacing w:before="65" w:beforeLines="20" w:after="65" w:afterLines="20" w:line="312" w:lineRule="auto"/>
              <w:jc w:val="center"/>
              <w:rPr>
                <w:rFonts w:eastAsia="黑体"/>
                <w:bCs/>
                <w:sz w:val="28"/>
              </w:rPr>
            </w:pPr>
            <w:r>
              <w:rPr>
                <w:rFonts w:eastAsia="黑体"/>
                <w:bCs/>
                <w:sz w:val="28"/>
              </w:rPr>
              <w:t>重大产业载体6：新能源新材料产业园</w:t>
            </w:r>
          </w:p>
        </w:tc>
      </w:tr>
      <w:tr w14:paraId="2423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6F3549C1">
            <w:pPr>
              <w:spacing w:line="312" w:lineRule="auto"/>
              <w:ind w:firstLine="482" w:firstLineChars="200"/>
              <w:rPr>
                <w:rFonts w:eastAsia="仿宋_GB2312"/>
              </w:rPr>
            </w:pPr>
            <w:r>
              <w:rPr>
                <w:rFonts w:eastAsia="仿宋_GB2312"/>
                <w:b/>
                <w:szCs w:val="28"/>
              </w:rPr>
              <w:t>实施主体：</w:t>
            </w:r>
            <w:r>
              <w:rPr>
                <w:rFonts w:eastAsia="仿宋_GB2312"/>
                <w:color w:val="000000"/>
              </w:rPr>
              <w:t>推介项目</w:t>
            </w:r>
          </w:p>
          <w:p w14:paraId="7E320B29">
            <w:pPr>
              <w:spacing w:line="312" w:lineRule="auto"/>
              <w:ind w:firstLine="482" w:firstLineChars="200"/>
              <w:rPr>
                <w:rFonts w:eastAsia="仿宋_GB2312"/>
                <w:szCs w:val="28"/>
              </w:rPr>
            </w:pPr>
            <w:r>
              <w:rPr>
                <w:rFonts w:eastAsia="仿宋_GB2312"/>
                <w:b/>
                <w:bCs/>
              </w:rPr>
              <w:t>实施年限</w:t>
            </w:r>
            <w:r>
              <w:rPr>
                <w:rFonts w:eastAsia="仿宋_GB2312"/>
                <w:b/>
                <w:szCs w:val="28"/>
              </w:rPr>
              <w:t>：</w:t>
            </w:r>
            <w:r>
              <w:rPr>
                <w:rFonts w:eastAsia="仿宋_GB2312"/>
              </w:rPr>
              <w:t>2022-2025</w:t>
            </w:r>
          </w:p>
          <w:p w14:paraId="26366C9F">
            <w:pPr>
              <w:spacing w:line="312" w:lineRule="auto"/>
              <w:ind w:firstLine="482" w:firstLineChars="200"/>
              <w:rPr>
                <w:rFonts w:eastAsia="仿宋_GB2312"/>
              </w:rPr>
            </w:pPr>
            <w:r>
              <w:rPr>
                <w:rFonts w:eastAsia="仿宋_GB2312"/>
                <w:b/>
                <w:szCs w:val="28"/>
              </w:rPr>
              <w:t>项目内容：</w:t>
            </w:r>
            <w:r>
              <w:rPr>
                <w:rFonts w:eastAsia="仿宋_GB2312"/>
              </w:rPr>
              <w:t>计划投资5亿元。建设6栋标准化厂房，每栋5层，总占地69.8亩，总建筑面积75028</w:t>
            </w:r>
            <w:r>
              <w:rPr>
                <w:rFonts w:eastAsia="Batang"/>
              </w:rPr>
              <w:t>㎡</w:t>
            </w:r>
            <w:r>
              <w:rPr>
                <w:rFonts w:eastAsia="仿宋_GB2312"/>
              </w:rPr>
              <w:t>；配套建设供电、电信、绿化、亮化、充电桩等设施。配套实施云南省新能源电池及材料产业技术研究院、先进锂电池云南联合实验室等平台建设，夯实新能源新材料产业发展基础。</w:t>
            </w:r>
          </w:p>
        </w:tc>
      </w:tr>
      <w:tr w14:paraId="1506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4C6EE850">
            <w:pPr>
              <w:spacing w:line="312" w:lineRule="auto"/>
              <w:jc w:val="center"/>
              <w:rPr>
                <w:rFonts w:eastAsia="黑体"/>
                <w:bCs/>
                <w:sz w:val="28"/>
              </w:rPr>
            </w:pPr>
            <w:r>
              <w:rPr>
                <w:rFonts w:eastAsia="黑体"/>
                <w:bCs/>
                <w:sz w:val="28"/>
              </w:rPr>
              <w:t>重大创新平台6：先进锂电池联合实验室</w:t>
            </w:r>
          </w:p>
        </w:tc>
      </w:tr>
      <w:tr w14:paraId="0F15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1C7934C4">
            <w:pPr>
              <w:spacing w:line="312" w:lineRule="auto"/>
              <w:ind w:firstLine="482" w:firstLineChars="200"/>
              <w:rPr>
                <w:rFonts w:eastAsia="仿宋_GB2312"/>
                <w:b/>
                <w:szCs w:val="28"/>
              </w:rPr>
            </w:pPr>
            <w:r>
              <w:rPr>
                <w:rFonts w:eastAsia="仿宋_GB2312"/>
                <w:b/>
                <w:szCs w:val="28"/>
              </w:rPr>
              <w:t>实施主体：</w:t>
            </w:r>
            <w:r>
              <w:rPr>
                <w:rFonts w:eastAsia="仿宋_GB2312"/>
                <w:szCs w:val="28"/>
              </w:rPr>
              <w:t>云南省科学技术院、清华大学、恩力新能源科技公司</w:t>
            </w:r>
          </w:p>
          <w:p w14:paraId="741C2D72">
            <w:pPr>
              <w:spacing w:line="312" w:lineRule="auto"/>
              <w:ind w:firstLine="482" w:firstLineChars="200"/>
              <w:rPr>
                <w:rFonts w:eastAsia="仿宋_GB2312"/>
                <w:b/>
                <w:bCs/>
              </w:rPr>
            </w:pPr>
            <w:r>
              <w:rPr>
                <w:rFonts w:eastAsia="仿宋_GB2312"/>
                <w:b/>
                <w:bCs/>
              </w:rPr>
              <w:t>实施年限：</w:t>
            </w:r>
            <w:r>
              <w:rPr>
                <w:rFonts w:eastAsia="仿宋_GB2312"/>
              </w:rPr>
              <w:t>2022-2025</w:t>
            </w:r>
          </w:p>
          <w:p w14:paraId="5A55E63A">
            <w:pPr>
              <w:spacing w:line="312" w:lineRule="auto"/>
              <w:ind w:firstLine="482" w:firstLineChars="200"/>
              <w:rPr>
                <w:rFonts w:eastAsia="仿宋_GB2312"/>
              </w:rPr>
            </w:pPr>
            <w:r>
              <w:rPr>
                <w:rFonts w:eastAsia="仿宋_GB2312"/>
                <w:b/>
                <w:szCs w:val="28"/>
              </w:rPr>
              <w:t>项目内容：</w:t>
            </w:r>
            <w:r>
              <w:rPr>
                <w:rFonts w:eastAsia="仿宋_GB2312"/>
                <w:szCs w:val="28"/>
              </w:rPr>
              <w:t>计划投资8000万元。开展先进电池关键技术研发、工程化应用研究、公共研发平台、技术创新及产业发展战略研究以及下一代新能源电池及材料技术前瞻性研究，建设实验设备生产线、产品工程化生产线等。</w:t>
            </w:r>
          </w:p>
        </w:tc>
      </w:tr>
      <w:tr w14:paraId="0CE9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0922E247">
            <w:pPr>
              <w:spacing w:line="312" w:lineRule="auto"/>
              <w:jc w:val="center"/>
              <w:rPr>
                <w:rFonts w:eastAsia="黑体"/>
                <w:bCs/>
                <w:sz w:val="28"/>
              </w:rPr>
            </w:pPr>
            <w:r>
              <w:rPr>
                <w:rFonts w:eastAsia="黑体"/>
                <w:bCs/>
                <w:sz w:val="28"/>
              </w:rPr>
              <w:t>重大创新平台7：新能源电池检测中心</w:t>
            </w:r>
          </w:p>
        </w:tc>
      </w:tr>
      <w:tr w14:paraId="2A82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trPr>
        <w:tc>
          <w:tcPr>
            <w:tcW w:w="8745" w:type="dxa"/>
            <w:tcBorders>
              <w:top w:val="single" w:color="auto" w:sz="4" w:space="0"/>
              <w:left w:val="single" w:color="auto" w:sz="4" w:space="0"/>
              <w:bottom w:val="single" w:color="auto" w:sz="4" w:space="0"/>
              <w:right w:val="single" w:color="auto" w:sz="4" w:space="0"/>
            </w:tcBorders>
            <w:vAlign w:val="center"/>
          </w:tcPr>
          <w:p w14:paraId="4743421E">
            <w:pPr>
              <w:spacing w:line="312" w:lineRule="auto"/>
              <w:ind w:firstLine="482" w:firstLineChars="200"/>
              <w:rPr>
                <w:rFonts w:eastAsia="仿宋_GB2312"/>
                <w:b/>
              </w:rPr>
            </w:pPr>
            <w:r>
              <w:rPr>
                <w:rFonts w:eastAsia="仿宋_GB2312"/>
                <w:b/>
                <w:szCs w:val="28"/>
              </w:rPr>
              <w:t>实施主体：</w:t>
            </w:r>
            <w:r>
              <w:rPr>
                <w:rFonts w:eastAsia="仿宋_GB2312"/>
                <w:color w:val="000000"/>
              </w:rPr>
              <w:t>云南省科学技术院等</w:t>
            </w:r>
          </w:p>
          <w:p w14:paraId="19DC7391">
            <w:pPr>
              <w:spacing w:line="312" w:lineRule="auto"/>
              <w:ind w:firstLine="482" w:firstLineChars="200"/>
              <w:rPr>
                <w:rFonts w:eastAsia="仿宋_GB2312"/>
                <w:b/>
              </w:rPr>
            </w:pPr>
            <w:r>
              <w:rPr>
                <w:rFonts w:eastAsia="仿宋_GB2312"/>
                <w:b/>
                <w:bCs/>
              </w:rPr>
              <w:t>实施年限：</w:t>
            </w:r>
            <w:r>
              <w:rPr>
                <w:rFonts w:eastAsia="仿宋_GB2312"/>
              </w:rPr>
              <w:t>2022-2025</w:t>
            </w:r>
          </w:p>
          <w:p w14:paraId="3BDFE5F9">
            <w:pPr>
              <w:spacing w:line="312" w:lineRule="auto"/>
              <w:ind w:firstLine="482" w:firstLineChars="200"/>
              <w:rPr>
                <w:rFonts w:eastAsia="仿宋_GB2312"/>
              </w:rPr>
            </w:pPr>
            <w:r>
              <w:rPr>
                <w:rFonts w:eastAsia="仿宋_GB2312"/>
                <w:b/>
                <w:szCs w:val="28"/>
              </w:rPr>
              <w:t>项目内容：</w:t>
            </w:r>
            <w:r>
              <w:rPr>
                <w:rFonts w:eastAsia="仿宋_GB2312"/>
                <w:szCs w:val="28"/>
              </w:rPr>
              <w:t>项目计划投资8000万元。提供电池材料和结构分析、工艺装备标准化、产品型式试验等技术服务和检测认证。</w:t>
            </w:r>
          </w:p>
        </w:tc>
      </w:tr>
      <w:tr w14:paraId="043D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58F8182A">
            <w:pPr>
              <w:spacing w:line="312" w:lineRule="auto"/>
              <w:jc w:val="center"/>
              <w:rPr>
                <w:rFonts w:eastAsia="仿宋_GB2312"/>
                <w:b/>
              </w:rPr>
            </w:pPr>
            <w:r>
              <w:rPr>
                <w:rFonts w:eastAsia="黑体"/>
                <w:bCs/>
                <w:sz w:val="28"/>
              </w:rPr>
              <w:t>重大创新平台8：新能源产业技术研究院</w:t>
            </w:r>
          </w:p>
        </w:tc>
      </w:tr>
      <w:tr w14:paraId="7B30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248920E8">
            <w:pPr>
              <w:spacing w:line="288" w:lineRule="auto"/>
              <w:ind w:firstLine="482" w:firstLineChars="200"/>
              <w:rPr>
                <w:rFonts w:eastAsia="仿宋_GB2312"/>
                <w:b/>
              </w:rPr>
            </w:pPr>
            <w:r>
              <w:rPr>
                <w:rFonts w:eastAsia="仿宋_GB2312"/>
                <w:b/>
                <w:szCs w:val="28"/>
              </w:rPr>
              <w:t>实施主体：</w:t>
            </w:r>
            <w:r>
              <w:rPr>
                <w:rFonts w:eastAsia="仿宋_GB2312"/>
                <w:color w:val="000000"/>
              </w:rPr>
              <w:t>云南省科学技术院、天津大学等</w:t>
            </w:r>
          </w:p>
          <w:p w14:paraId="0C3C259C">
            <w:pPr>
              <w:spacing w:line="288" w:lineRule="auto"/>
              <w:ind w:firstLine="482" w:firstLineChars="200"/>
              <w:rPr>
                <w:rFonts w:eastAsia="仿宋_GB2312"/>
                <w:b/>
                <w:bCs/>
              </w:rPr>
            </w:pPr>
            <w:r>
              <w:rPr>
                <w:rFonts w:eastAsia="仿宋_GB2312"/>
                <w:b/>
                <w:bCs/>
              </w:rPr>
              <w:t>实施年限：</w:t>
            </w:r>
            <w:r>
              <w:rPr>
                <w:rFonts w:eastAsia="仿宋_GB2312"/>
              </w:rPr>
              <w:t>2022-2023</w:t>
            </w:r>
          </w:p>
          <w:p w14:paraId="1BD3B717">
            <w:pPr>
              <w:spacing w:before="65" w:beforeLines="20" w:after="65" w:afterLines="20" w:line="312" w:lineRule="auto"/>
              <w:ind w:firstLine="482" w:firstLineChars="200"/>
              <w:rPr>
                <w:rFonts w:eastAsia="仿宋_GB2312"/>
                <w:szCs w:val="28"/>
              </w:rPr>
            </w:pPr>
            <w:r>
              <w:rPr>
                <w:rFonts w:eastAsia="仿宋_GB2312"/>
                <w:b/>
                <w:szCs w:val="28"/>
              </w:rPr>
              <w:t>项目内容：</w:t>
            </w:r>
            <w:r>
              <w:rPr>
                <w:rFonts w:eastAsia="仿宋_GB2312"/>
                <w:szCs w:val="28"/>
              </w:rPr>
              <w:t>计划投资5000万元。建设新能源电池及材料研发、检测及工程化产业技术创新平台等。</w:t>
            </w:r>
          </w:p>
        </w:tc>
      </w:tr>
      <w:tr w14:paraId="03FC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745" w:type="dxa"/>
            <w:tcBorders>
              <w:top w:val="single" w:color="auto" w:sz="4" w:space="0"/>
              <w:left w:val="single" w:color="auto" w:sz="4" w:space="0"/>
              <w:bottom w:val="single" w:color="auto" w:sz="4" w:space="0"/>
              <w:right w:val="single" w:color="auto" w:sz="4" w:space="0"/>
            </w:tcBorders>
            <w:vAlign w:val="center"/>
          </w:tcPr>
          <w:p w14:paraId="726A595D">
            <w:pPr>
              <w:spacing w:before="65" w:beforeLines="20" w:after="65" w:afterLines="20" w:line="312" w:lineRule="auto"/>
              <w:jc w:val="center"/>
              <w:rPr>
                <w:rFonts w:eastAsia="黑体"/>
                <w:bCs/>
                <w:sz w:val="28"/>
              </w:rPr>
            </w:pPr>
            <w:r>
              <w:rPr>
                <w:rFonts w:eastAsia="黑体"/>
                <w:bCs/>
                <w:sz w:val="28"/>
              </w:rPr>
              <w:t>重大项目：</w:t>
            </w:r>
          </w:p>
        </w:tc>
      </w:tr>
      <w:tr w14:paraId="5C33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8745" w:type="dxa"/>
            <w:tcBorders>
              <w:top w:val="single" w:color="auto" w:sz="4" w:space="0"/>
              <w:left w:val="single" w:color="auto" w:sz="4" w:space="0"/>
              <w:bottom w:val="single" w:color="auto" w:sz="4" w:space="0"/>
              <w:right w:val="single" w:color="auto" w:sz="4" w:space="0"/>
            </w:tcBorders>
            <w:vAlign w:val="center"/>
          </w:tcPr>
          <w:p w14:paraId="60BC0461">
            <w:pPr>
              <w:spacing w:line="312" w:lineRule="auto"/>
              <w:ind w:firstLine="482" w:firstLineChars="200"/>
              <w:rPr>
                <w:rFonts w:eastAsia="仿宋_GB2312"/>
                <w:b/>
              </w:rPr>
            </w:pPr>
            <w:r>
              <w:rPr>
                <w:rFonts w:eastAsia="仿宋_GB2312"/>
                <w:b/>
              </w:rPr>
              <w:t>项目名称：装备/新材料产业园（土地开发和基础设施建设）</w:t>
            </w:r>
          </w:p>
          <w:p w14:paraId="12097D9D">
            <w:pPr>
              <w:spacing w:line="312" w:lineRule="auto"/>
              <w:ind w:firstLine="482" w:firstLineChars="200"/>
              <w:rPr>
                <w:rFonts w:eastAsia="仿宋_GB2312"/>
                <w:b/>
                <w:szCs w:val="28"/>
              </w:rPr>
            </w:pPr>
            <w:r>
              <w:rPr>
                <w:rFonts w:eastAsia="仿宋_GB2312"/>
                <w:b/>
                <w:szCs w:val="28"/>
              </w:rPr>
              <w:t>实施主体：</w:t>
            </w:r>
            <w:r>
              <w:rPr>
                <w:rFonts w:eastAsia="仿宋_GB2312"/>
                <w:szCs w:val="28"/>
              </w:rPr>
              <w:t>推介项目 红塔工业园区管理委员会</w:t>
            </w:r>
          </w:p>
          <w:p w14:paraId="30F66D7F">
            <w:pPr>
              <w:spacing w:line="312" w:lineRule="auto"/>
              <w:ind w:firstLine="482" w:firstLineChars="200"/>
              <w:rPr>
                <w:rFonts w:eastAsia="仿宋_GB2312"/>
                <w:b/>
                <w:bCs/>
              </w:rPr>
            </w:pPr>
            <w:r>
              <w:rPr>
                <w:rFonts w:eastAsia="仿宋_GB2312"/>
                <w:b/>
                <w:bCs/>
              </w:rPr>
              <w:t>实施年限：</w:t>
            </w:r>
            <w:r>
              <w:rPr>
                <w:rFonts w:eastAsia="仿宋_GB2312"/>
              </w:rPr>
              <w:t>2022-2025</w:t>
            </w:r>
          </w:p>
          <w:p w14:paraId="0B29E098">
            <w:pPr>
              <w:spacing w:line="312" w:lineRule="auto"/>
              <w:ind w:firstLine="482" w:firstLineChars="200"/>
              <w:rPr>
                <w:rFonts w:eastAsia="仿宋_GB2312"/>
                <w:b/>
              </w:rPr>
            </w:pPr>
            <w:r>
              <w:rPr>
                <w:rFonts w:eastAsia="仿宋_GB2312"/>
                <w:b/>
                <w:szCs w:val="28"/>
              </w:rPr>
              <w:t>项目内容：</w:t>
            </w:r>
            <w:r>
              <w:rPr>
                <w:rFonts w:eastAsia="仿宋_GB2312"/>
                <w:szCs w:val="28"/>
              </w:rPr>
              <w:t>计划投资10亿元。以观音山已建成的区域和原春和红砖厂地块（约2500亩），打造“先进装备制造产业园”，“新材料产业园”。“先进装备制造产业园”主要突出先进装备制造和中国南亚东南亚装备制造中小企业合作示范园两大特色。“新材料产业园”重点在突出新型建筑工厂化生产和推动绿色发展上展示特色。</w:t>
            </w:r>
          </w:p>
        </w:tc>
      </w:tr>
    </w:tbl>
    <w:p w14:paraId="62E10A48">
      <w:pPr>
        <w:pStyle w:val="5"/>
        <w:ind w:firstLine="643"/>
        <w:rPr>
          <w:rFonts w:ascii="Times New Roman" w:hAnsi="Times New Roman" w:cs="Times New Roman"/>
        </w:rPr>
      </w:pPr>
      <w:r>
        <w:rPr>
          <w:rFonts w:ascii="Times New Roman" w:hAnsi="Times New Roman" w:cs="Times New Roman"/>
        </w:rPr>
        <w:t>3、提升发展金属冶炼及压延加工产业</w:t>
      </w:r>
    </w:p>
    <w:p w14:paraId="3297F7E7">
      <w:pPr>
        <w:pStyle w:val="42"/>
        <w:spacing w:before="97" w:after="97"/>
        <w:ind w:firstLine="643"/>
        <w:rPr>
          <w:rFonts w:ascii="Times New Roman"/>
          <w:b/>
          <w:bCs/>
        </w:rPr>
      </w:pPr>
      <w:r>
        <w:rPr>
          <w:rFonts w:ascii="Times New Roman"/>
          <w:b/>
          <w:bCs/>
        </w:rPr>
        <w:t>（1）本地基础及存在问题</w:t>
      </w:r>
    </w:p>
    <w:p w14:paraId="29492A3C">
      <w:pPr>
        <w:pStyle w:val="42"/>
        <w:spacing w:before="97" w:after="97"/>
        <w:ind w:firstLine="643"/>
        <w:rPr>
          <w:rFonts w:ascii="Times New Roman"/>
        </w:rPr>
      </w:pPr>
      <w:r>
        <w:rPr>
          <w:rFonts w:hint="eastAsia" w:ascii="Times New Roman"/>
          <w:b/>
          <w:bCs/>
        </w:rPr>
        <w:t>本地基础：</w:t>
      </w:r>
      <w:r>
        <w:rPr>
          <w:rFonts w:hint="eastAsia" w:ascii="Times New Roman"/>
        </w:rPr>
        <w:t>一是</w:t>
      </w:r>
      <w:r>
        <w:rPr>
          <w:rFonts w:ascii="Times New Roman"/>
          <w:b/>
          <w:bCs/>
        </w:rPr>
        <w:t>根基深厚，依托资源、区位优势变经济优势。</w:t>
      </w:r>
      <w:r>
        <w:rPr>
          <w:rFonts w:ascii="Times New Roman"/>
        </w:rPr>
        <w:t>自1988年昆明钢铁公司在新平县鲁奎山进行铁矿石开采，新平钢铁厂生产出大量生铁，到2002年太标钢铁建厂，在将近二十年的发展中，钢铁企业持续优化发展模式，充分利用玉溪地区的矿石资源、交通等便利条件，强化资源整合，不断提高经济效益、增强市场竞争力。</w:t>
      </w:r>
      <w:r>
        <w:rPr>
          <w:rFonts w:hint="eastAsia" w:ascii="Times New Roman"/>
          <w:b/>
          <w:bCs/>
        </w:rPr>
        <w:t>二是</w:t>
      </w:r>
      <w:r>
        <w:rPr>
          <w:rFonts w:ascii="Times New Roman"/>
          <w:b/>
          <w:bCs/>
        </w:rPr>
        <w:t>传统行业紧跟时代步伐，不断迈向更高质量发展。</w:t>
      </w:r>
      <w:r>
        <w:rPr>
          <w:rFonts w:ascii="Times New Roman"/>
        </w:rPr>
        <w:t>通过近二十年发展，玉溪钢铁领域结构得到极大改善，空间布局不断优化，技术装备水平明显提高。形成了云南玉昆钢铁集团有限公司、玉溪新兴钢铁有限公司、玉溪太标钢铁有限公司等一批在省内具有较强实力的钢铁联合企业。</w:t>
      </w:r>
    </w:p>
    <w:p w14:paraId="64F0D249">
      <w:pPr>
        <w:pStyle w:val="42"/>
        <w:spacing w:before="97" w:after="97"/>
        <w:ind w:firstLine="643"/>
        <w:rPr>
          <w:rFonts w:ascii="Times New Roman"/>
        </w:rPr>
      </w:pPr>
      <w:r>
        <w:rPr>
          <w:rFonts w:ascii="Times New Roman"/>
          <w:b/>
          <w:bCs/>
        </w:rPr>
        <w:t>存在问题：一是产品附加值较低，</w:t>
      </w:r>
      <w:r>
        <w:rPr>
          <w:rFonts w:ascii="Times New Roman"/>
        </w:rPr>
        <w:t>高新区多数企业产品集中于五金配件、建材等领域，产品类型单一且附加值较低。</w:t>
      </w:r>
      <w:r>
        <w:rPr>
          <w:rFonts w:ascii="Times New Roman"/>
          <w:b/>
          <w:bCs/>
        </w:rPr>
        <w:t>二是企业竞争力较弱，</w:t>
      </w:r>
      <w:r>
        <w:rPr>
          <w:rFonts w:ascii="Times New Roman"/>
        </w:rPr>
        <w:t>玉溪多数钢铁企业自主创新能力不足，主要还是依靠高耗能支撑的增长模式。</w:t>
      </w:r>
    </w:p>
    <w:p w14:paraId="71587FF5">
      <w:pPr>
        <w:pStyle w:val="42"/>
        <w:spacing w:before="97" w:after="97"/>
        <w:ind w:firstLine="643"/>
        <w:rPr>
          <w:rFonts w:ascii="Times New Roman"/>
          <w:b/>
          <w:bCs/>
        </w:rPr>
      </w:pPr>
      <w:r>
        <w:rPr>
          <w:rFonts w:ascii="Times New Roman"/>
          <w:b/>
          <w:bCs/>
        </w:rPr>
        <w:t>（2）发展思路</w:t>
      </w:r>
    </w:p>
    <w:p w14:paraId="0D3280E9">
      <w:pPr>
        <w:pStyle w:val="42"/>
        <w:spacing w:before="97" w:after="97"/>
        <w:ind w:firstLine="640"/>
        <w:rPr>
          <w:rFonts w:ascii="Times New Roman"/>
        </w:rPr>
      </w:pPr>
      <w:r>
        <w:rPr>
          <w:rFonts w:ascii="Times New Roman"/>
        </w:rPr>
        <w:t>深刻把握政策导向，坚持“数字化、绿色化”发展导向，加快提升产业数字化水平，强化绿色矿冶技术应用，重点发展钢铁压延、特种钢材领域，大力推行装配式钢结构建筑领域，全面丰富产品种类，提高生产效能，加速提档升级，打造区域金属冶炼及压延加工产业转型升级模范试点。力争到2025年，实现主营业务收入400亿元。</w:t>
      </w:r>
    </w:p>
    <w:p w14:paraId="617F3268">
      <w:pPr>
        <w:pStyle w:val="42"/>
        <w:spacing w:before="97" w:after="97" w:line="240" w:lineRule="auto"/>
        <w:ind w:firstLine="0" w:firstLineChars="0"/>
        <w:jc w:val="center"/>
        <w:rPr>
          <w:rFonts w:ascii="Times New Roman"/>
          <w:b/>
          <w:bCs/>
        </w:rPr>
      </w:pPr>
      <w:r>
        <w:rPr>
          <w:rFonts w:ascii="Times New Roman"/>
          <w:b/>
          <w:bCs/>
        </w:rPr>
        <w:drawing>
          <wp:inline distT="0" distB="0" distL="0" distR="0">
            <wp:extent cx="5172710" cy="2474595"/>
            <wp:effectExtent l="0" t="0" r="0" b="1905"/>
            <wp:docPr id="15" name="图片 15"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包含 文本&#10;&#10;描述已自动生成"/>
                    <pic:cNvPicPr>
                      <a:picLocks noChangeAspect="1"/>
                    </pic:cNvPicPr>
                  </pic:nvPicPr>
                  <pic:blipFill>
                    <a:blip r:embed="rId26"/>
                    <a:stretch>
                      <a:fillRect/>
                    </a:stretch>
                  </pic:blipFill>
                  <pic:spPr>
                    <a:xfrm>
                      <a:off x="0" y="0"/>
                      <a:ext cx="5197206" cy="2486600"/>
                    </a:xfrm>
                    <a:prstGeom prst="rect">
                      <a:avLst/>
                    </a:prstGeom>
                  </pic:spPr>
                </pic:pic>
              </a:graphicData>
            </a:graphic>
          </wp:inline>
        </w:drawing>
      </w:r>
    </w:p>
    <w:p w14:paraId="02C515E2">
      <w:pPr>
        <w:pStyle w:val="4"/>
        <w:spacing w:before="97" w:after="97"/>
        <w:ind w:firstLine="0" w:firstLineChars="0"/>
        <w:jc w:val="center"/>
        <w:rPr>
          <w:rFonts w:ascii="Times New Roman" w:hAnsi="Times New Roman" w:eastAsia="楷体" w:cs="Times New Roman"/>
          <w:b/>
          <w:bCs/>
          <w:sz w:val="24"/>
          <w:szCs w:val="18"/>
        </w:rPr>
      </w:pPr>
      <w:r>
        <w:rPr>
          <w:rFonts w:ascii="Times New Roman" w:hAnsi="Times New Roman" w:eastAsia="楷体" w:cs="Times New Roman"/>
          <w:b/>
          <w:bCs/>
          <w:sz w:val="24"/>
          <w:szCs w:val="18"/>
        </w:rPr>
        <w:t>图10：金属冶炼及压延加工发展路径图</w:t>
      </w:r>
    </w:p>
    <w:p w14:paraId="7494E6C6">
      <w:pPr>
        <w:pStyle w:val="42"/>
        <w:spacing w:before="97" w:after="97"/>
        <w:ind w:firstLine="643"/>
        <w:rPr>
          <w:rFonts w:ascii="Times New Roman"/>
          <w:b/>
          <w:bCs/>
        </w:rPr>
      </w:pPr>
      <w:r>
        <w:rPr>
          <w:rFonts w:ascii="Times New Roman"/>
          <w:b/>
          <w:bCs/>
        </w:rPr>
        <w:t>（3）发展重点</w:t>
      </w:r>
    </w:p>
    <w:p w14:paraId="2E7F77B9">
      <w:pPr>
        <w:pStyle w:val="42"/>
        <w:spacing w:before="97" w:after="97"/>
        <w:ind w:firstLine="643"/>
        <w:rPr>
          <w:rFonts w:ascii="Times New Roman"/>
        </w:rPr>
      </w:pPr>
      <w:r>
        <w:rPr>
          <w:rFonts w:ascii="Times New Roman"/>
          <w:b/>
          <w:bCs/>
        </w:rPr>
        <w:t>钢铁压延：</w:t>
      </w:r>
      <w:r>
        <w:rPr>
          <w:rFonts w:ascii="Times New Roman"/>
        </w:rPr>
        <w:t>紧抓政策导向及产业发展趋势，重点加强煤调湿、型煤焦化技术、高置换比焦炉煤气喷吹、高拉速连铸及薄带连铸等基础工艺技术研发。重点发展铸锻件、高强度薄规格钢板、高强高硬耐磨钢产品等领域，升级发展桥梁构件、机械零件、建筑施工用钢管、家用电器部件等领域。</w:t>
      </w:r>
    </w:p>
    <w:p w14:paraId="0D7C60DD">
      <w:pPr>
        <w:pStyle w:val="42"/>
        <w:spacing w:before="97" w:after="97"/>
        <w:ind w:firstLine="643"/>
        <w:rPr>
          <w:rFonts w:ascii="Times New Roman"/>
        </w:rPr>
      </w:pPr>
      <w:r>
        <w:rPr>
          <w:rFonts w:ascii="Times New Roman"/>
          <w:b/>
          <w:bCs/>
        </w:rPr>
        <w:t>特种钢材：</w:t>
      </w:r>
      <w:r>
        <w:rPr>
          <w:rFonts w:ascii="Times New Roman"/>
        </w:rPr>
        <w:t>围绕太标集团合金钢项目，重点加强耐热钢、双相钢、镍基合金、钛材等特殊钢工艺技术研发。聚焦先进冶炼设备及核心组件制造技术。</w:t>
      </w:r>
    </w:p>
    <w:p w14:paraId="34E1BCB7">
      <w:pPr>
        <w:pStyle w:val="42"/>
        <w:spacing w:before="97" w:after="97"/>
        <w:ind w:firstLine="643"/>
        <w:rPr>
          <w:rFonts w:ascii="Times New Roman"/>
          <w:b/>
          <w:bCs/>
        </w:rPr>
      </w:pPr>
      <w:r>
        <w:rPr>
          <w:rFonts w:ascii="Times New Roman"/>
          <w:b/>
          <w:bCs/>
        </w:rPr>
        <w:t>装配式钢结构建筑：</w:t>
      </w:r>
      <w:r>
        <w:rPr>
          <w:rFonts w:ascii="Times New Roman"/>
        </w:rPr>
        <w:t>以绿色需求为导向，重点发展绿色装配式钢结构住宅建筑产品、绿色装配式钢结构新农村建筑产品、绿色装配式钢结构学校建筑产品、绿色装配式钢结构医院建筑产品、绿色装配式钢结构办公建筑产品、绿色装配式钢结构酒店建筑产品、绿色装配式钢结构工业建筑产品等。</w:t>
      </w:r>
    </w:p>
    <w:p w14:paraId="31DF783C">
      <w:pPr>
        <w:pStyle w:val="42"/>
        <w:spacing w:before="97" w:after="97"/>
        <w:ind w:firstLine="643"/>
        <w:rPr>
          <w:rFonts w:ascii="Times New Roman"/>
          <w:b/>
          <w:bCs/>
        </w:rPr>
      </w:pPr>
      <w:r>
        <w:rPr>
          <w:rFonts w:ascii="Times New Roman"/>
          <w:b/>
          <w:bCs/>
        </w:rPr>
        <w:t>（4）发展策略</w:t>
      </w:r>
    </w:p>
    <w:p w14:paraId="64B77EF9">
      <w:pPr>
        <w:pStyle w:val="42"/>
        <w:spacing w:before="97" w:after="97"/>
        <w:ind w:firstLine="643"/>
        <w:rPr>
          <w:rFonts w:ascii="Times New Roman"/>
        </w:rPr>
      </w:pPr>
      <w:r>
        <w:rPr>
          <w:rFonts w:ascii="Times New Roman"/>
          <w:b/>
          <w:bCs/>
        </w:rPr>
        <w:t>聚焦钢铁高价值产品。</w:t>
      </w:r>
      <w:r>
        <w:rPr>
          <w:rFonts w:ascii="Times New Roman"/>
        </w:rPr>
        <w:t>依托太标集团42万吨合金钢项目，辐射周边钢铁企业产品迭代升级，加快特种钢材制品升级优化。重点支持发展以锰特钢为主的特种钢材，加快钢铁及压延加工产业转型升级，打造全省一流的铸造产业基地。加快建设玉溪钢铁新城，瞄准装配式钢结构建筑发展前景，通过“全系统、全专业、全集成、全预制、全装配、信息化、绿色化”技术手段，实现建筑产品生产制定、现场装配的生产组织模式。对新型汽车用材料、电力装备材料、能源用钢铁材料、节能环保产业用钢铁材料等领域提供研发资金支持，对成果转化给予资金奖励。</w:t>
      </w:r>
    </w:p>
    <w:p w14:paraId="3AF48F24">
      <w:pPr>
        <w:pStyle w:val="42"/>
        <w:spacing w:before="97" w:after="97"/>
        <w:ind w:firstLine="643"/>
        <w:rPr>
          <w:rFonts w:ascii="Times New Roman"/>
        </w:rPr>
      </w:pPr>
      <w:r>
        <w:rPr>
          <w:rFonts w:ascii="Times New Roman"/>
          <w:b/>
          <w:bCs/>
        </w:rPr>
        <w:t>大力推进产业绿色发展。</w:t>
      </w:r>
      <w:r>
        <w:rPr>
          <w:rFonts w:ascii="Times New Roman"/>
        </w:rPr>
        <w:t>加强与云南大学、昆明理工等高校院所合作，联合骨干企业，成立金属冶炼绿色技术研究院。出台相应资金补贴政策，支持企业购置先进环保设备实施技术升级改造。出台并组织实施高新区循环发展办法，对绿色工厂设计及施工企业检查监督，加强企业对钢铁领域高炉渣、钢渣等固废规模化利用技术研发。制定高新区清洁生产改造提升计划，进一步规范清洁生产审核行为，提高清洁生产审核质量，建立健全差异化奖惩机制，加快企业清洁生产技术创新、成果转化与标准化体系建设。</w:t>
      </w:r>
    </w:p>
    <w:p w14:paraId="0ED995B3">
      <w:pPr>
        <w:pStyle w:val="42"/>
        <w:spacing w:before="97" w:after="97"/>
        <w:ind w:firstLine="643"/>
        <w:rPr>
          <w:rFonts w:ascii="Times New Roman"/>
        </w:rPr>
      </w:pPr>
      <w:r>
        <w:rPr>
          <w:rFonts w:ascii="Times New Roman"/>
          <w:b/>
          <w:bCs/>
        </w:rPr>
        <w:t>前沿布局数字化产业体系。</w:t>
      </w:r>
      <w:r>
        <w:rPr>
          <w:rFonts w:ascii="Times New Roman"/>
        </w:rPr>
        <w:t>加快推动钢铁压延领域专业化工业互联网平台建设，通过专项资金补贴鼓励企业与思爱普（SAP）、博云（BoCloud）、树根互联（RootCloud）等工业互联网平台构建商合作，形成自身智能化解决方案。打造智慧冶炼示范工厂，谋划运输、冶炼、巡检等智能安防场景及数字监测、智慧冶炼、智能环保等生产场景试点。组织开展产业跨界合作交流会，邀请专家进企业宣讲座谈等方式推动全产业链运营协调和整体优化，实现线上线下协同发展。大力支持企业开发“5G+工业互联网”应用场景，打造5G数字孪生透明工厂。</w:t>
      </w:r>
    </w:p>
    <w:p w14:paraId="46B9CC5D">
      <w:pPr>
        <w:pStyle w:val="42"/>
        <w:spacing w:before="97" w:after="97"/>
        <w:ind w:firstLine="643"/>
        <w:rPr>
          <w:rFonts w:ascii="Times New Roman"/>
          <w:b/>
          <w:bCs/>
        </w:rPr>
      </w:pPr>
      <w:bookmarkStart w:id="74" w:name="_Toc82871398"/>
      <w:r>
        <w:rPr>
          <w:rFonts w:ascii="Times New Roman"/>
          <w:b/>
          <w:bCs/>
        </w:rPr>
        <w:t>（5）重大项目表</w:t>
      </w:r>
      <w:bookmarkEnd w:id="74"/>
    </w:p>
    <w:tbl>
      <w:tblPr>
        <w:tblStyle w:val="2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5"/>
      </w:tblGrid>
      <w:tr w14:paraId="206A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0E016327">
            <w:pPr>
              <w:spacing w:before="48" w:after="48"/>
              <w:jc w:val="center"/>
              <w:rPr>
                <w:rFonts w:eastAsia="黑体"/>
                <w:bCs/>
                <w:sz w:val="28"/>
              </w:rPr>
            </w:pPr>
            <w:r>
              <w:rPr>
                <w:rFonts w:eastAsia="黑体"/>
                <w:bCs/>
                <w:sz w:val="28"/>
              </w:rPr>
              <w:t>重大创新平台10：金属冶炼绿色技术研究院</w:t>
            </w:r>
          </w:p>
        </w:tc>
      </w:tr>
      <w:tr w14:paraId="3CA6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773E5992">
            <w:pPr>
              <w:spacing w:line="288" w:lineRule="auto"/>
              <w:ind w:firstLine="482" w:firstLineChars="200"/>
              <w:jc w:val="both"/>
              <w:rPr>
                <w:rFonts w:eastAsia="仿宋_GB2312"/>
                <w:bCs/>
                <w:szCs w:val="28"/>
              </w:rPr>
            </w:pPr>
            <w:r>
              <w:rPr>
                <w:rFonts w:eastAsia="仿宋_GB2312"/>
                <w:b/>
                <w:szCs w:val="28"/>
              </w:rPr>
              <w:t>实施主体：</w:t>
            </w:r>
            <w:r>
              <w:rPr>
                <w:rFonts w:eastAsia="仿宋_GB2312"/>
                <w:bCs/>
                <w:szCs w:val="28"/>
              </w:rPr>
              <w:t>项目推介</w:t>
            </w:r>
          </w:p>
          <w:p w14:paraId="5514C9DF">
            <w:pPr>
              <w:spacing w:line="288" w:lineRule="auto"/>
              <w:ind w:firstLine="482" w:firstLineChars="200"/>
              <w:jc w:val="both"/>
              <w:rPr>
                <w:rFonts w:eastAsia="仿宋_GB2312"/>
                <w:bCs/>
                <w:szCs w:val="28"/>
              </w:rPr>
            </w:pPr>
            <w:r>
              <w:rPr>
                <w:rFonts w:eastAsia="仿宋_GB2312"/>
                <w:b/>
                <w:szCs w:val="28"/>
              </w:rPr>
              <w:t>实施年限：</w:t>
            </w:r>
            <w:r>
              <w:rPr>
                <w:rFonts w:eastAsia="仿宋_GB2312"/>
                <w:bCs/>
                <w:szCs w:val="28"/>
              </w:rPr>
              <w:t>2022-2022</w:t>
            </w:r>
          </w:p>
          <w:p w14:paraId="66D2839F">
            <w:pPr>
              <w:spacing w:line="288" w:lineRule="auto"/>
              <w:ind w:firstLine="482" w:firstLineChars="200"/>
              <w:jc w:val="both"/>
              <w:rPr>
                <w:rFonts w:eastAsia="仿宋_GB2312"/>
                <w:szCs w:val="28"/>
              </w:rPr>
            </w:pPr>
            <w:r>
              <w:rPr>
                <w:rFonts w:eastAsia="仿宋_GB2312"/>
                <w:b/>
                <w:szCs w:val="28"/>
              </w:rPr>
              <w:t>项目内容：</w:t>
            </w:r>
            <w:r>
              <w:rPr>
                <w:rFonts w:eastAsia="仿宋_GB2312"/>
                <w:bCs/>
                <w:szCs w:val="28"/>
              </w:rPr>
              <w:t>建立金属冶炼绿色技术研究院，围绕绿色环保冶炼技术开展人才及技术引进、学术交流、产品研发等工作。</w:t>
            </w:r>
          </w:p>
        </w:tc>
      </w:tr>
      <w:tr w14:paraId="6820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638F5845">
            <w:pPr>
              <w:spacing w:line="288" w:lineRule="auto"/>
              <w:jc w:val="center"/>
              <w:rPr>
                <w:rFonts w:eastAsia="仿宋_GB2312"/>
                <w:b/>
                <w:szCs w:val="28"/>
              </w:rPr>
            </w:pPr>
            <w:r>
              <w:rPr>
                <w:rFonts w:eastAsia="黑体"/>
                <w:bCs/>
                <w:sz w:val="28"/>
                <w:szCs w:val="22"/>
              </w:rPr>
              <w:t>重大项目</w:t>
            </w:r>
          </w:p>
        </w:tc>
      </w:tr>
      <w:tr w14:paraId="7788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745" w:type="dxa"/>
            <w:tcBorders>
              <w:top w:val="single" w:color="auto" w:sz="4" w:space="0"/>
              <w:left w:val="single" w:color="auto" w:sz="4" w:space="0"/>
              <w:bottom w:val="single" w:color="auto" w:sz="4" w:space="0"/>
              <w:right w:val="single" w:color="auto" w:sz="4" w:space="0"/>
            </w:tcBorders>
            <w:vAlign w:val="center"/>
          </w:tcPr>
          <w:p w14:paraId="688564FC">
            <w:pPr>
              <w:spacing w:line="288" w:lineRule="auto"/>
              <w:ind w:firstLine="482" w:firstLineChars="200"/>
              <w:jc w:val="both"/>
              <w:rPr>
                <w:rFonts w:eastAsia="仿宋_GB2312"/>
                <w:b/>
                <w:szCs w:val="28"/>
              </w:rPr>
            </w:pPr>
            <w:r>
              <w:rPr>
                <w:rFonts w:eastAsia="仿宋_GB2312"/>
                <w:b/>
                <w:szCs w:val="28"/>
              </w:rPr>
              <w:t>项目名称：产能置换年产42万吨合金钢转型升级项目</w:t>
            </w:r>
          </w:p>
          <w:p w14:paraId="4D658487">
            <w:pPr>
              <w:spacing w:line="288" w:lineRule="auto"/>
              <w:ind w:firstLine="482" w:firstLineChars="200"/>
              <w:jc w:val="both"/>
              <w:rPr>
                <w:rFonts w:eastAsia="仿宋_GB2312"/>
                <w:bCs/>
                <w:szCs w:val="28"/>
              </w:rPr>
            </w:pPr>
            <w:r>
              <w:rPr>
                <w:rFonts w:eastAsia="仿宋_GB2312"/>
                <w:b/>
                <w:szCs w:val="28"/>
              </w:rPr>
              <w:t>实施主体：</w:t>
            </w:r>
            <w:r>
              <w:rPr>
                <w:rFonts w:eastAsia="仿宋_GB2312"/>
                <w:bCs/>
                <w:szCs w:val="28"/>
              </w:rPr>
              <w:t>云南太标精工铸造有限公司</w:t>
            </w:r>
          </w:p>
          <w:p w14:paraId="317EAFB1">
            <w:pPr>
              <w:spacing w:line="288" w:lineRule="auto"/>
              <w:ind w:firstLine="482" w:firstLineChars="200"/>
              <w:jc w:val="both"/>
              <w:rPr>
                <w:rFonts w:eastAsia="仿宋_GB2312"/>
                <w:bCs/>
                <w:szCs w:val="28"/>
              </w:rPr>
            </w:pPr>
            <w:r>
              <w:rPr>
                <w:rFonts w:eastAsia="仿宋_GB2312"/>
                <w:b/>
                <w:szCs w:val="28"/>
              </w:rPr>
              <w:t>实施年限：</w:t>
            </w:r>
            <w:r>
              <w:rPr>
                <w:rFonts w:eastAsia="仿宋_GB2312"/>
                <w:bCs/>
                <w:szCs w:val="28"/>
              </w:rPr>
              <w:t>2022-2025年</w:t>
            </w:r>
          </w:p>
          <w:p w14:paraId="6240F618">
            <w:pPr>
              <w:spacing w:line="288" w:lineRule="auto"/>
              <w:ind w:firstLine="482" w:firstLineChars="200"/>
              <w:jc w:val="both"/>
              <w:rPr>
                <w:rFonts w:eastAsia="仿宋_GB2312"/>
                <w:bCs/>
                <w:szCs w:val="28"/>
              </w:rPr>
            </w:pPr>
            <w:r>
              <w:rPr>
                <w:rFonts w:eastAsia="仿宋_GB2312"/>
                <w:b/>
                <w:szCs w:val="28"/>
              </w:rPr>
              <w:t>项目内容：</w:t>
            </w:r>
            <w:r>
              <w:rPr>
                <w:rFonts w:eastAsia="仿宋_GB2312"/>
                <w:bCs/>
                <w:szCs w:val="28"/>
              </w:rPr>
              <w:t>计划投资20亿元，建设炼钢、轧钢生产线；年产42万吨合金钢生产线主要装备建设1x67t电炉、1x67tLF炉、1x67tVD炉、连铸机、高速线材轧机及配套公辅设施等；年产40万吨废钢加工生产线；110kv变电站及配套电力设施等；主要建筑物建设炼钢车间、连铸车间、轧钢车间、高线车间及公辅车间、废钢加工车间等；项目燃气、热力管网、检化验中心、给排水设施、区域管网、道路、场地和绿化等。</w:t>
            </w:r>
          </w:p>
          <w:p w14:paraId="79862D1A">
            <w:pPr>
              <w:spacing w:line="288" w:lineRule="auto"/>
              <w:ind w:firstLine="480" w:firstLineChars="200"/>
              <w:jc w:val="both"/>
              <w:rPr>
                <w:rFonts w:eastAsia="仿宋_GB2312"/>
                <w:bCs/>
                <w:szCs w:val="28"/>
              </w:rPr>
            </w:pPr>
          </w:p>
          <w:p w14:paraId="30F1EEBE">
            <w:pPr>
              <w:pStyle w:val="42"/>
              <w:spacing w:before="97" w:after="97" w:line="288" w:lineRule="auto"/>
              <w:ind w:firstLine="482"/>
              <w:rPr>
                <w:rFonts w:ascii="Times New Roman"/>
                <w:bCs/>
              </w:rPr>
            </w:pPr>
            <w:r>
              <w:rPr>
                <w:rFonts w:ascii="Times New Roman"/>
                <w:b/>
                <w:sz w:val="24"/>
                <w:szCs w:val="24"/>
              </w:rPr>
              <w:t>项目名称：</w:t>
            </w:r>
            <w:r>
              <w:rPr>
                <w:rFonts w:ascii="Times New Roman"/>
                <w:b/>
                <w:bCs/>
                <w:sz w:val="24"/>
                <w:szCs w:val="24"/>
              </w:rPr>
              <w:t>铸锻件全产业链供应提升项目</w:t>
            </w:r>
          </w:p>
          <w:p w14:paraId="660BAECB">
            <w:pPr>
              <w:spacing w:line="288" w:lineRule="auto"/>
              <w:ind w:firstLine="482" w:firstLineChars="200"/>
              <w:jc w:val="both"/>
              <w:rPr>
                <w:rFonts w:eastAsia="仿宋_GB2312"/>
                <w:bCs/>
                <w:szCs w:val="28"/>
              </w:rPr>
            </w:pPr>
            <w:r>
              <w:rPr>
                <w:rFonts w:eastAsia="仿宋_GB2312"/>
                <w:b/>
                <w:szCs w:val="28"/>
              </w:rPr>
              <w:t>实施主体：</w:t>
            </w:r>
            <w:r>
              <w:rPr>
                <w:rFonts w:eastAsia="仿宋_GB2312"/>
                <w:bCs/>
                <w:szCs w:val="28"/>
              </w:rPr>
              <w:t>云南太标精工铸造有限公司</w:t>
            </w:r>
          </w:p>
          <w:p w14:paraId="3D3B9DF0">
            <w:pPr>
              <w:pStyle w:val="42"/>
              <w:spacing w:before="97" w:after="97" w:line="288" w:lineRule="auto"/>
              <w:ind w:firstLine="482"/>
              <w:rPr>
                <w:rFonts w:ascii="Times New Roman"/>
                <w:sz w:val="24"/>
                <w:szCs w:val="24"/>
              </w:rPr>
            </w:pPr>
            <w:r>
              <w:rPr>
                <w:rFonts w:ascii="Times New Roman"/>
                <w:b/>
                <w:sz w:val="24"/>
                <w:szCs w:val="24"/>
              </w:rPr>
              <w:t>实施年限：</w:t>
            </w:r>
            <w:r>
              <w:rPr>
                <w:rFonts w:ascii="Times New Roman"/>
                <w:sz w:val="24"/>
                <w:szCs w:val="24"/>
              </w:rPr>
              <w:t>2022-2025</w:t>
            </w:r>
          </w:p>
          <w:p w14:paraId="6A6608E4">
            <w:pPr>
              <w:pStyle w:val="42"/>
              <w:spacing w:before="97" w:after="97" w:line="288" w:lineRule="auto"/>
              <w:ind w:firstLine="482"/>
              <w:rPr>
                <w:rFonts w:ascii="Times New Roman"/>
                <w:b/>
                <w:sz w:val="24"/>
                <w:szCs w:val="24"/>
              </w:rPr>
            </w:pPr>
            <w:r>
              <w:rPr>
                <w:rFonts w:ascii="Times New Roman"/>
                <w:b/>
                <w:sz w:val="24"/>
                <w:szCs w:val="24"/>
              </w:rPr>
              <w:t>项目内容：</w:t>
            </w:r>
            <w:r>
              <w:rPr>
                <w:rFonts w:ascii="Times New Roman"/>
                <w:sz w:val="24"/>
                <w:szCs w:val="24"/>
              </w:rPr>
              <w:t>计划投资6亿元，新建铸造车间、铸钢锻造车间、综合办公楼，铸造车间布置2座10吨一拖三中频炉、1座10吨一拖二中频炉、树脂砂自动造型线三条（手动造型线四条）、黏土砂造型线一条、V法造型线一条、消失模自动化生产线一条、3D打印铸造砂型线及相关砂处理线各一条；铸钢锻造车间布置1座30吨电弧炉、1套30吨LF精炼炉、1套30吨VD炉、模铸生产线一条、连铸生产线一条、10万吨锻件加工生产线一条；配套铸件抛丸、清砂打磨、退火炉、喷漆线等工艺设备及环保除尘、电炉渣处理、公辅设施等。</w:t>
            </w:r>
          </w:p>
          <w:p w14:paraId="22F382C3">
            <w:pPr>
              <w:pStyle w:val="42"/>
              <w:spacing w:before="97" w:after="97" w:line="288" w:lineRule="auto"/>
              <w:ind w:firstLine="482"/>
              <w:rPr>
                <w:rFonts w:ascii="Times New Roman"/>
                <w:b/>
                <w:bCs/>
                <w:sz w:val="24"/>
                <w:szCs w:val="24"/>
              </w:rPr>
            </w:pPr>
            <w:r>
              <w:rPr>
                <w:rFonts w:ascii="Times New Roman"/>
                <w:b/>
                <w:sz w:val="24"/>
                <w:szCs w:val="24"/>
              </w:rPr>
              <w:t>项目名称：</w:t>
            </w:r>
            <w:r>
              <w:rPr>
                <w:rFonts w:ascii="Times New Roman"/>
                <w:b/>
                <w:bCs/>
                <w:sz w:val="24"/>
                <w:szCs w:val="24"/>
              </w:rPr>
              <w:t>年产40万吨球墨铸管项目</w:t>
            </w:r>
          </w:p>
          <w:p w14:paraId="574BCE26">
            <w:pPr>
              <w:pStyle w:val="42"/>
              <w:spacing w:before="97" w:after="97" w:line="288" w:lineRule="auto"/>
              <w:ind w:firstLine="482"/>
              <w:rPr>
                <w:rFonts w:ascii="Times New Roman"/>
                <w:sz w:val="24"/>
                <w:szCs w:val="24"/>
              </w:rPr>
            </w:pPr>
            <w:r>
              <w:rPr>
                <w:rFonts w:ascii="Times New Roman"/>
                <w:b/>
                <w:sz w:val="24"/>
                <w:szCs w:val="24"/>
              </w:rPr>
              <w:t>实施主体：</w:t>
            </w:r>
            <w:r>
              <w:rPr>
                <w:rFonts w:ascii="Times New Roman"/>
                <w:sz w:val="24"/>
                <w:szCs w:val="24"/>
              </w:rPr>
              <w:t>云南太标精工铸造有限公司</w:t>
            </w:r>
          </w:p>
          <w:p w14:paraId="62B69BDA">
            <w:pPr>
              <w:pStyle w:val="42"/>
              <w:spacing w:before="97" w:after="97" w:line="288" w:lineRule="auto"/>
              <w:ind w:firstLine="482"/>
              <w:rPr>
                <w:rFonts w:ascii="Times New Roman"/>
                <w:sz w:val="24"/>
                <w:szCs w:val="24"/>
              </w:rPr>
            </w:pPr>
            <w:r>
              <w:rPr>
                <w:rFonts w:ascii="Times New Roman"/>
                <w:b/>
                <w:sz w:val="24"/>
                <w:szCs w:val="24"/>
              </w:rPr>
              <w:t>实施年限：</w:t>
            </w:r>
            <w:r>
              <w:rPr>
                <w:rFonts w:ascii="Times New Roman"/>
                <w:sz w:val="24"/>
                <w:szCs w:val="24"/>
              </w:rPr>
              <w:t>2022-2025</w:t>
            </w:r>
          </w:p>
          <w:p w14:paraId="20D29F2F">
            <w:pPr>
              <w:pStyle w:val="42"/>
              <w:spacing w:before="97" w:after="97" w:line="288" w:lineRule="auto"/>
              <w:ind w:firstLine="482"/>
              <w:rPr>
                <w:rFonts w:ascii="Times New Roman"/>
                <w:sz w:val="24"/>
                <w:szCs w:val="24"/>
              </w:rPr>
            </w:pPr>
            <w:r>
              <w:rPr>
                <w:rFonts w:ascii="Times New Roman"/>
                <w:b/>
                <w:sz w:val="24"/>
                <w:szCs w:val="24"/>
              </w:rPr>
              <w:t>项目内容：</w:t>
            </w:r>
            <w:r>
              <w:rPr>
                <w:rFonts w:ascii="Times New Roman"/>
                <w:sz w:val="24"/>
                <w:szCs w:val="24"/>
              </w:rPr>
              <w:t>计划投资12亿元。建设年产40万吨球墨铸管生产线项目，弥补西南市场球墨铸管生产的空白。建设DN1200～2200mm大口径离心球墨铸管生产线1条、DN80～1200mm小口径铸管生产线2条。</w:t>
            </w:r>
          </w:p>
          <w:p w14:paraId="4E67C7EC">
            <w:pPr>
              <w:pStyle w:val="42"/>
              <w:spacing w:before="97" w:after="97" w:line="288" w:lineRule="auto"/>
              <w:ind w:firstLine="480"/>
              <w:rPr>
                <w:rFonts w:ascii="Times New Roman"/>
                <w:sz w:val="24"/>
                <w:szCs w:val="24"/>
              </w:rPr>
            </w:pPr>
          </w:p>
          <w:p w14:paraId="5EAD2CAD">
            <w:pPr>
              <w:pStyle w:val="42"/>
              <w:spacing w:before="97" w:after="97" w:line="288" w:lineRule="auto"/>
              <w:ind w:firstLine="482"/>
              <w:rPr>
                <w:rFonts w:ascii="Times New Roman"/>
                <w:b/>
                <w:bCs/>
                <w:sz w:val="24"/>
                <w:szCs w:val="24"/>
              </w:rPr>
            </w:pPr>
            <w:r>
              <w:rPr>
                <w:rFonts w:ascii="Times New Roman"/>
                <w:b/>
                <w:sz w:val="24"/>
                <w:szCs w:val="24"/>
              </w:rPr>
              <w:t>项目名称：</w:t>
            </w:r>
            <w:r>
              <w:rPr>
                <w:rFonts w:ascii="Times New Roman"/>
                <w:b/>
                <w:bCs/>
                <w:sz w:val="24"/>
                <w:szCs w:val="24"/>
              </w:rPr>
              <w:t>钢铁综合服务平台建设项目</w:t>
            </w:r>
          </w:p>
          <w:p w14:paraId="5BA475AA">
            <w:pPr>
              <w:pStyle w:val="42"/>
              <w:spacing w:before="97" w:after="97" w:line="288" w:lineRule="auto"/>
              <w:ind w:firstLine="482"/>
              <w:rPr>
                <w:rFonts w:ascii="Times New Roman"/>
                <w:bCs/>
                <w:sz w:val="24"/>
                <w:szCs w:val="24"/>
              </w:rPr>
            </w:pPr>
            <w:r>
              <w:rPr>
                <w:rFonts w:ascii="Times New Roman"/>
                <w:b/>
                <w:sz w:val="24"/>
                <w:szCs w:val="24"/>
              </w:rPr>
              <w:t>实施主体：</w:t>
            </w:r>
            <w:r>
              <w:rPr>
                <w:rFonts w:ascii="Times New Roman"/>
                <w:sz w:val="24"/>
                <w:szCs w:val="24"/>
              </w:rPr>
              <w:t>玉溪家丽科技有限公司</w:t>
            </w:r>
          </w:p>
          <w:p w14:paraId="7D6A32E9">
            <w:pPr>
              <w:pStyle w:val="42"/>
              <w:spacing w:before="97" w:after="97" w:line="288" w:lineRule="auto"/>
              <w:ind w:firstLine="482"/>
              <w:rPr>
                <w:rFonts w:ascii="Times New Roman"/>
                <w:sz w:val="24"/>
                <w:szCs w:val="24"/>
              </w:rPr>
            </w:pPr>
            <w:r>
              <w:rPr>
                <w:rFonts w:ascii="Times New Roman"/>
                <w:b/>
                <w:sz w:val="24"/>
                <w:szCs w:val="24"/>
              </w:rPr>
              <w:t>实施年限：</w:t>
            </w:r>
            <w:r>
              <w:rPr>
                <w:rFonts w:ascii="Times New Roman"/>
                <w:sz w:val="24"/>
                <w:szCs w:val="24"/>
              </w:rPr>
              <w:t>2022-2025</w:t>
            </w:r>
          </w:p>
          <w:p w14:paraId="18740DA0">
            <w:pPr>
              <w:pStyle w:val="42"/>
              <w:spacing w:before="97" w:after="97" w:line="288" w:lineRule="auto"/>
              <w:ind w:firstLine="482"/>
              <w:rPr>
                <w:rFonts w:ascii="Times New Roman"/>
                <w:bCs/>
              </w:rPr>
            </w:pPr>
            <w:r>
              <w:rPr>
                <w:rFonts w:ascii="Times New Roman"/>
                <w:b/>
                <w:sz w:val="24"/>
                <w:szCs w:val="24"/>
              </w:rPr>
              <w:t>项目内容：</w:t>
            </w:r>
            <w:r>
              <w:rPr>
                <w:rFonts w:ascii="Times New Roman"/>
                <w:bCs/>
                <w:sz w:val="24"/>
                <w:szCs w:val="24"/>
              </w:rPr>
              <w:t>计划总投资1亿元，项目占地面积35亩，依托传统钢铁的仓储、物流、配送产业，结合“互联网+”，建设服务于云南本地的钢铁电商平台，面向制造业终端用钢企业，定位于钢铁B2B第三方平台；拟建设钢铁综合服务平台项目的实体配套设施，包括办公楼、生产厂房等，总建筑面积13500</w:t>
            </w:r>
            <w:r>
              <w:rPr>
                <w:rFonts w:ascii="Times New Roman" w:eastAsia="微软雅黑"/>
                <w:bCs/>
                <w:sz w:val="24"/>
                <w:szCs w:val="24"/>
              </w:rPr>
              <w:t>㎡</w:t>
            </w:r>
            <w:r>
              <w:rPr>
                <w:rFonts w:ascii="Times New Roman"/>
                <w:bCs/>
                <w:sz w:val="24"/>
                <w:szCs w:val="24"/>
              </w:rPr>
              <w:t>。项目达产后预计年加工、销售钢材5万吨；回收、分拣、加工、配送废钢铁15万吨。</w:t>
            </w:r>
          </w:p>
        </w:tc>
      </w:tr>
    </w:tbl>
    <w:p w14:paraId="650BC34E">
      <w:pPr>
        <w:pStyle w:val="3"/>
        <w:spacing w:before="163" w:after="163"/>
        <w:ind w:firstLine="643"/>
        <w:rPr>
          <w:rFonts w:ascii="Times New Roman" w:hAnsi="Times New Roman" w:cs="Times New Roman"/>
        </w:rPr>
      </w:pPr>
      <w:bookmarkStart w:id="75" w:name="_Toc106901689"/>
      <w:bookmarkStart w:id="76" w:name="_Toc82871405"/>
      <w:r>
        <w:rPr>
          <w:rFonts w:ascii="Times New Roman" w:hAnsi="Times New Roman" w:cs="Times New Roman"/>
        </w:rPr>
        <w:t>（二）构建“一核两区多园”产业空间格局</w:t>
      </w:r>
      <w:bookmarkEnd w:id="75"/>
      <w:bookmarkEnd w:id="76"/>
    </w:p>
    <w:p w14:paraId="3C2E10EC">
      <w:pPr>
        <w:pStyle w:val="42"/>
        <w:spacing w:before="97" w:after="97"/>
        <w:ind w:firstLine="640"/>
        <w:rPr>
          <w:rFonts w:ascii="Times New Roman"/>
        </w:rPr>
      </w:pPr>
      <w:r>
        <w:rPr>
          <w:rFonts w:ascii="Times New Roman"/>
        </w:rPr>
        <w:t>围绕高新区功能定位和发展需要，按照产业集聚、“一园一业”的原则，科学规划产业空间布局，建设专业化园中园，整体打造“一核、两片区、多园”空间格局，形成产业特色鲜明、区域功能完善的产城融合发展新格局。</w:t>
      </w:r>
    </w:p>
    <w:p w14:paraId="7A00E065">
      <w:pPr>
        <w:pStyle w:val="42"/>
        <w:spacing w:before="97" w:after="97"/>
        <w:ind w:firstLine="640"/>
        <w:rPr>
          <w:rFonts w:ascii="Times New Roman"/>
        </w:rPr>
      </w:pPr>
    </w:p>
    <w:p w14:paraId="7E06BFC1">
      <w:pPr>
        <w:pStyle w:val="42"/>
        <w:spacing w:before="97" w:after="97"/>
        <w:ind w:firstLine="640"/>
        <w:rPr>
          <w:rFonts w:ascii="Times New Roman"/>
        </w:rPr>
      </w:pPr>
    </w:p>
    <w:p w14:paraId="008C89D5">
      <w:pPr>
        <w:pStyle w:val="42"/>
        <w:spacing w:before="97" w:after="97"/>
        <w:ind w:firstLine="640"/>
        <w:rPr>
          <w:rFonts w:ascii="Times New Roman"/>
        </w:rPr>
      </w:pPr>
    </w:p>
    <w:p w14:paraId="6106549D">
      <w:pPr>
        <w:spacing w:line="560" w:lineRule="exact"/>
        <w:jc w:val="center"/>
        <w:rPr>
          <w:rFonts w:ascii="仿宋_GB2312" w:hAnsi="楷体" w:eastAsia="仿宋_GB2312"/>
          <w:b/>
          <w:szCs w:val="32"/>
        </w:rPr>
      </w:pPr>
      <w:r>
        <w:rPr>
          <w:rFonts w:hint="eastAsia" w:ascii="仿宋_GB2312" w:hAnsi="楷体" w:eastAsia="仿宋_GB2312"/>
          <w:b/>
          <w:szCs w:val="32"/>
        </w:rPr>
        <w:t>表</w:t>
      </w:r>
      <w:r>
        <w:rPr>
          <w:rFonts w:ascii="仿宋_GB2312" w:hAnsi="楷体" w:eastAsia="仿宋_GB2312"/>
          <w:b/>
          <w:szCs w:val="32"/>
        </w:rPr>
        <w:t>4</w:t>
      </w:r>
      <w:r>
        <w:rPr>
          <w:rFonts w:hint="eastAsia" w:ascii="仿宋_GB2312" w:hAnsi="楷体" w:eastAsia="仿宋_GB2312"/>
          <w:b/>
          <w:szCs w:val="32"/>
        </w:rPr>
        <w:t>：玉溪</w:t>
      </w:r>
      <w:r>
        <w:rPr>
          <w:rFonts w:ascii="仿宋_GB2312" w:hAnsi="楷体" w:eastAsia="仿宋_GB2312"/>
          <w:b/>
          <w:szCs w:val="32"/>
        </w:rPr>
        <w:t>高新区</w:t>
      </w:r>
      <w:r>
        <w:rPr>
          <w:rFonts w:hint="eastAsia" w:ascii="仿宋_GB2312" w:hAnsi="楷体" w:eastAsia="仿宋_GB2312"/>
          <w:b/>
          <w:szCs w:val="32"/>
        </w:rPr>
        <w:t>“一核两片区”规划</w:t>
      </w:r>
      <w:r>
        <w:rPr>
          <w:rFonts w:ascii="仿宋_GB2312" w:hAnsi="楷体" w:eastAsia="仿宋_GB2312"/>
          <w:b/>
          <w:szCs w:val="32"/>
        </w:rPr>
        <w:t>面积</w:t>
      </w:r>
    </w:p>
    <w:tbl>
      <w:tblPr>
        <w:tblStyle w:val="60"/>
        <w:tblW w:w="8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5"/>
        <w:gridCol w:w="3741"/>
      </w:tblGrid>
      <w:tr w14:paraId="3D64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4635" w:type="dxa"/>
            <w:vAlign w:val="center"/>
          </w:tcPr>
          <w:p w14:paraId="56868F38">
            <w:pPr>
              <w:widowControl/>
              <w:spacing w:line="280" w:lineRule="exact"/>
              <w:jc w:val="center"/>
              <w:rPr>
                <w:rFonts w:ascii="仿宋_GB2312" w:eastAsia="仿宋_GB2312"/>
                <w:b/>
                <w:bCs/>
              </w:rPr>
            </w:pPr>
            <w:r>
              <w:rPr>
                <w:rFonts w:hint="eastAsia" w:ascii="仿宋_GB2312" w:eastAsia="仿宋_GB2312"/>
                <w:b/>
                <w:bCs/>
              </w:rPr>
              <w:t>片区</w:t>
            </w:r>
          </w:p>
        </w:tc>
        <w:tc>
          <w:tcPr>
            <w:tcW w:w="3741" w:type="dxa"/>
            <w:vAlign w:val="center"/>
          </w:tcPr>
          <w:p w14:paraId="2E6AE0F2">
            <w:pPr>
              <w:widowControl/>
              <w:spacing w:line="280" w:lineRule="exact"/>
              <w:jc w:val="center"/>
              <w:rPr>
                <w:rFonts w:ascii="仿宋_GB2312" w:eastAsia="仿宋_GB2312"/>
                <w:b/>
                <w:bCs/>
              </w:rPr>
            </w:pPr>
            <w:r>
              <w:rPr>
                <w:rFonts w:hint="eastAsia" w:ascii="仿宋_GB2312" w:eastAsia="仿宋_GB2312"/>
                <w:b/>
                <w:bCs/>
              </w:rPr>
              <w:t>规划</w:t>
            </w:r>
            <w:r>
              <w:rPr>
                <w:rFonts w:ascii="仿宋_GB2312" w:eastAsia="仿宋_GB2312"/>
                <w:b/>
                <w:bCs/>
              </w:rPr>
              <w:t>面积</w:t>
            </w:r>
            <w:r>
              <w:rPr>
                <w:rFonts w:hint="eastAsia" w:ascii="仿宋_GB2312" w:eastAsia="仿宋_GB2312"/>
                <w:b/>
                <w:bCs/>
              </w:rPr>
              <w:t>（平方公里）</w:t>
            </w:r>
          </w:p>
        </w:tc>
      </w:tr>
      <w:tr w14:paraId="0092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635" w:type="dxa"/>
            <w:vAlign w:val="center"/>
          </w:tcPr>
          <w:p w14:paraId="781C74F7">
            <w:pPr>
              <w:widowControl/>
              <w:spacing w:line="280" w:lineRule="exact"/>
              <w:jc w:val="center"/>
              <w:rPr>
                <w:rFonts w:ascii="仿宋_GB2312" w:eastAsia="仿宋_GB2312"/>
                <w:b/>
              </w:rPr>
            </w:pPr>
            <w:r>
              <w:rPr>
                <w:rFonts w:hint="eastAsia" w:ascii="仿宋_GB2312" w:eastAsia="仿宋_GB2312"/>
                <w:b/>
              </w:rPr>
              <w:t>核心区（南片区、九龙片区、龙泉片区）</w:t>
            </w:r>
          </w:p>
        </w:tc>
        <w:tc>
          <w:tcPr>
            <w:tcW w:w="3741" w:type="dxa"/>
            <w:vAlign w:val="center"/>
          </w:tcPr>
          <w:p w14:paraId="2AF03E04">
            <w:pPr>
              <w:widowControl/>
              <w:spacing w:line="280" w:lineRule="exact"/>
              <w:jc w:val="center"/>
              <w:rPr>
                <w:rFonts w:ascii="仿宋_GB2312" w:eastAsia="仿宋_GB2312"/>
                <w:highlight w:val="yellow"/>
              </w:rPr>
            </w:pPr>
            <w:r>
              <w:rPr>
                <w:rFonts w:ascii="仿宋_GB2312" w:eastAsia="仿宋_GB2312"/>
              </w:rPr>
              <w:t>28.39</w:t>
            </w:r>
          </w:p>
        </w:tc>
      </w:tr>
      <w:tr w14:paraId="4BD1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635" w:type="dxa"/>
            <w:vAlign w:val="center"/>
          </w:tcPr>
          <w:p w14:paraId="1E75656A">
            <w:pPr>
              <w:widowControl/>
              <w:spacing w:line="280" w:lineRule="exact"/>
              <w:jc w:val="center"/>
              <w:rPr>
                <w:rFonts w:ascii="仿宋_GB2312" w:eastAsia="仿宋_GB2312"/>
                <w:b/>
              </w:rPr>
            </w:pPr>
            <w:r>
              <w:rPr>
                <w:rFonts w:hint="eastAsia" w:ascii="仿宋_GB2312" w:eastAsia="仿宋_GB2312"/>
                <w:b/>
              </w:rPr>
              <w:t>红塔片区</w:t>
            </w:r>
          </w:p>
        </w:tc>
        <w:tc>
          <w:tcPr>
            <w:tcW w:w="3741" w:type="dxa"/>
            <w:vAlign w:val="center"/>
          </w:tcPr>
          <w:p w14:paraId="69671C73">
            <w:pPr>
              <w:widowControl/>
              <w:spacing w:line="280" w:lineRule="exact"/>
              <w:jc w:val="center"/>
              <w:rPr>
                <w:rFonts w:ascii="仿宋_GB2312" w:eastAsia="仿宋_GB2312"/>
              </w:rPr>
            </w:pPr>
            <w:r>
              <w:rPr>
                <w:rFonts w:ascii="仿宋_GB2312" w:eastAsia="仿宋_GB2312"/>
              </w:rPr>
              <w:t>18.01</w:t>
            </w:r>
          </w:p>
        </w:tc>
      </w:tr>
      <w:tr w14:paraId="1B8C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635" w:type="dxa"/>
            <w:vAlign w:val="center"/>
          </w:tcPr>
          <w:p w14:paraId="09127E05">
            <w:pPr>
              <w:widowControl/>
              <w:spacing w:line="280" w:lineRule="exact"/>
              <w:jc w:val="center"/>
              <w:rPr>
                <w:rFonts w:ascii="仿宋_GB2312" w:eastAsia="仿宋_GB2312"/>
                <w:b/>
              </w:rPr>
            </w:pPr>
            <w:r>
              <w:rPr>
                <w:rFonts w:hint="eastAsia" w:ascii="仿宋_GB2312" w:eastAsia="仿宋_GB2312"/>
                <w:b/>
              </w:rPr>
              <w:t>研和</w:t>
            </w:r>
            <w:r>
              <w:rPr>
                <w:rFonts w:ascii="仿宋_GB2312" w:eastAsia="仿宋_GB2312"/>
                <w:b/>
              </w:rPr>
              <w:t>片区</w:t>
            </w:r>
          </w:p>
        </w:tc>
        <w:tc>
          <w:tcPr>
            <w:tcW w:w="3741" w:type="dxa"/>
            <w:vAlign w:val="center"/>
          </w:tcPr>
          <w:p w14:paraId="5BA48D43">
            <w:pPr>
              <w:widowControl/>
              <w:spacing w:line="280" w:lineRule="exact"/>
              <w:jc w:val="center"/>
              <w:rPr>
                <w:rFonts w:ascii="仿宋_GB2312" w:eastAsia="仿宋_GB2312"/>
              </w:rPr>
            </w:pPr>
            <w:r>
              <w:rPr>
                <w:rFonts w:ascii="仿宋_GB2312" w:eastAsia="仿宋_GB2312"/>
              </w:rPr>
              <w:t>25.16</w:t>
            </w:r>
          </w:p>
        </w:tc>
      </w:tr>
      <w:tr w14:paraId="13D8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635" w:type="dxa"/>
            <w:vAlign w:val="center"/>
          </w:tcPr>
          <w:p w14:paraId="7AE1DA85">
            <w:pPr>
              <w:widowControl w:val="0"/>
              <w:spacing w:line="280" w:lineRule="exact"/>
              <w:jc w:val="center"/>
              <w:rPr>
                <w:rFonts w:ascii="仿宋_GB2312" w:eastAsia="仿宋_GB2312"/>
                <w:b/>
              </w:rPr>
            </w:pPr>
            <w:r>
              <w:rPr>
                <w:rFonts w:hint="eastAsia" w:ascii="仿宋_GB2312" w:eastAsia="仿宋_GB2312"/>
                <w:b/>
              </w:rPr>
              <w:t>总计</w:t>
            </w:r>
          </w:p>
        </w:tc>
        <w:tc>
          <w:tcPr>
            <w:tcW w:w="3741" w:type="dxa"/>
            <w:vAlign w:val="center"/>
          </w:tcPr>
          <w:p w14:paraId="3EC3E795">
            <w:pPr>
              <w:widowControl w:val="0"/>
              <w:spacing w:line="280" w:lineRule="exact"/>
              <w:jc w:val="center"/>
              <w:rPr>
                <w:rFonts w:ascii="仿宋_GB2312" w:eastAsia="仿宋_GB2312"/>
              </w:rPr>
            </w:pPr>
            <w:r>
              <w:rPr>
                <w:rFonts w:hint="eastAsia" w:ascii="仿宋_GB2312" w:eastAsia="仿宋_GB2312"/>
              </w:rPr>
              <w:t>7</w:t>
            </w:r>
            <w:r>
              <w:rPr>
                <w:rFonts w:ascii="仿宋_GB2312" w:eastAsia="仿宋_GB2312"/>
              </w:rPr>
              <w:t>1.56</w:t>
            </w:r>
          </w:p>
        </w:tc>
      </w:tr>
    </w:tbl>
    <w:p w14:paraId="44A8E5EC">
      <w:pPr>
        <w:spacing w:line="560" w:lineRule="exact"/>
        <w:jc w:val="center"/>
        <w:rPr>
          <w:rFonts w:eastAsia="仿宋_GB2312"/>
          <w:b/>
          <w:szCs w:val="32"/>
        </w:rPr>
      </w:pPr>
      <w:r>
        <w:rPr>
          <w:rFonts w:eastAsia="仿宋_GB2312"/>
          <w:b/>
          <w:szCs w:val="32"/>
        </w:rPr>
        <w:t>表5：玉溪高新区专业化园区情况</w:t>
      </w:r>
    </w:p>
    <w:tbl>
      <w:tblPr>
        <w:tblStyle w:val="26"/>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402"/>
        <w:gridCol w:w="4678"/>
      </w:tblGrid>
      <w:tr w14:paraId="6A5E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71" w:type="dxa"/>
            <w:vAlign w:val="center"/>
          </w:tcPr>
          <w:p w14:paraId="165BBF59">
            <w:pPr>
              <w:spacing w:line="280" w:lineRule="exact"/>
              <w:jc w:val="center"/>
              <w:rPr>
                <w:rFonts w:eastAsia="仿宋_GB2312"/>
                <w:b/>
              </w:rPr>
            </w:pPr>
            <w:r>
              <w:rPr>
                <w:rFonts w:eastAsia="仿宋_GB2312"/>
                <w:b/>
              </w:rPr>
              <w:t>片区</w:t>
            </w:r>
          </w:p>
        </w:tc>
        <w:tc>
          <w:tcPr>
            <w:tcW w:w="3402" w:type="dxa"/>
            <w:vAlign w:val="center"/>
          </w:tcPr>
          <w:p w14:paraId="06011248">
            <w:pPr>
              <w:spacing w:line="280" w:lineRule="exact"/>
              <w:jc w:val="center"/>
              <w:rPr>
                <w:rFonts w:eastAsia="仿宋_GB2312"/>
                <w:b/>
              </w:rPr>
            </w:pPr>
            <w:r>
              <w:rPr>
                <w:rFonts w:eastAsia="仿宋_GB2312"/>
                <w:b/>
              </w:rPr>
              <w:t>产业园名称</w:t>
            </w:r>
          </w:p>
        </w:tc>
        <w:tc>
          <w:tcPr>
            <w:tcW w:w="4678" w:type="dxa"/>
            <w:vAlign w:val="center"/>
          </w:tcPr>
          <w:p w14:paraId="28EFC6F2">
            <w:pPr>
              <w:spacing w:line="280" w:lineRule="exact"/>
              <w:jc w:val="center"/>
              <w:rPr>
                <w:rFonts w:eastAsia="仿宋_GB2312"/>
                <w:b/>
              </w:rPr>
            </w:pPr>
            <w:r>
              <w:rPr>
                <w:rFonts w:eastAsia="仿宋_GB2312"/>
                <w:b/>
              </w:rPr>
              <w:t>重点发展领域</w:t>
            </w:r>
          </w:p>
        </w:tc>
      </w:tr>
      <w:tr w14:paraId="5D13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restart"/>
            <w:vAlign w:val="center"/>
          </w:tcPr>
          <w:p w14:paraId="35CBBB7A">
            <w:pPr>
              <w:spacing w:line="280" w:lineRule="exact"/>
              <w:jc w:val="center"/>
              <w:rPr>
                <w:rFonts w:eastAsia="仿宋_GB2312"/>
                <w:b/>
              </w:rPr>
            </w:pPr>
            <w:r>
              <w:rPr>
                <w:rFonts w:eastAsia="仿宋_GB2312"/>
                <w:b/>
              </w:rPr>
              <w:t>核心区</w:t>
            </w:r>
          </w:p>
        </w:tc>
        <w:tc>
          <w:tcPr>
            <w:tcW w:w="3402" w:type="dxa"/>
            <w:vAlign w:val="center"/>
          </w:tcPr>
          <w:p w14:paraId="6E032CBA">
            <w:pPr>
              <w:spacing w:line="280" w:lineRule="exact"/>
              <w:jc w:val="center"/>
              <w:rPr>
                <w:rFonts w:eastAsia="仿宋_GB2312"/>
                <w:bCs/>
              </w:rPr>
            </w:pPr>
            <w:r>
              <w:rPr>
                <w:rFonts w:eastAsia="仿宋_GB2312"/>
                <w:bCs/>
              </w:rPr>
              <w:t>疫苗产业园</w:t>
            </w:r>
          </w:p>
        </w:tc>
        <w:tc>
          <w:tcPr>
            <w:tcW w:w="4678" w:type="dxa"/>
            <w:vAlign w:val="center"/>
          </w:tcPr>
          <w:p w14:paraId="4B0D611D">
            <w:pPr>
              <w:spacing w:line="280" w:lineRule="exact"/>
              <w:rPr>
                <w:rFonts w:eastAsia="仿宋_GB2312"/>
                <w:bCs/>
              </w:rPr>
            </w:pPr>
            <w:r>
              <w:rPr>
                <w:rFonts w:eastAsia="仿宋_GB2312"/>
                <w:bCs/>
              </w:rPr>
              <w:t>疫苗、单抗、免疫球蛋白</w:t>
            </w:r>
          </w:p>
        </w:tc>
      </w:tr>
      <w:tr w14:paraId="0E1F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059536F6">
            <w:pPr>
              <w:spacing w:line="280" w:lineRule="exact"/>
              <w:jc w:val="center"/>
              <w:rPr>
                <w:rFonts w:eastAsia="仿宋_GB2312"/>
                <w:b/>
              </w:rPr>
            </w:pPr>
          </w:p>
        </w:tc>
        <w:tc>
          <w:tcPr>
            <w:tcW w:w="3402" w:type="dxa"/>
            <w:vAlign w:val="center"/>
          </w:tcPr>
          <w:p w14:paraId="511F1521">
            <w:pPr>
              <w:spacing w:line="280" w:lineRule="exact"/>
              <w:jc w:val="center"/>
              <w:rPr>
                <w:rFonts w:eastAsia="仿宋_GB2312"/>
                <w:bCs/>
              </w:rPr>
            </w:pPr>
            <w:r>
              <w:rPr>
                <w:rFonts w:eastAsia="仿宋_GB2312"/>
                <w:bCs/>
              </w:rPr>
              <w:t>卷烟配套产业园</w:t>
            </w:r>
          </w:p>
        </w:tc>
        <w:tc>
          <w:tcPr>
            <w:tcW w:w="4678" w:type="dxa"/>
            <w:vAlign w:val="center"/>
          </w:tcPr>
          <w:p w14:paraId="3D94318D">
            <w:pPr>
              <w:spacing w:line="280" w:lineRule="exact"/>
              <w:rPr>
                <w:rFonts w:eastAsia="仿宋_GB2312"/>
                <w:bCs/>
              </w:rPr>
            </w:pPr>
            <w:r>
              <w:rPr>
                <w:rFonts w:eastAsia="仿宋_GB2312"/>
                <w:bCs/>
              </w:rPr>
              <w:t>卷烟烤制工艺及设备</w:t>
            </w:r>
          </w:p>
        </w:tc>
      </w:tr>
      <w:tr w14:paraId="184C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102EE0FD">
            <w:pPr>
              <w:spacing w:line="280" w:lineRule="exact"/>
              <w:jc w:val="center"/>
              <w:rPr>
                <w:rFonts w:eastAsia="仿宋_GB2312"/>
                <w:b/>
              </w:rPr>
            </w:pPr>
          </w:p>
        </w:tc>
        <w:tc>
          <w:tcPr>
            <w:tcW w:w="3402" w:type="dxa"/>
            <w:vAlign w:val="center"/>
          </w:tcPr>
          <w:p w14:paraId="56FC9B0F">
            <w:pPr>
              <w:spacing w:line="280" w:lineRule="exact"/>
              <w:jc w:val="center"/>
              <w:rPr>
                <w:rFonts w:eastAsia="仿宋_GB2312"/>
                <w:bCs/>
              </w:rPr>
            </w:pPr>
            <w:r>
              <w:rPr>
                <w:rFonts w:eastAsia="仿宋_GB2312"/>
                <w:bCs/>
              </w:rPr>
              <w:t>绿色食品产业园</w:t>
            </w:r>
          </w:p>
        </w:tc>
        <w:tc>
          <w:tcPr>
            <w:tcW w:w="4678" w:type="dxa"/>
            <w:vAlign w:val="center"/>
          </w:tcPr>
          <w:p w14:paraId="3F75178E">
            <w:pPr>
              <w:spacing w:line="280" w:lineRule="exact"/>
              <w:rPr>
                <w:rFonts w:eastAsia="仿宋_GB2312"/>
                <w:bCs/>
              </w:rPr>
            </w:pPr>
            <w:r>
              <w:rPr>
                <w:rFonts w:eastAsia="仿宋_GB2312"/>
                <w:bCs/>
              </w:rPr>
              <w:t>绿色食品</w:t>
            </w:r>
          </w:p>
        </w:tc>
      </w:tr>
      <w:tr w14:paraId="190E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A704EF1">
            <w:pPr>
              <w:spacing w:line="280" w:lineRule="exact"/>
              <w:jc w:val="center"/>
              <w:rPr>
                <w:rFonts w:eastAsia="仿宋_GB2312"/>
                <w:b/>
              </w:rPr>
            </w:pPr>
          </w:p>
        </w:tc>
        <w:tc>
          <w:tcPr>
            <w:tcW w:w="3402" w:type="dxa"/>
            <w:vAlign w:val="center"/>
          </w:tcPr>
          <w:p w14:paraId="5F240B55">
            <w:pPr>
              <w:spacing w:line="280" w:lineRule="exact"/>
              <w:jc w:val="center"/>
              <w:rPr>
                <w:rFonts w:eastAsia="仿宋_GB2312"/>
                <w:bCs/>
              </w:rPr>
            </w:pPr>
            <w:r>
              <w:rPr>
                <w:rFonts w:eastAsia="仿宋_GB2312"/>
                <w:bCs/>
              </w:rPr>
              <w:t>云南（玉溪）大数据及智能制造产业园</w:t>
            </w:r>
          </w:p>
        </w:tc>
        <w:tc>
          <w:tcPr>
            <w:tcW w:w="4678" w:type="dxa"/>
            <w:vAlign w:val="center"/>
          </w:tcPr>
          <w:p w14:paraId="1760A748">
            <w:pPr>
              <w:spacing w:line="280" w:lineRule="exact"/>
              <w:rPr>
                <w:rFonts w:eastAsia="仿宋_GB2312"/>
                <w:bCs/>
              </w:rPr>
            </w:pPr>
            <w:r>
              <w:rPr>
                <w:rFonts w:eastAsia="仿宋_GB2312"/>
                <w:bCs/>
              </w:rPr>
              <w:t>大数据管理、行业应用、可视化系统</w:t>
            </w:r>
          </w:p>
        </w:tc>
      </w:tr>
      <w:tr w14:paraId="4FD8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19B2021A">
            <w:pPr>
              <w:spacing w:line="280" w:lineRule="exact"/>
              <w:jc w:val="center"/>
              <w:rPr>
                <w:rFonts w:eastAsia="仿宋_GB2312"/>
                <w:b/>
              </w:rPr>
            </w:pPr>
          </w:p>
        </w:tc>
        <w:tc>
          <w:tcPr>
            <w:tcW w:w="3402" w:type="dxa"/>
            <w:vAlign w:val="center"/>
          </w:tcPr>
          <w:p w14:paraId="5ED869FF">
            <w:pPr>
              <w:spacing w:line="280" w:lineRule="exact"/>
              <w:jc w:val="center"/>
              <w:rPr>
                <w:rFonts w:eastAsia="仿宋_GB2312"/>
                <w:bCs/>
              </w:rPr>
            </w:pPr>
            <w:r>
              <w:rPr>
                <w:rFonts w:eastAsia="仿宋_GB2312"/>
                <w:bCs/>
              </w:rPr>
              <w:t>新能源新材料产业园</w:t>
            </w:r>
          </w:p>
        </w:tc>
        <w:tc>
          <w:tcPr>
            <w:tcW w:w="4678" w:type="dxa"/>
            <w:vAlign w:val="center"/>
          </w:tcPr>
          <w:p w14:paraId="687B3923">
            <w:pPr>
              <w:spacing w:line="280" w:lineRule="exact"/>
              <w:rPr>
                <w:rFonts w:eastAsia="仿宋_GB2312"/>
                <w:bCs/>
              </w:rPr>
            </w:pPr>
            <w:r>
              <w:rPr>
                <w:rFonts w:eastAsia="仿宋_GB2312"/>
                <w:bCs/>
              </w:rPr>
              <w:t>锂电池、新型储能</w:t>
            </w:r>
          </w:p>
        </w:tc>
      </w:tr>
      <w:tr w14:paraId="6613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restart"/>
            <w:vAlign w:val="center"/>
          </w:tcPr>
          <w:p w14:paraId="2CCAAAD4">
            <w:pPr>
              <w:spacing w:line="280" w:lineRule="exact"/>
              <w:jc w:val="center"/>
              <w:rPr>
                <w:rFonts w:eastAsia="仿宋_GB2312"/>
                <w:b/>
              </w:rPr>
            </w:pPr>
            <w:r>
              <w:rPr>
                <w:rFonts w:eastAsia="仿宋_GB2312"/>
                <w:b/>
              </w:rPr>
              <w:t>红塔片区</w:t>
            </w:r>
          </w:p>
        </w:tc>
        <w:tc>
          <w:tcPr>
            <w:tcW w:w="3402" w:type="dxa"/>
            <w:vAlign w:val="center"/>
          </w:tcPr>
          <w:p w14:paraId="2B1207C6">
            <w:pPr>
              <w:spacing w:line="280" w:lineRule="exact"/>
              <w:jc w:val="center"/>
              <w:rPr>
                <w:rFonts w:eastAsia="仿宋_GB2312"/>
                <w:bCs/>
              </w:rPr>
            </w:pPr>
            <w:r>
              <w:rPr>
                <w:rFonts w:eastAsia="仿宋_GB2312"/>
                <w:bCs/>
              </w:rPr>
              <w:t>新材料产业园</w:t>
            </w:r>
          </w:p>
        </w:tc>
        <w:tc>
          <w:tcPr>
            <w:tcW w:w="4678" w:type="dxa"/>
            <w:vAlign w:val="center"/>
          </w:tcPr>
          <w:p w14:paraId="7D71D4E4">
            <w:pPr>
              <w:spacing w:line="280" w:lineRule="exact"/>
              <w:rPr>
                <w:rFonts w:eastAsia="仿宋_GB2312"/>
                <w:bCs/>
              </w:rPr>
            </w:pPr>
            <w:r>
              <w:rPr>
                <w:rFonts w:eastAsia="仿宋_GB2312"/>
                <w:bCs/>
              </w:rPr>
              <w:t>光电材料、芯片制造、封装</w:t>
            </w:r>
          </w:p>
        </w:tc>
      </w:tr>
      <w:tr w14:paraId="2FDC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271" w:type="dxa"/>
            <w:vMerge w:val="continue"/>
            <w:vAlign w:val="center"/>
          </w:tcPr>
          <w:p w14:paraId="430E8A81">
            <w:pPr>
              <w:spacing w:line="280" w:lineRule="exact"/>
              <w:jc w:val="center"/>
              <w:rPr>
                <w:rFonts w:eastAsia="仿宋_GB2312"/>
                <w:b/>
              </w:rPr>
            </w:pPr>
          </w:p>
        </w:tc>
        <w:tc>
          <w:tcPr>
            <w:tcW w:w="3402" w:type="dxa"/>
            <w:vAlign w:val="center"/>
          </w:tcPr>
          <w:p w14:paraId="2E3AF021">
            <w:pPr>
              <w:spacing w:line="280" w:lineRule="exact"/>
              <w:jc w:val="center"/>
              <w:rPr>
                <w:rFonts w:eastAsia="仿宋_GB2312"/>
                <w:bCs/>
              </w:rPr>
            </w:pPr>
            <w:r>
              <w:rPr>
                <w:rFonts w:eastAsia="仿宋_GB2312"/>
                <w:bCs/>
              </w:rPr>
              <w:t>钢铁商贸物流产业园</w:t>
            </w:r>
          </w:p>
        </w:tc>
        <w:tc>
          <w:tcPr>
            <w:tcW w:w="4678" w:type="dxa"/>
            <w:vAlign w:val="center"/>
          </w:tcPr>
          <w:p w14:paraId="5819DB26">
            <w:pPr>
              <w:spacing w:line="280" w:lineRule="exact"/>
              <w:rPr>
                <w:rFonts w:eastAsia="仿宋_GB2312"/>
                <w:bCs/>
              </w:rPr>
            </w:pPr>
            <w:r>
              <w:rPr>
                <w:rFonts w:eastAsia="仿宋_GB2312"/>
                <w:bCs/>
              </w:rPr>
              <w:t>仓储、经营区、加工、分拨、运输</w:t>
            </w:r>
          </w:p>
        </w:tc>
      </w:tr>
      <w:tr w14:paraId="7B9C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0BE05803">
            <w:pPr>
              <w:spacing w:line="280" w:lineRule="exact"/>
              <w:jc w:val="center"/>
              <w:rPr>
                <w:rFonts w:eastAsia="仿宋_GB2312"/>
                <w:b/>
              </w:rPr>
            </w:pPr>
          </w:p>
        </w:tc>
        <w:tc>
          <w:tcPr>
            <w:tcW w:w="3402" w:type="dxa"/>
            <w:vAlign w:val="center"/>
          </w:tcPr>
          <w:p w14:paraId="7712700F">
            <w:pPr>
              <w:spacing w:line="280" w:lineRule="exact"/>
              <w:jc w:val="center"/>
              <w:rPr>
                <w:rFonts w:eastAsia="仿宋_GB2312"/>
                <w:bCs/>
              </w:rPr>
            </w:pPr>
            <w:r>
              <w:rPr>
                <w:rFonts w:eastAsia="仿宋_GB2312"/>
                <w:bCs/>
              </w:rPr>
              <w:t>生物医药大健康产业园</w:t>
            </w:r>
          </w:p>
        </w:tc>
        <w:tc>
          <w:tcPr>
            <w:tcW w:w="4678" w:type="dxa"/>
            <w:vAlign w:val="center"/>
          </w:tcPr>
          <w:p w14:paraId="2E269B9D">
            <w:pPr>
              <w:spacing w:line="280" w:lineRule="exact"/>
              <w:rPr>
                <w:rFonts w:eastAsia="仿宋_GB2312"/>
                <w:bCs/>
              </w:rPr>
            </w:pPr>
            <w:r>
              <w:rPr>
                <w:rFonts w:eastAsia="仿宋_GB2312"/>
                <w:bCs/>
              </w:rPr>
              <w:t>中成药、民族药</w:t>
            </w:r>
          </w:p>
        </w:tc>
      </w:tr>
      <w:tr w14:paraId="6BBD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5D06CBCD">
            <w:pPr>
              <w:spacing w:line="280" w:lineRule="exact"/>
              <w:jc w:val="center"/>
              <w:rPr>
                <w:rFonts w:eastAsia="仿宋_GB2312"/>
                <w:b/>
              </w:rPr>
            </w:pPr>
          </w:p>
        </w:tc>
        <w:tc>
          <w:tcPr>
            <w:tcW w:w="3402" w:type="dxa"/>
            <w:vAlign w:val="center"/>
          </w:tcPr>
          <w:p w14:paraId="35059ED5">
            <w:pPr>
              <w:spacing w:line="280" w:lineRule="exact"/>
              <w:jc w:val="center"/>
              <w:rPr>
                <w:rFonts w:eastAsia="仿宋_GB2312"/>
                <w:bCs/>
              </w:rPr>
            </w:pPr>
            <w:r>
              <w:rPr>
                <w:rFonts w:eastAsia="仿宋_GB2312"/>
                <w:bCs/>
              </w:rPr>
              <w:t>先进装备制造产业园</w:t>
            </w:r>
          </w:p>
        </w:tc>
        <w:tc>
          <w:tcPr>
            <w:tcW w:w="4678" w:type="dxa"/>
            <w:vAlign w:val="center"/>
          </w:tcPr>
          <w:p w14:paraId="1CC60622">
            <w:pPr>
              <w:spacing w:line="280" w:lineRule="exact"/>
              <w:rPr>
                <w:rFonts w:eastAsia="仿宋_GB2312"/>
                <w:bCs/>
              </w:rPr>
            </w:pPr>
            <w:r>
              <w:rPr>
                <w:rFonts w:eastAsia="仿宋_GB2312"/>
                <w:bCs/>
              </w:rPr>
              <w:t>农机装备、电气设备</w:t>
            </w:r>
          </w:p>
        </w:tc>
      </w:tr>
      <w:tr w14:paraId="460A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271" w:type="dxa"/>
            <w:vMerge w:val="restart"/>
            <w:vAlign w:val="center"/>
          </w:tcPr>
          <w:p w14:paraId="6474E9D6">
            <w:pPr>
              <w:spacing w:line="280" w:lineRule="exact"/>
              <w:jc w:val="center"/>
              <w:rPr>
                <w:rFonts w:eastAsia="仿宋_GB2312"/>
                <w:b/>
              </w:rPr>
            </w:pPr>
            <w:r>
              <w:rPr>
                <w:rFonts w:eastAsia="仿宋_GB2312"/>
                <w:b/>
              </w:rPr>
              <w:t>研和片区</w:t>
            </w:r>
          </w:p>
        </w:tc>
        <w:tc>
          <w:tcPr>
            <w:tcW w:w="3402" w:type="dxa"/>
            <w:vAlign w:val="center"/>
          </w:tcPr>
          <w:p w14:paraId="764F4B3B">
            <w:pPr>
              <w:spacing w:line="280" w:lineRule="exact"/>
              <w:jc w:val="center"/>
              <w:rPr>
                <w:rFonts w:eastAsia="仿宋_GB2312"/>
                <w:bCs/>
              </w:rPr>
            </w:pPr>
            <w:r>
              <w:rPr>
                <w:rFonts w:eastAsia="仿宋_GB2312"/>
                <w:bCs/>
              </w:rPr>
              <w:t>金属制品深加工产业园</w:t>
            </w:r>
          </w:p>
        </w:tc>
        <w:tc>
          <w:tcPr>
            <w:tcW w:w="4678" w:type="dxa"/>
            <w:vAlign w:val="center"/>
          </w:tcPr>
          <w:p w14:paraId="66A587E2">
            <w:pPr>
              <w:spacing w:line="280" w:lineRule="exact"/>
              <w:rPr>
                <w:rFonts w:eastAsia="仿宋_GB2312"/>
                <w:bCs/>
              </w:rPr>
            </w:pPr>
            <w:r>
              <w:rPr>
                <w:rFonts w:eastAsia="仿宋_GB2312"/>
                <w:bCs/>
              </w:rPr>
              <w:t>汽车轮毂、车辆五金等表面处理，钢铁冶金、金属制品加工</w:t>
            </w:r>
          </w:p>
        </w:tc>
      </w:tr>
      <w:tr w14:paraId="38BB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271" w:type="dxa"/>
            <w:vMerge w:val="continue"/>
            <w:vAlign w:val="center"/>
          </w:tcPr>
          <w:p w14:paraId="0413F3BB">
            <w:pPr>
              <w:spacing w:line="280" w:lineRule="exact"/>
              <w:jc w:val="center"/>
              <w:rPr>
                <w:rFonts w:eastAsia="仿宋_GB2312"/>
                <w:b/>
              </w:rPr>
            </w:pPr>
          </w:p>
        </w:tc>
        <w:tc>
          <w:tcPr>
            <w:tcW w:w="3402" w:type="dxa"/>
            <w:vAlign w:val="center"/>
          </w:tcPr>
          <w:p w14:paraId="3B1D547C">
            <w:pPr>
              <w:spacing w:line="280" w:lineRule="exact"/>
              <w:jc w:val="center"/>
              <w:rPr>
                <w:rFonts w:eastAsia="仿宋_GB2312"/>
                <w:bCs/>
              </w:rPr>
            </w:pPr>
            <w:r>
              <w:rPr>
                <w:rFonts w:eastAsia="仿宋_GB2312"/>
                <w:bCs/>
              </w:rPr>
              <w:t>数控机床产业园</w:t>
            </w:r>
          </w:p>
        </w:tc>
        <w:tc>
          <w:tcPr>
            <w:tcW w:w="4678" w:type="dxa"/>
            <w:vAlign w:val="center"/>
          </w:tcPr>
          <w:p w14:paraId="71DF00E0">
            <w:pPr>
              <w:spacing w:line="280" w:lineRule="exact"/>
              <w:rPr>
                <w:rFonts w:eastAsia="仿宋_GB2312"/>
                <w:bCs/>
              </w:rPr>
            </w:pPr>
            <w:r>
              <w:rPr>
                <w:rFonts w:eastAsia="仿宋_GB2312"/>
                <w:bCs/>
              </w:rPr>
              <w:t>数控机床、精密机械、金属冶金</w:t>
            </w:r>
          </w:p>
        </w:tc>
      </w:tr>
      <w:tr w14:paraId="1F85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271" w:type="dxa"/>
            <w:vMerge w:val="continue"/>
            <w:vAlign w:val="center"/>
          </w:tcPr>
          <w:p w14:paraId="22AEE9B9">
            <w:pPr>
              <w:spacing w:line="280" w:lineRule="exact"/>
              <w:jc w:val="center"/>
              <w:rPr>
                <w:rFonts w:eastAsia="仿宋_GB2312"/>
                <w:b/>
              </w:rPr>
            </w:pPr>
          </w:p>
        </w:tc>
        <w:tc>
          <w:tcPr>
            <w:tcW w:w="3402" w:type="dxa"/>
            <w:vAlign w:val="center"/>
          </w:tcPr>
          <w:p w14:paraId="343EAB32">
            <w:pPr>
              <w:spacing w:line="280" w:lineRule="exact"/>
              <w:jc w:val="center"/>
              <w:rPr>
                <w:rFonts w:eastAsia="仿宋_GB2312"/>
                <w:bCs/>
              </w:rPr>
            </w:pPr>
            <w:r>
              <w:rPr>
                <w:rFonts w:eastAsia="仿宋_GB2312"/>
                <w:bCs/>
              </w:rPr>
              <w:t>滇中农业电商冷链产业园区</w:t>
            </w:r>
          </w:p>
        </w:tc>
        <w:tc>
          <w:tcPr>
            <w:tcW w:w="4678" w:type="dxa"/>
            <w:vAlign w:val="center"/>
          </w:tcPr>
          <w:p w14:paraId="40216264">
            <w:pPr>
              <w:spacing w:line="280" w:lineRule="exact"/>
              <w:rPr>
                <w:rFonts w:eastAsia="仿宋_GB2312"/>
                <w:bCs/>
              </w:rPr>
            </w:pPr>
            <w:r>
              <w:rPr>
                <w:rFonts w:eastAsia="仿宋_GB2312"/>
                <w:bCs/>
              </w:rPr>
              <w:t>冷链物流、供应链管理、综合物流</w:t>
            </w:r>
          </w:p>
        </w:tc>
      </w:tr>
      <w:tr w14:paraId="3AFB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271" w:type="dxa"/>
            <w:vMerge w:val="continue"/>
            <w:vAlign w:val="center"/>
          </w:tcPr>
          <w:p w14:paraId="354384FB">
            <w:pPr>
              <w:spacing w:line="280" w:lineRule="exact"/>
              <w:jc w:val="center"/>
              <w:rPr>
                <w:rFonts w:eastAsia="仿宋_GB2312"/>
                <w:b/>
              </w:rPr>
            </w:pPr>
          </w:p>
        </w:tc>
        <w:tc>
          <w:tcPr>
            <w:tcW w:w="3402" w:type="dxa"/>
            <w:vAlign w:val="center"/>
          </w:tcPr>
          <w:p w14:paraId="5CA29859">
            <w:pPr>
              <w:spacing w:line="280" w:lineRule="exact"/>
              <w:jc w:val="center"/>
              <w:rPr>
                <w:rFonts w:eastAsia="仿宋_GB2312"/>
                <w:bCs/>
              </w:rPr>
            </w:pPr>
            <w:r>
              <w:rPr>
                <w:rFonts w:eastAsia="仿宋_GB2312"/>
                <w:bCs/>
              </w:rPr>
              <w:t>滇中（玉溪）粮食物流产业园</w:t>
            </w:r>
          </w:p>
        </w:tc>
        <w:tc>
          <w:tcPr>
            <w:tcW w:w="4678" w:type="dxa"/>
            <w:vAlign w:val="center"/>
          </w:tcPr>
          <w:p w14:paraId="1EFC54C4">
            <w:pPr>
              <w:spacing w:line="280" w:lineRule="exact"/>
              <w:rPr>
                <w:rFonts w:eastAsia="仿宋_GB2312"/>
                <w:bCs/>
              </w:rPr>
            </w:pPr>
            <w:r>
              <w:rPr>
                <w:rFonts w:eastAsia="仿宋_GB2312"/>
                <w:bCs/>
              </w:rPr>
              <w:t>食品加工、物流配送</w:t>
            </w:r>
          </w:p>
        </w:tc>
      </w:tr>
    </w:tbl>
    <w:p w14:paraId="1EE41D5A">
      <w:pPr>
        <w:ind w:left="142" w:leftChars="59"/>
        <w:jc w:val="center"/>
        <w:rPr>
          <w:rFonts w:eastAsia="仿宋_GB2312"/>
          <w:b/>
          <w:szCs w:val="32"/>
        </w:rPr>
      </w:pPr>
      <w:bookmarkStart w:id="77" w:name="_Toc82871406"/>
      <w:r>
        <w:rPr>
          <w:rFonts w:eastAsia="仿宋_GB2312"/>
          <w:b/>
          <w:szCs w:val="32"/>
        </w:rPr>
        <w:drawing>
          <wp:inline distT="0" distB="0" distL="0" distR="0">
            <wp:extent cx="5274310" cy="3514090"/>
            <wp:effectExtent l="12700" t="12700" r="8890" b="16510"/>
            <wp:docPr id="12" name="图片 12"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地图&#10;&#10;描述已自动生成"/>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3514090"/>
                    </a:xfrm>
                    <a:prstGeom prst="rect">
                      <a:avLst/>
                    </a:prstGeom>
                    <a:ln>
                      <a:solidFill>
                        <a:schemeClr val="tx1"/>
                      </a:solidFill>
                    </a:ln>
                  </pic:spPr>
                </pic:pic>
              </a:graphicData>
            </a:graphic>
          </wp:inline>
        </w:drawing>
      </w:r>
    </w:p>
    <w:p w14:paraId="32679BC5">
      <w:pPr>
        <w:spacing w:line="560" w:lineRule="exact"/>
        <w:jc w:val="center"/>
        <w:rPr>
          <w:rFonts w:eastAsia="仿宋_GB2312"/>
          <w:b/>
          <w:szCs w:val="32"/>
        </w:rPr>
      </w:pPr>
      <w:r>
        <w:rPr>
          <w:rFonts w:eastAsia="仿宋_GB2312"/>
          <w:b/>
          <w:szCs w:val="32"/>
        </w:rPr>
        <w:t>图</w:t>
      </w:r>
      <w:r>
        <w:rPr>
          <w:rFonts w:hint="eastAsia" w:eastAsia="仿宋_GB2312"/>
          <w:b/>
          <w:szCs w:val="32"/>
        </w:rPr>
        <w:t>1</w:t>
      </w:r>
      <w:r>
        <w:rPr>
          <w:rFonts w:eastAsia="仿宋_GB2312"/>
          <w:b/>
          <w:szCs w:val="32"/>
        </w:rPr>
        <w:t>1：玉溪高新区“一核两区”布局图</w:t>
      </w:r>
    </w:p>
    <w:p w14:paraId="1D84BE88">
      <w:pPr>
        <w:pStyle w:val="5"/>
        <w:ind w:firstLine="643"/>
        <w:rPr>
          <w:rFonts w:ascii="Times New Roman" w:hAnsi="Times New Roman" w:cs="Times New Roman"/>
        </w:rPr>
      </w:pPr>
      <w:r>
        <w:rPr>
          <w:rFonts w:ascii="Times New Roman" w:hAnsi="Times New Roman" w:cs="Times New Roman"/>
        </w:rPr>
        <w:t>1、核心区</w:t>
      </w:r>
      <w:bookmarkEnd w:id="77"/>
      <w:r>
        <w:rPr>
          <w:rFonts w:ascii="Times New Roman" w:hAnsi="Times New Roman" w:cs="Times New Roman"/>
        </w:rPr>
        <w:t>产业布局</w:t>
      </w:r>
    </w:p>
    <w:p w14:paraId="585357FE">
      <w:pPr>
        <w:pStyle w:val="42"/>
        <w:spacing w:before="97" w:after="97"/>
        <w:ind w:firstLine="643"/>
        <w:rPr>
          <w:rFonts w:ascii="Times New Roman"/>
        </w:rPr>
      </w:pPr>
      <w:r>
        <w:rPr>
          <w:rFonts w:ascii="Times New Roman"/>
          <w:b/>
          <w:bCs/>
        </w:rPr>
        <w:t>核心区打造健康</w:t>
      </w:r>
      <w:r>
        <w:rPr>
          <w:rFonts w:hint="eastAsia" w:ascii="Times New Roman"/>
          <w:b/>
          <w:bCs/>
        </w:rPr>
        <w:t>绿色</w:t>
      </w:r>
      <w:r>
        <w:rPr>
          <w:rFonts w:ascii="Times New Roman"/>
          <w:b/>
          <w:bCs/>
        </w:rPr>
        <w:t>产城融合示范区。</w:t>
      </w:r>
      <w:r>
        <w:rPr>
          <w:rFonts w:ascii="Times New Roman"/>
        </w:rPr>
        <w:t>以高质量产城融合为发展导向，重点发展生物医药产业和数字服务，坚持创新要素集聚，打造产城融合示范区。</w:t>
      </w:r>
      <w:r>
        <w:rPr>
          <w:rFonts w:ascii="Times New Roman"/>
          <w:b/>
          <w:bCs/>
        </w:rPr>
        <w:t>南</w:t>
      </w:r>
      <w:r>
        <w:rPr>
          <w:rFonts w:hint="eastAsia" w:ascii="Times New Roman"/>
          <w:b/>
          <w:bCs/>
        </w:rPr>
        <w:t>片区</w:t>
      </w:r>
      <w:r>
        <w:rPr>
          <w:rFonts w:ascii="Times New Roman"/>
          <w:b/>
          <w:bCs/>
        </w:rPr>
        <w:t>，</w:t>
      </w:r>
      <w:r>
        <w:rPr>
          <w:rFonts w:ascii="Times New Roman"/>
        </w:rPr>
        <w:t>以疫苗</w:t>
      </w:r>
      <w:r>
        <w:rPr>
          <w:rFonts w:ascii="Times New Roman"/>
          <w:bCs/>
        </w:rPr>
        <w:t>产业园为依托，联合</w:t>
      </w:r>
      <w:r>
        <w:rPr>
          <w:rFonts w:ascii="Times New Roman"/>
        </w:rPr>
        <w:t>云科玉溪高新众创空间、启迪众创园、同济大学玉溪智能制造研究院等创新创业平台载体</w:t>
      </w:r>
      <w:r>
        <w:rPr>
          <w:rFonts w:ascii="Times New Roman"/>
          <w:bCs/>
        </w:rPr>
        <w:t>，</w:t>
      </w:r>
      <w:r>
        <w:rPr>
          <w:rFonts w:ascii="Times New Roman"/>
        </w:rPr>
        <w:t>打造健康创新产城融合示范区。</w:t>
      </w:r>
      <w:r>
        <w:rPr>
          <w:rFonts w:ascii="Times New Roman"/>
          <w:bCs/>
        </w:rPr>
        <w:t>重点发展</w:t>
      </w:r>
      <w:r>
        <w:rPr>
          <w:rFonts w:ascii="Times New Roman"/>
        </w:rPr>
        <w:t>生物医药产业，大力培育和引进疫苗、单抗、免疫球蛋白等生物医药企业，积极推进疫苗产业园、生物医药产业园孵化器等项目建设，打造高新区生物医药产业基地。依托红塔集团，重点发展卷烟及配套产业，引导工业企业建立研发中心并加大创新研究投入，加快卷烟烤制工艺升级和生产设备更新，推进卷烟配套产业园的建设。</w:t>
      </w:r>
      <w:r>
        <w:rPr>
          <w:rFonts w:ascii="Times New Roman"/>
          <w:b/>
          <w:bCs/>
        </w:rPr>
        <w:t>九龙</w:t>
      </w:r>
      <w:r>
        <w:rPr>
          <w:rFonts w:hint="eastAsia" w:ascii="Times New Roman"/>
          <w:b/>
          <w:bCs/>
        </w:rPr>
        <w:t>片区</w:t>
      </w:r>
      <w:r>
        <w:rPr>
          <w:rFonts w:ascii="Times New Roman"/>
          <w:b/>
          <w:bCs/>
        </w:rPr>
        <w:t>，</w:t>
      </w:r>
      <w:r>
        <w:rPr>
          <w:rFonts w:ascii="Times New Roman"/>
        </w:rPr>
        <w:t>依托达利、猫哆哩、薯香园等骨干企业，积极引进相关绿色食品产业链上下游，加快推进绿色食品产业园建设。集聚一批专业化孵化载体、高能级研发平台及科技服务机构，承载技术研发、创业孵化、技术转移转化等功能，吸引大型企业总部基地或区域性、功能性总部，完善人才公寓、商务大厦、会展中心、大型购物中心、城市综合体等城市功能和教育、医疗等公共服务配套，构建多层次的生产、生活和公共服务体系。</w:t>
      </w:r>
      <w:r>
        <w:rPr>
          <w:rFonts w:ascii="Times New Roman"/>
          <w:b/>
        </w:rPr>
        <w:t>龙泉</w:t>
      </w:r>
      <w:r>
        <w:rPr>
          <w:rFonts w:hint="eastAsia" w:ascii="Times New Roman"/>
          <w:b/>
        </w:rPr>
        <w:t>片区</w:t>
      </w:r>
      <w:r>
        <w:rPr>
          <w:rFonts w:ascii="Times New Roman"/>
          <w:b/>
        </w:rPr>
        <w:t>，</w:t>
      </w:r>
      <w:r>
        <w:rPr>
          <w:rFonts w:ascii="Times New Roman"/>
        </w:rPr>
        <w:t>贯彻绿色发展理念和要求，重点发展新能源电池领域，依托新能源新材料产业园、新能源产业技术研究院等重大平台载体，打造绿色能源特色制造区，重点聚焦锂电池、新型储能等新能源领域，做大做强锂离子动力电池产业，推进先进的氢燃料电池动力系统、固态电池研发及产业化，促进锂电池正极镍钴锰酸锂、磷酸铁锂等国内龙头企业落户生产，进行锂矿深加工，输出高附加值的成品电池材料，发展电池及材料技术研发、成果转化、检验检测、电池池回收梯次利用及材料再生利用等服务，加快推进片区标准厂房、道路、供电、供水等基础设施建设，完善教育培训、商务商业、生态居住等生产生活配套，打造宜居宜业的生态型园区。</w:t>
      </w:r>
    </w:p>
    <w:p w14:paraId="3F332F9A">
      <w:pPr>
        <w:pStyle w:val="42"/>
        <w:spacing w:before="97" w:after="97" w:line="240" w:lineRule="auto"/>
        <w:ind w:left="-566" w:leftChars="-236" w:firstLine="482"/>
        <w:rPr>
          <w:rFonts w:ascii="Times New Roman"/>
          <w:b/>
          <w:kern w:val="0"/>
          <w:sz w:val="24"/>
          <w:szCs w:val="32"/>
        </w:rPr>
      </w:pPr>
      <w:r>
        <w:rPr>
          <w:rFonts w:ascii="Times New Roman"/>
          <w:b/>
          <w:kern w:val="0"/>
          <w:sz w:val="24"/>
          <w:szCs w:val="32"/>
        </w:rPr>
        <w:drawing>
          <wp:inline distT="0" distB="0" distL="0" distR="0">
            <wp:extent cx="5274310" cy="3669665"/>
            <wp:effectExtent l="0" t="0" r="0" b="635"/>
            <wp:docPr id="2" name="图片 2"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地图&#10;&#10;描述已自动生成"/>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310" cy="3669665"/>
                    </a:xfrm>
                    <a:prstGeom prst="rect">
                      <a:avLst/>
                    </a:prstGeom>
                  </pic:spPr>
                </pic:pic>
              </a:graphicData>
            </a:graphic>
          </wp:inline>
        </w:drawing>
      </w:r>
    </w:p>
    <w:p w14:paraId="203908E8">
      <w:pPr>
        <w:pStyle w:val="42"/>
        <w:spacing w:before="97" w:after="97" w:line="240" w:lineRule="auto"/>
        <w:ind w:firstLine="482"/>
        <w:jc w:val="center"/>
        <w:rPr>
          <w:rFonts w:ascii="Times New Roman"/>
          <w:b/>
          <w:kern w:val="0"/>
          <w:sz w:val="24"/>
          <w:szCs w:val="32"/>
        </w:rPr>
      </w:pPr>
      <w:r>
        <w:rPr>
          <w:rFonts w:ascii="Times New Roman"/>
          <w:b/>
          <w:kern w:val="0"/>
          <w:sz w:val="24"/>
          <w:szCs w:val="32"/>
        </w:rPr>
        <w:t>图12：核心区产业布局图</w:t>
      </w:r>
      <w:bookmarkStart w:id="78" w:name="_Toc82871407"/>
    </w:p>
    <w:p w14:paraId="4DB02082">
      <w:pPr>
        <w:pStyle w:val="5"/>
        <w:ind w:firstLine="643"/>
        <w:rPr>
          <w:rFonts w:ascii="Times New Roman" w:hAnsi="Times New Roman" w:cs="Times New Roman"/>
        </w:rPr>
      </w:pPr>
      <w:r>
        <w:rPr>
          <w:rFonts w:ascii="Times New Roman" w:hAnsi="Times New Roman" w:cs="Times New Roman"/>
        </w:rPr>
        <w:t>2、红塔片区</w:t>
      </w:r>
      <w:bookmarkEnd w:id="78"/>
      <w:r>
        <w:rPr>
          <w:rFonts w:ascii="Times New Roman" w:hAnsi="Times New Roman" w:cs="Times New Roman"/>
        </w:rPr>
        <w:t>产业布局</w:t>
      </w:r>
    </w:p>
    <w:p w14:paraId="6AA69A6C">
      <w:pPr>
        <w:pStyle w:val="42"/>
        <w:spacing w:before="97" w:after="97"/>
        <w:ind w:firstLine="643"/>
        <w:rPr>
          <w:rFonts w:ascii="Times New Roman"/>
        </w:rPr>
      </w:pPr>
      <w:r>
        <w:rPr>
          <w:rFonts w:ascii="Times New Roman"/>
          <w:b/>
        </w:rPr>
        <w:t>红塔片区打造材料制造转型示范区。</w:t>
      </w:r>
      <w:r>
        <w:rPr>
          <w:rFonts w:ascii="Times New Roman"/>
        </w:rPr>
        <w:t>围绕高质量发展目标，坚持卷烟配套、装备制造等产业改造升级和新材料、生物医药等产业培育壮大“双轮驱动”，加快新旧动能转换，打造转型提升示范区。</w:t>
      </w:r>
      <w:r>
        <w:rPr>
          <w:rFonts w:ascii="Times New Roman"/>
          <w:b/>
          <w:bCs/>
        </w:rPr>
        <w:t>青龙山地块，</w:t>
      </w:r>
      <w:r>
        <w:rPr>
          <w:rFonts w:ascii="Times New Roman"/>
        </w:rPr>
        <w:t>依托新材料产业园，重点发展光电材料环节。以蓝晶科技为依托，大力培育和引进光电材料相关企业，如芯片制造、封装等下游环节，推进电子信息产业园的建设。</w:t>
      </w:r>
      <w:r>
        <w:rPr>
          <w:rFonts w:ascii="Times New Roman"/>
          <w:b/>
          <w:bCs/>
        </w:rPr>
        <w:t>卧牛山地块，</w:t>
      </w:r>
      <w:r>
        <w:rPr>
          <w:rFonts w:ascii="Times New Roman"/>
        </w:rPr>
        <w:t>重点发展钢铁交易物流中心。以玉昆集团为依托，集聚线材、型材、板材、管材、特种钢、异型钢等金属制品加工企业，构建仓储、经营区、加工、分拨、运输全覆盖的交易物流中心，打造辐射全省的钢铁加工交易物流产业园。</w:t>
      </w:r>
      <w:r>
        <w:rPr>
          <w:rFonts w:ascii="Times New Roman"/>
          <w:b/>
          <w:bCs/>
        </w:rPr>
        <w:t>莲池地块，</w:t>
      </w:r>
      <w:r>
        <w:rPr>
          <w:rFonts w:ascii="Times New Roman"/>
        </w:rPr>
        <w:t>重点发展现代中药领域。以维和、赛灵为依托，围绕呼吸系统类、消化系统类、抗感染类、心脑血管类、儿童类、老年类等领域，大力发展中成药、民族药，打造生物医药特色产品，积极推动生物医药大健康产业园的建设。</w:t>
      </w:r>
      <w:r>
        <w:rPr>
          <w:rFonts w:ascii="Times New Roman"/>
          <w:b/>
          <w:bCs/>
        </w:rPr>
        <w:t>观音山地块，</w:t>
      </w:r>
      <w:r>
        <w:rPr>
          <w:rFonts w:ascii="Times New Roman"/>
        </w:rPr>
        <w:t>重点发展产城融合示范区。紧抓玉溪市作为国家级产城融合示范区的重大机遇，围绕人居需求进行深度挖掘和精准服务，加快建设小马国炬智慧供应链产业园，加快从单一的生产型园区经济向综合型城市经济转型，实现“人-城-产”协调发展。</w:t>
      </w:r>
      <w:r>
        <w:rPr>
          <w:rFonts w:ascii="Times New Roman"/>
          <w:b/>
          <w:bCs/>
        </w:rPr>
        <w:t>大营街地块，</w:t>
      </w:r>
      <w:r>
        <w:rPr>
          <w:rFonts w:ascii="Times New Roman"/>
        </w:rPr>
        <w:t>重点布局先进电气设备制造产业。围绕省内、南亚及东南亚国家的市场需求，大力发展农机装备、电气设备等方面的技术创新，积极推进先进装备制造产业园落地。</w:t>
      </w:r>
    </w:p>
    <w:p w14:paraId="6555C809">
      <w:pPr>
        <w:jc w:val="center"/>
        <w:rPr>
          <w:rFonts w:eastAsia="仿宋_GB2312"/>
          <w:b/>
          <w:szCs w:val="32"/>
        </w:rPr>
      </w:pPr>
      <w:r>
        <w:rPr>
          <w:rFonts w:eastAsia="仿宋_GB2312"/>
          <w:b/>
          <w:szCs w:val="32"/>
        </w:rPr>
        <w:drawing>
          <wp:inline distT="0" distB="0" distL="0" distR="0">
            <wp:extent cx="5274310" cy="437451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4374515"/>
                    </a:xfrm>
                    <a:prstGeom prst="rect">
                      <a:avLst/>
                    </a:prstGeom>
                  </pic:spPr>
                </pic:pic>
              </a:graphicData>
            </a:graphic>
          </wp:inline>
        </w:drawing>
      </w:r>
    </w:p>
    <w:p w14:paraId="6AD491D4">
      <w:pPr>
        <w:spacing w:line="560" w:lineRule="exact"/>
        <w:jc w:val="center"/>
      </w:pPr>
      <w:r>
        <w:rPr>
          <w:rFonts w:eastAsia="仿宋_GB2312"/>
          <w:b/>
          <w:szCs w:val="32"/>
        </w:rPr>
        <w:t>图13：红塔片区产业布局图</w:t>
      </w:r>
      <w:bookmarkStart w:id="79" w:name="_Toc82871408"/>
    </w:p>
    <w:p w14:paraId="350CA915">
      <w:pPr>
        <w:pStyle w:val="5"/>
        <w:ind w:firstLine="643"/>
        <w:rPr>
          <w:rFonts w:ascii="Times New Roman" w:hAnsi="Times New Roman" w:cs="Times New Roman"/>
        </w:rPr>
      </w:pPr>
      <w:r>
        <w:rPr>
          <w:rFonts w:ascii="Times New Roman" w:hAnsi="Times New Roman" w:cs="Times New Roman"/>
        </w:rPr>
        <w:t>3、研和片区</w:t>
      </w:r>
      <w:bookmarkEnd w:id="79"/>
      <w:r>
        <w:rPr>
          <w:rFonts w:ascii="Times New Roman" w:hAnsi="Times New Roman" w:cs="Times New Roman"/>
        </w:rPr>
        <w:t>产业布局</w:t>
      </w:r>
    </w:p>
    <w:p w14:paraId="5ACF4E81">
      <w:pPr>
        <w:pStyle w:val="42"/>
        <w:spacing w:before="97" w:after="97"/>
        <w:ind w:firstLine="643"/>
        <w:rPr>
          <w:rFonts w:ascii="Times New Roman"/>
          <w:b/>
          <w:szCs w:val="32"/>
          <w:highlight w:val="yellow"/>
        </w:rPr>
      </w:pPr>
      <w:r>
        <w:rPr>
          <w:rFonts w:ascii="Times New Roman"/>
          <w:b/>
          <w:bCs/>
        </w:rPr>
        <w:t>研和片区打造开放高端制造区。</w:t>
      </w:r>
      <w:r>
        <w:rPr>
          <w:rFonts w:ascii="Times New Roman"/>
        </w:rPr>
        <w:t>重点发展数控机床制造、金属冶炼及压延加工、现代物流等领域，形成组团特色，打造打造全国知名的“专、精、特、新”特色产业聚集区。</w:t>
      </w:r>
      <w:r>
        <w:rPr>
          <w:rFonts w:ascii="Times New Roman"/>
          <w:b/>
          <w:bCs/>
        </w:rPr>
        <w:t>研和地块一，</w:t>
      </w:r>
      <w:r>
        <w:rPr>
          <w:rFonts w:ascii="Times New Roman"/>
        </w:rPr>
        <w:t>以中国西南·玉溪国际物流港为基础,重点发展仓储物流、保税物流等领域，建设多式联运区、农产品加工区、仓储交易区、商贸物流区等核心功能区，完善实体商贸、商品交易所及电子商务服务、物流服务、金融服务等配套，打造辐射南亚东南亚的区域性国际物流枢纽。</w:t>
      </w:r>
      <w:r>
        <w:rPr>
          <w:rFonts w:ascii="Times New Roman"/>
          <w:b/>
          <w:bCs/>
        </w:rPr>
        <w:t>研和地块二，</w:t>
      </w:r>
      <w:r>
        <w:rPr>
          <w:rFonts w:ascii="Times New Roman"/>
        </w:rPr>
        <w:t>以钢制品深加工产业园为依托,利用优势结合废旧金属材料回收处置和钢铁、铸造企业现状,进一步整合资源,将研和片区现有钢材进行精深加工,形成完整可持续发展的钢铁及压延加工产业链。重点发展汽车轮毂、车辆五金等的表面处理以及钢铁冶金、金属制品加工等。</w:t>
      </w:r>
      <w:r>
        <w:rPr>
          <w:rFonts w:ascii="Times New Roman"/>
          <w:b/>
          <w:bCs/>
        </w:rPr>
        <w:t>研和地块三，</w:t>
      </w:r>
      <w:r>
        <w:rPr>
          <w:rFonts w:ascii="Times New Roman"/>
        </w:rPr>
        <w:t>以数控机床产业园为依托，重点发展数控机床、精密机械等，形成从金属冶炼到铸造的完整产业链。引进科技型配套企业,推动数控机床向数字化转型,推进建设转型试点示范,打造全省数字化示范园区、全省一流的铸造产业基地。</w:t>
      </w:r>
      <w:r>
        <w:rPr>
          <w:rFonts w:ascii="Times New Roman"/>
          <w:b/>
          <w:bCs/>
        </w:rPr>
        <w:t>双小地块，</w:t>
      </w:r>
      <w:r>
        <w:rPr>
          <w:rFonts w:ascii="Times New Roman"/>
        </w:rPr>
        <w:t>依托本地零部件基础，重点发展金属冶炼及压延加工，铸造及装备制造，与C组团协同互补发展，为其发展数控机床产业提供坚实支撑。</w:t>
      </w:r>
    </w:p>
    <w:p w14:paraId="2B5A00B0">
      <w:pPr>
        <w:jc w:val="center"/>
        <w:rPr>
          <w:rFonts w:eastAsia="仿宋_GB2312"/>
          <w:b/>
          <w:szCs w:val="32"/>
        </w:rPr>
      </w:pPr>
      <w:r>
        <w:rPr>
          <w:rFonts w:eastAsia="仿宋_GB2312"/>
          <w:b/>
          <w:szCs w:val="32"/>
        </w:rPr>
        <w:drawing>
          <wp:inline distT="0" distB="0" distL="0" distR="0">
            <wp:extent cx="5274310" cy="3685540"/>
            <wp:effectExtent l="0" t="0" r="0" b="0"/>
            <wp:docPr id="9" name="图片 9" descr="图片包含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包含 网站&#10;&#10;描述已自动生成"/>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685540"/>
                    </a:xfrm>
                    <a:prstGeom prst="rect">
                      <a:avLst/>
                    </a:prstGeom>
                  </pic:spPr>
                </pic:pic>
              </a:graphicData>
            </a:graphic>
          </wp:inline>
        </w:drawing>
      </w:r>
    </w:p>
    <w:p w14:paraId="32C811CC">
      <w:pPr>
        <w:spacing w:line="560" w:lineRule="exact"/>
        <w:jc w:val="center"/>
        <w:rPr>
          <w:rFonts w:eastAsia="仿宋_GB2312"/>
          <w:b/>
          <w:szCs w:val="32"/>
        </w:rPr>
      </w:pPr>
      <w:r>
        <w:rPr>
          <w:rFonts w:eastAsia="仿宋_GB2312"/>
          <w:b/>
          <w:szCs w:val="32"/>
        </w:rPr>
        <w:t>图14：研和片区产业布局图</w:t>
      </w:r>
    </w:p>
    <w:p w14:paraId="1B48EB76">
      <w:pPr>
        <w:spacing w:line="560" w:lineRule="exact"/>
        <w:jc w:val="center"/>
        <w:rPr>
          <w:rFonts w:eastAsia="仿宋_GB2312"/>
          <w:b/>
          <w:szCs w:val="32"/>
        </w:rPr>
      </w:pPr>
    </w:p>
    <w:p w14:paraId="53125182">
      <w:pPr>
        <w:pStyle w:val="3"/>
        <w:spacing w:before="163" w:after="163"/>
        <w:ind w:firstLine="643"/>
        <w:rPr>
          <w:rFonts w:ascii="Times New Roman" w:hAnsi="Times New Roman" w:cs="Times New Roman"/>
        </w:rPr>
      </w:pPr>
      <w:bookmarkStart w:id="80" w:name="_Toc84955757"/>
      <w:bookmarkEnd w:id="80"/>
      <w:bookmarkStart w:id="81" w:name="_Toc106901690"/>
      <w:bookmarkStart w:id="82" w:name="_Toc82871412"/>
      <w:bookmarkStart w:id="83" w:name="_Toc82871409"/>
      <w:r>
        <w:rPr>
          <w:rFonts w:ascii="Times New Roman" w:hAnsi="Times New Roman" w:cs="Times New Roman"/>
        </w:rPr>
        <w:t>（三）完善企业</w:t>
      </w:r>
      <w:r>
        <w:rPr>
          <w:rFonts w:hint="eastAsia" w:ascii="Times New Roman" w:hAnsi="Times New Roman" w:cs="Times New Roman"/>
        </w:rPr>
        <w:t>梯度</w:t>
      </w:r>
      <w:r>
        <w:rPr>
          <w:rFonts w:ascii="Times New Roman" w:hAnsi="Times New Roman" w:cs="Times New Roman"/>
        </w:rPr>
        <w:t>培育体系</w:t>
      </w:r>
      <w:bookmarkEnd w:id="81"/>
      <w:bookmarkEnd w:id="82"/>
    </w:p>
    <w:p w14:paraId="79A046FE">
      <w:pPr>
        <w:pStyle w:val="5"/>
        <w:ind w:firstLine="643"/>
        <w:rPr>
          <w:rFonts w:ascii="Times New Roman" w:hAnsi="Times New Roman" w:cs="Times New Roman"/>
        </w:rPr>
      </w:pPr>
      <w:r>
        <w:rPr>
          <w:rFonts w:ascii="Times New Roman" w:hAnsi="Times New Roman" w:cs="Times New Roman"/>
        </w:rPr>
        <w:t>1、壮大科技型中小企业群体</w:t>
      </w:r>
    </w:p>
    <w:p w14:paraId="2C038C0E">
      <w:pPr>
        <w:pStyle w:val="42"/>
        <w:spacing w:before="97" w:after="97"/>
        <w:ind w:firstLine="640"/>
        <w:rPr>
          <w:rFonts w:ascii="Times New Roman"/>
        </w:rPr>
      </w:pPr>
      <w:r>
        <w:rPr>
          <w:rFonts w:ascii="Times New Roman"/>
        </w:rPr>
        <w:t>建立高新区科技型中小企业后备数据库，加强对入库科技型企业的扶持力度，在项目申报、专家帮扶、投资跟进、平台支撑、政府采购等方面给予支持，积极组织科技型企业申报科技型中小企业，推动更多科技型中小企业向高新技术企业和专精特新</w:t>
      </w:r>
      <w:r>
        <w:rPr>
          <w:rFonts w:hint="eastAsia" w:ascii="Times New Roman"/>
          <w:lang w:eastAsia="zh-CN"/>
        </w:rPr>
        <w:t>“</w:t>
      </w:r>
      <w:r>
        <w:rPr>
          <w:rFonts w:ascii="Times New Roman"/>
        </w:rPr>
        <w:t>小巨人</w:t>
      </w:r>
      <w:r>
        <w:rPr>
          <w:rFonts w:hint="eastAsia" w:ascii="Times New Roman"/>
          <w:lang w:eastAsia="zh-CN"/>
        </w:rPr>
        <w:t>”</w:t>
      </w:r>
      <w:r>
        <w:rPr>
          <w:rFonts w:ascii="Times New Roman"/>
        </w:rPr>
        <w:t>企业发展。</w:t>
      </w:r>
    </w:p>
    <w:p w14:paraId="0FE9C4FD">
      <w:pPr>
        <w:pStyle w:val="5"/>
        <w:ind w:firstLine="643"/>
        <w:rPr>
          <w:rFonts w:ascii="Times New Roman" w:hAnsi="Times New Roman" w:cs="Times New Roman"/>
        </w:rPr>
      </w:pPr>
      <w:r>
        <w:rPr>
          <w:rFonts w:ascii="Times New Roman" w:hAnsi="Times New Roman" w:cs="Times New Roman"/>
        </w:rPr>
        <w:t>2、大力培育高新技术企业</w:t>
      </w:r>
    </w:p>
    <w:p w14:paraId="137510EF">
      <w:pPr>
        <w:pStyle w:val="42"/>
        <w:spacing w:before="97" w:after="97"/>
        <w:ind w:firstLine="640"/>
        <w:rPr>
          <w:rFonts w:ascii="Times New Roman"/>
        </w:rPr>
      </w:pPr>
      <w:r>
        <w:rPr>
          <w:rFonts w:ascii="Times New Roman"/>
        </w:rPr>
        <w:t>建立高新区高新技术企业后备资源库，遴选一批有基础、有潜力的科技型企业进行重点培育。完善高新技术企业培育政策体系，实施高新技术企业培育计划，对高新技术企业后备资源库的企业予以研发资助，对新认定的高新技术企业予以奖励。支持高企开拓新市场，面向高企创新产品，探索实施政府非招标订购制度，加快高企新技术新产品的应用推广。制定创新产品和服务目录，对采购目录内产品和服务的市场主体予以一定比例资金支持。</w:t>
      </w:r>
    </w:p>
    <w:p w14:paraId="27E8683C">
      <w:pPr>
        <w:pStyle w:val="5"/>
        <w:ind w:firstLine="643"/>
        <w:rPr>
          <w:rFonts w:ascii="Times New Roman" w:hAnsi="Times New Roman" w:cs="Times New Roman"/>
        </w:rPr>
      </w:pPr>
      <w:r>
        <w:rPr>
          <w:rFonts w:ascii="Times New Roman" w:hAnsi="Times New Roman" w:cs="Times New Roman"/>
        </w:rPr>
        <w:t>3、着力培育瞪羚独角兽企业</w:t>
      </w:r>
    </w:p>
    <w:p w14:paraId="69E2B418">
      <w:pPr>
        <w:pStyle w:val="42"/>
        <w:spacing w:before="97" w:after="97"/>
        <w:ind w:firstLine="640"/>
        <w:rPr>
          <w:rFonts w:ascii="Times New Roman"/>
        </w:rPr>
      </w:pPr>
      <w:r>
        <w:rPr>
          <w:rFonts w:ascii="Times New Roman"/>
        </w:rPr>
        <w:t>联合第三方专业机构建立高新区瞪羚企业筛选、培育和宣传机制，建立潜在瞪羚培育档案库，加大瞪羚企业扶持力度。对入库企业，在拓展发展空间、提高融资能力、强化创新能力、提升管理水平、引进培养人才等服务方面给予优先支持。链接引进“北上杭深”瞪羚、独角兽企业，制定个性化支持方案，通过多渠道推送、宣传推广，吸引社会资源扶持瞪羚、独角兽企业成长。</w:t>
      </w:r>
    </w:p>
    <w:p w14:paraId="23D1161F">
      <w:pPr>
        <w:pStyle w:val="3"/>
        <w:spacing w:before="163" w:after="163"/>
        <w:ind w:left="643" w:firstLine="0" w:firstLineChars="0"/>
        <w:rPr>
          <w:rFonts w:ascii="Times New Roman" w:hAnsi="Times New Roman" w:cs="Times New Roman"/>
        </w:rPr>
      </w:pPr>
      <w:bookmarkStart w:id="84" w:name="_Toc106901691"/>
      <w:r>
        <w:rPr>
          <w:rFonts w:ascii="Times New Roman" w:hAnsi="Times New Roman" w:cs="Times New Roman"/>
        </w:rPr>
        <w:t>（四）强化产业人才队伍建设</w:t>
      </w:r>
      <w:bookmarkEnd w:id="84"/>
    </w:p>
    <w:p w14:paraId="64D48D9C">
      <w:pPr>
        <w:pStyle w:val="5"/>
        <w:ind w:firstLine="643"/>
        <w:rPr>
          <w:rFonts w:ascii="Times New Roman" w:hAnsi="Times New Roman" w:cs="Times New Roman"/>
        </w:rPr>
      </w:pPr>
      <w:r>
        <w:rPr>
          <w:rFonts w:ascii="Times New Roman" w:hAnsi="Times New Roman" w:cs="Times New Roman"/>
        </w:rPr>
        <w:t>1、积极开展柔性引才</w:t>
      </w:r>
    </w:p>
    <w:p w14:paraId="1CCAB738">
      <w:pPr>
        <w:pStyle w:val="42"/>
        <w:spacing w:before="97" w:after="97"/>
        <w:ind w:firstLine="640"/>
        <w:rPr>
          <w:rFonts w:ascii="Times New Roman"/>
        </w:rPr>
      </w:pPr>
      <w:r>
        <w:rPr>
          <w:rFonts w:ascii="Times New Roman"/>
        </w:rPr>
        <w:t>依托云南省“云岭英才计划”、玉溪市“兴玉英才计划”等政策，研究制定玉溪高新区柔性引进高层次急需紧缺人才办法，采取挂职、兼职、担任荣誉职务等方式，集中引进一批高层次紧缺人才。依托各企业的院士工作站，组织开展“院士专家行”等活动，通过项目合作、“候鸟工程”、“季度专家”、“科技特派员”等方式，柔性引进科技领军人才、高层次创新创业团队。</w:t>
      </w:r>
    </w:p>
    <w:p w14:paraId="50AF3562">
      <w:pPr>
        <w:pStyle w:val="5"/>
        <w:ind w:firstLine="643"/>
        <w:rPr>
          <w:rFonts w:ascii="Times New Roman" w:hAnsi="Times New Roman" w:cs="Times New Roman"/>
        </w:rPr>
      </w:pPr>
      <w:r>
        <w:rPr>
          <w:rFonts w:ascii="Times New Roman" w:hAnsi="Times New Roman" w:cs="Times New Roman"/>
        </w:rPr>
        <w:t>2、大力培育高技能人才</w:t>
      </w:r>
    </w:p>
    <w:p w14:paraId="4EBC7B84">
      <w:pPr>
        <w:pStyle w:val="42"/>
        <w:spacing w:before="97" w:after="97"/>
        <w:ind w:firstLine="640"/>
        <w:rPr>
          <w:rFonts w:ascii="Times New Roman"/>
        </w:rPr>
      </w:pPr>
      <w:r>
        <w:rPr>
          <w:rFonts w:ascii="Times New Roman"/>
        </w:rPr>
        <w:t>坚持产业人才需求导向，鼓励区内企业与玉溪师范学院、玉溪技师学院、玉溪互联网大学、玉溪互联网大学网络安全学院等开展合作，积极探索产教融合、校企合作、委托培养、工学一体等技能型人才培养模式。通过组织职业技能竞赛、设立工匠大师奖等形式，在各行业树立一批应用型和技能型人才典型，营造尊重劳动、崇尚技能的氛围。</w:t>
      </w:r>
    </w:p>
    <w:p w14:paraId="4D9FB982">
      <w:pPr>
        <w:pStyle w:val="5"/>
        <w:ind w:firstLine="643"/>
        <w:rPr>
          <w:rFonts w:ascii="Times New Roman" w:hAnsi="Times New Roman" w:cs="Times New Roman"/>
        </w:rPr>
      </w:pPr>
      <w:r>
        <w:rPr>
          <w:rFonts w:ascii="Times New Roman" w:hAnsi="Times New Roman" w:cs="Times New Roman"/>
        </w:rPr>
        <w:t>3、打造高水平企业家队伍</w:t>
      </w:r>
    </w:p>
    <w:p w14:paraId="473F82F9">
      <w:pPr>
        <w:pStyle w:val="42"/>
        <w:spacing w:before="97" w:after="97"/>
        <w:ind w:firstLine="640"/>
        <w:rPr>
          <w:rFonts w:ascii="Times New Roman"/>
        </w:rPr>
      </w:pPr>
      <w:r>
        <w:rPr>
          <w:rFonts w:ascii="Times New Roman"/>
        </w:rPr>
        <w:t>开展“育商”活动，支持成立企业家俱乐部，积极开展企业创新管理、企业信息化战略、企业危机管理、资本运作、产权保护等前瞻性和实用性相结合的培训活动，加速培育富有洞见力和领导力的企业家。加强新生代企业家联谊组织建设，引导新生代企业家继承发扬老一代企业家的创业精神和优良传统，艰苦奋斗、坚守实业。塑造“亲商”氛围，组织成立企业家顾问委员会，争取更多企业家为园区发展建言献策。</w:t>
      </w:r>
    </w:p>
    <w:p w14:paraId="0BDB99C4">
      <w:pPr>
        <w:pStyle w:val="3"/>
        <w:spacing w:before="163" w:after="163"/>
        <w:ind w:left="643" w:firstLine="0" w:firstLineChars="0"/>
        <w:rPr>
          <w:rFonts w:ascii="Times New Roman" w:hAnsi="Times New Roman" w:cs="Times New Roman"/>
        </w:rPr>
      </w:pPr>
      <w:bookmarkStart w:id="85" w:name="_Toc82871413"/>
      <w:bookmarkStart w:id="86" w:name="_Toc106901692"/>
      <w:r>
        <w:rPr>
          <w:rFonts w:ascii="Times New Roman" w:hAnsi="Times New Roman" w:cs="Times New Roman"/>
        </w:rPr>
        <w:t>（五）夯实招商工作</w:t>
      </w:r>
      <w:bookmarkEnd w:id="85"/>
      <w:r>
        <w:rPr>
          <w:rFonts w:ascii="Times New Roman" w:hAnsi="Times New Roman" w:cs="Times New Roman"/>
        </w:rPr>
        <w:t>根基</w:t>
      </w:r>
      <w:bookmarkEnd w:id="86"/>
    </w:p>
    <w:p w14:paraId="358E9C55">
      <w:pPr>
        <w:pStyle w:val="5"/>
        <w:ind w:firstLine="643"/>
        <w:rPr>
          <w:rFonts w:ascii="Times New Roman" w:hAnsi="Times New Roman" w:cs="Times New Roman"/>
        </w:rPr>
      </w:pPr>
      <w:r>
        <w:rPr>
          <w:rFonts w:ascii="Times New Roman" w:hAnsi="Times New Roman" w:cs="Times New Roman"/>
        </w:rPr>
        <w:t>1、强化招商工作顶层设计</w:t>
      </w:r>
    </w:p>
    <w:p w14:paraId="5BCF76B7">
      <w:pPr>
        <w:pStyle w:val="42"/>
        <w:spacing w:before="97" w:after="97"/>
        <w:ind w:firstLine="640"/>
        <w:rPr>
          <w:rFonts w:ascii="Times New Roman"/>
        </w:rPr>
      </w:pPr>
      <w:r>
        <w:rPr>
          <w:rFonts w:ascii="Times New Roman"/>
        </w:rPr>
        <w:t>统筹全区产业招商工作，做好全区招商顶层设计，明确招商工作的总体思路与招商重点。围绕先进装备、生物医药、新能源电池及材料等产业发展，梳理产业上游关键环节的招商目标企业，开展有针对性的精准招商。搭建高新区招商项目库，以招商项目库为依托，动态更新搜集生物医药、新能源电池及材料等重点领域目标引进企业资源。</w:t>
      </w:r>
    </w:p>
    <w:p w14:paraId="29F01CDE">
      <w:pPr>
        <w:pStyle w:val="5"/>
        <w:ind w:firstLine="643"/>
        <w:rPr>
          <w:rFonts w:ascii="Times New Roman" w:hAnsi="Times New Roman" w:cs="Times New Roman"/>
        </w:rPr>
      </w:pPr>
      <w:r>
        <w:rPr>
          <w:rFonts w:ascii="Times New Roman" w:hAnsi="Times New Roman" w:cs="Times New Roman"/>
        </w:rPr>
        <w:t>2、探索新经济招商方式</w:t>
      </w:r>
    </w:p>
    <w:p w14:paraId="355F429D">
      <w:pPr>
        <w:pStyle w:val="42"/>
        <w:spacing w:before="97" w:after="97"/>
        <w:ind w:firstLine="640"/>
        <w:rPr>
          <w:rFonts w:ascii="Times New Roman"/>
          <w:szCs w:val="32"/>
        </w:rPr>
      </w:pPr>
      <w:r>
        <w:rPr>
          <w:rFonts w:ascii="Times New Roman"/>
        </w:rPr>
        <w:t>创新招商思路，大力开展产业链招商、平台招商、新业态招商、科技招商、基金招商等新经济招商，提高招商成效。实施产业链招商，围绕重点产业，针对产业链强链、补链、延链环节，通过以商招商、产业推介会、新媒体招商、链接重点行业协会等多种方式，引进一批关键环节领先企业和产业链上下游配套企业，加强产业集群化发展。</w:t>
      </w:r>
      <w:r>
        <w:rPr>
          <w:rFonts w:ascii="Times New Roman"/>
          <w:szCs w:val="32"/>
        </w:rPr>
        <w:t>积极链接中关村、张江、深圳等创新高地的孵化器、加速器等创业孵化载体，引进一批孵化毕业企业来高新区进行规模化生产，引入一批新业态企业。</w:t>
      </w:r>
    </w:p>
    <w:p w14:paraId="7144F1F3">
      <w:pPr>
        <w:pStyle w:val="5"/>
        <w:ind w:firstLine="643"/>
        <w:rPr>
          <w:rFonts w:ascii="Times New Roman" w:hAnsi="Times New Roman" w:cs="Times New Roman"/>
        </w:rPr>
      </w:pPr>
      <w:r>
        <w:rPr>
          <w:rFonts w:ascii="Times New Roman" w:hAnsi="Times New Roman" w:cs="Times New Roman"/>
        </w:rPr>
        <w:t>3、积极链接国内产业高地</w:t>
      </w:r>
    </w:p>
    <w:p w14:paraId="4F74FA7D">
      <w:pPr>
        <w:pStyle w:val="42"/>
        <w:spacing w:before="97" w:after="97"/>
        <w:ind w:firstLine="640"/>
        <w:rPr>
          <w:rFonts w:ascii="Times New Roman"/>
        </w:rPr>
      </w:pPr>
      <w:r>
        <w:rPr>
          <w:rFonts w:ascii="Times New Roman"/>
        </w:rPr>
        <w:t>把握长三角、珠三角等经济发达地区产业转移新动向，重点关注生物医药及医疗器械、先进装备制造、新能源新材料等领域的龙头企业，制订有针对性的招商方案，组建高素质、专业化的招商队伍，开展“一对一”上门招商。积极承接北京中关村、上海张江、武汉东湖等国内一流园区的产业辐射，以跨区域共建园区为主要抓手，加强主导产业资源的靶向链接，着力吸引瞪羚、独角兽等高成长企业落户高新区。</w:t>
      </w:r>
    </w:p>
    <w:p w14:paraId="17623E3B">
      <w:pPr>
        <w:pStyle w:val="3"/>
        <w:spacing w:before="163" w:after="163"/>
        <w:ind w:firstLine="643"/>
        <w:rPr>
          <w:rFonts w:ascii="Times New Roman" w:hAnsi="Times New Roman" w:cs="Times New Roman"/>
        </w:rPr>
      </w:pPr>
      <w:bookmarkStart w:id="87" w:name="_Toc106901693"/>
      <w:r>
        <w:rPr>
          <w:rFonts w:ascii="Times New Roman" w:hAnsi="Times New Roman" w:cs="Times New Roman"/>
        </w:rPr>
        <w:t>（六）建设数字绿色园区</w:t>
      </w:r>
      <w:bookmarkEnd w:id="87"/>
    </w:p>
    <w:p w14:paraId="70C22330">
      <w:pPr>
        <w:pStyle w:val="5"/>
        <w:ind w:firstLine="643"/>
        <w:rPr>
          <w:rFonts w:ascii="Times New Roman" w:hAnsi="Times New Roman" w:cs="Times New Roman"/>
        </w:rPr>
      </w:pPr>
      <w:r>
        <w:rPr>
          <w:rFonts w:ascii="Times New Roman" w:hAnsi="Times New Roman" w:cs="Times New Roman"/>
        </w:rPr>
        <w:t>1、加快推进新型基础设施建设</w:t>
      </w:r>
    </w:p>
    <w:p w14:paraId="21B5EF13">
      <w:pPr>
        <w:pStyle w:val="42"/>
        <w:spacing w:before="97" w:after="97"/>
        <w:ind w:firstLine="640"/>
        <w:rPr>
          <w:rFonts w:ascii="Times New Roman"/>
        </w:rPr>
      </w:pPr>
      <w:r>
        <w:rPr>
          <w:rFonts w:ascii="Times New Roman"/>
          <w:bCs/>
        </w:rPr>
        <w:t>全力提升高新区信息基础设施，逐步在各片区部署5G通信网络、物联网终端和智能化传感器，拓展延伸网络覆盖广度和深度。</w:t>
      </w:r>
      <w:r>
        <w:rPr>
          <w:rFonts w:ascii="Times New Roman"/>
        </w:rPr>
        <w:t>积极推进高新区骨干网络扩容和IPv6升级，进一步提高网络容量、通信质量和传输速率。充分发挥已有数据中心作用，构建高效协同的数据处理体系。围绕城市桥梁、管廊管线、道路交通、公共消防、停车场、充电桩等设施，部署实施一批智能化改造项目，</w:t>
      </w:r>
      <w:r>
        <w:rPr>
          <w:rFonts w:ascii="Times New Roman"/>
          <w:bCs/>
        </w:rPr>
        <w:t>加快融合基础设施建设</w:t>
      </w:r>
      <w:r>
        <w:rPr>
          <w:rFonts w:ascii="Times New Roman"/>
        </w:rPr>
        <w:t>。</w:t>
      </w:r>
    </w:p>
    <w:p w14:paraId="0413EDC5">
      <w:pPr>
        <w:pStyle w:val="5"/>
        <w:ind w:firstLine="643"/>
        <w:rPr>
          <w:rFonts w:ascii="Times New Roman" w:hAnsi="Times New Roman" w:cs="Times New Roman"/>
        </w:rPr>
      </w:pPr>
      <w:r>
        <w:rPr>
          <w:rFonts w:ascii="Times New Roman" w:hAnsi="Times New Roman" w:cs="Times New Roman"/>
        </w:rPr>
        <w:t>2、加快建设绿色生态园区</w:t>
      </w:r>
      <w:bookmarkStart w:id="88" w:name="_Hlk43858313"/>
    </w:p>
    <w:p w14:paraId="11F2F110">
      <w:pPr>
        <w:pStyle w:val="42"/>
        <w:spacing w:before="97" w:after="97"/>
        <w:ind w:firstLine="640"/>
        <w:rPr>
          <w:rFonts w:ascii="Times New Roman"/>
        </w:rPr>
      </w:pPr>
      <w:r>
        <w:rPr>
          <w:rFonts w:ascii="Times New Roman"/>
          <w:bCs/>
        </w:rPr>
        <w:t>引导企业开展绿色清洁生产，</w:t>
      </w:r>
      <w:bookmarkEnd w:id="88"/>
      <w:r>
        <w:rPr>
          <w:rFonts w:ascii="Times New Roman"/>
          <w:bCs/>
        </w:rPr>
        <w:t>加快推进钢铁、建材、装备制造等重点耗能领域的节能改造升级，提高能源利用效率。</w:t>
      </w:r>
      <w:r>
        <w:rPr>
          <w:rFonts w:ascii="Times New Roman"/>
        </w:rPr>
        <w:t>通过专家帮扶、申报培训等方式，支持绿色化水平较高、有创建潜力的优质企业申报工信部国家级绿色工厂，打造一批具有示范带动作用的绿色工厂。引导先进制造业龙头企业申创工信部绿色供应链认证，支持其搭建涵盖采购、生产、营销、回收、物流等环节的绿色供应链管理体系。</w:t>
      </w:r>
    </w:p>
    <w:p w14:paraId="1B3331E7">
      <w:pPr>
        <w:pStyle w:val="3"/>
        <w:spacing w:before="163" w:after="163"/>
        <w:ind w:firstLine="643"/>
        <w:rPr>
          <w:rFonts w:ascii="Times New Roman" w:hAnsi="Times New Roman" w:cs="Times New Roman"/>
        </w:rPr>
      </w:pPr>
      <w:bookmarkStart w:id="89" w:name="_Toc82871414"/>
      <w:bookmarkStart w:id="90" w:name="_Toc106901694"/>
      <w:r>
        <w:rPr>
          <w:rFonts w:ascii="Times New Roman" w:hAnsi="Times New Roman" w:cs="Times New Roman"/>
        </w:rPr>
        <w:t>（七）优化产业服务</w:t>
      </w:r>
      <w:bookmarkEnd w:id="89"/>
      <w:r>
        <w:rPr>
          <w:rFonts w:ascii="Times New Roman" w:hAnsi="Times New Roman" w:cs="Times New Roman"/>
        </w:rPr>
        <w:t>体系</w:t>
      </w:r>
      <w:bookmarkEnd w:id="90"/>
    </w:p>
    <w:p w14:paraId="25821CEA">
      <w:pPr>
        <w:pStyle w:val="5"/>
        <w:ind w:firstLine="643"/>
        <w:rPr>
          <w:rFonts w:ascii="Times New Roman" w:hAnsi="Times New Roman" w:cs="Times New Roman"/>
        </w:rPr>
      </w:pPr>
      <w:r>
        <w:rPr>
          <w:rFonts w:ascii="Times New Roman" w:hAnsi="Times New Roman" w:cs="Times New Roman"/>
        </w:rPr>
        <w:t>1、创新园区服务机制</w:t>
      </w:r>
    </w:p>
    <w:p w14:paraId="3499CA2E">
      <w:pPr>
        <w:pStyle w:val="42"/>
        <w:spacing w:before="97" w:after="97"/>
        <w:ind w:firstLine="640"/>
        <w:rPr>
          <w:rFonts w:ascii="Times New Roman"/>
        </w:rPr>
      </w:pPr>
      <w:r>
        <w:rPr>
          <w:rFonts w:ascii="Times New Roman"/>
        </w:rPr>
        <w:t>全面提升线上线下政务服务大厅效率，实现线上线下政务服务事项统一。探索实施负面清单管理，进一步降低企业市场准入门槛。推进企业减负降本，着力减轻企业融资成本、用能成本和用工成本，降低企业准入门槛、专业服务门槛和数据使用门槛。</w:t>
      </w:r>
    </w:p>
    <w:p w14:paraId="0606EE44">
      <w:pPr>
        <w:pStyle w:val="5"/>
        <w:ind w:firstLine="643"/>
        <w:rPr>
          <w:rFonts w:ascii="Times New Roman" w:hAnsi="Times New Roman" w:cs="Times New Roman"/>
        </w:rPr>
      </w:pPr>
      <w:r>
        <w:rPr>
          <w:rFonts w:ascii="Times New Roman" w:hAnsi="Times New Roman" w:cs="Times New Roman"/>
        </w:rPr>
        <w:t>2、完善企业服务机制</w:t>
      </w:r>
    </w:p>
    <w:p w14:paraId="433BDA69">
      <w:pPr>
        <w:pStyle w:val="42"/>
        <w:spacing w:before="97" w:after="97"/>
        <w:ind w:firstLine="640"/>
        <w:rPr>
          <w:rFonts w:ascii="Times New Roman"/>
        </w:rPr>
      </w:pPr>
      <w:r>
        <w:rPr>
          <w:rFonts w:ascii="Times New Roman"/>
        </w:rPr>
        <w:t>对招商入园项目进行综合评估审查和分类别管理，完善高新区企业发展和项目落地信息库，构建集政策扶持、要素配置、协调调度、精准服务为一体的企业全生命周期发展服务链，高效解决制约企业发展和项目落地的关键问题。充分发挥“1对1”企业服务工作组的作用，致力推进加快高新区重点项目落地，依托项目推进会和“1对1”微信工作群，为企业特别是重点企业做好行政审批业务培训及提供流程、手续清单。</w:t>
      </w:r>
    </w:p>
    <w:bookmarkEnd w:id="83"/>
    <w:p w14:paraId="4C2B58FE">
      <w:pPr>
        <w:pStyle w:val="2"/>
        <w:spacing w:before="163" w:after="163"/>
        <w:ind w:firstLine="643"/>
        <w:rPr>
          <w:rFonts w:ascii="Times New Roman" w:hAnsi="Times New Roman" w:cs="Times New Roman"/>
        </w:rPr>
      </w:pPr>
      <w:bookmarkStart w:id="91" w:name="_Toc106901695"/>
      <w:r>
        <w:rPr>
          <w:rFonts w:ascii="Times New Roman" w:hAnsi="Times New Roman" w:cs="Times New Roman"/>
        </w:rPr>
        <w:t>五、保障措施</w:t>
      </w:r>
      <w:bookmarkEnd w:id="91"/>
    </w:p>
    <w:p w14:paraId="18663C89">
      <w:pPr>
        <w:pStyle w:val="3"/>
        <w:spacing w:before="163" w:after="163"/>
        <w:ind w:firstLine="643"/>
        <w:rPr>
          <w:rFonts w:ascii="Times New Roman" w:hAnsi="Times New Roman" w:cs="Times New Roman"/>
        </w:rPr>
      </w:pPr>
      <w:bookmarkStart w:id="92" w:name="_Toc82871410"/>
      <w:bookmarkStart w:id="93" w:name="_Toc106901696"/>
      <w:r>
        <w:rPr>
          <w:rFonts w:ascii="Times New Roman" w:hAnsi="Times New Roman" w:cs="Times New Roman"/>
        </w:rPr>
        <w:t>（一）强化组织领导保障</w:t>
      </w:r>
      <w:bookmarkEnd w:id="92"/>
      <w:bookmarkEnd w:id="93"/>
    </w:p>
    <w:p w14:paraId="0B558829">
      <w:pPr>
        <w:pStyle w:val="42"/>
        <w:spacing w:before="97" w:after="97"/>
        <w:ind w:firstLine="643"/>
        <w:rPr>
          <w:rFonts w:ascii="Times New Roman"/>
        </w:rPr>
      </w:pPr>
      <w:r>
        <w:rPr>
          <w:rFonts w:ascii="Times New Roman"/>
          <w:b/>
          <w:bCs/>
        </w:rPr>
        <w:t>建立产业促进工作机制。</w:t>
      </w:r>
      <w:r>
        <w:rPr>
          <w:rFonts w:ascii="Times New Roman"/>
        </w:rPr>
        <w:t>围绕产业发展需求，组建高新区产业发展领导小组，由高新区管委会主要领导担任组长，各职能部门领导担任小组成员，负责高新区产业发展以及重大事项的相关决策。领导小组定期组织产业发展讨论会议，按照职责分工，加大产业组织协调力度，加快实现产业发展目标。</w:t>
      </w:r>
      <w:r>
        <w:rPr>
          <w:rFonts w:ascii="Times New Roman"/>
          <w:b/>
          <w:bCs/>
        </w:rPr>
        <w:t>组建产业发展智库。</w:t>
      </w:r>
      <w:r>
        <w:rPr>
          <w:rFonts w:ascii="Times New Roman"/>
        </w:rPr>
        <w:t>聘请第三方智库或区域发展研究领域的资深专家、产业专家等成立高新区产业发展智囊团，针对重点项目、产业发展中的重大问题定期开展专项研讨与论证会，为高新区产业发展提供精准智力支持。广泛吸纳产业发展、投融资、园区管理等方面的专业人才，定期举办科技、经济、产业、政策等专题讲座，提升高新区管理队伍专业化水平。</w:t>
      </w:r>
      <w:r>
        <w:rPr>
          <w:rFonts w:ascii="Times New Roman"/>
          <w:b/>
          <w:bCs/>
        </w:rPr>
        <w:t>强化产业工作责任落实。</w:t>
      </w:r>
      <w:r>
        <w:rPr>
          <w:rFonts w:ascii="Times New Roman"/>
        </w:rPr>
        <w:t>建立工作责任制，明确部门分工，落实部门责任，将落实规划作为有关部门绩效考核的重要内容和依据，形成上下贯通、层层负责的主体责任链条。做好对各项指标、政策措施和重大项目实施情况的跟踪监测，定期组织开展规划实施情况评估，并根据实际情况变化适度修订规划目标和任务。</w:t>
      </w:r>
    </w:p>
    <w:p w14:paraId="228CAB6B">
      <w:pPr>
        <w:pStyle w:val="3"/>
        <w:spacing w:before="163" w:after="163"/>
        <w:ind w:firstLine="643"/>
        <w:rPr>
          <w:rFonts w:ascii="Times New Roman" w:hAnsi="Times New Roman" w:cs="Times New Roman"/>
        </w:rPr>
      </w:pPr>
      <w:bookmarkStart w:id="94" w:name="_Toc84955765"/>
      <w:bookmarkEnd w:id="94"/>
      <w:bookmarkStart w:id="95" w:name="_Toc84955760"/>
      <w:bookmarkEnd w:id="95"/>
      <w:bookmarkStart w:id="96" w:name="_Toc84955766"/>
      <w:bookmarkEnd w:id="96"/>
      <w:bookmarkStart w:id="97" w:name="_Toc84955761"/>
      <w:bookmarkEnd w:id="97"/>
      <w:bookmarkStart w:id="98" w:name="_Toc82871416"/>
      <w:bookmarkStart w:id="99" w:name="_Toc106901697"/>
      <w:r>
        <w:rPr>
          <w:rFonts w:ascii="Times New Roman" w:hAnsi="Times New Roman" w:cs="Times New Roman"/>
        </w:rPr>
        <w:t>（二）强化资金投入保障</w:t>
      </w:r>
      <w:bookmarkEnd w:id="98"/>
      <w:bookmarkEnd w:id="99"/>
    </w:p>
    <w:p w14:paraId="4425388A">
      <w:pPr>
        <w:pStyle w:val="42"/>
        <w:spacing w:before="97" w:after="97"/>
        <w:ind w:firstLine="643"/>
        <w:rPr>
          <w:rFonts w:ascii="Times New Roman"/>
        </w:rPr>
      </w:pPr>
      <w:r>
        <w:rPr>
          <w:rFonts w:ascii="Times New Roman"/>
          <w:b/>
          <w:bCs/>
        </w:rPr>
        <w:t>争取多方资金支持。</w:t>
      </w:r>
      <w:r>
        <w:rPr>
          <w:rFonts w:ascii="Times New Roman"/>
        </w:rPr>
        <w:t>梳理国家、省、市各级各类专项资金政策，争取省、市级各部门经费、重大专项资金等向高新区倾斜，优先扶持高新区科技企业。充分发挥省市各产业发展专项资金、战略性新兴产业发展专项资金等财政资金的扶持作用，采取财政补助、贷款贴息、以奖代补、股权投资等方式，对高新区研发平台、产业创新服务平台、产业示范应用等重大项目给予支持。</w:t>
      </w:r>
      <w:r>
        <w:rPr>
          <w:rFonts w:ascii="Times New Roman"/>
          <w:b/>
          <w:bCs/>
        </w:rPr>
        <w:t>设立高新区产业发展引导基金。</w:t>
      </w:r>
      <w:r>
        <w:rPr>
          <w:rFonts w:ascii="Times New Roman"/>
        </w:rPr>
        <w:t>充分发挥财政资金引导作用，灵活运用引导基金、贷款贴息、风险补偿、以奖代补等方式撬动社会资本，构建多元化的资金投入体系。围绕特色产业园、基础设施等“十四五”期间规划部署的重大项目，申报地方政府专项债，多渠道筹集资金，加快高新区建设，优化投资环境。</w:t>
      </w:r>
    </w:p>
    <w:p w14:paraId="3FC6125E">
      <w:pPr>
        <w:pStyle w:val="3"/>
        <w:spacing w:before="163" w:after="163"/>
        <w:ind w:firstLine="643"/>
        <w:rPr>
          <w:rFonts w:ascii="Times New Roman" w:hAnsi="Times New Roman" w:cs="Times New Roman"/>
        </w:rPr>
      </w:pPr>
      <w:bookmarkStart w:id="100" w:name="_Toc82871417"/>
      <w:bookmarkStart w:id="101" w:name="_Toc106901698"/>
      <w:r>
        <w:rPr>
          <w:rFonts w:ascii="Times New Roman" w:hAnsi="Times New Roman" w:cs="Times New Roman"/>
        </w:rPr>
        <w:t>（三）强化土地要素保障</w:t>
      </w:r>
      <w:bookmarkEnd w:id="100"/>
      <w:bookmarkEnd w:id="101"/>
    </w:p>
    <w:p w14:paraId="387D296E">
      <w:pPr>
        <w:pStyle w:val="42"/>
        <w:spacing w:before="97" w:after="97"/>
        <w:ind w:firstLine="643"/>
        <w:rPr>
          <w:rFonts w:hint="eastAsia" w:ascii="Times New Roman" w:eastAsia="仿宋_GB2312"/>
          <w:lang w:eastAsia="zh-CN"/>
        </w:rPr>
        <w:sectPr>
          <w:headerReference r:id="rId12" w:type="first"/>
          <w:footerReference r:id="rId15" w:type="first"/>
          <w:headerReference r:id="rId10" w:type="default"/>
          <w:footerReference r:id="rId13" w:type="default"/>
          <w:headerReference r:id="rId11" w:type="even"/>
          <w:footerReference r:id="rId14" w:type="even"/>
          <w:pgSz w:w="11906" w:h="16838"/>
          <w:pgMar w:top="1440" w:right="1800" w:bottom="1440" w:left="1800" w:header="851" w:footer="992" w:gutter="0"/>
          <w:pgNumType w:start="1"/>
          <w:cols w:space="425" w:num="1"/>
          <w:titlePg/>
          <w:docGrid w:type="lines" w:linePitch="326" w:charSpace="0"/>
        </w:sectPr>
      </w:pPr>
      <w:r>
        <w:rPr>
          <w:rFonts w:ascii="Times New Roman"/>
          <w:b/>
          <w:bCs/>
        </w:rPr>
        <w:t>加强土地节约集约利用。</w:t>
      </w:r>
      <w:r>
        <w:rPr>
          <w:rFonts w:ascii="Times New Roman"/>
        </w:rPr>
        <w:t>成立土地规划利用专项工作小组，按照节约集约用地原则，审查调整各类相关规划和用地标准，着力推进现有区域及新增区域、连片区域建设规划，明确高新区功能布局、产业定位和发展方向，保障规划用地专地专用。持续推进高新区“退二进三”工作，腾退落后产能，建设标准厂房，最大程度提高项目用地效率，深入挖潜土地资源，加大闲置低效土地、零星用地整合力度，最大限度盘活存量用地，保障重点项目建设用地需求。</w:t>
      </w:r>
      <w:r>
        <w:rPr>
          <w:rFonts w:ascii="Times New Roman"/>
          <w:b/>
          <w:bCs/>
        </w:rPr>
        <w:t>健全土地“一企一档”工作机制。</w:t>
      </w:r>
      <w:r>
        <w:rPr>
          <w:rFonts w:ascii="Times New Roman"/>
        </w:rPr>
        <w:t>做好高新区重大项目用地协调服务工作，提前介入、靠前服务，及时跟踪项目进展，加大协调服务力度，着力解决项目用地方面的突出问题，推动项目顺利实施。健全纵向、横向分级协调联动机制，完善调度会商制度，强化部门协作，形成服务保障项目建设强大合力。对高新区企业逐户走访，调研企业上年度税收、产值、新建项目等情况，建立项目用地“一企一档”，出台企业绩效综合评价管理办法，推进企业提质增效，提高土地资源配置</w:t>
      </w:r>
      <w:r>
        <w:rPr>
          <w:rFonts w:hint="eastAsia" w:ascii="Times New Roman"/>
          <w:lang w:eastAsia="zh-CN"/>
        </w:rPr>
        <w:t>效率。</w:t>
      </w:r>
    </w:p>
    <w:p w14:paraId="39572DE2">
      <w:pPr>
        <w:pStyle w:val="2"/>
        <w:spacing w:before="163" w:after="163"/>
        <w:ind w:firstLine="0" w:firstLineChars="0"/>
        <w:rPr>
          <w:rFonts w:ascii="Times New Roman" w:hAnsi="Times New Roman" w:cs="Times New Roman"/>
        </w:rPr>
      </w:pPr>
    </w:p>
    <w:sectPr>
      <w:pgSz w:w="16838" w:h="11906" w:orient="landscape"/>
      <w:pgMar w:top="1800" w:right="1440" w:bottom="1800" w:left="1440" w:header="851" w:footer="992" w:gutter="0"/>
      <w:cols w:space="425"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汉仪文黑-85W">
    <w:panose1 w:val="00020600040101010101"/>
    <w:charset w:val="86"/>
    <w:family w:val="auto"/>
    <w:pitch w:val="default"/>
    <w:sig w:usb0="A00002BF" w:usb1="1ACF7CFA" w:usb2="00000016" w:usb3="00000000" w:csb0="0004009F" w:csb1="DFD70000"/>
  </w:font>
  <w:font w:name="方正小标宋_GBK">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6086424"/>
      <w:docPartObj>
        <w:docPartGallery w:val="autotext"/>
      </w:docPartObj>
    </w:sdtPr>
    <w:sdtContent>
      <w:p w14:paraId="561FAB32">
        <w:pPr>
          <w:pStyle w:val="14"/>
          <w:spacing w:before="48" w:after="48"/>
          <w:jc w:val="center"/>
        </w:pPr>
        <w:r>
          <w:fldChar w:fldCharType="begin"/>
        </w:r>
        <w:r>
          <w:instrText xml:space="preserve">PAGE   \* MERGEFORMAT</w:instrText>
        </w:r>
        <w:r>
          <w:fldChar w:fldCharType="separate"/>
        </w:r>
        <w:r>
          <w:rPr>
            <w:lang w:val="zh-CN"/>
          </w:rPr>
          <w:t>2</w:t>
        </w:r>
        <w:r>
          <w:fldChar w:fldCharType="end"/>
        </w:r>
      </w:p>
    </w:sdtContent>
  </w:sdt>
  <w:p w14:paraId="7B8025DA">
    <w:pPr>
      <w:pStyle w:val="14"/>
      <w:spacing w:before="48" w:after="4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C00E">
    <w:pPr>
      <w:pStyle w:val="14"/>
      <w:spacing w:before="48" w:after="4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6FF0B">
    <w:pPr>
      <w:pStyle w:val="14"/>
      <w:spacing w:before="48" w:after="4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5621517"/>
      <w:docPartObj>
        <w:docPartGallery w:val="autotext"/>
      </w:docPartObj>
    </w:sdtPr>
    <w:sdtContent>
      <w:p w14:paraId="47A436E5">
        <w:pPr>
          <w:pStyle w:val="14"/>
          <w:spacing w:before="48" w:after="48"/>
          <w:jc w:val="center"/>
        </w:pPr>
        <w:r>
          <w:fldChar w:fldCharType="begin"/>
        </w:r>
        <w:r>
          <w:instrText xml:space="preserve">PAGE   \* MERGEFORMAT</w:instrText>
        </w:r>
        <w:r>
          <w:fldChar w:fldCharType="separate"/>
        </w:r>
        <w:r>
          <w:rPr>
            <w:lang w:val="zh-CN"/>
          </w:rPr>
          <w:t>2</w:t>
        </w:r>
        <w:r>
          <w:fldChar w:fldCharType="end"/>
        </w:r>
      </w:p>
    </w:sdtContent>
  </w:sdt>
  <w:p w14:paraId="232C1B60">
    <w:pPr>
      <w:pStyle w:val="14"/>
      <w:spacing w:before="48" w:after="4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7437799"/>
    </w:sdtPr>
    <w:sdtContent>
      <w:p w14:paraId="052C8B78">
        <w:pPr>
          <w:pStyle w:val="14"/>
          <w:spacing w:before="48" w:after="4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A7871">
    <w:pPr>
      <w:pStyle w:val="14"/>
      <w:spacing w:before="48" w:after="4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9"/>
      </w:rPr>
      <w:id w:val="284399227"/>
    </w:sdtPr>
    <w:sdtEndPr>
      <w:rPr>
        <w:rStyle w:val="29"/>
      </w:rPr>
    </w:sdtEndPr>
    <w:sdtContent>
      <w:p w14:paraId="10D2CADF">
        <w:pPr>
          <w:pStyle w:val="14"/>
          <w:framePr w:wrap="around" w:vAnchor="text" w:hAnchor="margin" w:xAlign="center" w:y="1"/>
          <w:spacing w:before="48" w:after="48"/>
          <w:rPr>
            <w:rStyle w:val="29"/>
          </w:rPr>
        </w:pPr>
        <w:r>
          <w:rPr>
            <w:rStyle w:val="29"/>
          </w:rPr>
          <w:fldChar w:fldCharType="begin"/>
        </w:r>
        <w:r>
          <w:rPr>
            <w:rStyle w:val="29"/>
          </w:rPr>
          <w:instrText xml:space="preserve"> PAGE </w:instrText>
        </w:r>
        <w:r>
          <w:rPr>
            <w:rStyle w:val="29"/>
          </w:rPr>
          <w:fldChar w:fldCharType="separate"/>
        </w:r>
        <w:r>
          <w:rPr>
            <w:rStyle w:val="29"/>
          </w:rPr>
          <w:t>106</w:t>
        </w:r>
        <w:r>
          <w:rPr>
            <w:rStyle w:val="29"/>
          </w:rPr>
          <w:fldChar w:fldCharType="end"/>
        </w:r>
      </w:p>
    </w:sdtContent>
  </w:sdt>
  <w:p w14:paraId="79BCCCB8">
    <w:pPr>
      <w:pStyle w:val="14"/>
      <w:spacing w:before="48" w:after="4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19E4F">
    <w:pPr>
      <w:pStyle w:val="15"/>
      <w:pBdr>
        <w:bottom w:val="none" w:color="auto" w:sz="0" w:space="0"/>
      </w:pBdr>
      <w:spacing w:before="48" w:after="4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48E15">
    <w:pPr>
      <w:pStyle w:val="15"/>
      <w:spacing w:before="48" w:after="4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1E1BF">
    <w:pPr>
      <w:pStyle w:val="42"/>
      <w:spacing w:before="72" w:after="72"/>
      <w:ind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A2202">
    <w:pPr>
      <w:pStyle w:val="15"/>
      <w:pBdr>
        <w:bottom w:val="none" w:color="auto" w:sz="0" w:space="0"/>
      </w:pBdr>
      <w:spacing w:before="48" w:after="4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CB271">
    <w:pPr>
      <w:pStyle w:val="15"/>
      <w:spacing w:before="48" w:after="4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84465">
    <w:pPr>
      <w:pStyle w:val="42"/>
      <w:spacing w:before="72" w:after="72"/>
      <w:ind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A98"/>
    <w:rsid w:val="000004F7"/>
    <w:rsid w:val="00000F10"/>
    <w:rsid w:val="00002D60"/>
    <w:rsid w:val="00003779"/>
    <w:rsid w:val="0000420A"/>
    <w:rsid w:val="00005B73"/>
    <w:rsid w:val="00006CDE"/>
    <w:rsid w:val="00007AF9"/>
    <w:rsid w:val="00007B91"/>
    <w:rsid w:val="00007E3C"/>
    <w:rsid w:val="00010273"/>
    <w:rsid w:val="000117E7"/>
    <w:rsid w:val="00012386"/>
    <w:rsid w:val="00013733"/>
    <w:rsid w:val="00013F7D"/>
    <w:rsid w:val="00014A95"/>
    <w:rsid w:val="000159E6"/>
    <w:rsid w:val="00016E46"/>
    <w:rsid w:val="000178A9"/>
    <w:rsid w:val="00017922"/>
    <w:rsid w:val="00020CE4"/>
    <w:rsid w:val="000213B6"/>
    <w:rsid w:val="00022E06"/>
    <w:rsid w:val="000243D3"/>
    <w:rsid w:val="00026738"/>
    <w:rsid w:val="000270B8"/>
    <w:rsid w:val="00027206"/>
    <w:rsid w:val="000272DC"/>
    <w:rsid w:val="00027AD1"/>
    <w:rsid w:val="000305D0"/>
    <w:rsid w:val="000306F6"/>
    <w:rsid w:val="0003154B"/>
    <w:rsid w:val="00033229"/>
    <w:rsid w:val="00033FF6"/>
    <w:rsid w:val="00034781"/>
    <w:rsid w:val="00036088"/>
    <w:rsid w:val="00036524"/>
    <w:rsid w:val="00036E7F"/>
    <w:rsid w:val="00036F84"/>
    <w:rsid w:val="00036F8E"/>
    <w:rsid w:val="000375E5"/>
    <w:rsid w:val="0004046E"/>
    <w:rsid w:val="00043565"/>
    <w:rsid w:val="00043CB7"/>
    <w:rsid w:val="00043D82"/>
    <w:rsid w:val="000445BE"/>
    <w:rsid w:val="000445DD"/>
    <w:rsid w:val="000448E3"/>
    <w:rsid w:val="00044C34"/>
    <w:rsid w:val="00044F7C"/>
    <w:rsid w:val="000450B2"/>
    <w:rsid w:val="00045979"/>
    <w:rsid w:val="00045F83"/>
    <w:rsid w:val="00046CBC"/>
    <w:rsid w:val="00046F41"/>
    <w:rsid w:val="000525AA"/>
    <w:rsid w:val="00053CC6"/>
    <w:rsid w:val="00055B7F"/>
    <w:rsid w:val="00055E51"/>
    <w:rsid w:val="000603D7"/>
    <w:rsid w:val="000609F7"/>
    <w:rsid w:val="00061D57"/>
    <w:rsid w:val="00062CD0"/>
    <w:rsid w:val="0006355E"/>
    <w:rsid w:val="0006376C"/>
    <w:rsid w:val="00063AE7"/>
    <w:rsid w:val="00063FA4"/>
    <w:rsid w:val="00064316"/>
    <w:rsid w:val="00065D16"/>
    <w:rsid w:val="00065DD1"/>
    <w:rsid w:val="000667A4"/>
    <w:rsid w:val="000670F9"/>
    <w:rsid w:val="000672C9"/>
    <w:rsid w:val="00067C95"/>
    <w:rsid w:val="0007059E"/>
    <w:rsid w:val="000705D2"/>
    <w:rsid w:val="00070AEE"/>
    <w:rsid w:val="000711E2"/>
    <w:rsid w:val="00071451"/>
    <w:rsid w:val="00071E66"/>
    <w:rsid w:val="00072BC0"/>
    <w:rsid w:val="00074A2F"/>
    <w:rsid w:val="00075111"/>
    <w:rsid w:val="0007596B"/>
    <w:rsid w:val="00076989"/>
    <w:rsid w:val="00076E4F"/>
    <w:rsid w:val="00077C8C"/>
    <w:rsid w:val="00077D46"/>
    <w:rsid w:val="000801C0"/>
    <w:rsid w:val="00082223"/>
    <w:rsid w:val="0008309A"/>
    <w:rsid w:val="00083993"/>
    <w:rsid w:val="00083FBB"/>
    <w:rsid w:val="00084FA6"/>
    <w:rsid w:val="00087CC9"/>
    <w:rsid w:val="00087D2B"/>
    <w:rsid w:val="00090DC6"/>
    <w:rsid w:val="00091031"/>
    <w:rsid w:val="00092303"/>
    <w:rsid w:val="0009374B"/>
    <w:rsid w:val="000946FA"/>
    <w:rsid w:val="00094842"/>
    <w:rsid w:val="000956DD"/>
    <w:rsid w:val="0009628C"/>
    <w:rsid w:val="00096DA7"/>
    <w:rsid w:val="00097239"/>
    <w:rsid w:val="000A0408"/>
    <w:rsid w:val="000A12C5"/>
    <w:rsid w:val="000A2376"/>
    <w:rsid w:val="000A28F2"/>
    <w:rsid w:val="000A34C7"/>
    <w:rsid w:val="000A3585"/>
    <w:rsid w:val="000A46A4"/>
    <w:rsid w:val="000A4EE9"/>
    <w:rsid w:val="000A5B88"/>
    <w:rsid w:val="000A6EF6"/>
    <w:rsid w:val="000A78F8"/>
    <w:rsid w:val="000B0683"/>
    <w:rsid w:val="000B0DBE"/>
    <w:rsid w:val="000B1972"/>
    <w:rsid w:val="000B3999"/>
    <w:rsid w:val="000B4442"/>
    <w:rsid w:val="000B45D9"/>
    <w:rsid w:val="000B5DE7"/>
    <w:rsid w:val="000B68C6"/>
    <w:rsid w:val="000C0286"/>
    <w:rsid w:val="000C0A60"/>
    <w:rsid w:val="000C122D"/>
    <w:rsid w:val="000C1EFF"/>
    <w:rsid w:val="000C243E"/>
    <w:rsid w:val="000C2839"/>
    <w:rsid w:val="000C287F"/>
    <w:rsid w:val="000C360C"/>
    <w:rsid w:val="000C3A59"/>
    <w:rsid w:val="000C4495"/>
    <w:rsid w:val="000C5412"/>
    <w:rsid w:val="000C783E"/>
    <w:rsid w:val="000D14CF"/>
    <w:rsid w:val="000D1C7A"/>
    <w:rsid w:val="000D1CC1"/>
    <w:rsid w:val="000D2135"/>
    <w:rsid w:val="000D22A8"/>
    <w:rsid w:val="000D3302"/>
    <w:rsid w:val="000D46E4"/>
    <w:rsid w:val="000D4DD5"/>
    <w:rsid w:val="000D5C88"/>
    <w:rsid w:val="000D5FA8"/>
    <w:rsid w:val="000D698E"/>
    <w:rsid w:val="000D75AF"/>
    <w:rsid w:val="000E0F1C"/>
    <w:rsid w:val="000E203D"/>
    <w:rsid w:val="000E32E1"/>
    <w:rsid w:val="000E4584"/>
    <w:rsid w:val="000E4CF5"/>
    <w:rsid w:val="000E583C"/>
    <w:rsid w:val="000E5EA2"/>
    <w:rsid w:val="000E686F"/>
    <w:rsid w:val="000E707C"/>
    <w:rsid w:val="000E74A7"/>
    <w:rsid w:val="000E7E4C"/>
    <w:rsid w:val="000F08BE"/>
    <w:rsid w:val="000F0EED"/>
    <w:rsid w:val="000F1357"/>
    <w:rsid w:val="000F22E7"/>
    <w:rsid w:val="000F37B1"/>
    <w:rsid w:val="000F4455"/>
    <w:rsid w:val="000F6939"/>
    <w:rsid w:val="000F6D51"/>
    <w:rsid w:val="000F72F5"/>
    <w:rsid w:val="000F7377"/>
    <w:rsid w:val="001003CD"/>
    <w:rsid w:val="001018FC"/>
    <w:rsid w:val="0010264A"/>
    <w:rsid w:val="00102A7A"/>
    <w:rsid w:val="001039CB"/>
    <w:rsid w:val="00103EEF"/>
    <w:rsid w:val="001040A8"/>
    <w:rsid w:val="00104328"/>
    <w:rsid w:val="00104F30"/>
    <w:rsid w:val="00105DD7"/>
    <w:rsid w:val="001061AA"/>
    <w:rsid w:val="00106828"/>
    <w:rsid w:val="001073B6"/>
    <w:rsid w:val="0010753F"/>
    <w:rsid w:val="001106B0"/>
    <w:rsid w:val="00111AAC"/>
    <w:rsid w:val="00111F69"/>
    <w:rsid w:val="001123FE"/>
    <w:rsid w:val="001125B5"/>
    <w:rsid w:val="00112678"/>
    <w:rsid w:val="0011268F"/>
    <w:rsid w:val="001131F4"/>
    <w:rsid w:val="00113826"/>
    <w:rsid w:val="00114AE8"/>
    <w:rsid w:val="0011519D"/>
    <w:rsid w:val="00115F82"/>
    <w:rsid w:val="001203F6"/>
    <w:rsid w:val="00121608"/>
    <w:rsid w:val="00122476"/>
    <w:rsid w:val="00122AA8"/>
    <w:rsid w:val="0012301A"/>
    <w:rsid w:val="00123780"/>
    <w:rsid w:val="00123B4E"/>
    <w:rsid w:val="00123F33"/>
    <w:rsid w:val="00124004"/>
    <w:rsid w:val="00124D35"/>
    <w:rsid w:val="00124D40"/>
    <w:rsid w:val="00125130"/>
    <w:rsid w:val="001259C9"/>
    <w:rsid w:val="00125D15"/>
    <w:rsid w:val="0012658B"/>
    <w:rsid w:val="00127857"/>
    <w:rsid w:val="00127989"/>
    <w:rsid w:val="00130CE9"/>
    <w:rsid w:val="00132182"/>
    <w:rsid w:val="001328D4"/>
    <w:rsid w:val="00132D5D"/>
    <w:rsid w:val="00132E50"/>
    <w:rsid w:val="001333AB"/>
    <w:rsid w:val="00141343"/>
    <w:rsid w:val="00141FBF"/>
    <w:rsid w:val="00145C82"/>
    <w:rsid w:val="0014798B"/>
    <w:rsid w:val="001515DD"/>
    <w:rsid w:val="0015211A"/>
    <w:rsid w:val="00153D7B"/>
    <w:rsid w:val="00154071"/>
    <w:rsid w:val="0015744A"/>
    <w:rsid w:val="00157738"/>
    <w:rsid w:val="00160DDD"/>
    <w:rsid w:val="00160F03"/>
    <w:rsid w:val="00162613"/>
    <w:rsid w:val="00162782"/>
    <w:rsid w:val="00162B3A"/>
    <w:rsid w:val="00163D85"/>
    <w:rsid w:val="00163FFF"/>
    <w:rsid w:val="001641AE"/>
    <w:rsid w:val="00164BDB"/>
    <w:rsid w:val="001661FD"/>
    <w:rsid w:val="00166314"/>
    <w:rsid w:val="00166A77"/>
    <w:rsid w:val="00166A86"/>
    <w:rsid w:val="00167047"/>
    <w:rsid w:val="0016793E"/>
    <w:rsid w:val="0017041B"/>
    <w:rsid w:val="00171191"/>
    <w:rsid w:val="001719EF"/>
    <w:rsid w:val="0017295A"/>
    <w:rsid w:val="00175846"/>
    <w:rsid w:val="00175855"/>
    <w:rsid w:val="00175EF3"/>
    <w:rsid w:val="0017660E"/>
    <w:rsid w:val="00176C98"/>
    <w:rsid w:val="0017735C"/>
    <w:rsid w:val="001778F5"/>
    <w:rsid w:val="00177931"/>
    <w:rsid w:val="001843A0"/>
    <w:rsid w:val="00184444"/>
    <w:rsid w:val="00184DB3"/>
    <w:rsid w:val="00187D1B"/>
    <w:rsid w:val="001927FE"/>
    <w:rsid w:val="00193006"/>
    <w:rsid w:val="00194AA5"/>
    <w:rsid w:val="00194E99"/>
    <w:rsid w:val="00195BBE"/>
    <w:rsid w:val="001978ED"/>
    <w:rsid w:val="00197E20"/>
    <w:rsid w:val="001A012F"/>
    <w:rsid w:val="001A0638"/>
    <w:rsid w:val="001A193B"/>
    <w:rsid w:val="001A1B38"/>
    <w:rsid w:val="001A285C"/>
    <w:rsid w:val="001A366C"/>
    <w:rsid w:val="001A43A4"/>
    <w:rsid w:val="001A51E2"/>
    <w:rsid w:val="001A5CFA"/>
    <w:rsid w:val="001A6B17"/>
    <w:rsid w:val="001A747A"/>
    <w:rsid w:val="001A7D13"/>
    <w:rsid w:val="001B047C"/>
    <w:rsid w:val="001B0640"/>
    <w:rsid w:val="001B128A"/>
    <w:rsid w:val="001B1425"/>
    <w:rsid w:val="001B17A6"/>
    <w:rsid w:val="001B2FD8"/>
    <w:rsid w:val="001B3AC8"/>
    <w:rsid w:val="001B49C0"/>
    <w:rsid w:val="001B500D"/>
    <w:rsid w:val="001B53A2"/>
    <w:rsid w:val="001B5F87"/>
    <w:rsid w:val="001B60E0"/>
    <w:rsid w:val="001B6200"/>
    <w:rsid w:val="001B6217"/>
    <w:rsid w:val="001B6E85"/>
    <w:rsid w:val="001B7622"/>
    <w:rsid w:val="001B7877"/>
    <w:rsid w:val="001B7C24"/>
    <w:rsid w:val="001C0ECF"/>
    <w:rsid w:val="001C1C40"/>
    <w:rsid w:val="001C207C"/>
    <w:rsid w:val="001C375A"/>
    <w:rsid w:val="001C3D50"/>
    <w:rsid w:val="001C48C0"/>
    <w:rsid w:val="001C4D44"/>
    <w:rsid w:val="001C7AE3"/>
    <w:rsid w:val="001C7B39"/>
    <w:rsid w:val="001D08F0"/>
    <w:rsid w:val="001D15C9"/>
    <w:rsid w:val="001D1B1B"/>
    <w:rsid w:val="001D23DC"/>
    <w:rsid w:val="001D29DC"/>
    <w:rsid w:val="001D374B"/>
    <w:rsid w:val="001D3789"/>
    <w:rsid w:val="001D38BD"/>
    <w:rsid w:val="001D41C7"/>
    <w:rsid w:val="001D4666"/>
    <w:rsid w:val="001D681A"/>
    <w:rsid w:val="001D6AF4"/>
    <w:rsid w:val="001E14F2"/>
    <w:rsid w:val="001E2462"/>
    <w:rsid w:val="001E4DD8"/>
    <w:rsid w:val="001E50ED"/>
    <w:rsid w:val="001E5921"/>
    <w:rsid w:val="001E6A95"/>
    <w:rsid w:val="001E70D3"/>
    <w:rsid w:val="001E75FE"/>
    <w:rsid w:val="001F09B2"/>
    <w:rsid w:val="001F4BEA"/>
    <w:rsid w:val="001F588E"/>
    <w:rsid w:val="001F66F1"/>
    <w:rsid w:val="001F6DDB"/>
    <w:rsid w:val="00200A42"/>
    <w:rsid w:val="002014D4"/>
    <w:rsid w:val="002018CD"/>
    <w:rsid w:val="0020191E"/>
    <w:rsid w:val="00201AF7"/>
    <w:rsid w:val="00202679"/>
    <w:rsid w:val="00204440"/>
    <w:rsid w:val="00204857"/>
    <w:rsid w:val="002062D2"/>
    <w:rsid w:val="00206EF7"/>
    <w:rsid w:val="002073E0"/>
    <w:rsid w:val="0021067F"/>
    <w:rsid w:val="0021093D"/>
    <w:rsid w:val="0021169B"/>
    <w:rsid w:val="0021197A"/>
    <w:rsid w:val="002125C3"/>
    <w:rsid w:val="00213C23"/>
    <w:rsid w:val="00215224"/>
    <w:rsid w:val="002168AC"/>
    <w:rsid w:val="00216C6D"/>
    <w:rsid w:val="00217810"/>
    <w:rsid w:val="00217A0F"/>
    <w:rsid w:val="00217BC7"/>
    <w:rsid w:val="00220BB0"/>
    <w:rsid w:val="00221955"/>
    <w:rsid w:val="00223648"/>
    <w:rsid w:val="002242E8"/>
    <w:rsid w:val="00224491"/>
    <w:rsid w:val="00224DC6"/>
    <w:rsid w:val="002258D1"/>
    <w:rsid w:val="00225D33"/>
    <w:rsid w:val="002262A5"/>
    <w:rsid w:val="00226A1B"/>
    <w:rsid w:val="00226FD4"/>
    <w:rsid w:val="0023068E"/>
    <w:rsid w:val="002311CF"/>
    <w:rsid w:val="002314B6"/>
    <w:rsid w:val="00231944"/>
    <w:rsid w:val="00231CDA"/>
    <w:rsid w:val="00232DF4"/>
    <w:rsid w:val="00234C57"/>
    <w:rsid w:val="0023516B"/>
    <w:rsid w:val="002360E7"/>
    <w:rsid w:val="00236A60"/>
    <w:rsid w:val="00236F96"/>
    <w:rsid w:val="00237BA8"/>
    <w:rsid w:val="0024139D"/>
    <w:rsid w:val="00242B36"/>
    <w:rsid w:val="002440D6"/>
    <w:rsid w:val="0024427C"/>
    <w:rsid w:val="0024434D"/>
    <w:rsid w:val="002445AF"/>
    <w:rsid w:val="00245433"/>
    <w:rsid w:val="00245C4D"/>
    <w:rsid w:val="00246E41"/>
    <w:rsid w:val="00247400"/>
    <w:rsid w:val="00247F5E"/>
    <w:rsid w:val="00250707"/>
    <w:rsid w:val="00250F43"/>
    <w:rsid w:val="002516B6"/>
    <w:rsid w:val="00253709"/>
    <w:rsid w:val="002549E1"/>
    <w:rsid w:val="00254D98"/>
    <w:rsid w:val="00255D2D"/>
    <w:rsid w:val="002564C8"/>
    <w:rsid w:val="0025665B"/>
    <w:rsid w:val="002571CE"/>
    <w:rsid w:val="002578F8"/>
    <w:rsid w:val="002579E9"/>
    <w:rsid w:val="002627AD"/>
    <w:rsid w:val="00263243"/>
    <w:rsid w:val="00263A3D"/>
    <w:rsid w:val="00263E68"/>
    <w:rsid w:val="002641E1"/>
    <w:rsid w:val="00265718"/>
    <w:rsid w:val="00265910"/>
    <w:rsid w:val="0026691D"/>
    <w:rsid w:val="002707C4"/>
    <w:rsid w:val="00270931"/>
    <w:rsid w:val="00272DC1"/>
    <w:rsid w:val="0027366D"/>
    <w:rsid w:val="00275153"/>
    <w:rsid w:val="00275167"/>
    <w:rsid w:val="00275974"/>
    <w:rsid w:val="00276CF3"/>
    <w:rsid w:val="002776A0"/>
    <w:rsid w:val="002804A7"/>
    <w:rsid w:val="002804F0"/>
    <w:rsid w:val="00280964"/>
    <w:rsid w:val="00281AF7"/>
    <w:rsid w:val="00282246"/>
    <w:rsid w:val="002839D9"/>
    <w:rsid w:val="00284463"/>
    <w:rsid w:val="00285BF0"/>
    <w:rsid w:val="002861FA"/>
    <w:rsid w:val="0028665F"/>
    <w:rsid w:val="002869FC"/>
    <w:rsid w:val="00286EA1"/>
    <w:rsid w:val="00287DDE"/>
    <w:rsid w:val="00290D3D"/>
    <w:rsid w:val="0029252E"/>
    <w:rsid w:val="00292BD5"/>
    <w:rsid w:val="00295CF5"/>
    <w:rsid w:val="00296449"/>
    <w:rsid w:val="00296668"/>
    <w:rsid w:val="002975AB"/>
    <w:rsid w:val="002A111F"/>
    <w:rsid w:val="002A121E"/>
    <w:rsid w:val="002A18D1"/>
    <w:rsid w:val="002A29FB"/>
    <w:rsid w:val="002A2C0E"/>
    <w:rsid w:val="002A3249"/>
    <w:rsid w:val="002A5980"/>
    <w:rsid w:val="002A649B"/>
    <w:rsid w:val="002A6BE4"/>
    <w:rsid w:val="002A71B2"/>
    <w:rsid w:val="002B0C30"/>
    <w:rsid w:val="002B23C0"/>
    <w:rsid w:val="002B43FE"/>
    <w:rsid w:val="002B5778"/>
    <w:rsid w:val="002B577B"/>
    <w:rsid w:val="002B5947"/>
    <w:rsid w:val="002B6AEB"/>
    <w:rsid w:val="002B74F3"/>
    <w:rsid w:val="002B785B"/>
    <w:rsid w:val="002B79B4"/>
    <w:rsid w:val="002C11DF"/>
    <w:rsid w:val="002C2986"/>
    <w:rsid w:val="002C57A9"/>
    <w:rsid w:val="002C6178"/>
    <w:rsid w:val="002C6B8B"/>
    <w:rsid w:val="002C71F8"/>
    <w:rsid w:val="002C7D5D"/>
    <w:rsid w:val="002D0F40"/>
    <w:rsid w:val="002D115D"/>
    <w:rsid w:val="002D2FC6"/>
    <w:rsid w:val="002D36E6"/>
    <w:rsid w:val="002D432F"/>
    <w:rsid w:val="002D5B00"/>
    <w:rsid w:val="002D64CD"/>
    <w:rsid w:val="002D785F"/>
    <w:rsid w:val="002D793C"/>
    <w:rsid w:val="002E10A7"/>
    <w:rsid w:val="002E1A9A"/>
    <w:rsid w:val="002E269F"/>
    <w:rsid w:val="002E30A2"/>
    <w:rsid w:val="002E38B4"/>
    <w:rsid w:val="002E554B"/>
    <w:rsid w:val="002E73F5"/>
    <w:rsid w:val="002F03D4"/>
    <w:rsid w:val="002F09DE"/>
    <w:rsid w:val="002F23C6"/>
    <w:rsid w:val="002F2C40"/>
    <w:rsid w:val="002F3051"/>
    <w:rsid w:val="002F3885"/>
    <w:rsid w:val="002F39A4"/>
    <w:rsid w:val="002F3ADB"/>
    <w:rsid w:val="002F4515"/>
    <w:rsid w:val="002F57F3"/>
    <w:rsid w:val="002F5DCA"/>
    <w:rsid w:val="002F6209"/>
    <w:rsid w:val="002F757B"/>
    <w:rsid w:val="003002BA"/>
    <w:rsid w:val="003002FC"/>
    <w:rsid w:val="00300B3D"/>
    <w:rsid w:val="003043C1"/>
    <w:rsid w:val="003047A2"/>
    <w:rsid w:val="00305E12"/>
    <w:rsid w:val="00306180"/>
    <w:rsid w:val="003062B7"/>
    <w:rsid w:val="00306D9E"/>
    <w:rsid w:val="003102CA"/>
    <w:rsid w:val="00310B18"/>
    <w:rsid w:val="00310EAF"/>
    <w:rsid w:val="003123C0"/>
    <w:rsid w:val="003129DD"/>
    <w:rsid w:val="003135EE"/>
    <w:rsid w:val="003138A5"/>
    <w:rsid w:val="00314338"/>
    <w:rsid w:val="003144EE"/>
    <w:rsid w:val="003148FD"/>
    <w:rsid w:val="00314DFD"/>
    <w:rsid w:val="00316A3C"/>
    <w:rsid w:val="00317374"/>
    <w:rsid w:val="00317BFB"/>
    <w:rsid w:val="0032004D"/>
    <w:rsid w:val="0032052E"/>
    <w:rsid w:val="00320AE6"/>
    <w:rsid w:val="003215F2"/>
    <w:rsid w:val="003225B8"/>
    <w:rsid w:val="003228A4"/>
    <w:rsid w:val="00323776"/>
    <w:rsid w:val="00324B63"/>
    <w:rsid w:val="0032524A"/>
    <w:rsid w:val="003258BE"/>
    <w:rsid w:val="003273E4"/>
    <w:rsid w:val="003302AD"/>
    <w:rsid w:val="00330594"/>
    <w:rsid w:val="00330984"/>
    <w:rsid w:val="00330AD3"/>
    <w:rsid w:val="003311EC"/>
    <w:rsid w:val="0033214F"/>
    <w:rsid w:val="003321BD"/>
    <w:rsid w:val="00332D7E"/>
    <w:rsid w:val="003332B0"/>
    <w:rsid w:val="00334BF4"/>
    <w:rsid w:val="003352F2"/>
    <w:rsid w:val="0033739D"/>
    <w:rsid w:val="00341029"/>
    <w:rsid w:val="003410B8"/>
    <w:rsid w:val="00343F4E"/>
    <w:rsid w:val="00344105"/>
    <w:rsid w:val="0034412B"/>
    <w:rsid w:val="003455A0"/>
    <w:rsid w:val="00346F3A"/>
    <w:rsid w:val="003477D1"/>
    <w:rsid w:val="0035008A"/>
    <w:rsid w:val="00350C9E"/>
    <w:rsid w:val="00351EE4"/>
    <w:rsid w:val="00352249"/>
    <w:rsid w:val="003526DB"/>
    <w:rsid w:val="003527EE"/>
    <w:rsid w:val="0035472C"/>
    <w:rsid w:val="00355068"/>
    <w:rsid w:val="00355F50"/>
    <w:rsid w:val="00361249"/>
    <w:rsid w:val="00365CCD"/>
    <w:rsid w:val="00366B26"/>
    <w:rsid w:val="003674A1"/>
    <w:rsid w:val="0036753B"/>
    <w:rsid w:val="00367672"/>
    <w:rsid w:val="00370B0C"/>
    <w:rsid w:val="00371096"/>
    <w:rsid w:val="003724F4"/>
    <w:rsid w:val="0037482A"/>
    <w:rsid w:val="003764F9"/>
    <w:rsid w:val="00377C29"/>
    <w:rsid w:val="0038091B"/>
    <w:rsid w:val="00380C24"/>
    <w:rsid w:val="00381B0E"/>
    <w:rsid w:val="003831B8"/>
    <w:rsid w:val="00383627"/>
    <w:rsid w:val="00384E42"/>
    <w:rsid w:val="00385CF6"/>
    <w:rsid w:val="00386341"/>
    <w:rsid w:val="00386626"/>
    <w:rsid w:val="00386989"/>
    <w:rsid w:val="00387DF7"/>
    <w:rsid w:val="003901C0"/>
    <w:rsid w:val="00390766"/>
    <w:rsid w:val="00390F55"/>
    <w:rsid w:val="00391125"/>
    <w:rsid w:val="0039198D"/>
    <w:rsid w:val="00392090"/>
    <w:rsid w:val="00393F55"/>
    <w:rsid w:val="00393F9A"/>
    <w:rsid w:val="00395631"/>
    <w:rsid w:val="00395DCB"/>
    <w:rsid w:val="00395EB4"/>
    <w:rsid w:val="003A097C"/>
    <w:rsid w:val="003A1BDC"/>
    <w:rsid w:val="003A4913"/>
    <w:rsid w:val="003A4920"/>
    <w:rsid w:val="003A4B04"/>
    <w:rsid w:val="003A68BE"/>
    <w:rsid w:val="003A75F0"/>
    <w:rsid w:val="003A7652"/>
    <w:rsid w:val="003A7E74"/>
    <w:rsid w:val="003B030D"/>
    <w:rsid w:val="003B0874"/>
    <w:rsid w:val="003B0A63"/>
    <w:rsid w:val="003B2DC4"/>
    <w:rsid w:val="003B377D"/>
    <w:rsid w:val="003B3C45"/>
    <w:rsid w:val="003B3FFB"/>
    <w:rsid w:val="003B57FB"/>
    <w:rsid w:val="003B61DB"/>
    <w:rsid w:val="003B6ADB"/>
    <w:rsid w:val="003B6FBE"/>
    <w:rsid w:val="003B7004"/>
    <w:rsid w:val="003B7592"/>
    <w:rsid w:val="003B7D78"/>
    <w:rsid w:val="003C0ED2"/>
    <w:rsid w:val="003C150C"/>
    <w:rsid w:val="003C20DA"/>
    <w:rsid w:val="003C236A"/>
    <w:rsid w:val="003C286E"/>
    <w:rsid w:val="003C2EE7"/>
    <w:rsid w:val="003C3D49"/>
    <w:rsid w:val="003C53DB"/>
    <w:rsid w:val="003C5A17"/>
    <w:rsid w:val="003C690C"/>
    <w:rsid w:val="003C6A67"/>
    <w:rsid w:val="003D00C2"/>
    <w:rsid w:val="003D07F4"/>
    <w:rsid w:val="003D0F30"/>
    <w:rsid w:val="003D1431"/>
    <w:rsid w:val="003D19F0"/>
    <w:rsid w:val="003D2541"/>
    <w:rsid w:val="003D25E8"/>
    <w:rsid w:val="003D289C"/>
    <w:rsid w:val="003D2BE8"/>
    <w:rsid w:val="003D3DF9"/>
    <w:rsid w:val="003D4677"/>
    <w:rsid w:val="003D59F3"/>
    <w:rsid w:val="003D623B"/>
    <w:rsid w:val="003D7022"/>
    <w:rsid w:val="003D711B"/>
    <w:rsid w:val="003D760B"/>
    <w:rsid w:val="003E01FE"/>
    <w:rsid w:val="003E04EE"/>
    <w:rsid w:val="003E0E75"/>
    <w:rsid w:val="003E1B5F"/>
    <w:rsid w:val="003E1BEE"/>
    <w:rsid w:val="003E2C45"/>
    <w:rsid w:val="003E37B6"/>
    <w:rsid w:val="003F0BBD"/>
    <w:rsid w:val="003F1864"/>
    <w:rsid w:val="003F199F"/>
    <w:rsid w:val="003F1C46"/>
    <w:rsid w:val="003F2D36"/>
    <w:rsid w:val="003F373C"/>
    <w:rsid w:val="003F397A"/>
    <w:rsid w:val="003F3CA2"/>
    <w:rsid w:val="003F43FF"/>
    <w:rsid w:val="003F4FC1"/>
    <w:rsid w:val="003F4FEE"/>
    <w:rsid w:val="003F69DF"/>
    <w:rsid w:val="003F7477"/>
    <w:rsid w:val="003F79A9"/>
    <w:rsid w:val="00400EB5"/>
    <w:rsid w:val="00401BB8"/>
    <w:rsid w:val="00403187"/>
    <w:rsid w:val="004043D6"/>
    <w:rsid w:val="00405222"/>
    <w:rsid w:val="004056ED"/>
    <w:rsid w:val="004061BB"/>
    <w:rsid w:val="004061F3"/>
    <w:rsid w:val="004066E1"/>
    <w:rsid w:val="0040699F"/>
    <w:rsid w:val="00406D9C"/>
    <w:rsid w:val="00407327"/>
    <w:rsid w:val="00410D7D"/>
    <w:rsid w:val="00410DDA"/>
    <w:rsid w:val="00411E1B"/>
    <w:rsid w:val="00411FD8"/>
    <w:rsid w:val="004151C1"/>
    <w:rsid w:val="004161E4"/>
    <w:rsid w:val="00416BDD"/>
    <w:rsid w:val="00417287"/>
    <w:rsid w:val="00420D58"/>
    <w:rsid w:val="00421FAB"/>
    <w:rsid w:val="004226C1"/>
    <w:rsid w:val="004227B8"/>
    <w:rsid w:val="00422BEB"/>
    <w:rsid w:val="004234A0"/>
    <w:rsid w:val="0042440D"/>
    <w:rsid w:val="00425222"/>
    <w:rsid w:val="00425492"/>
    <w:rsid w:val="0042606A"/>
    <w:rsid w:val="00427317"/>
    <w:rsid w:val="00427851"/>
    <w:rsid w:val="0043016B"/>
    <w:rsid w:val="004302AA"/>
    <w:rsid w:val="00431071"/>
    <w:rsid w:val="004314C7"/>
    <w:rsid w:val="00433E92"/>
    <w:rsid w:val="00436E40"/>
    <w:rsid w:val="00437C08"/>
    <w:rsid w:val="00440063"/>
    <w:rsid w:val="004429A4"/>
    <w:rsid w:val="00442F7E"/>
    <w:rsid w:val="00444CD9"/>
    <w:rsid w:val="00444E23"/>
    <w:rsid w:val="0044563D"/>
    <w:rsid w:val="00445EDD"/>
    <w:rsid w:val="0044677F"/>
    <w:rsid w:val="004479FC"/>
    <w:rsid w:val="004510D3"/>
    <w:rsid w:val="004519E1"/>
    <w:rsid w:val="00452E2C"/>
    <w:rsid w:val="00454202"/>
    <w:rsid w:val="004546DB"/>
    <w:rsid w:val="00454BAC"/>
    <w:rsid w:val="00454BC2"/>
    <w:rsid w:val="0045572A"/>
    <w:rsid w:val="0045661B"/>
    <w:rsid w:val="00456F70"/>
    <w:rsid w:val="004572CE"/>
    <w:rsid w:val="0045734A"/>
    <w:rsid w:val="00460683"/>
    <w:rsid w:val="00460CB9"/>
    <w:rsid w:val="00461CBF"/>
    <w:rsid w:val="004630B2"/>
    <w:rsid w:val="004632F2"/>
    <w:rsid w:val="00463514"/>
    <w:rsid w:val="0046396A"/>
    <w:rsid w:val="004643F5"/>
    <w:rsid w:val="00465318"/>
    <w:rsid w:val="00465826"/>
    <w:rsid w:val="00465C17"/>
    <w:rsid w:val="00465F85"/>
    <w:rsid w:val="00466427"/>
    <w:rsid w:val="00467DB1"/>
    <w:rsid w:val="00470FA6"/>
    <w:rsid w:val="004719F8"/>
    <w:rsid w:val="0047296A"/>
    <w:rsid w:val="00473939"/>
    <w:rsid w:val="0047485E"/>
    <w:rsid w:val="00474BB0"/>
    <w:rsid w:val="0047528C"/>
    <w:rsid w:val="004755BC"/>
    <w:rsid w:val="0047580C"/>
    <w:rsid w:val="00475B2C"/>
    <w:rsid w:val="00475CF7"/>
    <w:rsid w:val="00480E8B"/>
    <w:rsid w:val="004810EA"/>
    <w:rsid w:val="004818BD"/>
    <w:rsid w:val="004828B6"/>
    <w:rsid w:val="00482EF1"/>
    <w:rsid w:val="004832BA"/>
    <w:rsid w:val="00486BC3"/>
    <w:rsid w:val="00487FDF"/>
    <w:rsid w:val="0049128C"/>
    <w:rsid w:val="00491D70"/>
    <w:rsid w:val="00491EE9"/>
    <w:rsid w:val="00492334"/>
    <w:rsid w:val="0049375F"/>
    <w:rsid w:val="004941BA"/>
    <w:rsid w:val="00494A43"/>
    <w:rsid w:val="00495553"/>
    <w:rsid w:val="004960F2"/>
    <w:rsid w:val="00496562"/>
    <w:rsid w:val="004973CC"/>
    <w:rsid w:val="0049766D"/>
    <w:rsid w:val="004A086E"/>
    <w:rsid w:val="004A1165"/>
    <w:rsid w:val="004A160B"/>
    <w:rsid w:val="004A1DFE"/>
    <w:rsid w:val="004A27E8"/>
    <w:rsid w:val="004A3087"/>
    <w:rsid w:val="004A3110"/>
    <w:rsid w:val="004A378D"/>
    <w:rsid w:val="004A4752"/>
    <w:rsid w:val="004A49B8"/>
    <w:rsid w:val="004A58DF"/>
    <w:rsid w:val="004A6FF4"/>
    <w:rsid w:val="004A7187"/>
    <w:rsid w:val="004B2149"/>
    <w:rsid w:val="004B2765"/>
    <w:rsid w:val="004B4410"/>
    <w:rsid w:val="004B4671"/>
    <w:rsid w:val="004B4B35"/>
    <w:rsid w:val="004B4D59"/>
    <w:rsid w:val="004B5091"/>
    <w:rsid w:val="004B51DA"/>
    <w:rsid w:val="004B520B"/>
    <w:rsid w:val="004B58A7"/>
    <w:rsid w:val="004B5EAE"/>
    <w:rsid w:val="004B6145"/>
    <w:rsid w:val="004B653A"/>
    <w:rsid w:val="004B78DC"/>
    <w:rsid w:val="004B7E2B"/>
    <w:rsid w:val="004C1236"/>
    <w:rsid w:val="004C3E6B"/>
    <w:rsid w:val="004C3F58"/>
    <w:rsid w:val="004C40D1"/>
    <w:rsid w:val="004C6E3A"/>
    <w:rsid w:val="004D0A1F"/>
    <w:rsid w:val="004D0EFA"/>
    <w:rsid w:val="004D115D"/>
    <w:rsid w:val="004D1C70"/>
    <w:rsid w:val="004D1F0D"/>
    <w:rsid w:val="004D44B1"/>
    <w:rsid w:val="004D4A18"/>
    <w:rsid w:val="004D4DF1"/>
    <w:rsid w:val="004D57AF"/>
    <w:rsid w:val="004D581E"/>
    <w:rsid w:val="004D5ABD"/>
    <w:rsid w:val="004E02E6"/>
    <w:rsid w:val="004E043D"/>
    <w:rsid w:val="004E2573"/>
    <w:rsid w:val="004E262C"/>
    <w:rsid w:val="004E2EEF"/>
    <w:rsid w:val="004E34EC"/>
    <w:rsid w:val="004E3CDB"/>
    <w:rsid w:val="004E42E2"/>
    <w:rsid w:val="004E5F0D"/>
    <w:rsid w:val="004E7659"/>
    <w:rsid w:val="004E7C7D"/>
    <w:rsid w:val="004F0069"/>
    <w:rsid w:val="004F03F4"/>
    <w:rsid w:val="004F0E35"/>
    <w:rsid w:val="004F11ED"/>
    <w:rsid w:val="004F17FD"/>
    <w:rsid w:val="004F2180"/>
    <w:rsid w:val="004F2798"/>
    <w:rsid w:val="004F3395"/>
    <w:rsid w:val="004F4806"/>
    <w:rsid w:val="004F4A77"/>
    <w:rsid w:val="004F6090"/>
    <w:rsid w:val="004F7F5B"/>
    <w:rsid w:val="00501CC6"/>
    <w:rsid w:val="00502ED8"/>
    <w:rsid w:val="005034A9"/>
    <w:rsid w:val="00503581"/>
    <w:rsid w:val="00503B67"/>
    <w:rsid w:val="00503C34"/>
    <w:rsid w:val="00503DDE"/>
    <w:rsid w:val="00505852"/>
    <w:rsid w:val="00506118"/>
    <w:rsid w:val="005067F8"/>
    <w:rsid w:val="0050721B"/>
    <w:rsid w:val="00507E69"/>
    <w:rsid w:val="00510258"/>
    <w:rsid w:val="0051112A"/>
    <w:rsid w:val="005113B9"/>
    <w:rsid w:val="005113E6"/>
    <w:rsid w:val="00511631"/>
    <w:rsid w:val="00511847"/>
    <w:rsid w:val="00513419"/>
    <w:rsid w:val="00513D11"/>
    <w:rsid w:val="00514AFA"/>
    <w:rsid w:val="005151E4"/>
    <w:rsid w:val="005175F3"/>
    <w:rsid w:val="00517D71"/>
    <w:rsid w:val="00517E11"/>
    <w:rsid w:val="0052067F"/>
    <w:rsid w:val="0052112C"/>
    <w:rsid w:val="0052132E"/>
    <w:rsid w:val="00521827"/>
    <w:rsid w:val="005224F1"/>
    <w:rsid w:val="00522791"/>
    <w:rsid w:val="00522D16"/>
    <w:rsid w:val="005235A1"/>
    <w:rsid w:val="00523A79"/>
    <w:rsid w:val="0052474D"/>
    <w:rsid w:val="00524F18"/>
    <w:rsid w:val="005255E7"/>
    <w:rsid w:val="00525DE0"/>
    <w:rsid w:val="00525F64"/>
    <w:rsid w:val="00526141"/>
    <w:rsid w:val="00526495"/>
    <w:rsid w:val="00527CD7"/>
    <w:rsid w:val="00527FD6"/>
    <w:rsid w:val="0053052C"/>
    <w:rsid w:val="005310D7"/>
    <w:rsid w:val="00531A5E"/>
    <w:rsid w:val="00532A6A"/>
    <w:rsid w:val="0053321C"/>
    <w:rsid w:val="00533676"/>
    <w:rsid w:val="00533C75"/>
    <w:rsid w:val="005347F2"/>
    <w:rsid w:val="00534D5B"/>
    <w:rsid w:val="00534F40"/>
    <w:rsid w:val="0053597A"/>
    <w:rsid w:val="00536041"/>
    <w:rsid w:val="0053700D"/>
    <w:rsid w:val="00540ABC"/>
    <w:rsid w:val="00540C29"/>
    <w:rsid w:val="00540C88"/>
    <w:rsid w:val="005427FF"/>
    <w:rsid w:val="00546C80"/>
    <w:rsid w:val="00547398"/>
    <w:rsid w:val="00547412"/>
    <w:rsid w:val="00547808"/>
    <w:rsid w:val="005509E4"/>
    <w:rsid w:val="00551255"/>
    <w:rsid w:val="00553F69"/>
    <w:rsid w:val="00554B4B"/>
    <w:rsid w:val="00554C93"/>
    <w:rsid w:val="00555465"/>
    <w:rsid w:val="00557061"/>
    <w:rsid w:val="00557EBA"/>
    <w:rsid w:val="00562B4F"/>
    <w:rsid w:val="00562C36"/>
    <w:rsid w:val="00563A63"/>
    <w:rsid w:val="00563E70"/>
    <w:rsid w:val="00563E91"/>
    <w:rsid w:val="005641AF"/>
    <w:rsid w:val="005641E5"/>
    <w:rsid w:val="005647D8"/>
    <w:rsid w:val="00565945"/>
    <w:rsid w:val="00565D90"/>
    <w:rsid w:val="0056741E"/>
    <w:rsid w:val="0057094B"/>
    <w:rsid w:val="005712EB"/>
    <w:rsid w:val="005725DA"/>
    <w:rsid w:val="00572888"/>
    <w:rsid w:val="00572E7E"/>
    <w:rsid w:val="005732D3"/>
    <w:rsid w:val="00573541"/>
    <w:rsid w:val="00573EAA"/>
    <w:rsid w:val="0057426A"/>
    <w:rsid w:val="00574731"/>
    <w:rsid w:val="00574768"/>
    <w:rsid w:val="00576609"/>
    <w:rsid w:val="00576B2F"/>
    <w:rsid w:val="005772BF"/>
    <w:rsid w:val="00577330"/>
    <w:rsid w:val="00580A03"/>
    <w:rsid w:val="005819AF"/>
    <w:rsid w:val="005823DB"/>
    <w:rsid w:val="00582B7E"/>
    <w:rsid w:val="00583B8E"/>
    <w:rsid w:val="005848B3"/>
    <w:rsid w:val="0058554C"/>
    <w:rsid w:val="00585DFE"/>
    <w:rsid w:val="00587845"/>
    <w:rsid w:val="00594267"/>
    <w:rsid w:val="0059586B"/>
    <w:rsid w:val="00596132"/>
    <w:rsid w:val="00596213"/>
    <w:rsid w:val="005962FA"/>
    <w:rsid w:val="0059687A"/>
    <w:rsid w:val="00596A8A"/>
    <w:rsid w:val="00596B1A"/>
    <w:rsid w:val="005A0422"/>
    <w:rsid w:val="005A190A"/>
    <w:rsid w:val="005A2F8C"/>
    <w:rsid w:val="005A6475"/>
    <w:rsid w:val="005A6FBA"/>
    <w:rsid w:val="005B0D75"/>
    <w:rsid w:val="005B1EFD"/>
    <w:rsid w:val="005B1F23"/>
    <w:rsid w:val="005B33E1"/>
    <w:rsid w:val="005B3C92"/>
    <w:rsid w:val="005B5C3A"/>
    <w:rsid w:val="005B6676"/>
    <w:rsid w:val="005B6812"/>
    <w:rsid w:val="005B6E5B"/>
    <w:rsid w:val="005B77EF"/>
    <w:rsid w:val="005B7BFC"/>
    <w:rsid w:val="005C0CEF"/>
    <w:rsid w:val="005C21A4"/>
    <w:rsid w:val="005C2236"/>
    <w:rsid w:val="005C2AC5"/>
    <w:rsid w:val="005C2F59"/>
    <w:rsid w:val="005C478C"/>
    <w:rsid w:val="005C55E3"/>
    <w:rsid w:val="005C5754"/>
    <w:rsid w:val="005C64EB"/>
    <w:rsid w:val="005C7019"/>
    <w:rsid w:val="005C71EF"/>
    <w:rsid w:val="005C7601"/>
    <w:rsid w:val="005C7BF6"/>
    <w:rsid w:val="005D18CC"/>
    <w:rsid w:val="005D18F7"/>
    <w:rsid w:val="005D1E98"/>
    <w:rsid w:val="005D2521"/>
    <w:rsid w:val="005D5568"/>
    <w:rsid w:val="005D5C46"/>
    <w:rsid w:val="005D5E86"/>
    <w:rsid w:val="005D730E"/>
    <w:rsid w:val="005E0BF8"/>
    <w:rsid w:val="005E1A90"/>
    <w:rsid w:val="005E1AD5"/>
    <w:rsid w:val="005E2229"/>
    <w:rsid w:val="005E3057"/>
    <w:rsid w:val="005E35C3"/>
    <w:rsid w:val="005E412A"/>
    <w:rsid w:val="005E4444"/>
    <w:rsid w:val="005E4742"/>
    <w:rsid w:val="005E52AC"/>
    <w:rsid w:val="005E5388"/>
    <w:rsid w:val="005E65A9"/>
    <w:rsid w:val="005E6C44"/>
    <w:rsid w:val="005F011C"/>
    <w:rsid w:val="005F2EA9"/>
    <w:rsid w:val="005F32F2"/>
    <w:rsid w:val="005F64B8"/>
    <w:rsid w:val="005F69A5"/>
    <w:rsid w:val="00602E63"/>
    <w:rsid w:val="00602EE0"/>
    <w:rsid w:val="00603581"/>
    <w:rsid w:val="00603D31"/>
    <w:rsid w:val="006046AD"/>
    <w:rsid w:val="006053BF"/>
    <w:rsid w:val="00606ADB"/>
    <w:rsid w:val="006100D1"/>
    <w:rsid w:val="006101DC"/>
    <w:rsid w:val="00612281"/>
    <w:rsid w:val="006126C3"/>
    <w:rsid w:val="00612FAB"/>
    <w:rsid w:val="00613F66"/>
    <w:rsid w:val="00614EAD"/>
    <w:rsid w:val="006164B1"/>
    <w:rsid w:val="00620632"/>
    <w:rsid w:val="00620F5E"/>
    <w:rsid w:val="00621C75"/>
    <w:rsid w:val="00622382"/>
    <w:rsid w:val="0062365D"/>
    <w:rsid w:val="00623993"/>
    <w:rsid w:val="00624A7F"/>
    <w:rsid w:val="00624AEB"/>
    <w:rsid w:val="006256D8"/>
    <w:rsid w:val="0062612A"/>
    <w:rsid w:val="00627BAC"/>
    <w:rsid w:val="0063049B"/>
    <w:rsid w:val="00631BA3"/>
    <w:rsid w:val="00632534"/>
    <w:rsid w:val="0063269C"/>
    <w:rsid w:val="00632791"/>
    <w:rsid w:val="00633939"/>
    <w:rsid w:val="006344D8"/>
    <w:rsid w:val="00635564"/>
    <w:rsid w:val="00635C8D"/>
    <w:rsid w:val="006376E8"/>
    <w:rsid w:val="00637E66"/>
    <w:rsid w:val="00641BAD"/>
    <w:rsid w:val="00643C57"/>
    <w:rsid w:val="00644505"/>
    <w:rsid w:val="00644F8B"/>
    <w:rsid w:val="00647D51"/>
    <w:rsid w:val="00650959"/>
    <w:rsid w:val="00651D32"/>
    <w:rsid w:val="00653C57"/>
    <w:rsid w:val="00655894"/>
    <w:rsid w:val="0065674F"/>
    <w:rsid w:val="006568FA"/>
    <w:rsid w:val="00657D8D"/>
    <w:rsid w:val="00660B68"/>
    <w:rsid w:val="00662CEA"/>
    <w:rsid w:val="00663CB5"/>
    <w:rsid w:val="00664A18"/>
    <w:rsid w:val="00665FD4"/>
    <w:rsid w:val="00666707"/>
    <w:rsid w:val="00666E3F"/>
    <w:rsid w:val="00667870"/>
    <w:rsid w:val="00671420"/>
    <w:rsid w:val="00673F26"/>
    <w:rsid w:val="00674E44"/>
    <w:rsid w:val="006755CA"/>
    <w:rsid w:val="00676C0A"/>
    <w:rsid w:val="00676F93"/>
    <w:rsid w:val="006801E3"/>
    <w:rsid w:val="0068054D"/>
    <w:rsid w:val="006812D7"/>
    <w:rsid w:val="00681983"/>
    <w:rsid w:val="00682388"/>
    <w:rsid w:val="00682976"/>
    <w:rsid w:val="00683D5A"/>
    <w:rsid w:val="006845FD"/>
    <w:rsid w:val="00684E39"/>
    <w:rsid w:val="006858CB"/>
    <w:rsid w:val="0068669B"/>
    <w:rsid w:val="0068683B"/>
    <w:rsid w:val="00686C1B"/>
    <w:rsid w:val="00691D1A"/>
    <w:rsid w:val="00692D49"/>
    <w:rsid w:val="006934B9"/>
    <w:rsid w:val="00694AE8"/>
    <w:rsid w:val="00694EA9"/>
    <w:rsid w:val="00695557"/>
    <w:rsid w:val="00695D68"/>
    <w:rsid w:val="006A019C"/>
    <w:rsid w:val="006A3080"/>
    <w:rsid w:val="006A33F8"/>
    <w:rsid w:val="006A42EE"/>
    <w:rsid w:val="006A4B9E"/>
    <w:rsid w:val="006A4D25"/>
    <w:rsid w:val="006A5CD4"/>
    <w:rsid w:val="006B017E"/>
    <w:rsid w:val="006B198A"/>
    <w:rsid w:val="006B1AAF"/>
    <w:rsid w:val="006B1F44"/>
    <w:rsid w:val="006B2AF9"/>
    <w:rsid w:val="006B3B20"/>
    <w:rsid w:val="006B3DA3"/>
    <w:rsid w:val="006B50E5"/>
    <w:rsid w:val="006B5A03"/>
    <w:rsid w:val="006B6B68"/>
    <w:rsid w:val="006B6BD3"/>
    <w:rsid w:val="006B7868"/>
    <w:rsid w:val="006B7FBB"/>
    <w:rsid w:val="006C0161"/>
    <w:rsid w:val="006C024B"/>
    <w:rsid w:val="006C12EB"/>
    <w:rsid w:val="006C2F02"/>
    <w:rsid w:val="006C3829"/>
    <w:rsid w:val="006C3A02"/>
    <w:rsid w:val="006C4432"/>
    <w:rsid w:val="006C56A2"/>
    <w:rsid w:val="006C6958"/>
    <w:rsid w:val="006C7463"/>
    <w:rsid w:val="006C7C58"/>
    <w:rsid w:val="006D13E4"/>
    <w:rsid w:val="006D447F"/>
    <w:rsid w:val="006D58C4"/>
    <w:rsid w:val="006D65DE"/>
    <w:rsid w:val="006D7A57"/>
    <w:rsid w:val="006E0006"/>
    <w:rsid w:val="006E056E"/>
    <w:rsid w:val="006E102A"/>
    <w:rsid w:val="006E17E1"/>
    <w:rsid w:val="006E346A"/>
    <w:rsid w:val="006E4E28"/>
    <w:rsid w:val="006E4FDA"/>
    <w:rsid w:val="006E51C1"/>
    <w:rsid w:val="006E55C5"/>
    <w:rsid w:val="006E5CE5"/>
    <w:rsid w:val="006E6F5B"/>
    <w:rsid w:val="006E73BB"/>
    <w:rsid w:val="006F0184"/>
    <w:rsid w:val="006F424A"/>
    <w:rsid w:val="006F7597"/>
    <w:rsid w:val="007004D3"/>
    <w:rsid w:val="00700D10"/>
    <w:rsid w:val="0070266D"/>
    <w:rsid w:val="00702956"/>
    <w:rsid w:val="00704356"/>
    <w:rsid w:val="007057D3"/>
    <w:rsid w:val="00706BBF"/>
    <w:rsid w:val="00711139"/>
    <w:rsid w:val="0071134D"/>
    <w:rsid w:val="0071190D"/>
    <w:rsid w:val="007127E5"/>
    <w:rsid w:val="00713543"/>
    <w:rsid w:val="00713AB5"/>
    <w:rsid w:val="00713FB8"/>
    <w:rsid w:val="00714174"/>
    <w:rsid w:val="0071458C"/>
    <w:rsid w:val="00714EA8"/>
    <w:rsid w:val="00715C8A"/>
    <w:rsid w:val="00720D9A"/>
    <w:rsid w:val="00721112"/>
    <w:rsid w:val="00721FCC"/>
    <w:rsid w:val="00722C1D"/>
    <w:rsid w:val="007234DD"/>
    <w:rsid w:val="0072486E"/>
    <w:rsid w:val="00725376"/>
    <w:rsid w:val="00730386"/>
    <w:rsid w:val="00732E1A"/>
    <w:rsid w:val="00735BE9"/>
    <w:rsid w:val="00736015"/>
    <w:rsid w:val="00736354"/>
    <w:rsid w:val="00736C90"/>
    <w:rsid w:val="007373F8"/>
    <w:rsid w:val="0073748B"/>
    <w:rsid w:val="00743249"/>
    <w:rsid w:val="00743819"/>
    <w:rsid w:val="00743B20"/>
    <w:rsid w:val="00743BDF"/>
    <w:rsid w:val="00744381"/>
    <w:rsid w:val="00744438"/>
    <w:rsid w:val="00745645"/>
    <w:rsid w:val="007461B4"/>
    <w:rsid w:val="0074681B"/>
    <w:rsid w:val="007469A1"/>
    <w:rsid w:val="00747439"/>
    <w:rsid w:val="007477DA"/>
    <w:rsid w:val="007477E6"/>
    <w:rsid w:val="007502A7"/>
    <w:rsid w:val="00752737"/>
    <w:rsid w:val="007528D6"/>
    <w:rsid w:val="00752DB9"/>
    <w:rsid w:val="00753775"/>
    <w:rsid w:val="00755A21"/>
    <w:rsid w:val="007560CD"/>
    <w:rsid w:val="007566EE"/>
    <w:rsid w:val="007573E1"/>
    <w:rsid w:val="007608D2"/>
    <w:rsid w:val="00762CC7"/>
    <w:rsid w:val="00763B17"/>
    <w:rsid w:val="00763D44"/>
    <w:rsid w:val="00765CE4"/>
    <w:rsid w:val="00766790"/>
    <w:rsid w:val="00766C1A"/>
    <w:rsid w:val="00766DBF"/>
    <w:rsid w:val="00767D74"/>
    <w:rsid w:val="007716D8"/>
    <w:rsid w:val="0077202C"/>
    <w:rsid w:val="00774472"/>
    <w:rsid w:val="00774561"/>
    <w:rsid w:val="007752CD"/>
    <w:rsid w:val="00775F4F"/>
    <w:rsid w:val="00776518"/>
    <w:rsid w:val="00776AE7"/>
    <w:rsid w:val="00776EE4"/>
    <w:rsid w:val="007805BC"/>
    <w:rsid w:val="00780A49"/>
    <w:rsid w:val="0078194C"/>
    <w:rsid w:val="00782506"/>
    <w:rsid w:val="007830DC"/>
    <w:rsid w:val="007831C5"/>
    <w:rsid w:val="007844F5"/>
    <w:rsid w:val="00784C3F"/>
    <w:rsid w:val="00785D75"/>
    <w:rsid w:val="00786E0F"/>
    <w:rsid w:val="007871BF"/>
    <w:rsid w:val="0079002C"/>
    <w:rsid w:val="0079086F"/>
    <w:rsid w:val="00791D22"/>
    <w:rsid w:val="00792DFB"/>
    <w:rsid w:val="0079358C"/>
    <w:rsid w:val="00795470"/>
    <w:rsid w:val="00796994"/>
    <w:rsid w:val="00796C2A"/>
    <w:rsid w:val="00797D68"/>
    <w:rsid w:val="007A0E92"/>
    <w:rsid w:val="007A10A1"/>
    <w:rsid w:val="007A2802"/>
    <w:rsid w:val="007A3343"/>
    <w:rsid w:val="007A339D"/>
    <w:rsid w:val="007A38E1"/>
    <w:rsid w:val="007A3E89"/>
    <w:rsid w:val="007A4E5F"/>
    <w:rsid w:val="007A5E2E"/>
    <w:rsid w:val="007A7036"/>
    <w:rsid w:val="007A7417"/>
    <w:rsid w:val="007B06F6"/>
    <w:rsid w:val="007B091A"/>
    <w:rsid w:val="007B1CCC"/>
    <w:rsid w:val="007B4576"/>
    <w:rsid w:val="007B4F8A"/>
    <w:rsid w:val="007B5315"/>
    <w:rsid w:val="007B5611"/>
    <w:rsid w:val="007B64DA"/>
    <w:rsid w:val="007B7389"/>
    <w:rsid w:val="007B7A30"/>
    <w:rsid w:val="007B7FE4"/>
    <w:rsid w:val="007C14A2"/>
    <w:rsid w:val="007C2135"/>
    <w:rsid w:val="007C2314"/>
    <w:rsid w:val="007C27BB"/>
    <w:rsid w:val="007C2ECC"/>
    <w:rsid w:val="007C3086"/>
    <w:rsid w:val="007C3308"/>
    <w:rsid w:val="007C4A37"/>
    <w:rsid w:val="007C6798"/>
    <w:rsid w:val="007C6ED7"/>
    <w:rsid w:val="007C7AA3"/>
    <w:rsid w:val="007C7D71"/>
    <w:rsid w:val="007D0E40"/>
    <w:rsid w:val="007D1FB5"/>
    <w:rsid w:val="007D2DB9"/>
    <w:rsid w:val="007D31C6"/>
    <w:rsid w:val="007D43D2"/>
    <w:rsid w:val="007D5529"/>
    <w:rsid w:val="007D60EF"/>
    <w:rsid w:val="007D616F"/>
    <w:rsid w:val="007D6470"/>
    <w:rsid w:val="007D6850"/>
    <w:rsid w:val="007D7467"/>
    <w:rsid w:val="007E0D1A"/>
    <w:rsid w:val="007E0E0D"/>
    <w:rsid w:val="007E2705"/>
    <w:rsid w:val="007E2F55"/>
    <w:rsid w:val="007E3385"/>
    <w:rsid w:val="007E3D9A"/>
    <w:rsid w:val="007E6A81"/>
    <w:rsid w:val="007E709C"/>
    <w:rsid w:val="007E70C2"/>
    <w:rsid w:val="007E7498"/>
    <w:rsid w:val="007E7940"/>
    <w:rsid w:val="007F247C"/>
    <w:rsid w:val="007F37B9"/>
    <w:rsid w:val="007F3F63"/>
    <w:rsid w:val="007F3F66"/>
    <w:rsid w:val="007F5339"/>
    <w:rsid w:val="007F6159"/>
    <w:rsid w:val="007F6559"/>
    <w:rsid w:val="007F7AC6"/>
    <w:rsid w:val="008006D6"/>
    <w:rsid w:val="008012A0"/>
    <w:rsid w:val="00801E35"/>
    <w:rsid w:val="00801FB7"/>
    <w:rsid w:val="008023A0"/>
    <w:rsid w:val="00802FD0"/>
    <w:rsid w:val="00803113"/>
    <w:rsid w:val="00803664"/>
    <w:rsid w:val="008075DA"/>
    <w:rsid w:val="00807BC8"/>
    <w:rsid w:val="00810231"/>
    <w:rsid w:val="008104A2"/>
    <w:rsid w:val="00810F79"/>
    <w:rsid w:val="0081248E"/>
    <w:rsid w:val="00815A1E"/>
    <w:rsid w:val="00816572"/>
    <w:rsid w:val="0081722E"/>
    <w:rsid w:val="00817AF6"/>
    <w:rsid w:val="008211B7"/>
    <w:rsid w:val="0082245A"/>
    <w:rsid w:val="0082284E"/>
    <w:rsid w:val="0082373D"/>
    <w:rsid w:val="00823866"/>
    <w:rsid w:val="008239EF"/>
    <w:rsid w:val="00824070"/>
    <w:rsid w:val="00824345"/>
    <w:rsid w:val="00824B5E"/>
    <w:rsid w:val="00824D7B"/>
    <w:rsid w:val="0082507A"/>
    <w:rsid w:val="00826033"/>
    <w:rsid w:val="00826248"/>
    <w:rsid w:val="00826A93"/>
    <w:rsid w:val="00826C83"/>
    <w:rsid w:val="00827311"/>
    <w:rsid w:val="00830150"/>
    <w:rsid w:val="0083074A"/>
    <w:rsid w:val="00831C87"/>
    <w:rsid w:val="008320F7"/>
    <w:rsid w:val="00832A3A"/>
    <w:rsid w:val="0083435E"/>
    <w:rsid w:val="00834BDA"/>
    <w:rsid w:val="008357D4"/>
    <w:rsid w:val="00835D84"/>
    <w:rsid w:val="00836CB2"/>
    <w:rsid w:val="00837B24"/>
    <w:rsid w:val="00837C08"/>
    <w:rsid w:val="008407AF"/>
    <w:rsid w:val="00840EC9"/>
    <w:rsid w:val="00841949"/>
    <w:rsid w:val="0084273A"/>
    <w:rsid w:val="008445B2"/>
    <w:rsid w:val="008445D5"/>
    <w:rsid w:val="008453FD"/>
    <w:rsid w:val="008460A1"/>
    <w:rsid w:val="00846E9E"/>
    <w:rsid w:val="0085065A"/>
    <w:rsid w:val="00851206"/>
    <w:rsid w:val="00851C23"/>
    <w:rsid w:val="00854276"/>
    <w:rsid w:val="00855686"/>
    <w:rsid w:val="008557AB"/>
    <w:rsid w:val="008557D7"/>
    <w:rsid w:val="008558A1"/>
    <w:rsid w:val="00856080"/>
    <w:rsid w:val="0085610D"/>
    <w:rsid w:val="0085663B"/>
    <w:rsid w:val="00856A63"/>
    <w:rsid w:val="0085753E"/>
    <w:rsid w:val="0085765B"/>
    <w:rsid w:val="00860E7D"/>
    <w:rsid w:val="00861210"/>
    <w:rsid w:val="008621E8"/>
    <w:rsid w:val="00862A58"/>
    <w:rsid w:val="00864674"/>
    <w:rsid w:val="00865AB3"/>
    <w:rsid w:val="0086695A"/>
    <w:rsid w:val="00866F4F"/>
    <w:rsid w:val="008670C2"/>
    <w:rsid w:val="008705C5"/>
    <w:rsid w:val="00870AEC"/>
    <w:rsid w:val="00870BA2"/>
    <w:rsid w:val="008716DD"/>
    <w:rsid w:val="00873107"/>
    <w:rsid w:val="00873C4A"/>
    <w:rsid w:val="00875DE5"/>
    <w:rsid w:val="00877DBB"/>
    <w:rsid w:val="008818C8"/>
    <w:rsid w:val="00882AC6"/>
    <w:rsid w:val="00883396"/>
    <w:rsid w:val="00884089"/>
    <w:rsid w:val="00884E7E"/>
    <w:rsid w:val="0088595F"/>
    <w:rsid w:val="0088643C"/>
    <w:rsid w:val="00886664"/>
    <w:rsid w:val="00886D2E"/>
    <w:rsid w:val="0088702E"/>
    <w:rsid w:val="00887859"/>
    <w:rsid w:val="00890A41"/>
    <w:rsid w:val="00890D90"/>
    <w:rsid w:val="0089109D"/>
    <w:rsid w:val="00892ECA"/>
    <w:rsid w:val="00893644"/>
    <w:rsid w:val="00893649"/>
    <w:rsid w:val="00894E42"/>
    <w:rsid w:val="0089636E"/>
    <w:rsid w:val="0089783D"/>
    <w:rsid w:val="008A139A"/>
    <w:rsid w:val="008A28B8"/>
    <w:rsid w:val="008A2B51"/>
    <w:rsid w:val="008A44C5"/>
    <w:rsid w:val="008A4523"/>
    <w:rsid w:val="008A4AE3"/>
    <w:rsid w:val="008A68B4"/>
    <w:rsid w:val="008A6B3C"/>
    <w:rsid w:val="008A6D25"/>
    <w:rsid w:val="008A7677"/>
    <w:rsid w:val="008A7B6D"/>
    <w:rsid w:val="008B17CE"/>
    <w:rsid w:val="008B1AF9"/>
    <w:rsid w:val="008B1CB4"/>
    <w:rsid w:val="008B2E27"/>
    <w:rsid w:val="008B3792"/>
    <w:rsid w:val="008B3A48"/>
    <w:rsid w:val="008B3DE6"/>
    <w:rsid w:val="008B3F05"/>
    <w:rsid w:val="008B42D6"/>
    <w:rsid w:val="008B436F"/>
    <w:rsid w:val="008B5C16"/>
    <w:rsid w:val="008B5E49"/>
    <w:rsid w:val="008B6BB2"/>
    <w:rsid w:val="008B7591"/>
    <w:rsid w:val="008B772D"/>
    <w:rsid w:val="008C29F7"/>
    <w:rsid w:val="008C2D18"/>
    <w:rsid w:val="008C2D57"/>
    <w:rsid w:val="008C3186"/>
    <w:rsid w:val="008C359A"/>
    <w:rsid w:val="008C4455"/>
    <w:rsid w:val="008C4B7E"/>
    <w:rsid w:val="008C4D5B"/>
    <w:rsid w:val="008D0248"/>
    <w:rsid w:val="008D0486"/>
    <w:rsid w:val="008D096E"/>
    <w:rsid w:val="008D1E11"/>
    <w:rsid w:val="008D2578"/>
    <w:rsid w:val="008D3757"/>
    <w:rsid w:val="008D3CF4"/>
    <w:rsid w:val="008D41FF"/>
    <w:rsid w:val="008D4460"/>
    <w:rsid w:val="008D4CC6"/>
    <w:rsid w:val="008D5CCC"/>
    <w:rsid w:val="008D74B0"/>
    <w:rsid w:val="008E0153"/>
    <w:rsid w:val="008E0D43"/>
    <w:rsid w:val="008E1C4B"/>
    <w:rsid w:val="008E2471"/>
    <w:rsid w:val="008E3239"/>
    <w:rsid w:val="008E4C06"/>
    <w:rsid w:val="008F02B7"/>
    <w:rsid w:val="008F095C"/>
    <w:rsid w:val="008F1B64"/>
    <w:rsid w:val="008F25FD"/>
    <w:rsid w:val="008F267E"/>
    <w:rsid w:val="008F2802"/>
    <w:rsid w:val="008F5B27"/>
    <w:rsid w:val="008F5B86"/>
    <w:rsid w:val="008F6828"/>
    <w:rsid w:val="008F6E4F"/>
    <w:rsid w:val="00900631"/>
    <w:rsid w:val="0090069B"/>
    <w:rsid w:val="009007B1"/>
    <w:rsid w:val="00900B99"/>
    <w:rsid w:val="00901560"/>
    <w:rsid w:val="00901BC9"/>
    <w:rsid w:val="009026E3"/>
    <w:rsid w:val="009027AD"/>
    <w:rsid w:val="00902E2E"/>
    <w:rsid w:val="0090378A"/>
    <w:rsid w:val="00903A89"/>
    <w:rsid w:val="00903D30"/>
    <w:rsid w:val="00903DE6"/>
    <w:rsid w:val="00904E14"/>
    <w:rsid w:val="00904E8A"/>
    <w:rsid w:val="009054CD"/>
    <w:rsid w:val="009069CA"/>
    <w:rsid w:val="009070F0"/>
    <w:rsid w:val="009107A9"/>
    <w:rsid w:val="00910B17"/>
    <w:rsid w:val="00912596"/>
    <w:rsid w:val="00915229"/>
    <w:rsid w:val="00915329"/>
    <w:rsid w:val="00915781"/>
    <w:rsid w:val="00916952"/>
    <w:rsid w:val="00921F3A"/>
    <w:rsid w:val="00922B04"/>
    <w:rsid w:val="00923491"/>
    <w:rsid w:val="00923925"/>
    <w:rsid w:val="00924123"/>
    <w:rsid w:val="00924F52"/>
    <w:rsid w:val="00925843"/>
    <w:rsid w:val="00926C8D"/>
    <w:rsid w:val="0092765E"/>
    <w:rsid w:val="00930954"/>
    <w:rsid w:val="009345B7"/>
    <w:rsid w:val="00935084"/>
    <w:rsid w:val="00935C1A"/>
    <w:rsid w:val="00935DAC"/>
    <w:rsid w:val="00936B5C"/>
    <w:rsid w:val="009421C3"/>
    <w:rsid w:val="0094238B"/>
    <w:rsid w:val="009426AC"/>
    <w:rsid w:val="00943BCE"/>
    <w:rsid w:val="00943E1D"/>
    <w:rsid w:val="00944F8F"/>
    <w:rsid w:val="00945B22"/>
    <w:rsid w:val="00945BC2"/>
    <w:rsid w:val="00945E8C"/>
    <w:rsid w:val="00946327"/>
    <w:rsid w:val="0094743D"/>
    <w:rsid w:val="009512C5"/>
    <w:rsid w:val="009531E8"/>
    <w:rsid w:val="00953490"/>
    <w:rsid w:val="00953511"/>
    <w:rsid w:val="009537F0"/>
    <w:rsid w:val="009544DD"/>
    <w:rsid w:val="00954667"/>
    <w:rsid w:val="00955708"/>
    <w:rsid w:val="00955DB5"/>
    <w:rsid w:val="009572F9"/>
    <w:rsid w:val="00957422"/>
    <w:rsid w:val="0096135C"/>
    <w:rsid w:val="009617B6"/>
    <w:rsid w:val="00961D5E"/>
    <w:rsid w:val="00962E4B"/>
    <w:rsid w:val="009632E0"/>
    <w:rsid w:val="00963713"/>
    <w:rsid w:val="0096428A"/>
    <w:rsid w:val="00965888"/>
    <w:rsid w:val="00965E60"/>
    <w:rsid w:val="00965F6C"/>
    <w:rsid w:val="00966B04"/>
    <w:rsid w:val="009676A4"/>
    <w:rsid w:val="00967AD6"/>
    <w:rsid w:val="00967C5B"/>
    <w:rsid w:val="00970DAC"/>
    <w:rsid w:val="009711CD"/>
    <w:rsid w:val="00971B46"/>
    <w:rsid w:val="0097205A"/>
    <w:rsid w:val="00972BE8"/>
    <w:rsid w:val="009754B0"/>
    <w:rsid w:val="0097599E"/>
    <w:rsid w:val="00975E7E"/>
    <w:rsid w:val="0097606E"/>
    <w:rsid w:val="009761EA"/>
    <w:rsid w:val="009779E4"/>
    <w:rsid w:val="00977CC7"/>
    <w:rsid w:val="00982E47"/>
    <w:rsid w:val="009830F4"/>
    <w:rsid w:val="0098348E"/>
    <w:rsid w:val="00983862"/>
    <w:rsid w:val="00983D48"/>
    <w:rsid w:val="00985078"/>
    <w:rsid w:val="00986340"/>
    <w:rsid w:val="009868CB"/>
    <w:rsid w:val="00990C48"/>
    <w:rsid w:val="00991999"/>
    <w:rsid w:val="00991FF7"/>
    <w:rsid w:val="009933C5"/>
    <w:rsid w:val="0099362A"/>
    <w:rsid w:val="00995FBB"/>
    <w:rsid w:val="00996ED7"/>
    <w:rsid w:val="009970CE"/>
    <w:rsid w:val="00997387"/>
    <w:rsid w:val="009A0788"/>
    <w:rsid w:val="009A315E"/>
    <w:rsid w:val="009A37A4"/>
    <w:rsid w:val="009A501C"/>
    <w:rsid w:val="009A5AB9"/>
    <w:rsid w:val="009A79F5"/>
    <w:rsid w:val="009B0CA6"/>
    <w:rsid w:val="009B0EBD"/>
    <w:rsid w:val="009B1E08"/>
    <w:rsid w:val="009B25FB"/>
    <w:rsid w:val="009B3B19"/>
    <w:rsid w:val="009B42F3"/>
    <w:rsid w:val="009B4BAC"/>
    <w:rsid w:val="009B5249"/>
    <w:rsid w:val="009B766E"/>
    <w:rsid w:val="009B7C9D"/>
    <w:rsid w:val="009C039F"/>
    <w:rsid w:val="009C095D"/>
    <w:rsid w:val="009C1CC9"/>
    <w:rsid w:val="009C2479"/>
    <w:rsid w:val="009C3727"/>
    <w:rsid w:val="009C3AAA"/>
    <w:rsid w:val="009C3DF4"/>
    <w:rsid w:val="009C4222"/>
    <w:rsid w:val="009C4F43"/>
    <w:rsid w:val="009C578E"/>
    <w:rsid w:val="009C57D6"/>
    <w:rsid w:val="009C5FD8"/>
    <w:rsid w:val="009C6751"/>
    <w:rsid w:val="009D0091"/>
    <w:rsid w:val="009D082C"/>
    <w:rsid w:val="009D08E5"/>
    <w:rsid w:val="009D0D06"/>
    <w:rsid w:val="009D144A"/>
    <w:rsid w:val="009D24F5"/>
    <w:rsid w:val="009D379B"/>
    <w:rsid w:val="009D4A60"/>
    <w:rsid w:val="009D66CC"/>
    <w:rsid w:val="009E04D6"/>
    <w:rsid w:val="009E087A"/>
    <w:rsid w:val="009E09AB"/>
    <w:rsid w:val="009E1298"/>
    <w:rsid w:val="009E1414"/>
    <w:rsid w:val="009E22BF"/>
    <w:rsid w:val="009E33CE"/>
    <w:rsid w:val="009E36BC"/>
    <w:rsid w:val="009E5A3E"/>
    <w:rsid w:val="009E7943"/>
    <w:rsid w:val="009F0097"/>
    <w:rsid w:val="009F13F1"/>
    <w:rsid w:val="009F18BC"/>
    <w:rsid w:val="009F487D"/>
    <w:rsid w:val="009F5FDE"/>
    <w:rsid w:val="009F6744"/>
    <w:rsid w:val="00A0050F"/>
    <w:rsid w:val="00A0123E"/>
    <w:rsid w:val="00A01F24"/>
    <w:rsid w:val="00A035F6"/>
    <w:rsid w:val="00A0506E"/>
    <w:rsid w:val="00A05DDE"/>
    <w:rsid w:val="00A07E15"/>
    <w:rsid w:val="00A101C3"/>
    <w:rsid w:val="00A109D6"/>
    <w:rsid w:val="00A117D4"/>
    <w:rsid w:val="00A11C24"/>
    <w:rsid w:val="00A12011"/>
    <w:rsid w:val="00A12D85"/>
    <w:rsid w:val="00A12FAF"/>
    <w:rsid w:val="00A14230"/>
    <w:rsid w:val="00A142E8"/>
    <w:rsid w:val="00A14771"/>
    <w:rsid w:val="00A15071"/>
    <w:rsid w:val="00A157F7"/>
    <w:rsid w:val="00A17816"/>
    <w:rsid w:val="00A224C7"/>
    <w:rsid w:val="00A22A8F"/>
    <w:rsid w:val="00A2300A"/>
    <w:rsid w:val="00A230E1"/>
    <w:rsid w:val="00A23BBC"/>
    <w:rsid w:val="00A25873"/>
    <w:rsid w:val="00A25A93"/>
    <w:rsid w:val="00A25D2D"/>
    <w:rsid w:val="00A27BE5"/>
    <w:rsid w:val="00A30A66"/>
    <w:rsid w:val="00A317EF"/>
    <w:rsid w:val="00A318CC"/>
    <w:rsid w:val="00A31AF3"/>
    <w:rsid w:val="00A33A5D"/>
    <w:rsid w:val="00A33D0B"/>
    <w:rsid w:val="00A343D2"/>
    <w:rsid w:val="00A34F8C"/>
    <w:rsid w:val="00A36EB7"/>
    <w:rsid w:val="00A371B3"/>
    <w:rsid w:val="00A37875"/>
    <w:rsid w:val="00A37FE8"/>
    <w:rsid w:val="00A42354"/>
    <w:rsid w:val="00A4354E"/>
    <w:rsid w:val="00A445F7"/>
    <w:rsid w:val="00A46CFB"/>
    <w:rsid w:val="00A4769D"/>
    <w:rsid w:val="00A47EA6"/>
    <w:rsid w:val="00A508FA"/>
    <w:rsid w:val="00A511E7"/>
    <w:rsid w:val="00A51F1F"/>
    <w:rsid w:val="00A539B3"/>
    <w:rsid w:val="00A539E0"/>
    <w:rsid w:val="00A54284"/>
    <w:rsid w:val="00A55394"/>
    <w:rsid w:val="00A560F9"/>
    <w:rsid w:val="00A561DF"/>
    <w:rsid w:val="00A56891"/>
    <w:rsid w:val="00A6081F"/>
    <w:rsid w:val="00A634EB"/>
    <w:rsid w:val="00A637AE"/>
    <w:rsid w:val="00A66AB1"/>
    <w:rsid w:val="00A6767F"/>
    <w:rsid w:val="00A67CE8"/>
    <w:rsid w:val="00A7182E"/>
    <w:rsid w:val="00A71AAE"/>
    <w:rsid w:val="00A72796"/>
    <w:rsid w:val="00A72FF2"/>
    <w:rsid w:val="00A736E5"/>
    <w:rsid w:val="00A74736"/>
    <w:rsid w:val="00A7538D"/>
    <w:rsid w:val="00A76348"/>
    <w:rsid w:val="00A7666C"/>
    <w:rsid w:val="00A77CC4"/>
    <w:rsid w:val="00A80E24"/>
    <w:rsid w:val="00A8241B"/>
    <w:rsid w:val="00A82997"/>
    <w:rsid w:val="00A841B7"/>
    <w:rsid w:val="00A84769"/>
    <w:rsid w:val="00A84BCD"/>
    <w:rsid w:val="00A86850"/>
    <w:rsid w:val="00A86ABC"/>
    <w:rsid w:val="00A87FA9"/>
    <w:rsid w:val="00A9080E"/>
    <w:rsid w:val="00A930BB"/>
    <w:rsid w:val="00A93EBF"/>
    <w:rsid w:val="00A9617F"/>
    <w:rsid w:val="00A96F61"/>
    <w:rsid w:val="00A9727F"/>
    <w:rsid w:val="00A9740B"/>
    <w:rsid w:val="00A97DF1"/>
    <w:rsid w:val="00AA0057"/>
    <w:rsid w:val="00AA05ED"/>
    <w:rsid w:val="00AA205F"/>
    <w:rsid w:val="00AA22F4"/>
    <w:rsid w:val="00AA24AB"/>
    <w:rsid w:val="00AA34F5"/>
    <w:rsid w:val="00AA3BFD"/>
    <w:rsid w:val="00AA3E7F"/>
    <w:rsid w:val="00AA4312"/>
    <w:rsid w:val="00AA479D"/>
    <w:rsid w:val="00AA4AEB"/>
    <w:rsid w:val="00AA504A"/>
    <w:rsid w:val="00AA6039"/>
    <w:rsid w:val="00AA6845"/>
    <w:rsid w:val="00AA7B9D"/>
    <w:rsid w:val="00AB0507"/>
    <w:rsid w:val="00AB054F"/>
    <w:rsid w:val="00AB0BA0"/>
    <w:rsid w:val="00AB0DDF"/>
    <w:rsid w:val="00AB1EF0"/>
    <w:rsid w:val="00AB2BF4"/>
    <w:rsid w:val="00AB2DF9"/>
    <w:rsid w:val="00AB3DD7"/>
    <w:rsid w:val="00AB5058"/>
    <w:rsid w:val="00AB546E"/>
    <w:rsid w:val="00AB583E"/>
    <w:rsid w:val="00AB61DF"/>
    <w:rsid w:val="00AB69AE"/>
    <w:rsid w:val="00AB7F4A"/>
    <w:rsid w:val="00AC003B"/>
    <w:rsid w:val="00AC148C"/>
    <w:rsid w:val="00AC23F2"/>
    <w:rsid w:val="00AC2729"/>
    <w:rsid w:val="00AC2A1D"/>
    <w:rsid w:val="00AC2EB4"/>
    <w:rsid w:val="00AC34D8"/>
    <w:rsid w:val="00AC3FCF"/>
    <w:rsid w:val="00AC4C73"/>
    <w:rsid w:val="00AC5676"/>
    <w:rsid w:val="00AC6645"/>
    <w:rsid w:val="00AC6926"/>
    <w:rsid w:val="00AC7849"/>
    <w:rsid w:val="00AC7DAA"/>
    <w:rsid w:val="00AD054C"/>
    <w:rsid w:val="00AD0C78"/>
    <w:rsid w:val="00AD0CCB"/>
    <w:rsid w:val="00AD1809"/>
    <w:rsid w:val="00AD1D70"/>
    <w:rsid w:val="00AD2B32"/>
    <w:rsid w:val="00AD4C94"/>
    <w:rsid w:val="00AD5D10"/>
    <w:rsid w:val="00AD5E39"/>
    <w:rsid w:val="00AD5E4E"/>
    <w:rsid w:val="00AD60A3"/>
    <w:rsid w:val="00AD699D"/>
    <w:rsid w:val="00AD6F88"/>
    <w:rsid w:val="00AD73E6"/>
    <w:rsid w:val="00AE0576"/>
    <w:rsid w:val="00AE059D"/>
    <w:rsid w:val="00AE2474"/>
    <w:rsid w:val="00AE2489"/>
    <w:rsid w:val="00AE2AA2"/>
    <w:rsid w:val="00AE30E9"/>
    <w:rsid w:val="00AE3F9E"/>
    <w:rsid w:val="00AE44F9"/>
    <w:rsid w:val="00AE4695"/>
    <w:rsid w:val="00AE4B17"/>
    <w:rsid w:val="00AE6A7C"/>
    <w:rsid w:val="00AE7E48"/>
    <w:rsid w:val="00AF096A"/>
    <w:rsid w:val="00AF1169"/>
    <w:rsid w:val="00AF1F6C"/>
    <w:rsid w:val="00AF24E8"/>
    <w:rsid w:val="00AF3181"/>
    <w:rsid w:val="00AF5BDA"/>
    <w:rsid w:val="00B000A7"/>
    <w:rsid w:val="00B0030D"/>
    <w:rsid w:val="00B00925"/>
    <w:rsid w:val="00B012C3"/>
    <w:rsid w:val="00B01F19"/>
    <w:rsid w:val="00B028ED"/>
    <w:rsid w:val="00B02AB2"/>
    <w:rsid w:val="00B053AE"/>
    <w:rsid w:val="00B06782"/>
    <w:rsid w:val="00B06C39"/>
    <w:rsid w:val="00B073BB"/>
    <w:rsid w:val="00B104EB"/>
    <w:rsid w:val="00B10BDA"/>
    <w:rsid w:val="00B12076"/>
    <w:rsid w:val="00B12091"/>
    <w:rsid w:val="00B12422"/>
    <w:rsid w:val="00B12710"/>
    <w:rsid w:val="00B12EEF"/>
    <w:rsid w:val="00B1314E"/>
    <w:rsid w:val="00B13A5A"/>
    <w:rsid w:val="00B13A67"/>
    <w:rsid w:val="00B14B05"/>
    <w:rsid w:val="00B1522F"/>
    <w:rsid w:val="00B169CE"/>
    <w:rsid w:val="00B1735B"/>
    <w:rsid w:val="00B17F27"/>
    <w:rsid w:val="00B20BBD"/>
    <w:rsid w:val="00B20CF8"/>
    <w:rsid w:val="00B211FC"/>
    <w:rsid w:val="00B2450E"/>
    <w:rsid w:val="00B25A57"/>
    <w:rsid w:val="00B25C81"/>
    <w:rsid w:val="00B26DA7"/>
    <w:rsid w:val="00B26EFA"/>
    <w:rsid w:val="00B27361"/>
    <w:rsid w:val="00B27551"/>
    <w:rsid w:val="00B30346"/>
    <w:rsid w:val="00B31C86"/>
    <w:rsid w:val="00B31DC6"/>
    <w:rsid w:val="00B3302F"/>
    <w:rsid w:val="00B336D4"/>
    <w:rsid w:val="00B33903"/>
    <w:rsid w:val="00B36020"/>
    <w:rsid w:val="00B37039"/>
    <w:rsid w:val="00B375C6"/>
    <w:rsid w:val="00B4060D"/>
    <w:rsid w:val="00B406EA"/>
    <w:rsid w:val="00B414C9"/>
    <w:rsid w:val="00B4179F"/>
    <w:rsid w:val="00B4233A"/>
    <w:rsid w:val="00B423C9"/>
    <w:rsid w:val="00B42CB4"/>
    <w:rsid w:val="00B436C5"/>
    <w:rsid w:val="00B4376D"/>
    <w:rsid w:val="00B43ADD"/>
    <w:rsid w:val="00B43F74"/>
    <w:rsid w:val="00B45C00"/>
    <w:rsid w:val="00B476C5"/>
    <w:rsid w:val="00B47E59"/>
    <w:rsid w:val="00B52C57"/>
    <w:rsid w:val="00B53D74"/>
    <w:rsid w:val="00B544B0"/>
    <w:rsid w:val="00B55664"/>
    <w:rsid w:val="00B57C07"/>
    <w:rsid w:val="00B60A28"/>
    <w:rsid w:val="00B611D3"/>
    <w:rsid w:val="00B61A39"/>
    <w:rsid w:val="00B62CDA"/>
    <w:rsid w:val="00B63C71"/>
    <w:rsid w:val="00B63D59"/>
    <w:rsid w:val="00B65ACA"/>
    <w:rsid w:val="00B65EF2"/>
    <w:rsid w:val="00B663BB"/>
    <w:rsid w:val="00B67986"/>
    <w:rsid w:val="00B72959"/>
    <w:rsid w:val="00B72A5B"/>
    <w:rsid w:val="00B72CB4"/>
    <w:rsid w:val="00B72F72"/>
    <w:rsid w:val="00B73276"/>
    <w:rsid w:val="00B738A3"/>
    <w:rsid w:val="00B7437F"/>
    <w:rsid w:val="00B74F42"/>
    <w:rsid w:val="00B7515B"/>
    <w:rsid w:val="00B76474"/>
    <w:rsid w:val="00B76715"/>
    <w:rsid w:val="00B778BE"/>
    <w:rsid w:val="00B77CCB"/>
    <w:rsid w:val="00B80FB5"/>
    <w:rsid w:val="00B8103A"/>
    <w:rsid w:val="00B825AA"/>
    <w:rsid w:val="00B85B78"/>
    <w:rsid w:val="00B8668B"/>
    <w:rsid w:val="00B878A8"/>
    <w:rsid w:val="00B9020F"/>
    <w:rsid w:val="00B93E3B"/>
    <w:rsid w:val="00B94612"/>
    <w:rsid w:val="00B947E0"/>
    <w:rsid w:val="00B95DC4"/>
    <w:rsid w:val="00B976A2"/>
    <w:rsid w:val="00BA1707"/>
    <w:rsid w:val="00BA1B69"/>
    <w:rsid w:val="00BA2F4F"/>
    <w:rsid w:val="00BA36A0"/>
    <w:rsid w:val="00BA4952"/>
    <w:rsid w:val="00BA4FB2"/>
    <w:rsid w:val="00BA53CB"/>
    <w:rsid w:val="00BA5E63"/>
    <w:rsid w:val="00BB1812"/>
    <w:rsid w:val="00BB3496"/>
    <w:rsid w:val="00BB4399"/>
    <w:rsid w:val="00BB45E8"/>
    <w:rsid w:val="00BB4FAA"/>
    <w:rsid w:val="00BB6300"/>
    <w:rsid w:val="00BB6E89"/>
    <w:rsid w:val="00BC1040"/>
    <w:rsid w:val="00BC255D"/>
    <w:rsid w:val="00BC2DF4"/>
    <w:rsid w:val="00BC4A78"/>
    <w:rsid w:val="00BC577F"/>
    <w:rsid w:val="00BC58C4"/>
    <w:rsid w:val="00BC60A8"/>
    <w:rsid w:val="00BC619F"/>
    <w:rsid w:val="00BC6A5A"/>
    <w:rsid w:val="00BC6DC5"/>
    <w:rsid w:val="00BC77CB"/>
    <w:rsid w:val="00BD0661"/>
    <w:rsid w:val="00BD2FDB"/>
    <w:rsid w:val="00BD30CD"/>
    <w:rsid w:val="00BD407E"/>
    <w:rsid w:val="00BD412C"/>
    <w:rsid w:val="00BD4921"/>
    <w:rsid w:val="00BD5391"/>
    <w:rsid w:val="00BD637E"/>
    <w:rsid w:val="00BD6482"/>
    <w:rsid w:val="00BD6A89"/>
    <w:rsid w:val="00BD6AD3"/>
    <w:rsid w:val="00BE05C2"/>
    <w:rsid w:val="00BE1CDF"/>
    <w:rsid w:val="00BE25FA"/>
    <w:rsid w:val="00BE2C19"/>
    <w:rsid w:val="00BE33BB"/>
    <w:rsid w:val="00BE5C6A"/>
    <w:rsid w:val="00BE6856"/>
    <w:rsid w:val="00BF016D"/>
    <w:rsid w:val="00BF044D"/>
    <w:rsid w:val="00BF16D1"/>
    <w:rsid w:val="00BF1A51"/>
    <w:rsid w:val="00BF20C5"/>
    <w:rsid w:val="00BF2918"/>
    <w:rsid w:val="00BF29CD"/>
    <w:rsid w:val="00BF48B5"/>
    <w:rsid w:val="00BF5A04"/>
    <w:rsid w:val="00BF73BC"/>
    <w:rsid w:val="00BF772D"/>
    <w:rsid w:val="00BF7813"/>
    <w:rsid w:val="00BF7865"/>
    <w:rsid w:val="00C002B3"/>
    <w:rsid w:val="00C00D29"/>
    <w:rsid w:val="00C02022"/>
    <w:rsid w:val="00C02944"/>
    <w:rsid w:val="00C02F76"/>
    <w:rsid w:val="00C03732"/>
    <w:rsid w:val="00C03AF7"/>
    <w:rsid w:val="00C04AE8"/>
    <w:rsid w:val="00C064BC"/>
    <w:rsid w:val="00C06C15"/>
    <w:rsid w:val="00C06C3B"/>
    <w:rsid w:val="00C07A2A"/>
    <w:rsid w:val="00C07B9F"/>
    <w:rsid w:val="00C10474"/>
    <w:rsid w:val="00C110A9"/>
    <w:rsid w:val="00C114E1"/>
    <w:rsid w:val="00C11AB4"/>
    <w:rsid w:val="00C12216"/>
    <w:rsid w:val="00C12CB8"/>
    <w:rsid w:val="00C13B4E"/>
    <w:rsid w:val="00C14CD5"/>
    <w:rsid w:val="00C14F2B"/>
    <w:rsid w:val="00C16583"/>
    <w:rsid w:val="00C175F6"/>
    <w:rsid w:val="00C17DC7"/>
    <w:rsid w:val="00C20EF3"/>
    <w:rsid w:val="00C21008"/>
    <w:rsid w:val="00C211CA"/>
    <w:rsid w:val="00C23C78"/>
    <w:rsid w:val="00C25483"/>
    <w:rsid w:val="00C274A6"/>
    <w:rsid w:val="00C33A5F"/>
    <w:rsid w:val="00C341CC"/>
    <w:rsid w:val="00C3541E"/>
    <w:rsid w:val="00C35557"/>
    <w:rsid w:val="00C36374"/>
    <w:rsid w:val="00C36524"/>
    <w:rsid w:val="00C37DC8"/>
    <w:rsid w:val="00C41B25"/>
    <w:rsid w:val="00C42F67"/>
    <w:rsid w:val="00C45400"/>
    <w:rsid w:val="00C45D3B"/>
    <w:rsid w:val="00C47D16"/>
    <w:rsid w:val="00C52DF6"/>
    <w:rsid w:val="00C53F51"/>
    <w:rsid w:val="00C55DF6"/>
    <w:rsid w:val="00C562AA"/>
    <w:rsid w:val="00C564CB"/>
    <w:rsid w:val="00C57B02"/>
    <w:rsid w:val="00C601D8"/>
    <w:rsid w:val="00C6093C"/>
    <w:rsid w:val="00C60A47"/>
    <w:rsid w:val="00C615CD"/>
    <w:rsid w:val="00C617AF"/>
    <w:rsid w:val="00C64A44"/>
    <w:rsid w:val="00C667FD"/>
    <w:rsid w:val="00C66D8C"/>
    <w:rsid w:val="00C66EED"/>
    <w:rsid w:val="00C71CCC"/>
    <w:rsid w:val="00C732C8"/>
    <w:rsid w:val="00C7341C"/>
    <w:rsid w:val="00C73CB5"/>
    <w:rsid w:val="00C741CE"/>
    <w:rsid w:val="00C74991"/>
    <w:rsid w:val="00C753AD"/>
    <w:rsid w:val="00C759A2"/>
    <w:rsid w:val="00C75CD8"/>
    <w:rsid w:val="00C76BF7"/>
    <w:rsid w:val="00C77060"/>
    <w:rsid w:val="00C8067A"/>
    <w:rsid w:val="00C80E34"/>
    <w:rsid w:val="00C819EE"/>
    <w:rsid w:val="00C82558"/>
    <w:rsid w:val="00C829DB"/>
    <w:rsid w:val="00C82E3E"/>
    <w:rsid w:val="00C84052"/>
    <w:rsid w:val="00C842B5"/>
    <w:rsid w:val="00C84E99"/>
    <w:rsid w:val="00C85099"/>
    <w:rsid w:val="00C854C2"/>
    <w:rsid w:val="00C857A7"/>
    <w:rsid w:val="00C85C1F"/>
    <w:rsid w:val="00C8638D"/>
    <w:rsid w:val="00C87DB0"/>
    <w:rsid w:val="00C910CE"/>
    <w:rsid w:val="00C930E0"/>
    <w:rsid w:val="00C9442F"/>
    <w:rsid w:val="00C949BB"/>
    <w:rsid w:val="00C95589"/>
    <w:rsid w:val="00C95DEB"/>
    <w:rsid w:val="00CA014F"/>
    <w:rsid w:val="00CA1D41"/>
    <w:rsid w:val="00CA1DCD"/>
    <w:rsid w:val="00CA222C"/>
    <w:rsid w:val="00CA4E59"/>
    <w:rsid w:val="00CA63C9"/>
    <w:rsid w:val="00CA6420"/>
    <w:rsid w:val="00CA69B5"/>
    <w:rsid w:val="00CA6D9F"/>
    <w:rsid w:val="00CB1DF5"/>
    <w:rsid w:val="00CB2828"/>
    <w:rsid w:val="00CB3057"/>
    <w:rsid w:val="00CB6EF3"/>
    <w:rsid w:val="00CB738E"/>
    <w:rsid w:val="00CB7CE0"/>
    <w:rsid w:val="00CC1295"/>
    <w:rsid w:val="00CC1402"/>
    <w:rsid w:val="00CC2265"/>
    <w:rsid w:val="00CC2E4E"/>
    <w:rsid w:val="00CC4BD9"/>
    <w:rsid w:val="00CC5271"/>
    <w:rsid w:val="00CC7DAB"/>
    <w:rsid w:val="00CD02A7"/>
    <w:rsid w:val="00CD0506"/>
    <w:rsid w:val="00CD0787"/>
    <w:rsid w:val="00CD2509"/>
    <w:rsid w:val="00CD3452"/>
    <w:rsid w:val="00CD3A3C"/>
    <w:rsid w:val="00CD46A5"/>
    <w:rsid w:val="00CD4911"/>
    <w:rsid w:val="00CD57D2"/>
    <w:rsid w:val="00CD57E9"/>
    <w:rsid w:val="00CD6DBC"/>
    <w:rsid w:val="00CD773A"/>
    <w:rsid w:val="00CE0223"/>
    <w:rsid w:val="00CE1177"/>
    <w:rsid w:val="00CE1DB5"/>
    <w:rsid w:val="00CE4A98"/>
    <w:rsid w:val="00CE4B3D"/>
    <w:rsid w:val="00CE5193"/>
    <w:rsid w:val="00CE5E23"/>
    <w:rsid w:val="00CE71EB"/>
    <w:rsid w:val="00CE7B0A"/>
    <w:rsid w:val="00CE7C63"/>
    <w:rsid w:val="00CF11CD"/>
    <w:rsid w:val="00CF2AF7"/>
    <w:rsid w:val="00CF3889"/>
    <w:rsid w:val="00CF39A1"/>
    <w:rsid w:val="00CF43CC"/>
    <w:rsid w:val="00CF6BD8"/>
    <w:rsid w:val="00CF6F55"/>
    <w:rsid w:val="00CF7E85"/>
    <w:rsid w:val="00D007D3"/>
    <w:rsid w:val="00D01452"/>
    <w:rsid w:val="00D03243"/>
    <w:rsid w:val="00D033CC"/>
    <w:rsid w:val="00D04294"/>
    <w:rsid w:val="00D048BA"/>
    <w:rsid w:val="00D04947"/>
    <w:rsid w:val="00D05F63"/>
    <w:rsid w:val="00D06408"/>
    <w:rsid w:val="00D06FF5"/>
    <w:rsid w:val="00D07107"/>
    <w:rsid w:val="00D10ECD"/>
    <w:rsid w:val="00D11A0F"/>
    <w:rsid w:val="00D1286F"/>
    <w:rsid w:val="00D140C3"/>
    <w:rsid w:val="00D14716"/>
    <w:rsid w:val="00D14800"/>
    <w:rsid w:val="00D14904"/>
    <w:rsid w:val="00D1567A"/>
    <w:rsid w:val="00D16133"/>
    <w:rsid w:val="00D162F8"/>
    <w:rsid w:val="00D1697A"/>
    <w:rsid w:val="00D177D1"/>
    <w:rsid w:val="00D20072"/>
    <w:rsid w:val="00D20BB3"/>
    <w:rsid w:val="00D210DA"/>
    <w:rsid w:val="00D21574"/>
    <w:rsid w:val="00D22AD9"/>
    <w:rsid w:val="00D2312F"/>
    <w:rsid w:val="00D233F7"/>
    <w:rsid w:val="00D25485"/>
    <w:rsid w:val="00D258E4"/>
    <w:rsid w:val="00D25BC9"/>
    <w:rsid w:val="00D25F1A"/>
    <w:rsid w:val="00D264B8"/>
    <w:rsid w:val="00D26D8B"/>
    <w:rsid w:val="00D30FE6"/>
    <w:rsid w:val="00D31198"/>
    <w:rsid w:val="00D33309"/>
    <w:rsid w:val="00D3607E"/>
    <w:rsid w:val="00D3657A"/>
    <w:rsid w:val="00D3666F"/>
    <w:rsid w:val="00D36C6C"/>
    <w:rsid w:val="00D379DB"/>
    <w:rsid w:val="00D37A4D"/>
    <w:rsid w:val="00D40E44"/>
    <w:rsid w:val="00D45901"/>
    <w:rsid w:val="00D47DEC"/>
    <w:rsid w:val="00D5138E"/>
    <w:rsid w:val="00D533FA"/>
    <w:rsid w:val="00D54459"/>
    <w:rsid w:val="00D55518"/>
    <w:rsid w:val="00D55C4B"/>
    <w:rsid w:val="00D55DE1"/>
    <w:rsid w:val="00D5610D"/>
    <w:rsid w:val="00D6099A"/>
    <w:rsid w:val="00D61415"/>
    <w:rsid w:val="00D617BD"/>
    <w:rsid w:val="00D62656"/>
    <w:rsid w:val="00D64361"/>
    <w:rsid w:val="00D64818"/>
    <w:rsid w:val="00D64C61"/>
    <w:rsid w:val="00D658F6"/>
    <w:rsid w:val="00D65987"/>
    <w:rsid w:val="00D65D87"/>
    <w:rsid w:val="00D67E81"/>
    <w:rsid w:val="00D721C8"/>
    <w:rsid w:val="00D7255D"/>
    <w:rsid w:val="00D731DB"/>
    <w:rsid w:val="00D732B6"/>
    <w:rsid w:val="00D73E24"/>
    <w:rsid w:val="00D75EB9"/>
    <w:rsid w:val="00D76F9A"/>
    <w:rsid w:val="00D76FCF"/>
    <w:rsid w:val="00D8254C"/>
    <w:rsid w:val="00D8380B"/>
    <w:rsid w:val="00D8445A"/>
    <w:rsid w:val="00D85C2D"/>
    <w:rsid w:val="00D8611E"/>
    <w:rsid w:val="00D902DB"/>
    <w:rsid w:val="00D92804"/>
    <w:rsid w:val="00D929F3"/>
    <w:rsid w:val="00D92F51"/>
    <w:rsid w:val="00D92F5D"/>
    <w:rsid w:val="00D933C7"/>
    <w:rsid w:val="00D93DFF"/>
    <w:rsid w:val="00D952DB"/>
    <w:rsid w:val="00D9590B"/>
    <w:rsid w:val="00D95EB0"/>
    <w:rsid w:val="00D96039"/>
    <w:rsid w:val="00D965AA"/>
    <w:rsid w:val="00D9763B"/>
    <w:rsid w:val="00D97D10"/>
    <w:rsid w:val="00DA1602"/>
    <w:rsid w:val="00DA1A6A"/>
    <w:rsid w:val="00DA1E88"/>
    <w:rsid w:val="00DA3444"/>
    <w:rsid w:val="00DA5018"/>
    <w:rsid w:val="00DA564F"/>
    <w:rsid w:val="00DA5671"/>
    <w:rsid w:val="00DA5E63"/>
    <w:rsid w:val="00DA74C4"/>
    <w:rsid w:val="00DA752C"/>
    <w:rsid w:val="00DA7A98"/>
    <w:rsid w:val="00DB010A"/>
    <w:rsid w:val="00DB0343"/>
    <w:rsid w:val="00DB1BC7"/>
    <w:rsid w:val="00DB22F3"/>
    <w:rsid w:val="00DB245F"/>
    <w:rsid w:val="00DB3DFC"/>
    <w:rsid w:val="00DB41F7"/>
    <w:rsid w:val="00DB43C5"/>
    <w:rsid w:val="00DB4F79"/>
    <w:rsid w:val="00DB5190"/>
    <w:rsid w:val="00DB6E39"/>
    <w:rsid w:val="00DC379A"/>
    <w:rsid w:val="00DC3841"/>
    <w:rsid w:val="00DC3D80"/>
    <w:rsid w:val="00DC3D9B"/>
    <w:rsid w:val="00DC460D"/>
    <w:rsid w:val="00DC5D68"/>
    <w:rsid w:val="00DC6810"/>
    <w:rsid w:val="00DC6886"/>
    <w:rsid w:val="00DC6FDF"/>
    <w:rsid w:val="00DC7A88"/>
    <w:rsid w:val="00DC7EAB"/>
    <w:rsid w:val="00DC7F74"/>
    <w:rsid w:val="00DD1C5D"/>
    <w:rsid w:val="00DD2584"/>
    <w:rsid w:val="00DD2ED9"/>
    <w:rsid w:val="00DD372B"/>
    <w:rsid w:val="00DD3A0E"/>
    <w:rsid w:val="00DD46C8"/>
    <w:rsid w:val="00DD4D8A"/>
    <w:rsid w:val="00DD5994"/>
    <w:rsid w:val="00DD5A47"/>
    <w:rsid w:val="00DD6967"/>
    <w:rsid w:val="00DD7242"/>
    <w:rsid w:val="00DD7C30"/>
    <w:rsid w:val="00DE0A4B"/>
    <w:rsid w:val="00DE22C1"/>
    <w:rsid w:val="00DE24C6"/>
    <w:rsid w:val="00DE2B53"/>
    <w:rsid w:val="00DE2F0F"/>
    <w:rsid w:val="00DE342B"/>
    <w:rsid w:val="00DE5120"/>
    <w:rsid w:val="00DE526D"/>
    <w:rsid w:val="00DE6545"/>
    <w:rsid w:val="00DE75A1"/>
    <w:rsid w:val="00DE75DA"/>
    <w:rsid w:val="00DF0856"/>
    <w:rsid w:val="00DF08FF"/>
    <w:rsid w:val="00DF1938"/>
    <w:rsid w:val="00DF2511"/>
    <w:rsid w:val="00DF3B9F"/>
    <w:rsid w:val="00DF5E35"/>
    <w:rsid w:val="00DF6417"/>
    <w:rsid w:val="00DF6E8D"/>
    <w:rsid w:val="00DF6F60"/>
    <w:rsid w:val="00DF7649"/>
    <w:rsid w:val="00DF7BF3"/>
    <w:rsid w:val="00E01FF2"/>
    <w:rsid w:val="00E02016"/>
    <w:rsid w:val="00E03625"/>
    <w:rsid w:val="00E03FCB"/>
    <w:rsid w:val="00E046F8"/>
    <w:rsid w:val="00E04A23"/>
    <w:rsid w:val="00E0620B"/>
    <w:rsid w:val="00E0731C"/>
    <w:rsid w:val="00E07694"/>
    <w:rsid w:val="00E109C3"/>
    <w:rsid w:val="00E10D1A"/>
    <w:rsid w:val="00E11A97"/>
    <w:rsid w:val="00E124E8"/>
    <w:rsid w:val="00E129A0"/>
    <w:rsid w:val="00E12F2D"/>
    <w:rsid w:val="00E12FAC"/>
    <w:rsid w:val="00E13462"/>
    <w:rsid w:val="00E1526C"/>
    <w:rsid w:val="00E154EE"/>
    <w:rsid w:val="00E16C3B"/>
    <w:rsid w:val="00E17A7E"/>
    <w:rsid w:val="00E2028E"/>
    <w:rsid w:val="00E202EA"/>
    <w:rsid w:val="00E21354"/>
    <w:rsid w:val="00E23ED5"/>
    <w:rsid w:val="00E24D4B"/>
    <w:rsid w:val="00E2590C"/>
    <w:rsid w:val="00E2686C"/>
    <w:rsid w:val="00E26A05"/>
    <w:rsid w:val="00E30277"/>
    <w:rsid w:val="00E302B1"/>
    <w:rsid w:val="00E309F7"/>
    <w:rsid w:val="00E31725"/>
    <w:rsid w:val="00E33966"/>
    <w:rsid w:val="00E33A56"/>
    <w:rsid w:val="00E35113"/>
    <w:rsid w:val="00E36340"/>
    <w:rsid w:val="00E36503"/>
    <w:rsid w:val="00E367D8"/>
    <w:rsid w:val="00E37828"/>
    <w:rsid w:val="00E41FA7"/>
    <w:rsid w:val="00E42155"/>
    <w:rsid w:val="00E42D22"/>
    <w:rsid w:val="00E43635"/>
    <w:rsid w:val="00E44605"/>
    <w:rsid w:val="00E45A01"/>
    <w:rsid w:val="00E46930"/>
    <w:rsid w:val="00E46B11"/>
    <w:rsid w:val="00E47833"/>
    <w:rsid w:val="00E50B62"/>
    <w:rsid w:val="00E51262"/>
    <w:rsid w:val="00E5151B"/>
    <w:rsid w:val="00E51A37"/>
    <w:rsid w:val="00E51D79"/>
    <w:rsid w:val="00E52D9E"/>
    <w:rsid w:val="00E53E62"/>
    <w:rsid w:val="00E54789"/>
    <w:rsid w:val="00E5678F"/>
    <w:rsid w:val="00E56EA2"/>
    <w:rsid w:val="00E571FB"/>
    <w:rsid w:val="00E601E3"/>
    <w:rsid w:val="00E60A2E"/>
    <w:rsid w:val="00E61629"/>
    <w:rsid w:val="00E61956"/>
    <w:rsid w:val="00E64560"/>
    <w:rsid w:val="00E645AC"/>
    <w:rsid w:val="00E64C25"/>
    <w:rsid w:val="00E650B1"/>
    <w:rsid w:val="00E65BA9"/>
    <w:rsid w:val="00E66A3D"/>
    <w:rsid w:val="00E673DA"/>
    <w:rsid w:val="00E6766A"/>
    <w:rsid w:val="00E67D62"/>
    <w:rsid w:val="00E70E98"/>
    <w:rsid w:val="00E7207E"/>
    <w:rsid w:val="00E72D94"/>
    <w:rsid w:val="00E73529"/>
    <w:rsid w:val="00E736EB"/>
    <w:rsid w:val="00E741E6"/>
    <w:rsid w:val="00E755F6"/>
    <w:rsid w:val="00E75A62"/>
    <w:rsid w:val="00E768CA"/>
    <w:rsid w:val="00E77551"/>
    <w:rsid w:val="00E77576"/>
    <w:rsid w:val="00E81179"/>
    <w:rsid w:val="00E8254E"/>
    <w:rsid w:val="00E828D3"/>
    <w:rsid w:val="00E82FF9"/>
    <w:rsid w:val="00E85432"/>
    <w:rsid w:val="00E86038"/>
    <w:rsid w:val="00E86198"/>
    <w:rsid w:val="00E863B9"/>
    <w:rsid w:val="00E8776F"/>
    <w:rsid w:val="00E9036C"/>
    <w:rsid w:val="00E903F0"/>
    <w:rsid w:val="00E90A54"/>
    <w:rsid w:val="00E90D92"/>
    <w:rsid w:val="00E91890"/>
    <w:rsid w:val="00E91ED8"/>
    <w:rsid w:val="00E9253C"/>
    <w:rsid w:val="00E93DAD"/>
    <w:rsid w:val="00E9531B"/>
    <w:rsid w:val="00E953B2"/>
    <w:rsid w:val="00E96287"/>
    <w:rsid w:val="00E96450"/>
    <w:rsid w:val="00E96A77"/>
    <w:rsid w:val="00EA0A7E"/>
    <w:rsid w:val="00EA0C68"/>
    <w:rsid w:val="00EA1962"/>
    <w:rsid w:val="00EA29F0"/>
    <w:rsid w:val="00EA3410"/>
    <w:rsid w:val="00EA3CF1"/>
    <w:rsid w:val="00EA4061"/>
    <w:rsid w:val="00EA4975"/>
    <w:rsid w:val="00EA5710"/>
    <w:rsid w:val="00EA747D"/>
    <w:rsid w:val="00EA7862"/>
    <w:rsid w:val="00EA7A7A"/>
    <w:rsid w:val="00EB104A"/>
    <w:rsid w:val="00EB1645"/>
    <w:rsid w:val="00EB16BC"/>
    <w:rsid w:val="00EB240F"/>
    <w:rsid w:val="00EB3468"/>
    <w:rsid w:val="00EB404F"/>
    <w:rsid w:val="00EB5123"/>
    <w:rsid w:val="00EC0FFE"/>
    <w:rsid w:val="00EC10F0"/>
    <w:rsid w:val="00EC138B"/>
    <w:rsid w:val="00EC387A"/>
    <w:rsid w:val="00EC4484"/>
    <w:rsid w:val="00EC7473"/>
    <w:rsid w:val="00ED0197"/>
    <w:rsid w:val="00ED1E82"/>
    <w:rsid w:val="00ED2148"/>
    <w:rsid w:val="00ED2F3E"/>
    <w:rsid w:val="00ED3381"/>
    <w:rsid w:val="00ED3739"/>
    <w:rsid w:val="00ED3A87"/>
    <w:rsid w:val="00ED3B8A"/>
    <w:rsid w:val="00ED4531"/>
    <w:rsid w:val="00ED5CAA"/>
    <w:rsid w:val="00ED77F3"/>
    <w:rsid w:val="00ED7E0B"/>
    <w:rsid w:val="00EE15DF"/>
    <w:rsid w:val="00EE31F8"/>
    <w:rsid w:val="00EE3C53"/>
    <w:rsid w:val="00EE417D"/>
    <w:rsid w:val="00EE47D1"/>
    <w:rsid w:val="00EE4A92"/>
    <w:rsid w:val="00EE517E"/>
    <w:rsid w:val="00EE552A"/>
    <w:rsid w:val="00EE5743"/>
    <w:rsid w:val="00EE6B6C"/>
    <w:rsid w:val="00EE6E69"/>
    <w:rsid w:val="00EF1648"/>
    <w:rsid w:val="00EF2405"/>
    <w:rsid w:val="00EF4012"/>
    <w:rsid w:val="00EF4697"/>
    <w:rsid w:val="00EF59DD"/>
    <w:rsid w:val="00EF5B1F"/>
    <w:rsid w:val="00EF6A9E"/>
    <w:rsid w:val="00F0190A"/>
    <w:rsid w:val="00F02302"/>
    <w:rsid w:val="00F024E2"/>
    <w:rsid w:val="00F02DA1"/>
    <w:rsid w:val="00F054C5"/>
    <w:rsid w:val="00F05F25"/>
    <w:rsid w:val="00F0633B"/>
    <w:rsid w:val="00F066E8"/>
    <w:rsid w:val="00F079D4"/>
    <w:rsid w:val="00F102C8"/>
    <w:rsid w:val="00F10F3C"/>
    <w:rsid w:val="00F11779"/>
    <w:rsid w:val="00F11AF7"/>
    <w:rsid w:val="00F121C0"/>
    <w:rsid w:val="00F125AD"/>
    <w:rsid w:val="00F12CC5"/>
    <w:rsid w:val="00F12D6C"/>
    <w:rsid w:val="00F1348C"/>
    <w:rsid w:val="00F13D14"/>
    <w:rsid w:val="00F14A2D"/>
    <w:rsid w:val="00F152E5"/>
    <w:rsid w:val="00F155B4"/>
    <w:rsid w:val="00F16F42"/>
    <w:rsid w:val="00F20843"/>
    <w:rsid w:val="00F21D00"/>
    <w:rsid w:val="00F22368"/>
    <w:rsid w:val="00F22617"/>
    <w:rsid w:val="00F22963"/>
    <w:rsid w:val="00F23418"/>
    <w:rsid w:val="00F2360D"/>
    <w:rsid w:val="00F24138"/>
    <w:rsid w:val="00F26837"/>
    <w:rsid w:val="00F269E5"/>
    <w:rsid w:val="00F273C8"/>
    <w:rsid w:val="00F27995"/>
    <w:rsid w:val="00F27B6D"/>
    <w:rsid w:val="00F31131"/>
    <w:rsid w:val="00F32E1E"/>
    <w:rsid w:val="00F333F9"/>
    <w:rsid w:val="00F33B52"/>
    <w:rsid w:val="00F34420"/>
    <w:rsid w:val="00F34628"/>
    <w:rsid w:val="00F34AC9"/>
    <w:rsid w:val="00F360A0"/>
    <w:rsid w:val="00F36C62"/>
    <w:rsid w:val="00F37038"/>
    <w:rsid w:val="00F4000E"/>
    <w:rsid w:val="00F42FB5"/>
    <w:rsid w:val="00F4321D"/>
    <w:rsid w:val="00F43472"/>
    <w:rsid w:val="00F45D92"/>
    <w:rsid w:val="00F45FD7"/>
    <w:rsid w:val="00F474AF"/>
    <w:rsid w:val="00F477D9"/>
    <w:rsid w:val="00F47B5E"/>
    <w:rsid w:val="00F501BF"/>
    <w:rsid w:val="00F513F7"/>
    <w:rsid w:val="00F52EA0"/>
    <w:rsid w:val="00F53785"/>
    <w:rsid w:val="00F53998"/>
    <w:rsid w:val="00F561A2"/>
    <w:rsid w:val="00F56307"/>
    <w:rsid w:val="00F564C1"/>
    <w:rsid w:val="00F56515"/>
    <w:rsid w:val="00F569A4"/>
    <w:rsid w:val="00F57650"/>
    <w:rsid w:val="00F61B1D"/>
    <w:rsid w:val="00F61F62"/>
    <w:rsid w:val="00F635AD"/>
    <w:rsid w:val="00F63976"/>
    <w:rsid w:val="00F63D89"/>
    <w:rsid w:val="00F645DB"/>
    <w:rsid w:val="00F6523F"/>
    <w:rsid w:val="00F65DD5"/>
    <w:rsid w:val="00F667BB"/>
    <w:rsid w:val="00F709E1"/>
    <w:rsid w:val="00F70DD0"/>
    <w:rsid w:val="00F71C98"/>
    <w:rsid w:val="00F722A4"/>
    <w:rsid w:val="00F72EDD"/>
    <w:rsid w:val="00F73004"/>
    <w:rsid w:val="00F73BB1"/>
    <w:rsid w:val="00F7433F"/>
    <w:rsid w:val="00F74563"/>
    <w:rsid w:val="00F74D01"/>
    <w:rsid w:val="00F75088"/>
    <w:rsid w:val="00F76F6D"/>
    <w:rsid w:val="00F77984"/>
    <w:rsid w:val="00F80857"/>
    <w:rsid w:val="00F81656"/>
    <w:rsid w:val="00F81F5E"/>
    <w:rsid w:val="00F8273A"/>
    <w:rsid w:val="00F83ADF"/>
    <w:rsid w:val="00F84540"/>
    <w:rsid w:val="00F85048"/>
    <w:rsid w:val="00F90F8C"/>
    <w:rsid w:val="00F921DC"/>
    <w:rsid w:val="00F9242B"/>
    <w:rsid w:val="00F937DB"/>
    <w:rsid w:val="00F93CEE"/>
    <w:rsid w:val="00F94CA3"/>
    <w:rsid w:val="00F94FFC"/>
    <w:rsid w:val="00F954C1"/>
    <w:rsid w:val="00F96A20"/>
    <w:rsid w:val="00F97C83"/>
    <w:rsid w:val="00FA0691"/>
    <w:rsid w:val="00FA06E8"/>
    <w:rsid w:val="00FA1003"/>
    <w:rsid w:val="00FA162F"/>
    <w:rsid w:val="00FA269B"/>
    <w:rsid w:val="00FA4EC2"/>
    <w:rsid w:val="00FA64F1"/>
    <w:rsid w:val="00FA677A"/>
    <w:rsid w:val="00FA7F03"/>
    <w:rsid w:val="00FB027B"/>
    <w:rsid w:val="00FB04C9"/>
    <w:rsid w:val="00FB0685"/>
    <w:rsid w:val="00FB079C"/>
    <w:rsid w:val="00FB0A53"/>
    <w:rsid w:val="00FB0FC7"/>
    <w:rsid w:val="00FB1996"/>
    <w:rsid w:val="00FB29FC"/>
    <w:rsid w:val="00FB2E4D"/>
    <w:rsid w:val="00FB5CF7"/>
    <w:rsid w:val="00FB6017"/>
    <w:rsid w:val="00FB658E"/>
    <w:rsid w:val="00FB7BD2"/>
    <w:rsid w:val="00FB7DF9"/>
    <w:rsid w:val="00FC116B"/>
    <w:rsid w:val="00FC1ACE"/>
    <w:rsid w:val="00FC206A"/>
    <w:rsid w:val="00FC2FD2"/>
    <w:rsid w:val="00FC385C"/>
    <w:rsid w:val="00FC3E5C"/>
    <w:rsid w:val="00FC3FAC"/>
    <w:rsid w:val="00FC40DF"/>
    <w:rsid w:val="00FC48E4"/>
    <w:rsid w:val="00FC4BCE"/>
    <w:rsid w:val="00FC4D78"/>
    <w:rsid w:val="00FC6643"/>
    <w:rsid w:val="00FD0122"/>
    <w:rsid w:val="00FD02EB"/>
    <w:rsid w:val="00FD57CE"/>
    <w:rsid w:val="00FD61AB"/>
    <w:rsid w:val="00FD6976"/>
    <w:rsid w:val="00FE0C34"/>
    <w:rsid w:val="00FE0EAC"/>
    <w:rsid w:val="00FE10D8"/>
    <w:rsid w:val="00FE1812"/>
    <w:rsid w:val="00FE2800"/>
    <w:rsid w:val="00FE2FC5"/>
    <w:rsid w:val="00FE3E32"/>
    <w:rsid w:val="00FE42FB"/>
    <w:rsid w:val="00FE4B19"/>
    <w:rsid w:val="00FE52CF"/>
    <w:rsid w:val="00FE556A"/>
    <w:rsid w:val="00FE629A"/>
    <w:rsid w:val="00FE6D4A"/>
    <w:rsid w:val="00FE7BAF"/>
    <w:rsid w:val="00FF0EB9"/>
    <w:rsid w:val="00FF1015"/>
    <w:rsid w:val="00FF1782"/>
    <w:rsid w:val="00FF2D3D"/>
    <w:rsid w:val="00FF35AD"/>
    <w:rsid w:val="00FF3BAD"/>
    <w:rsid w:val="00FF3D15"/>
    <w:rsid w:val="00FF4F12"/>
    <w:rsid w:val="00FF4F61"/>
    <w:rsid w:val="00FF61F7"/>
    <w:rsid w:val="00FF6F4C"/>
    <w:rsid w:val="00FF73B2"/>
    <w:rsid w:val="00FF75AE"/>
    <w:rsid w:val="39712082"/>
    <w:rsid w:val="3A101A46"/>
    <w:rsid w:val="3EF7A13B"/>
    <w:rsid w:val="3FB74794"/>
    <w:rsid w:val="46490847"/>
    <w:rsid w:val="57176D41"/>
    <w:rsid w:val="5A605108"/>
    <w:rsid w:val="5B886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38"/>
    <w:qFormat/>
    <w:uiPriority w:val="9"/>
    <w:pPr>
      <w:keepNext/>
      <w:keepLines/>
      <w:spacing w:before="50" w:beforeLines="50" w:after="50" w:afterLines="50" w:line="520" w:lineRule="exact"/>
      <w:ind w:firstLine="200" w:firstLineChars="200"/>
      <w:jc w:val="both"/>
      <w:outlineLvl w:val="0"/>
    </w:pPr>
    <w:rPr>
      <w:rFonts w:eastAsia="黑体" w:asciiTheme="minorHAnsi" w:hAnsiTheme="minorHAnsi" w:cstheme="minorBidi"/>
      <w:b/>
      <w:bCs/>
      <w:kern w:val="44"/>
      <w:sz w:val="32"/>
      <w:szCs w:val="44"/>
    </w:rPr>
  </w:style>
  <w:style w:type="paragraph" w:styleId="3">
    <w:name w:val="heading 2"/>
    <w:next w:val="4"/>
    <w:link w:val="43"/>
    <w:unhideWhenUsed/>
    <w:qFormat/>
    <w:uiPriority w:val="9"/>
    <w:pPr>
      <w:keepNext/>
      <w:keepLines/>
      <w:spacing w:before="50" w:beforeLines="50" w:after="50" w:afterLines="50" w:line="520" w:lineRule="exact"/>
      <w:ind w:firstLine="200" w:firstLineChars="200"/>
      <w:jc w:val="both"/>
      <w:outlineLvl w:val="1"/>
    </w:pPr>
    <w:rPr>
      <w:rFonts w:eastAsia="楷体" w:asciiTheme="majorHAnsi" w:hAnsiTheme="majorHAnsi" w:cstheme="majorBidi"/>
      <w:b/>
      <w:kern w:val="2"/>
      <w:sz w:val="32"/>
      <w:szCs w:val="32"/>
      <w:lang w:val="en-US" w:eastAsia="zh-CN" w:bidi="ar-SA"/>
    </w:rPr>
  </w:style>
  <w:style w:type="paragraph" w:styleId="5">
    <w:name w:val="heading 3"/>
    <w:basedOn w:val="1"/>
    <w:next w:val="1"/>
    <w:link w:val="44"/>
    <w:unhideWhenUsed/>
    <w:qFormat/>
    <w:uiPriority w:val="9"/>
    <w:pPr>
      <w:keepNext/>
      <w:keepLines/>
      <w:spacing w:line="520" w:lineRule="exact"/>
      <w:ind w:firstLine="200" w:firstLineChars="200"/>
      <w:jc w:val="both"/>
      <w:outlineLvl w:val="2"/>
    </w:pPr>
    <w:rPr>
      <w:rFonts w:eastAsia="楷体" w:asciiTheme="minorHAnsi" w:hAnsiTheme="minorHAnsi" w:cstheme="minorBidi"/>
      <w:b/>
      <w:bCs/>
      <w:kern w:val="2"/>
      <w:sz w:val="32"/>
      <w:szCs w:val="32"/>
    </w:rPr>
  </w:style>
  <w:style w:type="paragraph" w:styleId="6">
    <w:name w:val="heading 4"/>
    <w:basedOn w:val="1"/>
    <w:next w:val="1"/>
    <w:link w:val="45"/>
    <w:unhideWhenUsed/>
    <w:qFormat/>
    <w:uiPriority w:val="9"/>
    <w:pPr>
      <w:keepNext/>
      <w:keepLines/>
      <w:spacing w:line="520" w:lineRule="exact"/>
      <w:ind w:firstLine="200" w:firstLineChars="200"/>
      <w:jc w:val="both"/>
      <w:outlineLvl w:val="3"/>
    </w:pPr>
    <w:rPr>
      <w:rFonts w:eastAsia="黑体" w:asciiTheme="majorHAnsi" w:hAnsiTheme="majorHAnsi" w:cstheme="majorBidi"/>
      <w:b/>
      <w:bCs/>
      <w:kern w:val="2"/>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 Spacing"/>
    <w:qFormat/>
    <w:uiPriority w:val="1"/>
    <w:pPr>
      <w:spacing w:before="30" w:beforeLines="30" w:after="30" w:afterLines="30"/>
      <w:ind w:firstLine="200" w:firstLineChars="200"/>
      <w:jc w:val="both"/>
    </w:pPr>
    <w:rPr>
      <w:rFonts w:eastAsia="黑体" w:asciiTheme="minorHAnsi" w:hAnsiTheme="minorHAnsi" w:cstheme="minorBidi"/>
      <w:kern w:val="2"/>
      <w:sz w:val="32"/>
      <w:szCs w:val="22"/>
      <w:lang w:val="en-US" w:eastAsia="zh-CN" w:bidi="ar-SA"/>
    </w:rPr>
  </w:style>
  <w:style w:type="paragraph" w:styleId="7">
    <w:name w:val="toc 7"/>
    <w:basedOn w:val="1"/>
    <w:next w:val="1"/>
    <w:unhideWhenUsed/>
    <w:qFormat/>
    <w:uiPriority w:val="39"/>
    <w:pPr>
      <w:ind w:left="1440"/>
    </w:pPr>
    <w:rPr>
      <w:rFonts w:asciiTheme="minorHAnsi" w:hAnsiTheme="minorHAnsi" w:cstheme="minorHAnsi"/>
      <w:sz w:val="18"/>
      <w:szCs w:val="18"/>
    </w:rPr>
  </w:style>
  <w:style w:type="paragraph" w:styleId="8">
    <w:name w:val="annotation text"/>
    <w:basedOn w:val="1"/>
    <w:link w:val="40"/>
    <w:unhideWhenUsed/>
    <w:qFormat/>
    <w:uiPriority w:val="99"/>
    <w:pPr>
      <w:spacing w:before="20" w:beforeLines="20" w:after="20" w:afterLines="20" w:line="312" w:lineRule="auto"/>
    </w:pPr>
    <w:rPr>
      <w:rFonts w:asciiTheme="minorHAnsi" w:hAnsiTheme="minorHAnsi" w:cstheme="minorBidi"/>
      <w:kern w:val="2"/>
      <w:sz w:val="21"/>
      <w:szCs w:val="22"/>
    </w:rPr>
  </w:style>
  <w:style w:type="paragraph" w:styleId="9">
    <w:name w:val="toc 5"/>
    <w:basedOn w:val="1"/>
    <w:next w:val="1"/>
    <w:unhideWhenUsed/>
    <w:qFormat/>
    <w:uiPriority w:val="39"/>
    <w:pPr>
      <w:ind w:left="960"/>
    </w:pPr>
    <w:rPr>
      <w:rFonts w:asciiTheme="minorHAnsi" w:hAnsiTheme="minorHAnsi" w:cstheme="minorHAnsi"/>
      <w:sz w:val="18"/>
      <w:szCs w:val="18"/>
    </w:rPr>
  </w:style>
  <w:style w:type="paragraph" w:styleId="10">
    <w:name w:val="toc 3"/>
    <w:basedOn w:val="1"/>
    <w:next w:val="1"/>
    <w:unhideWhenUsed/>
    <w:qFormat/>
    <w:uiPriority w:val="39"/>
    <w:pPr>
      <w:ind w:left="480"/>
    </w:pPr>
    <w:rPr>
      <w:rFonts w:asciiTheme="minorHAnsi" w:hAnsiTheme="minorHAnsi" w:cstheme="minorHAnsi"/>
      <w:i/>
      <w:iCs/>
      <w:sz w:val="20"/>
      <w:szCs w:val="20"/>
    </w:rPr>
  </w:style>
  <w:style w:type="paragraph" w:styleId="11">
    <w:name w:val="toc 8"/>
    <w:basedOn w:val="1"/>
    <w:next w:val="1"/>
    <w:unhideWhenUsed/>
    <w:qFormat/>
    <w:uiPriority w:val="39"/>
    <w:pPr>
      <w:ind w:left="1680"/>
    </w:pPr>
    <w:rPr>
      <w:rFonts w:asciiTheme="minorHAnsi" w:hAnsiTheme="minorHAnsi" w:cstheme="minorHAnsi"/>
      <w:sz w:val="18"/>
      <w:szCs w:val="18"/>
    </w:rPr>
  </w:style>
  <w:style w:type="paragraph" w:styleId="12">
    <w:name w:val="Date"/>
    <w:basedOn w:val="1"/>
    <w:next w:val="1"/>
    <w:link w:val="47"/>
    <w:semiHidden/>
    <w:unhideWhenUsed/>
    <w:qFormat/>
    <w:uiPriority w:val="99"/>
    <w:pPr>
      <w:ind w:left="100" w:leftChars="2500"/>
    </w:pPr>
  </w:style>
  <w:style w:type="paragraph" w:styleId="13">
    <w:name w:val="Balloon Text"/>
    <w:basedOn w:val="1"/>
    <w:link w:val="34"/>
    <w:semiHidden/>
    <w:unhideWhenUsed/>
    <w:qFormat/>
    <w:uiPriority w:val="99"/>
    <w:pPr>
      <w:spacing w:beforeLines="20" w:afterLines="20"/>
      <w:jc w:val="both"/>
    </w:pPr>
    <w:rPr>
      <w:rFonts w:asciiTheme="minorHAnsi" w:hAnsiTheme="minorHAnsi" w:cstheme="minorBidi"/>
      <w:kern w:val="2"/>
      <w:sz w:val="18"/>
      <w:szCs w:val="18"/>
    </w:rPr>
  </w:style>
  <w:style w:type="paragraph" w:styleId="14">
    <w:name w:val="footer"/>
    <w:basedOn w:val="1"/>
    <w:link w:val="36"/>
    <w:unhideWhenUsed/>
    <w:qFormat/>
    <w:uiPriority w:val="99"/>
    <w:pPr>
      <w:tabs>
        <w:tab w:val="center" w:pos="4153"/>
        <w:tab w:val="right" w:pos="8306"/>
      </w:tabs>
      <w:snapToGrid w:val="0"/>
      <w:spacing w:before="20" w:beforeLines="20" w:after="20" w:afterLines="20"/>
    </w:pPr>
    <w:rPr>
      <w:rFonts w:asciiTheme="minorHAnsi" w:hAnsiTheme="minorHAnsi" w:cstheme="minorBidi"/>
      <w:kern w:val="2"/>
      <w:sz w:val="18"/>
      <w:szCs w:val="18"/>
    </w:rPr>
  </w:style>
  <w:style w:type="paragraph" w:styleId="15">
    <w:name w:val="header"/>
    <w:basedOn w:val="1"/>
    <w:link w:val="35"/>
    <w:unhideWhenUsed/>
    <w:qFormat/>
    <w:uiPriority w:val="99"/>
    <w:pPr>
      <w:pBdr>
        <w:bottom w:val="single" w:color="auto" w:sz="6" w:space="1"/>
      </w:pBdr>
      <w:tabs>
        <w:tab w:val="center" w:pos="4153"/>
        <w:tab w:val="right" w:pos="8306"/>
      </w:tabs>
      <w:snapToGrid w:val="0"/>
      <w:spacing w:before="20" w:beforeLines="20" w:after="20" w:afterLines="20"/>
      <w:jc w:val="center"/>
    </w:pPr>
    <w:rPr>
      <w:rFonts w:asciiTheme="minorHAnsi" w:hAnsiTheme="minorHAnsi" w:cstheme="minorBidi"/>
      <w:kern w:val="2"/>
      <w:sz w:val="18"/>
      <w:szCs w:val="18"/>
    </w:rPr>
  </w:style>
  <w:style w:type="paragraph" w:styleId="16">
    <w:name w:val="toc 1"/>
    <w:basedOn w:val="1"/>
    <w:next w:val="1"/>
    <w:unhideWhenUsed/>
    <w:qFormat/>
    <w:uiPriority w:val="39"/>
    <w:pPr>
      <w:tabs>
        <w:tab w:val="left" w:pos="960"/>
        <w:tab w:val="right" w:leader="dot" w:pos="8296"/>
      </w:tabs>
      <w:spacing w:before="120" w:after="120"/>
    </w:pPr>
    <w:rPr>
      <w:rFonts w:ascii="黑体" w:hAnsi="黑体" w:eastAsia="黑体" w:cstheme="minorHAnsi"/>
      <w:b/>
      <w:bCs/>
      <w:caps/>
      <w:sz w:val="28"/>
      <w:szCs w:val="28"/>
    </w:rPr>
  </w:style>
  <w:style w:type="paragraph" w:styleId="17">
    <w:name w:val="toc 4"/>
    <w:basedOn w:val="1"/>
    <w:next w:val="1"/>
    <w:unhideWhenUsed/>
    <w:qFormat/>
    <w:uiPriority w:val="39"/>
    <w:pPr>
      <w:ind w:left="720"/>
    </w:pPr>
    <w:rPr>
      <w:rFonts w:asciiTheme="minorHAnsi" w:hAnsiTheme="minorHAnsi" w:cstheme="minorHAnsi"/>
      <w:sz w:val="18"/>
      <w:szCs w:val="18"/>
    </w:rPr>
  </w:style>
  <w:style w:type="paragraph" w:styleId="18">
    <w:name w:val="footnote text"/>
    <w:basedOn w:val="1"/>
    <w:link w:val="48"/>
    <w:unhideWhenUsed/>
    <w:qFormat/>
    <w:uiPriority w:val="99"/>
    <w:pPr>
      <w:widowControl w:val="0"/>
      <w:snapToGrid w:val="0"/>
    </w:pPr>
    <w:rPr>
      <w:rFonts w:asciiTheme="minorHAnsi" w:hAnsiTheme="minorHAnsi" w:cstheme="minorBidi"/>
      <w:kern w:val="2"/>
      <w:sz w:val="18"/>
      <w:szCs w:val="18"/>
    </w:rPr>
  </w:style>
  <w:style w:type="paragraph" w:styleId="19">
    <w:name w:val="toc 6"/>
    <w:basedOn w:val="1"/>
    <w:next w:val="1"/>
    <w:unhideWhenUsed/>
    <w:qFormat/>
    <w:uiPriority w:val="39"/>
    <w:pPr>
      <w:ind w:left="1200"/>
    </w:pPr>
    <w:rPr>
      <w:rFonts w:asciiTheme="minorHAnsi" w:hAnsiTheme="minorHAnsi" w:cstheme="minorHAnsi"/>
      <w:sz w:val="18"/>
      <w:szCs w:val="18"/>
    </w:rPr>
  </w:style>
  <w:style w:type="paragraph" w:styleId="20">
    <w:name w:val="toc 2"/>
    <w:basedOn w:val="1"/>
    <w:next w:val="1"/>
    <w:unhideWhenUsed/>
    <w:qFormat/>
    <w:uiPriority w:val="39"/>
    <w:pPr>
      <w:tabs>
        <w:tab w:val="left" w:pos="1200"/>
        <w:tab w:val="right" w:leader="dot" w:pos="8296"/>
      </w:tabs>
      <w:ind w:left="240"/>
    </w:pPr>
    <w:rPr>
      <w:rFonts w:eastAsia="楷体" w:asciiTheme="majorHAnsi" w:hAnsiTheme="majorHAnsi" w:cstheme="majorBidi"/>
      <w:b/>
      <w:smallCaps/>
      <w:sz w:val="28"/>
      <w:szCs w:val="28"/>
    </w:rPr>
  </w:style>
  <w:style w:type="paragraph" w:styleId="21">
    <w:name w:val="toc 9"/>
    <w:basedOn w:val="1"/>
    <w:next w:val="1"/>
    <w:unhideWhenUsed/>
    <w:qFormat/>
    <w:uiPriority w:val="39"/>
    <w:pPr>
      <w:ind w:left="1920"/>
    </w:pPr>
    <w:rPr>
      <w:rFonts w:asciiTheme="minorHAnsi" w:hAnsiTheme="minorHAnsi" w:cstheme="minorHAnsi"/>
      <w:sz w:val="18"/>
      <w:szCs w:val="18"/>
    </w:rPr>
  </w:style>
  <w:style w:type="paragraph" w:styleId="22">
    <w:name w:val="Normal (Web)"/>
    <w:basedOn w:val="1"/>
    <w:semiHidden/>
    <w:unhideWhenUsed/>
    <w:qFormat/>
    <w:uiPriority w:val="99"/>
    <w:pPr>
      <w:spacing w:before="100" w:beforeAutospacing="1" w:after="100" w:afterAutospacing="1"/>
    </w:pPr>
    <w:rPr>
      <w:rFonts w:ascii="宋体" w:hAnsi="宋体" w:eastAsia="宋体" w:cs="宋体"/>
    </w:rPr>
  </w:style>
  <w:style w:type="paragraph" w:styleId="23">
    <w:name w:val="Title"/>
    <w:basedOn w:val="1"/>
    <w:next w:val="1"/>
    <w:link w:val="46"/>
    <w:qFormat/>
    <w:uiPriority w:val="10"/>
    <w:pPr>
      <w:spacing w:before="240" w:beforeLines="20" w:after="60" w:afterLines="20" w:line="312" w:lineRule="auto"/>
      <w:jc w:val="center"/>
      <w:outlineLvl w:val="0"/>
    </w:pPr>
    <w:rPr>
      <w:rFonts w:eastAsia="黑体" w:asciiTheme="majorHAnsi" w:hAnsiTheme="majorHAnsi" w:cstheme="majorBidi"/>
      <w:b/>
      <w:bCs/>
      <w:kern w:val="2"/>
      <w:sz w:val="36"/>
      <w:szCs w:val="32"/>
    </w:rPr>
  </w:style>
  <w:style w:type="paragraph" w:styleId="24">
    <w:name w:val="annotation subject"/>
    <w:basedOn w:val="8"/>
    <w:next w:val="8"/>
    <w:link w:val="41"/>
    <w:semiHidden/>
    <w:unhideWhenUsed/>
    <w:qFormat/>
    <w:uiPriority w:val="99"/>
    <w:rPr>
      <w:b/>
      <w:bCs/>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bCs/>
    </w:rPr>
  </w:style>
  <w:style w:type="character" w:styleId="29">
    <w:name w:val="page number"/>
    <w:basedOn w:val="27"/>
    <w:semiHidden/>
    <w:unhideWhenUsed/>
    <w:qFormat/>
    <w:uiPriority w:val="99"/>
  </w:style>
  <w:style w:type="character" w:styleId="30">
    <w:name w:val="Emphasis"/>
    <w:basedOn w:val="27"/>
    <w:qFormat/>
    <w:uiPriority w:val="20"/>
    <w:rPr>
      <w:i/>
      <w:iCs/>
    </w:rPr>
  </w:style>
  <w:style w:type="character" w:styleId="31">
    <w:name w:val="Hyperlink"/>
    <w:basedOn w:val="27"/>
    <w:unhideWhenUsed/>
    <w:qFormat/>
    <w:uiPriority w:val="99"/>
    <w:rPr>
      <w:color w:val="0563C1" w:themeColor="hyperlink"/>
      <w:u w:val="single"/>
      <w14:textFill>
        <w14:solidFill>
          <w14:schemeClr w14:val="hlink"/>
        </w14:solidFill>
      </w14:textFill>
    </w:rPr>
  </w:style>
  <w:style w:type="character" w:styleId="32">
    <w:name w:val="annotation reference"/>
    <w:basedOn w:val="27"/>
    <w:semiHidden/>
    <w:unhideWhenUsed/>
    <w:qFormat/>
    <w:uiPriority w:val="99"/>
    <w:rPr>
      <w:sz w:val="21"/>
      <w:szCs w:val="21"/>
    </w:rPr>
  </w:style>
  <w:style w:type="character" w:styleId="33">
    <w:name w:val="footnote reference"/>
    <w:basedOn w:val="27"/>
    <w:unhideWhenUsed/>
    <w:qFormat/>
    <w:uiPriority w:val="99"/>
    <w:rPr>
      <w:vertAlign w:val="superscript"/>
    </w:rPr>
  </w:style>
  <w:style w:type="character" w:customStyle="1" w:styleId="34">
    <w:name w:val="批注框文本 字符"/>
    <w:basedOn w:val="27"/>
    <w:link w:val="13"/>
    <w:semiHidden/>
    <w:qFormat/>
    <w:uiPriority w:val="99"/>
    <w:rPr>
      <w:sz w:val="18"/>
      <w:szCs w:val="18"/>
    </w:rPr>
  </w:style>
  <w:style w:type="character" w:customStyle="1" w:styleId="35">
    <w:name w:val="页眉 字符"/>
    <w:basedOn w:val="27"/>
    <w:link w:val="15"/>
    <w:qFormat/>
    <w:uiPriority w:val="99"/>
    <w:rPr>
      <w:sz w:val="18"/>
      <w:szCs w:val="18"/>
    </w:rPr>
  </w:style>
  <w:style w:type="character" w:customStyle="1" w:styleId="36">
    <w:name w:val="页脚 字符"/>
    <w:basedOn w:val="27"/>
    <w:link w:val="14"/>
    <w:qFormat/>
    <w:uiPriority w:val="99"/>
    <w:rPr>
      <w:sz w:val="18"/>
      <w:szCs w:val="18"/>
    </w:rPr>
  </w:style>
  <w:style w:type="paragraph" w:styleId="37">
    <w:name w:val="List Paragraph"/>
    <w:basedOn w:val="1"/>
    <w:qFormat/>
    <w:uiPriority w:val="34"/>
    <w:pPr>
      <w:spacing w:before="20" w:beforeLines="20" w:after="20" w:afterLines="20" w:line="312" w:lineRule="auto"/>
      <w:ind w:firstLine="420" w:firstLineChars="200"/>
      <w:jc w:val="both"/>
    </w:pPr>
    <w:rPr>
      <w:rFonts w:asciiTheme="minorHAnsi" w:hAnsiTheme="minorHAnsi" w:cstheme="minorBidi"/>
      <w:kern w:val="2"/>
      <w:sz w:val="21"/>
      <w:szCs w:val="22"/>
    </w:rPr>
  </w:style>
  <w:style w:type="character" w:customStyle="1" w:styleId="38">
    <w:name w:val="标题 1 字符"/>
    <w:basedOn w:val="27"/>
    <w:link w:val="2"/>
    <w:qFormat/>
    <w:uiPriority w:val="9"/>
    <w:rPr>
      <w:rFonts w:eastAsia="黑体"/>
      <w:b/>
      <w:bCs/>
      <w:kern w:val="44"/>
      <w:sz w:val="32"/>
      <w:szCs w:val="44"/>
    </w:rPr>
  </w:style>
  <w:style w:type="paragraph" w:customStyle="1" w:styleId="39">
    <w:name w:val="TOC 标题1"/>
    <w:basedOn w:val="2"/>
    <w:next w:val="1"/>
    <w:unhideWhenUsed/>
    <w:qFormat/>
    <w:uiPriority w:val="39"/>
    <w:pPr>
      <w:spacing w:before="24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character" w:customStyle="1" w:styleId="40">
    <w:name w:val="批注文字 字符"/>
    <w:basedOn w:val="27"/>
    <w:link w:val="8"/>
    <w:qFormat/>
    <w:uiPriority w:val="99"/>
  </w:style>
  <w:style w:type="character" w:customStyle="1" w:styleId="41">
    <w:name w:val="批注主题 字符"/>
    <w:basedOn w:val="40"/>
    <w:link w:val="24"/>
    <w:semiHidden/>
    <w:qFormat/>
    <w:uiPriority w:val="99"/>
    <w:rPr>
      <w:b/>
      <w:bCs/>
    </w:rPr>
  </w:style>
  <w:style w:type="paragraph" w:customStyle="1" w:styleId="42">
    <w:name w:val="gei正文"/>
    <w:basedOn w:val="1"/>
    <w:qFormat/>
    <w:uiPriority w:val="0"/>
    <w:pPr>
      <w:spacing w:before="30" w:beforeLines="30" w:after="30" w:afterLines="30" w:line="560" w:lineRule="exact"/>
      <w:ind w:firstLine="200" w:firstLineChars="200"/>
      <w:jc w:val="both"/>
    </w:pPr>
    <w:rPr>
      <w:rFonts w:ascii="仿宋_GB2312" w:eastAsia="仿宋_GB2312"/>
      <w:kern w:val="2"/>
      <w:sz w:val="32"/>
      <w:szCs w:val="28"/>
    </w:rPr>
  </w:style>
  <w:style w:type="character" w:customStyle="1" w:styleId="43">
    <w:name w:val="标题 2 字符"/>
    <w:basedOn w:val="27"/>
    <w:link w:val="3"/>
    <w:qFormat/>
    <w:uiPriority w:val="9"/>
    <w:rPr>
      <w:rFonts w:eastAsia="楷体" w:asciiTheme="majorHAnsi" w:hAnsiTheme="majorHAnsi" w:cstheme="majorBidi"/>
      <w:b/>
      <w:sz w:val="32"/>
      <w:szCs w:val="32"/>
    </w:rPr>
  </w:style>
  <w:style w:type="character" w:customStyle="1" w:styleId="44">
    <w:name w:val="标题 3 字符"/>
    <w:basedOn w:val="27"/>
    <w:link w:val="5"/>
    <w:qFormat/>
    <w:uiPriority w:val="9"/>
    <w:rPr>
      <w:rFonts w:eastAsia="楷体"/>
      <w:b/>
      <w:bCs/>
      <w:sz w:val="32"/>
      <w:szCs w:val="32"/>
    </w:rPr>
  </w:style>
  <w:style w:type="character" w:customStyle="1" w:styleId="45">
    <w:name w:val="标题 4 字符"/>
    <w:basedOn w:val="27"/>
    <w:link w:val="6"/>
    <w:qFormat/>
    <w:uiPriority w:val="9"/>
    <w:rPr>
      <w:rFonts w:eastAsia="黑体" w:asciiTheme="majorHAnsi" w:hAnsiTheme="majorHAnsi" w:cstheme="majorBidi"/>
      <w:b/>
      <w:bCs/>
      <w:sz w:val="28"/>
      <w:szCs w:val="28"/>
    </w:rPr>
  </w:style>
  <w:style w:type="character" w:customStyle="1" w:styleId="46">
    <w:name w:val="标题 字符"/>
    <w:basedOn w:val="27"/>
    <w:link w:val="23"/>
    <w:qFormat/>
    <w:uiPriority w:val="10"/>
    <w:rPr>
      <w:rFonts w:eastAsia="黑体" w:asciiTheme="majorHAnsi" w:hAnsiTheme="majorHAnsi" w:cstheme="majorBidi"/>
      <w:b/>
      <w:bCs/>
      <w:sz w:val="36"/>
      <w:szCs w:val="32"/>
    </w:rPr>
  </w:style>
  <w:style w:type="character" w:customStyle="1" w:styleId="47">
    <w:name w:val="日期 字符"/>
    <w:basedOn w:val="27"/>
    <w:link w:val="12"/>
    <w:semiHidden/>
    <w:qFormat/>
    <w:uiPriority w:val="99"/>
  </w:style>
  <w:style w:type="character" w:customStyle="1" w:styleId="48">
    <w:name w:val="脚注文本 字符"/>
    <w:basedOn w:val="27"/>
    <w:link w:val="18"/>
    <w:qFormat/>
    <w:uiPriority w:val="99"/>
    <w:rPr>
      <w:sz w:val="18"/>
      <w:szCs w:val="18"/>
    </w:rPr>
  </w:style>
  <w:style w:type="paragraph" w:customStyle="1" w:styleId="4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50">
    <w:name w:val="专栏/表格-内容"/>
    <w:basedOn w:val="1"/>
    <w:link w:val="51"/>
    <w:qFormat/>
    <w:uiPriority w:val="0"/>
    <w:pPr>
      <w:ind w:firstLine="200" w:firstLineChars="200"/>
      <w:jc w:val="both"/>
    </w:pPr>
    <w:rPr>
      <w:rFonts w:eastAsia="仿宋_GB2312"/>
      <w:bCs/>
      <w:szCs w:val="22"/>
    </w:rPr>
  </w:style>
  <w:style w:type="character" w:customStyle="1" w:styleId="51">
    <w:name w:val="专栏/表格-内容 字符"/>
    <w:basedOn w:val="27"/>
    <w:link w:val="50"/>
    <w:qFormat/>
    <w:uiPriority w:val="0"/>
    <w:rPr>
      <w:rFonts w:ascii="Times New Roman" w:hAnsi="Times New Roman" w:eastAsia="仿宋_GB2312" w:cs="Times New Roman"/>
      <w:bCs/>
      <w:kern w:val="0"/>
      <w:sz w:val="24"/>
    </w:rPr>
  </w:style>
  <w:style w:type="paragraph" w:customStyle="1" w:styleId="52">
    <w:name w:val="坪山正文"/>
    <w:basedOn w:val="1"/>
    <w:qFormat/>
    <w:uiPriority w:val="0"/>
    <w:pPr>
      <w:spacing w:line="520" w:lineRule="exact"/>
      <w:ind w:firstLine="200" w:firstLineChars="200"/>
      <w:jc w:val="both"/>
    </w:pPr>
    <w:rPr>
      <w:rFonts w:ascii="仿宋_GB2312" w:eastAsia="仿宋_GB2312"/>
      <w:kern w:val="2"/>
      <w:sz w:val="32"/>
      <w:szCs w:val="28"/>
    </w:rPr>
  </w:style>
  <w:style w:type="character" w:customStyle="1" w:styleId="53">
    <w:name w:val="bjh-p"/>
    <w:basedOn w:val="27"/>
    <w:qFormat/>
    <w:uiPriority w:val="0"/>
  </w:style>
  <w:style w:type="paragraph" w:customStyle="1" w:styleId="54">
    <w:name w:val="专栏/图表-标题"/>
    <w:basedOn w:val="50"/>
    <w:link w:val="55"/>
    <w:qFormat/>
    <w:uiPriority w:val="0"/>
    <w:pPr>
      <w:ind w:firstLine="0" w:firstLineChars="0"/>
      <w:jc w:val="center"/>
    </w:pPr>
    <w:rPr>
      <w:sz w:val="28"/>
    </w:rPr>
  </w:style>
  <w:style w:type="character" w:customStyle="1" w:styleId="55">
    <w:name w:val="专栏/图表-标题 字符"/>
    <w:basedOn w:val="51"/>
    <w:link w:val="54"/>
    <w:qFormat/>
    <w:uiPriority w:val="0"/>
    <w:rPr>
      <w:rFonts w:ascii="Times New Roman" w:hAnsi="Times New Roman" w:eastAsia="仿宋_GB2312" w:cs="Times New Roman"/>
      <w:kern w:val="0"/>
      <w:sz w:val="28"/>
    </w:rPr>
  </w:style>
  <w:style w:type="character" w:customStyle="1" w:styleId="56">
    <w:name w:val="ref"/>
    <w:basedOn w:val="27"/>
    <w:qFormat/>
    <w:uiPriority w:val="0"/>
  </w:style>
  <w:style w:type="character" w:customStyle="1" w:styleId="57">
    <w:name w:val="bjh-strong"/>
    <w:basedOn w:val="27"/>
    <w:qFormat/>
    <w:uiPriority w:val="0"/>
  </w:style>
  <w:style w:type="character" w:customStyle="1" w:styleId="58">
    <w:name w:val="正文1 Char Char"/>
    <w:link w:val="59"/>
    <w:qFormat/>
    <w:uiPriority w:val="0"/>
    <w:rPr>
      <w:rFonts w:ascii="仿宋_GB2312" w:hAnsi="Times New Roman" w:eastAsia="仿宋_GB2312"/>
      <w:sz w:val="32"/>
      <w:szCs w:val="32"/>
    </w:rPr>
  </w:style>
  <w:style w:type="paragraph" w:customStyle="1" w:styleId="59">
    <w:name w:val="正文1"/>
    <w:basedOn w:val="1"/>
    <w:link w:val="58"/>
    <w:qFormat/>
    <w:uiPriority w:val="0"/>
    <w:pPr>
      <w:widowControl w:val="0"/>
      <w:spacing w:line="276" w:lineRule="auto"/>
      <w:ind w:firstLine="640" w:firstLineChars="200"/>
      <w:jc w:val="both"/>
    </w:pPr>
    <w:rPr>
      <w:rFonts w:ascii="仿宋_GB2312" w:eastAsia="仿宋_GB2312" w:cstheme="minorBidi"/>
      <w:kern w:val="2"/>
      <w:sz w:val="32"/>
      <w:szCs w:val="32"/>
    </w:rPr>
  </w:style>
  <w:style w:type="table" w:customStyle="1" w:styleId="60">
    <w:name w:val="网格型1"/>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
    <w:name w:val="网格型2"/>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网格型3"/>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4"/>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5"/>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6"/>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
    <w:name w:val="网格型7"/>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
    <w:name w:val="网格型8"/>
    <w:basedOn w:val="25"/>
    <w:qFormat/>
    <w:uiPriority w:val="39"/>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8">
    <w:name w:val="Revision"/>
    <w:hidden/>
    <w:semiHidden/>
    <w:qFormat/>
    <w:uiPriority w:val="99"/>
    <w:rPr>
      <w:rFonts w:ascii="Times New Roman" w:hAnsi="Times New Roman" w:cs="Times New Roman" w:eastAsiaTheme="minorEastAsia"/>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emf"/><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67</Pages>
  <Words>4072</Words>
  <Characters>4218</Characters>
  <Lines>321</Lines>
  <Paragraphs>90</Paragraphs>
  <TotalTime>2</TotalTime>
  <ScaleCrop>false</ScaleCrop>
  <LinksUpToDate>false</LinksUpToDate>
  <CharactersWithSpaces>4253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2022-06-24T10:45:00Z</dcterms:created>
  <dc:creator>Administrator</dc:creator>
  <cp:lastModifiedBy>青溪L</cp:lastModifiedBy>
  <cp:lastPrinted>2020-10-09T18:14:00Z</cp:lastPrinted>
  <dcterms:modified xsi:type="dcterms:W3CDTF">2026-08-24T03:24:49Z</dcterms:modified>
  <dc:title>玉溪高新技术产业开发区</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4B8C0BD994D14B8F8D768F80FF08AFE5</vt:lpwstr>
  </property>
  <property fmtid="{D5CDD505-2E9C-101B-9397-08002B2CF9AE}" pid="4" name="KSOTemplateDocerSaveRecord">
    <vt:lpwstr>eyJoZGlkIjoiMjBmNzFhNTE2ODA4NWNjMzY3MDUyM2Q1MGJjODVmODYiLCJ1c2VySWQiOiIyNTc3MjA0MDYifQ==</vt:lpwstr>
  </property>
</Properties>
</file>