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overflowPunct/>
        <w:bidi w:val="0"/>
        <w:spacing w:before="225" w:after="225" w:line="360" w:lineRule="auto"/>
        <w:jc w:val="center"/>
        <w:rPr>
          <w:rFonts w:hint="default" w:ascii="宋体" w:hAnsi="宋体" w:eastAsia="宋体" w:cs="宋体"/>
          <w:b/>
          <w:color w:val="auto"/>
          <w:spacing w:val="20"/>
          <w:w w:val="95"/>
          <w:sz w:val="32"/>
          <w:szCs w:val="32"/>
          <w:highlight w:val="none"/>
          <w:lang w:eastAsia="zh-CN"/>
        </w:rPr>
      </w:pPr>
      <w:bookmarkStart w:id="0" w:name="_Toc31213"/>
      <w:bookmarkStart w:id="1" w:name="_Toc27477"/>
    </w:p>
    <w:p>
      <w:pPr>
        <w:pageBreakBefore w:val="0"/>
        <w:widowControl/>
        <w:shd w:val="clear" w:color="auto" w:fill="FFFFFF"/>
        <w:kinsoku/>
        <w:overflowPunct/>
        <w:bidi w:val="0"/>
        <w:spacing w:before="225" w:after="225" w:line="360" w:lineRule="auto"/>
        <w:jc w:val="center"/>
        <w:rPr>
          <w:rFonts w:hint="eastAsia" w:ascii="宋体" w:hAnsi="宋体" w:eastAsia="宋体" w:cs="宋体"/>
          <w:b/>
          <w:color w:val="auto"/>
          <w:spacing w:val="20"/>
          <w:w w:val="95"/>
          <w:sz w:val="32"/>
          <w:szCs w:val="32"/>
          <w:highlight w:val="none"/>
          <w:lang w:eastAsia="zh-CN"/>
        </w:rPr>
      </w:pPr>
      <w:r>
        <w:rPr>
          <w:rFonts w:hint="default" w:ascii="宋体" w:hAnsi="宋体" w:eastAsia="宋体" w:cs="宋体"/>
          <w:b/>
          <w:color w:val="auto"/>
          <w:spacing w:val="20"/>
          <w:w w:val="95"/>
          <w:sz w:val="32"/>
          <w:szCs w:val="32"/>
          <w:highlight w:val="none"/>
          <w:lang w:eastAsia="zh-CN"/>
        </w:rPr>
        <w:t>玉溪市生态环境局</w:t>
      </w:r>
      <w:r>
        <w:rPr>
          <w:rFonts w:hint="eastAsia" w:ascii="宋体" w:hAnsi="宋体" w:eastAsia="宋体" w:cs="宋体"/>
          <w:b/>
          <w:color w:val="auto"/>
          <w:spacing w:val="20"/>
          <w:w w:val="95"/>
          <w:sz w:val="32"/>
          <w:szCs w:val="32"/>
          <w:highlight w:val="none"/>
          <w:lang w:eastAsia="zh-CN"/>
        </w:rPr>
        <w:t>关于《珠江流域（玉溪段）生态环境监测能力提升项目招标文件》向社会公众征求公平竞争审查意见的公告</w:t>
      </w:r>
    </w:p>
    <w:p>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根据《国务院关于在市场体系建设中建立公平竞争审查制度的意见》（国发〔2016〕34号）、《市场监管总局等五部门关于印发&lt;公平竞争审查制度实施细则&gt;》（国市监反垄规〔2021〕2号）</w:t>
      </w:r>
      <w:r>
        <w:rPr>
          <w:rFonts w:hint="eastAsia" w:ascii="宋体" w:hAnsi="宋体" w:eastAsia="宋体" w:cs="宋体"/>
          <w:color w:val="000000"/>
          <w:kern w:val="0"/>
          <w:sz w:val="24"/>
          <w:highlight w:val="none"/>
        </w:rPr>
        <w:t>等有关规</w:t>
      </w:r>
      <w:r>
        <w:rPr>
          <w:rFonts w:hint="eastAsia" w:ascii="宋体" w:hAnsi="宋体" w:eastAsia="宋体" w:cs="宋体"/>
          <w:color w:val="000000"/>
          <w:kern w:val="0"/>
          <w:sz w:val="24"/>
        </w:rPr>
        <w:t>定和要求，现将《</w:t>
      </w:r>
      <w:r>
        <w:rPr>
          <w:rFonts w:hint="eastAsia" w:ascii="宋体" w:hAnsi="宋体" w:eastAsia="宋体" w:cs="宋体"/>
          <w:color w:val="000000"/>
          <w:kern w:val="0"/>
          <w:sz w:val="24"/>
          <w:lang w:eastAsia="zh-CN"/>
        </w:rPr>
        <w:t>珠江流域（玉溪段）生态环境监测能力提升项目</w:t>
      </w:r>
      <w:r>
        <w:rPr>
          <w:rFonts w:hint="eastAsia" w:ascii="宋体" w:hAnsi="宋体" w:eastAsia="宋体" w:cs="宋体"/>
          <w:color w:val="000000"/>
          <w:kern w:val="0"/>
          <w:sz w:val="24"/>
        </w:rPr>
        <w:t>招标文件》向社会公众公开征求意见。如认为本文件存在违反《中华人民共和国反垄断法》《国务院关于在市场体系建设中建立公平竞争审查制度的意见》《公平竞争审查制度实施细则》含有排除或限制市场竞争的内容，</w:t>
      </w:r>
      <w:r>
        <w:rPr>
          <w:rFonts w:hint="eastAsia" w:ascii="宋体" w:hAnsi="宋体" w:eastAsia="宋体" w:cs="宋体"/>
          <w:color w:val="000000"/>
          <w:kern w:val="0"/>
          <w:sz w:val="24"/>
          <w:highlight w:val="yellow"/>
        </w:rPr>
        <w:t>请于</w:t>
      </w:r>
      <w:r>
        <w:rPr>
          <w:rFonts w:hint="eastAsia" w:ascii="宋体" w:hAnsi="宋体" w:eastAsia="宋体" w:cs="宋体"/>
          <w:color w:val="000000"/>
          <w:kern w:val="0"/>
          <w:sz w:val="24"/>
          <w:highlight w:val="yellow"/>
          <w:lang w:val="en-US" w:eastAsia="zh-CN"/>
        </w:rPr>
        <w:t>截止时间</w:t>
      </w:r>
      <w:r>
        <w:rPr>
          <w:rFonts w:hint="eastAsia" w:ascii="宋体" w:hAnsi="宋体" w:eastAsia="宋体" w:cs="宋体"/>
          <w:color w:val="000000"/>
          <w:kern w:val="0"/>
          <w:sz w:val="24"/>
          <w:highlight w:val="yellow"/>
        </w:rPr>
        <w:t>2026年</w:t>
      </w:r>
      <w:r>
        <w:rPr>
          <w:rFonts w:hint="eastAsia" w:ascii="宋体" w:hAnsi="宋体" w:eastAsia="宋体" w:cs="宋体"/>
          <w:color w:val="000000"/>
          <w:kern w:val="0"/>
          <w:sz w:val="24"/>
          <w:highlight w:val="yellow"/>
          <w:lang w:val="en-US" w:eastAsia="zh-CN"/>
        </w:rPr>
        <w:t>5</w:t>
      </w:r>
      <w:r>
        <w:rPr>
          <w:rFonts w:hint="eastAsia" w:ascii="宋体" w:hAnsi="宋体" w:eastAsia="宋体" w:cs="宋体"/>
          <w:color w:val="000000"/>
          <w:kern w:val="0"/>
          <w:sz w:val="24"/>
          <w:highlight w:val="yellow"/>
        </w:rPr>
        <w:t>月</w:t>
      </w:r>
      <w:r>
        <w:rPr>
          <w:rFonts w:hint="eastAsia" w:ascii="宋体" w:hAnsi="宋体" w:cs="宋体"/>
          <w:color w:val="000000"/>
          <w:kern w:val="0"/>
          <w:sz w:val="24"/>
          <w:highlight w:val="yellow"/>
          <w:lang w:val="en-US" w:eastAsia="zh-CN"/>
        </w:rPr>
        <w:t>21</w:t>
      </w:r>
      <w:r>
        <w:rPr>
          <w:rFonts w:hint="eastAsia" w:ascii="宋体" w:hAnsi="宋体" w:eastAsia="宋体" w:cs="宋体"/>
          <w:color w:val="000000"/>
          <w:kern w:val="0"/>
          <w:sz w:val="24"/>
          <w:highlight w:val="yellow"/>
        </w:rPr>
        <w:t>日</w:t>
      </w:r>
      <w:r>
        <w:rPr>
          <w:rFonts w:hint="eastAsia" w:ascii="宋体" w:hAnsi="宋体" w:eastAsia="宋体" w:cs="宋体"/>
          <w:color w:val="000000"/>
          <w:kern w:val="0"/>
          <w:sz w:val="24"/>
          <w:highlight w:val="yellow"/>
          <w:lang w:val="en-US" w:eastAsia="zh-CN"/>
        </w:rPr>
        <w:t>18：00</w:t>
      </w:r>
      <w:r>
        <w:rPr>
          <w:rFonts w:hint="eastAsia" w:ascii="宋体" w:hAnsi="宋体" w:eastAsia="宋体" w:cs="宋体"/>
          <w:color w:val="000000"/>
          <w:kern w:val="0"/>
          <w:sz w:val="24"/>
        </w:rPr>
        <w:t>前向我单位提出。</w:t>
      </w:r>
    </w:p>
    <w:p>
      <w:pPr>
        <w:pageBreakBefore w:val="0"/>
        <w:widowControl/>
        <w:shd w:val="clear" w:color="auto" w:fill="FFFFFF"/>
        <w:kinsoku/>
        <w:overflowPunct/>
        <w:bidi w:val="0"/>
        <w:spacing w:before="225" w:after="225" w:line="360" w:lineRule="auto"/>
        <w:ind w:firstLine="480"/>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一、联系人及电话</w:t>
      </w:r>
    </w:p>
    <w:p>
      <w:pPr>
        <w:pageBreakBefore w:val="0"/>
        <w:widowControl/>
        <w:shd w:val="clear" w:color="auto" w:fill="FFFFFF"/>
        <w:kinsoku/>
        <w:overflowPunct/>
        <w:bidi w:val="0"/>
        <w:spacing w:before="225" w:after="225" w:line="360" w:lineRule="auto"/>
        <w:ind w:firstLine="48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苗艳  15912390037</w:t>
      </w:r>
    </w:p>
    <w:p>
      <w:pPr>
        <w:pageBreakBefore w:val="0"/>
        <w:widowControl/>
        <w:shd w:val="clear" w:color="auto" w:fill="FFFFFF"/>
        <w:kinsoku/>
        <w:overflowPunct/>
        <w:bidi w:val="0"/>
        <w:spacing w:before="225" w:after="225" w:line="360" w:lineRule="auto"/>
        <w:ind w:firstLine="480"/>
        <w:rPr>
          <w:rFonts w:hint="eastAsia" w:ascii="宋体" w:hAnsi="宋体" w:eastAsia="宋体" w:cs="宋体"/>
          <w:b/>
          <w:bCs/>
          <w:color w:val="000000"/>
          <w:kern w:val="0"/>
          <w:sz w:val="24"/>
        </w:rPr>
      </w:pPr>
      <w:r>
        <w:rPr>
          <w:rFonts w:hint="eastAsia" w:ascii="宋体" w:hAnsi="宋体" w:eastAsia="宋体" w:cs="宋体"/>
          <w:b/>
          <w:bCs/>
          <w:color w:val="000000"/>
          <w:kern w:val="0"/>
          <w:sz w:val="24"/>
        </w:rPr>
        <w:t>二、提交意见方式</w:t>
      </w:r>
    </w:p>
    <w:p>
      <w:pPr>
        <w:pageBreakBefore w:val="0"/>
        <w:widowControl/>
        <w:shd w:val="clear" w:color="auto" w:fill="FFFFFF"/>
        <w:kinsoku/>
        <w:overflowPunct/>
        <w:bidi w:val="0"/>
        <w:spacing w:before="225" w:after="225" w:line="360" w:lineRule="auto"/>
        <w:ind w:firstLine="48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 xml:space="preserve">（一）电子邮件：发送至电子邮箱 </w:t>
      </w:r>
      <w:r>
        <w:rPr>
          <w:rFonts w:hint="eastAsia" w:ascii="宋体" w:hAnsi="宋体" w:eastAsia="宋体" w:cs="宋体"/>
          <w:color w:val="000000"/>
          <w:kern w:val="0"/>
          <w:sz w:val="24"/>
          <w:lang w:val="en-US" w:eastAsia="zh-CN"/>
        </w:rPr>
        <w:t>ynszzx@126.com</w:t>
      </w:r>
    </w:p>
    <w:p>
      <w:pPr>
        <w:pageBreakBefore w:val="0"/>
        <w:widowControl/>
        <w:shd w:val="clear" w:color="auto" w:fill="FFFFFF"/>
        <w:kinsoku/>
        <w:overflowPunct/>
        <w:bidi w:val="0"/>
        <w:spacing w:before="225" w:after="225" w:line="360" w:lineRule="auto"/>
        <w:ind w:firstLine="48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（二）书面信函：邮寄至</w:t>
      </w:r>
      <w:r>
        <w:rPr>
          <w:rFonts w:hint="eastAsia" w:ascii="宋体" w:hAnsi="宋体" w:eastAsia="宋体" w:cs="宋体"/>
          <w:color w:val="000000"/>
          <w:kern w:val="0"/>
          <w:sz w:val="24"/>
          <w:lang w:val="en-US" w:eastAsia="zh-CN"/>
        </w:rPr>
        <w:t>云南上资咨询有限公司玉溪分公司</w:t>
      </w:r>
      <w:r>
        <w:rPr>
          <w:rFonts w:hint="eastAsia" w:ascii="宋体" w:hAnsi="宋体" w:eastAsia="宋体" w:cs="宋体"/>
          <w:color w:val="000000"/>
          <w:kern w:val="0"/>
          <w:sz w:val="24"/>
        </w:rPr>
        <w:t>，地址：</w:t>
      </w:r>
      <w:r>
        <w:rPr>
          <w:rFonts w:hint="eastAsia" w:ascii="宋体" w:hAnsi="宋体" w:eastAsia="宋体" w:cs="宋体"/>
          <w:color w:val="000000"/>
          <w:kern w:val="0"/>
          <w:sz w:val="24"/>
          <w:lang w:val="en-US" w:eastAsia="zh-CN"/>
        </w:rPr>
        <w:t>云南省</w:t>
      </w:r>
      <w:r>
        <w:rPr>
          <w:rFonts w:hint="eastAsia" w:ascii="宋体" w:hAnsi="宋体" w:eastAsia="宋体" w:cs="宋体"/>
          <w:color w:val="auto"/>
          <w:sz w:val="24"/>
          <w:szCs w:val="24"/>
          <w:highlight w:val="none"/>
          <w:lang w:eastAsia="zh-CN"/>
        </w:rPr>
        <w:t>玉溪市红塔区李棋街道上郭井16幢3号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邮编：653100</w:t>
      </w:r>
    </w:p>
    <w:p>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有关单位提出的意见请加盖单位</w:t>
      </w:r>
      <w:r>
        <w:rPr>
          <w:rFonts w:hint="eastAsia" w:ascii="宋体" w:hAnsi="宋体" w:eastAsia="宋体" w:cs="宋体"/>
          <w:color w:val="000000"/>
          <w:kern w:val="0"/>
          <w:sz w:val="24"/>
          <w:lang w:val="en-US" w:eastAsia="zh-CN"/>
        </w:rPr>
        <w:t>公章</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提交意见时请留下姓名和联系方式，以便必要时进一步联系。</w:t>
      </w:r>
    </w:p>
    <w:p>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特此公告。</w:t>
      </w:r>
    </w:p>
    <w:p>
      <w:pPr>
        <w:pageBreakBefore w:val="0"/>
        <w:widowControl/>
        <w:shd w:val="clear" w:color="auto" w:fill="FFFFFF"/>
        <w:kinsoku/>
        <w:overflowPunct/>
        <w:bidi w:val="0"/>
        <w:spacing w:before="225" w:after="225"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附件：《</w:t>
      </w:r>
      <w:r>
        <w:rPr>
          <w:rFonts w:hint="eastAsia" w:ascii="宋体" w:hAnsi="宋体" w:eastAsia="宋体" w:cs="宋体"/>
          <w:color w:val="000000"/>
          <w:kern w:val="0"/>
          <w:sz w:val="24"/>
          <w:lang w:eastAsia="zh-CN"/>
        </w:rPr>
        <w:t>珠江流域（玉溪段）生态环境监测能力提升项目</w:t>
      </w:r>
      <w:r>
        <w:rPr>
          <w:rFonts w:hint="eastAsia" w:ascii="宋体" w:hAnsi="宋体" w:eastAsia="宋体" w:cs="宋体"/>
          <w:color w:val="000000"/>
          <w:kern w:val="0"/>
          <w:sz w:val="24"/>
        </w:rPr>
        <w:t>招标文件》</w:t>
      </w:r>
    </w:p>
    <w:p>
      <w:pPr>
        <w:pageBreakBefore w:val="0"/>
        <w:kinsoku/>
        <w:overflowPunct/>
        <w:bidi w:val="0"/>
        <w:spacing w:line="360" w:lineRule="auto"/>
        <w:rPr>
          <w:rFonts w:hint="eastAsia" w:ascii="宋体" w:hAnsi="宋体" w:eastAsia="宋体" w:cs="宋体"/>
          <w:lang w:val="en-US" w:eastAsia="zh-CN"/>
        </w:rPr>
      </w:pPr>
      <w:r>
        <w:rPr>
          <w:rFonts w:hint="eastAsia" w:ascii="宋体" w:hAnsi="宋体" w:eastAsia="宋体" w:cs="宋体"/>
        </w:rPr>
        <w:br w:type="page"/>
      </w:r>
    </w:p>
    <w:p>
      <w:pPr>
        <w:pageBreakBefore w:val="0"/>
        <w:kinsoku/>
        <w:overflowPunct/>
        <w:bidi w:val="0"/>
        <w:spacing w:line="360" w:lineRule="auto"/>
        <w:rPr>
          <w:rFonts w:hint="eastAsia" w:ascii="宋体" w:hAnsi="宋体" w:eastAsia="宋体" w:cs="宋体"/>
          <w:b/>
          <w:color w:val="auto"/>
          <w:sz w:val="48"/>
          <w:szCs w:val="48"/>
          <w:highlight w:val="none"/>
          <w:lang w:eastAsia="zh-CN"/>
        </w:rPr>
      </w:pPr>
      <w:r>
        <w:rPr>
          <w:rFonts w:hint="eastAsia" w:ascii="宋体" w:hAnsi="宋体" w:eastAsia="宋体" w:cs="宋体"/>
        </w:rPr>
        <w:drawing>
          <wp:inline distT="0" distB="0" distL="114300" distR="114300">
            <wp:extent cx="480695" cy="593090"/>
            <wp:effectExtent l="0" t="0" r="698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80695" cy="593090"/>
                    </a:xfrm>
                    <a:prstGeom prst="rect">
                      <a:avLst/>
                    </a:prstGeom>
                    <a:noFill/>
                    <a:ln>
                      <a:noFill/>
                    </a:ln>
                  </pic:spPr>
                </pic:pic>
              </a:graphicData>
            </a:graphic>
          </wp:inline>
        </w:drawing>
      </w:r>
      <w:r>
        <w:rPr>
          <w:rFonts w:hint="eastAsia" w:ascii="宋体" w:hAnsi="宋体" w:eastAsia="宋体" w:cs="宋体"/>
          <w:b/>
          <w:color w:val="auto"/>
          <w:spacing w:val="20"/>
          <w:w w:val="95"/>
          <w:sz w:val="22"/>
          <w:szCs w:val="22"/>
          <w:highlight w:val="none"/>
          <w:lang w:eastAsia="zh-CN"/>
        </w:rPr>
        <w:t>云南上资咨询有限公司</w:t>
      </w:r>
    </w:p>
    <w:p>
      <w:pPr>
        <w:pStyle w:val="5"/>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cs="宋体"/>
          <w:b/>
          <w:color w:val="auto"/>
          <w:sz w:val="52"/>
          <w:szCs w:val="52"/>
          <w:highlight w:val="none"/>
          <w:lang w:eastAsia="zh-CN"/>
        </w:rPr>
        <w:t>珠江流域（玉溪段）生态环境监测能力提升项目</w:t>
      </w:r>
    </w:p>
    <w:p>
      <w:pPr>
        <w:pStyle w:val="12"/>
        <w:pageBreakBefore w:val="0"/>
        <w:kinsoku/>
        <w:overflowPunct/>
        <w:bidi w:val="0"/>
        <w:spacing w:line="360" w:lineRule="auto"/>
        <w:jc w:val="both"/>
        <w:rPr>
          <w:rFonts w:hint="eastAsia" w:ascii="宋体" w:hAnsi="宋体" w:eastAsia="宋体" w:cs="宋体"/>
          <w:b/>
          <w:color w:val="auto"/>
          <w:sz w:val="84"/>
          <w:szCs w:val="84"/>
          <w:highlight w:val="none"/>
        </w:rPr>
      </w:pPr>
    </w:p>
    <w:p>
      <w:pPr>
        <w:pStyle w:val="12"/>
        <w:pageBreakBefore w:val="0"/>
        <w:kinsoku/>
        <w:overflowPunct/>
        <w:bidi w:val="0"/>
        <w:spacing w:line="360" w:lineRule="auto"/>
        <w:jc w:val="center"/>
        <w:rPr>
          <w:rFonts w:hint="eastAsia" w:ascii="宋体" w:hAnsi="宋体" w:eastAsia="宋体" w:cs="宋体"/>
          <w:b/>
          <w:color w:val="auto"/>
          <w:sz w:val="84"/>
          <w:szCs w:val="84"/>
          <w:highlight w:val="none"/>
        </w:rPr>
      </w:pPr>
    </w:p>
    <w:p>
      <w:pPr>
        <w:pStyle w:val="12"/>
        <w:pageBreakBefore w:val="0"/>
        <w:kinsoku/>
        <w:overflowPunct/>
        <w:bidi w:val="0"/>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 标 文 件</w:t>
      </w:r>
    </w:p>
    <w:p>
      <w:pPr>
        <w:pStyle w:val="12"/>
        <w:pageBreakBefore w:val="0"/>
        <w:kinsoku/>
        <w:overflowPunct/>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 xml:space="preserve">YNSZ2026-0512  </w:t>
      </w:r>
    </w:p>
    <w:p>
      <w:pPr>
        <w:pStyle w:val="12"/>
        <w:pageBreakBefore w:val="0"/>
        <w:kinsoku/>
        <w:overflowPunct/>
        <w:bidi w:val="0"/>
        <w:spacing w:line="360" w:lineRule="auto"/>
        <w:rPr>
          <w:rFonts w:hint="eastAsia" w:ascii="宋体" w:hAnsi="宋体" w:eastAsia="宋体" w:cs="宋体"/>
          <w:b/>
          <w:color w:val="auto"/>
          <w:sz w:val="24"/>
          <w:szCs w:val="24"/>
          <w:highlight w:val="none"/>
        </w:rPr>
      </w:pPr>
    </w:p>
    <w:p>
      <w:pPr>
        <w:pageBreakBefore w:val="0"/>
        <w:kinsoku/>
        <w:overflowPunct/>
        <w:bidi w:val="0"/>
        <w:spacing w:line="360" w:lineRule="auto"/>
        <w:rPr>
          <w:rFonts w:hint="eastAsia" w:ascii="宋体" w:hAnsi="宋体" w:eastAsia="宋体" w:cs="宋体"/>
          <w:b/>
          <w:color w:val="auto"/>
          <w:sz w:val="24"/>
          <w:szCs w:val="24"/>
          <w:highlight w:val="none"/>
        </w:rPr>
      </w:pPr>
    </w:p>
    <w:p>
      <w:pPr>
        <w:pStyle w:val="5"/>
        <w:pageBreakBefore w:val="0"/>
        <w:kinsoku/>
        <w:overflowPunct/>
        <w:bidi w:val="0"/>
        <w:spacing w:line="360" w:lineRule="auto"/>
        <w:rPr>
          <w:rFonts w:hint="eastAsia" w:ascii="宋体" w:hAnsi="宋体" w:eastAsia="宋体" w:cs="宋体"/>
          <w:color w:val="auto"/>
          <w:sz w:val="24"/>
          <w:szCs w:val="24"/>
          <w:highlight w:val="none"/>
        </w:rPr>
      </w:pPr>
    </w:p>
    <w:p>
      <w:pPr>
        <w:pageBreakBefore w:val="0"/>
        <w:kinsoku/>
        <w:overflowPunct/>
        <w:bidi w:val="0"/>
        <w:spacing w:line="360" w:lineRule="auto"/>
        <w:rPr>
          <w:rFonts w:hint="eastAsia" w:ascii="宋体" w:hAnsi="宋体" w:eastAsia="宋体" w:cs="宋体"/>
          <w:color w:val="auto"/>
          <w:sz w:val="24"/>
          <w:szCs w:val="24"/>
          <w:highlight w:val="none"/>
        </w:rPr>
      </w:pPr>
    </w:p>
    <w:p>
      <w:pPr>
        <w:pStyle w:val="18"/>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outlineLvl w:val="1"/>
        <w:rPr>
          <w:rFonts w:hint="eastAsia" w:ascii="宋体" w:hAnsi="宋体" w:eastAsia="宋体" w:cs="宋体"/>
          <w:color w:val="auto"/>
          <w:sz w:val="20"/>
          <w:szCs w:val="20"/>
          <w:highlight w:val="none"/>
        </w:rPr>
      </w:pPr>
    </w:p>
    <w:p>
      <w:pPr>
        <w:pageBreakBefore w:val="0"/>
        <w:kinsoku/>
        <w:overflowPunct/>
        <w:bidi w:val="0"/>
        <w:spacing w:line="360" w:lineRule="auto"/>
        <w:rPr>
          <w:rFonts w:hint="eastAsia" w:ascii="宋体" w:hAnsi="宋体" w:eastAsia="宋体" w:cs="宋体"/>
          <w:color w:val="auto"/>
          <w:sz w:val="24"/>
          <w:szCs w:val="24"/>
          <w:highlight w:val="none"/>
        </w:rPr>
      </w:pPr>
    </w:p>
    <w:p>
      <w:pPr>
        <w:pageBreakBefore w:val="0"/>
        <w:kinsoku/>
        <w:overflowPunct/>
        <w:bidi w:val="0"/>
        <w:spacing w:line="360" w:lineRule="auto"/>
        <w:rPr>
          <w:rFonts w:hint="eastAsia" w:ascii="宋体" w:hAnsi="宋体" w:eastAsia="宋体" w:cs="宋体"/>
          <w:color w:val="auto"/>
          <w:sz w:val="24"/>
          <w:szCs w:val="24"/>
          <w:highlight w:val="none"/>
        </w:rPr>
      </w:pPr>
    </w:p>
    <w:p>
      <w:pPr>
        <w:pageBreakBefore w:val="0"/>
        <w:kinsoku/>
        <w:overflowPunct/>
        <w:bidi w:val="0"/>
        <w:spacing w:line="360" w:lineRule="auto"/>
        <w:rPr>
          <w:rFonts w:hint="eastAsia" w:ascii="宋体" w:hAnsi="宋体" w:eastAsia="宋体" w:cs="宋体"/>
          <w:color w:val="auto"/>
          <w:sz w:val="24"/>
          <w:szCs w:val="24"/>
          <w:highlight w:val="none"/>
        </w:rPr>
      </w:pPr>
    </w:p>
    <w:p>
      <w:pPr>
        <w:pStyle w:val="12"/>
        <w:pageBreakBefore w:val="0"/>
        <w:kinsoku/>
        <w:overflowPunct/>
        <w:bidi w:val="0"/>
        <w:spacing w:line="360" w:lineRule="auto"/>
        <w:ind w:left="1050" w:leftChars="500"/>
        <w:rPr>
          <w:rFonts w:hint="eastAsia" w:ascii="宋体" w:hAnsi="宋体" w:eastAsia="宋体" w:cs="宋体"/>
          <w:b/>
          <w:color w:val="auto"/>
          <w:spacing w:val="20"/>
          <w:w w:val="95"/>
          <w:sz w:val="32"/>
          <w:szCs w:val="32"/>
          <w:highlight w:val="none"/>
          <w:lang w:eastAsia="zh-CN"/>
        </w:rPr>
      </w:pPr>
      <w:r>
        <w:rPr>
          <w:rFonts w:hint="eastAsia" w:ascii="宋体" w:hAnsi="宋体" w:eastAsia="宋体" w:cs="宋体"/>
          <w:b/>
          <w:color w:val="auto"/>
          <w:spacing w:val="20"/>
          <w:w w:val="95"/>
          <w:sz w:val="32"/>
          <w:szCs w:val="32"/>
          <w:highlight w:val="none"/>
          <w:lang w:eastAsia="zh-CN"/>
        </w:rPr>
        <w:t>采   购   人：</w:t>
      </w:r>
      <w:r>
        <w:rPr>
          <w:rFonts w:hint="default" w:ascii="宋体" w:hAnsi="宋体" w:eastAsia="宋体" w:cs="宋体"/>
          <w:b/>
          <w:color w:val="auto"/>
          <w:spacing w:val="20"/>
          <w:w w:val="95"/>
          <w:sz w:val="32"/>
          <w:szCs w:val="32"/>
          <w:highlight w:val="none"/>
          <w:lang w:eastAsia="zh-CN"/>
        </w:rPr>
        <w:t>玉溪市生态环境局</w:t>
      </w:r>
    </w:p>
    <w:p>
      <w:pPr>
        <w:pStyle w:val="12"/>
        <w:pageBreakBefore w:val="0"/>
        <w:kinsoku/>
        <w:overflowPunct/>
        <w:bidi w:val="0"/>
        <w:spacing w:line="360" w:lineRule="auto"/>
        <w:ind w:left="1050" w:leftChars="500"/>
        <w:rPr>
          <w:rFonts w:hint="eastAsia" w:ascii="宋体" w:hAnsi="宋体" w:eastAsia="宋体" w:cs="宋体"/>
          <w:b/>
          <w:color w:val="auto"/>
          <w:w w:val="95"/>
          <w:sz w:val="32"/>
          <w:szCs w:val="32"/>
          <w:highlight w:val="none"/>
        </w:rPr>
      </w:pPr>
      <w:r>
        <w:rPr>
          <w:rFonts w:hint="eastAsia" w:ascii="宋体" w:hAnsi="宋体" w:eastAsia="宋体" w:cs="宋体"/>
          <w:b/>
          <w:color w:val="auto"/>
          <w:w w:val="95"/>
          <w:sz w:val="32"/>
          <w:szCs w:val="32"/>
          <w:highlight w:val="none"/>
        </w:rPr>
        <w:t>采购代理机构：</w:t>
      </w:r>
      <w:r>
        <w:rPr>
          <w:rFonts w:hint="eastAsia" w:ascii="宋体" w:hAnsi="宋体" w:eastAsia="宋体" w:cs="宋体"/>
          <w:b/>
          <w:color w:val="auto"/>
          <w:spacing w:val="20"/>
          <w:w w:val="95"/>
          <w:sz w:val="32"/>
          <w:szCs w:val="32"/>
          <w:highlight w:val="none"/>
          <w:lang w:eastAsia="zh-CN"/>
        </w:rPr>
        <w:t>云南上资咨询有限公司</w:t>
      </w:r>
    </w:p>
    <w:p>
      <w:pPr>
        <w:pageBreakBefore w:val="0"/>
        <w:kinsoku/>
        <w:overflowPunct/>
        <w:bidi w:val="0"/>
        <w:spacing w:line="360" w:lineRule="auto"/>
        <w:rPr>
          <w:rFonts w:hint="eastAsia" w:ascii="宋体" w:hAnsi="宋体" w:eastAsia="宋体" w:cs="宋体"/>
          <w:b/>
          <w:color w:val="auto"/>
          <w:w w:val="95"/>
          <w:sz w:val="32"/>
          <w:szCs w:val="32"/>
          <w:highlight w:val="none"/>
          <w:lang w:eastAsia="zh-CN"/>
        </w:rPr>
      </w:pPr>
      <w:r>
        <w:rPr>
          <w:rFonts w:hint="eastAsia" w:ascii="宋体" w:hAnsi="宋体" w:eastAsia="宋体" w:cs="宋体"/>
          <w:b/>
          <w:color w:val="auto"/>
          <w:w w:val="95"/>
          <w:sz w:val="32"/>
          <w:szCs w:val="32"/>
          <w:highlight w:val="none"/>
          <w:lang w:val="en-US" w:eastAsia="zh-CN"/>
        </w:rPr>
        <w:t xml:space="preserve">       </w:t>
      </w:r>
      <w:r>
        <w:rPr>
          <w:rFonts w:hint="eastAsia" w:ascii="宋体" w:hAnsi="宋体" w:eastAsia="宋体" w:cs="宋体"/>
          <w:b/>
          <w:color w:val="auto"/>
          <w:w w:val="95"/>
          <w:sz w:val="32"/>
          <w:szCs w:val="32"/>
          <w:highlight w:val="none"/>
        </w:rPr>
        <w:t>日       期：</w:t>
      </w:r>
      <w:r>
        <w:rPr>
          <w:rFonts w:hint="eastAsia" w:ascii="宋体" w:hAnsi="宋体" w:cs="宋体"/>
          <w:b/>
          <w:color w:val="auto"/>
          <w:w w:val="95"/>
          <w:sz w:val="32"/>
          <w:szCs w:val="32"/>
          <w:highlight w:val="none"/>
          <w:lang w:val="en-US" w:eastAsia="zh-CN"/>
        </w:rPr>
        <w:t>2026</w:t>
      </w:r>
      <w:r>
        <w:rPr>
          <w:rFonts w:hint="eastAsia" w:ascii="宋体" w:hAnsi="宋体" w:eastAsia="宋体" w:cs="宋体"/>
          <w:b/>
          <w:color w:val="auto"/>
          <w:w w:val="95"/>
          <w:sz w:val="32"/>
          <w:szCs w:val="32"/>
          <w:highlight w:val="none"/>
          <w:lang w:eastAsia="zh-CN"/>
        </w:rPr>
        <w:t>年</w:t>
      </w:r>
      <w:r>
        <w:rPr>
          <w:rFonts w:hint="eastAsia" w:ascii="宋体" w:hAnsi="宋体" w:cs="宋体"/>
          <w:b/>
          <w:color w:val="auto"/>
          <w:w w:val="95"/>
          <w:sz w:val="32"/>
          <w:szCs w:val="32"/>
          <w:highlight w:val="none"/>
          <w:lang w:val="en-US" w:eastAsia="zh-CN"/>
        </w:rPr>
        <w:t>05</w:t>
      </w:r>
      <w:r>
        <w:rPr>
          <w:rFonts w:hint="eastAsia" w:ascii="宋体" w:hAnsi="宋体" w:eastAsia="宋体" w:cs="宋体"/>
          <w:b/>
          <w:color w:val="auto"/>
          <w:w w:val="95"/>
          <w:sz w:val="32"/>
          <w:szCs w:val="32"/>
          <w:highlight w:val="none"/>
          <w:lang w:eastAsia="zh-CN"/>
        </w:rPr>
        <w:t>月</w:t>
      </w:r>
    </w:p>
    <w:p>
      <w:pPr>
        <w:pageBreakBefore w:val="0"/>
        <w:kinsoku/>
        <w:overflowPunct/>
        <w:bidi w:val="0"/>
        <w:spacing w:line="360" w:lineRule="auto"/>
        <w:jc w:val="center"/>
        <w:rPr>
          <w:rFonts w:hint="eastAsia" w:ascii="宋体" w:hAnsi="宋体" w:eastAsia="宋体" w:cs="宋体"/>
          <w:b/>
          <w:color w:val="auto"/>
          <w:w w:val="95"/>
          <w:sz w:val="44"/>
          <w:szCs w:val="44"/>
          <w:highlight w:val="none"/>
          <w:lang w:val="en-US" w:eastAsia="zh-CN"/>
        </w:rPr>
        <w:sectPr>
          <w:headerReference r:id="rId3" w:type="default"/>
          <w:pgSz w:w="11906" w:h="16838"/>
          <w:pgMar w:top="1440" w:right="1800" w:bottom="1440" w:left="1800" w:header="851" w:footer="992" w:gutter="0"/>
          <w:cols w:space="425" w:num="1"/>
          <w:docGrid w:type="lines" w:linePitch="312" w:charSpace="0"/>
        </w:sectPr>
      </w:pPr>
    </w:p>
    <w:p>
      <w:pPr>
        <w:pageBreakBefore w:val="0"/>
        <w:kinsoku/>
        <w:overflowPunct/>
        <w:bidi w:val="0"/>
        <w:spacing w:line="360" w:lineRule="auto"/>
        <w:jc w:val="center"/>
        <w:rPr>
          <w:rFonts w:hint="eastAsia" w:ascii="宋体" w:hAnsi="宋体" w:eastAsia="宋体" w:cs="宋体"/>
          <w:b/>
          <w:color w:val="auto"/>
          <w:w w:val="95"/>
          <w:sz w:val="44"/>
          <w:szCs w:val="44"/>
          <w:highlight w:val="none"/>
          <w:lang w:val="en-US" w:eastAsia="zh-CN"/>
        </w:rPr>
      </w:pPr>
      <w:r>
        <w:rPr>
          <w:rFonts w:hint="eastAsia" w:ascii="宋体" w:hAnsi="宋体" w:eastAsia="宋体" w:cs="宋体"/>
          <w:b/>
          <w:color w:val="auto"/>
          <w:w w:val="95"/>
          <w:sz w:val="44"/>
          <w:szCs w:val="44"/>
          <w:highlight w:val="none"/>
          <w:lang w:val="en-US" w:eastAsia="zh-CN"/>
        </w:rPr>
        <w:t>目  录</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
          <w:color w:val="auto"/>
          <w:w w:val="95"/>
          <w:sz w:val="24"/>
          <w:szCs w:val="24"/>
          <w:highlight w:val="none"/>
          <w:lang w:eastAsia="zh-CN"/>
        </w:rPr>
        <w:fldChar w:fldCharType="begin"/>
      </w:r>
      <w:r>
        <w:rPr>
          <w:rFonts w:hint="eastAsia" w:ascii="宋体" w:hAnsi="宋体" w:eastAsia="宋体" w:cs="宋体"/>
          <w:b/>
          <w:color w:val="auto"/>
          <w:w w:val="95"/>
          <w:sz w:val="24"/>
          <w:szCs w:val="24"/>
          <w:highlight w:val="none"/>
          <w:lang w:eastAsia="zh-CN"/>
        </w:rPr>
        <w:instrText xml:space="preserve">TOC \o "1-3" \h \u </w:instrText>
      </w:r>
      <w:r>
        <w:rPr>
          <w:rFonts w:hint="eastAsia" w:ascii="宋体" w:hAnsi="宋体" w:eastAsia="宋体" w:cs="宋体"/>
          <w:b/>
          <w:color w:val="auto"/>
          <w:w w:val="95"/>
          <w:sz w:val="24"/>
          <w:szCs w:val="24"/>
          <w:highlight w:val="none"/>
          <w:lang w:eastAsia="zh-CN"/>
        </w:rPr>
        <w:fldChar w:fldCharType="separate"/>
      </w: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_Toc2951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kern w:val="44"/>
          <w:sz w:val="24"/>
          <w:szCs w:val="24"/>
          <w:lang w:val="en-US" w:eastAsia="zh-CN" w:bidi="ar-SA"/>
        </w:rPr>
        <w:t xml:space="preserve">第一章  </w:t>
      </w:r>
      <w:r>
        <w:rPr>
          <w:rFonts w:hint="eastAsia" w:ascii="宋体" w:hAnsi="宋体" w:eastAsia="宋体" w:cs="宋体"/>
          <w:sz w:val="24"/>
          <w:szCs w:val="24"/>
        </w:rPr>
        <w:t>招标公告</w:t>
      </w:r>
      <w:r>
        <w:rPr>
          <w:sz w:val="24"/>
          <w:szCs w:val="24"/>
        </w:rPr>
        <w:tab/>
      </w:r>
      <w:r>
        <w:rPr>
          <w:sz w:val="24"/>
          <w:szCs w:val="24"/>
        </w:rPr>
        <w:fldChar w:fldCharType="begin"/>
      </w:r>
      <w:r>
        <w:rPr>
          <w:sz w:val="24"/>
          <w:szCs w:val="24"/>
        </w:rPr>
        <w:instrText xml:space="preserve"> PAGEREF _Toc2951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_Toc9699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rPr>
        <w:t>第二章 投标人须知</w:t>
      </w:r>
      <w:r>
        <w:rPr>
          <w:sz w:val="24"/>
          <w:szCs w:val="24"/>
        </w:rPr>
        <w:tab/>
      </w:r>
      <w:r>
        <w:rPr>
          <w:sz w:val="24"/>
          <w:szCs w:val="24"/>
        </w:rPr>
        <w:fldChar w:fldCharType="begin"/>
      </w:r>
      <w:r>
        <w:rPr>
          <w:sz w:val="24"/>
          <w:szCs w:val="24"/>
        </w:rPr>
        <w:instrText xml:space="preserve"> PAGEREF _Toc9699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_Toc7339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lang w:val="en-US" w:eastAsia="zh-CN"/>
        </w:rPr>
        <w:t xml:space="preserve">第三章 </w:t>
      </w:r>
      <w:r>
        <w:rPr>
          <w:rFonts w:hint="eastAsia" w:ascii="宋体" w:hAnsi="宋体" w:eastAsia="宋体" w:cs="宋体"/>
          <w:sz w:val="24"/>
          <w:szCs w:val="24"/>
        </w:rPr>
        <w:t>合同书样式及主要条款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草案</w:t>
      </w:r>
      <w:r>
        <w:rPr>
          <w:rFonts w:hint="eastAsia" w:ascii="宋体" w:hAnsi="宋体" w:eastAsia="宋体" w:cs="宋体"/>
          <w:sz w:val="24"/>
          <w:szCs w:val="24"/>
          <w:lang w:eastAsia="zh-CN"/>
        </w:rPr>
        <w:t>）</w:t>
      </w:r>
      <w:r>
        <w:rPr>
          <w:sz w:val="24"/>
          <w:szCs w:val="24"/>
        </w:rPr>
        <w:tab/>
      </w:r>
      <w:r>
        <w:rPr>
          <w:sz w:val="24"/>
          <w:szCs w:val="24"/>
        </w:rPr>
        <w:fldChar w:fldCharType="begin"/>
      </w:r>
      <w:r>
        <w:rPr>
          <w:sz w:val="24"/>
          <w:szCs w:val="24"/>
        </w:rPr>
        <w:instrText xml:space="preserve"> PAGEREF _Toc7339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_Toc24287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highlight w:val="none"/>
          <w:lang w:val="en-US" w:eastAsia="zh-CN"/>
        </w:rPr>
        <w:t xml:space="preserve">第四章 </w:t>
      </w:r>
      <w:r>
        <w:rPr>
          <w:rFonts w:hint="eastAsia" w:ascii="宋体" w:hAnsi="宋体" w:eastAsia="宋体" w:cs="宋体"/>
          <w:sz w:val="24"/>
          <w:szCs w:val="24"/>
          <w:highlight w:val="none"/>
          <w:lang w:eastAsia="zh-CN"/>
        </w:rPr>
        <w:t>采购需求及技术参数要求</w:t>
      </w:r>
      <w:r>
        <w:rPr>
          <w:sz w:val="24"/>
          <w:szCs w:val="24"/>
        </w:rPr>
        <w:tab/>
      </w:r>
      <w:r>
        <w:rPr>
          <w:sz w:val="24"/>
          <w:szCs w:val="24"/>
        </w:rPr>
        <w:fldChar w:fldCharType="begin"/>
      </w:r>
      <w:r>
        <w:rPr>
          <w:sz w:val="24"/>
          <w:szCs w:val="24"/>
        </w:rPr>
        <w:instrText xml:space="preserve"> PAGEREF _Toc24287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_Toc5402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章 评标方法（综合评分法）</w:t>
      </w:r>
      <w:r>
        <w:rPr>
          <w:sz w:val="24"/>
          <w:szCs w:val="24"/>
        </w:rPr>
        <w:tab/>
      </w:r>
      <w:r>
        <w:rPr>
          <w:sz w:val="24"/>
          <w:szCs w:val="24"/>
        </w:rPr>
        <w:fldChar w:fldCharType="begin"/>
      </w:r>
      <w:r>
        <w:rPr>
          <w:sz w:val="24"/>
          <w:szCs w:val="24"/>
        </w:rPr>
        <w:instrText xml:space="preserve"> PAGEREF _Toc5402 \h </w:instrText>
      </w:r>
      <w:r>
        <w:rPr>
          <w:sz w:val="24"/>
          <w:szCs w:val="24"/>
        </w:rPr>
        <w:fldChar w:fldCharType="separate"/>
      </w:r>
      <w:r>
        <w:rPr>
          <w:sz w:val="24"/>
          <w:szCs w:val="24"/>
        </w:rPr>
        <w:t>123</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color w:val="auto"/>
          <w:w w:val="95"/>
          <w:sz w:val="24"/>
          <w:szCs w:val="24"/>
          <w:highlight w:val="none"/>
          <w:lang w:eastAsia="zh-CN"/>
        </w:rPr>
        <w:fldChar w:fldCharType="begin"/>
      </w:r>
      <w:r>
        <w:rPr>
          <w:rFonts w:hint="eastAsia" w:ascii="宋体" w:hAnsi="宋体" w:eastAsia="宋体" w:cs="宋体"/>
          <w:w w:val="95"/>
          <w:sz w:val="24"/>
          <w:szCs w:val="24"/>
          <w:highlight w:val="none"/>
          <w:lang w:eastAsia="zh-CN"/>
        </w:rPr>
        <w:instrText xml:space="preserve"> HYPERLINK \l _Toc25104 </w:instrText>
      </w:r>
      <w:r>
        <w:rPr>
          <w:rFonts w:hint="eastAsia" w:ascii="宋体" w:hAnsi="宋体" w:eastAsia="宋体" w:cs="宋体"/>
          <w:w w:val="95"/>
          <w:sz w:val="24"/>
          <w:szCs w:val="24"/>
          <w:highlight w:val="none"/>
          <w:lang w:eastAsia="zh-CN"/>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投标文件格式</w:t>
      </w:r>
      <w:r>
        <w:rPr>
          <w:sz w:val="24"/>
          <w:szCs w:val="24"/>
        </w:rPr>
        <w:tab/>
      </w:r>
      <w:r>
        <w:rPr>
          <w:sz w:val="24"/>
          <w:szCs w:val="24"/>
        </w:rPr>
        <w:fldChar w:fldCharType="begin"/>
      </w:r>
      <w:r>
        <w:rPr>
          <w:sz w:val="24"/>
          <w:szCs w:val="24"/>
        </w:rPr>
        <w:instrText xml:space="preserve"> PAGEREF _Toc25104 \h </w:instrText>
      </w:r>
      <w:r>
        <w:rPr>
          <w:sz w:val="24"/>
          <w:szCs w:val="24"/>
        </w:rPr>
        <w:fldChar w:fldCharType="separate"/>
      </w:r>
      <w:r>
        <w:rPr>
          <w:sz w:val="24"/>
          <w:szCs w:val="24"/>
        </w:rPr>
        <w:t>138</w:t>
      </w:r>
      <w:r>
        <w:rPr>
          <w:sz w:val="24"/>
          <w:szCs w:val="24"/>
        </w:rPr>
        <w:fldChar w:fldCharType="end"/>
      </w:r>
      <w:r>
        <w:rPr>
          <w:rFonts w:hint="eastAsia" w:ascii="宋体" w:hAnsi="宋体" w:eastAsia="宋体" w:cs="宋体"/>
          <w:color w:val="auto"/>
          <w:w w:val="95"/>
          <w:sz w:val="24"/>
          <w:szCs w:val="24"/>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w w:val="95"/>
          <w:sz w:val="24"/>
          <w:szCs w:val="24"/>
          <w:highlight w:val="none"/>
          <w:lang w:eastAsia="zh-CN"/>
        </w:rPr>
      </w:pPr>
      <w:r>
        <w:rPr>
          <w:rFonts w:hint="eastAsia" w:ascii="宋体" w:hAnsi="宋体" w:eastAsia="宋体" w:cs="宋体"/>
          <w:color w:val="auto"/>
          <w:w w:val="95"/>
          <w:sz w:val="24"/>
          <w:szCs w:val="24"/>
          <w:highlight w:val="none"/>
          <w:lang w:eastAsia="zh-CN"/>
        </w:rPr>
        <w:fldChar w:fldCharType="end"/>
      </w:r>
    </w:p>
    <w:p>
      <w:pPr>
        <w:pageBreakBefore w:val="0"/>
        <w:kinsoku/>
        <w:overflowPunct/>
        <w:bidi w:val="0"/>
        <w:spacing w:line="360" w:lineRule="auto"/>
        <w:rPr>
          <w:rFonts w:hint="eastAsia" w:ascii="宋体" w:hAnsi="宋体" w:eastAsia="宋体" w:cs="宋体"/>
          <w:b/>
          <w:kern w:val="44"/>
          <w:sz w:val="28"/>
          <w:szCs w:val="20"/>
          <w:lang w:val="en-US" w:eastAsia="zh-CN" w:bidi="ar-SA"/>
        </w:rPr>
      </w:pPr>
    </w:p>
    <w:p>
      <w:pPr>
        <w:pStyle w:val="2"/>
        <w:pageBreakBefore w:val="0"/>
        <w:numPr>
          <w:ilvl w:val="0"/>
          <w:numId w:val="0"/>
        </w:numPr>
        <w:kinsoku/>
        <w:overflowPunct/>
        <w:bidi w:val="0"/>
        <w:spacing w:line="360" w:lineRule="auto"/>
        <w:ind w:left="284" w:leftChars="0" w:hanging="284" w:firstLineChars="0"/>
        <w:jc w:val="center"/>
        <w:rPr>
          <w:rFonts w:hint="eastAsia" w:ascii="宋体" w:hAnsi="宋体" w:eastAsia="宋体" w:cs="宋体"/>
          <w:b/>
          <w:kern w:val="44"/>
          <w:sz w:val="28"/>
          <w:szCs w:val="20"/>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
        <w:pageBreakBefore w:val="0"/>
        <w:numPr>
          <w:ilvl w:val="0"/>
          <w:numId w:val="0"/>
        </w:numPr>
        <w:kinsoku/>
        <w:overflowPunct/>
        <w:bidi w:val="0"/>
        <w:spacing w:line="360" w:lineRule="auto"/>
        <w:ind w:left="284" w:leftChars="0" w:hanging="284" w:firstLineChars="0"/>
        <w:jc w:val="center"/>
        <w:rPr>
          <w:rFonts w:hint="eastAsia" w:ascii="宋体" w:hAnsi="宋体" w:eastAsia="宋体" w:cs="宋体"/>
        </w:rPr>
      </w:pPr>
      <w:bookmarkStart w:id="2" w:name="_Toc2951"/>
      <w:bookmarkStart w:id="3" w:name="_Toc26825"/>
      <w:r>
        <w:rPr>
          <w:rFonts w:hint="eastAsia" w:ascii="宋体" w:hAnsi="宋体" w:eastAsia="宋体" w:cs="宋体"/>
          <w:b/>
          <w:kern w:val="44"/>
          <w:sz w:val="28"/>
          <w:szCs w:val="20"/>
          <w:lang w:val="en-US" w:eastAsia="zh-CN" w:bidi="ar-SA"/>
        </w:rPr>
        <w:t xml:space="preserve">第一章  </w:t>
      </w:r>
      <w:r>
        <w:rPr>
          <w:rFonts w:hint="eastAsia" w:ascii="宋体" w:hAnsi="宋体" w:eastAsia="宋体" w:cs="宋体"/>
        </w:rPr>
        <w:t>招标公告</w:t>
      </w:r>
      <w:bookmarkEnd w:id="0"/>
      <w:bookmarkEnd w:id="1"/>
      <w:bookmarkEnd w:id="2"/>
      <w:bookmarkEnd w:id="3"/>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right="0" w:rightChars="0"/>
        <w:rPr>
          <w:rFonts w:hint="eastAsia" w:ascii="宋体" w:hAnsi="宋体" w:eastAsia="宋体" w:cs="宋体"/>
          <w:color w:val="auto"/>
          <w:sz w:val="24"/>
          <w:highlight w:val="none"/>
        </w:rPr>
      </w:pPr>
      <w:bookmarkStart w:id="4" w:name="_Toc28359085"/>
      <w:bookmarkStart w:id="5" w:name="_Toc35393627"/>
      <w:bookmarkStart w:id="6" w:name="_Toc28359008"/>
      <w:bookmarkStart w:id="7" w:name="_Toc35393796"/>
      <w:r>
        <w:rPr>
          <w:rFonts w:hint="eastAsia" w:ascii="宋体" w:hAnsi="宋体" w:eastAsia="宋体" w:cs="宋体"/>
          <w:color w:val="auto"/>
          <w:sz w:val="24"/>
          <w:highlight w:val="none"/>
        </w:rPr>
        <w:t>项目概况</w:t>
      </w:r>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珠江流域（玉溪段）生态环境监测能力提升项目</w:t>
      </w:r>
      <w:r>
        <w:rPr>
          <w:rFonts w:hint="eastAsia" w:ascii="宋体" w:hAnsi="宋体" w:eastAsia="宋体" w:cs="宋体"/>
          <w:color w:val="auto"/>
          <w:sz w:val="24"/>
          <w:highlight w:val="none"/>
        </w:rPr>
        <w:t>的潜在投标人应登录政采云平台（https://www.zcygov.cn/）获取</w:t>
      </w:r>
      <w:r>
        <w:rPr>
          <w:rStyle w:val="26"/>
          <w:rFonts w:hint="eastAsia" w:ascii="宋体" w:hAnsi="宋体" w:eastAsia="宋体" w:cs="宋体"/>
          <w:color w:val="auto"/>
          <w:highlight w:val="none"/>
        </w:rPr>
        <w:t>招标文件</w:t>
      </w:r>
      <w:r>
        <w:rPr>
          <w:rFonts w:hint="eastAsia" w:ascii="宋体" w:hAnsi="宋体" w:eastAsia="宋体" w:cs="宋体"/>
          <w:color w:val="auto"/>
          <w:sz w:val="24"/>
          <w:highlight w:val="none"/>
        </w:rPr>
        <w:t>，并于</w:t>
      </w:r>
      <w:r>
        <w:rPr>
          <w:rFonts w:hint="eastAsia" w:ascii="宋体" w:hAnsi="宋体" w:cs="宋体"/>
          <w:color w:val="auto"/>
          <w:sz w:val="24"/>
          <w:highlight w:val="none"/>
          <w:u w:val="single"/>
          <w:lang w:val="en-US" w:eastAsia="zh-CN"/>
        </w:rPr>
        <w:t>2026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06</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w:t>
      </w:r>
      <w:r>
        <w:rPr>
          <w:rFonts w:hint="eastAsia" w:ascii="宋体" w:hAnsi="宋体" w:eastAsia="宋体" w:cs="宋体"/>
          <w:color w:val="auto"/>
          <w:sz w:val="24"/>
          <w:highlight w:val="none"/>
          <w:u w:val="single"/>
        </w:rPr>
        <w:t>09</w:t>
      </w:r>
      <w:r>
        <w:rPr>
          <w:rFonts w:hint="eastAsia" w:ascii="宋体" w:hAnsi="宋体" w:eastAsia="宋体" w:cs="宋体"/>
          <w:bCs/>
          <w:color w:val="auto"/>
          <w:sz w:val="24"/>
          <w:highlight w:val="none"/>
          <w:u w:val="single"/>
        </w:rPr>
        <w:t>时00分</w:t>
      </w:r>
      <w:r>
        <w:rPr>
          <w:rFonts w:hint="eastAsia" w:ascii="宋体" w:hAnsi="宋体" w:eastAsia="宋体" w:cs="宋体"/>
          <w:bCs/>
          <w:color w:val="auto"/>
          <w:sz w:val="24"/>
          <w:highlight w:val="none"/>
        </w:rPr>
        <w:t>（北京时间）前</w:t>
      </w:r>
      <w:r>
        <w:rPr>
          <w:rFonts w:hint="eastAsia" w:ascii="宋体" w:hAnsi="宋体" w:eastAsia="宋体" w:cs="宋体"/>
          <w:kern w:val="0"/>
          <w:sz w:val="24"/>
          <w:szCs w:val="24"/>
        </w:rPr>
        <w:t>在政采云平台（https://www.zcygov.cn/）递交投标文件</w:t>
      </w:r>
      <w:r>
        <w:rPr>
          <w:rFonts w:hint="eastAsia" w:ascii="宋体" w:hAnsi="宋体" w:eastAsia="宋体" w:cs="宋体"/>
          <w:color w:val="auto"/>
          <w:sz w:val="24"/>
          <w:highlight w:val="none"/>
        </w:rPr>
        <w:t>。</w:t>
      </w:r>
    </w:p>
    <w:p>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bCs/>
          <w:color w:val="auto"/>
          <w:sz w:val="24"/>
          <w:szCs w:val="24"/>
          <w:highlight w:val="none"/>
        </w:rPr>
      </w:pPr>
      <w:bookmarkStart w:id="8" w:name="_Toc35393621"/>
      <w:bookmarkStart w:id="9" w:name="_Toc21969"/>
      <w:bookmarkStart w:id="10" w:name="_Toc14344"/>
      <w:bookmarkStart w:id="11" w:name="_Toc30939"/>
      <w:bookmarkStart w:id="12" w:name="_Toc35393790"/>
      <w:bookmarkStart w:id="13" w:name="_Toc28359079"/>
      <w:bookmarkStart w:id="14" w:name="_Toc28359002"/>
      <w:bookmarkStart w:id="15" w:name="_Toc26326"/>
      <w:bookmarkStart w:id="16" w:name="_Hlk24379207"/>
      <w:r>
        <w:rPr>
          <w:rFonts w:hint="eastAsia" w:ascii="宋体" w:hAnsi="宋体" w:eastAsia="宋体" w:cs="宋体"/>
          <w:bCs/>
          <w:color w:val="auto"/>
          <w:sz w:val="24"/>
          <w:szCs w:val="24"/>
          <w:highlight w:val="none"/>
        </w:rPr>
        <w:t>一、项目基本情况</w:t>
      </w:r>
      <w:bookmarkEnd w:id="8"/>
      <w:bookmarkEnd w:id="9"/>
      <w:bookmarkEnd w:id="10"/>
      <w:bookmarkEnd w:id="11"/>
      <w:bookmarkEnd w:id="12"/>
      <w:bookmarkEnd w:id="13"/>
      <w:bookmarkEnd w:id="14"/>
      <w:bookmarkEnd w:id="15"/>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1.项目名称：</w:t>
      </w:r>
      <w:r>
        <w:rPr>
          <w:rFonts w:hint="eastAsia" w:ascii="宋体" w:hAnsi="宋体" w:cs="宋体"/>
          <w:color w:val="auto"/>
          <w:sz w:val="24"/>
          <w:highlight w:val="none"/>
          <w:lang w:eastAsia="zh-CN"/>
        </w:rPr>
        <w:t>珠江流域（玉溪段）生态环境监测能力提升项目</w:t>
      </w:r>
      <w:r>
        <w:rPr>
          <w:rFonts w:hint="eastAsia" w:ascii="宋体" w:hAnsi="宋体" w:eastAsia="宋体" w:cs="宋体"/>
          <w:color w:val="auto"/>
          <w:sz w:val="24"/>
          <w:highlight w:val="none"/>
        </w:rPr>
        <w:t xml:space="preserve"> </w:t>
      </w:r>
      <w:bookmarkEnd w:id="16"/>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2.项目编</w:t>
      </w:r>
      <w:r>
        <w:rPr>
          <w:rFonts w:hint="eastAsia" w:ascii="宋体" w:hAnsi="宋体" w:cs="宋体"/>
          <w:color w:val="auto"/>
          <w:sz w:val="24"/>
          <w:highlight w:val="none"/>
          <w:lang w:val="en-US" w:eastAsia="zh-CN"/>
        </w:rPr>
        <w:t xml:space="preserve">号：YNSZ2026-0512 （采购计划编号：4530400JH202600670）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w:t>
      </w:r>
      <w:r>
        <w:rPr>
          <w:rFonts w:hint="eastAsia" w:ascii="宋体" w:hAnsi="宋体" w:cs="宋体"/>
          <w:color w:val="auto"/>
          <w:sz w:val="24"/>
          <w:highlight w:val="none"/>
          <w:lang w:val="en-US" w:eastAsia="zh-CN"/>
        </w:rPr>
        <w:t>7835900.00元1包：3915900.00元；2包：3920000.00元）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4.最高限价：</w:t>
      </w:r>
      <w:r>
        <w:rPr>
          <w:rFonts w:hint="eastAsia" w:ascii="宋体" w:hAnsi="宋体" w:cs="宋体"/>
          <w:color w:val="auto"/>
          <w:sz w:val="24"/>
          <w:highlight w:val="none"/>
          <w:lang w:val="en-US" w:eastAsia="zh-CN"/>
        </w:rPr>
        <w:t>7835900.00元（1包：3915900.00元；2包：3920000.00元）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5.采购需求：详见下表。具体内容详见招标文件“第四章 采购需求及技术参数要求”。</w:t>
      </w:r>
    </w:p>
    <w:tbl>
      <w:tblPr>
        <w:tblStyle w:val="24"/>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824"/>
        <w:gridCol w:w="3156"/>
        <w:gridCol w:w="979"/>
        <w:gridCol w:w="152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067"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3156"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标的名称</w:t>
            </w:r>
          </w:p>
        </w:tc>
        <w:tc>
          <w:tcPr>
            <w:tcW w:w="9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数量（台）</w:t>
            </w:r>
          </w:p>
        </w:tc>
        <w:tc>
          <w:tcPr>
            <w:tcW w:w="15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单价（元）</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原子吸收光谱仪</w:t>
            </w:r>
          </w:p>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（核心产品）</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配置江川站、通海站、峨山站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原子荧光分光光度计</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全自动高锰酸盐指数分析仪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全自动COD测定仪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红塔站、澄江站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便携式溶解氧测定仪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便携式抽滤装置</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全自动流动注射分析仪（阴离子模块1个）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便携式浊度仪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实验室叶绿素荧光测定仪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手持叶绿素荧光测定仪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便携式多参数水质测定仪（水温、PH、电导率、溶解氧</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34000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酶底物法微生物快速检测系统</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台式溶解氧测定仪（电化学探头法）</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COD消解仪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生化培养箱</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7500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电热鼓风干燥箱</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通风柜</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cs="宋体"/>
                <w:i w:val="0"/>
                <w:iCs w:val="0"/>
                <w:color w:val="000000"/>
                <w:kern w:val="0"/>
                <w:sz w:val="24"/>
                <w:szCs w:val="24"/>
                <w:u w:val="none"/>
                <w:lang w:val="en-US" w:eastAsia="zh-CN" w:bidi="ar"/>
              </w:rPr>
              <w:t>11100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959" w:type="dxa"/>
            <w:gridSpan w:val="3"/>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color w:val="auto"/>
                <w:sz w:val="24"/>
                <w:highlight w:val="none"/>
                <w:lang w:val="en-US" w:eastAsia="zh-CN"/>
              </w:rPr>
              <w:t>3915900.00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3156"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color w:val="auto"/>
                <w:sz w:val="24"/>
                <w:highlight w:val="none"/>
                <w:vertAlign w:val="baseline"/>
                <w:lang w:val="en-US" w:eastAsia="zh-CN"/>
              </w:rPr>
              <w:t>标的名称</w:t>
            </w:r>
          </w:p>
        </w:tc>
        <w:tc>
          <w:tcPr>
            <w:tcW w:w="9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数量（台）</w:t>
            </w:r>
          </w:p>
        </w:tc>
        <w:tc>
          <w:tcPr>
            <w:tcW w:w="15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单价（元）</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气相分子吸收光谱仪</w:t>
            </w:r>
          </w:p>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（核心产品）</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离子色谱仪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江川站、澄江站、华宁站、峨山站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全自动总磷总氮测定仪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全自动红外测油仪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超纯水机</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便携式离心机</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专用药品柜</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瓶口分液器</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紫外分光光度计</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垂直震动器</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通海站、华宁站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全自动液液萃取仪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叶绿素研磨仪（包括抽滤装置全套）</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流速仪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红塔站、江川站、华宁站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多联不锈钢溶液过滤器</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红外测油仪</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澄江站、华宁站、峨山站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实验室台式离心机</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配置红塔站、通海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3156"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氟化物离子计</w:t>
            </w:r>
          </w:p>
        </w:tc>
        <w:tc>
          <w:tcPr>
            <w:tcW w:w="979"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959" w:type="dxa"/>
            <w:gridSpan w:val="3"/>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24"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3920000.00</w:t>
            </w:r>
          </w:p>
        </w:tc>
        <w:tc>
          <w:tcPr>
            <w:tcW w:w="170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注：①本项目不允许进口产品参与投标。进口产品是指通过中国海关报关验放进入中国境内且产自关境外的产品。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②本项目共分</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个包件，投标人可选择一个包或多个包进行响应，若对多个</w:t>
      </w:r>
      <w:r>
        <w:rPr>
          <w:rFonts w:hint="eastAsia" w:ascii="宋体" w:hAnsi="宋体" w:cs="宋体"/>
          <w:b/>
          <w:bCs/>
          <w:color w:val="auto"/>
          <w:sz w:val="24"/>
          <w:highlight w:val="none"/>
          <w:lang w:val="en-US" w:eastAsia="zh-CN"/>
        </w:rPr>
        <w:t>包件</w:t>
      </w:r>
      <w:r>
        <w:rPr>
          <w:rFonts w:hint="eastAsia" w:ascii="宋体" w:hAnsi="宋体" w:eastAsia="宋体" w:cs="宋体"/>
          <w:b/>
          <w:bCs/>
          <w:color w:val="auto"/>
          <w:sz w:val="24"/>
          <w:highlight w:val="none"/>
          <w:lang w:val="en-US" w:eastAsia="zh-CN"/>
        </w:rPr>
        <w:t>进行响应</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，投标人应分包制作及递交投标文件</w:t>
      </w:r>
      <w:r>
        <w:rPr>
          <w:rFonts w:hint="eastAsia" w:ascii="宋体" w:hAnsi="宋体" w:cs="宋体"/>
          <w:b/>
          <w:bCs/>
          <w:color w:val="auto"/>
          <w:sz w:val="24"/>
          <w:highlight w:val="none"/>
          <w:lang w:val="en-US" w:eastAsia="zh-CN"/>
        </w:rPr>
        <w:t>；投标人可同时中多个（2个）包件。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③投标人对包件内所有采购内容进行整体投标并作出完整唯一的投标报价，不得出现缺项、漏项或无报价情况，设备的投标报价单价和合价均不得超过采购预算单价和合价，否则按无效标书处理。</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6.交货期：</w:t>
      </w:r>
      <w:r>
        <w:rPr>
          <w:rFonts w:hint="eastAsia" w:ascii="宋体" w:hAnsi="宋体" w:cs="宋体"/>
          <w:color w:val="auto"/>
          <w:sz w:val="24"/>
          <w:highlight w:val="none"/>
          <w:lang w:val="en-US" w:eastAsia="zh-CN"/>
        </w:rPr>
        <w:t>签订合同后45日历天内完成安装、调试、验收合格并交付使用</w:t>
      </w:r>
      <w:r>
        <w:rPr>
          <w:rFonts w:hint="eastAsia" w:ascii="宋体" w:hAnsi="宋体" w:eastAsia="宋体" w:cs="宋体"/>
          <w:color w:val="auto"/>
          <w:sz w:val="24"/>
          <w:highlight w:val="none"/>
          <w:lang w:val="en-US" w:eastAsia="zh-CN"/>
        </w:rPr>
        <w:t>。</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7.交货地点：</w:t>
      </w:r>
      <w:r>
        <w:rPr>
          <w:rFonts w:hint="eastAsia" w:ascii="宋体" w:hAnsi="宋体" w:cs="宋体"/>
          <w:color w:val="auto"/>
          <w:sz w:val="24"/>
          <w:highlight w:val="none"/>
          <w:lang w:val="en-US" w:eastAsia="zh-CN"/>
        </w:rPr>
        <w:t>采购人指定地点（涉及红塔站、江川站、澄江站、通海站、华宁站、峨山站）</w:t>
      </w:r>
      <w:r>
        <w:rPr>
          <w:rFonts w:hint="eastAsia" w:ascii="宋体" w:hAnsi="宋体" w:eastAsia="宋体" w:cs="宋体"/>
          <w:color w:val="auto"/>
          <w:sz w:val="24"/>
          <w:highlight w:val="none"/>
          <w:lang w:val="en-US" w:eastAsia="zh-CN"/>
        </w:rPr>
        <w:t>。</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8.质量标准：符合国家及地方现行的相关标准及法规政策，满足采购人验收要求</w:t>
      </w:r>
      <w:r>
        <w:rPr>
          <w:rFonts w:hint="eastAsia" w:ascii="宋体" w:hAnsi="宋体" w:eastAsia="宋体" w:cs="宋体"/>
          <w:color w:val="auto"/>
          <w:sz w:val="24"/>
          <w:highlight w:val="none"/>
        </w:rPr>
        <w:t>。</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.资格审查方式：资格后审。</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highlight w:val="none"/>
          <w:lang w:val="en-US" w:eastAsia="zh-CN"/>
        </w:rPr>
      </w:pPr>
      <w:bookmarkStart w:id="17" w:name="_Toc25295"/>
      <w:bookmarkStart w:id="18" w:name="_Toc23927"/>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.本项目</w:t>
      </w:r>
      <w:r>
        <w:rPr>
          <w:rFonts w:hint="eastAsia" w:ascii="宋体" w:hAnsi="宋体" w:eastAsia="宋体" w:cs="宋体"/>
          <w:b/>
          <w:bCs/>
          <w:color w:val="auto"/>
          <w:sz w:val="24"/>
          <w:highlight w:val="none"/>
        </w:rPr>
        <w:t>不接受</w:t>
      </w:r>
      <w:r>
        <w:rPr>
          <w:rFonts w:hint="eastAsia" w:ascii="宋体" w:hAnsi="宋体" w:eastAsia="宋体" w:cs="宋体"/>
          <w:color w:val="auto"/>
          <w:sz w:val="24"/>
          <w:highlight w:val="none"/>
        </w:rPr>
        <w:t>联合体投标。</w:t>
      </w:r>
      <w:bookmarkEnd w:id="17"/>
      <w:bookmarkEnd w:id="18"/>
      <w:r>
        <w:rPr>
          <w:rFonts w:hint="eastAsia" w:ascii="宋体" w:hAnsi="宋体" w:eastAsia="宋体" w:cs="宋体"/>
          <w:color w:val="auto"/>
          <w:sz w:val="24"/>
          <w:highlight w:val="none"/>
          <w:lang w:val="en-US" w:eastAsia="zh-CN"/>
        </w:rPr>
        <w:t xml:space="preserve"> </w:t>
      </w:r>
    </w:p>
    <w:p>
      <w:pPr>
        <w:keepNext w:val="0"/>
        <w:keepLines w:val="0"/>
        <w:pageBreakBefore w:val="0"/>
        <w:kinsoku/>
        <w:wordWrap/>
        <w:overflowPunct/>
        <w:topLinePunct w:val="0"/>
        <w:bidi w:val="0"/>
        <w:spacing w:line="360" w:lineRule="auto"/>
        <w:rPr>
          <w:rFonts w:hint="eastAsia" w:ascii="宋体" w:hAnsi="宋体" w:eastAsia="宋体" w:cs="宋体"/>
          <w:b/>
          <w:bCs/>
          <w:color w:val="auto"/>
          <w:sz w:val="24"/>
          <w:highlight w:val="none"/>
        </w:rPr>
      </w:pPr>
      <w:bookmarkStart w:id="19" w:name="_Toc28359090"/>
      <w:bookmarkStart w:id="20" w:name="_Toc35393630"/>
      <w:bookmarkStart w:id="21" w:name="_Toc28359013"/>
      <w:bookmarkStart w:id="22" w:name="_Toc35393799"/>
      <w:bookmarkStart w:id="23" w:name="_Toc28359004"/>
      <w:bookmarkStart w:id="24" w:name="_Toc28359081"/>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的资格要求：</w:t>
      </w:r>
      <w:bookmarkEnd w:id="19"/>
      <w:bookmarkEnd w:id="20"/>
      <w:bookmarkEnd w:id="21"/>
      <w:bookmarkEnd w:id="22"/>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1.1投标人自行承诺符合《中华人民共和国政府采购法》第二十二条规定及《中华人民共和国政府采购法实施条例》第十七条的相关要求。</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2.落实政府采购政策需满足的资格要求：本项目</w:t>
      </w:r>
      <w:r>
        <w:rPr>
          <w:rFonts w:hint="eastAsia" w:ascii="宋体" w:hAnsi="宋体" w:eastAsia="宋体" w:cs="宋体"/>
          <w:b/>
          <w:bCs/>
          <w:color w:val="auto"/>
          <w:sz w:val="24"/>
          <w:highlight w:val="none"/>
          <w:u w:val="single"/>
        </w:rPr>
        <w:t>不专门</w:t>
      </w:r>
      <w:r>
        <w:rPr>
          <w:rFonts w:hint="eastAsia" w:ascii="宋体" w:hAnsi="宋体" w:eastAsia="宋体" w:cs="宋体"/>
          <w:color w:val="auto"/>
          <w:sz w:val="24"/>
          <w:highlight w:val="none"/>
          <w:u w:val="none"/>
        </w:rPr>
        <w:t>面向</w:t>
      </w:r>
      <w:r>
        <w:rPr>
          <w:rFonts w:hint="eastAsia" w:ascii="宋体" w:hAnsi="宋体" w:eastAsia="宋体" w:cs="宋体"/>
          <w:color w:val="auto"/>
          <w:sz w:val="24"/>
          <w:highlight w:val="none"/>
        </w:rPr>
        <w:t>中小企业（注：监狱企业、残疾人福利性单位视同小型或微型企业）。</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3.1投标人在中国境内注册登记具有独立承担民事责任的能力，提供有效的营业执照或者其他主体资格证明文件；投标人为</w:t>
      </w:r>
      <w:r>
        <w:rPr>
          <w:rFonts w:hint="eastAsia" w:ascii="宋体" w:hAnsi="宋体" w:eastAsia="宋体" w:cs="宋体"/>
          <w:bCs/>
          <w:color w:val="auto"/>
          <w:kern w:val="0"/>
          <w:sz w:val="24"/>
          <w:highlight w:val="none"/>
        </w:rPr>
        <w:t>自然人的提供身份证明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适用于自然人参加投标情形）</w:t>
      </w:r>
      <w:r>
        <w:rPr>
          <w:rFonts w:hint="eastAsia" w:ascii="宋体" w:hAnsi="宋体" w:eastAsia="宋体" w:cs="宋体"/>
          <w:bCs/>
          <w:color w:val="auto"/>
          <w:kern w:val="0"/>
          <w:sz w:val="24"/>
          <w:highlight w:val="none"/>
        </w:rPr>
        <w:t>。</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highlight w:val="none"/>
          <w:lang w:val="en-US" w:eastAsia="zh-CN"/>
        </w:rPr>
        <w:t>3.2</w:t>
      </w:r>
      <w:r>
        <w:rPr>
          <w:rFonts w:hint="eastAsia" w:ascii="宋体" w:hAnsi="宋体" w:eastAsia="宋体" w:cs="宋体"/>
          <w:color w:val="auto"/>
          <w:sz w:val="24"/>
          <w:highlight w:val="none"/>
        </w:rPr>
        <w:t>在投标文件递交截止时间前投标人在“信用中国”网站(www.creditchina.gov.cn)中未被列入：失信被执行人、重大税收违法失信主体、政府采购严重违法失信行为记录名单；在“中国政府采购网”(www.ccgp.gov.cn)中未被列入：政府采购严重违法失信行为记录名单。</w:t>
      </w:r>
      <w:r>
        <w:rPr>
          <w:rFonts w:hint="eastAsia" w:ascii="宋体" w:hAnsi="宋体" w:eastAsia="宋体" w:cs="宋体"/>
          <w:b/>
          <w:bCs/>
          <w:color w:val="auto"/>
          <w:sz w:val="24"/>
          <w:highlight w:val="none"/>
        </w:rPr>
        <w:t>（由采购人或采购代理机构在评标前进行查询，查询记录为上述网站查询结果的网页截图或网页打印稿）</w:t>
      </w:r>
      <w:r>
        <w:rPr>
          <w:rFonts w:hint="eastAsia" w:ascii="宋体" w:hAnsi="宋体" w:eastAsia="宋体" w:cs="宋体"/>
          <w:color w:val="auto"/>
          <w:sz w:val="24"/>
          <w:highlight w:val="none"/>
        </w:rPr>
        <w:t>。</w:t>
      </w:r>
      <w:bookmarkEnd w:id="23"/>
      <w:bookmarkEnd w:id="24"/>
      <w:bookmarkStart w:id="25" w:name="_Toc35393792"/>
      <w:bookmarkStart w:id="26" w:name="_Toc14958"/>
      <w:bookmarkStart w:id="27" w:name="_Toc35393623"/>
      <w:bookmarkStart w:id="28" w:name="_Toc28359005"/>
      <w:bookmarkStart w:id="29" w:name="_Toc35393793"/>
      <w:bookmarkStart w:id="30" w:name="_Toc35393624"/>
      <w:bookmarkStart w:id="31" w:name="_Toc28359082"/>
      <w:r>
        <w:rPr>
          <w:rFonts w:hint="eastAsia" w:ascii="宋体" w:hAnsi="宋体" w:eastAsia="宋体" w:cs="宋体"/>
          <w:bCs/>
          <w:color w:val="auto"/>
          <w:sz w:val="24"/>
          <w:szCs w:val="24"/>
          <w:highlight w:val="none"/>
        </w:rPr>
        <w:t>三、获取招标文件</w:t>
      </w:r>
      <w:bookmarkEnd w:id="25"/>
      <w:bookmarkEnd w:id="26"/>
      <w:bookmarkEnd w:id="27"/>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20</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日23时59分</w:t>
      </w:r>
      <w:r>
        <w:rPr>
          <w:rFonts w:hint="eastAsia" w:ascii="宋体" w:hAnsi="宋体" w:eastAsia="宋体" w:cs="宋体"/>
          <w:color w:val="auto"/>
          <w:sz w:val="24"/>
          <w:highlight w:val="none"/>
        </w:rPr>
        <w:t>（北京时间）。</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2.地址：</w:t>
      </w:r>
      <w:r>
        <w:rPr>
          <w:rFonts w:hint="eastAsia" w:ascii="宋体" w:hAnsi="宋体" w:eastAsia="宋体" w:cs="宋体"/>
          <w:sz w:val="24"/>
          <w:highlight w:val="none"/>
        </w:rPr>
        <w:t>政采云平台线上获取（https://www.zcygov.cn/）</w:t>
      </w:r>
      <w:r>
        <w:rPr>
          <w:rFonts w:hint="eastAsia" w:ascii="宋体" w:hAnsi="宋体" w:eastAsia="宋体" w:cs="宋体"/>
          <w:color w:val="auto"/>
          <w:sz w:val="24"/>
          <w:highlight w:val="none"/>
        </w:rPr>
        <w:t>。</w:t>
      </w:r>
    </w:p>
    <w:p>
      <w:pPr>
        <w:pageBreakBefore w:val="0"/>
        <w:kinsoku/>
        <w:overflowPunct/>
        <w:bidi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凡有意参加投标者，须在政采云平台办理数字证书（CA），并在政采云绑定数字证书（CA）后线上获取采购文件及其它采购资料。CA申领链接：https://middle.zcygov.cn/ca/apply/list?_app_=zcy.sys，CA申领后需登陆政采云平台完成数字证书（CA）绑定才可以使用，数字证书（CA）详见其办理流程。</w:t>
      </w:r>
    </w:p>
    <w:p>
      <w:pPr>
        <w:pageBreakBefore w:val="0"/>
        <w:kinsoku/>
        <w:overflowPunct/>
        <w:bidi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按上述要求获取</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视为合法获取了本项目</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文件，具备本项目的投标资格。</w:t>
      </w:r>
    </w:p>
    <w:p>
      <w:pPr>
        <w:pageBreakBefore w:val="0"/>
        <w:kinsoku/>
        <w:overflowPunct/>
        <w:bidi w:val="0"/>
        <w:spacing w:after="0"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各投标人应在开标前注册成为政采云平台供应商，并完成CA数字证书申领。政采云平台支持多家CA服务商（投标人请根据项目所在省份选择CA），由投标人自行选择。投标人已在政府采购电子交易平台、公共资源交易平台办理的CA可直接使用（2022年1月1日前办理的云南CA需到云南CA办理窗口进行升级），无需重复办理。未完成注册和未办理CA数字证书等原因造成无法投标或投标失败等由投标人自行承担，如有问题可拨打政采云客户服务热线95763咨询（紧急办理可拨：19988166369）。</w:t>
      </w:r>
    </w:p>
    <w:p>
      <w:pPr>
        <w:pStyle w:val="10"/>
        <w:keepLines w:val="0"/>
        <w:pageBreakBefore w:val="0"/>
        <w:kinsoku/>
        <w:wordWrap/>
        <w:overflowPunct/>
        <w:topLinePunct w:val="0"/>
        <w:autoSpaceDE/>
        <w:autoSpaceDN/>
        <w:bidi w:val="0"/>
        <w:snapToGrid/>
        <w:spacing w:line="360" w:lineRule="auto"/>
        <w:ind w:left="0" w:leftChars="0" w:right="0" w:rightChars="0"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pacing w:val="0"/>
          <w:sz w:val="24"/>
          <w:szCs w:val="24"/>
          <w:highlight w:val="none"/>
        </w:rPr>
        <w:t xml:space="preserve"> 本项目</w:t>
      </w:r>
      <w:r>
        <w:rPr>
          <w:rFonts w:hint="eastAsia" w:ascii="宋体" w:hAnsi="宋体" w:eastAsia="宋体" w:cs="宋体"/>
          <w:b w:val="0"/>
          <w:bCs w:val="0"/>
          <w:color w:val="auto"/>
          <w:spacing w:val="0"/>
          <w:sz w:val="24"/>
          <w:szCs w:val="24"/>
          <w:highlight w:val="none"/>
          <w:lang w:val="en-US" w:eastAsia="zh-CN"/>
        </w:rPr>
        <w:t>免费获取</w:t>
      </w:r>
      <w:r>
        <w:rPr>
          <w:rFonts w:hint="eastAsia" w:ascii="宋体" w:hAnsi="宋体" w:eastAsia="宋体" w:cs="宋体"/>
          <w:b w:val="0"/>
          <w:bCs w:val="0"/>
          <w:color w:val="auto"/>
          <w:spacing w:val="0"/>
          <w:sz w:val="24"/>
          <w:szCs w:val="24"/>
          <w:highlight w:val="none"/>
        </w:rPr>
        <w:t>招标文件。</w:t>
      </w:r>
    </w:p>
    <w:bookmarkEnd w:id="28"/>
    <w:bookmarkEnd w:id="29"/>
    <w:bookmarkEnd w:id="30"/>
    <w:bookmarkEnd w:id="31"/>
    <w:p>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bCs/>
          <w:color w:val="auto"/>
          <w:sz w:val="24"/>
          <w:szCs w:val="24"/>
          <w:highlight w:val="none"/>
        </w:rPr>
      </w:pPr>
      <w:bookmarkStart w:id="32" w:name="_Toc28044"/>
      <w:bookmarkStart w:id="33" w:name="_Toc27489"/>
      <w:bookmarkStart w:id="34" w:name="_Toc21442"/>
      <w:bookmarkStart w:id="35" w:name="_Toc21059"/>
      <w:r>
        <w:rPr>
          <w:rFonts w:hint="eastAsia" w:ascii="宋体" w:hAnsi="宋体" w:eastAsia="宋体" w:cs="宋体"/>
          <w:bCs/>
          <w:color w:val="auto"/>
          <w:sz w:val="24"/>
          <w:szCs w:val="24"/>
          <w:highlight w:val="none"/>
        </w:rPr>
        <w:t>四、提交投标文件截止时间、开标时间和地点</w:t>
      </w:r>
      <w:bookmarkEnd w:id="32"/>
      <w:bookmarkEnd w:id="33"/>
      <w:bookmarkEnd w:id="34"/>
      <w:bookmarkEnd w:id="35"/>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1.提交投标文件截止时间、开标时间：</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年</w:t>
      </w:r>
      <w:r>
        <w:rPr>
          <w:rFonts w:hint="eastAsia" w:ascii="宋体" w:hAnsi="宋体" w:cs="宋体"/>
          <w:color w:val="auto"/>
          <w:sz w:val="24"/>
          <w:highlight w:val="none"/>
          <w:u w:val="single"/>
          <w:lang w:val="en-US" w:eastAsia="zh-CN"/>
        </w:rPr>
        <w:t>06</w:t>
      </w:r>
      <w:r>
        <w:rPr>
          <w:rFonts w:hint="eastAsia" w:ascii="宋体" w:hAnsi="宋体" w:eastAsia="宋体" w:cs="宋体"/>
          <w:color w:val="auto"/>
          <w:sz w:val="24"/>
          <w:highlight w:val="none"/>
          <w:u w:val="singl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日</w:t>
      </w:r>
      <w:r>
        <w:rPr>
          <w:rFonts w:hint="eastAsia" w:ascii="宋体" w:hAnsi="宋体" w:eastAsia="宋体" w:cs="宋体"/>
          <w:color w:val="auto"/>
          <w:sz w:val="24"/>
          <w:highlight w:val="none"/>
          <w:u w:val="single"/>
        </w:rPr>
        <w:t>09时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分（北京时间）。</w:t>
      </w:r>
    </w:p>
    <w:p>
      <w:pPr>
        <w:keepLines w:val="0"/>
        <w:pageBreakBefore w:val="0"/>
        <w:kinsoku/>
        <w:wordWrap/>
        <w:overflowPunct/>
        <w:topLinePunct w:val="0"/>
        <w:autoSpaceDE/>
        <w:autoSpaceDN/>
        <w:bidi w:val="0"/>
        <w:snapToGrid/>
        <w:spacing w:line="360" w:lineRule="auto"/>
        <w:ind w:left="0" w:leftChars="0" w:right="0" w:righ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r>
        <w:rPr>
          <w:rFonts w:hint="eastAsia" w:ascii="宋体" w:hAnsi="宋体" w:eastAsia="宋体" w:cs="宋体"/>
          <w:color w:val="auto"/>
          <w:sz w:val="24"/>
          <w:highlight w:val="none"/>
          <w:u w:val="single"/>
        </w:rPr>
        <w:t>政采云平台（http：//www.zcygov.cn）</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开标参与方式：本项目采用远程开标方式进行开标，投标人无需到达开标现场</w:t>
      </w:r>
      <w:r>
        <w:rPr>
          <w:rFonts w:hint="eastAsia" w:ascii="宋体" w:hAnsi="宋体" w:eastAsia="宋体" w:cs="宋体"/>
          <w:color w:val="auto"/>
          <w:kern w:val="0"/>
          <w:sz w:val="24"/>
          <w:highlight w:val="none"/>
        </w:rPr>
        <w:t>。</w:t>
      </w:r>
    </w:p>
    <w:p>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color w:val="auto"/>
          <w:sz w:val="24"/>
          <w:szCs w:val="24"/>
          <w:highlight w:val="none"/>
        </w:rPr>
      </w:pPr>
      <w:bookmarkStart w:id="36" w:name="_Toc35393794"/>
      <w:bookmarkStart w:id="37" w:name="_Toc28359007"/>
      <w:bookmarkStart w:id="38" w:name="_Toc35393625"/>
      <w:bookmarkStart w:id="39" w:name="_Toc28359084"/>
      <w:bookmarkStart w:id="40" w:name="_Toc30446"/>
      <w:bookmarkStart w:id="41" w:name="_Toc20154"/>
      <w:bookmarkStart w:id="42" w:name="_Toc23447"/>
      <w:bookmarkStart w:id="43" w:name="_Toc32131"/>
      <w:r>
        <w:rPr>
          <w:rFonts w:hint="eastAsia" w:ascii="宋体" w:hAnsi="宋体" w:eastAsia="宋体" w:cs="宋体"/>
          <w:bCs/>
          <w:color w:val="auto"/>
          <w:sz w:val="24"/>
          <w:szCs w:val="24"/>
          <w:highlight w:val="none"/>
        </w:rPr>
        <w:t>五、</w:t>
      </w:r>
      <w:bookmarkEnd w:id="36"/>
      <w:bookmarkEnd w:id="37"/>
      <w:bookmarkEnd w:id="38"/>
      <w:bookmarkEnd w:id="39"/>
      <w:r>
        <w:rPr>
          <w:rFonts w:hint="eastAsia" w:ascii="宋体" w:hAnsi="宋体" w:eastAsia="宋体" w:cs="宋体"/>
          <w:bCs/>
          <w:color w:val="auto"/>
          <w:sz w:val="24"/>
          <w:szCs w:val="24"/>
          <w:highlight w:val="none"/>
        </w:rPr>
        <w:t>公告期限</w:t>
      </w:r>
      <w:bookmarkEnd w:id="40"/>
      <w:bookmarkEnd w:id="41"/>
      <w:bookmarkEnd w:id="42"/>
      <w:bookmarkEnd w:id="43"/>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本公告期限自本公告发布之日起</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个工作日。</w:t>
      </w:r>
    </w:p>
    <w:p>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color w:val="auto"/>
          <w:kern w:val="0"/>
          <w:sz w:val="24"/>
          <w:highlight w:val="none"/>
        </w:rPr>
      </w:pPr>
      <w:bookmarkStart w:id="44" w:name="_Toc16520"/>
      <w:bookmarkStart w:id="45" w:name="_Toc3507"/>
      <w:bookmarkStart w:id="46" w:name="_Toc29706"/>
      <w:bookmarkStart w:id="47" w:name="_Toc35393795"/>
      <w:bookmarkStart w:id="48" w:name="_Toc29643"/>
      <w:bookmarkStart w:id="49" w:name="_Toc35393626"/>
      <w:r>
        <w:rPr>
          <w:rFonts w:hint="eastAsia" w:ascii="宋体" w:hAnsi="宋体" w:eastAsia="宋体" w:cs="宋体"/>
          <w:bCs/>
          <w:color w:val="auto"/>
          <w:sz w:val="24"/>
          <w:szCs w:val="24"/>
          <w:highlight w:val="none"/>
        </w:rPr>
        <w:t>六、其他补充事宜</w:t>
      </w:r>
      <w:bookmarkEnd w:id="44"/>
      <w:bookmarkEnd w:id="45"/>
      <w:bookmarkEnd w:id="46"/>
      <w:bookmarkEnd w:id="47"/>
      <w:bookmarkEnd w:id="48"/>
      <w:bookmarkEnd w:id="49"/>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u w:val="single"/>
          <w:shd w:val="clear" w:color="auto" w:fill="FFFFFF" w:themeFill="background1"/>
        </w:rPr>
      </w:pPr>
      <w:bookmarkStart w:id="50" w:name="_Hlk85029579"/>
      <w:r>
        <w:rPr>
          <w:rFonts w:hint="eastAsia" w:ascii="宋体" w:hAnsi="宋体" w:eastAsia="宋体" w:cs="宋体"/>
          <w:color w:val="auto"/>
          <w:sz w:val="24"/>
          <w:szCs w:val="24"/>
          <w:highlight w:val="none"/>
          <w:shd w:val="clear" w:color="auto" w:fill="FFFFFF" w:themeFill="background1"/>
        </w:rPr>
        <w:t>1.开标方式</w:t>
      </w:r>
      <w:bookmarkEnd w:id="50"/>
      <w:r>
        <w:rPr>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sz w:val="24"/>
          <w:szCs w:val="24"/>
          <w:highlight w:val="none"/>
          <w:u w:val="single"/>
          <w:shd w:val="clear" w:color="auto" w:fill="FFFFFF" w:themeFill="background1"/>
        </w:rPr>
        <w:t>网上</w:t>
      </w:r>
      <w:r>
        <w:rPr>
          <w:rFonts w:hint="eastAsia" w:ascii="宋体" w:hAnsi="宋体" w:eastAsia="宋体" w:cs="宋体"/>
          <w:bCs/>
          <w:color w:val="auto"/>
          <w:sz w:val="24"/>
          <w:szCs w:val="24"/>
          <w:highlight w:val="none"/>
          <w:u w:val="single"/>
          <w:shd w:val="clear" w:color="auto" w:fill="FFFFFF" w:themeFill="background1"/>
        </w:rPr>
        <w:t>开标。</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2.投标有效期：</w:t>
      </w:r>
      <w:r>
        <w:rPr>
          <w:rFonts w:hint="eastAsia" w:ascii="宋体" w:hAnsi="宋体" w:eastAsia="宋体" w:cs="宋体"/>
          <w:color w:val="auto"/>
          <w:sz w:val="24"/>
          <w:szCs w:val="24"/>
          <w:highlight w:val="none"/>
          <w:u w:val="single"/>
          <w:shd w:val="clear" w:color="auto" w:fill="FFFFFF" w:themeFill="background1"/>
        </w:rPr>
        <w:t>90日历天。</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3.是否需要缴纳投标保证金：</w:t>
      </w:r>
      <w:r>
        <w:rPr>
          <w:rFonts w:hint="eastAsia" w:ascii="宋体" w:hAnsi="宋体" w:eastAsia="宋体" w:cs="宋体"/>
          <w:color w:val="auto"/>
          <w:sz w:val="24"/>
          <w:szCs w:val="24"/>
          <w:highlight w:val="none"/>
          <w:u w:val="single"/>
          <w:shd w:val="clear" w:color="auto" w:fill="FFFFFF" w:themeFill="background1"/>
        </w:rPr>
        <w:t>是。</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u w:val="singl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4.投标保证金缴纳金额：</w:t>
      </w:r>
      <w:r>
        <w:rPr>
          <w:rFonts w:hint="eastAsia" w:ascii="宋体" w:hAnsi="宋体" w:eastAsia="宋体" w:cs="宋体"/>
          <w:color w:val="auto"/>
          <w:sz w:val="24"/>
          <w:szCs w:val="24"/>
          <w:highlight w:val="none"/>
          <w:u w:val="single"/>
          <w:shd w:val="clear" w:color="auto" w:fill="FFFFFF" w:themeFill="background1"/>
        </w:rPr>
        <w:t>1包：¥</w:t>
      </w:r>
      <w:r>
        <w:rPr>
          <w:rFonts w:hint="eastAsia" w:ascii="宋体" w:hAnsi="宋体" w:eastAsia="宋体" w:cs="宋体"/>
          <w:color w:val="auto"/>
          <w:sz w:val="24"/>
          <w:szCs w:val="24"/>
          <w:highlight w:val="none"/>
          <w:u w:val="single"/>
          <w:shd w:val="clear" w:color="auto" w:fill="FFFFFF" w:themeFill="background1"/>
          <w:lang w:val="en-US" w:eastAsia="zh-CN"/>
        </w:rPr>
        <w:t>39000.00</w:t>
      </w:r>
      <w:r>
        <w:rPr>
          <w:rFonts w:hint="eastAsia" w:ascii="宋体" w:hAnsi="宋体" w:eastAsia="宋体" w:cs="宋体"/>
          <w:color w:val="auto"/>
          <w:sz w:val="24"/>
          <w:szCs w:val="24"/>
          <w:highlight w:val="none"/>
          <w:u w:val="single"/>
          <w:shd w:val="clear" w:color="auto" w:fill="FFFFFF" w:themeFill="background1"/>
        </w:rPr>
        <w:t>元，2包：¥</w:t>
      </w:r>
      <w:r>
        <w:rPr>
          <w:rFonts w:hint="eastAsia" w:ascii="宋体" w:hAnsi="宋体" w:eastAsia="宋体" w:cs="宋体"/>
          <w:color w:val="auto"/>
          <w:sz w:val="24"/>
          <w:szCs w:val="24"/>
          <w:highlight w:val="none"/>
          <w:u w:val="single"/>
          <w:shd w:val="clear" w:color="auto" w:fill="FFFFFF" w:themeFill="background1"/>
          <w:lang w:val="en-US" w:eastAsia="zh-CN"/>
        </w:rPr>
        <w:t>39000.00元</w:t>
      </w:r>
      <w:r>
        <w:rPr>
          <w:rFonts w:hint="eastAsia" w:ascii="宋体" w:hAnsi="宋体" w:eastAsia="宋体" w:cs="宋体"/>
          <w:color w:val="auto"/>
          <w:sz w:val="24"/>
          <w:szCs w:val="24"/>
          <w:highlight w:val="none"/>
          <w:u w:val="single"/>
          <w:shd w:val="clear" w:color="auto" w:fill="FFFFFF" w:themeFill="background1"/>
        </w:rPr>
        <w:t>。</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5.投标保证金缴纳方式：</w:t>
      </w:r>
      <w:r>
        <w:rPr>
          <w:rFonts w:hint="eastAsia" w:ascii="宋体" w:hAnsi="宋体" w:eastAsia="宋体" w:cs="宋体"/>
          <w:color w:val="auto"/>
          <w:sz w:val="24"/>
          <w:szCs w:val="24"/>
          <w:highlight w:val="none"/>
          <w:u w:val="single"/>
          <w:shd w:val="clear" w:color="auto" w:fill="FFFFFF" w:themeFill="background1"/>
        </w:rPr>
        <w:t>支票、汇票、本票、保函、电汇、网银或金融机构、担保机构出具的保函；其他非现金形式：银行转账。</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6.投标保证金缴纳截止时间：</w:t>
      </w:r>
      <w:r>
        <w:rPr>
          <w:rFonts w:hint="eastAsia" w:ascii="宋体" w:hAnsi="宋体" w:eastAsia="宋体" w:cs="宋体"/>
          <w:color w:val="auto"/>
          <w:sz w:val="24"/>
          <w:szCs w:val="24"/>
          <w:highlight w:val="none"/>
          <w:u w:val="single"/>
          <w:shd w:val="clear" w:color="auto" w:fill="FFFFFF" w:themeFill="background1"/>
        </w:rPr>
        <w:t>投标截止时间。</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7.其他</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7.1</w:t>
      </w:r>
      <w:r>
        <w:rPr>
          <w:rFonts w:hint="eastAsia" w:ascii="宋体" w:hAnsi="宋体" w:eastAsia="宋体" w:cs="宋体"/>
          <w:color w:val="auto"/>
          <w:kern w:val="0"/>
          <w:sz w:val="24"/>
          <w:highlight w:val="none"/>
        </w:rPr>
        <w:t>发布媒介：本项目招标公告同时在云南省政府采购网、政府采购云平台上发布，公告内容和时间以云南省政府采购网发布的信息为准。</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7.2</w:t>
      </w:r>
      <w:r>
        <w:rPr>
          <w:rFonts w:hint="eastAsia" w:ascii="宋体" w:hAnsi="宋体" w:eastAsia="宋体" w:cs="宋体"/>
          <w:color w:val="auto"/>
          <w:kern w:val="0"/>
          <w:sz w:val="24"/>
          <w:highlight w:val="none"/>
        </w:rPr>
        <w:t>若投标人为非法人机构的，招标文件中的法定代表人同时也指其他组织的负责人。</w:t>
      </w:r>
    </w:p>
    <w:p>
      <w:pPr>
        <w:pageBreakBefore w:val="0"/>
        <w:kinsoku/>
        <w:overflowPunct/>
        <w:bidi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7.3</w:t>
      </w:r>
      <w:r>
        <w:rPr>
          <w:rFonts w:hint="eastAsia" w:ascii="宋体" w:hAnsi="宋体" w:eastAsia="宋体" w:cs="宋体"/>
          <w:color w:val="auto"/>
          <w:sz w:val="24"/>
          <w:highlight w:val="none"/>
          <w:shd w:val="clear" w:color="auto" w:fill="FFFFFF" w:themeFill="background1"/>
        </w:rPr>
        <w:t>本项目实行网上投标，采用电子投标文件；</w:t>
      </w:r>
    </w:p>
    <w:p>
      <w:pPr>
        <w:pageBreakBefore w:val="0"/>
        <w:kinsoku/>
        <w:overflowPunct/>
        <w:bidi w:val="0"/>
        <w:spacing w:line="360" w:lineRule="auto"/>
        <w:ind w:firstLine="480" w:firstLineChars="200"/>
        <w:rPr>
          <w:rFonts w:hint="eastAsia"/>
        </w:rPr>
      </w:pPr>
      <w:r>
        <w:rPr>
          <w:rFonts w:hint="eastAsia" w:ascii="宋体" w:hAnsi="宋体" w:eastAsia="宋体" w:cs="宋体"/>
          <w:color w:val="auto"/>
          <w:sz w:val="24"/>
          <w:highlight w:val="none"/>
          <w:shd w:val="clear" w:color="auto" w:fill="FFFFFF" w:themeFill="background1"/>
          <w:lang w:val="en-US" w:eastAsia="zh-CN"/>
        </w:rPr>
        <w:t>7.4</w:t>
      </w:r>
      <w:r>
        <w:rPr>
          <w:rFonts w:hint="eastAsia" w:ascii="宋体" w:hAnsi="宋体" w:eastAsia="宋体" w:cs="宋体"/>
          <w:color w:val="auto"/>
          <w:sz w:val="24"/>
          <w:highlight w:val="none"/>
          <w:shd w:val="clear" w:color="auto" w:fill="FFFFFF" w:themeFill="background1"/>
        </w:rPr>
        <w:t>各投标人应在开标前确保成为政府采购云平台投标人，并完成CA数字证书申领。因未注册入库、未办理CA数字证书等原因造成无法投标或投标失败等后果由投标人自行承担。</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7.5</w:t>
      </w:r>
      <w:r>
        <w:rPr>
          <w:rFonts w:hint="eastAsia" w:ascii="宋体" w:hAnsi="宋体" w:eastAsia="宋体" w:cs="宋体"/>
          <w:color w:val="auto"/>
          <w:kern w:val="0"/>
          <w:sz w:val="24"/>
          <w:highlight w:val="none"/>
        </w:rPr>
        <w:t>投标文件上传：</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投标人应按照本项目</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文件和“政府采购云平台”的要求编制、加密后在投标文件提交截止时间前将投标文件上传至“政府采购云平台”，按《供应商操</w:t>
      </w:r>
    </w:p>
    <w:p>
      <w:pPr>
        <w:keepLines w:val="0"/>
        <w:pageBreakBefore w:val="0"/>
        <w:kinsoku/>
        <w:wordWrap/>
        <w:overflowPunct/>
        <w:topLinePunct w:val="0"/>
        <w:autoSpaceDE/>
        <w:autoSpaceDN/>
        <w:bidi w:val="0"/>
        <w:snapToGrid/>
        <w:spacing w:line="360" w:lineRule="auto"/>
        <w:ind w:right="0" w:right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作指南》</w:t>
      </w:r>
    </w:p>
    <w:p>
      <w:pPr>
        <w:keepLines w:val="0"/>
        <w:pageBreakBefore w:val="0"/>
        <w:kinsoku/>
        <w:wordWrap/>
        <w:overflowPunct/>
        <w:topLinePunct w:val="0"/>
        <w:autoSpaceDE/>
        <w:autoSpaceDN/>
        <w:bidi w:val="0"/>
        <w:snapToGrid/>
        <w:spacing w:line="360" w:lineRule="auto"/>
        <w:ind w:right="0" w:right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https://edu.zcygov.cn/luban/yunnan-dzjy-gys?utm=a0017.b3687.48.18.4b09ec80cbc911edb8a97356c5970511）完成远程投标文件解密等相关操作。投标文件提交截止时间前未完成投标文件上传的，视为撤回投标文件。若投标人未在规定时间完成投标文件解密，则视为无效投标，不再进入评标阶段，解密时长为60分钟；投标人在“政府采购云平台”提交电子版投标文件时，请填写参加远程采购活动经办人联系方式。</w:t>
      </w:r>
    </w:p>
    <w:p>
      <w:pPr>
        <w:keepLines w:val="0"/>
        <w:pageBreakBefore w:val="0"/>
        <w:kinsoku/>
        <w:wordWrap/>
        <w:overflowPunct/>
        <w:topLinePunct w:val="0"/>
        <w:autoSpaceDE/>
        <w:autoSpaceDN/>
        <w:bidi w:val="0"/>
        <w:snapToGrid/>
        <w:spacing w:line="360" w:lineRule="auto"/>
        <w:ind w:left="0" w:leftChars="0" w:right="0" w:righ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注：任何因忽视或误解而导致投标文件未上传或已上传但未按规定的操作流程及时间要求进行解密的，由投标人自行负责。</w:t>
      </w:r>
    </w:p>
    <w:p>
      <w:pPr>
        <w:pStyle w:val="3"/>
        <w:keepLines w:val="0"/>
        <w:pageBreakBefore w:val="0"/>
        <w:tabs>
          <w:tab w:val="clear" w:pos="1021"/>
        </w:tabs>
        <w:kinsoku/>
        <w:wordWrap/>
        <w:overflowPunct/>
        <w:topLinePunct w:val="0"/>
        <w:autoSpaceDE/>
        <w:autoSpaceDN/>
        <w:bidi w:val="0"/>
        <w:snapToGrid/>
        <w:spacing w:before="158" w:beforeLines="50" w:after="158" w:afterLines="50" w:line="360" w:lineRule="auto"/>
        <w:ind w:left="0" w:leftChars="0" w:right="0" w:rightChars="0" w:firstLine="0"/>
        <w:rPr>
          <w:rFonts w:hint="eastAsia" w:ascii="宋体" w:hAnsi="宋体" w:eastAsia="宋体" w:cs="宋体"/>
          <w:bCs/>
          <w:color w:val="auto"/>
          <w:sz w:val="24"/>
          <w:szCs w:val="24"/>
          <w:highlight w:val="none"/>
        </w:rPr>
      </w:pPr>
      <w:bookmarkStart w:id="51" w:name="_Toc28958"/>
      <w:bookmarkStart w:id="52" w:name="_Toc10259"/>
      <w:bookmarkStart w:id="53" w:name="_Toc2219"/>
      <w:bookmarkStart w:id="54" w:name="_Toc28378"/>
      <w:r>
        <w:rPr>
          <w:rFonts w:hint="eastAsia" w:ascii="宋体" w:hAnsi="宋体" w:eastAsia="宋体" w:cs="宋体"/>
          <w:bCs/>
          <w:color w:val="auto"/>
          <w:sz w:val="24"/>
          <w:szCs w:val="24"/>
          <w:highlight w:val="none"/>
        </w:rPr>
        <w:t>七、对本次招标提出询问，请按以下方式联系。</w:t>
      </w:r>
      <w:bookmarkEnd w:id="4"/>
      <w:bookmarkEnd w:id="5"/>
      <w:bookmarkEnd w:id="6"/>
      <w:bookmarkEnd w:id="7"/>
      <w:bookmarkEnd w:id="51"/>
      <w:bookmarkEnd w:id="52"/>
      <w:bookmarkEnd w:id="53"/>
      <w:bookmarkEnd w:id="54"/>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称：玉溪市生态环境局</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55" w:name="OLE_LINK6"/>
      <w:r>
        <w:rPr>
          <w:rFonts w:hint="default" w:ascii="宋体" w:hAnsi="宋体" w:eastAsia="宋体" w:cs="宋体"/>
          <w:color w:val="auto"/>
          <w:sz w:val="24"/>
          <w:highlight w:val="none"/>
          <w:lang w:val="en-US" w:eastAsia="zh-CN"/>
        </w:rPr>
        <w:t>玉溪市红塔区太极路中段亚太汽车城慧波大楼8楼</w:t>
      </w:r>
      <w:bookmarkEnd w:id="55"/>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default" w:ascii="宋体" w:hAnsi="宋体" w:eastAsia="宋体" w:cs="宋体"/>
          <w:color w:val="auto"/>
          <w:sz w:val="24"/>
          <w:highlight w:val="none"/>
          <w:lang w:val="en-US" w:eastAsia="zh-CN"/>
        </w:rPr>
        <w:t>0877-6571628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代理机构信息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云南上资咨询有限公司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玉溪市红塔区李棋街道上郭井16幢3号（玉溪分公司）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15912390037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苗艳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eastAsia="zh-CN"/>
        </w:rPr>
        <w:t>15912390037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月日</w:t>
      </w:r>
    </w:p>
    <w:p>
      <w:pPr>
        <w:pageBreakBefore w:val="0"/>
        <w:kinsoku/>
        <w:overflowPunct/>
        <w:bidi w:val="0"/>
        <w:spacing w:line="360" w:lineRule="auto"/>
        <w:rPr>
          <w:rFonts w:hint="eastAsia" w:ascii="宋体" w:hAnsi="宋体" w:eastAsia="宋体" w:cs="宋体"/>
        </w:rPr>
      </w:pPr>
      <w:r>
        <w:rPr>
          <w:rFonts w:hint="eastAsia" w:ascii="宋体" w:hAnsi="宋体" w:eastAsia="宋体" w:cs="宋体"/>
        </w:rPr>
        <w:br w:type="page"/>
      </w:r>
    </w:p>
    <w:p>
      <w:pPr>
        <w:pStyle w:val="2"/>
        <w:pageBreakBefore w:val="0"/>
        <w:kinsoku/>
        <w:overflowPunct/>
        <w:bidi w:val="0"/>
        <w:spacing w:line="360" w:lineRule="auto"/>
        <w:jc w:val="center"/>
        <w:rPr>
          <w:rFonts w:hint="eastAsia" w:ascii="宋体" w:hAnsi="宋体" w:eastAsia="宋体" w:cs="宋体"/>
        </w:rPr>
      </w:pPr>
      <w:bookmarkStart w:id="56" w:name="_Toc9699"/>
      <w:bookmarkStart w:id="57" w:name="_Toc3967"/>
      <w:bookmarkStart w:id="58" w:name="_Toc32699"/>
      <w:bookmarkStart w:id="59" w:name="_Toc4836"/>
      <w:bookmarkStart w:id="60" w:name="_Toc26692"/>
      <w:r>
        <w:rPr>
          <w:rFonts w:hint="eastAsia" w:ascii="宋体" w:hAnsi="宋体" w:eastAsia="宋体" w:cs="宋体"/>
        </w:rPr>
        <w:t>第二章 投标人须知</w:t>
      </w:r>
      <w:bookmarkEnd w:id="56"/>
      <w:bookmarkEnd w:id="57"/>
      <w:bookmarkEnd w:id="58"/>
      <w:bookmarkEnd w:id="59"/>
      <w:bookmarkEnd w:id="60"/>
    </w:p>
    <w:p>
      <w:pPr>
        <w:pageBreakBefore w:val="0"/>
        <w:kinsoku/>
        <w:overflowPunct/>
        <w:bidi w:val="0"/>
        <w:spacing w:line="360" w:lineRule="auto"/>
        <w:jc w:val="center"/>
        <w:outlineLvl w:val="1"/>
        <w:rPr>
          <w:rFonts w:hint="eastAsia" w:ascii="宋体" w:hAnsi="宋体" w:eastAsia="宋体" w:cs="宋体"/>
          <w:color w:val="auto"/>
          <w:sz w:val="28"/>
          <w:szCs w:val="28"/>
          <w:highlight w:val="none"/>
        </w:rPr>
      </w:pPr>
      <w:bookmarkStart w:id="61" w:name="_Toc28285"/>
      <w:bookmarkStart w:id="62" w:name="_Toc451172696"/>
      <w:bookmarkStart w:id="63" w:name="_Toc14357"/>
      <w:bookmarkStart w:id="64" w:name="_Toc14202"/>
      <w:bookmarkStart w:id="65" w:name="_Toc11219"/>
      <w:bookmarkStart w:id="66" w:name="_Toc6189"/>
      <w:bookmarkStart w:id="67" w:name="_Toc3367"/>
      <w:bookmarkStart w:id="68" w:name="_Toc22372"/>
      <w:r>
        <w:rPr>
          <w:rFonts w:hint="eastAsia" w:ascii="宋体" w:hAnsi="宋体" w:eastAsia="宋体" w:cs="宋体"/>
          <w:b/>
          <w:bCs/>
          <w:color w:val="auto"/>
          <w:sz w:val="28"/>
          <w:szCs w:val="28"/>
          <w:highlight w:val="none"/>
        </w:rPr>
        <w:t>投标人须知前附表</w:t>
      </w:r>
      <w:bookmarkEnd w:id="61"/>
      <w:bookmarkEnd w:id="62"/>
      <w:bookmarkEnd w:id="63"/>
      <w:bookmarkEnd w:id="64"/>
      <w:bookmarkEnd w:id="65"/>
      <w:bookmarkEnd w:id="66"/>
      <w:bookmarkEnd w:id="67"/>
      <w:bookmarkEnd w:id="68"/>
    </w:p>
    <w:tbl>
      <w:tblPr>
        <w:tblStyle w:val="23"/>
        <w:tblW w:w="1008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23"/>
        <w:gridCol w:w="1824"/>
        <w:gridCol w:w="586"/>
        <w:gridCol w:w="72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423" w:type="dxa"/>
            <w:tcBorders>
              <w:top w:val="single" w:color="000000" w:sz="0" w:space="0"/>
              <w:left w:val="single" w:color="000000" w:sz="0" w:space="0"/>
              <w:bottom w:val="single" w:color="000000" w:sz="0" w:space="0"/>
              <w:right w:val="single" w:color="000000" w:sz="0"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序号</w:t>
            </w:r>
          </w:p>
        </w:tc>
        <w:tc>
          <w:tcPr>
            <w:tcW w:w="2410" w:type="dxa"/>
            <w:gridSpan w:val="2"/>
            <w:tcBorders>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条款名称</w:t>
            </w:r>
          </w:p>
        </w:tc>
        <w:tc>
          <w:tcPr>
            <w:tcW w:w="7252" w:type="dxa"/>
            <w:tcBorders>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说明和要求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采购人</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ascii="宋体" w:hAnsi="宋体" w:cs="宋体"/>
                <w:color w:val="auto"/>
                <w:sz w:val="24"/>
                <w:highlight w:val="none"/>
                <w:shd w:val="clear" w:color="auto" w:fill="auto"/>
                <w:lang w:val="en-US" w:eastAsia="zh-CN"/>
              </w:rPr>
              <w:t>玉溪市生态环境局</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ascii="宋体" w:hAnsi="宋体" w:cs="宋体"/>
                <w:color w:val="auto"/>
                <w:sz w:val="24"/>
                <w:highlight w:val="none"/>
                <w:shd w:val="clear" w:color="auto" w:fill="auto"/>
                <w:lang w:val="en-US" w:eastAsia="zh-CN"/>
              </w:rPr>
              <w:t>玉溪市红塔区太极路中段亚太汽车城慧波大楼8楼</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联系方式：</w:t>
            </w:r>
            <w:r>
              <w:rPr>
                <w:rFonts w:hint="eastAsia" w:ascii="宋体" w:hAnsi="宋体" w:cs="宋体"/>
                <w:color w:val="auto"/>
                <w:sz w:val="24"/>
                <w:highlight w:val="none"/>
                <w:shd w:val="clear" w:color="auto" w:fill="auto"/>
                <w:lang w:val="en-US" w:eastAsia="zh-CN"/>
              </w:rPr>
              <w:t>0877-6571628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采购代理机构</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名    称：</w:t>
            </w:r>
            <w:r>
              <w:rPr>
                <w:rFonts w:hint="eastAsia" w:ascii="宋体" w:hAnsi="宋体" w:eastAsia="宋体" w:cs="宋体"/>
                <w:color w:val="auto"/>
                <w:sz w:val="24"/>
                <w:highlight w:val="none"/>
                <w:shd w:val="clear" w:color="auto" w:fill="auto"/>
                <w:lang w:eastAsia="zh-CN"/>
              </w:rPr>
              <w:t>云南上资咨询有限公司</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地</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址：</w:t>
            </w:r>
            <w:r>
              <w:rPr>
                <w:rFonts w:hint="eastAsia" w:ascii="宋体" w:hAnsi="宋体" w:eastAsia="宋体" w:cs="宋体"/>
                <w:color w:val="auto"/>
                <w:sz w:val="24"/>
                <w:highlight w:val="none"/>
                <w:shd w:val="clear" w:color="auto" w:fill="auto"/>
                <w:lang w:eastAsia="zh-CN"/>
              </w:rPr>
              <w:t>玉溪市红塔区李棋街道上郭井16幢3号（玉溪分公司）</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联系方式：</w:t>
            </w:r>
            <w:r>
              <w:rPr>
                <w:rFonts w:hint="eastAsia" w:ascii="宋体" w:hAnsi="宋体" w:eastAsia="宋体" w:cs="宋体"/>
                <w:color w:val="auto"/>
                <w:sz w:val="24"/>
                <w:highlight w:val="none"/>
                <w:shd w:val="clear" w:color="auto" w:fill="auto"/>
                <w:lang w:val="en-US" w:eastAsia="zh-CN"/>
              </w:rPr>
              <w:t xml:space="preserve">苗艳 </w:t>
            </w:r>
            <w:r>
              <w:rPr>
                <w:rFonts w:hint="eastAsia" w:ascii="宋体" w:hAnsi="宋体" w:eastAsia="宋体" w:cs="宋体"/>
                <w:color w:val="auto"/>
                <w:sz w:val="24"/>
                <w:highlight w:val="none"/>
                <w:shd w:val="clear" w:color="auto" w:fill="auto"/>
                <w:lang w:eastAsia="zh-CN"/>
              </w:rPr>
              <w:t>15912390037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项目名称</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eastAsia="zh-CN"/>
              </w:rPr>
              <w:t>珠江流域（玉溪段）生态环境监测能力提升项目</w:t>
            </w:r>
            <w:r>
              <w:rPr>
                <w:rFonts w:hint="eastAsia" w:ascii="宋体" w:hAnsi="宋体" w:eastAsia="宋体" w:cs="宋体"/>
                <w:color w:val="auto"/>
                <w:sz w:val="24"/>
                <w:highlight w:val="none"/>
                <w:shd w:val="clear" w:color="auto" w:fill="auto"/>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项目编号</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项目编号：</w:t>
            </w:r>
            <w:r>
              <w:rPr>
                <w:rFonts w:hint="eastAsia" w:ascii="宋体" w:hAnsi="宋体" w:cs="宋体"/>
                <w:color w:val="auto"/>
                <w:sz w:val="24"/>
                <w:highlight w:val="none"/>
                <w:shd w:val="clear" w:color="auto" w:fill="auto"/>
                <w:lang w:val="en-US" w:eastAsia="zh-CN"/>
              </w:rPr>
              <w:t>YNSZ2026-0512</w:t>
            </w:r>
            <w:r>
              <w:rPr>
                <w:rFonts w:hint="eastAsia" w:ascii="宋体" w:hAnsi="宋体" w:cs="宋体"/>
                <w:color w:val="auto"/>
                <w:sz w:val="24"/>
                <w:highlight w:val="none"/>
                <w:lang w:val="en-US" w:eastAsia="zh-CN"/>
              </w:rPr>
              <w:t xml:space="preserve">（采购计划编号：4530400JH202600670）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5</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采购内容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详见“第一章 招标公告”。</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6</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最高限价</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7835900.00元（1包：</w:t>
            </w:r>
            <w:r>
              <w:rPr>
                <w:rFonts w:hint="eastAsia" w:ascii="宋体" w:hAnsi="宋体" w:cs="宋体"/>
                <w:color w:val="auto"/>
                <w:sz w:val="24"/>
                <w:highlight w:val="none"/>
                <w:shd w:val="clear" w:color="auto" w:fill="auto"/>
                <w:lang w:val="en-US" w:eastAsia="zh-CN"/>
              </w:rPr>
              <w:t>3915900.00</w:t>
            </w:r>
            <w:r>
              <w:rPr>
                <w:rFonts w:hint="eastAsia" w:ascii="宋体" w:hAnsi="宋体" w:eastAsia="宋体" w:cs="宋体"/>
                <w:color w:val="auto"/>
                <w:sz w:val="24"/>
                <w:highlight w:val="none"/>
                <w:shd w:val="clear" w:color="auto" w:fill="auto"/>
                <w:lang w:val="en-US" w:eastAsia="zh-CN"/>
              </w:rPr>
              <w:t>元；2包：3920000.00元）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7</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资金情况</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已落实</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8</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采购方式</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公开招标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9</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评标方法</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综合评分法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10</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交货期</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签订合同后45日历天内完成安装、调试、验收合格并交付使用</w:t>
            </w:r>
            <w:r>
              <w:rPr>
                <w:rFonts w:hint="eastAsia" w:ascii="宋体" w:hAnsi="宋体" w:eastAsia="宋体" w:cs="宋体"/>
                <w:color w:val="auto"/>
                <w:sz w:val="24"/>
                <w:highlight w:val="none"/>
                <w:shd w:val="clear" w:color="auto" w:fill="auto"/>
                <w:lang w:val="en-US"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11</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交货地点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采购人指定地点（涉及红塔站、江川站、澄江站、通海站、华宁站、峨山站）</w:t>
            </w:r>
            <w:r>
              <w:rPr>
                <w:rFonts w:hint="eastAsia" w:ascii="宋体" w:hAnsi="宋体" w:eastAsia="宋体" w:cs="宋体"/>
                <w:color w:val="auto"/>
                <w:sz w:val="24"/>
                <w:highlight w:val="none"/>
                <w:shd w:val="clear" w:color="auto" w:fill="auto"/>
                <w:lang w:val="en-US"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12</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质保期</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以</w:t>
            </w:r>
            <w:r>
              <w:rPr>
                <w:rFonts w:hint="eastAsia" w:ascii="宋体" w:hAnsi="宋体" w:eastAsia="宋体" w:cs="宋体"/>
                <w:color w:val="auto"/>
                <w:sz w:val="24"/>
                <w:highlight w:val="none"/>
                <w:lang w:val="en-US" w:eastAsia="zh-CN"/>
              </w:rPr>
              <w:t>“第四章 采购需求及技术参数要求”中参数描述要求为准</w:t>
            </w:r>
            <w:r>
              <w:rPr>
                <w:rFonts w:hint="eastAsia" w:ascii="宋体" w:hAnsi="宋体" w:eastAsia="宋体" w:cs="宋体"/>
                <w:color w:val="auto"/>
                <w:sz w:val="24"/>
                <w:highlight w:val="none"/>
                <w:shd w:val="clear" w:color="auto" w:fill="auto"/>
                <w:lang w:val="en-US"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13</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质量标准</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符合国家及地方现行的相关标准及法规政策，满足采购人验收要求</w:t>
            </w:r>
            <w:r>
              <w:rPr>
                <w:rFonts w:hint="eastAsia" w:ascii="宋体" w:hAnsi="宋体" w:eastAsia="宋体" w:cs="宋体"/>
                <w:color w:val="auto"/>
                <w:sz w:val="24"/>
                <w:highlight w:val="none"/>
                <w:shd w:val="clear" w:color="auto" w:fill="auto"/>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14</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履约保证金</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要求，履约保证金的形式：</w:t>
            </w:r>
            <w:r>
              <w:rPr>
                <w:rFonts w:hint="eastAsia" w:ascii="宋体" w:hAnsi="宋体" w:eastAsia="宋体" w:cs="宋体"/>
                <w:color w:val="auto"/>
                <w:sz w:val="24"/>
                <w:highlight w:val="none"/>
                <w:u w:val="single"/>
                <w:lang w:val="en-US" w:eastAsia="zh-CN"/>
              </w:rPr>
              <w:t>支票、汇票、本票或者金融机构、担保机构出具的保函等非现金形式提交。</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履约保证金缴纳时间：</w:t>
            </w:r>
            <w:r>
              <w:rPr>
                <w:rFonts w:hint="eastAsia" w:ascii="宋体" w:hAnsi="宋体" w:eastAsia="宋体" w:cs="宋体"/>
                <w:color w:val="auto"/>
                <w:sz w:val="24"/>
                <w:highlight w:val="none"/>
                <w:u w:val="single"/>
                <w:lang w:val="en-US" w:eastAsia="zh-CN"/>
              </w:rPr>
              <w:t>合同签订后5个工作日内。</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履约保证金的金额：</w:t>
            </w:r>
            <w:r>
              <w:rPr>
                <w:rFonts w:hint="eastAsia" w:ascii="宋体" w:hAnsi="宋体" w:eastAsia="宋体" w:cs="宋体"/>
                <w:color w:val="auto"/>
                <w:sz w:val="24"/>
                <w:highlight w:val="none"/>
                <w:u w:val="single"/>
                <w:lang w:val="en-US" w:eastAsia="zh-CN"/>
              </w:rPr>
              <w:t>合同总金额的</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履约保证金的退还：</w:t>
            </w:r>
            <w:r>
              <w:rPr>
                <w:rFonts w:hint="eastAsia" w:ascii="宋体" w:hAnsi="宋体" w:eastAsia="宋体" w:cs="宋体"/>
                <w:color w:val="auto"/>
                <w:sz w:val="24"/>
                <w:highlight w:val="none"/>
                <w:u w:val="single"/>
                <w:lang w:val="en-US" w:eastAsia="zh-CN"/>
              </w:rPr>
              <w:t>项目验收合格后30天内，无质量问题退还（不计利息）。</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□不要求。后续关于履约保证金的规定和要求相应失效。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包件</w:t>
            </w:r>
            <w:r>
              <w:rPr>
                <w:rFonts w:hint="eastAsia" w:ascii="宋体" w:hAnsi="宋体" w:eastAsia="宋体" w:cs="宋体"/>
                <w:color w:val="auto"/>
                <w:sz w:val="24"/>
                <w:highlight w:val="none"/>
                <w:shd w:val="clear" w:color="auto" w:fill="auto"/>
              </w:rPr>
              <w:t>划分</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本项目共分2个包件，投标人可选择一个包或多个包进行响应，若对多个</w:t>
            </w:r>
            <w:r>
              <w:rPr>
                <w:rFonts w:hint="eastAsia" w:ascii="宋体" w:hAnsi="宋体" w:cs="宋体"/>
                <w:color w:val="auto"/>
                <w:sz w:val="24"/>
                <w:highlight w:val="none"/>
                <w:lang w:val="en-US" w:eastAsia="zh-CN"/>
              </w:rPr>
              <w:t>包件</w:t>
            </w:r>
            <w:r>
              <w:rPr>
                <w:rFonts w:hint="eastAsia" w:ascii="宋体" w:hAnsi="宋体" w:eastAsia="宋体" w:cs="宋体"/>
                <w:color w:val="auto"/>
                <w:sz w:val="24"/>
                <w:highlight w:val="none"/>
                <w:lang w:val="en-US" w:eastAsia="zh-CN"/>
              </w:rPr>
              <w:t>进行响应</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，投标人应分包制作及递交投标文件；投标人可同时中多个（2个）包件。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16</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投标人资格要求</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详见第一章“</w:t>
            </w:r>
            <w:r>
              <w:rPr>
                <w:rFonts w:hint="eastAsia" w:ascii="宋体" w:hAnsi="宋体" w:eastAsia="宋体" w:cs="宋体"/>
                <w:color w:val="auto"/>
                <w:sz w:val="24"/>
                <w:highlight w:val="none"/>
                <w:shd w:val="clear" w:color="auto" w:fill="auto"/>
                <w:lang w:val="en-US" w:eastAsia="zh-CN"/>
              </w:rPr>
              <w:t>招标</w:t>
            </w:r>
            <w:r>
              <w:rPr>
                <w:rFonts w:hint="eastAsia" w:ascii="宋体" w:hAnsi="宋体" w:eastAsia="宋体" w:cs="宋体"/>
                <w:color w:val="auto"/>
                <w:sz w:val="24"/>
                <w:highlight w:val="none"/>
                <w:shd w:val="clear" w:color="auto" w:fill="auto"/>
              </w:rPr>
              <w:t>公告</w:t>
            </w:r>
            <w:r>
              <w:rPr>
                <w:rFonts w:hint="eastAsia" w:ascii="宋体" w:hAnsi="宋体" w:eastAsia="宋体" w:cs="宋体"/>
                <w:color w:val="auto"/>
                <w:sz w:val="24"/>
                <w:highlight w:val="none"/>
                <w:shd w:val="clear" w:color="auto" w:fill="auto"/>
                <w:lang w:val="en-US" w:eastAsia="zh-CN"/>
              </w:rPr>
              <w:t>”中的“二、申请人（投标人）的资格要求”</w:t>
            </w:r>
            <w:r>
              <w:rPr>
                <w:rFonts w:hint="eastAsia" w:ascii="宋体" w:hAnsi="宋体" w:eastAsia="宋体" w:cs="宋体"/>
                <w:color w:val="auto"/>
                <w:sz w:val="24"/>
                <w:highlight w:val="none"/>
                <w:shd w:val="clear" w:color="auto" w:fill="auto"/>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考察现场、标前答疑会</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不组织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18</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构成招标文件的其他文件</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招标文件的澄清、修改书及有关补充通知为招标文件的有效组成部分。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19</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投标有效期</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90日历天，从投标截止之日算起。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val="0"/>
                <w:bCs w:val="0"/>
                <w:color w:val="auto"/>
                <w:sz w:val="24"/>
                <w:highlight w:val="none"/>
                <w:shd w:val="clear" w:color="auto" w:fill="auto"/>
              </w:rPr>
            </w:pPr>
            <w:r>
              <w:rPr>
                <w:rFonts w:hint="eastAsia" w:ascii="宋体" w:hAnsi="宋体" w:eastAsia="宋体" w:cs="宋体"/>
                <w:b w:val="0"/>
                <w:bCs w:val="0"/>
                <w:color w:val="auto"/>
                <w:sz w:val="24"/>
                <w:highlight w:val="yellow"/>
                <w:shd w:val="clear" w:color="auto" w:fill="auto"/>
              </w:rPr>
              <w:t>投标保证金</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numPr>
                <w:ilvl w:val="0"/>
                <w:numId w:val="0"/>
              </w:numPr>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2"/>
                <w:sz w:val="24"/>
                <w:szCs w:val="24"/>
                <w:highlight w:val="none"/>
                <w:lang w:val="en-US" w:eastAsia="zh-CN" w:bidi="ar-SA"/>
              </w:rPr>
              <w:t>一、</w:t>
            </w:r>
            <w:r>
              <w:rPr>
                <w:rFonts w:hint="eastAsia" w:ascii="宋体" w:hAnsi="宋体" w:eastAsia="宋体" w:cs="宋体"/>
                <w:b w:val="0"/>
                <w:bCs w:val="0"/>
                <w:color w:val="auto"/>
                <w:sz w:val="24"/>
                <w:highlight w:val="none"/>
                <w:shd w:val="clear" w:color="auto" w:fill="auto"/>
              </w:rPr>
              <w:t>投标保证金金额：</w:t>
            </w:r>
          </w:p>
          <w:p>
            <w:pPr>
              <w:keepNext w:val="0"/>
              <w:keepLines w:val="0"/>
              <w:pageBreakBefore w:val="0"/>
              <w:widowControl w:val="0"/>
              <w:numPr>
                <w:ilvl w:val="0"/>
                <w:numId w:val="0"/>
              </w:numPr>
              <w:kinsoku/>
              <w:wordWrap/>
              <w:overflowPunct/>
              <w:topLinePunct w:val="0"/>
              <w:bidi w:val="0"/>
              <w:spacing w:line="360" w:lineRule="auto"/>
              <w:ind w:right="0" w:rightChars="0"/>
              <w:textAlignment w:val="auto"/>
              <w:outlineLvl w:val="9"/>
              <w:rPr>
                <w:rFonts w:hint="eastAsia" w:ascii="宋体" w:hAnsi="宋体" w:eastAsia="宋体" w:cs="宋体"/>
                <w:b/>
                <w:bCs/>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1包：39000.00</w:t>
            </w:r>
            <w:r>
              <w:rPr>
                <w:rFonts w:hint="eastAsia" w:ascii="宋体" w:hAnsi="宋体" w:eastAsia="宋体" w:cs="宋体"/>
                <w:b/>
                <w:bCs/>
                <w:color w:val="auto"/>
                <w:sz w:val="24"/>
                <w:highlight w:val="none"/>
                <w:shd w:val="clear" w:color="auto" w:fill="auto"/>
                <w:lang w:val="en-US" w:eastAsia="zh-CN"/>
              </w:rPr>
              <w:t>元</w:t>
            </w:r>
            <w:r>
              <w:rPr>
                <w:rFonts w:hint="eastAsia" w:ascii="宋体" w:hAnsi="宋体" w:cs="宋体"/>
                <w:b/>
                <w:bCs/>
                <w:color w:val="auto"/>
                <w:sz w:val="24"/>
                <w:highlight w:val="none"/>
                <w:shd w:val="clear" w:color="auto" w:fill="auto"/>
                <w:lang w:val="en-US" w:eastAsia="zh-CN"/>
              </w:rPr>
              <w:t>（大写：叁万玖仟元整）</w:t>
            </w:r>
          </w:p>
          <w:p>
            <w:pPr>
              <w:keepNext w:val="0"/>
              <w:keepLines w:val="0"/>
              <w:pageBreakBefore w:val="0"/>
              <w:widowControl w:val="0"/>
              <w:numPr>
                <w:ilvl w:val="0"/>
                <w:numId w:val="0"/>
              </w:numPr>
              <w:kinsoku/>
              <w:wordWrap/>
              <w:overflowPunct/>
              <w:topLinePunct w:val="0"/>
              <w:bidi w:val="0"/>
              <w:spacing w:line="360" w:lineRule="auto"/>
              <w:ind w:right="0" w:rightChars="0"/>
              <w:textAlignment w:val="auto"/>
              <w:outlineLvl w:val="9"/>
              <w:rPr>
                <w:rFonts w:hint="default" w:ascii="宋体" w:hAnsi="宋体" w:cs="宋体"/>
                <w:b/>
                <w:bCs/>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2包：39000.00元（大写：叁万玖仟元整）</w:t>
            </w:r>
          </w:p>
          <w:p>
            <w:pPr>
              <w:keepNext w:val="0"/>
              <w:keepLines w:val="0"/>
              <w:pageBreakBefore w:val="0"/>
              <w:widowControl w:val="0"/>
              <w:numPr>
                <w:ilvl w:val="0"/>
                <w:numId w:val="0"/>
              </w:numPr>
              <w:kinsoku/>
              <w:wordWrap/>
              <w:overflowPunct/>
              <w:topLinePunct w:val="0"/>
              <w:bidi w:val="0"/>
              <w:spacing w:line="360" w:lineRule="auto"/>
              <w:ind w:left="0" w:leftChars="0"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rPr>
              <w:t>（必须一次性</w:t>
            </w:r>
            <w:r>
              <w:rPr>
                <w:rFonts w:hint="eastAsia" w:ascii="宋体" w:hAnsi="宋体" w:eastAsia="宋体" w:cs="宋体"/>
                <w:b/>
                <w:bCs/>
                <w:color w:val="auto"/>
                <w:sz w:val="24"/>
                <w:highlight w:val="none"/>
                <w:lang w:val="en-US" w:eastAsia="zh-CN"/>
              </w:rPr>
              <w:t>提交</w:t>
            </w:r>
            <w:r>
              <w:rPr>
                <w:rFonts w:hint="eastAsia" w:ascii="宋体" w:hAnsi="宋体" w:eastAsia="宋体" w:cs="宋体"/>
                <w:b/>
                <w:bCs/>
                <w:color w:val="auto"/>
                <w:sz w:val="24"/>
                <w:highlight w:val="none"/>
              </w:rPr>
              <w:t>，不可多</w:t>
            </w:r>
            <w:r>
              <w:rPr>
                <w:rFonts w:hint="eastAsia" w:ascii="宋体" w:hAnsi="宋体" w:eastAsia="宋体" w:cs="宋体"/>
                <w:b/>
                <w:bCs/>
                <w:color w:val="auto"/>
                <w:sz w:val="24"/>
                <w:highlight w:val="none"/>
                <w:lang w:val="en-US" w:eastAsia="zh-CN"/>
              </w:rPr>
              <w:t>交</w:t>
            </w:r>
            <w:r>
              <w:rPr>
                <w:rFonts w:hint="eastAsia" w:ascii="宋体" w:hAnsi="宋体" w:eastAsia="宋体" w:cs="宋体"/>
                <w:b/>
                <w:bCs/>
                <w:color w:val="auto"/>
                <w:sz w:val="24"/>
                <w:highlight w:val="none"/>
              </w:rPr>
              <w:t>、少</w:t>
            </w:r>
            <w:r>
              <w:rPr>
                <w:rFonts w:hint="eastAsia" w:ascii="宋体" w:hAnsi="宋体" w:eastAsia="宋体" w:cs="宋体"/>
                <w:b/>
                <w:bCs/>
                <w:color w:val="auto"/>
                <w:sz w:val="24"/>
                <w:highlight w:val="none"/>
                <w:lang w:val="en-US" w:eastAsia="zh-CN"/>
              </w:rPr>
              <w:t>交</w:t>
            </w:r>
            <w:r>
              <w:rPr>
                <w:rFonts w:hint="eastAsia" w:ascii="宋体" w:hAnsi="宋体" w:eastAsia="宋体" w:cs="宋体"/>
                <w:b/>
                <w:bCs/>
                <w:color w:val="auto"/>
                <w:sz w:val="24"/>
                <w:highlight w:val="none"/>
              </w:rPr>
              <w:t>、多笔</w:t>
            </w:r>
            <w:r>
              <w:rPr>
                <w:rFonts w:hint="eastAsia" w:ascii="宋体" w:hAnsi="宋体" w:eastAsia="宋体" w:cs="宋体"/>
                <w:b/>
                <w:bCs/>
                <w:color w:val="auto"/>
                <w:sz w:val="24"/>
                <w:highlight w:val="none"/>
                <w:lang w:val="en-US" w:eastAsia="zh-CN"/>
              </w:rPr>
              <w:t>提交</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保证金的提交形式：</w:t>
            </w:r>
            <w:r>
              <w:rPr>
                <w:rFonts w:hint="eastAsia" w:ascii="宋体" w:hAnsi="宋体" w:eastAsia="宋体" w:cs="宋体"/>
                <w:b w:val="0"/>
                <w:bCs w:val="0"/>
                <w:color w:val="auto"/>
                <w:sz w:val="24"/>
                <w:szCs w:val="24"/>
                <w:highlight w:val="none"/>
                <w:lang w:eastAsia="zh-CN"/>
              </w:rPr>
              <w:t>电汇、网银、支票、汇票、本票、银行转账、银行保函、保证保险等非现金形式</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rPr>
              <w:t>（1）保证金转账方式：按以下账户从</w:t>
            </w:r>
            <w:r>
              <w:rPr>
                <w:rFonts w:hint="eastAsia" w:ascii="宋体" w:hAnsi="宋体" w:eastAsia="宋体" w:cs="宋体"/>
                <w:b w:val="0"/>
                <w:bCs w:val="0"/>
                <w:color w:val="auto"/>
                <w:sz w:val="24"/>
                <w:szCs w:val="24"/>
                <w:highlight w:val="none"/>
              </w:rPr>
              <w:t>供应商</w:t>
            </w:r>
            <w:r>
              <w:rPr>
                <w:rStyle w:val="27"/>
                <w:rFonts w:hint="eastAsia" w:ascii="宋体" w:hAnsi="宋体" w:eastAsia="宋体" w:cs="宋体"/>
                <w:b w:val="0"/>
                <w:bCs w:val="0"/>
                <w:color w:val="auto"/>
                <w:sz w:val="24"/>
                <w:szCs w:val="24"/>
                <w:highlight w:val="none"/>
              </w:rPr>
              <w:t>的基本账号转账或电汇缴纳，转账（或电汇）时请备注项目名称</w:t>
            </w:r>
            <w:r>
              <w:rPr>
                <w:rStyle w:val="27"/>
                <w:rFonts w:hint="eastAsia" w:ascii="宋体" w:hAnsi="宋体" w:eastAsia="宋体" w:cs="宋体"/>
                <w:b w:val="0"/>
                <w:bCs w:val="0"/>
                <w:color w:val="auto"/>
                <w:sz w:val="24"/>
                <w:szCs w:val="24"/>
                <w:highlight w:val="none"/>
                <w:lang w:val="en-US"/>
              </w:rPr>
              <w:t>及包号</w:t>
            </w:r>
            <w:r>
              <w:rPr>
                <w:rStyle w:val="27"/>
                <w:rFonts w:hint="eastAsia" w:ascii="宋体" w:hAnsi="宋体" w:eastAsia="宋体" w:cs="宋体"/>
                <w:b w:val="0"/>
                <w:bCs w:val="0"/>
                <w:color w:val="auto"/>
                <w:sz w:val="24"/>
                <w:szCs w:val="24"/>
                <w:highlight w:val="none"/>
              </w:rPr>
              <w:t>或项目编号</w:t>
            </w:r>
            <w:r>
              <w:rPr>
                <w:rStyle w:val="27"/>
                <w:rFonts w:hint="eastAsia" w:ascii="宋体" w:hAnsi="宋体" w:eastAsia="宋体" w:cs="宋体"/>
                <w:b w:val="0"/>
                <w:bCs w:val="0"/>
                <w:color w:val="auto"/>
                <w:sz w:val="24"/>
                <w:szCs w:val="24"/>
                <w:highlight w:val="none"/>
                <w:lang w:val="en-US"/>
              </w:rPr>
              <w:t>及包号</w:t>
            </w:r>
            <w:r>
              <w:rPr>
                <w:rStyle w:val="27"/>
                <w:rFonts w:hint="eastAsia" w:ascii="宋体" w:hAnsi="宋体" w:eastAsia="宋体" w:cs="宋体"/>
                <w:b w:val="0"/>
                <w:bCs w:val="0"/>
                <w:color w:val="auto"/>
                <w:sz w:val="24"/>
                <w:szCs w:val="24"/>
                <w:highlight w:val="none"/>
              </w:rPr>
              <w:t>，以方便查收保证金是否到账。</w:t>
            </w:r>
          </w:p>
          <w:p>
            <w:pPr>
              <w:pageBreakBefore w:val="0"/>
              <w:kinsoku/>
              <w:overflowPunct/>
              <w:bidi w:val="0"/>
              <w:spacing w:line="360" w:lineRule="auto"/>
              <w:rPr>
                <w:rFonts w:hint="default"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开户名称：</w:t>
            </w:r>
            <w:r>
              <w:rPr>
                <w:rFonts w:hint="eastAsia" w:ascii="宋体" w:hAnsi="宋体" w:cs="宋体"/>
                <w:b/>
                <w:bCs/>
                <w:sz w:val="24"/>
                <w:szCs w:val="24"/>
                <w:highlight w:val="yellow"/>
                <w:lang w:val="en-US" w:eastAsia="zh-CN"/>
              </w:rPr>
              <w:t>玉溪市公共资源交易中心</w:t>
            </w:r>
          </w:p>
          <w:p>
            <w:pPr>
              <w:pageBreakBefore w:val="0"/>
              <w:kinsoku/>
              <w:overflowPunct/>
              <w:bidi w:val="0"/>
              <w:spacing w:line="360" w:lineRule="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开户银行：</w:t>
            </w:r>
          </w:p>
          <w:p>
            <w:pPr>
              <w:pageBreakBefore w:val="0"/>
              <w:kinsoku/>
              <w:overflowPunct/>
              <w:bidi w:val="0"/>
              <w:spacing w:line="360" w:lineRule="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账    号：</w:t>
            </w:r>
          </w:p>
          <w:p>
            <w:pPr>
              <w:pageBreakBefore w:val="0"/>
              <w:kinsoku/>
              <w:overflowPunct/>
              <w:bidi w:val="0"/>
              <w:spacing w:line="360" w:lineRule="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rPr>
              <w:t>联系电话：</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textAlignment w:val="auto"/>
              <w:outlineLvl w:val="9"/>
              <w:rPr>
                <w:rFonts w:hint="eastAsia" w:ascii="宋体" w:hAnsi="宋体" w:eastAsia="宋体" w:cs="宋体"/>
                <w:b w:val="0"/>
                <w:bCs w:val="0"/>
                <w:color w:val="auto"/>
                <w:sz w:val="24"/>
                <w:szCs w:val="24"/>
                <w:highlight w:val="none"/>
              </w:rPr>
            </w:pPr>
          </w:p>
          <w:p>
            <w:pPr>
              <w:pageBreakBefore w:val="0"/>
              <w:kinsoku/>
              <w:overflowPunct/>
              <w:autoSpaceDE w:val="0"/>
              <w:autoSpaceDN w:val="0"/>
              <w:bidi w:val="0"/>
              <w:adjustRightInd w:val="0"/>
              <w:snapToGrid w:val="0"/>
              <w:spacing w:afterLines="50"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注意事项：</w:t>
            </w:r>
          </w:p>
          <w:p>
            <w:pPr>
              <w:pageBreakBefore w:val="0"/>
              <w:kinsoku/>
              <w:overflowPunct/>
              <w:autoSpaceDE w:val="0"/>
              <w:autoSpaceDN w:val="0"/>
              <w:bidi w:val="0"/>
              <w:adjustRightInd w:val="0"/>
              <w:snapToGrid w:val="0"/>
              <w:spacing w:afterLines="50"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规定的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投标保证金</w:t>
            </w:r>
            <w:r>
              <w:rPr>
                <w:rFonts w:hint="eastAsia" w:ascii="宋体" w:hAnsi="宋体" w:eastAsia="宋体" w:cs="宋体"/>
                <w:color w:val="000000" w:themeColor="text1"/>
                <w:kern w:val="0"/>
                <w:sz w:val="24"/>
                <w:szCs w:val="24"/>
                <w:highlight w:val="none"/>
                <w14:textFill>
                  <w14:solidFill>
                    <w14:schemeClr w14:val="tx1"/>
                  </w14:solidFill>
                </w14:textFill>
              </w:rPr>
              <w:t>数额，自行转账到采购人指定账户，请注意以下事项：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rPr>
              <w:t>1.</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必须从</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基本账户转出；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2</w:t>
            </w:r>
            <w:r>
              <w:rPr>
                <w:rStyle w:val="27"/>
                <w:rFonts w:hint="eastAsia" w:ascii="宋体" w:hAnsi="宋体" w:eastAsia="宋体" w:cs="宋体"/>
                <w:b w:val="0"/>
                <w:bCs w:val="0"/>
                <w:color w:val="auto"/>
                <w:sz w:val="24"/>
                <w:szCs w:val="24"/>
                <w:highlight w:val="none"/>
              </w:rPr>
              <w:t>.保证金截止时间为</w:t>
            </w:r>
            <w:r>
              <w:rPr>
                <w:rStyle w:val="27"/>
                <w:rFonts w:hint="eastAsia" w:ascii="宋体" w:hAnsi="宋体" w:eastAsia="宋体" w:cs="宋体"/>
                <w:b w:val="0"/>
                <w:bCs w:val="0"/>
                <w:color w:val="auto"/>
                <w:sz w:val="24"/>
                <w:szCs w:val="24"/>
                <w:highlight w:val="none"/>
                <w:lang w:val="en-US" w:eastAsia="zh-CN"/>
              </w:rPr>
              <w:t>投标</w:t>
            </w:r>
            <w:r>
              <w:rPr>
                <w:rStyle w:val="27"/>
                <w:rFonts w:hint="eastAsia" w:ascii="宋体" w:hAnsi="宋体" w:eastAsia="宋体" w:cs="宋体"/>
                <w:b w:val="0"/>
                <w:bCs w:val="0"/>
                <w:color w:val="auto"/>
                <w:sz w:val="24"/>
                <w:szCs w:val="24"/>
                <w:highlight w:val="none"/>
              </w:rPr>
              <w:t>截止时间，到账时间以保证金账户实际到账时间为准，未按时到账的保证金无效；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3.</w:t>
            </w:r>
            <w:r>
              <w:rPr>
                <w:rStyle w:val="27"/>
                <w:rFonts w:hint="eastAsia" w:ascii="宋体" w:hAnsi="宋体" w:eastAsia="宋体" w:cs="宋体"/>
                <w:b w:val="0"/>
                <w:bCs w:val="0"/>
                <w:color w:val="auto"/>
                <w:sz w:val="24"/>
                <w:szCs w:val="24"/>
                <w:highlight w:val="none"/>
              </w:rPr>
              <w:t>请</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在汇款时务必注明采购项目编号，否则，因款项用途不明导致</w:t>
            </w:r>
            <w:r>
              <w:rPr>
                <w:rStyle w:val="27"/>
                <w:rFonts w:hint="eastAsia" w:ascii="宋体" w:hAnsi="宋体" w:eastAsia="宋体" w:cs="宋体"/>
                <w:b w:val="0"/>
                <w:bCs w:val="0"/>
                <w:color w:val="auto"/>
                <w:sz w:val="24"/>
                <w:szCs w:val="24"/>
                <w:highlight w:val="none"/>
                <w:lang w:eastAsia="zh-CN"/>
              </w:rPr>
              <w:t>投标</w:t>
            </w:r>
            <w:r>
              <w:rPr>
                <w:rStyle w:val="27"/>
                <w:rFonts w:hint="eastAsia" w:ascii="宋体" w:hAnsi="宋体" w:eastAsia="宋体" w:cs="宋体"/>
                <w:b w:val="0"/>
                <w:bCs w:val="0"/>
                <w:color w:val="auto"/>
                <w:sz w:val="24"/>
                <w:szCs w:val="24"/>
                <w:highlight w:val="none"/>
              </w:rPr>
              <w:t>无效等后果由</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4.</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有效期与</w:t>
            </w:r>
            <w:r>
              <w:rPr>
                <w:rStyle w:val="27"/>
                <w:rFonts w:hint="eastAsia" w:ascii="宋体" w:hAnsi="宋体" w:eastAsia="宋体" w:cs="宋体"/>
                <w:b w:val="0"/>
                <w:bCs w:val="0"/>
                <w:color w:val="auto"/>
                <w:sz w:val="24"/>
                <w:szCs w:val="24"/>
                <w:highlight w:val="none"/>
                <w:lang w:val="en-US" w:eastAsia="zh-CN"/>
              </w:rPr>
              <w:t>投标</w:t>
            </w:r>
            <w:r>
              <w:rPr>
                <w:rStyle w:val="27"/>
                <w:rFonts w:hint="eastAsia" w:ascii="宋体" w:hAnsi="宋体" w:eastAsia="宋体" w:cs="宋体"/>
                <w:b w:val="0"/>
                <w:bCs w:val="0"/>
                <w:color w:val="auto"/>
                <w:sz w:val="24"/>
                <w:szCs w:val="24"/>
                <w:highlight w:val="none"/>
              </w:rPr>
              <w:t>有效期一致。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5.</w:t>
            </w:r>
            <w:r>
              <w:rPr>
                <w:rStyle w:val="27"/>
                <w:rFonts w:hint="eastAsia" w:ascii="宋体" w:hAnsi="宋体" w:eastAsia="宋体" w:cs="宋体"/>
                <w:b w:val="0"/>
                <w:bCs w:val="0"/>
                <w:color w:val="auto"/>
                <w:sz w:val="24"/>
                <w:szCs w:val="24"/>
                <w:highlight w:val="none"/>
              </w:rPr>
              <w:t>采购项目（标段）有投诉等特殊情况时，在特殊情况处理期间，暂缓退还所有</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的</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27"/>
                <w:rFonts w:hint="eastAsia" w:ascii="宋体" w:hAnsi="宋体" w:eastAsia="宋体" w:cs="宋体"/>
                <w:b w:val="0"/>
                <w:bCs w:val="0"/>
                <w:color w:val="auto"/>
                <w:sz w:val="24"/>
                <w:szCs w:val="24"/>
                <w:highlight w:val="none"/>
              </w:rPr>
            </w:pPr>
            <w:r>
              <w:rPr>
                <w:rStyle w:val="27"/>
                <w:rFonts w:hint="eastAsia" w:ascii="宋体" w:hAnsi="宋体" w:eastAsia="宋体" w:cs="宋体"/>
                <w:b w:val="0"/>
                <w:bCs w:val="0"/>
                <w:color w:val="auto"/>
                <w:sz w:val="24"/>
                <w:szCs w:val="24"/>
                <w:highlight w:val="none"/>
                <w:lang w:val="en-US" w:eastAsia="zh-CN"/>
              </w:rPr>
              <w:t>6.</w:t>
            </w:r>
            <w:r>
              <w:rPr>
                <w:rStyle w:val="27"/>
                <w:rFonts w:hint="eastAsia" w:ascii="宋体" w:hAnsi="宋体" w:eastAsia="宋体" w:cs="宋体"/>
                <w:b w:val="0"/>
                <w:bCs w:val="0"/>
                <w:color w:val="auto"/>
                <w:sz w:val="24"/>
                <w:szCs w:val="24"/>
                <w:highlight w:val="none"/>
                <w:lang w:eastAsia="zh-CN"/>
              </w:rPr>
              <w:t>投标保证金</w:t>
            </w:r>
            <w:r>
              <w:rPr>
                <w:rStyle w:val="27"/>
                <w:rFonts w:hint="eastAsia" w:ascii="宋体" w:hAnsi="宋体" w:eastAsia="宋体" w:cs="宋体"/>
                <w:b w:val="0"/>
                <w:bCs w:val="0"/>
                <w:color w:val="auto"/>
                <w:sz w:val="24"/>
                <w:szCs w:val="24"/>
                <w:highlight w:val="none"/>
              </w:rPr>
              <w:t>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（1）投标人在提交投标文件截止时间后撤回投标文件的；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（2）投标人在投标文件中提供虚假材料的；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（3）除因不可抗力或招标文件认可的情形以外，中标投标人不与采购人签订合同的；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（4）投标人与采购人、其他投标人或者采购代理机构恶意串通的；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Style w:val="27"/>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color w:val="auto"/>
                <w:sz w:val="24"/>
                <w:highlight w:val="none"/>
                <w:shd w:val="clear" w:color="auto" w:fill="auto"/>
              </w:rPr>
            </w:pPr>
            <w:r>
              <w:rPr>
                <w:rStyle w:val="27"/>
                <w:rFonts w:hint="eastAsia" w:ascii="宋体" w:hAnsi="宋体" w:eastAsia="宋体" w:cs="宋体"/>
                <w:b w:val="0"/>
                <w:bCs w:val="0"/>
                <w:color w:val="auto"/>
                <w:sz w:val="24"/>
                <w:szCs w:val="24"/>
                <w:highlight w:val="none"/>
              </w:rPr>
              <w:t>8.采用保证保险方式：</w:t>
            </w:r>
            <w:r>
              <w:rPr>
                <w:rStyle w:val="27"/>
                <w:rFonts w:hint="eastAsia" w:ascii="宋体" w:hAnsi="宋体" w:eastAsia="宋体" w:cs="宋体"/>
                <w:b w:val="0"/>
                <w:bCs w:val="0"/>
                <w:color w:val="auto"/>
                <w:sz w:val="24"/>
                <w:szCs w:val="24"/>
                <w:highlight w:val="none"/>
                <w:lang w:eastAsia="zh-CN"/>
              </w:rPr>
              <w:t>投标人</w:t>
            </w:r>
            <w:r>
              <w:rPr>
                <w:rStyle w:val="27"/>
                <w:rFonts w:hint="eastAsia" w:ascii="宋体" w:hAnsi="宋体" w:eastAsia="宋体" w:cs="宋体"/>
                <w:b w:val="0"/>
                <w:bCs w:val="0"/>
                <w:color w:val="auto"/>
                <w:sz w:val="24"/>
                <w:szCs w:val="24"/>
                <w:highlight w:val="none"/>
              </w:rPr>
              <w:t>可</w:t>
            </w:r>
            <w:r>
              <w:rPr>
                <w:rStyle w:val="27"/>
                <w:rFonts w:hint="eastAsia" w:ascii="宋体" w:hAnsi="宋体" w:eastAsia="宋体" w:cs="宋体"/>
                <w:b w:val="0"/>
                <w:bCs w:val="0"/>
                <w:color w:val="auto"/>
                <w:sz w:val="24"/>
                <w:szCs w:val="24"/>
                <w:highlight w:val="none"/>
                <w:lang w:val="en-US" w:eastAsia="zh-CN"/>
              </w:rPr>
              <w:t>将保证保险扫描件上传至投标文件中</w:t>
            </w:r>
            <w:r>
              <w:rPr>
                <w:rStyle w:val="27"/>
                <w:rFonts w:hint="eastAsia" w:ascii="宋体" w:hAnsi="宋体" w:eastAsia="宋体" w:cs="宋体"/>
                <w:b w:val="0"/>
                <w:bCs w:val="0"/>
                <w:color w:val="auto"/>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备选投标方案和报价</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不接受备选投标方案和多个报价。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投标文件的签署</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电子投标文件按照招标文件格式，采用单位数字证书电子签章、个人数字证书电子签章或电子签名：投标文件需要企业电子签章、法定代表人</w:t>
            </w:r>
            <w:r>
              <w:rPr>
                <w:rFonts w:hint="eastAsia" w:ascii="宋体" w:hAnsi="宋体" w:eastAsia="宋体" w:cs="宋体"/>
                <w:color w:val="auto"/>
                <w:sz w:val="24"/>
                <w:highlight w:val="none"/>
                <w:shd w:val="clear" w:color="auto" w:fill="FFFFFF"/>
              </w:rPr>
              <w:t>或其委托代理人</w:t>
            </w:r>
            <w:r>
              <w:rPr>
                <w:rFonts w:hint="eastAsia" w:ascii="宋体" w:hAnsi="宋体" w:eastAsia="宋体" w:cs="宋体"/>
                <w:color w:val="auto"/>
                <w:sz w:val="24"/>
                <w:highlight w:val="none"/>
              </w:rPr>
              <w:t>电子签章或电子签名。</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rPr>
              <w:t>注：在需要单位电子签章、法定代表人</w:t>
            </w:r>
            <w:r>
              <w:rPr>
                <w:rFonts w:hint="eastAsia" w:ascii="宋体" w:hAnsi="宋体" w:eastAsia="宋体" w:cs="宋体"/>
                <w:color w:val="auto"/>
                <w:sz w:val="24"/>
                <w:highlight w:val="none"/>
                <w:shd w:val="clear" w:color="auto" w:fill="FFFFFF"/>
              </w:rPr>
              <w:t>或其委托代理人</w:t>
            </w:r>
            <w:r>
              <w:rPr>
                <w:rFonts w:hint="eastAsia" w:ascii="宋体" w:hAnsi="宋体" w:eastAsia="宋体" w:cs="宋体"/>
                <w:color w:val="auto"/>
                <w:sz w:val="24"/>
                <w:highlight w:val="none"/>
              </w:rPr>
              <w:t>电子签章或电子签名的地方进行电子签章或电子签名</w:t>
            </w:r>
            <w:r>
              <w:rPr>
                <w:rFonts w:hint="eastAsia" w:ascii="宋体" w:hAnsi="宋体" w:eastAsia="宋体" w:cs="宋体"/>
                <w:color w:val="auto"/>
                <w:sz w:val="24"/>
                <w:highlight w:val="none"/>
                <w:shd w:val="clear" w:color="auto" w:fill="auto"/>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提交投标文件截止时间、开标时间和地点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1.提交投标文件截止时间、</w:t>
            </w:r>
            <w:r>
              <w:rPr>
                <w:rFonts w:hint="eastAsia" w:ascii="宋体" w:hAnsi="宋体" w:eastAsia="宋体" w:cs="宋体"/>
                <w:color w:val="auto"/>
                <w:sz w:val="24"/>
                <w:highlight w:val="yellow"/>
                <w:shd w:val="clear" w:color="auto" w:fill="auto"/>
              </w:rPr>
              <w:t>开标时间：</w:t>
            </w:r>
            <w:r>
              <w:rPr>
                <w:rFonts w:hint="eastAsia" w:ascii="宋体" w:hAnsi="宋体" w:eastAsia="宋体" w:cs="宋体"/>
                <w:color w:val="auto"/>
                <w:sz w:val="24"/>
                <w:highlight w:val="yellow"/>
                <w:u w:val="single"/>
                <w:shd w:val="clear" w:color="auto" w:fill="auto"/>
                <w:lang w:eastAsia="zh-CN"/>
              </w:rPr>
              <w:t>202</w:t>
            </w:r>
            <w:r>
              <w:rPr>
                <w:rFonts w:hint="eastAsia" w:ascii="宋体" w:hAnsi="宋体" w:cs="宋体"/>
                <w:color w:val="auto"/>
                <w:sz w:val="24"/>
                <w:highlight w:val="yellow"/>
                <w:u w:val="single"/>
                <w:shd w:val="clear" w:color="auto" w:fill="auto"/>
                <w:lang w:val="en-US" w:eastAsia="zh-CN"/>
              </w:rPr>
              <w:t>6</w:t>
            </w:r>
            <w:r>
              <w:rPr>
                <w:rFonts w:hint="eastAsia" w:ascii="宋体" w:hAnsi="宋体" w:eastAsia="宋体" w:cs="宋体"/>
                <w:color w:val="auto"/>
                <w:sz w:val="24"/>
                <w:highlight w:val="yellow"/>
                <w:u w:val="single"/>
                <w:shd w:val="clear" w:color="auto" w:fill="auto"/>
                <w:lang w:eastAsia="zh-CN"/>
              </w:rPr>
              <w:t>年</w:t>
            </w:r>
            <w:r>
              <w:rPr>
                <w:rFonts w:hint="eastAsia" w:ascii="宋体" w:hAnsi="宋体" w:cs="宋体"/>
                <w:color w:val="auto"/>
                <w:sz w:val="24"/>
                <w:highlight w:val="yellow"/>
                <w:u w:val="single"/>
                <w:shd w:val="clear" w:color="auto" w:fill="auto"/>
                <w:lang w:val="en-US" w:eastAsia="zh-CN"/>
              </w:rPr>
              <w:t>06</w:t>
            </w:r>
            <w:r>
              <w:rPr>
                <w:rFonts w:hint="eastAsia" w:ascii="宋体" w:hAnsi="宋体" w:eastAsia="宋体" w:cs="宋体"/>
                <w:color w:val="auto"/>
                <w:sz w:val="24"/>
                <w:highlight w:val="yellow"/>
                <w:u w:val="single"/>
                <w:shd w:val="clear" w:color="auto" w:fill="auto"/>
                <w:lang w:eastAsia="zh-CN"/>
              </w:rPr>
              <w:t>月</w:t>
            </w:r>
            <w:r>
              <w:rPr>
                <w:rFonts w:hint="eastAsia" w:ascii="宋体" w:hAnsi="宋体" w:cs="宋体"/>
                <w:color w:val="auto"/>
                <w:sz w:val="24"/>
                <w:highlight w:val="yellow"/>
                <w:u w:val="single"/>
                <w:shd w:val="clear" w:color="auto" w:fill="auto"/>
                <w:lang w:val="en-US" w:eastAsia="zh-CN"/>
              </w:rPr>
              <w:t xml:space="preserve"> </w:t>
            </w:r>
            <w:r>
              <w:rPr>
                <w:rFonts w:hint="eastAsia" w:ascii="宋体" w:hAnsi="宋体" w:eastAsia="宋体" w:cs="宋体"/>
                <w:color w:val="auto"/>
                <w:sz w:val="24"/>
                <w:highlight w:val="yellow"/>
                <w:u w:val="single"/>
                <w:shd w:val="clear" w:color="auto" w:fill="auto"/>
                <w:lang w:eastAsia="zh-CN"/>
              </w:rPr>
              <w:t>日</w:t>
            </w:r>
            <w:r>
              <w:rPr>
                <w:rFonts w:hint="eastAsia" w:ascii="宋体" w:hAnsi="宋体" w:eastAsia="宋体" w:cs="宋体"/>
                <w:color w:val="auto"/>
                <w:sz w:val="24"/>
                <w:highlight w:val="yellow"/>
                <w:u w:val="single"/>
                <w:shd w:val="clear" w:color="auto" w:fill="auto"/>
              </w:rPr>
              <w:t>09时00分</w:t>
            </w:r>
            <w:r>
              <w:rPr>
                <w:rFonts w:hint="eastAsia" w:ascii="宋体" w:hAnsi="宋体" w:eastAsia="宋体" w:cs="宋体"/>
                <w:color w:val="auto"/>
                <w:sz w:val="24"/>
                <w:highlight w:val="none"/>
                <w:u w:val="single"/>
                <w:shd w:val="clear" w:color="auto" w:fill="auto"/>
              </w:rPr>
              <w:t>（北京时间）。</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2.地点：</w:t>
            </w:r>
            <w:r>
              <w:rPr>
                <w:rFonts w:hint="eastAsia" w:ascii="宋体" w:hAnsi="宋体" w:eastAsia="宋体" w:cs="宋体"/>
                <w:color w:val="auto"/>
                <w:sz w:val="24"/>
                <w:highlight w:val="none"/>
                <w:u w:val="single"/>
              </w:rPr>
              <w:t>政采云平台（http：//www.zcygov.cn）</w:t>
            </w:r>
            <w:r>
              <w:rPr>
                <w:rFonts w:hint="eastAsia" w:ascii="宋体" w:hAnsi="宋体" w:eastAsia="宋体" w:cs="宋体"/>
                <w:color w:val="auto"/>
                <w:sz w:val="24"/>
                <w:highlight w:val="none"/>
                <w:u w:val="single"/>
                <w:shd w:val="clear" w:color="auto" w:fill="auto"/>
              </w:rPr>
              <w:t>。</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开标参与方式：</w:t>
            </w:r>
            <w:r>
              <w:rPr>
                <w:rFonts w:hint="eastAsia" w:ascii="宋体" w:hAnsi="宋体" w:eastAsia="宋体" w:cs="宋体"/>
                <w:b/>
                <w:bCs/>
                <w:color w:val="auto"/>
                <w:sz w:val="24"/>
                <w:highlight w:val="none"/>
                <w:shd w:val="clear" w:color="auto" w:fill="auto"/>
              </w:rPr>
              <w:t>本项目采用远程开标方式进行开标，投标人无需到达开标现场</w:t>
            </w:r>
            <w:r>
              <w:rPr>
                <w:rFonts w:hint="eastAsia" w:ascii="宋体" w:hAnsi="宋体" w:eastAsia="宋体" w:cs="宋体"/>
                <w:color w:val="auto"/>
                <w:sz w:val="24"/>
                <w:highlight w:val="none"/>
                <w:shd w:val="clear" w:color="auto" w:fill="auto"/>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vMerge w:val="restart"/>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24</w:t>
            </w:r>
          </w:p>
        </w:tc>
        <w:tc>
          <w:tcPr>
            <w:tcW w:w="2410" w:type="dxa"/>
            <w:gridSpan w:val="2"/>
            <w:vMerge w:val="restart"/>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现场开标现场解密方式</w:t>
            </w:r>
            <w:r>
              <w:rPr>
                <w:rFonts w:hint="eastAsia" w:ascii="宋体" w:hAnsi="宋体" w:eastAsia="宋体" w:cs="宋体"/>
                <w:color w:val="auto"/>
                <w:sz w:val="24"/>
                <w:highlight w:val="none"/>
                <w:shd w:val="clear" w:color="auto" w:fill="auto"/>
                <w:lang w:eastAsia="zh-CN"/>
              </w:rPr>
              <w:t>、网上递交电子投标文件</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投标人</w:t>
            </w:r>
            <w:r>
              <w:rPr>
                <w:rFonts w:hint="eastAsia" w:ascii="宋体" w:hAnsi="宋体" w:eastAsia="宋体" w:cs="宋体"/>
                <w:b/>
                <w:bCs/>
                <w:color w:val="auto"/>
                <w:sz w:val="24"/>
                <w:highlight w:val="none"/>
                <w:shd w:val="clear" w:color="auto" w:fill="auto"/>
              </w:rPr>
              <w:t>无须</w:t>
            </w:r>
            <w:r>
              <w:rPr>
                <w:rFonts w:hint="eastAsia" w:ascii="宋体" w:hAnsi="宋体" w:eastAsia="宋体" w:cs="宋体"/>
                <w:color w:val="auto"/>
                <w:sz w:val="24"/>
                <w:highlight w:val="none"/>
                <w:shd w:val="clear" w:color="auto" w:fill="auto"/>
              </w:rPr>
              <w:t>到现场开标现场解密</w:t>
            </w:r>
            <w:r>
              <w:rPr>
                <w:rFonts w:hint="eastAsia" w:ascii="宋体" w:hAnsi="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到规定解密截止时间后已解密的投标人不足三家的，按规定重新招标。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vMerge w:val="continue"/>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val="en-US" w:eastAsia="zh-CN"/>
              </w:rPr>
            </w:pPr>
          </w:p>
        </w:tc>
        <w:tc>
          <w:tcPr>
            <w:tcW w:w="2410" w:type="dxa"/>
            <w:gridSpan w:val="2"/>
            <w:vMerge w:val="continue"/>
            <w:tcBorders>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投标文件递交网址为：政采云平台（http：//www.zcygov.cn），投标人须在投标截止时间前完成所有电子投标文件的上传，网上确认电子签章或电子签名。投标截止时间前未完成投标文件传输的，视为撤回投标文件。在递交投标文件截止前，投标人可以修改或撤回已在网上递交的投标文件，无须书面形式通知采购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25</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pStyle w:val="12"/>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网上智能开标远程解密</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bCs/>
                <w:color w:val="000000"/>
                <w:sz w:val="24"/>
                <w:highlight w:val="none"/>
              </w:rPr>
              <w:t>本项目采用网上智能开标系统网上远程解密。</w:t>
            </w:r>
          </w:p>
          <w:p>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（1）采购代理机构依托电子交易平台发起开始解密指令，</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须使用加密时所用的CA锁按平台提示和</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的规定登录到“政采云”平台电子开标大厅签到，并在发起解密指令之时起</w:t>
            </w:r>
            <w:r>
              <w:rPr>
                <w:rFonts w:hint="eastAsia" w:ascii="宋体" w:hAnsi="宋体" w:eastAsia="宋体" w:cs="宋体"/>
                <w:bCs/>
                <w:color w:val="000000"/>
                <w:sz w:val="24"/>
                <w:highlight w:val="none"/>
                <w:lang w:val="en-US" w:eastAsia="zh-CN"/>
              </w:rPr>
              <w:t>6</w:t>
            </w:r>
            <w:r>
              <w:rPr>
                <w:rFonts w:hint="eastAsia" w:ascii="宋体" w:hAnsi="宋体" w:eastAsia="宋体" w:cs="宋体"/>
                <w:bCs/>
                <w:color w:val="000000"/>
                <w:sz w:val="24"/>
                <w:highlight w:val="none"/>
              </w:rPr>
              <w:t>0分钟内完成对电子</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在线解密。</w:t>
            </w:r>
          </w:p>
          <w:p>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（2）发起解密指令之时起5分钟内</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还未进行解密的，代理机构可通知</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未预留联系方式或预留联系方式无效导致代理机构无法联系到</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进行解密的，视为撤回</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w:t>
            </w:r>
          </w:p>
          <w:p>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若对本项目在线开标过程有异议</w:t>
            </w:r>
            <w:r>
              <w:rPr>
                <w:rFonts w:hint="eastAsia" w:ascii="宋体" w:hAnsi="宋体" w:eastAsia="宋体" w:cs="宋体"/>
                <w:bCs/>
                <w:color w:val="000000"/>
                <w:sz w:val="24"/>
                <w:highlight w:val="none"/>
                <w:lang w:eastAsia="zh-CN"/>
              </w:rPr>
              <w:t>的</w:t>
            </w:r>
            <w:r>
              <w:rPr>
                <w:rFonts w:hint="eastAsia" w:ascii="宋体" w:hAnsi="宋体" w:eastAsia="宋体" w:cs="宋体"/>
                <w:bCs/>
                <w:color w:val="000000"/>
                <w:sz w:val="24"/>
                <w:highlight w:val="none"/>
              </w:rPr>
              <w:t>应在开标结束指令下达前提出</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否则视为</w:t>
            </w:r>
            <w:r>
              <w:rPr>
                <w:rFonts w:hint="eastAsia" w:ascii="宋体" w:hAnsi="宋体" w:eastAsia="宋体" w:cs="宋体"/>
                <w:bCs/>
                <w:color w:val="000000"/>
                <w:sz w:val="24"/>
                <w:highlight w:val="none"/>
                <w:lang w:val="en-US" w:eastAsia="zh-CN"/>
              </w:rPr>
              <w:t>投标人</w:t>
            </w:r>
            <w:r>
              <w:rPr>
                <w:rFonts w:hint="eastAsia" w:ascii="宋体" w:hAnsi="宋体" w:eastAsia="宋体" w:cs="宋体"/>
                <w:bCs/>
                <w:color w:val="000000"/>
                <w:sz w:val="24"/>
                <w:highlight w:val="none"/>
              </w:rPr>
              <w:t>对本项目开标过程无任何异议。</w:t>
            </w:r>
          </w:p>
          <w:p>
            <w:pPr>
              <w:keepNext w:val="0"/>
              <w:keepLines w:val="0"/>
              <w:pageBreakBefore w:val="0"/>
              <w:widowControl w:val="0"/>
              <w:kinsoku/>
              <w:wordWrap/>
              <w:overflowPunct/>
              <w:topLinePunct w:val="0"/>
              <w:bidi w:val="0"/>
              <w:adjustRightInd/>
              <w:spacing w:line="360" w:lineRule="auto"/>
              <w:ind w:left="0" w:leftChars="0" w:right="0" w:rightChars="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Cs/>
                <w:color w:val="000000"/>
                <w:sz w:val="24"/>
                <w:highlight w:val="none"/>
              </w:rPr>
              <w:t>（4）因开标系统、开标现场网络、设备及其他特殊原因，导致不能正常解密</w:t>
            </w:r>
            <w:r>
              <w:rPr>
                <w:rFonts w:hint="eastAsia" w:ascii="宋体" w:hAnsi="宋体" w:eastAsia="宋体" w:cs="宋体"/>
                <w:bCs/>
                <w:color w:val="000000"/>
                <w:sz w:val="24"/>
                <w:highlight w:val="none"/>
                <w:lang w:eastAsia="zh-CN"/>
              </w:rPr>
              <w:t>投标文件</w:t>
            </w:r>
            <w:r>
              <w:rPr>
                <w:rFonts w:hint="eastAsia" w:ascii="宋体" w:hAnsi="宋体" w:eastAsia="宋体" w:cs="宋体"/>
                <w:bCs/>
                <w:color w:val="000000"/>
                <w:sz w:val="24"/>
                <w:highlight w:val="none"/>
              </w:rPr>
              <w:t>的，经核实和上报相关部门同意后，可再次下达网上解密指令来延长解密时间。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26</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pStyle w:val="12"/>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评标委员会的</w:t>
            </w:r>
          </w:p>
          <w:p>
            <w:pPr>
              <w:pStyle w:val="12"/>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组建</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评标委员会构成：由采购人代表和评审专家组成，成员人数为</w:t>
            </w: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rPr>
              <w:t>人及以上单数，其中评审专家不得少于成员总数的三分之二。</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评标专家确定方式：在政府采购评审专家库中随机抽取。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27</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是否授权评标委员会确定中标人</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是</w:t>
            </w:r>
          </w:p>
          <w:p>
            <w:pPr>
              <w:keepNext w:val="0"/>
              <w:keepLines w:val="0"/>
              <w:pageBreakBefore w:val="0"/>
              <w:widowControl w:val="0"/>
              <w:kinsoku/>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否，推荐中标候选人。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28</w:t>
            </w:r>
          </w:p>
        </w:tc>
        <w:tc>
          <w:tcPr>
            <w:tcW w:w="2410" w:type="dxa"/>
            <w:gridSpan w:val="2"/>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中标服务费</w:t>
            </w:r>
          </w:p>
        </w:tc>
        <w:tc>
          <w:tcPr>
            <w:tcW w:w="7252" w:type="dxa"/>
            <w:tcBorders>
              <w:top w:val="single" w:color="000000" w:sz="6" w:space="0"/>
              <w:left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（1）金额：</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28607.00</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其中：1包：14300.00元；2包：14307.00元</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（2）缴纳方式：可用现金、</w:t>
            </w:r>
            <w:r>
              <w:rPr>
                <w:rFonts w:hint="eastAsia" w:ascii="宋体" w:hAnsi="宋体" w:cs="宋体"/>
                <w:b w:val="0"/>
                <w:bCs w:val="0"/>
                <w:color w:val="auto"/>
                <w:sz w:val="24"/>
                <w:szCs w:val="24"/>
                <w:highlight w:val="none"/>
                <w:lang w:val="en-US" w:eastAsia="zh-CN"/>
              </w:rPr>
              <w:t>微信、</w:t>
            </w:r>
            <w:r>
              <w:rPr>
                <w:rFonts w:hint="eastAsia" w:ascii="宋体" w:hAnsi="宋体" w:eastAsia="宋体" w:cs="宋体"/>
                <w:b w:val="0"/>
                <w:bCs w:val="0"/>
                <w:color w:val="auto"/>
                <w:sz w:val="24"/>
                <w:szCs w:val="24"/>
                <w:highlight w:val="none"/>
                <w:lang w:val="en-US" w:eastAsia="zh-CN"/>
              </w:rPr>
              <w:t>银行转账或电汇的付款方式。</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缴纳账户信息：</w:t>
            </w:r>
          </w:p>
          <w:p>
            <w:pPr>
              <w:pageBreakBefore w:val="0"/>
              <w:kinsoku/>
              <w:overflowPunct/>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账户名称：</w:t>
            </w:r>
            <w:r>
              <w:rPr>
                <w:rFonts w:hint="eastAsia" w:ascii="宋体" w:hAnsi="宋体" w:eastAsia="宋体" w:cs="宋体"/>
                <w:b/>
                <w:bCs/>
                <w:sz w:val="24"/>
                <w:szCs w:val="24"/>
                <w:lang w:eastAsia="zh-CN"/>
              </w:rPr>
              <w:t>云南上资咨询有限公司</w:t>
            </w:r>
            <w:r>
              <w:rPr>
                <w:rFonts w:hint="eastAsia" w:ascii="宋体" w:hAnsi="宋体" w:eastAsia="宋体" w:cs="宋体"/>
                <w:b/>
                <w:bCs/>
                <w:sz w:val="24"/>
                <w:szCs w:val="24"/>
              </w:rPr>
              <w:t>玉溪分公司</w:t>
            </w:r>
          </w:p>
          <w:p>
            <w:pPr>
              <w:pageBreakBefore w:val="0"/>
              <w:kinsoku/>
              <w:overflowPunct/>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开户行：</w:t>
            </w:r>
            <w:r>
              <w:rPr>
                <w:rFonts w:hint="eastAsia" w:ascii="宋体" w:hAnsi="宋体" w:eastAsia="宋体" w:cs="宋体"/>
                <w:b/>
                <w:bCs/>
                <w:sz w:val="24"/>
                <w:szCs w:val="24"/>
                <w:lang w:val="en-US" w:eastAsia="zh-CN"/>
              </w:rPr>
              <w:t>中国建设银行股份有限公司玉溪大营街支行</w:t>
            </w:r>
          </w:p>
          <w:p>
            <w:pPr>
              <w:pageBreakBefore w:val="0"/>
              <w:kinsoku/>
              <w:overflowPunct/>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账号：</w:t>
            </w:r>
            <w:r>
              <w:rPr>
                <w:rFonts w:hint="eastAsia" w:ascii="宋体" w:hAnsi="宋体" w:eastAsia="宋体" w:cs="宋体"/>
                <w:b/>
                <w:bCs/>
                <w:sz w:val="24"/>
                <w:szCs w:val="24"/>
                <w:lang w:val="en-US" w:eastAsia="zh-CN"/>
              </w:rPr>
              <w:t>53050165614900000525</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b w:val="0"/>
                <w:bCs w:val="0"/>
                <w:color w:val="auto"/>
                <w:sz w:val="24"/>
                <w:szCs w:val="24"/>
                <w:highlight w:val="none"/>
                <w:lang w:val="en-US" w:eastAsia="zh-CN"/>
              </w:rPr>
              <w:t>（3）中标人在领取《中标通知书》前应向采购代理机构缴纳中标服务费。如采用电汇或银行转账，须同时递交中标服务费缴费凭证复印件</w:t>
            </w:r>
            <w:r>
              <w:rPr>
                <w:rFonts w:hint="eastAsia" w:ascii="宋体" w:hAnsi="宋体" w:eastAsia="宋体" w:cs="宋体"/>
                <w:b w:val="0"/>
                <w:bCs w:val="0"/>
                <w:color w:val="auto"/>
                <w:sz w:val="24"/>
                <w:highlight w:val="none"/>
                <w:shd w:val="clear" w:color="auto" w:fill="auto"/>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bottom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29</w:t>
            </w:r>
          </w:p>
        </w:tc>
        <w:tc>
          <w:tcPr>
            <w:tcW w:w="9662" w:type="dxa"/>
            <w:gridSpan w:val="3"/>
            <w:tcBorders>
              <w:top w:val="single" w:color="000000" w:sz="6" w:space="0"/>
              <w:left w:val="single" w:color="000000" w:sz="6" w:space="0"/>
              <w:bottom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落实的政府采购政策：</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一、按政府采购政策规定扶持小微企业、监狱企业和残疾人福利性单位。</w:t>
            </w:r>
          </w:p>
          <w:p>
            <w:pPr>
              <w:keepNext w:val="0"/>
              <w:keepLines w:val="0"/>
              <w:pageBreakBefore w:val="0"/>
              <w:widowControl w:val="0"/>
              <w:kinsoku/>
              <w:wordWrap/>
              <w:overflowPunct/>
              <w:topLinePunct w:val="0"/>
              <w:bidi w:val="0"/>
              <w:spacing w:line="360" w:lineRule="auto"/>
              <w:ind w:left="0" w:leftChars="0" w:right="0" w:rightChars="0" w:firstLine="236" w:firstLineChars="98"/>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（1）小微企业价格扣除</w:t>
            </w:r>
          </w:p>
          <w:p>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color w:val="auto"/>
                <w:sz w:val="24"/>
                <w:highlight w:val="none"/>
                <w:shd w:val="clear" w:color="auto" w:fill="auto"/>
              </w:rPr>
              <w:t>A.为促进中小企业发展，根据《政府采购促进中小企业发展管理办法》（财库〔2020〕46号）和《关于进一步加大政府采购支持中小企业力度的通知》（财库〔2022〕19号）的规定，</w:t>
            </w:r>
            <w:r>
              <w:rPr>
                <w:rFonts w:hint="eastAsia" w:ascii="宋体" w:hAnsi="宋体" w:eastAsia="宋体" w:cs="宋体"/>
                <w:b/>
                <w:bCs/>
                <w:color w:val="auto"/>
                <w:sz w:val="24"/>
                <w:highlight w:val="none"/>
                <w:shd w:val="clear" w:color="auto" w:fill="auto"/>
              </w:rPr>
              <w:t>本次招标将对符合要求小型和微型企业产品的价格给予10%的扣除，用扣除后的价格参与评审。</w:t>
            </w:r>
          </w:p>
          <w:p>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B.招标文件所称小微企业（含小型、微型企业，下同）应当同时符合以下条件，方可在评审中给予10%的扣除：</w:t>
            </w:r>
          </w:p>
          <w:p>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①符合小微企业划分标准；</w:t>
            </w:r>
          </w:p>
          <w:p>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color w:val="auto"/>
                <w:sz w:val="24"/>
                <w:highlight w:val="none"/>
                <w:shd w:val="clear" w:color="auto" w:fill="auto"/>
              </w:rPr>
              <w:t>②货物由小微企业制造，即货物由小微企业生产且使用该小微企业商号或者注册商标；</w:t>
            </w:r>
          </w:p>
          <w:p>
            <w:pPr>
              <w:keepNext w:val="0"/>
              <w:keepLines w:val="0"/>
              <w:pageBreakBefore w:val="0"/>
              <w:widowControl w:val="0"/>
              <w:kinsoku/>
              <w:wordWrap/>
              <w:overflowPunct/>
              <w:topLinePunct w:val="0"/>
              <w:bidi w:val="0"/>
              <w:spacing w:line="360" w:lineRule="auto"/>
              <w:ind w:left="0" w:leftChars="0" w:right="0" w:rightChars="0" w:firstLine="360" w:firstLineChars="15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③提供中小企业声明函（声明函格式附后）；</w:t>
            </w:r>
          </w:p>
          <w:p>
            <w:pPr>
              <w:keepNext w:val="0"/>
              <w:keepLines w:val="0"/>
              <w:pageBreakBefore w:val="0"/>
              <w:widowControl w:val="0"/>
              <w:kinsoku/>
              <w:wordWrap/>
              <w:overflowPunct/>
              <w:topLinePunct w:val="0"/>
              <w:bidi w:val="0"/>
              <w:spacing w:line="360" w:lineRule="auto"/>
              <w:ind w:left="0" w:leftChars="0" w:right="0" w:rightChars="0" w:firstLine="360" w:firstLineChars="15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color w:val="auto"/>
                <w:sz w:val="24"/>
                <w:highlight w:val="none"/>
                <w:shd w:val="clear" w:color="auto" w:fill="auto"/>
              </w:rPr>
              <w:t>④投标人在货物采购项目中，投标人为中小企业，但所提供的货物为大型企业制造的，即货物由大型企业生产且使用大型企业商号或者注册商标的。不享受《办法》规定的中小企业扶持政策。投标人提供的货物既有中型企业制造，也有小微企业制造的，不享受《办法》规定的小微企业扶持政策。</w:t>
            </w:r>
          </w:p>
          <w:p>
            <w:pPr>
              <w:keepNext w:val="0"/>
              <w:keepLines w:val="0"/>
              <w:pageBreakBefore w:val="0"/>
              <w:widowControl w:val="0"/>
              <w:kinsoku/>
              <w:wordWrap/>
              <w:overflowPunct/>
              <w:topLinePunct w:val="0"/>
              <w:bidi w:val="0"/>
              <w:spacing w:line="360" w:lineRule="auto"/>
              <w:ind w:left="0" w:leftChars="0" w:right="0" w:rightChars="0" w:firstLine="48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C.根据</w:t>
            </w:r>
            <w:r>
              <w:rPr>
                <w:rFonts w:hint="eastAsia" w:ascii="宋体" w:hAnsi="宋体" w:eastAsia="宋体" w:cs="宋体"/>
                <w:color w:val="auto"/>
                <w:sz w:val="24"/>
                <w:highlight w:val="none"/>
                <w:shd w:val="clear" w:color="auto" w:fill="auto"/>
              </w:rPr>
              <w:fldChar w:fldCharType="begin"/>
            </w:r>
            <w:r>
              <w:rPr>
                <w:rFonts w:hint="eastAsia" w:ascii="宋体" w:hAnsi="宋体" w:eastAsia="宋体" w:cs="宋体"/>
                <w:color w:val="auto"/>
                <w:sz w:val="24"/>
                <w:highlight w:val="none"/>
                <w:shd w:val="clear" w:color="auto" w:fill="auto"/>
              </w:rPr>
              <w:instrText xml:space="preserve">HYPERLINK "../Documents/WeChat Files/wenjingxu520/FileStorage/Administrator/Documents/WeChat Files/fm46501730/FileStorage/Documents/WeChat Files/wxid_6rde7bcxmmt022/FileStorage/File/法律文件/政采/中小企业划分标准--工信部联企业%5b2011%5d300号.doc"</w:instrText>
            </w:r>
            <w:r>
              <w:rPr>
                <w:rFonts w:hint="eastAsia" w:ascii="宋体" w:hAnsi="宋体" w:eastAsia="宋体" w:cs="宋体"/>
                <w:color w:val="auto"/>
                <w:sz w:val="24"/>
                <w:highlight w:val="none"/>
                <w:shd w:val="clear" w:color="auto" w:fill="auto"/>
              </w:rPr>
              <w:fldChar w:fldCharType="separate"/>
            </w:r>
            <w:r>
              <w:rPr>
                <w:rStyle w:val="26"/>
                <w:rFonts w:hint="eastAsia" w:ascii="宋体" w:hAnsi="宋体" w:eastAsia="宋体" w:cs="宋体"/>
                <w:color w:val="auto"/>
                <w:highlight w:val="none"/>
                <w:shd w:val="clear" w:color="auto" w:fill="auto"/>
              </w:rPr>
              <w:t>《工业和信息化部、国家统计局、国家发展和改革委员会、财政部关于印发中小企业划分标准规定的通知》（工信部联企业[2011]300号）</w:t>
            </w:r>
            <w:r>
              <w:rPr>
                <w:rFonts w:hint="eastAsia" w:ascii="宋体" w:hAnsi="宋体" w:eastAsia="宋体" w:cs="宋体"/>
                <w:color w:val="auto"/>
                <w:sz w:val="24"/>
                <w:highlight w:val="none"/>
                <w:shd w:val="clear" w:color="auto" w:fill="auto"/>
              </w:rPr>
              <w:fldChar w:fldCharType="end"/>
            </w:r>
            <w:r>
              <w:rPr>
                <w:rFonts w:hint="eastAsia" w:ascii="宋体" w:hAnsi="宋体" w:eastAsia="宋体" w:cs="宋体"/>
                <w:color w:val="auto"/>
                <w:sz w:val="24"/>
                <w:highlight w:val="none"/>
                <w:shd w:val="clear" w:color="auto" w:fill="auto"/>
              </w:rPr>
              <w:t>规定的标准划分，本项目具体划分标准如下：</w:t>
            </w:r>
          </w:p>
          <w:p>
            <w:pPr>
              <w:keepNext w:val="0"/>
              <w:keepLines w:val="0"/>
              <w:pageBreakBefore w:val="0"/>
              <w:widowControl w:val="0"/>
              <w:kinsoku/>
              <w:wordWrap/>
              <w:overflowPunct/>
              <w:topLinePunct w:val="0"/>
              <w:bidi w:val="0"/>
              <w:spacing w:line="360" w:lineRule="auto"/>
              <w:ind w:left="0" w:leftChars="0" w:right="0" w:rightChars="0" w:firstLine="48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①本项目</w:t>
            </w:r>
            <w:r>
              <w:rPr>
                <w:rFonts w:hint="eastAsia" w:ascii="宋体" w:hAnsi="宋体" w:eastAsia="宋体" w:cs="宋体"/>
                <w:bCs/>
                <w:color w:val="auto"/>
                <w:sz w:val="24"/>
                <w:highlight w:val="none"/>
                <w:shd w:val="clear" w:color="auto" w:fill="auto"/>
              </w:rPr>
              <w:t>适用于</w:t>
            </w:r>
            <w:r>
              <w:rPr>
                <w:rFonts w:hint="eastAsia" w:ascii="宋体" w:hAnsi="宋体" w:eastAsia="宋体" w:cs="宋体"/>
                <w:b/>
                <w:bCs/>
                <w:color w:val="auto"/>
                <w:sz w:val="24"/>
                <w:highlight w:val="none"/>
                <w:u w:val="single"/>
                <w:shd w:val="clear" w:color="auto" w:fill="auto"/>
              </w:rPr>
              <w:t>工业中的（制造业）</w:t>
            </w:r>
            <w:r>
              <w:rPr>
                <w:rFonts w:hint="eastAsia" w:ascii="宋体" w:hAnsi="宋体" w:eastAsia="宋体" w:cs="宋体"/>
                <w:bCs/>
                <w:color w:val="auto"/>
                <w:sz w:val="24"/>
                <w:highlight w:val="none"/>
                <w:shd w:val="clear" w:color="auto" w:fill="auto"/>
              </w:rPr>
              <w:t>划分标准</w:t>
            </w:r>
            <w:r>
              <w:rPr>
                <w:rFonts w:hint="eastAsia" w:ascii="宋体" w:hAnsi="宋体" w:eastAsia="宋体" w:cs="宋体"/>
                <w:color w:val="auto"/>
                <w:sz w:val="24"/>
                <w:highlight w:val="none"/>
                <w:shd w:val="clear" w:color="auto" w:fill="auto"/>
              </w:rPr>
              <w:t>：</w:t>
            </w:r>
            <w:r>
              <w:rPr>
                <w:rFonts w:hint="eastAsia" w:ascii="宋体" w:hAnsi="宋体" w:eastAsia="宋体" w:cs="宋体"/>
                <w:b/>
                <w:bCs/>
                <w:color w:val="auto"/>
                <w:sz w:val="24"/>
                <w:highlight w:val="none"/>
                <w:shd w:val="clear" w:color="auto" w:fill="auto"/>
              </w:rPr>
              <w:t>“</w:t>
            </w:r>
            <w:r>
              <w:rPr>
                <w:rFonts w:hint="eastAsia" w:ascii="宋体" w:hAnsi="宋体" w:eastAsia="宋体" w:cs="宋体"/>
                <w:b/>
                <w:bCs/>
                <w:color w:val="auto"/>
                <w:sz w:val="24"/>
                <w:highlight w:val="none"/>
                <w:u w:val="single"/>
                <w:shd w:val="clear" w:color="auto" w:fil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bCs/>
                <w:color w:val="auto"/>
                <w:sz w:val="24"/>
                <w:highlight w:val="none"/>
                <w:shd w:val="clear" w:color="auto" w:fill="auto"/>
              </w:rPr>
              <w:t>”。</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格式：</w:t>
            </w:r>
          </w:p>
          <w:p>
            <w:pPr>
              <w:keepNext w:val="0"/>
              <w:keepLines w:val="0"/>
              <w:pageBreakBefore w:val="0"/>
              <w:widowControl w:val="0"/>
              <w:tabs>
                <w:tab w:val="left" w:pos="426"/>
              </w:tabs>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8"/>
                <w:szCs w:val="28"/>
                <w:highlight w:val="none"/>
                <w:shd w:val="clear" w:color="auto" w:fill="auto"/>
              </w:rPr>
              <w:t>中小企业声明函</w:t>
            </w: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货物</w:t>
            </w:r>
            <w:r>
              <w:rPr>
                <w:rFonts w:hint="eastAsia" w:ascii="宋体" w:hAnsi="宋体" w:eastAsia="宋体" w:cs="宋体"/>
                <w:b/>
                <w:color w:val="auto"/>
                <w:sz w:val="28"/>
                <w:szCs w:val="28"/>
                <w:highlight w:val="none"/>
                <w:shd w:val="clear" w:color="auto" w:fill="auto"/>
                <w:lang w:eastAsia="zh-CN"/>
              </w:rPr>
              <w:t>）</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本公司郑重声明，根据《政府采购促进中小企业发展管理办法》（财库﹝2020﹞46 号）的规定，本公司参加</w:t>
            </w:r>
            <w:r>
              <w:rPr>
                <w:rFonts w:hint="eastAsia" w:ascii="宋体" w:hAnsi="宋体" w:eastAsia="宋体" w:cs="宋体"/>
                <w:bCs/>
                <w:color w:val="auto"/>
                <w:sz w:val="24"/>
                <w:highlight w:val="none"/>
                <w:u w:val="single"/>
                <w:shd w:val="clear" w:color="auto" w:fill="auto"/>
              </w:rPr>
              <w:t>（采购人名称）</w:t>
            </w:r>
            <w:r>
              <w:rPr>
                <w:rFonts w:hint="eastAsia" w:ascii="宋体" w:hAnsi="宋体" w:eastAsia="宋体" w:cs="宋体"/>
                <w:bCs/>
                <w:color w:val="auto"/>
                <w:sz w:val="24"/>
                <w:highlight w:val="none"/>
                <w:shd w:val="clear" w:color="auto" w:fill="auto"/>
              </w:rPr>
              <w:t>的</w:t>
            </w:r>
            <w:r>
              <w:rPr>
                <w:rFonts w:hint="eastAsia" w:ascii="宋体" w:hAnsi="宋体" w:eastAsia="宋体" w:cs="宋体"/>
                <w:bCs/>
                <w:color w:val="auto"/>
                <w:sz w:val="24"/>
                <w:highlight w:val="none"/>
                <w:u w:val="single"/>
                <w:shd w:val="clear" w:color="auto" w:fill="auto"/>
              </w:rPr>
              <w:t>（项目名称）</w:t>
            </w:r>
            <w:r>
              <w:rPr>
                <w:rFonts w:hint="eastAsia" w:ascii="宋体" w:hAnsi="宋体" w:eastAsia="宋体" w:cs="宋体"/>
                <w:bCs/>
                <w:color w:val="auto"/>
                <w:sz w:val="24"/>
                <w:highlight w:val="none"/>
                <w:shd w:val="clear" w:color="auto" w:fill="auto"/>
              </w:rPr>
              <w:t>采购活动，提供的货物全部由符合政策要求的中小企业制造。相关企业具体情况如下：</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shd w:val="clear" w:color="auto" w:fill="auto"/>
              </w:rPr>
              <w:t>；</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 xml:space="preserve"> 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shd w:val="clear" w:color="auto" w:fill="auto"/>
              </w:rPr>
              <w:t xml:space="preserve">； </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以上企业，不属于大企业的分支构，不存在控股股东为大企业的情形，也不存在与大企业的负责人为同一人的情形。 </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本企业对上述声明内容的真实性负责。如有虚假，将依法承担相应责任。</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p>
          <w:p>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企业名称（盖章）： </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注：①从业人员、营业收入、资产总额填报上一年度数据，无上一年度数据的新成立企业可不填报。</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②上述“企业名称（盖章）”指投标人。</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pPr>
              <w:keepNext w:val="0"/>
              <w:keepLines w:val="0"/>
              <w:pageBreakBefore w:val="0"/>
              <w:widowControl w:val="0"/>
              <w:kinsoku/>
              <w:wordWrap/>
              <w:overflowPunct/>
              <w:topLinePunct w:val="0"/>
              <w:bidi w:val="0"/>
              <w:spacing w:line="360" w:lineRule="auto"/>
              <w:ind w:right="0" w:rightChars="0" w:firstLine="482" w:firstLineChars="200"/>
              <w:textAlignment w:val="auto"/>
              <w:outlineLvl w:val="9"/>
              <w:rPr>
                <w:rFonts w:hint="eastAsia" w:ascii="宋体" w:hAnsi="宋体" w:eastAsia="宋体" w:cs="宋体"/>
                <w:color w:val="auto"/>
                <w:sz w:val="24"/>
                <w:highlight w:val="none"/>
                <w:u w:val="single"/>
                <w:shd w:val="clear" w:color="auto" w:fill="auto"/>
              </w:rPr>
            </w:pPr>
            <w:r>
              <w:rPr>
                <w:rFonts w:hint="eastAsia" w:ascii="宋体" w:hAnsi="宋体" w:eastAsia="宋体" w:cs="宋体"/>
                <w:b/>
                <w:color w:val="auto"/>
                <w:kern w:val="0"/>
                <w:sz w:val="24"/>
                <w:highlight w:val="none"/>
                <w:shd w:val="clear" w:color="auto" w:fill="auto"/>
                <w:lang w:bidi="en-US"/>
              </w:rPr>
              <w:t>（2）</w:t>
            </w:r>
            <w:r>
              <w:rPr>
                <w:rFonts w:hint="eastAsia" w:ascii="宋体" w:hAnsi="宋体" w:eastAsia="宋体" w:cs="宋体"/>
                <w:b/>
                <w:color w:val="auto"/>
                <w:sz w:val="24"/>
                <w:highlight w:val="none"/>
                <w:shd w:val="clear" w:color="auto" w:fill="auto"/>
              </w:rPr>
              <w:t>根据财政部、司法部关于政府采购支持监狱企业发展有关问题的通知（财库[2014]68号），监狱企业视同小型、微型企业，享受小型、微型企业评审中价格扣除的政府采购政策；</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pacing w:val="6"/>
                <w:sz w:val="24"/>
                <w:highlight w:val="none"/>
                <w:shd w:val="clear" w:color="auto" w:fill="auto"/>
              </w:rPr>
            </w:pPr>
            <w:r>
              <w:rPr>
                <w:rFonts w:hint="eastAsia" w:ascii="宋体" w:hAnsi="宋体" w:eastAsia="宋体" w:cs="宋体"/>
                <w:b/>
                <w:color w:val="auto"/>
                <w:spacing w:val="6"/>
                <w:sz w:val="24"/>
                <w:highlight w:val="none"/>
                <w:shd w:val="clear" w:color="auto" w:fill="auto"/>
              </w:rPr>
              <w:t>监狱企业证明文件</w:t>
            </w:r>
          </w:p>
          <w:p>
            <w:pPr>
              <w:keepNext w:val="0"/>
              <w:keepLines w:val="0"/>
              <w:pageBreakBefore w:val="0"/>
              <w:widowControl w:val="0"/>
              <w:kinsoku/>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bidi w:val="0"/>
              <w:spacing w:line="360" w:lineRule="auto"/>
              <w:ind w:left="0" w:leftChars="0" w:right="0" w:rightChars="0" w:firstLine="360" w:firstLineChars="15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pacing w:val="6"/>
                <w:sz w:val="24"/>
                <w:highlight w:val="none"/>
                <w:shd w:val="clear" w:color="auto" w:fill="auto"/>
              </w:rPr>
              <w:t>（注：不属于的无需提供）</w:t>
            </w:r>
          </w:p>
          <w:p>
            <w:pPr>
              <w:keepNext w:val="0"/>
              <w:keepLines w:val="0"/>
              <w:pageBreakBefore w:val="0"/>
              <w:widowControl w:val="0"/>
              <w:kinsoku/>
              <w:wordWrap/>
              <w:overflowPunct/>
              <w:topLinePunct w:val="0"/>
              <w:bidi w:val="0"/>
              <w:spacing w:line="360" w:lineRule="auto"/>
              <w:ind w:left="0" w:leftChars="0" w:right="0" w:rightChars="0" w:firstLine="472" w:firstLineChars="196"/>
              <w:textAlignment w:val="auto"/>
              <w:outlineLvl w:val="9"/>
              <w:rPr>
                <w:rFonts w:hint="eastAsia" w:ascii="宋体" w:hAnsi="宋体" w:eastAsia="宋体" w:cs="宋体"/>
                <w:b/>
                <w:color w:val="auto"/>
                <w:kern w:val="0"/>
                <w:sz w:val="24"/>
                <w:highlight w:val="none"/>
                <w:shd w:val="clear" w:color="auto" w:fill="auto"/>
                <w:lang w:bidi="en-US"/>
              </w:rPr>
            </w:pPr>
          </w:p>
          <w:p>
            <w:pPr>
              <w:keepNext w:val="0"/>
              <w:keepLines w:val="0"/>
              <w:pageBreakBefore w:val="0"/>
              <w:widowControl w:val="0"/>
              <w:kinsoku/>
              <w:wordWrap/>
              <w:overflowPunct/>
              <w:topLinePunct w:val="0"/>
              <w:bidi w:val="0"/>
              <w:spacing w:line="360" w:lineRule="auto"/>
              <w:ind w:left="0" w:leftChars="0" w:right="0" w:rightChars="0" w:firstLine="472" w:firstLineChars="196"/>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color w:val="auto"/>
                <w:kern w:val="0"/>
                <w:sz w:val="24"/>
                <w:highlight w:val="none"/>
                <w:shd w:val="clear" w:color="auto" w:fill="auto"/>
                <w:lang w:bidi="en-US"/>
              </w:rPr>
              <w:t>（3）</w:t>
            </w:r>
            <w:r>
              <w:rPr>
                <w:rFonts w:hint="eastAsia" w:ascii="宋体" w:hAnsi="宋体" w:eastAsia="宋体" w:cs="宋体"/>
                <w:b/>
                <w:bCs/>
                <w:color w:val="auto"/>
                <w:sz w:val="24"/>
                <w:highlight w:val="none"/>
                <w:shd w:val="clear" w:color="auto" w:fill="auto"/>
              </w:rPr>
              <w:t>根据《三部门联合发布关于促进残疾人就业政府采购政策的通知》（财库〔2017〕141号）残疾人福利性单位视同小型、微型企业，享受预留份额、评审中价格扣除等促进中小企业发展的政府采购政策。</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pacing w:val="6"/>
                <w:sz w:val="24"/>
                <w:highlight w:val="none"/>
                <w:shd w:val="clear" w:color="auto" w:fill="auto"/>
              </w:rPr>
            </w:pPr>
            <w:r>
              <w:rPr>
                <w:rFonts w:hint="eastAsia" w:ascii="宋体" w:hAnsi="宋体" w:eastAsia="宋体" w:cs="宋体"/>
                <w:b/>
                <w:color w:val="auto"/>
                <w:spacing w:val="6"/>
                <w:sz w:val="24"/>
                <w:highlight w:val="none"/>
                <w:shd w:val="clear" w:color="auto" w:fill="auto"/>
              </w:rPr>
              <w:t>残疾人福利性单位声明函</w:t>
            </w:r>
          </w:p>
          <w:p>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 w:val="24"/>
                <w:highlight w:val="none"/>
                <w:u w:val="single"/>
                <w:shd w:val="clear" w:color="auto" w:fill="auto"/>
              </w:rPr>
              <w:t xml:space="preserve">   （采购人名称）</w:t>
            </w:r>
            <w:r>
              <w:rPr>
                <w:rFonts w:hint="eastAsia" w:ascii="宋体" w:hAnsi="宋体" w:eastAsia="宋体" w:cs="宋体"/>
                <w:bCs/>
                <w:color w:val="auto"/>
                <w:sz w:val="24"/>
                <w:highlight w:val="none"/>
                <w:shd w:val="clear" w:color="auto" w:fill="auto"/>
              </w:rPr>
              <w:t>单位的</w:t>
            </w:r>
            <w:r>
              <w:rPr>
                <w:rFonts w:hint="eastAsia" w:ascii="宋体" w:hAnsi="宋体" w:eastAsia="宋体" w:cs="宋体"/>
                <w:bCs/>
                <w:color w:val="auto"/>
                <w:sz w:val="24"/>
                <w:highlight w:val="none"/>
                <w:u w:val="single"/>
                <w:shd w:val="clear" w:color="auto" w:fill="auto"/>
              </w:rPr>
              <w:t xml:space="preserve">     （项目名称）</w:t>
            </w:r>
            <w:r>
              <w:rPr>
                <w:rFonts w:hint="eastAsia" w:ascii="宋体" w:hAnsi="宋体" w:eastAsia="宋体" w:cs="宋体"/>
                <w:bCs/>
                <w:color w:val="auto"/>
                <w:sz w:val="24"/>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本单位对上述声明的真实性负责。如有虚假，将依法承担相应责任。</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单位名称（盖章）： </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 xml:space="preserve"> </w:t>
            </w:r>
            <w:r>
              <w:rPr>
                <w:rFonts w:hint="eastAsia" w:ascii="宋体" w:hAnsi="宋体" w:cs="宋体"/>
                <w:b/>
                <w:bCs/>
                <w:color w:val="auto"/>
                <w:sz w:val="24"/>
                <w:highlight w:val="none"/>
                <w:shd w:val="clear" w:color="auto" w:fill="auto"/>
                <w:lang w:val="en-US" w:eastAsia="zh-CN"/>
              </w:rPr>
              <w:t xml:space="preserve">  </w:t>
            </w:r>
            <w:r>
              <w:rPr>
                <w:rFonts w:hint="eastAsia" w:ascii="宋体" w:hAnsi="宋体" w:eastAsia="宋体" w:cs="宋体"/>
                <w:b/>
                <w:bCs/>
                <w:color w:val="auto"/>
                <w:sz w:val="24"/>
                <w:highlight w:val="none"/>
                <w:shd w:val="clear" w:color="auto" w:fill="auto"/>
              </w:rPr>
              <w:t>注：</w:t>
            </w:r>
            <w:r>
              <w:rPr>
                <w:rFonts w:hint="eastAsia" w:ascii="宋体" w:hAnsi="宋体" w:eastAsia="宋体" w:cs="宋体"/>
                <w:b/>
                <w:bCs/>
                <w:color w:val="auto"/>
                <w:sz w:val="24"/>
                <w:highlight w:val="none"/>
                <w:shd w:val="clear" w:color="auto" w:fill="auto"/>
              </w:rPr>
              <w:fldChar w:fldCharType="begin"/>
            </w:r>
            <w:r>
              <w:rPr>
                <w:rFonts w:hint="eastAsia" w:ascii="宋体" w:hAnsi="宋体" w:eastAsia="宋体" w:cs="宋体"/>
                <w:b/>
                <w:bCs/>
                <w:color w:val="auto"/>
                <w:sz w:val="24"/>
                <w:highlight w:val="none"/>
                <w:shd w:val="clear" w:color="auto" w:fill="auto"/>
              </w:rPr>
              <w:instrText xml:space="preserve"> = 1 \* GB3 </w:instrText>
            </w:r>
            <w:r>
              <w:rPr>
                <w:rFonts w:hint="eastAsia" w:ascii="宋体" w:hAnsi="宋体" w:eastAsia="宋体" w:cs="宋体"/>
                <w:b/>
                <w:bCs/>
                <w:color w:val="auto"/>
                <w:sz w:val="24"/>
                <w:highlight w:val="none"/>
                <w:shd w:val="clear" w:color="auto" w:fill="auto"/>
              </w:rPr>
              <w:fldChar w:fldCharType="separate"/>
            </w:r>
            <w:r>
              <w:rPr>
                <w:rFonts w:hint="eastAsia" w:ascii="宋体" w:hAnsi="宋体" w:eastAsia="宋体" w:cs="宋体"/>
                <w:b/>
                <w:bCs/>
                <w:color w:val="auto"/>
                <w:sz w:val="24"/>
                <w:highlight w:val="none"/>
                <w:shd w:val="clear" w:color="auto" w:fill="auto"/>
              </w:rPr>
              <w:t>①</w:t>
            </w:r>
            <w:r>
              <w:rPr>
                <w:rFonts w:hint="eastAsia" w:ascii="宋体" w:hAnsi="宋体" w:eastAsia="宋体" w:cs="宋体"/>
                <w:b/>
                <w:bCs/>
                <w:color w:val="auto"/>
                <w:sz w:val="24"/>
                <w:highlight w:val="none"/>
                <w:shd w:val="clear" w:color="auto" w:fill="auto"/>
              </w:rPr>
              <w:fldChar w:fldCharType="end"/>
            </w:r>
            <w:r>
              <w:rPr>
                <w:rFonts w:hint="eastAsia" w:ascii="宋体" w:hAnsi="宋体" w:eastAsia="宋体" w:cs="宋体"/>
                <w:b/>
                <w:bCs/>
                <w:color w:val="auto"/>
                <w:sz w:val="24"/>
                <w:highlight w:val="none"/>
                <w:shd w:val="clear" w:color="auto" w:fill="auto"/>
              </w:rPr>
              <w:t>小型、微型企业、监狱企业、残疾人福利性单位，不重复享受评审中价格扣除的政府采购政策。</w:t>
            </w:r>
            <w:r>
              <w:rPr>
                <w:rFonts w:hint="eastAsia" w:ascii="宋体" w:hAnsi="宋体" w:eastAsia="宋体" w:cs="宋体"/>
                <w:b/>
                <w:bCs/>
                <w:color w:val="auto"/>
                <w:sz w:val="24"/>
                <w:highlight w:val="none"/>
                <w:shd w:val="clear" w:color="auto" w:fill="auto"/>
              </w:rPr>
              <w:fldChar w:fldCharType="begin"/>
            </w:r>
            <w:r>
              <w:rPr>
                <w:rFonts w:hint="eastAsia" w:ascii="宋体" w:hAnsi="宋体" w:eastAsia="宋体" w:cs="宋体"/>
                <w:b/>
                <w:bCs/>
                <w:color w:val="auto"/>
                <w:sz w:val="24"/>
                <w:highlight w:val="none"/>
                <w:shd w:val="clear" w:color="auto" w:fill="auto"/>
              </w:rPr>
              <w:instrText xml:space="preserve"> = 2 \* GB3 </w:instrText>
            </w:r>
            <w:r>
              <w:rPr>
                <w:rFonts w:hint="eastAsia" w:ascii="宋体" w:hAnsi="宋体" w:eastAsia="宋体" w:cs="宋体"/>
                <w:b/>
                <w:bCs/>
                <w:color w:val="auto"/>
                <w:sz w:val="24"/>
                <w:highlight w:val="none"/>
                <w:shd w:val="clear" w:color="auto" w:fill="auto"/>
              </w:rPr>
              <w:fldChar w:fldCharType="separate"/>
            </w:r>
            <w:r>
              <w:rPr>
                <w:rFonts w:hint="eastAsia" w:ascii="宋体" w:hAnsi="宋体" w:eastAsia="宋体" w:cs="宋体"/>
                <w:b/>
                <w:bCs/>
                <w:color w:val="auto"/>
                <w:sz w:val="24"/>
                <w:highlight w:val="none"/>
                <w:shd w:val="clear" w:color="auto" w:fill="auto"/>
              </w:rPr>
              <w:t>②</w:t>
            </w:r>
            <w:r>
              <w:rPr>
                <w:rFonts w:hint="eastAsia" w:ascii="宋体" w:hAnsi="宋体" w:eastAsia="宋体" w:cs="宋体"/>
                <w:b/>
                <w:bCs/>
                <w:color w:val="auto"/>
                <w:sz w:val="24"/>
                <w:highlight w:val="none"/>
                <w:shd w:val="clear" w:color="auto" w:fill="auto"/>
              </w:rPr>
              <w:fldChar w:fldCharType="end"/>
            </w:r>
            <w:r>
              <w:rPr>
                <w:rFonts w:hint="eastAsia" w:ascii="宋体" w:hAnsi="宋体" w:eastAsia="宋体" w:cs="宋体"/>
                <w:b/>
                <w:bCs/>
                <w:color w:val="auto"/>
                <w:sz w:val="24"/>
                <w:highlight w:val="none"/>
                <w:shd w:val="clear" w:color="auto" w:fill="auto"/>
              </w:rPr>
              <w:t>中标单位为小微型企业或监狱企业或残疾人福利性单位的，其声明函将随中标结果同时公告，接受社会监督。投标人提供的声明函内容不实的，属于提供虚假材料谋取中标、成交，依照《中华人民共和国政府采购法》等国家有关规定追究相应责任。</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b/>
                <w:bCs/>
                <w:color w:val="auto"/>
                <w:sz w:val="24"/>
                <w:highlight w:val="none"/>
                <w:shd w:val="clear" w:color="auto" w:fill="auto"/>
              </w:rPr>
            </w:pPr>
            <w:bookmarkStart w:id="237" w:name="_GoBack"/>
            <w:bookmarkEnd w:id="237"/>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二、</w:t>
            </w:r>
            <w:r>
              <w:rPr>
                <w:rFonts w:hint="eastAsia" w:ascii="宋体" w:hAnsi="宋体" w:eastAsia="宋体" w:cs="Times New Roman"/>
                <w:b/>
                <w:color w:val="000000" w:themeColor="text1"/>
                <w:sz w:val="24"/>
                <w:szCs w:val="24"/>
                <w:highlight w:val="none"/>
                <w14:textFill>
                  <w14:solidFill>
                    <w14:schemeClr w14:val="tx1"/>
                  </w14:solidFill>
                </w14:textFill>
              </w:rPr>
              <w:t>节能、环境标志产品扶持政策</w:t>
            </w:r>
          </w:p>
          <w:p>
            <w:pPr>
              <w:pStyle w:val="5"/>
              <w:keepNext w:val="0"/>
              <w:keepLines w:val="0"/>
              <w:pageBreakBefore w:val="0"/>
              <w:widowControl w:val="0"/>
              <w:kinsoku/>
              <w:wordWrap/>
              <w:overflowPunct/>
              <w:topLinePunct w:val="0"/>
              <w:bidi w:val="0"/>
              <w:spacing w:after="0" w:line="360" w:lineRule="auto"/>
              <w:ind w:left="0" w:leftChars="0" w:right="0" w:rightChars="0" w:firstLine="482" w:firstLineChars="20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在技术、服务等指标同等条件下，优先采购节能清单所列的节能产品、环境标志产品。</w:t>
            </w:r>
          </w:p>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auto"/>
                <w:sz w:val="24"/>
                <w:highlight w:val="none"/>
                <w:shd w:val="clear" w:color="auto" w:fill="auto"/>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1节能产品是指列入财政部和国家发改委公布的《节能产品政府采购品目清单》中的货物。政府强制采购节能产品是指《节能产品政府采购品目清单》中以“★”标注类别的产品。</w:t>
            </w:r>
          </w:p>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.2环境标志产品是指列入财政部、生态环境部公布的《环境标志产品政府采购品目清单》中的货物。</w:t>
            </w:r>
          </w:p>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.3本项目采购清单中若有政府强制采购节能产品，只接受强制节能产品投标，投标人必须选报，否则按不实质性响应招标文件要求处理。</w:t>
            </w:r>
          </w:p>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.4投标人应在投标文件中提供所投标产品国家确定的认证机构出具的、处于有效期之内的节能产品、环境标志产品认证证书，否则不予认可。</w:t>
            </w:r>
          </w:p>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.5《节能产品政府采购品目清单》及《环境标志产品政府采购品目清单》可通过中国政府采购网（http://www.ccgp.gov.cn/ ）查阅、下载。 </w:t>
            </w:r>
          </w:p>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.6参与实施政府采购节能产品认证机构名录：</w:t>
            </w:r>
          </w:p>
          <w:tbl>
            <w:tblPr>
              <w:tblStyle w:val="23"/>
              <w:tblW w:w="8998" w:type="dxa"/>
              <w:jc w:val="center"/>
              <w:shd w:val="clear" w:color="auto" w:fill="FFFFFF"/>
              <w:tblLayout w:type="fixed"/>
              <w:tblCellMar>
                <w:top w:w="30" w:type="dxa"/>
                <w:left w:w="30" w:type="dxa"/>
                <w:bottom w:w="30" w:type="dxa"/>
                <w:right w:w="30" w:type="dxa"/>
              </w:tblCellMar>
            </w:tblPr>
            <w:tblGrid>
              <w:gridCol w:w="586"/>
              <w:gridCol w:w="1065"/>
              <w:gridCol w:w="1316"/>
              <w:gridCol w:w="1117"/>
              <w:gridCol w:w="1732"/>
              <w:gridCol w:w="3182"/>
            </w:tblGrid>
            <w:tr>
              <w:tblPrEx>
                <w:shd w:val="clear" w:color="auto" w:fill="FFFFFF"/>
              </w:tblPrEx>
              <w:trPr>
                <w:trHeight w:val="346" w:hRule="atLeast"/>
                <w:jc w:val="center"/>
              </w:trPr>
              <w:tc>
                <w:tcPr>
                  <w:tcW w:w="586"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381"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一级目录</w:t>
                  </w:r>
                </w:p>
              </w:tc>
              <w:tc>
                <w:tcPr>
                  <w:tcW w:w="2849"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二级目录</w:t>
                  </w:r>
                </w:p>
              </w:tc>
              <w:tc>
                <w:tcPr>
                  <w:tcW w:w="3182" w:type="dxa"/>
                  <w:vMerge w:val="restart"/>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认证机构名录</w:t>
                  </w:r>
                </w:p>
              </w:tc>
            </w:tr>
            <w:tr>
              <w:tblPrEx>
                <w:shd w:val="clear" w:color="auto" w:fill="FFFFFF"/>
              </w:tblPrEx>
              <w:trPr>
                <w:trHeight w:val="346" w:hRule="atLeast"/>
                <w:jc w:val="center"/>
              </w:trPr>
              <w:tc>
                <w:tcPr>
                  <w:tcW w:w="586"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产品代码</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产品代码</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3182" w:type="dxa"/>
                  <w:vMerge w:val="continue"/>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346"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计算机设备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A02010104</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台式计算机</w:t>
                  </w: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北京赛西认证有限责任公司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中国网络安全审查技术与认证中心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广州赛宝认证中心服务有限公司</w:t>
                  </w:r>
                </w:p>
              </w:tc>
            </w:tr>
            <w:tr>
              <w:tblPrEx>
                <w:shd w:val="clear" w:color="auto" w:fill="FFFFFF"/>
                <w:tblCellMar>
                  <w:top w:w="30" w:type="dxa"/>
                  <w:left w:w="30" w:type="dxa"/>
                  <w:bottom w:w="30" w:type="dxa"/>
                  <w:right w:w="30" w:type="dxa"/>
                </w:tblCellMar>
              </w:tblPrEx>
              <w:trPr>
                <w:trHeight w:val="346"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A02010105</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便携式计算机</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622"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A02010107</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平板式微型计算机</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346"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输入输出设备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打印设备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346"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A02010604</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显示设备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622"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A02010609</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图形图像输入设备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A020202</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投影仪</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624"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A020204</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多功能一体机</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泵</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离心泵</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电能（北京）认证中心有限公司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方圆标志认证集团有限公司</w:t>
                  </w:r>
                </w:p>
              </w:tc>
            </w:tr>
            <w:tr>
              <w:tblPrEx>
                <w:tblCellMar>
                  <w:top w:w="30" w:type="dxa"/>
                  <w:left w:w="30" w:type="dxa"/>
                  <w:bottom w:w="30" w:type="dxa"/>
                  <w:right w:w="30" w:type="dxa"/>
                </w:tblCellMar>
              </w:tblPrEx>
              <w:trPr>
                <w:trHeight w:val="346"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制冷空调设备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制冷压缩机</w:t>
                  </w: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合肥通用机械产品认证有限公司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北京中冷通质量认证中心有限公司</w:t>
                  </w:r>
                </w:p>
              </w:tc>
            </w:tr>
            <w:tr>
              <w:tblPrEx>
                <w:tblCellMar>
                  <w:top w:w="30" w:type="dxa"/>
                  <w:left w:w="30" w:type="dxa"/>
                  <w:bottom w:w="30" w:type="dxa"/>
                  <w:right w:w="30" w:type="dxa"/>
                </w:tblCellMar>
              </w:tblPrEx>
              <w:trPr>
                <w:trHeight w:val="346"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A02052305</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空调机组</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633"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A02052309</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专用制冷、空调设备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622"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A02052399</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其他制冷空调设备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1224"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A020601</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电机</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电能（北京）认证中心有限公司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中国船级社质量认证公司</w:t>
                  </w:r>
                </w:p>
              </w:tc>
            </w:tr>
            <w:tr>
              <w:tblPrEx>
                <w:shd w:val="clear" w:color="auto" w:fill="FFFFFF"/>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A020602</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变压器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电能（北京）认证中心有限公司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方圆标志认证集团有限公司</w:t>
                  </w:r>
                </w:p>
              </w:tc>
            </w:tr>
            <w:tr>
              <w:tblPrEx>
                <w:shd w:val="clear" w:color="auto" w:fill="FFFFFF"/>
                <w:tblCellMar>
                  <w:top w:w="30" w:type="dxa"/>
                  <w:left w:w="30" w:type="dxa"/>
                  <w:bottom w:w="30" w:type="dxa"/>
                  <w:right w:w="30" w:type="dxa"/>
                </w:tblCellMar>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A020609</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镇流器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深圳市计量质量检测研究院</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tc>
            </w:tr>
            <w:tr>
              <w:tblPrEx>
                <w:shd w:val="clear" w:color="auto" w:fill="FFFFFF"/>
                <w:tblCellMar>
                  <w:top w:w="30" w:type="dxa"/>
                  <w:left w:w="30" w:type="dxa"/>
                  <w:bottom w:w="30" w:type="dxa"/>
                  <w:right w:w="30" w:type="dxa"/>
                </w:tblCellMar>
              </w:tblPrEx>
              <w:trPr>
                <w:trHeight w:val="1209" w:hRule="atLeast"/>
                <w:jc w:val="center"/>
              </w:trPr>
              <w:tc>
                <w:tcPr>
                  <w:tcW w:w="586"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065"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w:t>
                  </w:r>
                </w:p>
              </w:tc>
              <w:tc>
                <w:tcPr>
                  <w:tcW w:w="131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生活用电器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A0206180101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电冰箱</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tc>
            </w:tr>
            <w:tr>
              <w:tblPrEx>
                <w:shd w:val="clear" w:color="auto" w:fill="FFFFFF"/>
              </w:tblPrEx>
              <w:trPr>
                <w:trHeight w:val="1793"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A0206180203</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空调机</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合肥通用机械产品认证有限公司</w:t>
                  </w:r>
                </w:p>
              </w:tc>
            </w:tr>
            <w:tr>
              <w:tblPrEx>
                <w:shd w:val="clear" w:color="auto" w:fill="FFFFFF"/>
              </w:tblPrEx>
              <w:trPr>
                <w:trHeight w:val="1209"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A0206180301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洗衣机</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tc>
            </w:tr>
            <w:tr>
              <w:tblPrEx>
                <w:shd w:val="clear" w:color="auto" w:fill="FFFFFF"/>
                <w:tblCellMar>
                  <w:top w:w="30" w:type="dxa"/>
                  <w:left w:w="30" w:type="dxa"/>
                  <w:bottom w:w="30" w:type="dxa"/>
                  <w:right w:w="30" w:type="dxa"/>
                </w:tblCellMar>
              </w:tblPrEx>
              <w:trPr>
                <w:trHeight w:val="1525" w:hRule="atLeast"/>
                <w:jc w:val="center"/>
              </w:trPr>
              <w:tc>
                <w:tcPr>
                  <w:tcW w:w="586"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065"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31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A02061808</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热水器</w:t>
                  </w: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威凯认证检测有限公司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中家院（北京）检测认证有限公司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合肥通用机械产品认证有限公司(范围仅限于“热泵热水器”)</w:t>
                  </w:r>
                </w:p>
              </w:tc>
            </w:tr>
            <w:tr>
              <w:tblPrEx>
                <w:shd w:val="clear" w:color="auto" w:fill="FFFFFF"/>
              </w:tblPrEx>
              <w:trPr>
                <w:trHeight w:val="92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A020619</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照明设备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深圳市计量质量检测研究院</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tc>
            </w:tr>
            <w:tr>
              <w:tblPrEx>
                <w:shd w:val="clear" w:color="auto" w:fill="FFFFFF"/>
                <w:tblCellMar>
                  <w:top w:w="30" w:type="dxa"/>
                  <w:left w:w="30" w:type="dxa"/>
                  <w:bottom w:w="30" w:type="dxa"/>
                  <w:right w:w="30" w:type="dxa"/>
                </w:tblCellMar>
              </w:tblPrEx>
              <w:trPr>
                <w:trHeight w:val="633"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电视设备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A02091001</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普通电视设备（电视机）</w:t>
                  </w: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北京泰瑞特认证有限责任公司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广州赛宝认证中心服务有限公司</w:t>
                  </w:r>
                </w:p>
              </w:tc>
            </w:tr>
            <w:tr>
              <w:tblPrEx>
                <w:shd w:val="clear" w:color="auto" w:fill="FFFFFF"/>
              </w:tblPrEx>
              <w:trPr>
                <w:trHeight w:val="597"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视频设备</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A02091107</w:t>
                  </w: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视频监控设备</w:t>
                  </w: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PrEx>
              <w:trPr>
                <w:trHeight w:val="1224"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A031210</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饮食炊事机械</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北京鉴衡认证中心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中国市政工程华北设计研究总院有限公司</w:t>
                  </w:r>
                </w:p>
              </w:tc>
            </w:tr>
            <w:tr>
              <w:tblPrEx>
                <w:shd w:val="clear" w:color="auto" w:fill="FFFFFF"/>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A060805</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中国质量认证中心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北京新华节水产品认证有限公司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方圆标志认证集团有限公司</w:t>
                  </w:r>
                </w:p>
              </w:tc>
            </w:tr>
            <w:tr>
              <w:tblPrEx>
                <w:shd w:val="clear" w:color="auto" w:fill="FFFFFF"/>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A060806</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水嘴</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CellMar>
                  <w:top w:w="30" w:type="dxa"/>
                  <w:left w:w="30" w:type="dxa"/>
                  <w:bottom w:w="30" w:type="dxa"/>
                  <w:right w:w="30" w:type="dxa"/>
                </w:tblCellMar>
              </w:tblPrEx>
              <w:trPr>
                <w:trHeight w:val="346"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A060807</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便器冲洗阀</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r>
              <w:tblPrEx>
                <w:shd w:val="clear" w:color="auto" w:fill="FFFFFF"/>
              </w:tblPrEx>
              <w:trPr>
                <w:trHeight w:val="401" w:hRule="atLeast"/>
                <w:jc w:val="center"/>
              </w:trPr>
              <w:tc>
                <w:tcPr>
                  <w:tcW w:w="58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06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A060810</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淋浴器</w:t>
                  </w:r>
                </w:p>
              </w:tc>
              <w:tc>
                <w:tcPr>
                  <w:tcW w:w="11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173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p>
              </w:tc>
              <w:tc>
                <w:tcPr>
                  <w:tcW w:w="3182"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r>
          </w:tbl>
          <w:p>
            <w:pPr>
              <w:pageBreakBefore w:val="0"/>
              <w:tabs>
                <w:tab w:val="left" w:pos="105"/>
                <w:tab w:val="left" w:pos="945"/>
                <w:tab w:val="left" w:pos="3360"/>
              </w:tabs>
              <w:kinsoku/>
              <w:overflowPunct/>
              <w:bidi w:val="0"/>
              <w:snapToGrid w:val="0"/>
              <w:spacing w:line="360" w:lineRule="auto"/>
              <w:ind w:firstLine="42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.7参与实施政府采购环境标志产品认证机构名录 </w:t>
            </w:r>
          </w:p>
          <w:tbl>
            <w:tblPr>
              <w:tblStyle w:val="23"/>
              <w:tblW w:w="8858" w:type="dxa"/>
              <w:jc w:val="center"/>
              <w:shd w:val="clear" w:color="auto" w:fill="FFFFFF"/>
              <w:tblLayout w:type="fixed"/>
              <w:tblCellMar>
                <w:top w:w="30" w:type="dxa"/>
                <w:left w:w="30" w:type="dxa"/>
                <w:bottom w:w="30" w:type="dxa"/>
                <w:right w:w="30" w:type="dxa"/>
              </w:tblCellMar>
            </w:tblPr>
            <w:tblGrid>
              <w:gridCol w:w="644"/>
              <w:gridCol w:w="2114"/>
              <w:gridCol w:w="6100"/>
            </w:tblGrid>
            <w:tr>
              <w:tblPrEx>
                <w:shd w:val="clear" w:color="auto" w:fill="FFFFFF"/>
                <w:tblCellMar>
                  <w:top w:w="30" w:type="dxa"/>
                  <w:left w:w="30" w:type="dxa"/>
                  <w:bottom w:w="30" w:type="dxa"/>
                  <w:right w:w="30" w:type="dxa"/>
                </w:tblCellMar>
              </w:tblPrEx>
              <w:trPr>
                <w:trHeight w:val="459" w:hRule="atLeast"/>
                <w:jc w:val="center"/>
              </w:trPr>
              <w:tc>
                <w:tcPr>
                  <w:tcW w:w="6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bottom"/>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1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目录</w:t>
                  </w:r>
                </w:p>
              </w:tc>
              <w:tc>
                <w:tcPr>
                  <w:tcW w:w="61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认证机构名录</w:t>
                  </w:r>
                </w:p>
              </w:tc>
            </w:tr>
            <w:tr>
              <w:tblPrEx>
                <w:shd w:val="clear" w:color="auto" w:fill="FFFFFF"/>
                <w:tblCellMar>
                  <w:top w:w="30" w:type="dxa"/>
                  <w:left w:w="30" w:type="dxa"/>
                  <w:bottom w:w="30" w:type="dxa"/>
                  <w:right w:w="30" w:type="dxa"/>
                </w:tblCellMar>
              </w:tblPrEx>
              <w:trPr>
                <w:trHeight w:val="1304" w:hRule="atLeast"/>
                <w:jc w:val="center"/>
              </w:trPr>
              <w:tc>
                <w:tcPr>
                  <w:tcW w:w="644"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1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环境标志产品</w:t>
                  </w:r>
                </w:p>
              </w:tc>
              <w:tc>
                <w:tcPr>
                  <w:tcW w:w="61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中环联合（北京）认证中心有限公司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中环协（北京）认证中心</w:t>
                  </w:r>
                </w:p>
                <w:p>
                  <w:pPr>
                    <w:pageBreakBefore w:val="0"/>
                    <w:widowControl/>
                    <w:kinsoku/>
                    <w:overflowPunct/>
                    <w:bidi w:val="0"/>
                    <w:spacing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天津华诚认证有限公司</w:t>
                  </w:r>
                </w:p>
              </w:tc>
            </w:tr>
          </w:tbl>
          <w:p>
            <w:pPr>
              <w:keepNext w:val="0"/>
              <w:keepLines w:val="0"/>
              <w:pageBreakBefore w:val="0"/>
              <w:widowControl w:val="0"/>
              <w:numPr>
                <w:ilvl w:val="0"/>
                <w:numId w:val="0"/>
              </w:numPr>
              <w:kinsoku/>
              <w:wordWrap/>
              <w:overflowPunct/>
              <w:topLinePunct w:val="0"/>
              <w:autoSpaceDE w:val="0"/>
              <w:autoSpaceDN w:val="0"/>
              <w:bidi w:val="0"/>
              <w:spacing w:line="360" w:lineRule="auto"/>
              <w:ind w:left="0" w:leftChars="0" w:right="0" w:rightChars="0" w:firstLine="0" w:firstLine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lang w:val="en-US" w:eastAsia="zh-CN"/>
              </w:rPr>
              <w:t>关于对本国产品的支持政策</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3.1根据《国务院办公厅关于在政府采购中实施本国产品标准及相关政策的通知》（国办发〔2025〕34号）的规定，对在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3.2政府采购活动中既有本国产品又有非本国产品参与竞争的，依法对本国产品给予价格评审优惠，对本国产品的报价给予20%的价格扣除，用扣除后的价格参与评审。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3.3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pStyle w:val="19"/>
              <w:pageBreakBefore w:val="0"/>
              <w:numPr>
                <w:ilvl w:val="0"/>
                <w:numId w:val="0"/>
              </w:numPr>
              <w:kinsoku/>
              <w:overflowPunct/>
              <w:bidi w:val="0"/>
              <w:spacing w:line="360" w:lineRule="auto"/>
              <w:ind w:leftChars="0"/>
              <w:rPr>
                <w:rFonts w:hint="eastAsia"/>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23" w:type="dxa"/>
            <w:tcBorders>
              <w:top w:val="single" w:color="000000" w:sz="6" w:space="0"/>
              <w:bottom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30</w:t>
            </w:r>
          </w:p>
        </w:tc>
        <w:tc>
          <w:tcPr>
            <w:tcW w:w="1824" w:type="dxa"/>
            <w:tcBorders>
              <w:top w:val="single" w:color="000000" w:sz="6" w:space="0"/>
              <w:left w:val="single" w:color="000000" w:sz="6" w:space="0"/>
              <w:bottom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jc w:val="center"/>
              <w:textAlignment w:val="auto"/>
              <w:outlineLvl w:val="9"/>
              <w:rPr>
                <w:rFonts w:hint="eastAsia"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lang w:val="en-US" w:eastAsia="zh-CN"/>
              </w:rPr>
              <w:t>付款方式</w:t>
            </w:r>
          </w:p>
        </w:tc>
        <w:tc>
          <w:tcPr>
            <w:tcW w:w="7838" w:type="dxa"/>
            <w:gridSpan w:val="2"/>
            <w:tcBorders>
              <w:top w:val="single" w:color="000000" w:sz="6" w:space="0"/>
              <w:left w:val="single" w:color="000000" w:sz="6" w:space="0"/>
              <w:bottom w:val="single" w:color="000000" w:sz="6" w:space="0"/>
            </w:tcBorders>
            <w:shd w:val="solid" w:color="FFFFFF" w:fill="auto"/>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jc w:val="left"/>
              <w:textAlignment w:val="auto"/>
              <w:outlineLvl w:val="9"/>
              <w:rPr>
                <w:rFonts w:hint="eastAsia" w:ascii="宋体" w:hAnsi="宋体" w:eastAsia="宋体" w:cs="宋体"/>
                <w:b/>
                <w:bCs/>
                <w:color w:val="auto"/>
                <w:sz w:val="24"/>
                <w:highlight w:val="none"/>
                <w:shd w:val="clear" w:color="auto" w:fill="auto"/>
                <w:lang w:val="en-US" w:eastAsia="zh-CN"/>
              </w:rPr>
            </w:pPr>
            <w:r>
              <w:rPr>
                <w:rFonts w:hint="eastAsia" w:ascii="宋体" w:hAnsi="宋体" w:eastAsia="宋体" w:cs="宋体"/>
                <w:b/>
                <w:color w:val="auto"/>
                <w:kern w:val="0"/>
                <w:sz w:val="24"/>
                <w:highlight w:val="none"/>
                <w:lang w:eastAsia="zh-CN"/>
              </w:rPr>
              <w:t>合同签订后甲方自收到发票后10个工作日内</w:t>
            </w:r>
            <w:r>
              <w:rPr>
                <w:rFonts w:hint="eastAsia" w:ascii="宋体" w:hAnsi="宋体" w:eastAsia="宋体" w:cs="宋体"/>
                <w:b/>
                <w:color w:val="auto"/>
                <w:kern w:val="0"/>
                <w:sz w:val="24"/>
                <w:highlight w:val="none"/>
              </w:rPr>
              <w:t>，甲方向乙方支付合同价款的</w:t>
            </w:r>
            <w:r>
              <w:rPr>
                <w:rFonts w:hint="eastAsia" w:ascii="宋体" w:hAnsi="宋体" w:eastAsia="宋体" w:cs="宋体"/>
                <w:b/>
                <w:color w:val="auto"/>
                <w:kern w:val="0"/>
                <w:sz w:val="24"/>
                <w:highlight w:val="none"/>
                <w:u w:val="single"/>
                <w:lang w:val="en-US" w:eastAsia="zh-CN"/>
              </w:rPr>
              <w:t>30</w:t>
            </w:r>
            <w:r>
              <w:rPr>
                <w:rFonts w:hint="eastAsia" w:ascii="宋体" w:hAnsi="宋体" w:eastAsia="宋体" w:cs="宋体"/>
                <w:b/>
                <w:color w:val="auto"/>
                <w:kern w:val="0"/>
                <w:sz w:val="24"/>
                <w:highlight w:val="none"/>
                <w:u w:val="single"/>
              </w:rPr>
              <w:t>％</w:t>
            </w:r>
            <w:r>
              <w:rPr>
                <w:rFonts w:hint="eastAsia" w:ascii="宋体" w:hAnsi="宋体" w:eastAsia="宋体" w:cs="宋体"/>
                <w:b/>
                <w:color w:val="auto"/>
                <w:kern w:val="0"/>
                <w:sz w:val="24"/>
                <w:highlight w:val="none"/>
              </w:rPr>
              <w:t>；项目验收合格，收到发票后10个工作日内甲方向乙方支付合同价款的</w:t>
            </w:r>
            <w:r>
              <w:rPr>
                <w:rFonts w:hint="eastAsia" w:ascii="宋体" w:hAnsi="宋体" w:eastAsia="宋体" w:cs="宋体"/>
                <w:b/>
                <w:color w:val="auto"/>
                <w:kern w:val="0"/>
                <w:sz w:val="24"/>
                <w:highlight w:val="none"/>
                <w:u w:val="single"/>
                <w:lang w:val="en-US" w:eastAsia="zh-CN"/>
              </w:rPr>
              <w:t>70</w:t>
            </w:r>
            <w:r>
              <w:rPr>
                <w:rFonts w:hint="eastAsia" w:ascii="宋体" w:hAnsi="宋体" w:eastAsia="宋体" w:cs="宋体"/>
                <w:b/>
                <w:color w:val="auto"/>
                <w:kern w:val="0"/>
                <w:sz w:val="24"/>
                <w:highlight w:val="none"/>
                <w:u w:val="single"/>
              </w:rPr>
              <w:t>％</w:t>
            </w:r>
            <w:r>
              <w:rPr>
                <w:rFonts w:hint="eastAsia" w:ascii="宋体" w:hAnsi="宋体" w:eastAsia="宋体" w:cs="宋体"/>
                <w:b/>
                <w:color w:val="auto"/>
                <w:kern w:val="0"/>
                <w:sz w:val="24"/>
                <w:highlight w:val="none"/>
              </w:rPr>
              <w:t>。甲方付款以乙方已经开具符合甲方要求的合法等额增值税发票/普通发票为前提，若乙方没有提供同等金额的发票，甲方有权拒绝付款，造成的延迟付款不视为违约。</w:t>
            </w:r>
          </w:p>
        </w:tc>
      </w:tr>
    </w:tbl>
    <w:p>
      <w:pPr>
        <w:pStyle w:val="7"/>
        <w:pageBreakBefore w:val="0"/>
        <w:kinsoku/>
        <w:overflowPunct/>
        <w:bidi w:val="0"/>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一、总  则</w:t>
      </w:r>
    </w:p>
    <w:p>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采购方式</w:t>
      </w:r>
    </w:p>
    <w:p>
      <w:pPr>
        <w:pageBreakBefore w:val="0"/>
        <w:kinsoku/>
        <w:overflowPunct/>
        <w:bidi w:val="0"/>
        <w:spacing w:line="360" w:lineRule="auto"/>
        <w:ind w:firstLine="4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本项目按《中华人民共和国政府采购法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政府采购货物和服务招标投标管理办法》等规定执行，以公开招标采购方式进行采购。</w:t>
      </w:r>
    </w:p>
    <w:p>
      <w:pPr>
        <w:pageBreakBefore w:val="0"/>
        <w:kinsoku/>
        <w:overflowPunct/>
        <w:bidi w:val="0"/>
        <w:spacing w:line="360" w:lineRule="auto"/>
        <w:ind w:firstLine="4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公开招标，是指采购人依法以招标公告的方式邀请非特定的投标人参加投标的采购方式。</w:t>
      </w:r>
    </w:p>
    <w:p>
      <w:pPr>
        <w:pStyle w:val="12"/>
        <w:pageBreakBefore w:val="0"/>
        <w:kinsoku/>
        <w:overflowPunct/>
        <w:bidi w:val="0"/>
        <w:spacing w:line="360" w:lineRule="auto"/>
        <w:ind w:left="243" w:hanging="243" w:hangingChars="101"/>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1.2采购项目概况</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lang w:val="en-US" w:eastAsia="zh-CN"/>
        </w:rPr>
        <w:t>1.2.1</w:t>
      </w:r>
      <w:r>
        <w:rPr>
          <w:rFonts w:hint="eastAsia" w:ascii="宋体" w:hAnsi="宋体" w:eastAsia="宋体" w:cs="宋体"/>
          <w:b w:val="0"/>
          <w:bCs/>
          <w:color w:val="auto"/>
          <w:sz w:val="24"/>
          <w:szCs w:val="24"/>
          <w:highlight w:val="none"/>
        </w:rPr>
        <w:t>采购人、项目名称及项目编号，详见“投标人须知前附表”。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2.</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资金来源情况</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已落实</w:t>
      </w:r>
      <w:r>
        <w:rPr>
          <w:rFonts w:hint="eastAsia" w:ascii="宋体" w:hAnsi="宋体" w:eastAsia="宋体" w:cs="宋体"/>
          <w:b w:val="0"/>
          <w:bCs/>
          <w:color w:val="auto"/>
          <w:sz w:val="24"/>
          <w:highlight w:val="none"/>
        </w:rPr>
        <w:t>，用于采购“</w:t>
      </w:r>
      <w:r>
        <w:rPr>
          <w:rFonts w:hint="eastAsia" w:ascii="宋体" w:hAnsi="宋体" w:eastAsia="宋体" w:cs="宋体"/>
          <w:b w:val="0"/>
          <w:bCs/>
          <w:color w:val="auto"/>
          <w:sz w:val="24"/>
          <w:highlight w:val="none"/>
          <w:lang w:eastAsia="zh-CN"/>
        </w:rPr>
        <w:t>采购需求及技术参数要求</w:t>
      </w:r>
      <w:r>
        <w:rPr>
          <w:rFonts w:hint="eastAsia" w:ascii="宋体" w:hAnsi="宋体" w:eastAsia="宋体" w:cs="宋体"/>
          <w:b w:val="0"/>
          <w:bCs/>
          <w:color w:val="auto"/>
          <w:sz w:val="24"/>
          <w:highlight w:val="none"/>
        </w:rPr>
        <w:t>”所列货物。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1.2.3</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范围：见“投标人须知前附表”。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1.2.4</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eastAsia="zh-CN"/>
        </w:rPr>
        <w:t>交货期</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交货地点</w:t>
      </w:r>
      <w:r>
        <w:rPr>
          <w:rFonts w:hint="eastAsia" w:ascii="宋体" w:hAnsi="宋体" w:eastAsia="宋体" w:cs="宋体"/>
          <w:color w:val="auto"/>
          <w:sz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1.2.5</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eastAsia="zh-CN"/>
        </w:rPr>
        <w:t>质量标准</w:t>
      </w:r>
      <w:r>
        <w:rPr>
          <w:rFonts w:hint="eastAsia" w:ascii="宋体" w:hAnsi="宋体" w:eastAsia="宋体" w:cs="宋体"/>
          <w:color w:val="auto"/>
          <w:sz w:val="24"/>
          <w:highlight w:val="none"/>
        </w:rPr>
        <w:t>：见“投标人须知前附表”。</w:t>
      </w:r>
    </w:p>
    <w:p>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合格的投标人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1.3.1投标人应符合招标文件“投标人须知前附表”中规定的资格条件。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1.3.2 单位负责人为同一人或者存在直接控股、管理关系的不同投标单位，不得参加同一合同项下的政府采购活动；为采购项目提供整体设计、规范编制或者项目管理、监理、检测等服务的投标单位，不得再参加该采购项目的其他采购活动；</w:t>
      </w:r>
    </w:p>
    <w:p>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color w:val="auto"/>
          <w:sz w:val="24"/>
          <w:szCs w:val="24"/>
          <w:highlight w:val="none"/>
        </w:rPr>
        <w:t>保密</w:t>
      </w:r>
    </w:p>
    <w:p>
      <w:pPr>
        <w:pageBreakBefore w:val="0"/>
        <w:kinsoku/>
        <w:overflowPunct/>
        <w:bidi w:val="0"/>
        <w:spacing w:line="360" w:lineRule="auto"/>
        <w:ind w:firstLine="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参加公开招标采购活动的各方应对招标文件和投标文件中的商业和技术等秘密保密，否则应承担相应的法律责任。</w:t>
      </w:r>
    </w:p>
    <w:p>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1.5语言文字</w:t>
      </w:r>
    </w:p>
    <w:p>
      <w:pPr>
        <w:pageBreakBefore w:val="0"/>
        <w:kinsoku/>
        <w:overflowPunct/>
        <w:bidi w:val="0"/>
        <w:spacing w:line="360" w:lineRule="auto"/>
        <w:ind w:firstLine="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招标文件和投标文件使用的语言文字为中文。专用术语使用外文的，应附有中文注释。</w:t>
      </w:r>
    </w:p>
    <w:p>
      <w:pPr>
        <w:pageBreakBefore w:val="0"/>
        <w:kinsoku/>
        <w:overflowPunct/>
        <w:bidi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计量单位</w:t>
      </w:r>
    </w:p>
    <w:p>
      <w:pPr>
        <w:pageBreakBefore w:val="0"/>
        <w:kinsoku/>
        <w:overflowPunct/>
        <w:bidi w:val="0"/>
        <w:spacing w:line="360" w:lineRule="auto"/>
        <w:ind w:firstLine="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所有计量均采用中华人民共和国法定计量单位。</w:t>
      </w:r>
    </w:p>
    <w:p>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投标费用</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rPr>
        <w:t>不论投标结果如何，投标人均应自行承担所有与编写和提交投标文件有关的全部费用。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1.7.2</w:t>
      </w:r>
      <w:r>
        <w:rPr>
          <w:rFonts w:hint="eastAsia" w:ascii="宋体" w:hAnsi="宋体" w:eastAsia="宋体" w:cs="宋体"/>
          <w:color w:val="auto"/>
          <w:sz w:val="24"/>
          <w:highlight w:val="none"/>
          <w:lang w:eastAsia="zh-CN"/>
        </w:rPr>
        <w:t>中标服务费</w:t>
      </w:r>
      <w:r>
        <w:rPr>
          <w:rFonts w:hint="eastAsia" w:ascii="宋体" w:hAnsi="宋体" w:eastAsia="宋体" w:cs="宋体"/>
          <w:color w:val="auto"/>
          <w:sz w:val="24"/>
          <w:highlight w:val="none"/>
        </w:rPr>
        <w:t>：详见“投标人须知前附表”。</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69" w:name="_Toc25063"/>
      <w:bookmarkStart w:id="70" w:name="_Toc26240"/>
      <w:bookmarkStart w:id="71" w:name="_Toc5114"/>
      <w:bookmarkStart w:id="72" w:name="_Toc20414"/>
      <w:r>
        <w:rPr>
          <w:rFonts w:hint="eastAsia" w:ascii="宋体" w:hAnsi="宋体" w:eastAsia="宋体" w:cs="宋体"/>
          <w:color w:val="auto"/>
          <w:szCs w:val="28"/>
          <w:highlight w:val="none"/>
        </w:rPr>
        <w:t>二、招标文件</w:t>
      </w:r>
      <w:bookmarkEnd w:id="69"/>
      <w:bookmarkEnd w:id="70"/>
      <w:bookmarkEnd w:id="71"/>
      <w:bookmarkEnd w:id="72"/>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 xml:space="preserve"> 招标文件构成</w:t>
      </w:r>
    </w:p>
    <w:p>
      <w:pPr>
        <w:pageBreakBefore w:val="0"/>
        <w:kinsoku/>
        <w:overflowPunct/>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2.1.1</w:t>
      </w:r>
      <w:r>
        <w:rPr>
          <w:rFonts w:hint="eastAsia" w:ascii="宋体" w:hAnsi="宋体" w:eastAsia="宋体" w:cs="宋体"/>
          <w:color w:val="auto"/>
          <w:sz w:val="24"/>
          <w:highlight w:val="none"/>
        </w:rPr>
        <w:t>要求提供的货物、采购过程及合同条款在招标文件中均有说明，招标文件共六章，各章的内容如下：</w:t>
      </w:r>
    </w:p>
    <w:p>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_Toc10815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en-US" w:eastAsia="zh-CN"/>
        </w:rPr>
        <w:fldChar w:fldCharType="end"/>
      </w:r>
    </w:p>
    <w:p>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_Toc18036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第二章 投标人须知</w:t>
      </w:r>
      <w:r>
        <w:rPr>
          <w:rFonts w:hint="eastAsia" w:ascii="宋体" w:hAnsi="宋体" w:eastAsia="宋体" w:cs="宋体"/>
          <w:color w:val="auto"/>
          <w:sz w:val="24"/>
          <w:szCs w:val="24"/>
          <w:highlight w:val="none"/>
          <w:lang w:val="en-US" w:eastAsia="zh-CN"/>
        </w:rPr>
        <w:fldChar w:fldCharType="end"/>
      </w:r>
    </w:p>
    <w:p>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_Toc31338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第三章 合同书样式及主要条款（草案）</w:t>
      </w:r>
      <w:r>
        <w:rPr>
          <w:rFonts w:hint="eastAsia" w:ascii="宋体" w:hAnsi="宋体" w:eastAsia="宋体" w:cs="宋体"/>
          <w:color w:val="auto"/>
          <w:sz w:val="24"/>
          <w:szCs w:val="24"/>
          <w:highlight w:val="none"/>
          <w:lang w:val="en-US" w:eastAsia="zh-CN"/>
        </w:rPr>
        <w:fldChar w:fldCharType="end"/>
      </w:r>
    </w:p>
    <w:p>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_Toc30130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第四章 采购需求及技术参数要求</w:t>
      </w:r>
      <w:r>
        <w:rPr>
          <w:rFonts w:hint="eastAsia" w:ascii="宋体" w:hAnsi="宋体" w:eastAsia="宋体" w:cs="宋体"/>
          <w:color w:val="auto"/>
          <w:sz w:val="24"/>
          <w:szCs w:val="24"/>
          <w:highlight w:val="none"/>
          <w:lang w:val="en-US" w:eastAsia="zh-CN"/>
        </w:rPr>
        <w:fldChar w:fldCharType="end"/>
      </w:r>
    </w:p>
    <w:p>
      <w:pPr>
        <w:pStyle w:val="12"/>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_Toc25105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第五章 评标方法（综合评分法）</w:t>
      </w:r>
      <w:r>
        <w:rPr>
          <w:rFonts w:hint="eastAsia" w:ascii="宋体" w:hAnsi="宋体" w:eastAsia="宋体" w:cs="宋体"/>
          <w:color w:val="auto"/>
          <w:sz w:val="24"/>
          <w:szCs w:val="24"/>
          <w:highlight w:val="none"/>
          <w:lang w:val="en-US" w:eastAsia="zh-CN"/>
        </w:rPr>
        <w:fldChar w:fldCharType="end"/>
      </w:r>
    </w:p>
    <w:p>
      <w:pPr>
        <w:pStyle w:val="12"/>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_Toc5080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第六章 投标文件格式</w:t>
      </w:r>
      <w:r>
        <w:rPr>
          <w:rFonts w:hint="eastAsia" w:ascii="宋体" w:hAnsi="宋体" w:eastAsia="宋体" w:cs="宋体"/>
          <w:color w:val="auto"/>
          <w:sz w:val="24"/>
          <w:szCs w:val="24"/>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sz w:val="24"/>
          <w:highlight w:val="none"/>
        </w:rPr>
        <w:t>除</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.1内容外，采购人在提交投标文件截止前发出的对招标文件的澄清或修改内容，均为招标文件的组成部分，对采购人、采购代理机构和投标人起约束作用。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2.1.3</w:t>
      </w:r>
      <w:r>
        <w:rPr>
          <w:rFonts w:hint="eastAsia" w:ascii="宋体" w:hAnsi="宋体" w:eastAsia="宋体" w:cs="宋体"/>
          <w:color w:val="auto"/>
          <w:sz w:val="24"/>
          <w:highlight w:val="none"/>
        </w:rPr>
        <w:t>投标人获取招标文件后，应仔细检查招标文件的所有内容，如有残缺等问题应在获得招标文件2日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根据有关条款规定，该投标有可能被拒绝，其风险由投标人自行承担。</w:t>
      </w:r>
    </w:p>
    <w:p>
      <w:pPr>
        <w:pStyle w:val="12"/>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招标文件的澄清、补充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2.2.1</w:t>
      </w:r>
      <w:r>
        <w:rPr>
          <w:rFonts w:hint="eastAsia" w:ascii="宋体" w:hAnsi="宋体" w:eastAsia="宋体" w:cs="宋体"/>
          <w:color w:val="auto"/>
          <w:sz w:val="24"/>
          <w:highlight w:val="none"/>
        </w:rPr>
        <w:t>投标人若对招标文件有任何疑问，应于投标截止日期前15日内凭企业数字证书（CA）登录政采云平台（http：//www.zcygov.cn），通过网络在线方式向采购人或采购代理进行提问，采购人统一解答后回复所有接收了招标文件的投标人，否则，由此产生的后果由投标人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2.2.2采购</w:t>
      </w:r>
      <w:r>
        <w:rPr>
          <w:rFonts w:hint="eastAsia" w:ascii="宋体" w:hAnsi="宋体" w:eastAsia="宋体" w:cs="宋体"/>
          <w:color w:val="auto"/>
          <w:sz w:val="24"/>
          <w:highlight w:val="none"/>
        </w:rPr>
        <w:t>代理机构将以</w:t>
      </w:r>
      <w:r>
        <w:rPr>
          <w:rFonts w:hint="eastAsia" w:ascii="宋体" w:hAnsi="宋体" w:eastAsia="宋体" w:cs="宋体"/>
          <w:color w:val="auto"/>
          <w:sz w:val="24"/>
          <w:highlight w:val="none"/>
          <w:lang w:val="en-US" w:eastAsia="zh-CN"/>
        </w:rPr>
        <w:t>网上公示形式</w:t>
      </w:r>
      <w:r>
        <w:rPr>
          <w:rFonts w:hint="eastAsia" w:ascii="宋体" w:hAnsi="宋体" w:eastAsia="宋体" w:cs="宋体"/>
          <w:color w:val="auto"/>
          <w:sz w:val="24"/>
          <w:highlight w:val="none"/>
        </w:rPr>
        <w:t>答复所有</w:t>
      </w:r>
      <w:r>
        <w:rPr>
          <w:rFonts w:hint="eastAsia" w:ascii="宋体" w:hAnsi="宋体" w:eastAsia="宋体" w:cs="宋体"/>
          <w:color w:val="auto"/>
          <w:sz w:val="24"/>
          <w:highlight w:val="none"/>
          <w:lang w:val="en-US" w:eastAsia="zh-CN"/>
        </w:rPr>
        <w:t>潜在</w:t>
      </w:r>
      <w:r>
        <w:rPr>
          <w:rFonts w:hint="eastAsia" w:ascii="宋体" w:hAnsi="宋体" w:eastAsia="宋体" w:cs="宋体"/>
          <w:color w:val="auto"/>
          <w:sz w:val="24"/>
          <w:highlight w:val="none"/>
        </w:rPr>
        <w:t>投标人（答复中不包含问题的来源）要求澄清的问题，其他澄清方式为无效。</w:t>
      </w:r>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招标文件的修改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采购代理机构和采购单位可以视采购具体情况，延长投标截止时间和开标时间，采购人或代理机构将变更时间以网上公示形式通知所有招标文件收受人，并在云南省政府采购网、政府采购云平台上发布变更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2.3.3招标文件、招标文件澄清、招标文件修改文件内容均以网上发布的为准，当招标文件、招标文件澄清、招标文件修改文件内容相互矛盾时，以最后发出的为准。</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73" w:name="_Toc3157"/>
      <w:bookmarkStart w:id="74" w:name="_Toc3923"/>
      <w:bookmarkStart w:id="75" w:name="_Toc21794"/>
      <w:bookmarkStart w:id="76" w:name="_Toc10579"/>
      <w:r>
        <w:rPr>
          <w:rFonts w:hint="eastAsia" w:ascii="宋体" w:hAnsi="宋体" w:eastAsia="宋体" w:cs="宋体"/>
          <w:color w:val="auto"/>
          <w:szCs w:val="28"/>
          <w:highlight w:val="none"/>
        </w:rPr>
        <w:t>三、投标文件</w:t>
      </w:r>
      <w:bookmarkEnd w:id="73"/>
      <w:bookmarkEnd w:id="74"/>
      <w:bookmarkEnd w:id="75"/>
      <w:bookmarkEnd w:id="76"/>
    </w:p>
    <w:p>
      <w:pPr>
        <w:pageBreakBefore w:val="0"/>
        <w:kinsoku/>
        <w:overflowPunct/>
        <w:bidi w:val="0"/>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3.1投标文件的语言及度量衡单位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3.1.1</w:t>
      </w:r>
      <w:r>
        <w:rPr>
          <w:rFonts w:hint="eastAsia" w:ascii="宋体" w:hAnsi="宋体" w:eastAsia="宋体" w:cs="宋体"/>
          <w:color w:val="auto"/>
          <w:sz w:val="24"/>
          <w:highlight w:val="none"/>
        </w:rPr>
        <w:t>投标人提交的投标文件以及投标人与</w:t>
      </w:r>
      <w:r>
        <w:rPr>
          <w:rFonts w:hint="eastAsia" w:ascii="宋体" w:hAnsi="宋体" w:eastAsia="宋体" w:cs="宋体"/>
          <w:color w:val="auto"/>
          <w:sz w:val="24"/>
          <w:highlight w:val="none"/>
          <w:lang w:val="en-US" w:eastAsia="zh-CN"/>
        </w:rPr>
        <w:t>采购代理机构</w:t>
      </w:r>
      <w:r>
        <w:rPr>
          <w:rFonts w:hint="eastAsia" w:ascii="宋体" w:hAnsi="宋体" w:eastAsia="宋体" w:cs="宋体"/>
          <w:color w:val="auto"/>
          <w:sz w:val="24"/>
          <w:highlight w:val="none"/>
        </w:rPr>
        <w:t>就有关投标的所有来往函电均应使用中文。投标人可以提交其他语言打印的资料，但有关的段落必须翻译成中文，在有差异和矛盾时以中文为准。字体要便于辨识。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3.1.2</w:t>
      </w:r>
      <w:r>
        <w:rPr>
          <w:rFonts w:hint="eastAsia" w:ascii="宋体" w:hAnsi="宋体" w:eastAsia="宋体" w:cs="宋体"/>
          <w:color w:val="auto"/>
          <w:sz w:val="24"/>
          <w:highlight w:val="none"/>
        </w:rPr>
        <w:t>若有非中文版印刷的技术资料、资格证书等，投标人应提供符合中国有关法律、法规和规章的中文译本，并以中文译本为准。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3.1.3</w:t>
      </w:r>
      <w:r>
        <w:rPr>
          <w:rFonts w:hint="eastAsia" w:ascii="宋体" w:hAnsi="宋体" w:eastAsia="宋体" w:cs="宋体"/>
          <w:color w:val="auto"/>
          <w:sz w:val="24"/>
          <w:highlight w:val="none"/>
        </w:rPr>
        <w:t>投标文件中所使用的度量衡单位，除招标文件中有特殊要求外，一律采用中华人民共和国公制单位。</w:t>
      </w:r>
    </w:p>
    <w:p>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3.2</w:t>
      </w:r>
      <w:r>
        <w:rPr>
          <w:rFonts w:hint="eastAsia" w:ascii="宋体" w:hAnsi="宋体" w:eastAsia="宋体" w:cs="宋体"/>
          <w:b/>
          <w:color w:val="auto"/>
          <w:sz w:val="24"/>
          <w:highlight w:val="none"/>
        </w:rPr>
        <w:t>投标文件构成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3.2.1</w:t>
      </w:r>
      <w:r>
        <w:rPr>
          <w:rFonts w:hint="eastAsia" w:ascii="宋体" w:hAnsi="宋体" w:eastAsia="宋体" w:cs="宋体"/>
          <w:color w:val="auto"/>
          <w:sz w:val="24"/>
          <w:highlight w:val="none"/>
        </w:rPr>
        <w:t>投标人编写的投标文件应由第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章所列的内容构成。投标人在投标截止时间前和评标过程中作出的符合招标文件要求的澄清、说明和补正，构成投标文件的组成部分。</w:t>
      </w:r>
    </w:p>
    <w:p>
      <w:pPr>
        <w:pageBreakBefore w:val="0"/>
        <w:numPr>
          <w:ilvl w:val="0"/>
          <w:numId w:val="0"/>
        </w:numPr>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3.3</w:t>
      </w:r>
      <w:r>
        <w:rPr>
          <w:rFonts w:hint="eastAsia" w:ascii="宋体" w:hAnsi="宋体" w:eastAsia="宋体" w:cs="宋体"/>
          <w:b/>
          <w:color w:val="auto"/>
          <w:sz w:val="24"/>
          <w:highlight w:val="none"/>
        </w:rPr>
        <w:t>投标报价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投标人必须就“</w:t>
      </w:r>
      <w:r>
        <w:rPr>
          <w:rFonts w:hint="eastAsia" w:ascii="宋体" w:hAnsi="宋体" w:eastAsia="宋体" w:cs="宋体"/>
          <w:color w:val="auto"/>
          <w:sz w:val="24"/>
          <w:szCs w:val="24"/>
          <w:highlight w:val="none"/>
          <w:lang w:eastAsia="zh-CN"/>
        </w:rPr>
        <w:t>采购需求及技术参数要求</w:t>
      </w:r>
      <w:r>
        <w:rPr>
          <w:rFonts w:hint="eastAsia" w:ascii="宋体" w:hAnsi="宋体" w:eastAsia="宋体" w:cs="宋体"/>
          <w:color w:val="auto"/>
          <w:sz w:val="24"/>
          <w:szCs w:val="24"/>
          <w:highlight w:val="none"/>
        </w:rPr>
        <w:t>”中的货物内容按照要求作完整唯一报价，投标人的投标报价超出最高限价</w:t>
      </w:r>
      <w:r>
        <w:rPr>
          <w:rFonts w:hint="eastAsia" w:ascii="宋体" w:hAnsi="宋体" w:eastAsia="宋体" w:cs="宋体"/>
          <w:color w:val="auto"/>
          <w:sz w:val="24"/>
          <w:szCs w:val="24"/>
          <w:highlight w:val="none"/>
          <w:lang w:val="en-US" w:eastAsia="zh-CN"/>
        </w:rPr>
        <w:t>或采购预算单价或合价的</w:t>
      </w:r>
      <w:r>
        <w:rPr>
          <w:rFonts w:hint="eastAsia" w:ascii="宋体" w:hAnsi="宋体" w:eastAsia="宋体" w:cs="宋体"/>
          <w:color w:val="auto"/>
          <w:sz w:val="24"/>
          <w:szCs w:val="24"/>
          <w:highlight w:val="none"/>
        </w:rPr>
        <w:t>的按无效标处理。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应依据项目文件的要求及有关资料，按国家或行业现行技术经济标准、定额及规范，自行测算出满足本项目要求的报价。</w:t>
      </w:r>
      <w:r>
        <w:rPr>
          <w:rFonts w:hint="eastAsia" w:ascii="宋体" w:hAnsi="宋体" w:eastAsia="宋体" w:cs="宋体"/>
          <w:color w:val="auto"/>
          <w:sz w:val="24"/>
          <w:szCs w:val="24"/>
          <w:highlight w:val="none"/>
          <w:lang w:val="en-US" w:eastAsia="zh-CN"/>
        </w:rPr>
        <w:t>报价</w:t>
      </w:r>
      <w:r>
        <w:rPr>
          <w:rFonts w:hint="eastAsia" w:ascii="宋体" w:hAnsi="宋体" w:eastAsia="宋体" w:cs="宋体"/>
          <w:b w:val="0"/>
          <w:bCs w:val="0"/>
          <w:color w:val="auto"/>
          <w:sz w:val="24"/>
          <w:szCs w:val="24"/>
          <w:highlight w:val="none"/>
        </w:rPr>
        <w:t>应是完成本项目的全部费用，</w:t>
      </w:r>
      <w:r>
        <w:rPr>
          <w:rFonts w:hint="eastAsia" w:ascii="宋体" w:hAnsi="宋体" w:eastAsia="宋体" w:cs="宋体"/>
          <w:b w:val="0"/>
          <w:bCs w:val="0"/>
          <w:color w:val="auto"/>
          <w:sz w:val="24"/>
          <w:szCs w:val="24"/>
          <w:highlight w:val="none"/>
          <w:lang w:val="en-US" w:eastAsia="zh-CN"/>
        </w:rPr>
        <w:t>包括但不仅限于设备购置和安装、项目实施、运输、装卸、培训辅导、质保期售后服务、各项税金及此次应向采购代理公司缴纳的中标服务费等费用。合同一旦签订，此价格在合同实施期间将不因市场价格等的变化而调整</w:t>
      </w:r>
      <w:r>
        <w:rPr>
          <w:rFonts w:hint="eastAsia" w:ascii="宋体" w:hAnsi="宋体" w:eastAsia="宋体" w:cs="宋体"/>
          <w:color w:val="auto"/>
          <w:sz w:val="24"/>
          <w:szCs w:val="24"/>
          <w:highlight w:val="none"/>
        </w:rPr>
        <w:t>。该报价应考虑市场风险、政策性风险、汇率风险等因素，并能保证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完成履行合同所需的全部工作，该报价应符合国内行情并能保证投标人完成履行合同所需的一切工作。合同一旦签订，此合同价格在合同实施期间将不因市场设备材料价格的变化而调整。</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的投标报价也不得明显低于其他通过符合性审查的投标人报价，否则按《政府采购货物和服务招标投标管理办法》（财政部令第87号）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执行。</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3.3.4</w:t>
      </w:r>
      <w:r>
        <w:rPr>
          <w:rFonts w:hint="eastAsia" w:ascii="宋体" w:hAnsi="宋体" w:eastAsia="宋体" w:cs="宋体"/>
          <w:color w:val="auto"/>
          <w:sz w:val="24"/>
          <w:szCs w:val="24"/>
          <w:highlight w:val="none"/>
        </w:rPr>
        <w:t>投标文件中的单价、合价、总价全部采用人民币表示。</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eastAsia="zh-CN"/>
        </w:rPr>
        <w:t>异常低价问题</w:t>
      </w:r>
      <w:r>
        <w:rPr>
          <w:rFonts w:hint="eastAsia" w:ascii="宋体" w:hAnsi="宋体" w:eastAsia="宋体" w:cs="宋体"/>
          <w:b/>
          <w:bCs/>
          <w:color w:val="auto"/>
          <w:sz w:val="24"/>
          <w:szCs w:val="24"/>
          <w:highlight w:val="none"/>
        </w:rPr>
        <w:t>的处理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评审中出现下列情形之一的，评审委员会应当启动异常低价投标（响应）审查程序：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（1）投标（响应）报价低于全部通过符合性审查供应商投标（响应）报价平均值50%的，即投标（响应）报价＜全部通过符合性审查供应商投标（响应）报价平均值×50%；</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（2）投标（响应）报价低于通过符合性审查的次低报价供应商投标（响应）报价50%的，即投标（响应）报价＜通过符合性审查的次低报价供应商投标（响应）报价×50%；</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（3）投标（响应）报价低于采购项目最高限价45%的，即投标（响应）报价＜采购项目最高限价×45%；</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（4）评审委员会基于专业判断，认为供应商报价过低，有可能影响产品质量或者不能诚信履约的其他情形。</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相关法律法规对供应商报价有规定的，从其规定。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lang w:val="en-US" w:eastAsia="zh-CN"/>
        </w:rPr>
      </w:pPr>
      <w:r>
        <w:rPr>
          <w:rFonts w:hint="eastAsia" w:ascii="宋体" w:hAnsi="宋体" w:eastAsia="宋体" w:cs="宋体"/>
          <w:b/>
          <w:bCs/>
          <w:color w:val="auto"/>
          <w:sz w:val="24"/>
          <w:szCs w:val="24"/>
          <w:highlight w:val="none"/>
          <w:lang w:eastAsia="zh-CN"/>
        </w:rPr>
        <w:t>评审委员会启动异常低价投标（响应）审查后，属于前述（1）至（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3.4</w:t>
      </w:r>
      <w:r>
        <w:rPr>
          <w:rFonts w:hint="eastAsia" w:ascii="宋体" w:hAnsi="宋体" w:eastAsia="宋体" w:cs="宋体"/>
          <w:b/>
          <w:color w:val="auto"/>
          <w:sz w:val="24"/>
          <w:highlight w:val="none"/>
        </w:rPr>
        <w:t>投标有效期</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除投标人须知前附表另有规定外，投标文件有效期应为90日，从招标文件规定的递交投标文件的截止时间开始计算。</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出现特殊情况需要延长投标文件有效期的，采购人以云南省政府采购网、政府采购云平台发布通知形式通知所有投标人延长投标文件有效期，投标人应予以答复。同意延长的，应相应延长其投标保证金的有效期，但不得修改其投标文件；投标人拒绝延长的，其投标文件在原有效期届满后失效，但投标人有权收回其投标保证金。</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 投标有效期从提交投标文件的截止之日起算。投标文件中承诺的投标有效期应当不少于招标文件中载明的投标有效期。投标有效期内投标人撤销投标文件的，采购人或者采购代理机构不退还投标保证金。</w:t>
      </w:r>
    </w:p>
    <w:p>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3.5</w:t>
      </w:r>
      <w:r>
        <w:rPr>
          <w:rFonts w:hint="eastAsia" w:ascii="宋体" w:hAnsi="宋体" w:eastAsia="宋体" w:cs="宋体"/>
          <w:b/>
          <w:color w:val="auto"/>
          <w:sz w:val="24"/>
          <w:highlight w:val="none"/>
        </w:rPr>
        <w:t>投标保证金</w:t>
      </w:r>
    </w:p>
    <w:p>
      <w:pPr>
        <w:pStyle w:val="12"/>
        <w:keepNext w:val="0"/>
        <w:keepLines w:val="0"/>
        <w:pageBreakBefore w:val="0"/>
        <w:widowControl w:val="0"/>
        <w:tabs>
          <w:tab w:val="left" w:pos="710"/>
        </w:tabs>
        <w:kinsoku/>
        <w:wordWrap/>
        <w:overflowPunct/>
        <w:topLinePunct w:val="0"/>
        <w:autoSpaceDE/>
        <w:autoSpaceDN/>
        <w:bidi w:val="0"/>
        <w:adjustRightInd/>
        <w:snapToGrid/>
        <w:spacing w:line="360" w:lineRule="auto"/>
        <w:ind w:left="0" w:leftChars="0" w:right="0" w:rightChars="0" w:firstLine="448" w:firstLineChars="200"/>
        <w:jc w:val="both"/>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3.5.1</w:t>
      </w:r>
      <w:r>
        <w:rPr>
          <w:rFonts w:hint="eastAsia" w:ascii="宋体" w:hAnsi="宋体" w:eastAsia="宋体" w:cs="宋体"/>
          <w:color w:val="auto"/>
          <w:spacing w:val="-8"/>
          <w:sz w:val="24"/>
          <w:szCs w:val="24"/>
          <w:highlight w:val="none"/>
        </w:rPr>
        <w:t>投标保证金为人民币。投标人应在提交投标文件截止时间以前按“</w:t>
      </w:r>
      <w:r>
        <w:rPr>
          <w:rFonts w:hint="eastAsia" w:ascii="宋体" w:hAnsi="宋体" w:eastAsia="宋体" w:cs="宋体"/>
          <w:b w:val="0"/>
          <w:bCs/>
          <w:color w:val="auto"/>
          <w:spacing w:val="-8"/>
          <w:sz w:val="24"/>
          <w:szCs w:val="24"/>
          <w:highlight w:val="none"/>
        </w:rPr>
        <w:t>投标人须知前附表”</w:t>
      </w:r>
      <w:r>
        <w:rPr>
          <w:rFonts w:hint="eastAsia" w:ascii="宋体" w:hAnsi="宋体" w:eastAsia="宋体" w:cs="宋体"/>
          <w:color w:val="auto"/>
          <w:spacing w:val="-8"/>
          <w:sz w:val="24"/>
          <w:szCs w:val="24"/>
          <w:highlight w:val="none"/>
        </w:rPr>
        <w:t>规定的</w:t>
      </w:r>
      <w:r>
        <w:rPr>
          <w:rFonts w:hint="eastAsia" w:ascii="宋体" w:hAnsi="宋体" w:eastAsia="宋体" w:cs="宋体"/>
          <w:color w:val="auto"/>
          <w:spacing w:val="-8"/>
          <w:sz w:val="24"/>
          <w:szCs w:val="24"/>
          <w:highlight w:val="none"/>
          <w:lang w:val="en-US" w:eastAsia="zh-CN"/>
        </w:rPr>
        <w:t>提交投标保证金</w:t>
      </w:r>
      <w:r>
        <w:rPr>
          <w:rFonts w:hint="eastAsia" w:ascii="宋体" w:hAnsi="宋体" w:eastAsia="宋体" w:cs="宋体"/>
          <w:color w:val="auto"/>
          <w:spacing w:val="-8"/>
          <w:sz w:val="24"/>
          <w:szCs w:val="24"/>
          <w:highlight w:val="none"/>
        </w:rPr>
        <w:t>，并在规定的时间内保持有效。</w:t>
      </w:r>
    </w:p>
    <w:p>
      <w:pPr>
        <w:pStyle w:val="12"/>
        <w:keepNext w:val="0"/>
        <w:keepLines w:val="0"/>
        <w:pageBreakBefore w:val="0"/>
        <w:widowControl w:val="0"/>
        <w:tabs>
          <w:tab w:val="left" w:pos="710"/>
        </w:tabs>
        <w:kinsoku/>
        <w:wordWrap/>
        <w:overflowPunct/>
        <w:topLinePunct w:val="0"/>
        <w:autoSpaceDE/>
        <w:autoSpaceDN/>
        <w:bidi w:val="0"/>
        <w:adjustRightInd/>
        <w:snapToGrid/>
        <w:spacing w:line="360" w:lineRule="auto"/>
        <w:ind w:left="0" w:leftChars="0" w:right="0" w:rightChars="0" w:firstLine="448" w:firstLineChars="200"/>
        <w:jc w:val="both"/>
        <w:textAlignment w:val="auto"/>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3.5.2</w:t>
      </w:r>
      <w:r>
        <w:rPr>
          <w:rFonts w:hint="eastAsia" w:ascii="宋体" w:hAnsi="宋体" w:eastAsia="宋体" w:cs="宋体"/>
          <w:color w:val="auto"/>
          <w:spacing w:val="-8"/>
          <w:sz w:val="24"/>
          <w:szCs w:val="24"/>
          <w:highlight w:val="none"/>
        </w:rPr>
        <w:t>除投标人须知前附表另有规定外，采购人将在发出中标通知书后5个工作日退还未中标人的投标保证金，并在采购合同签订后5个工作日内退还中标人的投标保证金。</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投标人在投标截止时间前撤回已提交的投标文件的，采购人、采购代理机构应当自收到投标人撤回通知之日起5个工作日内，退还已收取的投标保证金，但因投标人自身原因导致无法及时退还的除外。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3.5.4</w:t>
      </w:r>
      <w:r>
        <w:rPr>
          <w:rFonts w:hint="eastAsia" w:ascii="宋体" w:hAnsi="宋体" w:eastAsia="宋体" w:cs="宋体"/>
          <w:color w:val="auto"/>
          <w:sz w:val="24"/>
          <w:highlight w:val="none"/>
        </w:rPr>
        <w:t>有下列情形之一的，投标保证金将不予退还：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（1）投标人在提交投标文件截止时间后撤回投标文件的；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（2）投标人在投标文件中提供虚假材料的；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（3）除因不可抗力或招标文件认可的情形以外，中标投标人不与采购人签订合同的；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（4）投标人与采购人、其他投标人或者采购代理机构恶意串通的；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5）法律法规规定的其他情形。</w:t>
      </w:r>
    </w:p>
    <w:p>
      <w:pPr>
        <w:pageBreakBefore w:val="0"/>
        <w:kinsoku/>
        <w:overflowPunct/>
        <w:bidi w:val="0"/>
        <w:spacing w:line="360" w:lineRule="auto"/>
        <w:jc w:val="left"/>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3.6</w:t>
      </w:r>
      <w:r>
        <w:rPr>
          <w:rFonts w:hint="eastAsia" w:ascii="宋体" w:hAnsi="宋体" w:eastAsia="宋体" w:cs="宋体"/>
          <w:b/>
          <w:bCs w:val="0"/>
          <w:color w:val="auto"/>
          <w:sz w:val="24"/>
          <w:highlight w:val="none"/>
        </w:rPr>
        <w:t>投标文件</w:t>
      </w:r>
      <w:r>
        <w:rPr>
          <w:rFonts w:hint="eastAsia" w:ascii="宋体" w:hAnsi="宋体" w:eastAsia="宋体" w:cs="宋体"/>
          <w:b/>
          <w:bCs w:val="0"/>
          <w:color w:val="auto"/>
          <w:sz w:val="24"/>
          <w:highlight w:val="none"/>
          <w:lang w:val="en-US" w:eastAsia="zh-CN"/>
        </w:rPr>
        <w:t>的编制</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rPr>
        <w:t>投标文件应按第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章“投标文件格式”进行编写，如有必要，可以增加附页，作为投标文件的组成部分。其中，投标函在满足招标文件实质性要求的基础上，可以提出比招标文件要求更有利于采购人的承诺。</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3.6.2</w:t>
      </w:r>
      <w:r>
        <w:rPr>
          <w:rFonts w:hint="eastAsia" w:ascii="宋体" w:hAnsi="宋体" w:eastAsia="宋体" w:cs="宋体"/>
          <w:color w:val="auto"/>
          <w:sz w:val="24"/>
          <w:szCs w:val="24"/>
          <w:highlight w:val="none"/>
        </w:rPr>
        <w:t>投标人应仔细阅读招标文件，在完全了解采购的内容、技术性能要求(详见“第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采购需求及技术参数要求</w:t>
      </w:r>
      <w:r>
        <w:rPr>
          <w:rFonts w:hint="eastAsia" w:ascii="宋体" w:hAnsi="宋体" w:eastAsia="宋体" w:cs="宋体"/>
          <w:color w:val="auto"/>
          <w:sz w:val="24"/>
          <w:szCs w:val="24"/>
          <w:highlight w:val="none"/>
        </w:rPr>
        <w:t>”)和商务条件后，编写投标文件。如果没有按照招标文件要求提交全部投标文件或者资料，没有对招标文件的实质性要求和条件作出响应是投标人的风险，并可能导致该投标被拒绝。</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rPr>
        <w:t>对招标文件提出的实质性要求和条件作出响应是指投标人必须对招标文件中标明实质性要求和条件的技术参数及性能配置、数量、售后服务、合同主要条款及其它要求等内容作出满足或者优于原要求和条件的承诺。</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3.6.4</w:t>
      </w:r>
      <w:r>
        <w:rPr>
          <w:rFonts w:hint="eastAsia" w:ascii="宋体" w:hAnsi="宋体" w:eastAsia="宋体" w:cs="宋体"/>
          <w:color w:val="auto"/>
          <w:sz w:val="24"/>
          <w:szCs w:val="24"/>
          <w:highlight w:val="none"/>
        </w:rPr>
        <w:t>投标人应保证所提供资料的真实有效，如因资料弄虚作假所引起的一切后果由投标人自行承担。</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3.6.5</w:t>
      </w:r>
      <w:r>
        <w:rPr>
          <w:rFonts w:hint="eastAsia" w:ascii="宋体" w:hAnsi="宋体" w:eastAsia="宋体" w:cs="宋体"/>
          <w:b/>
          <w:bCs/>
          <w:color w:val="auto"/>
          <w:sz w:val="24"/>
          <w:szCs w:val="24"/>
          <w:highlight w:val="none"/>
          <w:lang w:val="en-US" w:eastAsia="zh-CN"/>
        </w:rPr>
        <w:t>本项目所述的投标文件指电子投标文件。</w:t>
      </w:r>
      <w:r>
        <w:rPr>
          <w:rFonts w:hint="eastAsia" w:ascii="宋体" w:hAnsi="宋体" w:eastAsia="宋体" w:cs="宋体"/>
          <w:color w:val="auto"/>
          <w:sz w:val="24"/>
          <w:szCs w:val="24"/>
          <w:highlight w:val="none"/>
          <w:lang w:val="en-US" w:eastAsia="zh-CN"/>
        </w:rPr>
        <w:t>电子投标文件的制作应使用“政采云投标客户端”，投标人下载“政采云投标客户端”，通过“政采云投标客户端”编制并生成加密的投标文件；“政采云投标客户端”提供数字证书（CA）对投标文件进行加密功能。投标人对网上递交的投标文件应加密。如果投标人使用某个数字证书（CA）对投标文件进行了数字证书（CA）加密，需要在开标时使用该数字证书（CA）进行解密，才能读取或导入投标文件，如因投标人自身原因导致在规定时间内无法正常解密的（如：浏览器故障、未安装相关驱动、网络故障、加密CA与解密CA不一致等），采购代理机构不予异常处理，视为投标人自动弃标。</w:t>
      </w:r>
    </w:p>
    <w:p>
      <w:pPr>
        <w:pageBreakBefore w:val="0"/>
        <w:kinsoku/>
        <w:wordWrap w:val="0"/>
        <w:overflowPunct/>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bCs/>
          <w:sz w:val="24"/>
          <w:szCs w:val="24"/>
          <w:highlight w:val="none"/>
        </w:rPr>
        <w:t>在使用政采云投标客户端时，建议使用WIN7（64位）及以上操作系统。客户端请至政采云公司网站（https://edu.zcygov.cn/luban/yunnan-dzjy-gys）进行查看下载，如有问题可拨打政采云客户服务热线95763进行咨询。</w:t>
      </w:r>
    </w:p>
    <w:p>
      <w:pPr>
        <w:pageBreakBefore w:val="0"/>
        <w:kinsoku/>
        <w:overflowPunct/>
        <w:bidi w:val="0"/>
        <w:spacing w:line="360" w:lineRule="auto"/>
        <w:jc w:val="lef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3.7投标文件的提交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3.7.1</w:t>
      </w:r>
      <w:r>
        <w:rPr>
          <w:rFonts w:hint="eastAsia" w:ascii="宋体" w:hAnsi="宋体" w:eastAsia="宋体" w:cs="宋体"/>
          <w:color w:val="auto"/>
          <w:sz w:val="24"/>
          <w:highlight w:val="none"/>
        </w:rPr>
        <w:t>本项目投标将采用电子评审。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3.7.2投标人对网上提交的投标文件必须加密，如果投标人使用某个数字证书（CA）对投标文件进行了数字证书（CA）加密，需要在开标过程中使用该数字证书（CA）进行解密，才能读取或导入投标文件，因投标人原因造成投标文件未解密的，视为撤回其投标文件</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3.7.3</w:t>
      </w:r>
      <w:r>
        <w:rPr>
          <w:rFonts w:hint="eastAsia" w:ascii="宋体" w:hAnsi="宋体" w:eastAsia="宋体" w:cs="宋体"/>
          <w:color w:val="auto"/>
          <w:sz w:val="24"/>
          <w:highlight w:val="none"/>
        </w:rPr>
        <w:t>网上递交投标文件截止时间：详见“投标人须知前附表”，投标人须在投标截止时间前完成所有投标文件的上传。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3.7.4</w:t>
      </w:r>
      <w:r>
        <w:rPr>
          <w:rFonts w:hint="eastAsia" w:ascii="宋体" w:hAnsi="宋体" w:eastAsia="宋体" w:cs="宋体"/>
          <w:color w:val="auto"/>
          <w:sz w:val="24"/>
          <w:highlight w:val="none"/>
        </w:rPr>
        <w:t>在规定的投标截止时间前，投标人可以修改或撤回已在网上递交的电子投标文件，无须书面形式通知采购代理机构。修改的电子投标文件应按照有关电子投标文件规定进行编制、加密和提交。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3.7.5</w:t>
      </w:r>
      <w:r>
        <w:rPr>
          <w:rFonts w:hint="eastAsia" w:ascii="宋体" w:hAnsi="宋体" w:eastAsia="宋体" w:cs="宋体"/>
          <w:color w:val="auto"/>
          <w:sz w:val="24"/>
          <w:highlight w:val="none"/>
        </w:rPr>
        <w:t>电子投标文件的提交不得迟于“投标人须知前附表”规定的提交截止时间。</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77" w:name="_Toc29886"/>
      <w:bookmarkStart w:id="78" w:name="_Toc24839"/>
      <w:bookmarkStart w:id="79" w:name="_Toc4151"/>
      <w:bookmarkStart w:id="80" w:name="_Toc29914"/>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、开标</w:t>
      </w:r>
      <w:bookmarkEnd w:id="77"/>
      <w:bookmarkEnd w:id="78"/>
      <w:bookmarkEnd w:id="79"/>
      <w:bookmarkEnd w:id="80"/>
    </w:p>
    <w:p>
      <w:pPr>
        <w:pageBreakBefore w:val="0"/>
        <w:kinsoku/>
        <w:overflowPunct/>
        <w:bidi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4.1</w:t>
      </w:r>
      <w:r>
        <w:rPr>
          <w:rFonts w:hint="eastAsia" w:ascii="宋体" w:hAnsi="宋体" w:eastAsia="宋体" w:cs="宋体"/>
          <w:b/>
          <w:color w:val="auto"/>
          <w:sz w:val="24"/>
          <w:highlight w:val="none"/>
        </w:rPr>
        <w:t>开标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4.1.1采购代理机构将在“投标人须知前附表”规定的时间和地点进行开标。</w:t>
      </w:r>
    </w:p>
    <w:p>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4.1.2开标程序详见“投标人须知前附表”。</w:t>
      </w:r>
    </w:p>
    <w:p>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（1）开标会由采购代理机构主持，主持人宣布开标会议开始；</w:t>
      </w:r>
    </w:p>
    <w:p>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（2）介绍参加开标会的人员名单；</w:t>
      </w:r>
    </w:p>
    <w:p>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（3）打开智能开标系统，投标人在规定时间内完成投标文件解密。</w:t>
      </w:r>
    </w:p>
    <w:p>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各投标人核对开标记录表中各项数据；如有问题，可以在线提出异议，由采购代理机构给予对应的回复。开标端发起对本次开标过程是否有异议询问后，不确认或不及时提出异议，视为对本次开标过程无异议。</w:t>
      </w:r>
    </w:p>
    <w:p>
      <w:pPr>
        <w:pageBreakBefore w:val="0"/>
        <w:kinsoku/>
        <w:overflowPunct/>
        <w:bidi w:val="0"/>
        <w:snapToGrid w:val="0"/>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（5）代理机构确认开标会议结束。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4.1.3采购代理机构将做开标记录并存档备查。</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lang w:val="en-US" w:eastAsia="zh-CN"/>
        </w:rPr>
      </w:pPr>
      <w:bookmarkStart w:id="81" w:name="_Toc3475"/>
      <w:bookmarkStart w:id="82" w:name="_Toc7057"/>
      <w:bookmarkStart w:id="83" w:name="_Toc29419"/>
      <w:bookmarkStart w:id="84" w:name="_Toc25414"/>
      <w:r>
        <w:rPr>
          <w:rFonts w:hint="eastAsia" w:ascii="宋体" w:hAnsi="宋体" w:eastAsia="宋体" w:cs="宋体"/>
          <w:color w:val="auto"/>
          <w:szCs w:val="28"/>
          <w:highlight w:val="none"/>
          <w:lang w:val="en-US" w:eastAsia="zh-CN"/>
        </w:rPr>
        <w:t>五、资格审查</w:t>
      </w:r>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开标会议结束后，由采购人或采购代理机构依据资格审查标准对投标人投标文件进行资格审查，资格审查合格投标人不足3家的，不得进入下一步评标。第五章“评标方法（综合评分法）”的第一款各项评审内容及标准均为招标文件的实质性要求，投标文件响应各款所列材料在开标后不得澄清、后补。并向评标委员会提交资格审查报告。</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lang w:val="en-US" w:eastAsia="zh-CN"/>
        </w:rPr>
      </w:pPr>
      <w:bookmarkStart w:id="85" w:name="_Toc6296"/>
      <w:bookmarkStart w:id="86" w:name="_Toc9661"/>
      <w:bookmarkStart w:id="87" w:name="_Toc32631"/>
      <w:bookmarkStart w:id="88" w:name="_Toc3027"/>
      <w:r>
        <w:rPr>
          <w:rFonts w:hint="eastAsia" w:ascii="宋体" w:hAnsi="宋体" w:eastAsia="宋体" w:cs="宋体"/>
          <w:color w:val="auto"/>
          <w:szCs w:val="28"/>
          <w:highlight w:val="none"/>
          <w:lang w:val="en-US" w:eastAsia="zh-CN"/>
        </w:rPr>
        <w:t>六、评标</w:t>
      </w:r>
      <w:bookmarkEnd w:id="85"/>
      <w:bookmarkEnd w:id="86"/>
      <w:bookmarkEnd w:id="87"/>
      <w:bookmarkEnd w:id="88"/>
    </w:p>
    <w:p>
      <w:pPr>
        <w:pageBreakBefore w:val="0"/>
        <w:kinsoku/>
        <w:overflowPunct/>
        <w:bidi w:val="0"/>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6.1评标委员会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6.1.1评标由采购人依法组建的评标委员会负责。评标委员会由采购人代表和有关技术、经济等方面的专家组成，成员人数应当为5人或以上单数。其中，技术、经济等方面的专家不得少于成员总数的三分之二。评标委员会应当推选组长，但采购人代表不得担任组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6.1.2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6.1.3采购人委派代表参加评标委员会的，要向采购代理机构出具授权函。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6.1.4评标委员会成员有下列情形之一的，应当回避：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（1）采购人或投标人的主要负责人的近亲属；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评审专家发现本人与参加采购活动的投标人有利害关系的，应当主动提出回避。采购人或者采购代理机构发现评审专家与参加采购活动的投标人有利害关系的，应当要求其回避。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6.1.5评标中因评标委员会成员缺席、回避或者健康等特殊原因导致评标委员会组成不符合招标文件规定的，采购人或者采购代理机构应当按规定补足后继续评标。被更换的评标委员会成员所作出的评标意见无效。无法及时补足评标委员会成员的，采购人或者采购代理机构应当停止评标活动，封存所有投标文件和开标、评标资料，重新组建评标委员会进行评标。原评标委员会所作出的评标意见无效。采购人或者采购代理机构应当将变更、重新组建评标委员会的情况予以记录，并随招标文件一并存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6.1.6评标委员会负责具体评标事务，并独立履行下列职责：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（2）要求投标人对投标文件有关事项作出澄清或者说明；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（3）对投标文件进行比较和评价；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（4）确定中标候选人名单，以及根据采购人委托直接确定中标人；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（5）向采购人、采购代理机构或者有关部门报告评标中发现的违法行为。</w:t>
      </w:r>
    </w:p>
    <w:p>
      <w:pPr>
        <w:pageBreakBefore w:val="0"/>
        <w:kinsoku/>
        <w:overflowPunct/>
        <w:bidi w:val="0"/>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6.2评标工作</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6.2.1</w:t>
      </w:r>
      <w:r>
        <w:rPr>
          <w:rFonts w:hint="eastAsia" w:ascii="宋体" w:hAnsi="宋体" w:eastAsia="宋体" w:cs="宋体"/>
          <w:bCs/>
          <w:color w:val="auto"/>
          <w:sz w:val="24"/>
          <w:szCs w:val="24"/>
          <w:highlight w:val="none"/>
        </w:rPr>
        <w:t>评标原则</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评标活动遵循公平、公正、科学和择优的原则。</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6.2.2评标方法</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本项目的具体评标方法详见第五章。</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6.2.3评标工作程序</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w:t>
      </w:r>
      <w:r>
        <w:rPr>
          <w:rFonts w:hint="eastAsia" w:ascii="宋体" w:hAnsi="宋体" w:eastAsia="宋体" w:cs="宋体"/>
          <w:b w:val="0"/>
          <w:bCs w:val="0"/>
          <w:color w:val="auto"/>
          <w:sz w:val="24"/>
          <w:highlight w:val="none"/>
        </w:rPr>
        <w:t>会按照第</w:t>
      </w:r>
      <w:r>
        <w:rPr>
          <w:rFonts w:hint="eastAsia" w:ascii="宋体" w:hAnsi="宋体" w:eastAsia="宋体" w:cs="宋体"/>
          <w:b w:val="0"/>
          <w:bCs w:val="0"/>
          <w:color w:val="auto"/>
          <w:sz w:val="24"/>
          <w:highlight w:val="none"/>
          <w:lang w:val="en-US" w:eastAsia="zh-CN"/>
        </w:rPr>
        <w:t>五</w:t>
      </w:r>
      <w:r>
        <w:rPr>
          <w:rFonts w:hint="eastAsia" w:ascii="宋体" w:hAnsi="宋体" w:eastAsia="宋体" w:cs="宋体"/>
          <w:b w:val="0"/>
          <w:bCs w:val="0"/>
          <w:color w:val="auto"/>
          <w:sz w:val="24"/>
          <w:highlight w:val="none"/>
        </w:rPr>
        <w:t>章“</w:t>
      </w:r>
      <w:r>
        <w:rPr>
          <w:rFonts w:hint="eastAsia" w:ascii="宋体" w:hAnsi="宋体" w:eastAsia="宋体" w:cs="宋体"/>
          <w:b w:val="0"/>
          <w:bCs w:val="0"/>
          <w:color w:val="auto"/>
          <w:sz w:val="24"/>
          <w:highlight w:val="none"/>
          <w:lang w:eastAsia="zh-CN"/>
        </w:rPr>
        <w:t>评标方法</w:t>
      </w:r>
      <w:r>
        <w:rPr>
          <w:rFonts w:hint="eastAsia" w:ascii="宋体" w:hAnsi="宋体" w:eastAsia="宋体" w:cs="宋体"/>
          <w:b w:val="0"/>
          <w:bCs w:val="0"/>
          <w:color w:val="auto"/>
          <w:sz w:val="24"/>
          <w:highlight w:val="none"/>
        </w:rPr>
        <w:t>”规定的方法、评审因素、标准和程序对投标文件进行评审。第</w:t>
      </w:r>
      <w:r>
        <w:rPr>
          <w:rFonts w:hint="eastAsia" w:ascii="宋体" w:hAnsi="宋体" w:eastAsia="宋体" w:cs="宋体"/>
          <w:b w:val="0"/>
          <w:bCs w:val="0"/>
          <w:color w:val="auto"/>
          <w:sz w:val="24"/>
          <w:highlight w:val="none"/>
          <w:lang w:val="en-US" w:eastAsia="zh-CN"/>
        </w:rPr>
        <w:t>五</w:t>
      </w:r>
      <w:r>
        <w:rPr>
          <w:rFonts w:hint="eastAsia" w:ascii="宋体" w:hAnsi="宋体" w:eastAsia="宋体" w:cs="宋体"/>
          <w:b w:val="0"/>
          <w:bCs w:val="0"/>
          <w:color w:val="auto"/>
          <w:sz w:val="24"/>
          <w:highlight w:val="none"/>
        </w:rPr>
        <w:t>章“</w:t>
      </w:r>
      <w:r>
        <w:rPr>
          <w:rFonts w:hint="eastAsia" w:ascii="宋体" w:hAnsi="宋体" w:eastAsia="宋体" w:cs="宋体"/>
          <w:b w:val="0"/>
          <w:bCs w:val="0"/>
          <w:color w:val="auto"/>
          <w:sz w:val="24"/>
          <w:highlight w:val="none"/>
          <w:lang w:eastAsia="zh-CN"/>
        </w:rPr>
        <w:t>评标方法</w:t>
      </w:r>
      <w:r>
        <w:rPr>
          <w:rFonts w:hint="eastAsia" w:ascii="宋体" w:hAnsi="宋体" w:eastAsia="宋体" w:cs="宋体"/>
          <w:b w:val="0"/>
          <w:bCs w:val="0"/>
          <w:color w:val="auto"/>
          <w:sz w:val="24"/>
          <w:highlight w:val="none"/>
        </w:rPr>
        <w:t>”没有规</w:t>
      </w:r>
      <w:r>
        <w:rPr>
          <w:rFonts w:hint="eastAsia" w:ascii="宋体" w:hAnsi="宋体" w:eastAsia="宋体" w:cs="宋体"/>
          <w:color w:val="auto"/>
          <w:sz w:val="24"/>
          <w:highlight w:val="none"/>
        </w:rPr>
        <w:t>定的方法、评审因素和标准，不作为评标依据。</w:t>
      </w:r>
      <w:r>
        <w:rPr>
          <w:rFonts w:hint="eastAsia" w:ascii="宋体" w:hAnsi="宋体" w:eastAsia="宋体" w:cs="宋体"/>
          <w:bCs/>
          <w:color w:val="auto"/>
          <w:kern w:val="1"/>
          <w:sz w:val="24"/>
          <w:szCs w:val="24"/>
          <w:highlight w:val="none"/>
        </w:rPr>
        <w:t>评标完成后，评标委员会应向采购人提交书面评标报告。</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6.2.4</w:t>
      </w:r>
      <w:r>
        <w:rPr>
          <w:rFonts w:hint="eastAsia" w:ascii="宋体" w:hAnsi="宋体" w:eastAsia="宋体" w:cs="宋体"/>
          <w:color w:val="auto"/>
          <w:sz w:val="24"/>
          <w:szCs w:val="24"/>
          <w:highlight w:val="none"/>
        </w:rPr>
        <w:t>评标过程的保密。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pPr>
        <w:pStyle w:val="12"/>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6.3</w:t>
      </w:r>
      <w:r>
        <w:rPr>
          <w:rFonts w:hint="eastAsia" w:ascii="宋体" w:hAnsi="宋体" w:eastAsia="宋体" w:cs="宋体"/>
          <w:b/>
          <w:color w:val="auto"/>
          <w:sz w:val="24"/>
          <w:szCs w:val="24"/>
          <w:highlight w:val="none"/>
        </w:rPr>
        <w:t>投标文件计算错误的修正</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6.3.1</w:t>
      </w:r>
      <w:r>
        <w:rPr>
          <w:rFonts w:hint="eastAsia" w:ascii="宋体" w:hAnsi="宋体" w:eastAsia="宋体" w:cs="宋体"/>
          <w:bCs/>
          <w:color w:val="auto"/>
          <w:sz w:val="24"/>
          <w:szCs w:val="24"/>
          <w:highlight w:val="none"/>
        </w:rPr>
        <w:t>投标文件报价出现前后不一致的，除招标文件另有规定外，按照下列规定修正：</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（1）投标文件中开标一览表（报价表）内容与投标文件中相应内容不一致的，以开标一览表（报价表）为准；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按上述修正错误的原则及方法调整或修正投标文件的投标报价，同时出现两种以上不一致的，按照前款规定的顺序修正。投标人同意后，调整后的投标报价对投标人起约束作用。如果投标人不接受修正后的报价，则其投标按无效标处理。</w:t>
      </w:r>
    </w:p>
    <w:p>
      <w:pPr>
        <w:pStyle w:val="12"/>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6.4</w:t>
      </w:r>
      <w:r>
        <w:rPr>
          <w:rFonts w:hint="eastAsia" w:ascii="宋体" w:hAnsi="宋体" w:eastAsia="宋体" w:cs="宋体"/>
          <w:b/>
          <w:color w:val="auto"/>
          <w:sz w:val="24"/>
          <w:szCs w:val="24"/>
          <w:highlight w:val="none"/>
        </w:rPr>
        <w:t>投标无效的情形</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审结果。</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6.4.1</w:t>
      </w:r>
      <w:r>
        <w:rPr>
          <w:rFonts w:hint="eastAsia" w:ascii="宋体" w:hAnsi="宋体" w:eastAsia="宋体" w:cs="宋体"/>
          <w:b w:val="0"/>
          <w:bCs/>
          <w:color w:val="auto"/>
          <w:sz w:val="24"/>
          <w:szCs w:val="24"/>
          <w:highlight w:val="none"/>
        </w:rPr>
        <w:t>在符合性审查时，如发现下列情形之一的，投标文件将被视为无效：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（1）未按照招标文件的规定提交投标保证金的；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（2）报价超过招标文件中规定的预算金额且采购人不能承担的；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（3）投标文件的签署不符合第二章投标人须知前附表第22项规定；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法人身份证明书、授权委托书不符合招标</w:t>
      </w:r>
      <w:r>
        <w:rPr>
          <w:rFonts w:hint="eastAsia" w:ascii="宋体" w:hAnsi="宋体" w:eastAsia="宋体" w:cs="宋体"/>
          <w:b w:val="0"/>
          <w:bCs/>
          <w:color w:val="auto"/>
          <w:sz w:val="24"/>
          <w:szCs w:val="24"/>
          <w:highlight w:val="none"/>
          <w:lang w:eastAsia="zh-CN"/>
        </w:rPr>
        <w:t>文件要求；</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lang w:val="en-US" w:eastAsia="zh-CN"/>
        </w:rPr>
        <w:t>未按照招标文件要求编制的或</w:t>
      </w:r>
      <w:r>
        <w:rPr>
          <w:rFonts w:hint="eastAsia" w:ascii="宋体" w:hAnsi="宋体" w:eastAsia="宋体" w:cs="宋体"/>
          <w:b w:val="0"/>
          <w:bCs/>
          <w:color w:val="auto"/>
          <w:sz w:val="24"/>
          <w:szCs w:val="24"/>
          <w:highlight w:val="none"/>
          <w:lang w:eastAsia="zh-CN"/>
        </w:rPr>
        <w:t>投标文件关键字迹模糊、无法辨认的；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）法律法规和招标文件规定的其他无效情形或投标文件含有采购人不能接受的附加条件的；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不符合招标文件中规定的其它实质性要求</w:t>
      </w:r>
      <w:r>
        <w:rPr>
          <w:rFonts w:hint="eastAsia" w:ascii="宋体" w:hAnsi="宋体" w:eastAsia="宋体" w:cs="宋体"/>
          <w:color w:val="auto"/>
          <w:sz w:val="24"/>
          <w:szCs w:val="24"/>
          <w:highlight w:val="none"/>
          <w:lang w:eastAsia="zh-CN"/>
        </w:rPr>
        <w:t>，不满足招标文件标注“</w:t>
      </w:r>
      <w:r>
        <w:rPr>
          <w:rFonts w:hint="eastAsia" w:ascii="宋体" w:hAnsi="宋体" w:eastAsia="宋体" w:cs="宋体"/>
          <w:b/>
          <w:color w:val="auto"/>
          <w:sz w:val="24"/>
          <w:szCs w:val="24"/>
          <w:lang w:eastAsia="zh-CN" w:bidi="ar"/>
        </w:rPr>
        <w:t>★</w:t>
      </w:r>
      <w:r>
        <w:rPr>
          <w:rFonts w:hint="eastAsia" w:ascii="宋体" w:hAnsi="宋体" w:eastAsia="宋体" w:cs="宋体"/>
          <w:color w:val="auto"/>
          <w:sz w:val="24"/>
          <w:szCs w:val="24"/>
          <w:highlight w:val="none"/>
          <w:lang w:eastAsia="zh-CN"/>
        </w:rPr>
        <w:t>”号条款的实质性要求</w:t>
      </w:r>
      <w:r>
        <w:rPr>
          <w:rFonts w:hint="eastAsia" w:ascii="宋体" w:hAnsi="宋体" w:eastAsia="宋体" w:cs="宋体"/>
          <w:b w:val="0"/>
          <w:bCs/>
          <w:color w:val="auto"/>
          <w:sz w:val="24"/>
          <w:szCs w:val="24"/>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6.4.2</w:t>
      </w:r>
      <w:r>
        <w:rPr>
          <w:rFonts w:hint="eastAsia" w:ascii="宋体" w:hAnsi="宋体" w:eastAsia="宋体" w:cs="宋体"/>
          <w:b w:val="0"/>
          <w:bCs/>
          <w:color w:val="auto"/>
          <w:sz w:val="24"/>
          <w:szCs w:val="24"/>
          <w:highlight w:val="none"/>
        </w:rPr>
        <w:t>有下列情形之一的，视为投标人串通投标，其投标无效：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（1）不同投标人的投标文件由同一单位或者个人编制；</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（2）不同投标人委托同一单位或者个人办理投标事宜；</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（3）不同投标人的投标文件载明的项目管理成员或者联系人员为同一人；</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（4）不同投标人的投标文件异常一致或者投标报价呈规律性差异；</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（5）不同投标人的投标文件相互混装；</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（6）不同投标人的投标保证金从同一单位或者个人的账户转出。</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6.4.3</w:t>
      </w:r>
      <w:r>
        <w:rPr>
          <w:rFonts w:hint="eastAsia" w:ascii="宋体" w:hAnsi="宋体" w:eastAsia="宋体" w:cs="宋体"/>
          <w:b w:val="0"/>
          <w:bCs/>
          <w:color w:val="auto"/>
          <w:sz w:val="24"/>
          <w:szCs w:val="24"/>
          <w:highlight w:val="none"/>
        </w:rPr>
        <w:t>出现下列情形之一的，按废标处理：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（1）符合专业条件的投标人或者对招标文件作实质响应的投标人不足三家的；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（2）出现影响采购公正的违法、违规行为的；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（3）投标人的报价均超过了采购预算价，采购人不能支付的；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（4）因重大变故，采购任务取消的。</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rPr>
      </w:pPr>
      <w:bookmarkStart w:id="89" w:name="_Toc13168"/>
      <w:bookmarkStart w:id="90" w:name="_Toc9387"/>
      <w:bookmarkStart w:id="91" w:name="_Toc12243"/>
      <w:bookmarkStart w:id="92" w:name="_Toc30778"/>
      <w:r>
        <w:rPr>
          <w:rFonts w:hint="eastAsia" w:ascii="宋体" w:hAnsi="宋体" w:eastAsia="宋体" w:cs="宋体"/>
          <w:color w:val="auto"/>
          <w:szCs w:val="28"/>
          <w:highlight w:val="none"/>
          <w:lang w:val="en-US" w:eastAsia="zh-CN"/>
        </w:rPr>
        <w:t>七、</w:t>
      </w:r>
      <w:r>
        <w:rPr>
          <w:rFonts w:hint="eastAsia" w:ascii="宋体" w:hAnsi="宋体" w:eastAsia="宋体" w:cs="宋体"/>
          <w:color w:val="auto"/>
          <w:szCs w:val="28"/>
          <w:highlight w:val="none"/>
        </w:rPr>
        <w:t>中标</w:t>
      </w:r>
      <w:r>
        <w:rPr>
          <w:rFonts w:hint="eastAsia" w:ascii="宋体" w:hAnsi="宋体" w:eastAsia="宋体" w:cs="宋体"/>
          <w:color w:val="auto"/>
          <w:szCs w:val="28"/>
          <w:highlight w:val="none"/>
          <w:lang w:val="en-US" w:eastAsia="zh-CN"/>
        </w:rPr>
        <w:t>和合同</w:t>
      </w:r>
      <w:bookmarkEnd w:id="89"/>
      <w:bookmarkEnd w:id="90"/>
      <w:bookmarkEnd w:id="91"/>
      <w:bookmarkEnd w:id="92"/>
    </w:p>
    <w:p>
      <w:pPr>
        <w:pStyle w:val="12"/>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7.1</w:t>
      </w:r>
      <w:r>
        <w:rPr>
          <w:rFonts w:hint="eastAsia" w:ascii="宋体" w:hAnsi="宋体" w:eastAsia="宋体" w:cs="宋体"/>
          <w:b/>
          <w:color w:val="auto"/>
          <w:sz w:val="24"/>
          <w:szCs w:val="24"/>
          <w:highlight w:val="none"/>
        </w:rPr>
        <w:t>中标人的确定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7.1.1</w:t>
      </w:r>
      <w:r>
        <w:rPr>
          <w:rFonts w:hint="eastAsia" w:ascii="宋体" w:hAnsi="宋体" w:eastAsia="宋体" w:cs="宋体"/>
          <w:color w:val="auto"/>
          <w:sz w:val="24"/>
          <w:highlight w:val="none"/>
        </w:rPr>
        <w:t>采购代理机构应当在评标结束后2个工作日内将评标报告送采购人确认。</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7.1.2</w:t>
      </w:r>
      <w:r>
        <w:rPr>
          <w:rFonts w:hint="eastAsia" w:ascii="宋体" w:hAnsi="宋体" w:eastAsia="宋体" w:cs="宋体"/>
          <w:color w:val="auto"/>
          <w:highlight w:val="none"/>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ageBreakBefore w:val="0"/>
        <w:kinsoku/>
        <w:overflowPunct/>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7.2</w:t>
      </w:r>
      <w:r>
        <w:rPr>
          <w:rFonts w:hint="eastAsia" w:ascii="宋体" w:hAnsi="宋体" w:eastAsia="宋体" w:cs="宋体"/>
          <w:b/>
          <w:color w:val="auto"/>
          <w:sz w:val="24"/>
          <w:szCs w:val="24"/>
          <w:highlight w:val="none"/>
        </w:rPr>
        <w:t>中标结果公</w:t>
      </w:r>
      <w:r>
        <w:rPr>
          <w:rFonts w:hint="eastAsia" w:ascii="宋体" w:hAnsi="宋体" w:eastAsia="宋体" w:cs="宋体"/>
          <w:b/>
          <w:color w:val="auto"/>
          <w:sz w:val="24"/>
          <w:szCs w:val="24"/>
          <w:highlight w:val="none"/>
          <w:lang w:val="en-US" w:eastAsia="zh-CN"/>
        </w:rPr>
        <w:t>告</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7.2.1</w:t>
      </w:r>
      <w:r>
        <w:rPr>
          <w:rFonts w:hint="eastAsia" w:ascii="宋体" w:hAnsi="宋体" w:eastAsia="宋体" w:cs="宋体"/>
          <w:color w:val="auto"/>
          <w:sz w:val="24"/>
          <w:szCs w:val="24"/>
          <w:highlight w:val="none"/>
        </w:rPr>
        <w:t>中标人确定后2个工作日内，在云南省政府采购网、政府采购云平台</w:t>
      </w:r>
      <w:r>
        <w:rPr>
          <w:rFonts w:hint="eastAsia" w:ascii="宋体" w:hAnsi="宋体" w:eastAsia="宋体" w:cs="宋体"/>
          <w:color w:val="auto"/>
          <w:sz w:val="24"/>
          <w:szCs w:val="24"/>
          <w:highlight w:val="none"/>
          <w:lang w:val="en-US" w:eastAsia="zh-CN"/>
        </w:rPr>
        <w:t>上发布</w:t>
      </w:r>
      <w:r>
        <w:rPr>
          <w:rFonts w:hint="eastAsia" w:ascii="宋体" w:hAnsi="宋体" w:eastAsia="宋体" w:cs="宋体"/>
          <w:color w:val="auto"/>
          <w:sz w:val="24"/>
          <w:szCs w:val="24"/>
          <w:highlight w:val="none"/>
        </w:rPr>
        <w:t>中标结果，并将招标文件随中标结果同时公告。</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7.2.2</w:t>
      </w:r>
      <w:r>
        <w:rPr>
          <w:rFonts w:hint="eastAsia" w:ascii="宋体" w:hAnsi="宋体" w:eastAsia="宋体" w:cs="宋体"/>
          <w:color w:val="auto"/>
          <w:sz w:val="24"/>
          <w:szCs w:val="24"/>
          <w:highlight w:val="none"/>
        </w:rPr>
        <w:t>中标结果公告内容包括采购人及其委托的采购代理机构的名称、地址、联系方式，项目名称和项目编号，中标人名称、地址和中标金额，主要中标标的的名称、规格型号、数量、单价、服务要求，中标公告期限以及评审专家名单。</w:t>
      </w:r>
    </w:p>
    <w:p>
      <w:pPr>
        <w:keepNext w:val="0"/>
        <w:keepLines w:val="0"/>
        <w:pageBreakBefore w:val="0"/>
        <w:widowControl w:val="0"/>
        <w:tabs>
          <w:tab w:val="left" w:pos="7899"/>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7.2.3</w:t>
      </w:r>
      <w:r>
        <w:rPr>
          <w:rFonts w:hint="eastAsia" w:ascii="宋体" w:hAnsi="宋体" w:eastAsia="宋体" w:cs="宋体"/>
          <w:color w:val="auto"/>
          <w:sz w:val="24"/>
          <w:szCs w:val="24"/>
          <w:highlight w:val="none"/>
        </w:rPr>
        <w:t>中标公告期限为1个工作日。</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7.2.4在公告中标结果的同时，采购人或者采购代理机构应当向中标人发出中标通知书；对未通过资格审查的投标人，应当告知其未通过的原因；采用综合评分法评审的，还应当告知未中标人本人的评审得分与排序。</w:t>
      </w:r>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7.3</w:t>
      </w:r>
      <w:r>
        <w:rPr>
          <w:rFonts w:hint="eastAsia" w:ascii="宋体" w:hAnsi="宋体" w:eastAsia="宋体" w:cs="宋体"/>
          <w:b/>
          <w:bCs/>
          <w:color w:val="auto"/>
          <w:sz w:val="24"/>
          <w:szCs w:val="24"/>
          <w:highlight w:val="none"/>
        </w:rPr>
        <w:t>中标通知书</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7.3.1</w:t>
      </w:r>
      <w:r>
        <w:rPr>
          <w:rFonts w:hint="eastAsia" w:ascii="宋体" w:hAnsi="宋体" w:eastAsia="宋体" w:cs="宋体"/>
          <w:color w:val="auto"/>
          <w:sz w:val="24"/>
          <w:szCs w:val="24"/>
          <w:highlight w:val="none"/>
        </w:rPr>
        <w:t>公告中标结果的同时向中标人发出中标通知书。</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7.3.2</w:t>
      </w:r>
      <w:r>
        <w:rPr>
          <w:rFonts w:hint="eastAsia" w:ascii="宋体" w:hAnsi="宋体" w:eastAsia="宋体" w:cs="宋体"/>
          <w:color w:val="auto"/>
          <w:sz w:val="24"/>
          <w:szCs w:val="24"/>
          <w:highlight w:val="none"/>
        </w:rPr>
        <w:t>中标通知书是合同的一个组成部分。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7.3.3</w:t>
      </w:r>
      <w:r>
        <w:rPr>
          <w:rFonts w:hint="eastAsia" w:ascii="宋体" w:hAnsi="宋体" w:eastAsia="宋体" w:cs="宋体"/>
          <w:color w:val="auto"/>
          <w:sz w:val="24"/>
          <w:szCs w:val="24"/>
          <w:highlight w:val="none"/>
        </w:rPr>
        <w:t>采购代理机构无义务向未中标投标人解释未中标的原因和退回投标文件。</w:t>
      </w:r>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7.4</w:t>
      </w:r>
      <w:r>
        <w:rPr>
          <w:rFonts w:hint="eastAsia" w:ascii="宋体" w:hAnsi="宋体" w:eastAsia="宋体" w:cs="宋体"/>
          <w:b/>
          <w:bCs/>
          <w:color w:val="auto"/>
          <w:sz w:val="24"/>
          <w:szCs w:val="24"/>
          <w:highlight w:val="none"/>
        </w:rPr>
        <w:t>签订合同</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7.4.1</w:t>
      </w:r>
      <w:r>
        <w:rPr>
          <w:rFonts w:hint="eastAsia" w:ascii="宋体" w:hAnsi="宋体" w:eastAsia="宋体" w:cs="宋体"/>
          <w:color w:val="auto"/>
          <w:sz w:val="24"/>
          <w:szCs w:val="24"/>
          <w:highlight w:val="none"/>
        </w:rPr>
        <w:t>采购人应当自中标通知书发出之日起30日内，按照招标文件和中标人投标文件的规定，与中标人签订书面合同。所签订的合同不得对招标文件确定的事项和中标人投标文件作实质性修改。</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7.4.2</w:t>
      </w:r>
      <w:r>
        <w:rPr>
          <w:rFonts w:hint="eastAsia" w:ascii="宋体" w:hAnsi="宋体" w:eastAsia="宋体" w:cs="宋体"/>
          <w:color w:val="auto"/>
          <w:sz w:val="24"/>
          <w:szCs w:val="24"/>
          <w:highlight w:val="none"/>
        </w:rPr>
        <w:t>采购人不得向中标人提出任何不合理的要求作为签订合同的条件。</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7.4.3</w:t>
      </w:r>
      <w:r>
        <w:rPr>
          <w:rFonts w:hint="eastAsia" w:ascii="宋体" w:hAnsi="宋体" w:eastAsia="宋体" w:cs="宋体"/>
          <w:color w:val="auto"/>
          <w:sz w:val="24"/>
          <w:szCs w:val="24"/>
          <w:highlight w:val="none"/>
        </w:rPr>
        <w:t>政府采购合同履行中，采购人需追加与合同标的相同的货物或者服务的，在不改变合同其他条款的前提下，可以与供应商协商签订补充合同，但所有补充合同的采购金额不得超过原合同采购金额的百分之十。</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7.4.4</w:t>
      </w:r>
      <w:r>
        <w:rPr>
          <w:rFonts w:hint="eastAsia" w:ascii="宋体" w:hAnsi="宋体" w:eastAsia="宋体" w:cs="宋体"/>
          <w:b w:val="0"/>
          <w:color w:val="auto"/>
          <w:sz w:val="24"/>
          <w:szCs w:val="24"/>
          <w:highlight w:val="none"/>
        </w:rPr>
        <w:t>特殊情形处理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中标或者成交供应商拒绝与采购人签订合同的,采购人可以按照评审报告推荐的中标或者成交候选人名单排序,确定下一候选人为中标或者成交供应商,也可以重新开展政府采购活动。</w:t>
      </w:r>
    </w:p>
    <w:p>
      <w:pPr>
        <w:pStyle w:val="3"/>
        <w:pageBreakBefore w:val="0"/>
        <w:kinsoku/>
        <w:overflowPunct/>
        <w:bidi w:val="0"/>
        <w:spacing w:before="158" w:beforeLines="50" w:after="158" w:afterLines="50" w:line="360" w:lineRule="auto"/>
        <w:ind w:left="0" w:firstLine="0"/>
        <w:jc w:val="both"/>
        <w:rPr>
          <w:rFonts w:hint="eastAsia" w:ascii="宋体" w:hAnsi="宋体" w:eastAsia="宋体" w:cs="宋体"/>
          <w:color w:val="auto"/>
          <w:szCs w:val="28"/>
          <w:highlight w:val="none"/>
          <w:lang w:val="en-US" w:eastAsia="zh-CN"/>
        </w:rPr>
      </w:pPr>
      <w:bookmarkStart w:id="93" w:name="_Toc4755"/>
      <w:bookmarkStart w:id="94" w:name="_Toc7685"/>
      <w:bookmarkStart w:id="95" w:name="_Toc8121"/>
      <w:bookmarkStart w:id="96" w:name="_Toc5571"/>
      <w:r>
        <w:rPr>
          <w:rFonts w:hint="eastAsia" w:ascii="宋体" w:hAnsi="宋体" w:eastAsia="宋体" w:cs="宋体"/>
          <w:color w:val="auto"/>
          <w:szCs w:val="28"/>
          <w:highlight w:val="none"/>
          <w:lang w:val="en-US" w:eastAsia="zh-CN"/>
        </w:rPr>
        <w:t>八、其他事项</w:t>
      </w:r>
      <w:bookmarkEnd w:id="93"/>
      <w:bookmarkEnd w:id="94"/>
      <w:bookmarkEnd w:id="95"/>
      <w:bookmarkEnd w:id="96"/>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w:t>
      </w:r>
      <w:r>
        <w:rPr>
          <w:rFonts w:hint="eastAsia" w:ascii="宋体" w:hAnsi="宋体" w:eastAsia="宋体" w:cs="宋体"/>
          <w:b/>
          <w:bCs/>
          <w:color w:val="auto"/>
          <w:sz w:val="24"/>
          <w:szCs w:val="24"/>
          <w:highlight w:val="none"/>
        </w:rPr>
        <w:t>询问、质疑、投诉</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8.1.1</w:t>
      </w:r>
      <w:r>
        <w:rPr>
          <w:rFonts w:hint="eastAsia" w:ascii="宋体" w:hAnsi="宋体" w:eastAsia="宋体" w:cs="宋体"/>
          <w:b w:val="0"/>
          <w:bCs w:val="0"/>
          <w:color w:val="auto"/>
          <w:sz w:val="24"/>
          <w:szCs w:val="24"/>
          <w:highlight w:val="none"/>
        </w:rPr>
        <w:t>询问</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投标人对政府采购活动事项有疑问的，可以向采购人或者采购代理机构提出询问，询问可以口头方式提出或者书面形式提出。</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采用书面形式提出询问，投标人为自然人的，询问函应当由本人签字；投标人为法人或者其他组织的，应当由法定代表人、主要负责人或授权代表签字或者盖章，并加盖投标人公章。询问投标人若委托代理人提出询问的，询问函应按要求列明“授权代表”的有关内容，并提交由投标人签署的授权委托书及代理人身份证复印件，并加盖投标人公章。授权委托书应载明代理人的姓名或者名称、代理事项、具体权限、期限和相关事项。</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采购人或者采购代理机构在三个工作日内对投标人依法提出的询问作出答复。</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8.1.2</w:t>
      </w:r>
      <w:r>
        <w:rPr>
          <w:rFonts w:hint="eastAsia" w:ascii="宋体" w:hAnsi="宋体" w:eastAsia="宋体" w:cs="宋体"/>
          <w:b w:val="0"/>
          <w:bCs w:val="0"/>
          <w:color w:val="auto"/>
          <w:sz w:val="24"/>
          <w:szCs w:val="24"/>
          <w:highlight w:val="none"/>
        </w:rPr>
        <w:t>质疑</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8.1.2.1</w:t>
      </w:r>
      <w:r>
        <w:rPr>
          <w:rFonts w:hint="eastAsia" w:ascii="宋体" w:hAnsi="宋体" w:eastAsia="宋体" w:cs="宋体"/>
          <w:b w:val="0"/>
          <w:bCs w:val="0"/>
          <w:color w:val="auto"/>
          <w:sz w:val="24"/>
          <w:szCs w:val="24"/>
          <w:highlight w:val="none"/>
        </w:rPr>
        <w:t>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（1）投标人认为招标文件、评标过程和中标结果使自己的合法权益受到损害的，可以在知道或者应知其权益受到损害之日起七个工作日内，以书面形式（指加盖投标人公章的</w:t>
      </w:r>
      <w:r>
        <w:rPr>
          <w:rFonts w:hint="eastAsia" w:ascii="宋体" w:hAnsi="宋体" w:eastAsia="宋体" w:cs="宋体"/>
          <w:b w:val="0"/>
          <w:bCs w:val="0"/>
          <w:color w:val="auto"/>
          <w:sz w:val="24"/>
          <w:highlight w:val="none"/>
          <w:lang w:val="en-US" w:eastAsia="zh-CN"/>
        </w:rPr>
        <w:t>文本</w:t>
      </w:r>
      <w:r>
        <w:rPr>
          <w:rFonts w:hint="eastAsia" w:ascii="宋体" w:hAnsi="宋体" w:eastAsia="宋体" w:cs="宋体"/>
          <w:b w:val="0"/>
          <w:bCs w:val="0"/>
          <w:color w:val="auto"/>
          <w:sz w:val="24"/>
          <w:highlight w:val="none"/>
        </w:rPr>
        <w:t>）向采购人或采购代理机构提出质疑，逾期对招标文件提出质疑将不再受理。提出质疑的投标人应当是参与所质疑项目采购活动的投标人，投标人针对同一采购程序环节的质疑应当在法定质疑期内一次性提出，提出质疑时应当有明确的请求和必要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注：质疑期限：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投标人认为招标文件的内容损害其权益的，应当在获取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②投标人认为采购过程损害其权益的，应在各采购程序环节结束之日起七个工作日内。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③投标人认为中标结果损害其权益的，应在中标结果公告期限届满之日起七个工作日内。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（3）投标人提出质疑应当提交质疑函和必要的证明材料（如材料中有外文资料应同时附上中文译本）。质疑函应当包括下列内容：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①投标人的姓名或者名称、地址、邮编、联系人及联系电话；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②质疑项目的名称、编号；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③具体、明确的质疑事项和与质疑事项相关的请求；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④事实依据；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⑤必要的法律依据；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⑥提出质疑的日期。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质疑书实行实名制，投标人为自然人的，应当由本人签字；投标人为法人或者其他组织的，应当由法定代表人、主要负责人 ，或者其授权代表签字或者盖章。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注：《政府采购投标人质疑函范本》详见中国政府采购网（</w:t>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"http://www.ccgp.gov.cn/"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 w:val="24"/>
          <w:highlight w:val="none"/>
        </w:rPr>
        <w:t>http://www.ccgp.gov.cn/</w:t>
      </w:r>
      <w:r>
        <w:rPr>
          <w:rFonts w:hint="eastAsia" w:ascii="宋体" w:hAnsi="宋体" w:eastAsia="宋体" w:cs="宋体"/>
          <w:b w:val="0"/>
          <w:bCs w:val="0"/>
          <w:color w:val="auto"/>
          <w:sz w:val="24"/>
          <w:highlight w:val="none"/>
        </w:rPr>
        <w:fldChar w:fldCharType="end"/>
      </w:r>
      <w:r>
        <w:rPr>
          <w:rFonts w:hint="eastAsia" w:ascii="宋体" w:hAnsi="宋体" w:eastAsia="宋体" w:cs="宋体"/>
          <w:b w:val="0"/>
          <w:bCs w:val="0"/>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投标人提出质疑时，被质疑人应配合质疑处理部门的调查、处理工作，根据需要对举证材料须给予书面澄清回复和接受质询，其投标文件可公开的内容须接受任何形式的审查核实。</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（4）</w:t>
      </w:r>
      <w:r>
        <w:rPr>
          <w:rFonts w:hint="eastAsia" w:ascii="宋体" w:hAnsi="宋体" w:eastAsia="宋体" w:cs="宋体"/>
          <w:b w:val="0"/>
          <w:bCs w:val="0"/>
          <w:color w:val="auto"/>
          <w:sz w:val="24"/>
          <w:szCs w:val="24"/>
          <w:highlight w:val="none"/>
        </w:rPr>
        <w:t>以联合体形式参加政府采购活动的，其质疑应当由组成联合体的所有投标人共同提出。</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（5）</w:t>
      </w:r>
      <w:r>
        <w:rPr>
          <w:rFonts w:hint="eastAsia" w:ascii="宋体" w:hAnsi="宋体" w:eastAsia="宋体" w:cs="宋体"/>
          <w:b w:val="0"/>
          <w:bCs w:val="0"/>
          <w:color w:val="auto"/>
          <w:sz w:val="24"/>
          <w:szCs w:val="24"/>
          <w:highlight w:val="none"/>
        </w:rPr>
        <w:t>投标人捏造事实、提供虚假材料或者以非法手段取得证明材料不能作为质疑的证明材料。</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（6）</w:t>
      </w:r>
      <w:r>
        <w:rPr>
          <w:rFonts w:hint="eastAsia" w:ascii="宋体" w:hAnsi="宋体" w:eastAsia="宋体" w:cs="宋体"/>
          <w:b w:val="0"/>
          <w:bCs w:val="0"/>
          <w:color w:val="auto"/>
          <w:sz w:val="24"/>
          <w:szCs w:val="24"/>
          <w:highlight w:val="none"/>
        </w:rPr>
        <w:t>采购人或者采购代理机构在收到质疑函后7个工作日内作出答复，并以书面形式通知质疑投标人和其他有关投标人，但答复内容不涉及商业秘密。</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（7）</w:t>
      </w:r>
      <w:r>
        <w:rPr>
          <w:rFonts w:hint="eastAsia" w:ascii="宋体" w:hAnsi="宋体" w:eastAsia="宋体" w:cs="宋体"/>
          <w:b w:val="0"/>
          <w:bCs w:val="0"/>
          <w:color w:val="auto"/>
          <w:sz w:val="24"/>
          <w:szCs w:val="24"/>
          <w:highlight w:val="none"/>
        </w:rPr>
        <w:t>询问、质疑的期间开始之日，不计算在期间内。期间届满的最后一日是节假日的，以节假日后的第一日为期间届满的日期。</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（8）</w:t>
      </w:r>
      <w:r>
        <w:rPr>
          <w:rFonts w:hint="eastAsia" w:ascii="宋体" w:hAnsi="宋体" w:eastAsia="宋体" w:cs="宋体"/>
          <w:b w:val="0"/>
          <w:bCs w:val="0"/>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（9）</w:t>
      </w:r>
      <w:r>
        <w:rPr>
          <w:rFonts w:hint="eastAsia" w:ascii="宋体" w:hAnsi="宋体" w:eastAsia="宋体" w:cs="宋体"/>
          <w:b w:val="0"/>
          <w:bCs w:val="0"/>
          <w:color w:val="auto"/>
          <w:sz w:val="24"/>
          <w:szCs w:val="24"/>
          <w:highlight w:val="none"/>
        </w:rPr>
        <w:t>采购代理机构接收质疑函的联系部门、联系电话和通讯地址等信息详见第一章通讯联系人、电话及地址。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（10）采购人、采购代理机构应当在收到投标人的书面质疑后七个工作日内作出答复，并以书面形式通知质疑投标人和其他有关投标人，但答复的内容不涉及商业秘密。</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注：详细内容可查看《中华人民共和国财政部令第94号－－政府采购质疑和投诉办法》</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8.1.2.2</w:t>
      </w:r>
      <w:r>
        <w:rPr>
          <w:rFonts w:hint="eastAsia" w:ascii="宋体" w:hAnsi="宋体" w:eastAsia="宋体" w:cs="宋体"/>
          <w:b w:val="0"/>
          <w:bCs w:val="0"/>
          <w:color w:val="auto"/>
          <w:sz w:val="24"/>
          <w:szCs w:val="24"/>
          <w:highlight w:val="none"/>
        </w:rPr>
        <w:t>质疑处理</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（1）采购人、采购代理机构认为投标人质疑不成立，或者成立但未对中标结果构成影响的，继续开展采购活动；认为投标人质疑成立且影响或者可能影响中标结果的，按照下列情况处理：</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①对招标文件提出的质疑，依法通过澄清或者修改可以继续开展采购活动的，澄清或者修改招标文件后继续开展采购活动；否则应当修改招标文件后重新开展采购活动。</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②对采购过程、中标结果提出的质疑，合格投标人符合法定数量时，可以从合格的中标候选人中另行确定中标人的，应当依法另行确定中标人；否则应当重新开展采购活动。</w:t>
      </w:r>
    </w:p>
    <w:p>
      <w:pPr>
        <w:keepNext w:val="0"/>
        <w:keepLines w:val="0"/>
        <w:pageBreakBefore w:val="0"/>
        <w:widowControl w:val="0"/>
        <w:tabs>
          <w:tab w:val="left" w:pos="7899"/>
        </w:tabs>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（2）质疑答复导致中标结果改变的，采购人或者采购代理机构应当将有关情况书面报告本级财政部门。</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8.1.3</w:t>
      </w:r>
      <w:r>
        <w:rPr>
          <w:rFonts w:hint="eastAsia" w:ascii="宋体" w:hAnsi="宋体" w:eastAsia="宋体" w:cs="宋体"/>
          <w:b w:val="0"/>
          <w:bCs w:val="0"/>
          <w:color w:val="auto"/>
          <w:sz w:val="24"/>
          <w:szCs w:val="24"/>
          <w:highlight w:val="none"/>
        </w:rPr>
        <w:t>投诉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投诉必须首先经过质疑程序。质疑投标人对采购人、采购代理机构的答复不满意，或者采购人、采购代理机构未在规定的时间内作出答复的，可以在答复期满后十五个工作日内书面向政府采购监督管理部门投诉。</w:t>
      </w:r>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8.2</w:t>
      </w:r>
      <w:r>
        <w:rPr>
          <w:rFonts w:hint="eastAsia" w:ascii="宋体" w:hAnsi="宋体" w:eastAsia="宋体" w:cs="宋体"/>
          <w:b/>
          <w:bCs/>
          <w:color w:val="auto"/>
          <w:sz w:val="24"/>
          <w:szCs w:val="24"/>
          <w:highlight w:val="none"/>
        </w:rPr>
        <w:t>纪律要求</w:t>
      </w:r>
    </w:p>
    <w:p>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8.2.1</w:t>
      </w:r>
      <w:r>
        <w:rPr>
          <w:rFonts w:hint="eastAsia" w:ascii="宋体" w:hAnsi="宋体" w:eastAsia="宋体" w:cs="宋体"/>
          <w:b w:val="0"/>
          <w:bCs/>
          <w:color w:val="auto"/>
          <w:sz w:val="24"/>
          <w:highlight w:val="none"/>
        </w:rPr>
        <w:t>对采购人的纪律要求</w:t>
      </w:r>
    </w:p>
    <w:p>
      <w:pPr>
        <w:pageBreakBefore w:val="0"/>
        <w:tabs>
          <w:tab w:val="left" w:pos="7899"/>
        </w:tabs>
        <w:kinsoku/>
        <w:overflowPunct/>
        <w:bidi w:val="0"/>
        <w:spacing w:line="360" w:lineRule="auto"/>
        <w:ind w:firstLine="472" w:firstLineChars="197"/>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采购人不得泄露公开招标采购活动中应当保密的情况和资料，不得与投标人串通损害国家利益、社会公共利益或者他人合法权益。</w:t>
      </w:r>
    </w:p>
    <w:p>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8.2.2</w:t>
      </w:r>
      <w:r>
        <w:rPr>
          <w:rFonts w:hint="eastAsia" w:ascii="宋体" w:hAnsi="宋体" w:eastAsia="宋体" w:cs="宋体"/>
          <w:b w:val="0"/>
          <w:bCs/>
          <w:color w:val="auto"/>
          <w:sz w:val="24"/>
          <w:highlight w:val="none"/>
        </w:rPr>
        <w:t>对投标人的纪律要求</w:t>
      </w:r>
    </w:p>
    <w:p>
      <w:pPr>
        <w:pageBreakBefore w:val="0"/>
        <w:tabs>
          <w:tab w:val="left" w:pos="7899"/>
        </w:tabs>
        <w:kinsoku/>
        <w:overflowPunct/>
        <w:bidi w:val="0"/>
        <w:spacing w:line="360" w:lineRule="auto"/>
        <w:ind w:firstLine="472" w:firstLineChars="197"/>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投标人不得相互串通或者与采购人串通，不得向采购人或者评标委员会成员行贿谋取中标，不得以他人名义参加公开招标采购活动或者以其他方式弄虚作假骗取中标；投标人不得以任何方式干扰、影响评审工作。</w:t>
      </w:r>
    </w:p>
    <w:p>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8.2.3</w:t>
      </w:r>
      <w:r>
        <w:rPr>
          <w:rFonts w:hint="eastAsia" w:ascii="宋体" w:hAnsi="宋体" w:eastAsia="宋体" w:cs="宋体"/>
          <w:b w:val="0"/>
          <w:bCs/>
          <w:color w:val="auto"/>
          <w:sz w:val="24"/>
          <w:highlight w:val="none"/>
        </w:rPr>
        <w:t>对评标委员会成员的纪律要求</w:t>
      </w:r>
    </w:p>
    <w:p>
      <w:pPr>
        <w:pageBreakBefore w:val="0"/>
        <w:tabs>
          <w:tab w:val="left" w:pos="7899"/>
        </w:tabs>
        <w:kinsoku/>
        <w:overflowPunct/>
        <w:bidi w:val="0"/>
        <w:spacing w:line="360" w:lineRule="auto"/>
        <w:ind w:firstLine="472" w:firstLineChars="197"/>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评标委员会成员不得收受他人的财物或者其他好处，不得向他人透露对投标文件的评审和比较、候选中标投标人的推荐情况、评审中获悉的商业秘密以及评审有关的其他情况。在开标活动中，评标委员会成员应当客观、公正地履行职责，遵守职业道德，不得擅离职守、影响会议工作正常进行，不得使用第</w:t>
      </w: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章“评</w:t>
      </w:r>
      <w:r>
        <w:rPr>
          <w:rFonts w:hint="eastAsia" w:ascii="宋体" w:hAnsi="宋体" w:eastAsia="宋体" w:cs="宋体"/>
          <w:b w:val="0"/>
          <w:bCs/>
          <w:color w:val="auto"/>
          <w:sz w:val="24"/>
          <w:highlight w:val="none"/>
          <w:lang w:val="en-US" w:eastAsia="zh-CN"/>
        </w:rPr>
        <w:t>标方</w:t>
      </w:r>
      <w:r>
        <w:rPr>
          <w:rFonts w:hint="eastAsia" w:ascii="宋体" w:hAnsi="宋体" w:eastAsia="宋体" w:cs="宋体"/>
          <w:b w:val="0"/>
          <w:bCs/>
          <w:color w:val="auto"/>
          <w:sz w:val="24"/>
          <w:highlight w:val="none"/>
        </w:rPr>
        <w:t>法”没有规定的评审因素和标准进行评审。</w:t>
      </w:r>
    </w:p>
    <w:p>
      <w:pPr>
        <w:pageBreakBefore w:val="0"/>
        <w:kinsoku/>
        <w:overflowPunct/>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8.2.4</w:t>
      </w:r>
      <w:r>
        <w:rPr>
          <w:rFonts w:hint="eastAsia" w:ascii="宋体" w:hAnsi="宋体" w:eastAsia="宋体" w:cs="宋体"/>
          <w:b w:val="0"/>
          <w:bCs/>
          <w:color w:val="auto"/>
          <w:sz w:val="24"/>
          <w:highlight w:val="none"/>
        </w:rPr>
        <w:t>对与</w:t>
      </w:r>
      <w:r>
        <w:rPr>
          <w:rFonts w:hint="eastAsia" w:ascii="宋体" w:hAnsi="宋体" w:eastAsia="宋体" w:cs="宋体"/>
          <w:b w:val="0"/>
          <w:bCs/>
          <w:color w:val="auto"/>
          <w:sz w:val="24"/>
          <w:highlight w:val="none"/>
          <w:lang w:val="en-US" w:eastAsia="zh-CN"/>
        </w:rPr>
        <w:t>采购</w:t>
      </w:r>
      <w:r>
        <w:rPr>
          <w:rFonts w:hint="eastAsia" w:ascii="宋体" w:hAnsi="宋体" w:eastAsia="宋体" w:cs="宋体"/>
          <w:b w:val="0"/>
          <w:bCs/>
          <w:color w:val="auto"/>
          <w:sz w:val="24"/>
          <w:highlight w:val="none"/>
        </w:rPr>
        <w:t>活动有关的工作人员的纪律要求</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与开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活动有关的工作人员不得收受他人的财物或者其他好处，不得向他人透露对投标文件的评审、候选中标投标人的推荐情况以及开标有关的其他情况。在开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活动中，与开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活动有关的工作人员不得擅离职守，影响开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评标</w:t>
      </w:r>
      <w:r>
        <w:rPr>
          <w:rFonts w:hint="eastAsia" w:ascii="宋体" w:hAnsi="宋体" w:eastAsia="宋体" w:cs="宋体"/>
          <w:b w:val="0"/>
          <w:bCs/>
          <w:color w:val="auto"/>
          <w:sz w:val="24"/>
          <w:highlight w:val="none"/>
        </w:rPr>
        <w:t>工作正常进行</w:t>
      </w:r>
      <w:r>
        <w:rPr>
          <w:rFonts w:hint="eastAsia" w:ascii="宋体" w:hAnsi="宋体" w:eastAsia="宋体" w:cs="宋体"/>
          <w:b w:val="0"/>
          <w:bCs/>
          <w:color w:val="auto"/>
          <w:sz w:val="24"/>
          <w:highlight w:val="none"/>
          <w:lang w:eastAsia="zh-CN"/>
        </w:rPr>
        <w:t>。</w:t>
      </w:r>
    </w:p>
    <w:p>
      <w:pPr>
        <w:pStyle w:val="12"/>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8.3</w:t>
      </w:r>
      <w:r>
        <w:rPr>
          <w:rFonts w:hint="eastAsia" w:ascii="宋体" w:hAnsi="宋体" w:eastAsia="宋体" w:cs="宋体"/>
          <w:b/>
          <w:bCs/>
          <w:color w:val="auto"/>
          <w:sz w:val="24"/>
          <w:szCs w:val="24"/>
          <w:highlight w:val="none"/>
        </w:rPr>
        <w:t>解释权</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color w:val="auto"/>
          <w:sz w:val="24"/>
          <w:szCs w:val="24"/>
          <w:highlight w:val="none"/>
        </w:rPr>
        <w:t>本招标文件是根据《中华人民共和国政府采购法》及相关法律法规编制，解释权</w:t>
      </w:r>
      <w:r>
        <w:rPr>
          <w:rFonts w:hint="eastAsia" w:ascii="宋体" w:hAnsi="宋体" w:eastAsia="宋体" w:cs="宋体"/>
          <w:b w:val="0"/>
          <w:bCs/>
          <w:color w:val="auto"/>
          <w:sz w:val="24"/>
          <w:highlight w:val="none"/>
        </w:rPr>
        <w:t>属采购代理机构</w:t>
      </w:r>
      <w:r>
        <w:rPr>
          <w:rFonts w:hint="eastAsia" w:ascii="宋体" w:hAnsi="宋体" w:eastAsia="宋体" w:cs="宋体"/>
          <w:b w:val="0"/>
          <w:bCs/>
          <w:color w:val="auto"/>
          <w:sz w:val="24"/>
          <w:highlight w:val="none"/>
          <w:lang w:eastAsia="zh-CN"/>
        </w:rPr>
        <w:t>。</w:t>
      </w:r>
    </w:p>
    <w:p>
      <w:pPr>
        <w:pageBreakBefore w:val="0"/>
        <w:kinsoku/>
        <w:overflowPunct/>
        <w:bidi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pPr>
        <w:pStyle w:val="5"/>
        <w:pageBreakBefore w:val="0"/>
        <w:kinsoku/>
        <w:overflowPunct/>
        <w:bidi w:val="0"/>
        <w:spacing w:after="0"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附表 1：问题澄清通知</w:t>
      </w:r>
    </w:p>
    <w:p>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问题澄清通知</w:t>
      </w:r>
    </w:p>
    <w:p>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项目编号：</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（投标供应商名称）：</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（项目名称）采购的评标委员会，对你方的投标文件进行了仔细的审查，现需你方对下列问题以</w:t>
      </w:r>
      <w:r>
        <w:rPr>
          <w:rFonts w:hint="eastAsia" w:ascii="宋体" w:hAnsi="宋体" w:eastAsia="宋体" w:cs="宋体"/>
          <w:color w:val="auto"/>
          <w:sz w:val="24"/>
          <w:szCs w:val="24"/>
          <w:highlight w:val="none"/>
          <w:lang w:eastAsia="zh-CN"/>
        </w:rPr>
        <w:t>书面形式</w:t>
      </w:r>
      <w:r>
        <w:rPr>
          <w:rFonts w:hint="eastAsia" w:ascii="宋体" w:hAnsi="宋体" w:eastAsia="宋体" w:cs="宋体"/>
          <w:color w:val="auto"/>
          <w:sz w:val="24"/>
          <w:szCs w:val="24"/>
          <w:highlight w:val="none"/>
        </w:rPr>
        <w:t xml:space="preserve">予以澄清： </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请将上述问题的澄清于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时前递交至（详细地址）或</w:t>
      </w:r>
      <w:r>
        <w:rPr>
          <w:rFonts w:hint="eastAsia" w:ascii="宋体" w:hAnsi="宋体" w:eastAsia="宋体" w:cs="宋体"/>
          <w:color w:val="auto"/>
          <w:sz w:val="24"/>
          <w:szCs w:val="24"/>
          <w:highlight w:val="none"/>
          <w:lang w:eastAsia="zh-CN"/>
        </w:rPr>
        <w:t>发送至</w:t>
      </w:r>
      <w:r>
        <w:rPr>
          <w:rFonts w:hint="eastAsia" w:ascii="宋体" w:hAnsi="宋体" w:eastAsia="宋体" w:cs="宋体"/>
          <w:color w:val="auto"/>
          <w:sz w:val="24"/>
          <w:szCs w:val="24"/>
          <w:highlight w:val="none"/>
        </w:rPr>
        <w:t>（邮箱号码）。采用邮件方式的，应在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时前将原件递交至（详细地址）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5"/>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评标人工作组负责人：（签字）</w:t>
      </w:r>
    </w:p>
    <w:p>
      <w:pPr>
        <w:pStyle w:val="5"/>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kinsoku/>
        <w:overflowPunct/>
        <w:bidi w:val="0"/>
        <w:spacing w:line="360" w:lineRule="auto"/>
        <w:ind w:firstLine="480" w:firstLineChars="200"/>
        <w:jc w:val="right"/>
        <w:rPr>
          <w:rFonts w:hint="eastAsia" w:ascii="宋体" w:hAnsi="宋体" w:eastAsia="宋体" w:cs="宋体"/>
          <w:color w:val="auto"/>
          <w:sz w:val="24"/>
          <w:szCs w:val="24"/>
          <w:highlight w:val="none"/>
        </w:rPr>
      </w:pPr>
    </w:p>
    <w:p>
      <w:pPr>
        <w:pStyle w:val="5"/>
        <w:pageBreakBefore w:val="0"/>
        <w:kinsoku/>
        <w:overflowPunct/>
        <w:bidi w:val="0"/>
        <w:spacing w:after="0"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附表 2：问题澄清函</w:t>
      </w:r>
    </w:p>
    <w:p>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问题澄清函</w:t>
      </w:r>
    </w:p>
    <w:p>
      <w:pPr>
        <w:pStyle w:val="5"/>
        <w:pageBreakBefore w:val="0"/>
        <w:kinsoku/>
        <w:overflowPunct/>
        <w:bidi w:val="0"/>
        <w:spacing w:after="0" w:line="360" w:lineRule="auto"/>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项目编号：</w:t>
      </w:r>
    </w:p>
    <w:p>
      <w:pPr>
        <w:pStyle w:val="5"/>
        <w:pageBreakBefore w:val="0"/>
        <w:kinsoku/>
        <w:overflowPunct/>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（项目名称）采购评标委员会：</w:t>
      </w:r>
    </w:p>
    <w:p>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问题澄清通知（编号：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）已收悉，现澄清如下：</w:t>
      </w:r>
    </w:p>
    <w:p>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pStyle w:val="5"/>
        <w:pageBreakBefore w:val="0"/>
        <w:kinsoku/>
        <w:overflowPunct/>
        <w:bidi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5"/>
        <w:pageBreakBefore w:val="0"/>
        <w:kinsoku/>
        <w:overflowPunct/>
        <w:bidi w:val="0"/>
        <w:spacing w:after="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（全称）（盖章）</w:t>
      </w:r>
    </w:p>
    <w:p>
      <w:pPr>
        <w:pStyle w:val="5"/>
        <w:pageBreakBefore w:val="0"/>
        <w:kinsoku/>
        <w:overflowPunct/>
        <w:bidi w:val="0"/>
        <w:spacing w:after="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5"/>
        <w:pageBreakBefore w:val="0"/>
        <w:kinsoku/>
        <w:overflowPunct/>
        <w:bidi w:val="0"/>
        <w:spacing w:after="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Lines w:val="0"/>
        <w:pageBreakBefore w:val="0"/>
        <w:kinsoku/>
        <w:wordWrap/>
        <w:overflowPunct/>
        <w:topLinePunct w:val="0"/>
        <w:autoSpaceDE/>
        <w:autoSpaceDN/>
        <w:bidi w:val="0"/>
        <w:snapToGrid/>
        <w:spacing w:line="360" w:lineRule="auto"/>
        <w:ind w:left="0" w:leftChars="0" w:right="0" w:rightChars="0"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br w:type="page"/>
      </w:r>
    </w:p>
    <w:p>
      <w:pPr>
        <w:pStyle w:val="2"/>
        <w:pageBreakBefore w:val="0"/>
        <w:kinsoku/>
        <w:overflowPunct/>
        <w:bidi w:val="0"/>
        <w:spacing w:line="360" w:lineRule="auto"/>
        <w:jc w:val="center"/>
        <w:rPr>
          <w:rFonts w:hint="eastAsia" w:ascii="宋体" w:hAnsi="宋体" w:eastAsia="宋体" w:cs="宋体"/>
        </w:rPr>
      </w:pPr>
      <w:bookmarkStart w:id="97" w:name="_Toc22021"/>
      <w:bookmarkStart w:id="98" w:name="_Toc7339"/>
      <w:r>
        <w:rPr>
          <w:rFonts w:hint="eastAsia" w:ascii="宋体" w:hAnsi="宋体" w:eastAsia="宋体" w:cs="宋体"/>
          <w:lang w:val="en-US" w:eastAsia="zh-CN"/>
        </w:rPr>
        <w:t xml:space="preserve">第三章 </w:t>
      </w:r>
      <w:r>
        <w:rPr>
          <w:rFonts w:hint="eastAsia" w:ascii="宋体" w:hAnsi="宋体" w:eastAsia="宋体" w:cs="宋体"/>
        </w:rPr>
        <w:t>合同书样式及主要条款</w:t>
      </w:r>
      <w:r>
        <w:rPr>
          <w:rFonts w:hint="eastAsia" w:ascii="宋体" w:hAnsi="宋体" w:eastAsia="宋体" w:cs="宋体"/>
          <w:lang w:eastAsia="zh-CN"/>
        </w:rPr>
        <w:t>（</w:t>
      </w:r>
      <w:r>
        <w:rPr>
          <w:rFonts w:hint="eastAsia" w:ascii="宋体" w:hAnsi="宋体" w:eastAsia="宋体" w:cs="宋体"/>
          <w:lang w:val="en-US" w:eastAsia="zh-CN"/>
        </w:rPr>
        <w:t>草案</w:t>
      </w:r>
      <w:r>
        <w:rPr>
          <w:rFonts w:hint="eastAsia" w:ascii="宋体" w:hAnsi="宋体" w:eastAsia="宋体" w:cs="宋体"/>
          <w:lang w:eastAsia="zh-CN"/>
        </w:rPr>
        <w:t>）</w:t>
      </w:r>
      <w:bookmarkEnd w:id="97"/>
      <w:bookmarkEnd w:id="98"/>
    </w:p>
    <w:p>
      <w:pPr>
        <w:pageBreakBefore w:val="0"/>
        <w:kinsoku/>
        <w:overflowPunct/>
        <w:bidi w:val="0"/>
        <w:spacing w:line="360" w:lineRule="auto"/>
        <w:jc w:val="center"/>
        <w:rPr>
          <w:rFonts w:hint="eastAsia" w:ascii="宋体" w:hAnsi="宋体" w:eastAsia="宋体" w:cs="宋体"/>
          <w:b/>
          <w:color w:val="auto"/>
          <w:sz w:val="44"/>
          <w:szCs w:val="44"/>
          <w:highlight w:val="none"/>
        </w:rPr>
      </w:pPr>
    </w:p>
    <w:p>
      <w:pPr>
        <w:pageBreakBefore w:val="0"/>
        <w:kinsoku/>
        <w:overflowPunct/>
        <w:bidi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sz w:val="24"/>
          <w:szCs w:val="15"/>
          <w:highlight w:val="none"/>
          <w:lang w:eastAsia="zh-CN"/>
        </w:rPr>
        <w:t>（本合同书为参考格式，合同</w:t>
      </w:r>
      <w:r>
        <w:rPr>
          <w:rFonts w:hint="eastAsia" w:ascii="宋体" w:hAnsi="宋体" w:eastAsia="宋体" w:cs="宋体"/>
          <w:b/>
          <w:bCs/>
          <w:color w:val="auto"/>
          <w:sz w:val="24"/>
          <w:szCs w:val="15"/>
          <w:highlight w:val="none"/>
          <w:lang w:val="en-US" w:eastAsia="zh-CN"/>
        </w:rPr>
        <w:t>格</w:t>
      </w:r>
      <w:r>
        <w:rPr>
          <w:rFonts w:hint="eastAsia" w:ascii="宋体" w:hAnsi="宋体" w:eastAsia="宋体" w:cs="宋体"/>
          <w:b/>
          <w:bCs/>
          <w:color w:val="auto"/>
          <w:sz w:val="24"/>
          <w:szCs w:val="15"/>
          <w:highlight w:val="none"/>
          <w:lang w:eastAsia="zh-CN"/>
        </w:rPr>
        <w:t>式及主要条款具体以</w:t>
      </w:r>
      <w:r>
        <w:rPr>
          <w:rFonts w:hint="eastAsia" w:ascii="宋体" w:hAnsi="宋体" w:eastAsia="宋体" w:cs="宋体"/>
          <w:b/>
          <w:bCs/>
          <w:color w:val="auto"/>
          <w:sz w:val="24"/>
          <w:szCs w:val="15"/>
          <w:highlight w:val="none"/>
          <w:lang w:val="en-US" w:eastAsia="zh-CN"/>
        </w:rPr>
        <w:t>采购</w:t>
      </w:r>
      <w:r>
        <w:rPr>
          <w:rFonts w:hint="eastAsia" w:ascii="宋体" w:hAnsi="宋体" w:eastAsia="宋体" w:cs="宋体"/>
          <w:b/>
          <w:bCs/>
          <w:color w:val="auto"/>
          <w:sz w:val="24"/>
          <w:szCs w:val="15"/>
          <w:highlight w:val="none"/>
          <w:lang w:eastAsia="zh-CN"/>
        </w:rPr>
        <w:t>人与</w:t>
      </w:r>
      <w:r>
        <w:rPr>
          <w:rFonts w:hint="eastAsia" w:ascii="宋体" w:hAnsi="宋体" w:eastAsia="宋体" w:cs="宋体"/>
          <w:b/>
          <w:bCs/>
          <w:color w:val="auto"/>
          <w:sz w:val="24"/>
          <w:szCs w:val="15"/>
          <w:highlight w:val="none"/>
          <w:lang w:val="en-US" w:eastAsia="zh-CN"/>
        </w:rPr>
        <w:t>中标</w:t>
      </w:r>
      <w:r>
        <w:rPr>
          <w:rFonts w:hint="eastAsia" w:ascii="宋体" w:hAnsi="宋体" w:eastAsia="宋体" w:cs="宋体"/>
          <w:b/>
          <w:bCs/>
          <w:color w:val="auto"/>
          <w:sz w:val="24"/>
          <w:szCs w:val="15"/>
          <w:highlight w:val="none"/>
          <w:lang w:eastAsia="zh-CN"/>
        </w:rPr>
        <w:t>人双方按</w:t>
      </w:r>
      <w:r>
        <w:rPr>
          <w:rFonts w:hint="eastAsia" w:ascii="宋体" w:hAnsi="宋体" w:eastAsia="宋体" w:cs="宋体"/>
          <w:b/>
          <w:bCs/>
          <w:color w:val="auto"/>
          <w:sz w:val="24"/>
          <w:szCs w:val="15"/>
          <w:highlight w:val="none"/>
          <w:lang w:val="en-US" w:eastAsia="zh-CN"/>
        </w:rPr>
        <w:t>招标</w:t>
      </w:r>
      <w:r>
        <w:rPr>
          <w:rFonts w:hint="eastAsia" w:ascii="宋体" w:hAnsi="宋体" w:eastAsia="宋体" w:cs="宋体"/>
          <w:b/>
          <w:bCs/>
          <w:color w:val="auto"/>
          <w:sz w:val="24"/>
          <w:szCs w:val="15"/>
          <w:highlight w:val="none"/>
          <w:lang w:eastAsia="zh-CN"/>
        </w:rPr>
        <w:t>文件和</w:t>
      </w:r>
      <w:r>
        <w:rPr>
          <w:rFonts w:hint="eastAsia" w:ascii="宋体" w:hAnsi="宋体" w:eastAsia="宋体" w:cs="宋体"/>
          <w:b/>
          <w:bCs/>
          <w:color w:val="auto"/>
          <w:sz w:val="24"/>
          <w:szCs w:val="15"/>
          <w:highlight w:val="none"/>
          <w:lang w:val="en-US" w:eastAsia="zh-CN"/>
        </w:rPr>
        <w:t>投标</w:t>
      </w:r>
      <w:r>
        <w:rPr>
          <w:rFonts w:hint="eastAsia" w:ascii="宋体" w:hAnsi="宋体" w:eastAsia="宋体" w:cs="宋体"/>
          <w:b/>
          <w:bCs/>
          <w:color w:val="auto"/>
          <w:sz w:val="24"/>
          <w:szCs w:val="15"/>
          <w:highlight w:val="none"/>
          <w:lang w:eastAsia="zh-CN"/>
        </w:rPr>
        <w:t>文件并结合本项目实际情况协商签订的为准</w:t>
      </w:r>
      <w:r>
        <w:rPr>
          <w:rFonts w:hint="eastAsia" w:ascii="宋体" w:hAnsi="宋体" w:eastAsia="宋体" w:cs="宋体"/>
          <w:b/>
          <w:bCs/>
          <w:color w:val="auto"/>
          <w:highlight w:val="none"/>
        </w:rPr>
        <w:t>。</w:t>
      </w:r>
      <w:r>
        <w:rPr>
          <w:rFonts w:hint="eastAsia" w:ascii="宋体" w:hAnsi="宋体" w:eastAsia="宋体" w:cs="宋体"/>
          <w:b/>
          <w:bCs/>
          <w:color w:val="auto"/>
          <w:sz w:val="24"/>
          <w:szCs w:val="15"/>
          <w:highlight w:val="none"/>
          <w:lang w:eastAsia="zh-CN"/>
        </w:rPr>
        <w:t>）</w:t>
      </w:r>
    </w:p>
    <w:p>
      <w:pPr>
        <w:pageBreakBefore w:val="0"/>
        <w:kinsoku/>
        <w:overflowPunct/>
        <w:bidi w:val="0"/>
        <w:spacing w:line="360" w:lineRule="auto"/>
        <w:rPr>
          <w:rFonts w:hint="eastAsia" w:ascii="宋体" w:hAnsi="宋体" w:eastAsia="宋体" w:cs="宋体"/>
          <w:b/>
          <w:bCs/>
          <w:color w:val="auto"/>
          <w:highlight w:val="none"/>
        </w:rPr>
      </w:pPr>
    </w:p>
    <w:p>
      <w:pPr>
        <w:pageBreakBefore w:val="0"/>
        <w:kinsoku/>
        <w:overflowPunct/>
        <w:bidi w:val="0"/>
        <w:snapToGrid w:val="0"/>
        <w:spacing w:line="360" w:lineRule="auto"/>
        <w:jc w:val="center"/>
        <w:rPr>
          <w:rFonts w:hint="eastAsia" w:ascii="宋体" w:hAnsi="宋体" w:eastAsia="宋体" w:cs="宋体"/>
          <w:b/>
          <w:bCs/>
          <w:color w:val="auto"/>
          <w:sz w:val="24"/>
          <w:highlight w:val="none"/>
        </w:rPr>
      </w:pPr>
    </w:p>
    <w:p>
      <w:pPr>
        <w:pageBreakBefore w:val="0"/>
        <w:kinsoku/>
        <w:overflowPunct/>
        <w:bidi w:val="0"/>
        <w:snapToGrid w:val="0"/>
        <w:spacing w:line="360" w:lineRule="auto"/>
        <w:jc w:val="center"/>
        <w:rPr>
          <w:rFonts w:hint="eastAsia" w:ascii="宋体" w:hAnsi="宋体" w:eastAsia="宋体" w:cs="宋体"/>
          <w:b/>
          <w:bCs/>
          <w:color w:val="auto"/>
          <w:sz w:val="52"/>
          <w:szCs w:val="52"/>
          <w:highlight w:val="none"/>
        </w:rPr>
      </w:pPr>
    </w:p>
    <w:p>
      <w:pPr>
        <w:pageBreakBefore w:val="0"/>
        <w:kinsoku/>
        <w:overflowPunct/>
        <w:bidi w:val="0"/>
        <w:snapToGrid w:val="0"/>
        <w:spacing w:line="360" w:lineRule="auto"/>
        <w:jc w:val="center"/>
        <w:rPr>
          <w:rFonts w:hint="eastAsia" w:ascii="宋体" w:hAnsi="宋体" w:eastAsia="宋体" w:cs="宋体"/>
          <w:b/>
          <w:bCs/>
          <w:color w:val="auto"/>
          <w:sz w:val="52"/>
          <w:szCs w:val="52"/>
          <w:highlight w:val="none"/>
        </w:rPr>
      </w:pPr>
    </w:p>
    <w:p>
      <w:pPr>
        <w:pageBreakBefore w:val="0"/>
        <w:kinsoku/>
        <w:overflowPunct/>
        <w:bidi w:val="0"/>
        <w:snapToGrid w:val="0"/>
        <w:spacing w:line="360" w:lineRule="auto"/>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政府采购</w:t>
      </w:r>
      <w:r>
        <w:rPr>
          <w:rFonts w:hint="eastAsia" w:ascii="宋体" w:hAnsi="宋体" w:cs="宋体"/>
          <w:b/>
          <w:bCs/>
          <w:color w:val="auto"/>
          <w:sz w:val="52"/>
          <w:szCs w:val="52"/>
          <w:highlight w:val="none"/>
          <w:lang w:val="en-US" w:eastAsia="zh-CN"/>
        </w:rPr>
        <w:t>合同</w:t>
      </w:r>
    </w:p>
    <w:p>
      <w:pPr>
        <w:pageBreakBefore w:val="0"/>
        <w:kinsoku/>
        <w:overflowPunct/>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电子交易项目使用</w:t>
      </w:r>
      <w:r>
        <w:rPr>
          <w:rFonts w:hint="eastAsia" w:ascii="宋体" w:hAnsi="宋体" w:eastAsia="宋体" w:cs="宋体"/>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cs="宋体"/>
          <w:b/>
          <w:bCs/>
          <w:color w:val="auto"/>
          <w:sz w:val="32"/>
          <w:szCs w:val="32"/>
          <w:highlight w:val="none"/>
          <w:u w:val="single"/>
          <w:lang w:val="en-US" w:eastAsia="zh-CN"/>
        </w:rPr>
      </w:pPr>
      <w:r>
        <w:rPr>
          <w:rFonts w:hint="eastAsia" w:ascii="宋体" w:hAnsi="宋体" w:cs="宋体"/>
          <w:b/>
          <w:bCs/>
          <w:color w:val="auto"/>
          <w:sz w:val="32"/>
          <w:szCs w:val="32"/>
          <w:highlight w:val="none"/>
          <w:lang w:val="en-US" w:eastAsia="zh-CN"/>
        </w:rPr>
        <w:t>项目名称：</w:t>
      </w:r>
      <w:r>
        <w:rPr>
          <w:rFonts w:hint="eastAsia" w:ascii="宋体" w:hAnsi="宋体" w:cs="宋体"/>
          <w:b/>
          <w:bCs/>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lang w:val="en-US" w:eastAsia="zh-CN"/>
        </w:rPr>
        <w:t>合同编号：</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none"/>
          <w:lang w:val="en-US" w:eastAsia="zh-CN"/>
        </w:rPr>
        <w:t>（系统编号）</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（自编号，如有）</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32"/>
          <w:szCs w:val="32"/>
          <w:highlight w:val="none"/>
          <w:u w:val="single"/>
          <w:lang w:val="en-US" w:eastAsia="zh-CN"/>
        </w:rPr>
      </w:pPr>
      <w:r>
        <w:rPr>
          <w:rFonts w:hint="eastAsia" w:ascii="宋体" w:hAnsi="宋体" w:cs="宋体"/>
          <w:b/>
          <w:bCs/>
          <w:color w:val="auto"/>
          <w:sz w:val="32"/>
          <w:szCs w:val="32"/>
          <w:highlight w:val="none"/>
          <w:u w:val="none"/>
          <w:lang w:val="en-US" w:eastAsia="zh-CN"/>
        </w:rPr>
        <w:t>甲方：</w:t>
      </w:r>
      <w:r>
        <w:rPr>
          <w:rFonts w:hint="eastAsia" w:ascii="宋体" w:hAnsi="宋体" w:cs="宋体"/>
          <w:b/>
          <w:bCs/>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cs="宋体"/>
          <w:b/>
          <w:bCs/>
          <w:color w:val="auto"/>
          <w:sz w:val="32"/>
          <w:szCs w:val="32"/>
          <w:highlight w:val="none"/>
          <w:u w:val="single"/>
          <w:lang w:val="en-US" w:eastAsia="zh-CN"/>
        </w:rPr>
      </w:pPr>
      <w:r>
        <w:rPr>
          <w:rFonts w:hint="eastAsia" w:ascii="宋体" w:hAnsi="宋体" w:cs="宋体"/>
          <w:b/>
          <w:bCs/>
          <w:color w:val="auto"/>
          <w:sz w:val="32"/>
          <w:szCs w:val="32"/>
          <w:highlight w:val="none"/>
          <w:u w:val="none"/>
          <w:lang w:val="en-US" w:eastAsia="zh-CN"/>
        </w:rPr>
        <w:t>乙方：</w:t>
      </w:r>
      <w:r>
        <w:rPr>
          <w:rFonts w:hint="eastAsia" w:ascii="宋体" w:hAnsi="宋体" w:cs="宋体"/>
          <w:b/>
          <w:bCs/>
          <w:color w:val="auto"/>
          <w:sz w:val="32"/>
          <w:szCs w:val="32"/>
          <w:highlight w:val="none"/>
          <w:u w:val="single"/>
          <w:lang w:val="en-US" w:eastAsia="zh-CN"/>
        </w:rPr>
        <w:t xml:space="preserve">                </w:t>
      </w:r>
    </w:p>
    <w:p>
      <w:pPr>
        <w:pageBreakBefore w:val="0"/>
        <w:kinsoku/>
        <w:overflowPunct/>
        <w:bidi w:val="0"/>
        <w:snapToGrid w:val="0"/>
        <w:spacing w:line="360" w:lineRule="auto"/>
        <w:jc w:val="center"/>
        <w:rPr>
          <w:rFonts w:hint="eastAsia" w:ascii="宋体" w:hAnsi="宋体" w:eastAsia="宋体" w:cs="宋体"/>
          <w:b/>
          <w:bCs/>
          <w:color w:val="auto"/>
          <w:sz w:val="32"/>
          <w:szCs w:val="32"/>
          <w:highlight w:val="none"/>
        </w:rPr>
      </w:pPr>
    </w:p>
    <w:p>
      <w:pPr>
        <w:pageBreakBefore w:val="0"/>
        <w:tabs>
          <w:tab w:val="left" w:pos="426"/>
        </w:tabs>
        <w:kinsoku/>
        <w:overflowPunct/>
        <w:bidi w:val="0"/>
        <w:spacing w:line="360" w:lineRule="auto"/>
        <w:jc w:val="center"/>
        <w:rPr>
          <w:rFonts w:hint="eastAsia" w:ascii="宋体" w:hAnsi="宋体" w:eastAsia="宋体" w:cs="宋体"/>
          <w:b/>
          <w:bCs/>
          <w:color w:val="auto"/>
          <w:highlight w:val="none"/>
        </w:rPr>
      </w:pPr>
    </w:p>
    <w:p>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p>
    <w:p>
      <w:pPr>
        <w:pStyle w:val="5"/>
        <w:pageBreakBefore w:val="0"/>
        <w:tabs>
          <w:tab w:val="left" w:pos="193"/>
        </w:tabs>
        <w:kinsoku/>
        <w:overflowPunct/>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购 销 合 同</w:t>
      </w:r>
    </w:p>
    <w:p>
      <w:pPr>
        <w:pageBreakBefore w:val="0"/>
        <w:kinsoku/>
        <w:overflowPunct/>
        <w:bidi w:val="0"/>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w:t>
      </w:r>
    </w:p>
    <w:p>
      <w:pPr>
        <w:pageBreakBefore w:val="0"/>
        <w:kinsoku/>
        <w:overflowPunct/>
        <w:bidi w:val="0"/>
        <w:adjustRightInd w:val="0"/>
        <w:snapToGrid w:val="0"/>
        <w:spacing w:line="360" w:lineRule="auto"/>
        <w:ind w:right="96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pageBreakBefore w:val="0"/>
        <w:kinsoku/>
        <w:overflowPunct/>
        <w:bidi w:val="0"/>
        <w:adjustRightInd w:val="0"/>
        <w:snapToGrid w:val="0"/>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甲方：</w:t>
      </w:r>
      <w:r>
        <w:rPr>
          <w:rFonts w:hint="default" w:ascii="宋体" w:hAnsi="宋体" w:eastAsia="宋体" w:cs="宋体"/>
          <w:b/>
          <w:color w:val="auto"/>
          <w:sz w:val="24"/>
          <w:szCs w:val="24"/>
          <w:highlight w:val="none"/>
          <w:lang w:eastAsia="zh-CN"/>
        </w:rPr>
        <w:t>玉溪市生态环境局</w:t>
      </w:r>
    </w:p>
    <w:p>
      <w:pPr>
        <w:pageBreakBefore w:val="0"/>
        <w:kinsoku/>
        <w:overflowPunct/>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 ：XXXXXX</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《中华人民共和国政府采购法》、《中华人民共和国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》的要求及</w:t>
      </w:r>
      <w:r>
        <w:rPr>
          <w:rFonts w:hint="eastAsia" w:ascii="宋体" w:hAnsi="宋体" w:eastAsia="宋体" w:cs="宋体"/>
          <w:color w:val="auto"/>
          <w:sz w:val="24"/>
          <w:szCs w:val="24"/>
          <w:highlight w:val="none"/>
          <w:u w:val="single"/>
          <w:lang w:val="en-US" w:eastAsia="zh-CN"/>
        </w:rPr>
        <w:t>云南上资咨询有限公司</w:t>
      </w:r>
      <w:r>
        <w:rPr>
          <w:rFonts w:hint="eastAsia" w:ascii="宋体" w:hAnsi="宋体" w:eastAsia="宋体" w:cs="宋体"/>
          <w:color w:val="auto"/>
          <w:sz w:val="24"/>
          <w:szCs w:val="24"/>
          <w:highlight w:val="none"/>
          <w:u w:val="none"/>
          <w:lang w:val="en-US" w:eastAsia="zh-CN"/>
        </w:rPr>
        <w:t>组织的</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珠江流域（玉溪段）生态环境监测能力提升项目</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结果，经甲、乙双方协商一致，本着平等互利和诚实信用的原则，在双方履行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及文件澄清、修订、变更、确认函、承诺函等各项承诺的前提下，同意按下述条款签署本合同。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本合同涉及金额全部为人民币。</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项目名称</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珠江流域（玉溪段）生态环境监测能力提升项目</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货物清单（价目表）</w:t>
      </w:r>
    </w:p>
    <w:tbl>
      <w:tblPr>
        <w:tblStyle w:val="23"/>
        <w:tblW w:w="0" w:type="auto"/>
        <w:jc w:val="center"/>
        <w:tblLayout w:type="fixed"/>
        <w:tblCellMar>
          <w:top w:w="0" w:type="dxa"/>
          <w:left w:w="30" w:type="dxa"/>
          <w:bottom w:w="0" w:type="dxa"/>
          <w:right w:w="30" w:type="dxa"/>
        </w:tblCellMar>
      </w:tblPr>
      <w:tblGrid>
        <w:gridCol w:w="630"/>
        <w:gridCol w:w="1575"/>
        <w:gridCol w:w="3510"/>
        <w:gridCol w:w="1260"/>
        <w:gridCol w:w="1260"/>
        <w:gridCol w:w="1365"/>
      </w:tblGrid>
      <w:tr>
        <w:tblPrEx>
          <w:tblCellMar>
            <w:top w:w="0" w:type="dxa"/>
            <w:left w:w="30" w:type="dxa"/>
            <w:bottom w:w="0" w:type="dxa"/>
            <w:right w:w="30" w:type="dxa"/>
          </w:tblCellMar>
        </w:tblPrEx>
        <w:trPr>
          <w:cantSplit/>
          <w:trHeight w:val="460" w:hRule="atLeast"/>
          <w:jc w:val="center"/>
        </w:trPr>
        <w:tc>
          <w:tcPr>
            <w:tcW w:w="630" w:type="dxa"/>
            <w:tcBorders>
              <w:top w:val="single" w:color="auto" w:sz="6" w:space="0"/>
              <w:left w:val="single" w:color="auto" w:sz="6" w:space="0"/>
              <w:bottom w:val="single" w:color="auto" w:sz="6" w:space="0"/>
              <w:right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75" w:type="dxa"/>
            <w:tcBorders>
              <w:top w:val="single" w:color="auto" w:sz="6" w:space="0"/>
              <w:left w:val="single" w:color="auto" w:sz="6" w:space="0"/>
              <w:bottom w:val="single" w:color="auto" w:sz="6" w:space="0"/>
              <w:right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510" w:type="dxa"/>
            <w:tcBorders>
              <w:top w:val="single" w:color="auto" w:sz="6" w:space="0"/>
              <w:left w:val="single" w:color="auto" w:sz="6" w:space="0"/>
              <w:bottom w:val="single" w:color="auto" w:sz="6" w:space="0"/>
              <w:right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1260" w:type="dxa"/>
            <w:tcBorders>
              <w:top w:val="single" w:color="auto" w:sz="6" w:space="0"/>
              <w:left w:val="single" w:color="auto" w:sz="6" w:space="0"/>
              <w:bottom w:val="single" w:color="auto" w:sz="6" w:space="0"/>
              <w:right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0" w:type="dxa"/>
            <w:tcBorders>
              <w:top w:val="single" w:color="auto" w:sz="6" w:space="0"/>
              <w:left w:val="single" w:color="auto" w:sz="6" w:space="0"/>
              <w:bottom w:val="single" w:color="auto" w:sz="6" w:space="0"/>
              <w:right w:val="single" w:color="auto" w:sz="4"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365" w:type="dxa"/>
            <w:tcBorders>
              <w:top w:val="single" w:color="auto" w:sz="6" w:space="0"/>
              <w:left w:val="single" w:color="auto" w:sz="4" w:space="0"/>
              <w:bottom w:val="single" w:color="auto" w:sz="6" w:space="0"/>
              <w:right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r>
      <w:tr>
        <w:tblPrEx>
          <w:tblCellMar>
            <w:top w:w="0" w:type="dxa"/>
            <w:left w:w="30" w:type="dxa"/>
            <w:bottom w:w="0" w:type="dxa"/>
            <w:right w:w="30" w:type="dxa"/>
          </w:tblCellMar>
        </w:tblPrEx>
        <w:trPr>
          <w:trHeight w:val="410" w:hRule="atLeast"/>
          <w:jc w:val="center"/>
        </w:trPr>
        <w:tc>
          <w:tcPr>
            <w:tcW w:w="63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351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365"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r>
      <w:tr>
        <w:tblPrEx>
          <w:tblCellMar>
            <w:top w:w="0" w:type="dxa"/>
            <w:left w:w="30" w:type="dxa"/>
            <w:bottom w:w="0" w:type="dxa"/>
            <w:right w:w="30" w:type="dxa"/>
          </w:tblCellMar>
        </w:tblPrEx>
        <w:trPr>
          <w:trHeight w:val="401" w:hRule="atLeast"/>
          <w:jc w:val="center"/>
        </w:trPr>
        <w:tc>
          <w:tcPr>
            <w:tcW w:w="63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75"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351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365"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r>
      <w:tr>
        <w:tblPrEx>
          <w:tblCellMar>
            <w:top w:w="0" w:type="dxa"/>
            <w:left w:w="30" w:type="dxa"/>
            <w:bottom w:w="0" w:type="dxa"/>
            <w:right w:w="30" w:type="dxa"/>
          </w:tblCellMar>
        </w:tblPrEx>
        <w:trPr>
          <w:trHeight w:val="375" w:hRule="atLeast"/>
          <w:jc w:val="center"/>
        </w:trPr>
        <w:tc>
          <w:tcPr>
            <w:tcW w:w="63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351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260"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c>
          <w:tcPr>
            <w:tcW w:w="1365"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tc>
      </w:tr>
      <w:tr>
        <w:tblPrEx>
          <w:tblCellMar>
            <w:top w:w="0" w:type="dxa"/>
            <w:left w:w="30" w:type="dxa"/>
            <w:bottom w:w="0" w:type="dxa"/>
            <w:right w:w="30" w:type="dxa"/>
          </w:tblCellMar>
        </w:tblPrEx>
        <w:trPr>
          <w:trHeight w:val="340" w:hRule="atLeast"/>
          <w:jc w:val="center"/>
        </w:trPr>
        <w:tc>
          <w:tcPr>
            <w:tcW w:w="9600"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以上合计：人民币（大写）：           元整   小写：￥         </w:t>
            </w:r>
          </w:p>
        </w:tc>
      </w:tr>
      <w:tr>
        <w:tblPrEx>
          <w:tblCellMar>
            <w:top w:w="0" w:type="dxa"/>
            <w:left w:w="30" w:type="dxa"/>
            <w:bottom w:w="0" w:type="dxa"/>
            <w:right w:w="30" w:type="dxa"/>
          </w:tblCellMar>
        </w:tblPrEx>
        <w:trPr>
          <w:trHeight w:val="340" w:hRule="atLeast"/>
          <w:jc w:val="center"/>
        </w:trPr>
        <w:tc>
          <w:tcPr>
            <w:tcW w:w="9600"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r>
        <w:tblPrEx>
          <w:tblCellMar>
            <w:top w:w="0" w:type="dxa"/>
            <w:left w:w="30" w:type="dxa"/>
            <w:bottom w:w="0" w:type="dxa"/>
            <w:right w:w="30" w:type="dxa"/>
          </w:tblCellMar>
        </w:tblPrEx>
        <w:trPr>
          <w:trHeight w:val="340" w:hRule="atLeast"/>
          <w:jc w:val="center"/>
        </w:trPr>
        <w:tc>
          <w:tcPr>
            <w:tcW w:w="9600"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1.供货清单价目表详见本合同附件。</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2.售后服务承诺详见本合同附件。</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3.加盖骑缝章。</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项目标的主要内容及要求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及乙方</w:t>
      </w:r>
      <w:r>
        <w:rPr>
          <w:rFonts w:hint="eastAsia" w:ascii="宋体" w:hAnsi="宋体" w:eastAsia="宋体" w:cs="宋体"/>
          <w:color w:val="auto"/>
          <w:sz w:val="24"/>
          <w:szCs w:val="24"/>
          <w:highlight w:val="none"/>
          <w:lang w:eastAsia="zh-CN"/>
        </w:rPr>
        <w:t>投标文件</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合同金额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合同总额 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   小写：￥</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合同总额包括货物及零配件的购置和安装、运输、保险、装卸、培训辅导、质保期售后服务、全额含税发票及合同实施过程中的不可预见费用等。</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价格为固定不变价，天数为日历日。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付款</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乙方收款账户如下：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开户名称：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开户银行：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银行账号：</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第六条　交付时间、地点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交货地点：甲方所在地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设备场地：甲方负责准备符合设备安装的场地，乙方予以设计指导。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交货期限：合同生效后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验收标准、验收方式、验收要求以及培训</w:t>
      </w:r>
      <w:r>
        <w:rPr>
          <w:rFonts w:hint="eastAsia" w:ascii="宋体" w:hAnsi="宋体" w:eastAsia="宋体" w:cs="宋体"/>
          <w:b/>
          <w:color w:val="auto"/>
          <w:sz w:val="24"/>
          <w:szCs w:val="24"/>
          <w:highlight w:val="none"/>
          <w:lang w:eastAsia="zh-CN"/>
        </w:rPr>
        <w:t>验</w:t>
      </w:r>
      <w:r>
        <w:rPr>
          <w:rFonts w:hint="eastAsia" w:ascii="宋体" w:hAnsi="宋体" w:eastAsia="宋体" w:cs="宋体"/>
          <w:b/>
          <w:color w:val="auto"/>
          <w:sz w:val="24"/>
          <w:szCs w:val="24"/>
          <w:highlight w:val="none"/>
        </w:rPr>
        <w:t>收报告。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污染，无侵权行为、表面无划损、无任何缺陷隐患，在中国交付验收标准：乙方指派具有相关合法资质的专业人员，并提供性能符合规定的设备、工具，按照相关操作规程，负责货到现场的安装调试。所有设备应参照本合同约定的技术性能标准和参数进行验收，本合同没有约定此标准的，按照招</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的标准，甲乙双方综合验收并出具验收报告。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在设备商检前，甲方不得自行拆装、调试或使用。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货物为全新合格产品，整无污染，无侵权行为、表面无划损、无任何缺陷隐患，在中国境内可依常规安全合法使用。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标准为原厂制造商未启封全新包装，具有出厂合格证，序列号，包装箱号与出厂批号一致，并可追索查阅。所有随设备的附件（装箱清单、用户手册、原厂保修卡、合格证、必备品、配件、工具、报关单等）必须齐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货物运至甲方后，甲方只对货物进行数量和外包装的初步验收。设备安装调试后，乙方应向甲方提供详细的验收标准、验收手册、验收申请，甲方有权委托中国有资格的单位对上述设备进行验收及精度校核。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为确保甲方能够进行日常操作及维护保养，设备安装验收后，乙方为甲方提供如下学习培训，承担相关费用：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制作与交付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要求和响应承诺的前提下，将货物制作与交付至最佳状态且双方均认为满意。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配置清单（供货价目清单）详见本合同附件。</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第九条　质保期及售后服务要求</w:t>
      </w:r>
      <w:r>
        <w:rPr>
          <w:rFonts w:hint="eastAsia" w:ascii="宋体" w:hAnsi="宋体" w:eastAsia="宋体" w:cs="宋体"/>
          <w:color w:val="auto"/>
          <w:sz w:val="24"/>
          <w:szCs w:val="24"/>
          <w:highlight w:val="none"/>
        </w:rPr>
        <w:t>（详见附件——售后服务承诺书）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1.整及所有附件（含第三方产品）质保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2.终身维护。质保期内维修保养次数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次/年。质保期外，根据维修服务标注条款进行维修服务。响应时间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小时内有专业人员到达现场维修。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双方权利义务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1.未经甲方书面同意，乙方不得擅自向第三方转让其应履行的合同项下的义务。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2.乙方应在签订本合同时提供设备配置清单、厂家或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售后服务承诺书等资料内容。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3.乙方保证甲方在使用设备期间（有配套软件的包括软件产品）不受第三方提出侵犯其专利权、商标权、工业设计权等全部权利的起诉。若出现，由乙方承担全部责任。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应对本合同内容严加保密，在未经对方事先书面同意的情况下，不得将与本合同有关的信息、数据、资料等内容向任何人披露或为其自身利益而使用。在本合同到期或终止后，甲乙双方仍须履行该保密义务。</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乙方交付的设备、货物或提供的服务，甲方只有在不符合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或本合同规定的情况下才有权拒收，并且乙方须向甲方支付本合同总价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%的违约金并赔偿甲方全部损失。若无上述原因，甲方无权拒收；若甲方因非上述原因拒收，甲方须向乙方支付本合同总价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%的违约金并赔偿乙方全部损失。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乙方延迟履行合同，逾期交付货物的，从逾期之日起每日按合同总额的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%向甲方支付违约金，最高限额为合同总价格的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%。但因设备场地不符合安装要求的，乙方延期交货，则不承担上述违约责任。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如甲乙双方未按本合同第十条第四款约定履行保密义务，违约方须向守约方赔偿本合同总价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%的违约金。因泄密引发的纠纷、事故及损失，由违约方全部承担。</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其它违约责任按《中华人民共和国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提出异议的时间和方法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甲方在验收后90天内如对货物的型号、规格、质量有异议时，应在妥善保管货物的同时，向乙方提出书面异议，乙方在收到书面异议七天内予以答复。解决方案由甲乙双方协商一致后签署补充协议。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甲方因违章操作、保管、保养不善等人为因素造成货物损毁，所提出的异议乙方有权不予接受。</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通知与送达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1.甲方通信地址及联系人：</w:t>
      </w:r>
    </w:p>
    <w:p>
      <w:pPr>
        <w:pStyle w:val="12"/>
        <w:keepNext w:val="0"/>
        <w:keepLines w:val="0"/>
        <w:pageBreakBefore w:val="0"/>
        <w:widowControl w:val="0"/>
        <w:kinsoku/>
        <w:wordWrap/>
        <w:overflowPunct/>
        <w:topLinePunct w:val="0"/>
        <w:autoSpaceDE/>
        <w:autoSpaceDN/>
        <w:bidi w:val="0"/>
        <w:adjustRightInd/>
        <w:snapToGrid/>
        <w:spacing w:line="360" w:lineRule="auto"/>
        <w:ind w:left="72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2.乙方通信地址及联系人：</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3.如一方地址、电话、传真号码、开户银行及账号等资料有变更，应在变更当日内书面通知对方，否则，视为未变更。</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第十四条　不可抗力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发生后及时向对方通报，以减轻可能给对方造成的损失，在取得有关构的不可抗力证明或双方谅解确认后，允许延期履行或修订合同，并根据情况可部分或全部免于承担违约责任。但一方延误履约后发生不可抗力的，不能免除责任。</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第十五条　争议的解决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1.合同履行过程中发生的任何争议，如双方未能通过友好协商解决，双方同意通过诉讼方式解决，诉讼管辖地为甲方所在地有管辖权的人民法院。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2.对货物质量的检查鉴定，由甲乙双方协议认定的第三方相关检测构进行终局鉴定，鉴定结果符合质量技术标准时，鉴定费由提出异议方承担，否则鉴定费由被异议方承担。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第十六条　其它条款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本合同在甲、乙双方法人代表或其授权代理人签字并加盖单位公章之日起生效。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3.所有经双方签署、确认的文件包括购销廉洁协议、配置清单、售后服务承诺书、授权委托书、补充协议及</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等均为本合同不可分割的有效组成部分，与本合同具有同等的法律效力和履约义务，其生效日期为签字盖章确认之日期。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4.出现</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内容与本合同内容不一致的情况时，以本合同为准。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5.本合同签约地点：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6.双方均已对以上各条款及附件作充分了解，并明确理解由此而产生的相关权责。</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第十七条 附件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2.配置清单（供货价目清单）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3.售后服务承诺书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地址：</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邮编：</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开户行：</w:t>
      </w:r>
    </w:p>
    <w:p>
      <w:pPr>
        <w:keepNext w:val="0"/>
        <w:keepLines w:val="0"/>
        <w:pageBreakBefore w:val="0"/>
        <w:widowControl w:val="0"/>
        <w:tabs>
          <w:tab w:val="left" w:pos="8280"/>
        </w:tabs>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税号：                                    税号：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日期：   年   月    日                    日  期： 年   月    </w:t>
      </w:r>
      <w:r>
        <w:rPr>
          <w:rFonts w:hint="eastAsia" w:ascii="宋体" w:hAnsi="宋体" w:eastAsia="宋体" w:cs="宋体"/>
          <w:color w:val="auto"/>
          <w:sz w:val="24"/>
          <w:szCs w:val="24"/>
          <w:highlight w:val="none"/>
          <w:lang w:val="en-US" w:eastAsia="zh-CN"/>
        </w:rPr>
        <w:t>日</w:t>
      </w:r>
    </w:p>
    <w:p>
      <w:pPr>
        <w:pageBreakBefore w:val="0"/>
        <w:kinsoku/>
        <w:overflowPunct/>
        <w:bidi w:val="0"/>
        <w:spacing w:line="360" w:lineRule="auto"/>
        <w:rPr>
          <w:rFonts w:hint="eastAsia" w:ascii="宋体" w:hAnsi="宋体" w:eastAsia="宋体" w:cs="宋体"/>
        </w:rPr>
      </w:pPr>
      <w:r>
        <w:rPr>
          <w:rFonts w:hint="eastAsia" w:ascii="宋体" w:hAnsi="宋体" w:eastAsia="宋体" w:cs="宋体"/>
        </w:rPr>
        <w:br w:type="page"/>
      </w:r>
    </w:p>
    <w:p>
      <w:pPr>
        <w:pStyle w:val="2"/>
        <w:pageBreakBefore w:val="0"/>
        <w:kinsoku/>
        <w:overflowPunct/>
        <w:bidi w:val="0"/>
        <w:spacing w:line="360" w:lineRule="auto"/>
        <w:jc w:val="center"/>
        <w:rPr>
          <w:rFonts w:hint="eastAsia" w:ascii="宋体" w:hAnsi="宋体" w:eastAsia="宋体" w:cs="宋体"/>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bookmarkStart w:id="99" w:name="_Toc15468"/>
    </w:p>
    <w:p>
      <w:pPr>
        <w:pStyle w:val="2"/>
        <w:pageBreakBefore w:val="0"/>
        <w:kinsoku/>
        <w:overflowPunct/>
        <w:bidi w:val="0"/>
        <w:spacing w:line="360" w:lineRule="auto"/>
        <w:jc w:val="center"/>
        <w:rPr>
          <w:rFonts w:hint="eastAsia" w:ascii="宋体" w:hAnsi="宋体" w:eastAsia="宋体" w:cs="宋体"/>
          <w:highlight w:val="none"/>
        </w:rPr>
      </w:pPr>
      <w:bookmarkStart w:id="100" w:name="_Toc24287"/>
      <w:r>
        <w:rPr>
          <w:rFonts w:hint="eastAsia" w:ascii="宋体" w:hAnsi="宋体" w:eastAsia="宋体" w:cs="宋体"/>
          <w:highlight w:val="none"/>
          <w:lang w:val="en-US" w:eastAsia="zh-CN"/>
        </w:rPr>
        <w:t xml:space="preserve">第四章   </w:t>
      </w:r>
      <w:r>
        <w:rPr>
          <w:rFonts w:hint="eastAsia" w:ascii="宋体" w:hAnsi="宋体" w:eastAsia="宋体" w:cs="宋体"/>
          <w:highlight w:val="none"/>
          <w:lang w:eastAsia="zh-CN"/>
        </w:rPr>
        <w:t>采购需求及技术参数要求</w:t>
      </w:r>
      <w:bookmarkEnd w:id="99"/>
      <w:bookmarkEnd w:id="100"/>
    </w:p>
    <w:p>
      <w:pPr>
        <w:pageBreakBefore w:val="0"/>
        <w:kinsoku/>
        <w:overflowPunct/>
        <w:bidi w:val="0"/>
        <w:adjustRightInd w:val="0"/>
        <w:snapToGrid w:val="0"/>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bookmarkStart w:id="101" w:name="_Toc851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cs="宋体"/>
          <w:b/>
          <w:bCs/>
          <w:color w:val="000000" w:themeColor="text1"/>
          <w:sz w:val="24"/>
          <w:szCs w:val="24"/>
          <w:highlight w:val="none"/>
          <w:lang w:val="en-US" w:eastAsia="zh-CN"/>
          <w14:textFill>
            <w14:solidFill>
              <w14:schemeClr w14:val="tx1"/>
            </w14:solidFill>
          </w14:textFill>
        </w:rPr>
        <w:t>设备采购清单</w:t>
      </w:r>
    </w:p>
    <w:tbl>
      <w:tblPr>
        <w:tblStyle w:val="24"/>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24"/>
        <w:gridCol w:w="2947"/>
        <w:gridCol w:w="1032"/>
        <w:gridCol w:w="150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067"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2947"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标的名称</w:t>
            </w:r>
          </w:p>
        </w:tc>
        <w:tc>
          <w:tcPr>
            <w:tcW w:w="10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数量（台）</w:t>
            </w:r>
          </w:p>
        </w:tc>
        <w:tc>
          <w:tcPr>
            <w:tcW w:w="1505"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单价（元）</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原子吸收光谱仪</w:t>
            </w:r>
          </w:p>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（核心产品）</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350000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配置江川站、通海站、峨山站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原子荧光分光光度计</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全自动高锰酸盐指数分析仪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180000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全自动COD测定仪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红塔站、澄江站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便携式溶解氧测定仪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便携式抽滤装置</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全自动流动注射分析仪（阴离子模块1个）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便携式浊度仪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实验室叶绿素荧光测定仪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手持叶绿素荧光测定仪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便携式多参数水质测定仪（水温、PH、电导率、溶解氧</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34000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酶底物法微生物快速检测系统</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台式溶解氧测定仪（电化学探头法）</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6000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COD消解仪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生化培养箱</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7500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电热鼓风干燥箱</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通风柜</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cs="宋体"/>
                <w:i w:val="0"/>
                <w:iCs w:val="0"/>
                <w:color w:val="000000"/>
                <w:kern w:val="0"/>
                <w:sz w:val="24"/>
                <w:szCs w:val="24"/>
                <w:u w:val="none"/>
                <w:lang w:val="en-US" w:eastAsia="zh-CN" w:bidi="ar"/>
              </w:rPr>
              <w:t>11100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803" w:type="dxa"/>
            <w:gridSpan w:val="3"/>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color w:val="auto"/>
                <w:sz w:val="24"/>
                <w:highlight w:val="none"/>
                <w:lang w:val="en-US" w:eastAsia="zh-CN"/>
              </w:rPr>
              <w:t>3915900.00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包件号</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2947"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color w:val="auto"/>
                <w:sz w:val="24"/>
                <w:highlight w:val="none"/>
                <w:vertAlign w:val="baseline"/>
                <w:lang w:val="en-US" w:eastAsia="zh-CN"/>
              </w:rPr>
              <w:t>标的名称</w:t>
            </w:r>
          </w:p>
        </w:tc>
        <w:tc>
          <w:tcPr>
            <w:tcW w:w="10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数量（台）</w:t>
            </w:r>
          </w:p>
        </w:tc>
        <w:tc>
          <w:tcPr>
            <w:tcW w:w="1505"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color w:val="auto"/>
                <w:sz w:val="24"/>
                <w:highlight w:val="none"/>
                <w:vertAlign w:val="baseline"/>
                <w:lang w:val="en-US" w:eastAsia="zh-CN"/>
              </w:rPr>
              <w:t>单价（元）</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restart"/>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气相分子吸收光谱仪</w:t>
            </w:r>
          </w:p>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（核心产品）</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红塔站、江川站、澄江站、通海站、华宁站、峨山站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离子色谱仪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江川站、澄江站、华宁站、峨山站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全自动总磷总氮测定仪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全自动红外测油仪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5</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超纯水机</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6</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便携式离心机</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7</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专用药品柜</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8</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瓶口分液器</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红塔站、江川站、通海站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9</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紫外分光光度计</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10</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垂直震动器</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通海站、华宁站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11</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全自动液液萃取仪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12</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叶绿素研磨仪（包括抽滤装置全套）</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13</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流速仪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红塔站、江川站、华宁站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14</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多联不锈钢溶液过滤器</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红塔站、江川站、澄江站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15</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红外测油仪</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江川站、</w:t>
            </w:r>
            <w:r>
              <w:rPr>
                <w:rFonts w:hint="eastAsia" w:ascii="宋体" w:hAnsi="宋体" w:cs="宋体"/>
                <w:color w:val="auto"/>
                <w:sz w:val="24"/>
                <w:highlight w:val="none"/>
                <w:vertAlign w:val="baseline"/>
                <w:lang w:val="en-US" w:eastAsia="zh-CN"/>
              </w:rPr>
              <w:t>配置</w:t>
            </w:r>
            <w:r>
              <w:rPr>
                <w:rFonts w:hint="eastAsia" w:ascii="宋体" w:hAnsi="宋体" w:cs="宋体"/>
                <w:color w:val="auto"/>
                <w:sz w:val="24"/>
                <w:highlight w:val="none"/>
                <w:lang w:val="en-US" w:eastAsia="zh-CN"/>
              </w:rPr>
              <w:t>澄江站、华宁站、峨山站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16</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实验室台式离心机</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配置红塔站、通海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17</w:t>
            </w:r>
          </w:p>
        </w:tc>
        <w:tc>
          <w:tcPr>
            <w:tcW w:w="2947"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氟化物离子计</w:t>
            </w:r>
          </w:p>
        </w:tc>
        <w:tc>
          <w:tcPr>
            <w:tcW w:w="1032"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配置江川站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7" w:type="dxa"/>
            <w:vMerge w:val="continue"/>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c>
          <w:tcPr>
            <w:tcW w:w="4803" w:type="dxa"/>
            <w:gridSpan w:val="3"/>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合计（元）</w:t>
            </w:r>
          </w:p>
        </w:tc>
        <w:tc>
          <w:tcPr>
            <w:tcW w:w="1505" w:type="dxa"/>
            <w:vAlign w:val="center"/>
          </w:tcPr>
          <w:p>
            <w:pPr>
              <w:keepNext w:val="0"/>
              <w:keepLines w:val="0"/>
              <w:pageBreakBefore w:val="0"/>
              <w:widowControl/>
              <w:suppressLineNumbers w:val="0"/>
              <w:kinsoku/>
              <w:overflowPunct/>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3920000.00</w:t>
            </w:r>
          </w:p>
        </w:tc>
        <w:tc>
          <w:tcPr>
            <w:tcW w:w="1879"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color w:val="auto"/>
                <w:sz w:val="24"/>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p>
    <w:p>
      <w:pPr>
        <w:pageBreakBefore w:val="0"/>
        <w:kinsoku/>
        <w:overflowPunct/>
        <w:bidi w:val="0"/>
        <w:spacing w:line="360" w:lineRule="auto"/>
        <w:rPr>
          <w:rFonts w:hint="eastAsia" w:ascii="宋体" w:hAnsi="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br w:type="page"/>
      </w:r>
    </w:p>
    <w:p>
      <w:pPr>
        <w:pageBreakBefore w:val="0"/>
        <w:kinsoku/>
        <w:overflowPunct/>
        <w:bidi w:val="0"/>
        <w:spacing w:line="360" w:lineRule="auto"/>
        <w:jc w:val="left"/>
        <w:rPr>
          <w:rFonts w:hint="eastAsia" w:ascii="Calibri" w:hAnsi="Calibri" w:eastAsia="宋体" w:cs="Times New Roman"/>
          <w:kern w:val="2"/>
          <w:sz w:val="21"/>
          <w:szCs w:val="24"/>
          <w:lang w:val="en-US" w:eastAsia="zh-CN" w:bidi="ar-SA"/>
        </w:rPr>
        <w:sectPr>
          <w:pgSz w:w="11906" w:h="16838"/>
          <w:pgMar w:top="1440" w:right="1803" w:bottom="1440" w:left="1803" w:header="851" w:footer="992" w:gutter="0"/>
          <w:pgNumType w:fmt="decimal"/>
          <w:cols w:space="0" w:num="1"/>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二、设备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技术参数要求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2050"/>
        <w:gridCol w:w="10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2"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8"/>
                <w:szCs w:val="28"/>
                <w:vertAlign w:val="baseline"/>
                <w:lang w:val="en-US" w:eastAsia="zh-CN" w:bidi="ar-SA"/>
                <w14:textFill>
                  <w14:solidFill>
                    <w14:schemeClr w14:val="tx1"/>
                  </w14:solidFill>
                </w14:textFill>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序号</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设备名称</w:t>
            </w:r>
          </w:p>
        </w:tc>
        <w:tc>
          <w:tcPr>
            <w:tcW w:w="106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1</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val="0"/>
                <w:sz w:val="24"/>
                <w:szCs w:val="24"/>
              </w:rPr>
              <w:t>原子吸收光谱仪</w:t>
            </w:r>
            <w:r>
              <w:rPr>
                <w:rFonts w:hint="eastAsia" w:ascii="宋体" w:hAnsi="宋体" w:eastAsia="宋体" w:cs="宋体"/>
                <w:b/>
                <w:bCs/>
                <w:color w:val="auto"/>
                <w:sz w:val="24"/>
                <w:highlight w:val="none"/>
                <w:vertAlign w:val="baseline"/>
                <w:lang w:val="en-US" w:eastAsia="zh-CN"/>
              </w:rPr>
              <w:t>（核心产品）</w:t>
            </w:r>
          </w:p>
        </w:tc>
        <w:tc>
          <w:tcPr>
            <w:tcW w:w="10625"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一、操作环境</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bCs/>
                <w:kern w:val="2"/>
                <w:sz w:val="21"/>
                <w:szCs w:val="21"/>
              </w:rPr>
              <w:t>　　</w:t>
            </w:r>
            <w:r>
              <w:rPr>
                <w:rFonts w:hint="eastAsia" w:ascii="宋体" w:hAnsi="宋体" w:eastAsia="宋体" w:cs="宋体"/>
                <w:kern w:val="2"/>
                <w:sz w:val="21"/>
                <w:szCs w:val="21"/>
              </w:rPr>
              <w:t>电源：AC 230V +/-10%，50/60Hz；温度：15-35℃；相对湿度20%-80%。</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二、技术性能要求</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1、整机系统</w:t>
            </w:r>
            <w:bookmarkStart w:id="102" w:name="_Hlk39129469"/>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　　台式设计原子吸收光谱仪，火焰、石墨炉一体机或分体机，火焰及石墨炉都必须配置自动进样器，并列式设计或分体设计，切换时燃烧头和石墨管位置保持不变,串联式一体机视为不满足要求。仪器以智能化为基础，由进样系统、原子化器（火焰和石墨炉）、光路系统、检测器、分析软件和计算机系统组成，全自动控制，仪器监控仪表全部由计算机控制，任何仪器参数都不需要手动调节的原子吸收光谱仪。</w:t>
            </w:r>
            <w:bookmarkEnd w:id="102"/>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2、光学系统</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1、光学系统：单光束和双光束兼备</w:t>
            </w:r>
            <w:r>
              <w:rPr>
                <w:rFonts w:hint="eastAsia" w:ascii="宋体" w:hAnsi="宋体" w:eastAsia="宋体" w:cs="宋体"/>
                <w:color w:val="auto"/>
                <w:kern w:val="2"/>
                <w:sz w:val="21"/>
                <w:szCs w:val="21"/>
                <w:lang w:val="en-US" w:eastAsia="zh-CN"/>
              </w:rPr>
              <w:t>或采用卡尔蔡司光学系统</w:t>
            </w:r>
            <w:r>
              <w:rPr>
                <w:rFonts w:hint="eastAsia" w:ascii="宋体" w:hAnsi="宋体" w:eastAsia="宋体" w:cs="宋体"/>
                <w:color w:val="auto"/>
                <w:kern w:val="2"/>
                <w:sz w:val="21"/>
                <w:szCs w:val="21"/>
              </w:rPr>
              <w:t>，</w:t>
            </w:r>
            <w:r>
              <w:rPr>
                <w:rFonts w:hint="eastAsia" w:ascii="宋体" w:hAnsi="宋体" w:eastAsia="宋体" w:cs="宋体"/>
                <w:kern w:val="2"/>
                <w:sz w:val="21"/>
                <w:szCs w:val="21"/>
              </w:rPr>
              <w:t>软件自动切换。</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2.2、波长范围：180-900nm。</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2.3、光谱带宽：狭缝的宽度自动选择，狭缝的高度自动选择，6种模式。</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2.4、波长设定：全自动检索，自动波长扫描。</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2.5、波长准确度：≤±0.1nm；波长重复性：≤±0.05nm。</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rPr>
              <w:t>2.6、仪器光谱分辨能力：Mn279.5nm-279.8nm之间峰谷与279.5nm峰高之比≤15%。</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3、光源和检测器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rPr>
              <w:t>3.1、灯座：8灯座（全自动切换）。</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3.2、灯选择：内置两种灯电源，可连接空心阴极灯和高性能空心阴极灯；通过软件由计算机控制灯的选择和自动准直，可自动识别灯名称和设定灯电流推荐值。</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3.3、检测器：广谱UV增强光电倍增管检测器或固态CCD检测器。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4、火焰分析系统</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4.1、火焰耐HF酸进样系统，耐：≥50%(v/v)HCl、HNO</w:t>
            </w:r>
            <w:r>
              <w:rPr>
                <w:rFonts w:hint="eastAsia" w:ascii="宋体" w:hAnsi="宋体" w:eastAsia="宋体" w:cs="宋体"/>
                <w:kern w:val="2"/>
                <w:sz w:val="21"/>
                <w:szCs w:val="21"/>
                <w:vertAlign w:val="subscript"/>
              </w:rPr>
              <w:t>3</w:t>
            </w:r>
            <w:r>
              <w:rPr>
                <w:rFonts w:hint="eastAsia" w:ascii="宋体" w:hAnsi="宋体" w:eastAsia="宋体" w:cs="宋体"/>
                <w:kern w:val="2"/>
                <w:sz w:val="21"/>
                <w:szCs w:val="21"/>
              </w:rPr>
              <w:t>、H</w:t>
            </w:r>
            <w:r>
              <w:rPr>
                <w:rFonts w:hint="eastAsia" w:ascii="宋体" w:hAnsi="宋体" w:eastAsia="宋体" w:cs="宋体"/>
                <w:kern w:val="2"/>
                <w:sz w:val="21"/>
                <w:szCs w:val="21"/>
                <w:vertAlign w:val="subscript"/>
              </w:rPr>
              <w:t>2</w:t>
            </w:r>
            <w:r>
              <w:rPr>
                <w:rFonts w:hint="eastAsia" w:ascii="宋体" w:hAnsi="宋体" w:eastAsia="宋体" w:cs="宋体"/>
                <w:kern w:val="2"/>
                <w:sz w:val="21"/>
                <w:szCs w:val="21"/>
              </w:rPr>
              <w:t>SO</w:t>
            </w:r>
            <w:r>
              <w:rPr>
                <w:rFonts w:hint="eastAsia" w:ascii="宋体" w:hAnsi="宋体" w:eastAsia="宋体" w:cs="宋体"/>
                <w:kern w:val="2"/>
                <w:sz w:val="21"/>
                <w:szCs w:val="21"/>
                <w:vertAlign w:val="subscript"/>
              </w:rPr>
              <w:t>4</w:t>
            </w:r>
            <w:r>
              <w:rPr>
                <w:rFonts w:hint="eastAsia" w:ascii="宋体" w:hAnsi="宋体" w:eastAsia="宋体" w:cs="宋体"/>
                <w:kern w:val="2"/>
                <w:sz w:val="21"/>
                <w:szCs w:val="21"/>
              </w:rPr>
              <w:t>、H</w:t>
            </w:r>
            <w:r>
              <w:rPr>
                <w:rFonts w:hint="eastAsia" w:ascii="宋体" w:hAnsi="宋体" w:eastAsia="宋体" w:cs="宋体"/>
                <w:kern w:val="2"/>
                <w:sz w:val="21"/>
                <w:szCs w:val="21"/>
                <w:vertAlign w:val="subscript"/>
              </w:rPr>
              <w:t>3</w:t>
            </w:r>
            <w:r>
              <w:rPr>
                <w:rFonts w:hint="eastAsia" w:ascii="宋体" w:hAnsi="宋体" w:eastAsia="宋体" w:cs="宋体"/>
                <w:kern w:val="2"/>
                <w:sz w:val="21"/>
                <w:szCs w:val="21"/>
              </w:rPr>
              <w:t>PO</w:t>
            </w:r>
            <w:r>
              <w:rPr>
                <w:rFonts w:hint="eastAsia" w:ascii="宋体" w:hAnsi="宋体" w:eastAsia="宋体" w:cs="宋体"/>
                <w:kern w:val="2"/>
                <w:sz w:val="21"/>
                <w:szCs w:val="21"/>
                <w:vertAlign w:val="subscript"/>
              </w:rPr>
              <w:t>4</w:t>
            </w:r>
            <w:r>
              <w:rPr>
                <w:rFonts w:hint="eastAsia" w:ascii="宋体" w:hAnsi="宋体" w:eastAsia="宋体" w:cs="宋体"/>
                <w:kern w:val="2"/>
                <w:sz w:val="21"/>
                <w:szCs w:val="21"/>
              </w:rPr>
              <w:t>，20%(v/v)HF，30%(w/v)NaOH以及30%的高盐样品。可调式通用型雾化器，高强度惰性材料预混室，全钛燃烧头。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rPr>
              <w:t>4.2、火焰系统安全保护：安全联锁装置与燃烧头，雾化器/端盖，排液系统，废液桶液面高度，气体流量等联锁，防止在任何不当条件下点火，当监测不到火焰或任何锁定功能激活时，联锁系统会自动关闭燃烧气体，以防万一。突然断电时，仪器会从任何操作方式按预设程序自动关机，确保安全，软件支持气体</w:t>
            </w:r>
            <w:r>
              <w:rPr>
                <w:rFonts w:hint="eastAsia" w:ascii="宋体" w:hAnsi="宋体" w:eastAsia="宋体" w:cs="宋体"/>
                <w:color w:val="auto"/>
                <w:kern w:val="2"/>
                <w:sz w:val="21"/>
                <w:szCs w:val="21"/>
              </w:rPr>
              <w:t>泄露测试</w:t>
            </w:r>
            <w:r>
              <w:rPr>
                <w:rFonts w:hint="eastAsia" w:ascii="宋体" w:hAnsi="宋体" w:eastAsia="宋体" w:cs="宋体"/>
                <w:color w:val="auto"/>
                <w:kern w:val="2"/>
                <w:sz w:val="21"/>
                <w:szCs w:val="21"/>
                <w:lang w:val="en-US" w:eastAsia="zh-CN"/>
              </w:rPr>
              <w:t>或采用多级硬件+软件联锁保护；</w:t>
            </w:r>
            <w:r>
              <w:rPr>
                <w:rFonts w:hint="eastAsia" w:ascii="宋体" w:hAnsi="宋体" w:eastAsia="宋体" w:cs="宋体"/>
                <w:color w:val="auto"/>
                <w:kern w:val="2"/>
                <w:sz w:val="21"/>
                <w:szCs w:val="21"/>
              </w:rPr>
              <w:t>先自检、后通气、再点火；任一条件不满足则禁止点火/立即熄火</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具有</w:t>
            </w:r>
            <w:r>
              <w:rPr>
                <w:rFonts w:hint="eastAsia" w:ascii="宋体" w:hAnsi="宋体" w:eastAsia="宋体" w:cs="宋体"/>
                <w:color w:val="auto"/>
                <w:kern w:val="2"/>
                <w:sz w:val="21"/>
                <w:szCs w:val="21"/>
              </w:rPr>
              <w:t>全程实时监控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故障</w:t>
            </w:r>
            <w:r>
              <w:rPr>
                <w:rFonts w:hint="eastAsia" w:ascii="宋体" w:hAnsi="宋体" w:eastAsia="宋体" w:cs="宋体"/>
                <w:color w:val="auto"/>
                <w:kern w:val="2"/>
                <w:sz w:val="21"/>
                <w:szCs w:val="21"/>
                <w:lang w:val="en-US" w:eastAsia="zh-CN"/>
              </w:rPr>
              <w:t>立</w:t>
            </w:r>
            <w:r>
              <w:rPr>
                <w:rFonts w:hint="eastAsia" w:ascii="宋体" w:hAnsi="宋体" w:eastAsia="宋体" w:cs="宋体"/>
                <w:color w:val="auto"/>
                <w:kern w:val="2"/>
                <w:sz w:val="21"/>
                <w:szCs w:val="21"/>
              </w:rPr>
              <w:t>即切断，声光报警</w:t>
            </w:r>
            <w:r>
              <w:rPr>
                <w:rFonts w:hint="eastAsia" w:ascii="宋体" w:hAnsi="宋体" w:eastAsia="宋体" w:cs="宋体"/>
                <w:color w:val="auto"/>
                <w:kern w:val="2"/>
                <w:sz w:val="21"/>
                <w:szCs w:val="21"/>
                <w:lang w:val="en-US" w:eastAsia="zh-CN"/>
              </w:rPr>
              <w:t>和</w:t>
            </w:r>
            <w:r>
              <w:rPr>
                <w:rFonts w:hint="eastAsia" w:ascii="宋体" w:hAnsi="宋体" w:eastAsia="宋体" w:cs="宋体"/>
                <w:color w:val="auto"/>
                <w:kern w:val="2"/>
                <w:sz w:val="21"/>
                <w:szCs w:val="21"/>
              </w:rPr>
              <w:t>软件提示</w:t>
            </w:r>
            <w:r>
              <w:rPr>
                <w:rFonts w:hint="eastAsia" w:ascii="宋体" w:hAnsi="宋体" w:eastAsia="宋体" w:cs="宋体"/>
                <w:color w:val="auto"/>
                <w:kern w:val="2"/>
                <w:sz w:val="21"/>
                <w:szCs w:val="21"/>
                <w:lang w:val="en-US" w:eastAsia="zh-CN"/>
              </w:rPr>
              <w:t>功能</w:t>
            </w:r>
            <w:r>
              <w:rPr>
                <w:rFonts w:hint="eastAsia" w:ascii="宋体" w:hAnsi="宋体" w:eastAsia="宋体" w:cs="宋体"/>
                <w:color w:val="auto"/>
                <w:kern w:val="2"/>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4.3、燃烧器系统：燃烧头角度可调节，预混燃烧器可通过软件控制驱动装置自动换入样品室。火焰在光路中的准直，燃烧器的垂直，水平位置的调节完全自动化，并由软件控制自动进行位置最佳化。</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4.4、背景校正方式：采用高强度宽范围氘灯背景校正，可校正357nm铬。</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0000FF"/>
                <w:kern w:val="2"/>
                <w:sz w:val="21"/>
                <w:szCs w:val="21"/>
              </w:rPr>
            </w:pPr>
            <w:r>
              <w:rPr>
                <w:rFonts w:hint="eastAsia" w:ascii="宋体" w:hAnsi="宋体" w:eastAsia="宋体" w:cs="宋体"/>
                <w:sz w:val="21"/>
                <w:szCs w:val="21"/>
              </w:rPr>
              <w:t xml:space="preserve">4.5、灵敏度：5ppm Cu吸光度≥1.0A。检出限：＜0.003ppm。 </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4.6、稳定性：5ppm Cu重复7次，RSD%≤0.35%。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4.7、火焰方法测量：766.49nm：10ppm，20ppm，30ppm，40ppm，50ppm的钾（K）标准溶液，以线性计算截距的校准方式，线性相关系数必须大于0.9999。</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4.8、30分钟动态基线稳定性：Cu（0.2nm狭缝，预热小于30分钟）±0.0030Abs，Ni（0.2nm狭缝，预热小于30分钟）±0.0050Abs。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5、石墨炉分析系统</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5.1、石墨管：采用带热解涂层的平台石墨管，一次最大进样体积≥90ul。</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5.2、加热方式：纵向加热或横向加热。</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5.3、石墨炉工作温度：室温－3000℃。</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5.4、温度控制：红外探头石墨管温度实时监控，具有电压补偿和石墨管电阻变化补偿功能。</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highlight w:val="none"/>
              </w:rPr>
              <w:t>5.5、</w:t>
            </w:r>
            <w:r>
              <w:rPr>
                <w:rFonts w:hint="default" w:ascii="Times New Roman" w:hAnsi="Times New Roman" w:eastAsia="宋体" w:cs="Times New Roman"/>
                <w:sz w:val="21"/>
                <w:szCs w:val="21"/>
                <w:highlight w:val="none"/>
              </w:rPr>
              <w:t>背景校正方式：</w:t>
            </w:r>
            <w:r>
              <w:rPr>
                <w:rFonts w:hint="default" w:ascii="Times New Roman" w:hAnsi="Times New Roman" w:eastAsia="宋体" w:cs="Times New Roman"/>
                <w:sz w:val="21"/>
                <w:szCs w:val="21"/>
                <w:highlight w:val="none"/>
                <w:lang w:val="en-US" w:eastAsia="zh-CN"/>
              </w:rPr>
              <w:t>具有</w:t>
            </w:r>
            <w:r>
              <w:rPr>
                <w:rFonts w:hint="default" w:ascii="Times New Roman" w:hAnsi="Times New Roman" w:eastAsia="宋体" w:cs="Times New Roman"/>
                <w:sz w:val="21"/>
                <w:szCs w:val="21"/>
                <w:highlight w:val="none"/>
              </w:rPr>
              <w:t>塞曼</w:t>
            </w:r>
            <w:r>
              <w:rPr>
                <w:rFonts w:hint="eastAsia"/>
              </w:rPr>
              <w:t>背景校正</w:t>
            </w:r>
            <w:r>
              <w:rPr>
                <w:rFonts w:hint="default" w:ascii="Times New Roman" w:hAnsi="Times New Roman" w:eastAsia="宋体" w:cs="Times New Roman"/>
                <w:sz w:val="21"/>
                <w:szCs w:val="21"/>
                <w:highlight w:val="none"/>
                <w:lang w:val="en-US" w:eastAsia="zh-CN"/>
              </w:rPr>
              <w:t>或</w:t>
            </w:r>
            <w:r>
              <w:rPr>
                <w:rFonts w:hint="eastAsia"/>
              </w:rPr>
              <w:t>氘灯背景校正</w:t>
            </w:r>
            <w:r>
              <w:rPr>
                <w:rFonts w:hint="default" w:ascii="Times New Roman" w:hAnsi="Times New Roman" w:eastAsia="宋体" w:cs="Times New Roman"/>
                <w:i w:val="0"/>
                <w:iCs w:val="0"/>
                <w:color w:val="000000"/>
                <w:kern w:val="0"/>
                <w:sz w:val="21"/>
                <w:szCs w:val="21"/>
                <w:highlight w:val="none"/>
                <w:u w:val="none"/>
                <w:lang w:val="en-US" w:eastAsia="zh-CN" w:bidi="ar"/>
              </w:rPr>
              <w:t>任意一种</w:t>
            </w:r>
            <w:r>
              <w:rPr>
                <w:rFonts w:hint="default" w:ascii="Times New Roman" w:hAnsi="Times New Roman" w:eastAsia="宋体" w:cs="Times New Roman"/>
                <w:sz w:val="21"/>
                <w:szCs w:val="21"/>
                <w:highlight w:val="none"/>
              </w:rPr>
              <w:t>校正</w:t>
            </w:r>
            <w:r>
              <w:rPr>
                <w:rFonts w:hint="default" w:ascii="Times New Roman" w:hAnsi="Times New Roman" w:eastAsia="宋体" w:cs="Times New Roman"/>
                <w:sz w:val="21"/>
                <w:szCs w:val="21"/>
                <w:highlight w:val="none"/>
                <w:lang w:val="en-US" w:eastAsia="zh-CN"/>
              </w:rPr>
              <w:t>功能</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5.6、电源：内置直流石墨炉电源，整个仪器为一个整体。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5.7、</w:t>
            </w:r>
            <w:r>
              <w:rPr>
                <w:rFonts w:hint="eastAsia" w:ascii="宋体" w:hAnsi="宋体" w:eastAsia="宋体" w:cs="宋体"/>
                <w:sz w:val="21"/>
                <w:szCs w:val="21"/>
                <w:lang w:val="en-US" w:eastAsia="zh-CN"/>
              </w:rPr>
              <w:t>具有</w:t>
            </w:r>
            <w:r>
              <w:rPr>
                <w:rFonts w:hint="eastAsia" w:ascii="宋体" w:hAnsi="宋体" w:eastAsia="宋体" w:cs="宋体"/>
                <w:sz w:val="21"/>
                <w:szCs w:val="21"/>
              </w:rPr>
              <w:t>石墨炉</w:t>
            </w:r>
            <w:r>
              <w:rPr>
                <w:rFonts w:hint="eastAsia" w:ascii="宋体" w:hAnsi="宋体" w:eastAsia="宋体" w:cs="宋体"/>
                <w:sz w:val="21"/>
                <w:szCs w:val="21"/>
                <w:lang w:val="en-US" w:eastAsia="zh-CN"/>
              </w:rPr>
              <w:t>彩色摄像</w:t>
            </w:r>
            <w:r>
              <w:rPr>
                <w:rFonts w:hint="eastAsia" w:ascii="宋体" w:hAnsi="宋体" w:eastAsia="宋体" w:cs="宋体"/>
                <w:sz w:val="21"/>
                <w:szCs w:val="21"/>
              </w:rPr>
              <w:t>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可观察样品在石墨管内干燥、</w:t>
            </w:r>
            <w:r>
              <w:rPr>
                <w:rFonts w:hint="eastAsia" w:ascii="宋体" w:hAnsi="宋体" w:eastAsia="宋体" w:cs="宋体"/>
                <w:sz w:val="21"/>
                <w:szCs w:val="21"/>
              </w:rPr>
              <w:t>灰化</w:t>
            </w:r>
            <w:r>
              <w:rPr>
                <w:rFonts w:hint="eastAsia" w:ascii="宋体" w:hAnsi="宋体" w:eastAsia="宋体" w:cs="宋体"/>
                <w:sz w:val="21"/>
                <w:szCs w:val="21"/>
                <w:lang w:val="en-US" w:eastAsia="zh-CN"/>
              </w:rPr>
              <w:t>等过程，便于调整自动进样器</w:t>
            </w:r>
            <w:r>
              <w:rPr>
                <w:rFonts w:hint="eastAsia" w:ascii="宋体" w:hAnsi="宋体" w:eastAsia="宋体" w:cs="宋体"/>
                <w:color w:val="auto"/>
                <w:sz w:val="21"/>
                <w:szCs w:val="21"/>
                <w:lang w:val="en-US" w:eastAsia="zh-CN"/>
              </w:rPr>
              <w:t>的位置</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5.8、石墨炉配备加氧装置。</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5.9、灵敏度：2ppb Cd进样20微升，吸光度≥0.2A。检出限：＜0.02ppb。</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5.10、稳定性：2ppb Cd重复7次，RSD%≤2%。</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5.11、石墨炉方法测量：1%氯化钠基体溶液中10ppb、20ppb、30ppb、40ppb、50ppb的铅（Pb）标准溶液，以线性计算截距的校准方式，线性相关系数必须大于0.999。</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5.12、石墨炉方法测量：10ppb，20ppb，30ppb，40ppb，50ppb高温元素铝（Al）标准溶液，以线性计算截距的校准方式，线性相关系数必须大于0.999。</w:t>
            </w:r>
            <w:bookmarkStart w:id="103" w:name="OLE_LINK1"/>
          </w:p>
          <w:bookmarkEnd w:id="103"/>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5.13、石墨炉方法测量：4ppb，8ppb，12ppb，16ppb，20ppb高温元素钡（Ba）标准溶液，以线性计算截距的校准方式，线性相关系数必须大于0.999。</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6、火焰/石墨炉一体化自动进样器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bookmarkStart w:id="104" w:name="_Hlk67322436"/>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6.1、样品位数：石墨炉均不小于</w:t>
            </w:r>
            <w:r>
              <w:rPr>
                <w:rFonts w:hint="eastAsia" w:ascii="宋体" w:hAnsi="宋体" w:eastAsia="宋体" w:cs="宋体"/>
                <w:sz w:val="21"/>
                <w:szCs w:val="21"/>
                <w:lang w:val="en-US" w:eastAsia="zh-CN"/>
              </w:rPr>
              <w:t>6</w:t>
            </w:r>
            <w:r>
              <w:rPr>
                <w:rFonts w:hint="eastAsia" w:ascii="宋体" w:hAnsi="宋体" w:eastAsia="宋体" w:cs="宋体"/>
                <w:sz w:val="21"/>
                <w:szCs w:val="21"/>
              </w:rPr>
              <w:t>0个样品位以上，带取样嘴清洗池。</w:t>
            </w:r>
          </w:p>
          <w:bookmarkEnd w:id="104"/>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6.2、进样量：1-99微升</w:t>
            </w:r>
            <w:r>
              <w:rPr>
                <w:rFonts w:hint="eastAsia" w:ascii="宋体" w:hAnsi="宋体" w:eastAsia="宋体" w:cs="宋体"/>
                <w:kern w:val="0"/>
                <w:sz w:val="21"/>
                <w:szCs w:val="21"/>
                <w:lang w:val="en-US" w:eastAsia="zh-CN" w:bidi="ar"/>
              </w:rPr>
              <w:t>或2-45 微升</w:t>
            </w:r>
            <w:r>
              <w:rPr>
                <w:rFonts w:hint="eastAsia" w:ascii="宋体" w:hAnsi="宋体" w:eastAsia="宋体" w:cs="宋体"/>
                <w:sz w:val="21"/>
                <w:szCs w:val="21"/>
              </w:rPr>
              <w:t>连续可调，最小增量1µl。</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6.3、石墨炉分析可自动进行配制标准、加基体改进剂、浓缩和稀释、质量控制。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6.4、火焰/石墨炉自动进样器切换无需任何工具。</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7、操作控制软件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1</w:t>
            </w:r>
            <w:r>
              <w:rPr>
                <w:rFonts w:hint="eastAsia" w:ascii="宋体" w:hAnsi="宋体" w:eastAsia="宋体" w:cs="宋体"/>
                <w:sz w:val="21"/>
                <w:szCs w:val="21"/>
              </w:rPr>
              <w:t>、校正曲线：多达15个标准点的各种校正曲线法供选择，可任选单标进行曲线斜率重校。</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2</w:t>
            </w:r>
            <w:r>
              <w:rPr>
                <w:rFonts w:hint="eastAsia" w:ascii="宋体" w:hAnsi="宋体" w:eastAsia="宋体" w:cs="宋体"/>
                <w:sz w:val="21"/>
                <w:szCs w:val="21"/>
              </w:rPr>
              <w:t>、软件具有一键视频教学功能。</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3</w:t>
            </w:r>
            <w:r>
              <w:rPr>
                <w:rFonts w:hint="eastAsia" w:ascii="宋体" w:hAnsi="宋体" w:eastAsia="宋体" w:cs="宋体"/>
                <w:sz w:val="21"/>
                <w:szCs w:val="21"/>
              </w:rPr>
              <w:t>、仪器诊断软件和网络通讯。</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4</w:t>
            </w:r>
            <w:r>
              <w:rPr>
                <w:rFonts w:hint="eastAsia" w:ascii="宋体" w:hAnsi="宋体" w:eastAsia="宋体" w:cs="宋体"/>
                <w:sz w:val="21"/>
                <w:szCs w:val="21"/>
              </w:rPr>
              <w:t>、每一元素的测量参数自动优化并推荐最佳值，无需使用者进行估计。</w:t>
            </w:r>
          </w:p>
          <w:p>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5</w:t>
            </w:r>
            <w:r>
              <w:rPr>
                <w:rFonts w:hint="eastAsia" w:ascii="宋体" w:hAnsi="宋体" w:eastAsia="宋体" w:cs="宋体"/>
                <w:sz w:val="21"/>
                <w:szCs w:val="21"/>
              </w:rPr>
              <w:t>、石墨炉分析时默认峰面积分读数。</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三、配置和附件要求</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1、原子吸收光谱仪主机（含火焰原子化器和石墨炉原子化器）1套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2、仪器控制软件 1套</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3、自动进样器（样品位不少于</w:t>
            </w:r>
            <w:r>
              <w:rPr>
                <w:rFonts w:hint="eastAsia" w:ascii="宋体" w:hAnsi="宋体" w:eastAsia="宋体" w:cs="宋体"/>
                <w:sz w:val="21"/>
                <w:szCs w:val="21"/>
                <w:lang w:val="en-US" w:eastAsia="zh-CN"/>
              </w:rPr>
              <w:t>60</w:t>
            </w:r>
            <w:r>
              <w:rPr>
                <w:rFonts w:hint="eastAsia" w:ascii="宋体" w:hAnsi="宋体" w:eastAsia="宋体" w:cs="宋体"/>
                <w:sz w:val="21"/>
                <w:szCs w:val="21"/>
              </w:rPr>
              <w:t>位）　1套</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 xml:space="preserve">4、样品进样、干燥、灰化、原子化和清洗全监测摄像装置　1套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5、能量自动平衡氘灯专用控制系统或塞曼装置　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6、石墨炉加热直流电源　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7、带液封监测安全联锁保护电路的排废液装置　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8、空气、乙炔气、氩气专用连接管路　各1套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9、标准附件箱（包括燃烧头刮刀、台灯等）　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10、空气压缩机和空气过滤器　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11、循环冷却水系统　1套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12、石墨炉加氧除碳炉内消解装置　1套</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13、原厂空心阴极灯Cu、Pb、Cd、Fe、Zn、Ni、Mn</w:t>
            </w:r>
            <w:r>
              <w:rPr>
                <w:rFonts w:hint="eastAsia" w:ascii="宋体" w:hAnsi="宋体" w:eastAsia="宋体" w:cs="宋体"/>
                <w:sz w:val="21"/>
                <w:szCs w:val="21"/>
                <w:lang w:eastAsia="zh-CN"/>
              </w:rPr>
              <w:t>、Cr</w:t>
            </w:r>
            <w:r>
              <w:rPr>
                <w:rFonts w:hint="eastAsia" w:ascii="宋体" w:hAnsi="宋体" w:eastAsia="宋体" w:cs="宋体"/>
                <w:sz w:val="21"/>
                <w:szCs w:val="21"/>
              </w:rPr>
              <w:t>各1只</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14、一体化带平台涂层石墨管</w:t>
            </w:r>
            <w:r>
              <w:rPr>
                <w:rFonts w:hint="eastAsia" w:ascii="宋体" w:hAnsi="宋体" w:eastAsia="宋体" w:cs="宋体"/>
                <w:sz w:val="21"/>
                <w:szCs w:val="21"/>
                <w:lang w:val="en-US" w:eastAsia="zh-CN"/>
              </w:rPr>
              <w:t>20</w:t>
            </w:r>
            <w:r>
              <w:rPr>
                <w:rFonts w:hint="eastAsia" w:ascii="宋体" w:hAnsi="宋体" w:eastAsia="宋体" w:cs="宋体"/>
                <w:sz w:val="21"/>
                <w:szCs w:val="21"/>
              </w:rPr>
              <w:t>只</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15、石墨炉自动进样器样品杯　</w:t>
            </w:r>
            <w:r>
              <w:rPr>
                <w:rFonts w:hint="eastAsia" w:ascii="宋体" w:hAnsi="宋体" w:eastAsia="宋体" w:cs="宋体"/>
                <w:sz w:val="21"/>
                <w:szCs w:val="21"/>
                <w:lang w:val="en-US" w:eastAsia="zh-CN"/>
              </w:rPr>
              <w:t>500</w:t>
            </w:r>
            <w:r>
              <w:rPr>
                <w:rFonts w:hint="eastAsia" w:ascii="宋体" w:hAnsi="宋体" w:eastAsia="宋体" w:cs="宋体"/>
                <w:sz w:val="21"/>
                <w:szCs w:val="21"/>
              </w:rPr>
              <w:t>个</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16、火焰自动进样器样品管　</w:t>
            </w:r>
            <w:r>
              <w:rPr>
                <w:rFonts w:hint="eastAsia" w:ascii="宋体" w:hAnsi="宋体" w:eastAsia="宋体" w:cs="宋体"/>
                <w:sz w:val="21"/>
                <w:szCs w:val="21"/>
                <w:lang w:val="en-US" w:eastAsia="zh-CN"/>
              </w:rPr>
              <w:t>6</w:t>
            </w:r>
            <w:r>
              <w:rPr>
                <w:rFonts w:hint="eastAsia" w:ascii="宋体" w:hAnsi="宋体" w:eastAsia="宋体" w:cs="宋体"/>
                <w:sz w:val="21"/>
                <w:szCs w:val="21"/>
              </w:rPr>
              <w:t>00个</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17、控制工作站（配置优于CPU： 4核3.2GHZ；内存：32G；硬盘：500GB</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专用显示器≥24寸</w:t>
            </w:r>
            <w:r>
              <w:rPr>
                <w:rFonts w:hint="eastAsia" w:ascii="宋体" w:hAnsi="宋体" w:eastAsia="宋体" w:cs="宋体"/>
                <w:sz w:val="21"/>
                <w:szCs w:val="21"/>
              </w:rPr>
              <w:t>）　1台</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val="en-US" w:eastAsia="zh-CN"/>
              </w:rPr>
              <w:t>A4激光打印机</w:t>
            </w:r>
            <w:r>
              <w:rPr>
                <w:rFonts w:hint="eastAsia" w:ascii="宋体" w:hAnsi="宋体" w:eastAsia="宋体" w:cs="宋体"/>
                <w:sz w:val="21"/>
                <w:szCs w:val="21"/>
              </w:rPr>
              <w:t xml:space="preserve"> 1台</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eastAsia="宋体" w:cs="宋体"/>
                <w:sz w:val="21"/>
                <w:szCs w:val="21"/>
              </w:rPr>
            </w:pPr>
            <w:r>
              <w:rPr>
                <w:rFonts w:hint="eastAsia" w:ascii="宋体" w:hAnsi="宋体" w:eastAsia="宋体" w:cs="宋体"/>
                <w:sz w:val="21"/>
                <w:szCs w:val="21"/>
              </w:rPr>
              <w:t>19、高纯氩气钢瓶（含气、减压阀） 1套</w:t>
            </w:r>
          </w:p>
          <w:p>
            <w:pPr>
              <w:keepNext w:val="0"/>
              <w:keepLines w:val="0"/>
              <w:pageBreakBefore w:val="0"/>
              <w:widowControl w:val="0"/>
              <w:kinsoku/>
              <w:wordWrap/>
              <w:overflowPunct/>
              <w:topLinePunct w:val="0"/>
              <w:autoSpaceDE/>
              <w:autoSpaceDN/>
              <w:bidi w:val="0"/>
              <w:adjustRightInd/>
              <w:snapToGrid/>
              <w:spacing w:after="0" w:line="360" w:lineRule="auto"/>
              <w:ind w:left="2"/>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20、乙炔气钢瓶（含气、减压阀）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2</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b/>
                <w:bCs/>
                <w:sz w:val="24"/>
                <w:szCs w:val="24"/>
              </w:rPr>
              <w:t>原子荧光分光光度计</w:t>
            </w:r>
          </w:p>
        </w:tc>
        <w:tc>
          <w:tcPr>
            <w:tcW w:w="106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一、适用领域: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对样品中的As、Sb、Bi、Hg、Se、Te、Sn、Ge、Pb、Zn、Cd、Au等十二种元素的痕量分析及升级后对As、Hg、Se等元素的形态、价态测定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二、工作条件: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1、电源: 220V±10%, 50Hz</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2、环境温度: 0-45</w:t>
            </w:r>
            <w:r>
              <w:rPr>
                <w:rFonts w:hint="eastAsia" w:ascii="宋体" w:hAnsi="宋体" w:eastAsia="宋体" w:cs="宋体"/>
                <w:sz w:val="21"/>
                <w:szCs w:val="21"/>
              </w:rPr>
              <w:sym w:font="Courier New" w:char="00B0"/>
            </w:r>
            <w:r>
              <w:rPr>
                <w:rFonts w:hint="eastAsia" w:ascii="宋体" w:hAnsi="宋体" w:eastAsia="宋体" w:cs="宋体"/>
                <w:sz w:val="21"/>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3、相对湿度: ≤90%</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三、仪器技术参数要求: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1、检出限(D.L.): As、Pb、Se、Bi、Sn、Sb、Te＜ 0.01µg/L ;Hg、Cd＜0.001µg/L Ge＜0.05µg/L Zn＜1.0µg/L Au＜3.0µg/L</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sz w:val="21"/>
                <w:szCs w:val="21"/>
                <w:lang w:val="zh-CN"/>
              </w:rPr>
              <w:t>精密度</w:t>
            </w:r>
            <w:r>
              <w:rPr>
                <w:rFonts w:hint="eastAsia" w:ascii="宋体" w:hAnsi="宋体" w:eastAsia="宋体" w:cs="宋体"/>
                <w:sz w:val="21"/>
                <w:szCs w:val="21"/>
              </w:rPr>
              <w:t>（RSD）＜ 0.6％</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3、线性范围: 大于三个数量级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4、样品测量速度：＜50秒/样（顺序注射泵进样）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四、仪器性能要求: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检测通道：双通道，可单元素测定，也可双元素同时测定；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2、配有多通道合并光谱化学分析装置和模块，用于超低含量的微量样品的测定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zh-CN"/>
              </w:rPr>
              <w:t>3</w:t>
            </w:r>
            <w:r>
              <w:rPr>
                <w:rFonts w:hint="eastAsia" w:ascii="宋体" w:hAnsi="宋体" w:eastAsia="宋体" w:cs="宋体"/>
                <w:sz w:val="21"/>
                <w:szCs w:val="21"/>
              </w:rPr>
              <w:t>、</w:t>
            </w:r>
            <w:r>
              <w:rPr>
                <w:rFonts w:hint="eastAsia" w:ascii="宋体" w:hAnsi="宋体" w:eastAsia="宋体" w:cs="宋体"/>
                <w:sz w:val="21"/>
                <w:szCs w:val="21"/>
                <w:lang w:val="zh-CN"/>
              </w:rPr>
              <w:t>光源系统：智能高强度空芯阴极灯，内置存储芯片，元素类型自动识别，支持元素灯使用寿命计时；高强度</w:t>
            </w:r>
            <w:r>
              <w:rPr>
                <w:rFonts w:hint="eastAsia" w:ascii="宋体" w:hAnsi="宋体" w:eastAsia="宋体" w:cs="宋体"/>
                <w:sz w:val="21"/>
                <w:szCs w:val="21"/>
              </w:rPr>
              <w:t>空芯阴极</w:t>
            </w:r>
            <w:r>
              <w:rPr>
                <w:rFonts w:hint="eastAsia" w:ascii="宋体" w:hAnsi="宋体" w:eastAsia="宋体" w:cs="宋体"/>
                <w:sz w:val="21"/>
                <w:szCs w:val="21"/>
                <w:u w:val="wave"/>
              </w:rPr>
              <w:t>灯采</w:t>
            </w:r>
            <w:r>
              <w:rPr>
                <w:rFonts w:hint="eastAsia" w:ascii="宋体" w:hAnsi="宋体" w:eastAsia="宋体" w:cs="宋体"/>
                <w:sz w:val="21"/>
                <w:szCs w:val="21"/>
              </w:rPr>
              <w:t>用新式恒流驱动-脉冲调制供电方式，双道自动激发启辉，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■4、具有通道间干扰及空芯阴极</w:t>
            </w:r>
            <w:r>
              <w:rPr>
                <w:rFonts w:hint="eastAsia" w:ascii="宋体" w:hAnsi="宋体" w:eastAsia="宋体" w:cs="宋体"/>
                <w:sz w:val="21"/>
                <w:szCs w:val="21"/>
                <w:u w:val="wave"/>
              </w:rPr>
              <w:t>灯</w:t>
            </w:r>
            <w:r>
              <w:rPr>
                <w:rFonts w:hint="eastAsia" w:ascii="宋体" w:hAnsi="宋体" w:eastAsia="宋体" w:cs="宋体"/>
                <w:sz w:val="21"/>
                <w:szCs w:val="21"/>
              </w:rPr>
              <w:t>漂移脉动实时自动扣除功能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5、光学系统：短焦距透镜聚光，</w:t>
            </w:r>
            <w:r>
              <w:rPr>
                <w:rFonts w:hint="eastAsia" w:ascii="宋体" w:hAnsi="宋体" w:eastAsia="宋体" w:cs="宋体"/>
                <w:color w:val="000000"/>
                <w:sz w:val="21"/>
                <w:szCs w:val="21"/>
              </w:rPr>
              <w:t>新型</w:t>
            </w:r>
            <w:r>
              <w:rPr>
                <w:rFonts w:hint="eastAsia" w:ascii="宋体" w:hAnsi="宋体" w:eastAsia="宋体" w:cs="宋体"/>
                <w:sz w:val="21"/>
                <w:szCs w:val="21"/>
              </w:rPr>
              <w:t>无色散</w:t>
            </w:r>
            <w:r>
              <w:rPr>
                <w:rFonts w:hint="eastAsia" w:ascii="宋体" w:hAnsi="宋体" w:eastAsia="宋体" w:cs="宋体"/>
                <w:color w:val="000000"/>
                <w:sz w:val="21"/>
                <w:szCs w:val="21"/>
              </w:rPr>
              <w:t>全密闭避光调光系统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000000"/>
                <w:sz w:val="21"/>
                <w:szCs w:val="21"/>
              </w:rPr>
              <w:t>6、具有</w:t>
            </w:r>
            <w:r>
              <w:rPr>
                <w:rFonts w:hint="eastAsia" w:ascii="宋体" w:hAnsi="宋体" w:eastAsia="宋体" w:cs="宋体"/>
                <w:sz w:val="21"/>
                <w:szCs w:val="21"/>
              </w:rPr>
              <w:t>双光束双检测器光源漂移校准功能，光源能量实时校准并动态调节；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■7、汞灯光源自动控制模式，精确量化并自动调节汞灯能量。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zh-CN"/>
              </w:rPr>
              <w:t>、原子化系统：</w:t>
            </w:r>
            <w:r>
              <w:rPr>
                <w:rFonts w:hint="eastAsia" w:ascii="宋体" w:hAnsi="宋体" w:eastAsia="宋体" w:cs="宋体"/>
                <w:sz w:val="21"/>
                <w:szCs w:val="21"/>
              </w:rPr>
              <w:t>采用新型高效屏蔽式低温点火石英原子化器，根据所测不同元素设定最佳炉高。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Style w:val="27"/>
                <w:rFonts w:hint="eastAsia" w:ascii="宋体" w:hAnsi="宋体" w:eastAsia="宋体" w:cs="宋体"/>
                <w:sz w:val="21"/>
                <w:szCs w:val="21"/>
              </w:rPr>
              <w:t>9、</w:t>
            </w:r>
            <w:r>
              <w:rPr>
                <w:rFonts w:hint="eastAsia" w:ascii="宋体" w:hAnsi="宋体" w:eastAsia="宋体" w:cs="宋体"/>
                <w:sz w:val="21"/>
                <w:szCs w:val="21"/>
              </w:rPr>
              <w:t>进样系统：采用全自动顺序注射和全自动断续流动双模式进样系统，采用进口注射泵，进样精度达到µl级精确进样，重复性精度优于0.05%；顺序注射和断续流动两种进样模式可相互切换并兼容。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Style w:val="27"/>
                <w:rFonts w:hint="eastAsia" w:ascii="宋体" w:hAnsi="宋体" w:eastAsia="宋体" w:cs="宋体"/>
                <w:sz w:val="21"/>
                <w:szCs w:val="21"/>
              </w:rPr>
              <w:t>10、</w:t>
            </w:r>
            <w:r>
              <w:rPr>
                <w:rFonts w:hint="eastAsia" w:ascii="宋体" w:hAnsi="宋体" w:eastAsia="宋体" w:cs="宋体"/>
                <w:sz w:val="21"/>
                <w:szCs w:val="21"/>
              </w:rPr>
              <w:t>采用隔膜阀</w:t>
            </w:r>
            <w:r>
              <w:rPr>
                <w:rFonts w:hint="eastAsia" w:ascii="宋体" w:hAnsi="宋体" w:eastAsia="宋体" w:cs="宋体"/>
                <w:sz w:val="21"/>
                <w:szCs w:val="21"/>
                <w:lang w:val="en-US" w:eastAsia="zh-CN"/>
              </w:rPr>
              <w:t>或</w:t>
            </w:r>
            <w:r>
              <w:rPr>
                <w:rFonts w:hint="eastAsia" w:ascii="宋体" w:hAnsi="宋体" w:eastAsia="宋体" w:cs="宋体"/>
                <w:b w:val="0"/>
                <w:bCs w:val="0"/>
                <w:sz w:val="21"/>
                <w:szCs w:val="21"/>
                <w:lang w:val="en-US" w:eastAsia="zh-CN"/>
              </w:rPr>
              <w:t>电磁阀</w:t>
            </w:r>
            <w:r>
              <w:rPr>
                <w:rFonts w:hint="eastAsia" w:ascii="宋体" w:hAnsi="宋体" w:eastAsia="宋体" w:cs="宋体"/>
                <w:sz w:val="21"/>
                <w:szCs w:val="21"/>
              </w:rPr>
              <w:t>控制流路。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11、</w:t>
            </w:r>
            <w:r>
              <w:rPr>
                <w:rFonts w:hint="eastAsia" w:ascii="宋体" w:hAnsi="宋体" w:eastAsia="宋体" w:cs="宋体"/>
                <w:sz w:val="21"/>
                <w:szCs w:val="21"/>
                <w:lang w:val="zh-CN"/>
              </w:rPr>
              <w:t>自动进样器：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color w:val="000000"/>
                <w:sz w:val="21"/>
                <w:szCs w:val="21"/>
              </w:rPr>
              <w:t>采用</w:t>
            </w:r>
            <w:r>
              <w:rPr>
                <w:rFonts w:hint="eastAsia" w:ascii="宋体" w:hAnsi="宋体" w:eastAsia="宋体" w:cs="宋体"/>
                <w:sz w:val="21"/>
                <w:szCs w:val="21"/>
              </w:rPr>
              <w:t>极坐标式不低于180位（单盘）自动进样器，可实现全自动运行和半自动运行测量方式，可自动在线稀释、清洗、单标自动配置标准曲线（R＞0.999）；支持样品快速检测，自动在线补充载流，实现无人值守检测</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■11.2</w:t>
            </w:r>
            <w:r>
              <w:rPr>
                <w:rFonts w:hint="eastAsia" w:ascii="宋体" w:hAnsi="宋体" w:eastAsia="宋体" w:cs="宋体"/>
                <w:kern w:val="0"/>
                <w:sz w:val="21"/>
                <w:szCs w:val="21"/>
              </w:rPr>
              <w:t>具有进样针自动清洗功能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11.3</w:t>
            </w:r>
            <w:r>
              <w:rPr>
                <w:rFonts w:hint="eastAsia" w:ascii="宋体" w:hAnsi="宋体" w:eastAsia="宋体" w:cs="宋体"/>
                <w:sz w:val="21"/>
                <w:szCs w:val="21"/>
                <w:lang w:val="zh-CN"/>
              </w:rPr>
              <w:t>自动进样器具有进样臂升降调节装置</w:t>
            </w:r>
            <w:r>
              <w:rPr>
                <w:rFonts w:hint="eastAsia" w:ascii="宋体" w:hAnsi="宋体" w:eastAsia="宋体" w:cs="宋体"/>
                <w:kern w:val="0"/>
                <w:sz w:val="21"/>
                <w:szCs w:val="21"/>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采用高效涌流式</w:t>
            </w:r>
            <w:r>
              <w:rPr>
                <w:rFonts w:hint="eastAsia" w:ascii="宋体" w:hAnsi="宋体" w:eastAsia="宋体" w:cs="宋体"/>
                <w:sz w:val="21"/>
                <w:szCs w:val="21"/>
                <w:lang w:val="zh-CN"/>
              </w:rPr>
              <w:t>化学气相发生气液分离装置及去除水蒸气的装置，</w:t>
            </w:r>
            <w:r>
              <w:rPr>
                <w:rFonts w:hint="eastAsia" w:ascii="宋体" w:hAnsi="宋体" w:eastAsia="宋体" w:cs="宋体"/>
                <w:sz w:val="21"/>
                <w:szCs w:val="21"/>
              </w:rPr>
              <w:t>反应更平稳更完全，分离效果好，提高测量稳定性；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13、采用封闭式二级气液分离器，无需液封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14、配有的泵阀专用分离富集装置 ，具有既可在线消除硼氢化钾产生的气泡，又可降低试剂间扩散效应的双重功能，提高仪器稳定性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■15、具备气泡间隔技术，有效降低样品在毛细管中的扩散效应；</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16、气路系统: 开机自检、气路自动控制、自动保护、自动报警，并配有节气装置，节约氩气消耗量，减少仪器运行成本</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17、主机电路板采用高集成度数字电路设计，强、弱电分离，消除相互之间的干扰，保证在潮湿地区仪器平稳运行；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lang w:val="zh-CN"/>
              </w:rPr>
              <w:t>具有外置滤光氩氢火焰实时观察窗，</w:t>
            </w:r>
            <w:r>
              <w:rPr>
                <w:rFonts w:hint="eastAsia" w:ascii="宋体" w:hAnsi="宋体" w:eastAsia="宋体" w:cs="宋体"/>
                <w:sz w:val="21"/>
                <w:szCs w:val="21"/>
              </w:rPr>
              <w:t>可实时监控火焰状态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cs="宋体"/>
                <w:sz w:val="21"/>
                <w:szCs w:val="21"/>
                <w:lang w:val="en-US" w:eastAsia="zh-CN"/>
              </w:rPr>
              <w:t>19</w:t>
            </w:r>
            <w:r>
              <w:rPr>
                <w:rFonts w:hint="eastAsia" w:ascii="宋体" w:hAnsi="宋体" w:eastAsia="宋体" w:cs="宋体"/>
                <w:sz w:val="21"/>
                <w:szCs w:val="21"/>
              </w:rPr>
              <w:t>、配有特有技术的</w:t>
            </w:r>
            <w:r>
              <w:rPr>
                <w:rFonts w:hint="eastAsia" w:ascii="宋体" w:hAnsi="宋体" w:eastAsia="宋体" w:cs="宋体"/>
                <w:sz w:val="21"/>
                <w:szCs w:val="21"/>
                <w:lang w:val="zh-CN"/>
              </w:rPr>
              <w:t>氢化物发生原子荧光测量尾气中的有害元素捕集阱装置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五、仪器配置及耗材;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1、原子荧光光度计主机1台</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2、双光束光源漂移校准系统1套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3、全自动顺序注射泵进样系统 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4、全自动断续流动进样系统1套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5、不低于180位（单盘）</w:t>
            </w:r>
            <w:r>
              <w:rPr>
                <w:rFonts w:hint="eastAsia" w:ascii="宋体" w:hAnsi="宋体" w:eastAsia="宋体" w:cs="宋体"/>
                <w:color w:val="000000"/>
                <w:sz w:val="21"/>
                <w:szCs w:val="21"/>
              </w:rPr>
              <w:t>自动进样器1台</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6、高效涌流式</w:t>
            </w:r>
            <w:r>
              <w:rPr>
                <w:rFonts w:hint="eastAsia" w:ascii="宋体" w:hAnsi="宋体" w:eastAsia="宋体" w:cs="宋体"/>
                <w:sz w:val="21"/>
                <w:szCs w:val="21"/>
                <w:lang w:val="zh-CN"/>
              </w:rPr>
              <w:t>化学气相发生气液分离装置1套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7、配有用于形态分析接口1套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8、仪器操作及数据处理软件1套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9、数据输出和输入系统1套（品牌电脑，I5及以上， 内存16G以上， DVD刻录， 硬盘1T以上， 22液晶显示器，中文正版Win10 64位专业系统；激光打印机1套。）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FF0000"/>
                <w:sz w:val="21"/>
                <w:szCs w:val="21"/>
              </w:rPr>
            </w:pPr>
            <w:r>
              <w:rPr>
                <w:rFonts w:hint="eastAsia" w:ascii="宋体" w:hAnsi="宋体" w:eastAsia="宋体" w:cs="宋体"/>
                <w:sz w:val="21"/>
                <w:szCs w:val="21"/>
              </w:rPr>
              <w:t>10、高强度空芯阴极灯3支（汞、砷、硒各1支）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11、进样管不少于180个</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12、配套通风设备改造1套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3</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全自动高锰酸盐指数分析仪</w:t>
            </w:r>
          </w:p>
        </w:tc>
        <w:tc>
          <w:tcPr>
            <w:tcW w:w="106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1.主机配置和备件耗材</w:t>
            </w:r>
          </w:p>
          <w:p>
            <w:pPr>
              <w:keepNext w:val="0"/>
              <w:keepLines w:val="0"/>
              <w:pageBreakBefore w:val="0"/>
              <w:widowControl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sz w:val="21"/>
                <w:szCs w:val="21"/>
                <w:lang w:val="en-US" w:eastAsia="zh-CN"/>
              </w:rPr>
            </w:pPr>
            <w:r>
              <w:rPr>
                <w:rFonts w:hint="eastAsia" w:ascii="宋体" w:hAnsi="宋体" w:cs="宋体"/>
                <w:b/>
                <w:color w:val="auto"/>
                <w:sz w:val="21"/>
                <w:szCs w:val="21"/>
                <w:highlight w:val="none"/>
                <w:lang w:val="en-US" w:eastAsia="zh-CN"/>
              </w:rPr>
              <w:t>（采购数量按招标清单为准，这里只表示每台采购设备应配置的备件或耗材数量）</w:t>
            </w:r>
          </w:p>
          <w:tbl>
            <w:tblPr>
              <w:tblStyle w:val="2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3691"/>
              <w:gridCol w:w="3862"/>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7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85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主机</w:t>
                  </w:r>
                </w:p>
              </w:tc>
              <w:tc>
                <w:tcPr>
                  <w:tcW w:w="177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全自动高锰酸盐指数分析仪</w:t>
                  </w:r>
                </w:p>
              </w:tc>
              <w:tc>
                <w:tcPr>
                  <w:tcW w:w="185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包括加液系统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消解系统、滴定系统、温控系统、检测系统和数据处理系统（含工作站软件）</w:t>
                  </w:r>
                  <w:r>
                    <w:rPr>
                      <w:rFonts w:hint="eastAsia" w:ascii="宋体" w:hAnsi="宋体" w:eastAsia="宋体" w:cs="宋体"/>
                      <w:color w:val="auto"/>
                      <w:sz w:val="21"/>
                      <w:szCs w:val="21"/>
                      <w:highlight w:val="none"/>
                    </w:rPr>
                    <w:t>等</w:t>
                  </w:r>
                </w:p>
              </w:tc>
              <w:tc>
                <w:tcPr>
                  <w:tcW w:w="7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备件/耗材</w:t>
                  </w:r>
                </w:p>
              </w:tc>
              <w:tc>
                <w:tcPr>
                  <w:tcW w:w="177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样品杯</w:t>
                  </w:r>
                  <w:r>
                    <w:rPr>
                      <w:rFonts w:hint="eastAsia" w:ascii="宋体" w:hAnsi="宋体" w:eastAsia="宋体" w:cs="宋体"/>
                      <w:color w:val="auto"/>
                      <w:sz w:val="21"/>
                      <w:szCs w:val="21"/>
                      <w:highlight w:val="none"/>
                      <w:lang w:val="en-US" w:eastAsia="zh-CN"/>
                    </w:rPr>
                    <w:t>及磁力搅拌子</w:t>
                  </w:r>
                </w:p>
              </w:tc>
              <w:tc>
                <w:tcPr>
                  <w:tcW w:w="185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须与主机匹配</w:t>
                  </w:r>
                </w:p>
              </w:tc>
              <w:tc>
                <w:tcPr>
                  <w:tcW w:w="74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2.工作条件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2.1工作环境温度：10</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GB" w:eastAsia="zh-CN"/>
              </w:rPr>
              <w:t>40℃。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2.2工作环境</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 w:val="0"/>
                <w:bCs w:val="0"/>
                <w:color w:val="auto"/>
                <w:sz w:val="21"/>
                <w:szCs w:val="21"/>
                <w:highlight w:val="none"/>
                <w:lang w:val="en-GB" w:eastAsia="zh-CN"/>
              </w:rPr>
              <w:t>湿度：20%～80%。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2.3电源：</w:t>
            </w:r>
            <w:r>
              <w:rPr>
                <w:rFonts w:hint="eastAsia" w:ascii="宋体" w:hAnsi="宋体" w:eastAsia="宋体" w:cs="宋体"/>
                <w:b w:val="0"/>
                <w:bCs w:val="0"/>
                <w:color w:val="auto"/>
                <w:sz w:val="21"/>
                <w:szCs w:val="21"/>
                <w:highlight w:val="none"/>
                <w:lang w:val="en-US" w:eastAsia="zh-CN"/>
              </w:rPr>
              <w:t>AC 2</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V～240V,50Hz</w:t>
            </w:r>
            <w:r>
              <w:rPr>
                <w:rFonts w:hint="eastAsia" w:ascii="宋体" w:hAnsi="宋体" w:eastAsia="宋体" w:cs="宋体"/>
                <w:b w:val="0"/>
                <w:bCs w:val="0"/>
                <w:color w:val="auto"/>
                <w:sz w:val="21"/>
                <w:szCs w:val="21"/>
                <w:highlight w:val="none"/>
                <w:lang w:val="en-GB"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3.仪器用途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3.1符合《水质高锰酸盐指数的测定 草酸钠还原酸性滴定法》（HJ 1445—2026）、《水质高锰酸盐指数的测定 草酸钠还原碱性滴定法》（HJ 1446—2026）、《生活饮用水标准检验方法 第7部分：有机物综合指标》（GB/T 5750.7-2023）中高锰酸盐指数的测定要求。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3.2支持酸性法与碱性法自主切换，默认采用酸性法，当样品氯离子含量高于300mg/L时可切换至碱性法，适配不同水质场景检测需求。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3.3适用范围覆盖地表水、生活饮用水、水源水等各类水样中高锰酸盐指数的测定，可扩展总硬度、盐碘等指标检测功能。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4.技术参数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4.1样品处理与进样系统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▲4.1.1样品位配置：样品位数量不少于54个，样品盘采用可独立取放的模块化设计，单次连续检测能力不低于54个水样。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4.1.2进样方式：采用自动定量进样装置，进样体积</w:t>
            </w:r>
            <w:r>
              <w:rPr>
                <w:rFonts w:hint="eastAsia" w:ascii="宋体" w:hAnsi="宋体" w:cs="宋体"/>
                <w:b w:val="0"/>
                <w:bCs w:val="0"/>
                <w:color w:val="auto"/>
                <w:sz w:val="21"/>
                <w:szCs w:val="21"/>
                <w:highlight w:val="none"/>
                <w:lang w:val="en-US" w:eastAsia="zh-CN"/>
              </w:rPr>
              <w:t>最大</w:t>
            </w:r>
            <w:r>
              <w:rPr>
                <w:rFonts w:hint="eastAsia" w:ascii="宋体" w:hAnsi="宋体" w:eastAsia="宋体" w:cs="宋体"/>
                <w:b w:val="0"/>
                <w:bCs w:val="0"/>
                <w:color w:val="auto"/>
                <w:sz w:val="21"/>
                <w:szCs w:val="21"/>
                <w:highlight w:val="none"/>
                <w:lang w:val="en-US" w:eastAsia="zh-CN"/>
              </w:rPr>
              <w:t>为100mL，误差≤±1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，具备自动混匀、管路清洗功能，无需人工干预。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■4.1.3稀释功能：具备高浓度样品自动稀释功能，可手动设定稀释比例或自动适配稀释倍数，稀释误差控制在合理范围（2倍以内误差≤2.0%，2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5倍误差≤3.0%）。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4.2消解系统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■4.2.1消解方式：采用沸水浴加热，消解通道数量≥</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个，支持多样品同时消解。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▲4.2.2温控与计时：水浴温度可在 0-100℃范围内设定，精度≤1℃，消解时间可调。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4.2.3补水功能：具备缺水自动补水功能，补充水与消解区温度一致，避免温度波动影响检测结果。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4.3滴定系统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▲4.3.1滴定方式：采用高精度注射泵滴定，配备三轴</w:t>
            </w:r>
            <w:r>
              <w:rPr>
                <w:rFonts w:hint="eastAsia" w:ascii="宋体" w:hAnsi="宋体" w:cs="宋体"/>
                <w:b w:val="0"/>
                <w:bCs w:val="0"/>
                <w:color w:val="auto"/>
                <w:sz w:val="21"/>
                <w:szCs w:val="21"/>
                <w:highlight w:val="none"/>
                <w:lang w:val="en-US" w:eastAsia="zh-CN"/>
              </w:rPr>
              <w:t>或四轴</w:t>
            </w:r>
            <w:r>
              <w:rPr>
                <w:rFonts w:hint="eastAsia" w:ascii="宋体" w:hAnsi="宋体" w:eastAsia="宋体" w:cs="宋体"/>
                <w:b w:val="0"/>
                <w:bCs w:val="0"/>
                <w:color w:val="auto"/>
                <w:sz w:val="21"/>
                <w:szCs w:val="21"/>
                <w:highlight w:val="none"/>
                <w:lang w:val="en-US" w:eastAsia="zh-CN"/>
              </w:rPr>
              <w:t>电驱动机械臂或</w:t>
            </w:r>
            <w:r>
              <w:rPr>
                <w:rFonts w:hint="eastAsia" w:ascii="宋体" w:hAnsi="宋体" w:cs="宋体"/>
                <w:b w:val="0"/>
                <w:bCs w:val="0"/>
                <w:color w:val="auto"/>
                <w:sz w:val="21"/>
                <w:szCs w:val="21"/>
                <w:highlight w:val="none"/>
                <w:lang w:val="en-US" w:eastAsia="zh-CN"/>
              </w:rPr>
              <w:t>机器人</w:t>
            </w:r>
            <w:r>
              <w:rPr>
                <w:rFonts w:hint="eastAsia" w:ascii="宋体" w:hAnsi="宋体" w:eastAsia="宋体" w:cs="宋体"/>
                <w:b w:val="0"/>
                <w:bCs w:val="0"/>
                <w:color w:val="auto"/>
                <w:sz w:val="21"/>
                <w:szCs w:val="21"/>
                <w:highlight w:val="none"/>
                <w:lang w:val="en-US" w:eastAsia="zh-CN"/>
              </w:rPr>
              <w:t>，</w:t>
            </w:r>
            <w:r>
              <w:rPr>
                <w:rFonts w:ascii="宋体" w:hAnsi="宋体" w:eastAsia="宋体" w:cs="宋体"/>
                <w:sz w:val="21"/>
                <w:szCs w:val="21"/>
              </w:rPr>
              <w:t>自动抓杯</w:t>
            </w:r>
            <w:r>
              <w:rPr>
                <w:rFonts w:hint="eastAsia" w:ascii="宋体" w:hAnsi="宋体" w:eastAsia="宋体" w:cs="宋体"/>
                <w:sz w:val="21"/>
                <w:szCs w:val="21"/>
                <w:lang w:val="en-US" w:eastAsia="zh-CN"/>
              </w:rPr>
              <w:t>转移</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4.3.2滴定精度：高锰酸钾与草酸钠泵精度≤1.0%（10.0mL量程），滴定最小体积可达 0.02mL，确保滴定准确性。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4.3.3终点识别：采用高分辨率视觉传感器技术，通过溶液颜色变化自动识别滴定终点，不受水体浊度、色度干扰（150NTU 浊度、1.0mg/L 色度条件下误差≤5.0%），要求样品滴定完成后，仪器</w:t>
            </w:r>
            <w:r>
              <w:rPr>
                <w:rFonts w:hint="eastAsia" w:ascii="宋体" w:hAnsi="宋体" w:cs="宋体"/>
                <w:b w:val="0"/>
                <w:bCs w:val="0"/>
                <w:color w:val="auto"/>
                <w:sz w:val="21"/>
                <w:szCs w:val="21"/>
                <w:highlight w:val="none"/>
                <w:lang w:val="en-US" w:eastAsia="zh-CN"/>
              </w:rPr>
              <w:t>具有终点</w:t>
            </w:r>
            <w:r>
              <w:rPr>
                <w:rFonts w:hint="eastAsia" w:ascii="宋体" w:hAnsi="宋体" w:eastAsia="宋体" w:cs="宋体"/>
                <w:i w:val="0"/>
                <w:iCs w:val="0"/>
                <w:color w:val="auto"/>
                <w:kern w:val="2"/>
                <w:sz w:val="21"/>
                <w:szCs w:val="21"/>
                <w:highlight w:val="none"/>
                <w:u w:val="none"/>
                <w:lang w:val="en-US" w:eastAsia="zh-CN" w:bidi="ar"/>
              </w:rPr>
              <w:t>视频溯源</w:t>
            </w:r>
            <w:r>
              <w:rPr>
                <w:rFonts w:hint="eastAsia" w:ascii="宋体" w:hAnsi="宋体" w:cs="宋体"/>
                <w:i w:val="0"/>
                <w:iCs w:val="0"/>
                <w:color w:val="auto"/>
                <w:kern w:val="2"/>
                <w:sz w:val="21"/>
                <w:szCs w:val="21"/>
                <w:highlight w:val="none"/>
                <w:u w:val="none"/>
                <w:lang w:val="en-US" w:eastAsia="zh-CN" w:bidi="ar"/>
              </w:rPr>
              <w:t>功能，并</w:t>
            </w:r>
            <w:r>
              <w:rPr>
                <w:rFonts w:hint="eastAsia" w:ascii="宋体" w:hAnsi="宋体" w:eastAsia="宋体" w:cs="宋体"/>
                <w:b w:val="0"/>
                <w:bCs w:val="0"/>
                <w:color w:val="auto"/>
                <w:sz w:val="21"/>
                <w:szCs w:val="21"/>
                <w:highlight w:val="none"/>
                <w:lang w:val="en-US" w:eastAsia="zh-CN"/>
              </w:rPr>
              <w:t>可自动保存滴定前和滴定后水样的照片或视频，方便溯源。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■4.3.4滴定效率：具有不少于2个样品滴定通道，单个样品分析时间≤5min；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4.4安全与辅助功能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4.4.1安全防护：具备漏电防护、加热过温防护、电源 EMI 防护、漏液防护等多项安全技术，保障操作人员安全。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4.4.2试剂管理：设有不少于 4 组试剂瓶存放区，</w:t>
            </w:r>
            <w:r>
              <w:rPr>
                <w:rFonts w:hint="eastAsia" w:ascii="宋体" w:hAnsi="宋体" w:eastAsia="宋体" w:cs="宋体"/>
                <w:i w:val="0"/>
                <w:iCs w:val="0"/>
                <w:color w:val="auto"/>
                <w:kern w:val="2"/>
                <w:sz w:val="21"/>
                <w:szCs w:val="21"/>
                <w:highlight w:val="none"/>
                <w:u w:val="none"/>
                <w:lang w:val="en-US" w:eastAsia="zh-CN" w:bidi="ar"/>
              </w:rPr>
              <w:t>多通道试剂并行注入，没有试剂间的交叉污染，</w:t>
            </w:r>
            <w:r>
              <w:rPr>
                <w:rFonts w:hint="eastAsia" w:ascii="宋体" w:hAnsi="宋体" w:eastAsia="宋体" w:cs="宋体"/>
                <w:b w:val="0"/>
                <w:bCs w:val="0"/>
                <w:color w:val="auto"/>
                <w:sz w:val="21"/>
                <w:szCs w:val="21"/>
                <w:highlight w:val="none"/>
                <w:lang w:val="en-US" w:eastAsia="zh-CN"/>
              </w:rPr>
              <w:t>具备试剂液位实时监控与低液位预警功能，避免实验中断。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4.4.3自检与诊断：开机自动检测水浴液位、运动系统、加样系统等运行状态，具备故障诊断与提示功能，配备散热系统确保仪器长期稳定运行。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■4.5精密度：RSD≤3.0%（4.0mg/L左右葡萄糖标准溶液，n≥5次）。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4.6测量准确度：高中低三种不同浓度质控样允许误差范围内。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5.数据处理系统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auto"/>
                <w:sz w:val="21"/>
                <w:szCs w:val="21"/>
                <w:highlight w:val="none"/>
                <w:lang w:val="en-US" w:eastAsia="zh-CN"/>
              </w:rPr>
              <w:t xml:space="preserve">数据输出和输入系统1套（品牌计算机，I5十二代及以上， 内存16G及以上， DVD刻录， 固态硬盘1T以上， </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22液晶专用显示器，中文正版Win10 64位专业系统；A4黑白激光打印机1套。）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4</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全自动COD分析仪</w:t>
            </w:r>
          </w:p>
        </w:tc>
        <w:tc>
          <w:tcPr>
            <w:tcW w:w="10625" w:type="dxa"/>
            <w:vAlign w:val="center"/>
          </w:tcPr>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1.主机配置及备件耗材</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cs="宋体"/>
                <w:b/>
                <w:color w:val="auto"/>
                <w:sz w:val="21"/>
                <w:szCs w:val="21"/>
                <w:highlight w:val="none"/>
                <w:lang w:val="en-US" w:eastAsia="zh-CN"/>
              </w:rPr>
              <w:t>（采购数量按招标清单为准，这里只表示每台采购设备应配置的备件或耗材数量）</w:t>
            </w:r>
          </w:p>
          <w:tbl>
            <w:tblPr>
              <w:tblStyle w:val="23"/>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703"/>
              <w:gridCol w:w="512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6" w:type="pct"/>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512" w:type="pct"/>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c>
                <w:tcPr>
                  <w:tcW w:w="646" w:type="pct"/>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pPr>
                    <w:pageBreakBefore w:val="0"/>
                    <w:kinsoku/>
                    <w:overflowPunct/>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主机</w:t>
                  </w: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全自动COD分析仪</w:t>
                  </w:r>
                </w:p>
              </w:tc>
              <w:tc>
                <w:tcPr>
                  <w:tcW w:w="2512" w:type="pct"/>
                  <w:noWrap w:val="0"/>
                  <w:vAlign w:val="center"/>
                </w:tcPr>
                <w:p>
                  <w:pPr>
                    <w:pageBreakBefore w:val="0"/>
                    <w:kinsoku/>
                    <w:overflowPunct/>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包括加液系统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消解系统、滴定系统、温控系统、检测系统和数据处理系统（含工作站软件）</w:t>
                  </w:r>
                  <w:r>
                    <w:rPr>
                      <w:rFonts w:hint="eastAsia" w:ascii="宋体" w:hAnsi="宋体" w:eastAsia="宋体" w:cs="宋体"/>
                      <w:color w:val="auto"/>
                      <w:szCs w:val="21"/>
                      <w:highlight w:val="none"/>
                    </w:rPr>
                    <w:t>等</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restart"/>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备件/</w:t>
                  </w:r>
                </w:p>
                <w:p>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耗材</w:t>
                  </w: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冷却循环水机</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lang w:val="en-US" w:eastAsia="zh-CN"/>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COD智能回流消解器</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12位，控温范围：室温～350℃，冷却方式：风冷/水冷，带液晶显示屏</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lang w:val="en-US" w:eastAsia="zh-CN"/>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样品杯及磁力搅拌子</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与样品位数一致为1套</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pPr>
                    <w:pageBreakBefore w:val="0"/>
                    <w:kinsoku/>
                    <w:overflowPunct/>
                    <w:bidi w:val="0"/>
                    <w:spacing w:line="360" w:lineRule="auto"/>
                    <w:jc w:val="center"/>
                    <w:rPr>
                      <w:rFonts w:hint="eastAsia" w:ascii="宋体" w:hAnsi="宋体" w:eastAsia="宋体" w:cs="宋体"/>
                      <w:b/>
                      <w:bCs/>
                      <w:color w:val="auto"/>
                      <w:szCs w:val="21"/>
                      <w:highlight w:val="none"/>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试剂瓶架及试剂瓶</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纯水桶</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废液桶</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p>
              </w:tc>
              <w:tc>
                <w:tcPr>
                  <w:tcW w:w="1325"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维修（护）工具包</w:t>
                  </w:r>
                </w:p>
              </w:tc>
              <w:tc>
                <w:tcPr>
                  <w:tcW w:w="2512"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pPr>
                    <w:pageBreakBefore w:val="0"/>
                    <w:kinsoku/>
                    <w:overflowPunct/>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bl>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2.仪器用途</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用于全自动测定环境水体中的化学需氧量（COD），整个实验过程全自动完成，无需人工值守，符合《水质化学需氧量的测定重铬酸盐法》（HJ828-2017）中化学需氧量的测定要求。</w:t>
            </w:r>
          </w:p>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3.技术参数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3.1样品位数：≥</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位。</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 消解位：≥</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位，所有位可同时消解，消解方式：加热回流；消解时间可自由设定。</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 滴定位：≥20位，单次滴定量：10-1000µL（任选）</w:t>
            </w:r>
            <w:r>
              <w:rPr>
                <w:rFonts w:hint="eastAsia" w:ascii="宋体" w:hAnsi="宋体" w:cs="宋体"/>
                <w:b w:val="0"/>
                <w:bCs w:val="0"/>
                <w:color w:val="auto"/>
                <w:sz w:val="21"/>
                <w:szCs w:val="21"/>
                <w:highlight w:val="none"/>
                <w:lang w:val="en-US" w:eastAsia="zh-CN"/>
              </w:rPr>
              <w:t>；具有在样品杯内消解、样品杯内滴定分析，无需转移样品的功能</w:t>
            </w:r>
            <w:r>
              <w:rPr>
                <w:rFonts w:hint="eastAsia" w:ascii="宋体" w:hAnsi="宋体" w:eastAsia="宋体" w:cs="宋体"/>
                <w:b w:val="0"/>
                <w:bCs w:val="0"/>
                <w:color w:val="auto"/>
                <w:sz w:val="21"/>
                <w:szCs w:val="21"/>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 冷凝管和样品杯通过磨砂口直接对接（样品杯和冷凝管均有磨砂口），不接受冷凝管和样品杯之间带有密封圈的密封方式，防止密封圈老化造成数据不稳定。</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rPr>
              <w:t>■3.4 硫酸银-硫酸和硫酸用两个独立的加液泵加液，</w:t>
            </w:r>
            <w:r>
              <w:rPr>
                <w:rFonts w:hint="eastAsia" w:ascii="宋体" w:hAnsi="宋体" w:cs="宋体"/>
                <w:color w:val="auto"/>
                <w:sz w:val="21"/>
                <w:szCs w:val="21"/>
                <w:highlight w:val="none"/>
                <w:lang w:val="en-US" w:eastAsia="zh-CN"/>
              </w:rPr>
              <w:t>或者</w:t>
            </w:r>
            <w:r>
              <w:rPr>
                <w:rFonts w:hint="eastAsia" w:ascii="宋体" w:hAnsi="宋体" w:cs="宋体"/>
                <w:b/>
                <w:bCs/>
                <w:color w:val="auto"/>
                <w:sz w:val="21"/>
                <w:szCs w:val="21"/>
                <w:highlight w:val="none"/>
              </w:rPr>
              <w:t>硫酸-硫酸银使用单独通道进样</w:t>
            </w:r>
            <w:r>
              <w:rPr>
                <w:rFonts w:hint="eastAsia" w:ascii="宋体" w:hAnsi="宋体" w:cs="宋体"/>
                <w:b/>
                <w:bCs/>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3.5 可移动式滴定传感器，用于进行颜色判定，滴定过程中仪器可根据样品的颜色自动调整滴定速度，单个高/低浓度样品滴定时间平均小于2.5分钟。</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 检测范围：16～700mg/L。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 具有样品自动稀释功能，可对高浓度样品进行不同倍数的稀释；做空白试验时，10mL纯水由仪器自动加入。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3.8 仪器主机上能实时显示加热器的温度和滴定的温度（滴定温度可以设置）。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3.9 试剂添加方式：高精度进口注射泵加液，注射泵安装位置应便于观察、维护和更换。</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 具有双机械臂加液系统，可以实现硫酸汞、重铬酸钾标准溶液在样品杯内添加，硫酸银-硫酸溶液和纯净水在冷凝管瓶口上端添加，完全符合HJ828-2017中规定试剂添加方式。</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■3.11 采用仿生视觉系统或</w:t>
            </w:r>
            <w:r>
              <w:rPr>
                <w:rFonts w:hint="eastAsia" w:ascii="宋体" w:hAnsi="宋体" w:eastAsia="宋体" w:cs="宋体"/>
                <w:i w:val="0"/>
                <w:iCs w:val="0"/>
                <w:color w:val="auto"/>
                <w:kern w:val="2"/>
                <w:sz w:val="21"/>
                <w:szCs w:val="21"/>
                <w:highlight w:val="none"/>
                <w:u w:val="none"/>
                <w:lang w:val="en-US" w:eastAsia="zh-CN" w:bidi="ar"/>
              </w:rPr>
              <w:t>智能的颜色传感器</w:t>
            </w:r>
            <w:r>
              <w:rPr>
                <w:rFonts w:hint="eastAsia" w:ascii="宋体" w:hAnsi="宋体" w:eastAsia="宋体" w:cs="宋体"/>
                <w:b w:val="0"/>
                <w:bCs w:val="0"/>
                <w:color w:val="auto"/>
                <w:sz w:val="21"/>
                <w:szCs w:val="21"/>
                <w:highlight w:val="none"/>
                <w:lang w:val="en-US" w:eastAsia="zh-CN"/>
              </w:rPr>
              <w:t>系统判定滴定终点，软件界面上可以以视频方式实时显示整个滴定过程，能观察滴定过程中样品的颜色变化</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lang w:val="en-US" w:eastAsia="zh-CN"/>
              </w:rPr>
              <w:t>保存滴定前</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后</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水样照片或视频，方便溯源。</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3.12 具备冷凝管自动清洗、自动排废功能；具备机械臂故障报警并停止运行功能；具备管路堵塞报警并停止运行功能；注射器上具有液位传感器，具备未抽取到试剂报警并停止运行功能。</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3.13 仪器可自动判别待测样品位上是否放置样品杯，如有不匹配，仪器会自动报警。</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3.14 检出限：≤4.0mg/L。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■3.15 仪器测量精密度：（1）高浓度样品：标定10次重复性 RSD≤1%，最大偏差≤0.2mL（标定体积 25mL±1mL 时）； 空白10次，重复性 RSD≤1%，最大偏差≤0.2mL；100mg/L左右样品测定6次结果重复性RSD≤2%。（2）低浓度样品：标定10次重复性RSD≤1.5%，最大偏差≤0.3mL（标定体积 25mL±1mL 时 ）；空白10次，重复性 RSD≤1%，最大偏差≤0.3mL； 20mg/L左右样品测定6次结果重复性 RSD≤2%。</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3.16 仪器滴定精密度：RSD＜0.5%（连续6次滴定20µL，称重）。</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■3.17 仪器测量正确度：误差±5%（高低两种不同浓度COD标准溶液测定）。</w:t>
            </w:r>
          </w:p>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4.数据处理系统</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auto"/>
                <w:sz w:val="21"/>
                <w:szCs w:val="21"/>
                <w:highlight w:val="none"/>
                <w:lang w:val="en-US" w:eastAsia="zh-CN"/>
              </w:rPr>
              <w:t xml:space="preserve">数据输出和输入系统1套（品牌计算机，I5十二代及以上， 内存16G及以上， DVD刻录， 固态硬盘1T以上， </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22液晶专用显示器，中文正版Win10 64位专业系统；A4黑白激光打印机1套。）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5</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便携式溶解氧测定仪</w:t>
            </w:r>
          </w:p>
        </w:tc>
        <w:tc>
          <w:tcPr>
            <w:tcW w:w="10625" w:type="dxa"/>
            <w:vAlign w:val="center"/>
          </w:tcPr>
          <w:p>
            <w:pPr>
              <w:pageBreakBefore w:val="0"/>
              <w:numPr>
                <w:ilvl w:val="0"/>
                <w:numId w:val="3"/>
              </w:numPr>
              <w:kinsoku/>
              <w:overflowPunct/>
              <w:bidi w:val="0"/>
              <w:spacing w:after="0"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检测方法符合</w:t>
            </w:r>
            <w:r>
              <w:rPr>
                <w:rFonts w:hint="eastAsia" w:ascii="宋体" w:hAnsi="宋体" w:eastAsia="宋体" w:cs="宋体"/>
                <w:sz w:val="21"/>
                <w:szCs w:val="21"/>
              </w:rPr>
              <w:t>HJ 506-2009 水质 溶解氧的测定 电化学探头法</w:t>
            </w:r>
            <w:r>
              <w:rPr>
                <w:rFonts w:hint="eastAsia" w:ascii="宋体" w:hAnsi="宋体" w:eastAsia="宋体" w:cs="宋体"/>
                <w:sz w:val="21"/>
                <w:szCs w:val="21"/>
                <w:lang w:eastAsia="zh-CN"/>
              </w:rPr>
              <w:t>；</w:t>
            </w:r>
          </w:p>
          <w:p>
            <w:pPr>
              <w:pageBreakBefore w:val="0"/>
              <w:numPr>
                <w:ilvl w:val="0"/>
                <w:numId w:val="3"/>
              </w:numPr>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屏幕</w:t>
            </w:r>
            <w:r>
              <w:rPr>
                <w:rFonts w:hint="eastAsia" w:ascii="宋体" w:hAnsi="宋体" w:cs="宋体"/>
                <w:sz w:val="21"/>
                <w:szCs w:val="21"/>
                <w:lang w:val="en-US" w:eastAsia="zh-CN"/>
              </w:rPr>
              <w:t>清晰</w:t>
            </w:r>
            <w:r>
              <w:rPr>
                <w:rFonts w:hint="eastAsia" w:ascii="宋体" w:hAnsi="宋体" w:eastAsia="宋体" w:cs="宋体"/>
                <w:sz w:val="21"/>
                <w:szCs w:val="21"/>
                <w:lang w:eastAsia="zh-CN"/>
              </w:rPr>
              <w:t>；</w:t>
            </w:r>
            <w:r>
              <w:rPr>
                <w:rFonts w:hint="eastAsia" w:ascii="宋体" w:hAnsi="宋体" w:eastAsia="宋体" w:cs="宋体"/>
                <w:sz w:val="21"/>
                <w:szCs w:val="21"/>
              </w:rPr>
              <w:t>温度单位可选：℃ 和 °F</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3、支持开机自诊断、自动关机、断电保护和恢复出厂设置等功能</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4、支持固件升级功能，允许功能扩展和个性化要求</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5、支持IP65</w:t>
            </w:r>
            <w:r>
              <w:rPr>
                <w:rFonts w:hint="eastAsia" w:ascii="宋体" w:hAnsi="宋体" w:cs="宋体"/>
                <w:sz w:val="21"/>
                <w:szCs w:val="21"/>
                <w:lang w:val="en-US" w:eastAsia="zh-CN"/>
              </w:rPr>
              <w:t>及以上</w:t>
            </w:r>
            <w:r>
              <w:rPr>
                <w:rFonts w:hint="eastAsia" w:ascii="宋体" w:hAnsi="宋体" w:eastAsia="宋体" w:cs="宋体"/>
                <w:sz w:val="21"/>
                <w:szCs w:val="21"/>
              </w:rPr>
              <w:t>防护等级</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6、标配极谱法溶解氧电极、电极挂架、硅胶保护套、腕带、便携式手提箱</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7、智能判别终点，支持自动读数、定时读数、定时间隔读数、手动读数</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8、支持自动温度补偿、自动大气压补偿（kPa、mmHg、atm多种单位可选）</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9、自动零氧标定和满度标定</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10、支持手动盐度补偿</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11、支持数据存储、</w:t>
            </w:r>
            <w:r>
              <w:rPr>
                <w:rFonts w:hint="eastAsia" w:ascii="宋体" w:hAnsi="宋体" w:cs="宋体"/>
                <w:sz w:val="21"/>
                <w:szCs w:val="21"/>
                <w:lang w:val="en-US" w:eastAsia="zh-CN"/>
              </w:rPr>
              <w:t>有</w:t>
            </w:r>
            <w:r>
              <w:rPr>
                <w:rFonts w:hint="eastAsia" w:ascii="宋体" w:hAnsi="宋体" w:eastAsia="宋体" w:cs="宋体"/>
                <w:sz w:val="21"/>
                <w:szCs w:val="21"/>
              </w:rPr>
              <w:t>查阅、删除、传输和打印</w:t>
            </w:r>
            <w:r>
              <w:rPr>
                <w:rFonts w:hint="eastAsia" w:ascii="宋体" w:hAnsi="宋体" w:cs="宋体"/>
                <w:sz w:val="21"/>
                <w:szCs w:val="21"/>
                <w:lang w:val="en-US" w:eastAsia="zh-CN"/>
              </w:rPr>
              <w:t>功能</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sz w:val="21"/>
                <w:szCs w:val="21"/>
              </w:rPr>
              <w:t>12、</w:t>
            </w:r>
            <w:r>
              <w:rPr>
                <w:rFonts w:hint="eastAsia" w:ascii="宋体" w:hAnsi="宋体" w:eastAsia="宋体" w:cs="宋体"/>
                <w:i w:val="0"/>
                <w:iCs w:val="0"/>
                <w:caps w:val="0"/>
                <w:color w:val="auto"/>
                <w:spacing w:val="0"/>
                <w:sz w:val="21"/>
                <w:szCs w:val="21"/>
                <w:shd w:val="clear" w:fill="auto"/>
              </w:rPr>
              <w:t>内置蓝牙</w:t>
            </w:r>
            <w:r>
              <w:rPr>
                <w:rFonts w:hint="eastAsia" w:ascii="宋体" w:hAnsi="宋体" w:cs="宋体"/>
                <w:i w:val="0"/>
                <w:iCs w:val="0"/>
                <w:caps w:val="0"/>
                <w:color w:val="auto"/>
                <w:spacing w:val="0"/>
                <w:sz w:val="21"/>
                <w:szCs w:val="21"/>
                <w:shd w:val="clear" w:fill="auto"/>
                <w:lang w:val="en-US" w:eastAsia="zh-CN"/>
              </w:rPr>
              <w:t>或</w:t>
            </w:r>
            <w:r>
              <w:rPr>
                <w:rFonts w:hint="eastAsia" w:ascii="宋体" w:hAnsi="宋体" w:eastAsia="宋体" w:cs="宋体"/>
                <w:i w:val="0"/>
                <w:iCs w:val="0"/>
                <w:caps w:val="0"/>
                <w:color w:val="auto"/>
                <w:spacing w:val="0"/>
                <w:sz w:val="21"/>
                <w:szCs w:val="21"/>
                <w:shd w:val="clear" w:fill="auto"/>
              </w:rPr>
              <w:t>支持</w:t>
            </w:r>
            <w:r>
              <w:rPr>
                <w:rFonts w:hint="eastAsia" w:ascii="宋体" w:hAnsi="宋体" w:cs="宋体"/>
                <w:i w:val="0"/>
                <w:iCs w:val="0"/>
                <w:caps w:val="0"/>
                <w:color w:val="auto"/>
                <w:spacing w:val="0"/>
                <w:sz w:val="21"/>
                <w:szCs w:val="21"/>
                <w:shd w:val="clear" w:fill="auto"/>
                <w:lang w:val="en-US" w:eastAsia="zh-CN"/>
              </w:rPr>
              <w:t>其他</w:t>
            </w:r>
            <w:r>
              <w:rPr>
                <w:rFonts w:hint="eastAsia" w:ascii="宋体" w:hAnsi="宋体" w:eastAsia="宋体" w:cs="宋体"/>
                <w:i w:val="0"/>
                <w:iCs w:val="0"/>
                <w:caps w:val="0"/>
                <w:color w:val="auto"/>
                <w:spacing w:val="0"/>
                <w:sz w:val="21"/>
                <w:szCs w:val="21"/>
                <w:shd w:val="clear" w:fill="auto"/>
              </w:rPr>
              <w:t>无线传输</w:t>
            </w:r>
            <w:r>
              <w:rPr>
                <w:rFonts w:hint="eastAsia" w:ascii="宋体" w:hAnsi="宋体" w:cs="宋体"/>
                <w:i w:val="0"/>
                <w:iCs w:val="0"/>
                <w:caps w:val="0"/>
                <w:color w:val="auto"/>
                <w:spacing w:val="0"/>
                <w:sz w:val="21"/>
                <w:szCs w:val="21"/>
                <w:shd w:val="clear" w:fill="auto"/>
                <w:lang w:val="en-US" w:eastAsia="zh-CN"/>
              </w:rPr>
              <w:t>方式或</w:t>
            </w:r>
            <w:r>
              <w:rPr>
                <w:rFonts w:hint="eastAsia" w:ascii="宋体" w:hAnsi="宋体" w:eastAsia="宋体" w:cs="宋体"/>
                <w:sz w:val="21"/>
                <w:szCs w:val="21"/>
              </w:rPr>
              <w:t>具有USB</w:t>
            </w:r>
            <w:r>
              <w:rPr>
                <w:rFonts w:hint="eastAsia" w:ascii="宋体" w:hAnsi="宋体" w:cs="宋体"/>
                <w:sz w:val="21"/>
                <w:szCs w:val="21"/>
                <w:lang w:val="en-US" w:eastAsia="zh-CN"/>
              </w:rPr>
              <w:t>等</w:t>
            </w:r>
            <w:r>
              <w:rPr>
                <w:rFonts w:hint="eastAsia" w:ascii="宋体" w:hAnsi="宋体" w:eastAsia="宋体" w:cs="宋体"/>
                <w:sz w:val="21"/>
                <w:szCs w:val="21"/>
              </w:rPr>
              <w:t>接口，</w:t>
            </w:r>
            <w:r>
              <w:rPr>
                <w:rFonts w:hint="eastAsia" w:ascii="宋体" w:hAnsi="宋体" w:cs="宋体"/>
                <w:sz w:val="21"/>
                <w:szCs w:val="21"/>
                <w:lang w:val="en-US" w:eastAsia="zh-CN"/>
              </w:rPr>
              <w:t>能</w:t>
            </w:r>
            <w:r>
              <w:rPr>
                <w:rFonts w:hint="eastAsia" w:ascii="宋体" w:hAnsi="宋体" w:eastAsia="宋体" w:cs="宋体"/>
                <w:sz w:val="21"/>
                <w:szCs w:val="21"/>
              </w:rPr>
              <w:t>实现数据传输</w:t>
            </w:r>
            <w:r>
              <w:rPr>
                <w:rFonts w:hint="eastAsia" w:ascii="宋体" w:hAnsi="宋体" w:eastAsia="宋体" w:cs="宋体"/>
                <w:sz w:val="21"/>
                <w:szCs w:val="21"/>
                <w:lang w:eastAsia="zh-CN"/>
              </w:rPr>
              <w:t>；</w:t>
            </w:r>
          </w:p>
          <w:p>
            <w:pPr>
              <w:pageBreakBefore w:val="0"/>
              <w:kinsoku/>
              <w:overflowPunct/>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13、大容量锂电池供电，支持连接PC和移动电源充电，支持背光调节</w:t>
            </w:r>
          </w:p>
          <w:tbl>
            <w:tblPr>
              <w:tblStyle w:val="23"/>
              <w:tblW w:w="5000" w:type="pct"/>
              <w:tblInd w:w="0" w:type="dxa"/>
              <w:tblLayout w:type="autofit"/>
              <w:tblCellMar>
                <w:top w:w="0" w:type="dxa"/>
                <w:left w:w="0" w:type="dxa"/>
                <w:bottom w:w="0" w:type="dxa"/>
                <w:right w:w="0" w:type="dxa"/>
              </w:tblCellMar>
            </w:tblPr>
            <w:tblGrid>
              <w:gridCol w:w="1671"/>
              <w:gridCol w:w="3658"/>
              <w:gridCol w:w="5080"/>
            </w:tblGrid>
            <w:tr>
              <w:tblPrEx>
                <w:tblCellMar>
                  <w:top w:w="0" w:type="dxa"/>
                  <w:left w:w="0" w:type="dxa"/>
                  <w:bottom w:w="0" w:type="dxa"/>
                  <w:right w:w="0" w:type="dxa"/>
                </w:tblCellMar>
              </w:tblPrEx>
              <w:trPr>
                <w:trHeight w:val="23" w:hRule="atLeast"/>
              </w:trPr>
              <w:tc>
                <w:tcPr>
                  <w:tcW w:w="80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溶解氧</w:t>
                  </w: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范围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(0.00～</w:t>
                  </w:r>
                  <w:r>
                    <w:rPr>
                      <w:rFonts w:hint="eastAsia" w:ascii="宋体" w:hAnsi="宋体" w:eastAsia="宋体" w:cs="宋体"/>
                      <w:sz w:val="21"/>
                      <w:szCs w:val="21"/>
                      <w:lang w:val="en-US" w:eastAsia="zh-CN"/>
                    </w:rPr>
                    <w:t>20</w:t>
                  </w:r>
                  <w:r>
                    <w:rPr>
                      <w:rFonts w:hint="eastAsia" w:ascii="宋体" w:hAnsi="宋体" w:eastAsia="宋体" w:cs="宋体"/>
                      <w:sz w:val="21"/>
                      <w:szCs w:val="21"/>
                    </w:rPr>
                    <w:t>.00)mg/L</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■最小分辨率</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0.01 mg/L</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电子单元示值误差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±0.10mg/L</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仪器示值误差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±0.30mg/L</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响应时间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≤45s(20.0 ℃时90%响应)</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盐度补偿误差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±2%</w:t>
                  </w:r>
                </w:p>
              </w:tc>
            </w:tr>
            <w:tr>
              <w:trPr>
                <w:trHeight w:val="23" w:hRule="atLeast"/>
              </w:trPr>
              <w:tc>
                <w:tcPr>
                  <w:tcW w:w="80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饱和度</w:t>
                  </w: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范围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(0.0～300.0)%</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最小分辨率</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0.1%</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电子单元示值误差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±2.0%</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仪器示值误差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±10.0%</w:t>
                  </w:r>
                </w:p>
              </w:tc>
            </w:tr>
            <w:tr>
              <w:tblPrEx>
                <w:tblCellMar>
                  <w:top w:w="0" w:type="dxa"/>
                  <w:left w:w="0" w:type="dxa"/>
                  <w:bottom w:w="0" w:type="dxa"/>
                  <w:right w:w="0" w:type="dxa"/>
                </w:tblCellMar>
              </w:tblPrEx>
              <w:trPr>
                <w:trHeight w:val="23" w:hRule="atLeast"/>
              </w:trPr>
              <w:tc>
                <w:tcPr>
                  <w:tcW w:w="80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温度</w:t>
                  </w: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■范围</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(-5.0～110.0)℃ /(23.0-230.0)℉</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最小分辨率</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0.1℃/0.1℉</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电子单元示值误差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±0.2 ℃</w:t>
                  </w:r>
                </w:p>
              </w:tc>
            </w:tr>
            <w:tr>
              <w:tblPrEx>
                <w:tblCellMar>
                  <w:top w:w="0" w:type="dxa"/>
                  <w:left w:w="0" w:type="dxa"/>
                  <w:bottom w:w="0" w:type="dxa"/>
                  <w:right w:w="0" w:type="dxa"/>
                </w:tblCellMar>
              </w:tblPrEx>
              <w:trPr>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bidi w:val="0"/>
                    <w:spacing w:after="0" w:line="360" w:lineRule="auto"/>
                    <w:rPr>
                      <w:rFonts w:hint="eastAsia" w:ascii="宋体" w:hAnsi="宋体" w:eastAsia="宋体" w:cs="宋体"/>
                      <w:sz w:val="21"/>
                      <w:szCs w:val="21"/>
                    </w:rPr>
                  </w:pPr>
                </w:p>
              </w:tc>
              <w:tc>
                <w:tcPr>
                  <w:tcW w:w="175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bidi w:val="0"/>
                    <w:spacing w:after="0"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仪器示值误差</w:t>
                  </w:r>
                </w:p>
              </w:tc>
              <w:tc>
                <w:tcPr>
                  <w:tcW w:w="244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pageBreakBefore w:val="0"/>
                    <w:widowControl/>
                    <w:kinsoku/>
                    <w:overflowPunct/>
                    <w:bidi w:val="0"/>
                    <w:spacing w:after="0" w:line="360" w:lineRule="auto"/>
                    <w:jc w:val="center"/>
                    <w:textAlignment w:val="bottom"/>
                    <w:rPr>
                      <w:rFonts w:hint="eastAsia" w:ascii="宋体" w:hAnsi="宋体" w:eastAsia="宋体" w:cs="宋体"/>
                      <w:sz w:val="21"/>
                      <w:szCs w:val="21"/>
                    </w:rPr>
                  </w:pPr>
                  <w:r>
                    <w:rPr>
                      <w:rFonts w:hint="eastAsia" w:ascii="宋体" w:hAnsi="宋体" w:eastAsia="宋体" w:cs="宋体"/>
                      <w:sz w:val="21"/>
                      <w:szCs w:val="21"/>
                    </w:rPr>
                    <w:t>±0.4 ℃（0.0℃-60.0℃）；±1.0 ℃（其他范围）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6</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Theme="minorHAnsi" w:hAnsiTheme="minorHAnsi" w:eastAsiaTheme="minorEastAsia" w:cstheme="minorBidi"/>
                <w:b/>
                <w:bCs/>
                <w:kern w:val="2"/>
                <w:sz w:val="24"/>
                <w:szCs w:val="24"/>
                <w:lang w:val="en-US" w:eastAsia="zh-CN" w:bidi="ar-SA"/>
              </w:rPr>
              <w:t>便携式抽滤装置</w:t>
            </w:r>
          </w:p>
        </w:tc>
        <w:tc>
          <w:tcPr>
            <w:tcW w:w="10625"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 xml:space="preserve">.参数及功能要求：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.1 采用一体化设计方式，</w:t>
            </w:r>
            <w:r>
              <w:rPr>
                <w:rFonts w:hint="eastAsia" w:ascii="宋体" w:hAnsi="宋体" w:eastAsia="宋体" w:cs="宋体"/>
                <w:i w:val="0"/>
                <w:iCs w:val="0"/>
                <w:kern w:val="2"/>
                <w:sz w:val="21"/>
                <w:szCs w:val="21"/>
                <w:u w:val="none"/>
                <w:lang w:val="en-US" w:eastAsia="zh-CN" w:bidi="ar"/>
              </w:rPr>
              <w:t>整机重量≤5kg，</w:t>
            </w:r>
            <w:r>
              <w:rPr>
                <w:rFonts w:hint="eastAsia" w:ascii="宋体" w:hAnsi="宋体" w:eastAsia="宋体" w:cs="宋体"/>
                <w:sz w:val="21"/>
                <w:szCs w:val="21"/>
              </w:rPr>
              <w:t xml:space="preserve">方便携带，便于现场使用。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.2 采用快开式抽滤杯，滤膜更换方便;机身开关按钮采用防水设计，通风口配备防沙防尘网，更适合野外作业。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.3 机身放置直径100mm 的微孔滤膜。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.4 自带大容量锂电池，带过流保护，短路保护，续航时间</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15小时。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.5 电池余量实时液晶显示;设有调节旋钮实现抽滤速度或抽滤负压的无级调节。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.6 高性能无刷电机隔膜真空泵带阻水空气过滤器，防水耐酸碱腐蚀，高负压，强吸力，负压大于 65kPa;不需要额外的备压瓶或隔水瓶。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.7 集液瓶和样品瓶合二为一，抽滤下一个水样时无需清洗集液瓶;材质符合国家标准及作业指导书要求，不含金属离子。</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.技术参数：</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sz w:val="21"/>
                <w:szCs w:val="21"/>
              </w:rPr>
              <w:t>1 采样流量:≥</w:t>
            </w:r>
            <w:r>
              <w:rPr>
                <w:rFonts w:hint="eastAsia" w:ascii="宋体" w:hAnsi="宋体" w:eastAsia="宋体" w:cs="宋体"/>
                <w:sz w:val="21"/>
                <w:szCs w:val="21"/>
                <w:lang w:val="en-US" w:eastAsia="zh-CN"/>
              </w:rPr>
              <w:t>10</w:t>
            </w:r>
            <w:r>
              <w:rPr>
                <w:rFonts w:hint="eastAsia" w:ascii="宋体" w:hAnsi="宋体" w:eastAsia="宋体" w:cs="宋体"/>
                <w:sz w:val="21"/>
                <w:szCs w:val="21"/>
              </w:rPr>
              <w:t>L/min(空载)。</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 负载能力:≥-65kPa。</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 电池电量:满足仪器续航时间。</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sz w:val="21"/>
                <w:szCs w:val="21"/>
              </w:rPr>
              <w:t>.4 滤膜尺寸:直径≥100mm/0.45μm 水系滤膜。</w:t>
            </w:r>
          </w:p>
          <w:p>
            <w:pPr>
              <w:keepNext w:val="0"/>
              <w:keepLines w:val="0"/>
              <w:pageBreakBefore w:val="0"/>
              <w:widowControl w:val="0"/>
              <w:numPr>
                <w:ilvl w:val="-1"/>
                <w:numId w:val="0"/>
              </w:numPr>
              <w:kinsoku/>
              <w:wordWrap/>
              <w:overflowPunct/>
              <w:topLinePunct w:val="0"/>
              <w:autoSpaceDE/>
              <w:autoSpaceDN/>
              <w:bidi w:val="0"/>
              <w:adjustRightInd/>
              <w:snapToGrid/>
              <w:spacing w:after="0" w:line="360" w:lineRule="auto"/>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配置(每套):主机 1 套;</w:t>
            </w:r>
            <w:r>
              <w:rPr>
                <w:rFonts w:hint="eastAsia" w:ascii="宋体" w:hAnsi="宋体" w:eastAsia="宋体" w:cs="宋体"/>
                <w:sz w:val="21"/>
                <w:szCs w:val="21"/>
                <w:lang w:val="en-US" w:eastAsia="zh-CN"/>
              </w:rPr>
              <w:t>集液</w:t>
            </w:r>
            <w:r>
              <w:rPr>
                <w:rFonts w:hint="eastAsia" w:ascii="宋体" w:hAnsi="宋体" w:eastAsia="宋体" w:cs="宋体"/>
                <w:sz w:val="21"/>
                <w:szCs w:val="21"/>
              </w:rPr>
              <w:t xml:space="preserve">瓶 </w:t>
            </w:r>
            <w:r>
              <w:rPr>
                <w:rFonts w:hint="eastAsia" w:ascii="宋体" w:hAnsi="宋体" w:eastAsia="宋体" w:cs="宋体"/>
                <w:sz w:val="21"/>
                <w:szCs w:val="21"/>
                <w:lang w:val="en-US" w:eastAsia="zh-CN"/>
              </w:rPr>
              <w:t>3</w:t>
            </w:r>
            <w:r>
              <w:rPr>
                <w:rFonts w:hint="eastAsia" w:ascii="宋体" w:hAnsi="宋体" w:eastAsia="宋体" w:cs="宋体"/>
                <w:sz w:val="21"/>
                <w:szCs w:val="21"/>
              </w:rPr>
              <w:t>个;0.45</w:t>
            </w:r>
            <w:r>
              <w:rPr>
                <w:rFonts w:hint="eastAsia" w:ascii="宋体" w:hAnsi="宋体" w:eastAsia="宋体" w:cs="宋体"/>
                <w:sz w:val="21"/>
                <w:szCs w:val="21"/>
                <w:lang w:val="en-US" w:eastAsia="zh-CN"/>
              </w:rPr>
              <w:t>μ</w:t>
            </w:r>
            <w:r>
              <w:rPr>
                <w:rFonts w:hint="eastAsia" w:ascii="宋体" w:hAnsi="宋体" w:eastAsia="宋体" w:cs="宋体"/>
                <w:sz w:val="21"/>
                <w:szCs w:val="21"/>
              </w:rPr>
              <w:t>m 水系微孔滤膜</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盒;内置高容量锂电池 1 套;</w:t>
            </w:r>
            <w:r>
              <w:rPr>
                <w:rFonts w:hint="eastAsia" w:ascii="宋体" w:hAnsi="宋体" w:eastAsia="宋体" w:cs="宋体"/>
                <w:sz w:val="21"/>
                <w:szCs w:val="21"/>
                <w:lang w:val="en-US" w:eastAsia="zh-CN"/>
              </w:rPr>
              <w:t>充电器1套；</w:t>
            </w:r>
            <w:r>
              <w:rPr>
                <w:rFonts w:hint="eastAsia" w:ascii="宋体" w:hAnsi="宋体" w:eastAsia="宋体" w:cs="宋体"/>
                <w:sz w:val="21"/>
                <w:szCs w:val="21"/>
              </w:rPr>
              <w:t>使用说明书和合格证 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7</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全自动流动注射分析仪（阴离子模块1个）</w:t>
            </w:r>
          </w:p>
        </w:tc>
        <w:tc>
          <w:tcPr>
            <w:tcW w:w="10625" w:type="dxa"/>
            <w:vAlign w:val="center"/>
          </w:tcPr>
          <w:p>
            <w:pPr>
              <w:pStyle w:val="12"/>
              <w:pageBreakBefore w:val="0"/>
              <w:numPr>
                <w:ilvl w:val="0"/>
                <w:numId w:val="4"/>
              </w:numPr>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用途</w:t>
            </w:r>
            <w:r>
              <w:rPr>
                <w:rFonts w:hint="eastAsia" w:ascii="宋体" w:hAnsi="宋体" w:eastAsia="宋体" w:cs="宋体"/>
                <w:sz w:val="21"/>
                <w:szCs w:val="21"/>
              </w:rPr>
              <w:t>：主要用于地下水、地表水、饮用水、生活污水、工业废水、土壤等样品中阴离子表面活性剂等项目的全自动痕量分析。</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2仪器检测项目为全自动独立一体机，通道由自动进样装置、蠕动泵、化学分析流路、检测器、内置在线稀释模块构成一个整体。</w:t>
            </w:r>
          </w:p>
          <w:p>
            <w:pPr>
              <w:pStyle w:val="12"/>
              <w:pageBreakBefore w:val="0"/>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3.主要系统技术参数</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3.1、自动进样器</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■3.1.1、主机一体式自动进样器：主机一体式</w:t>
            </w:r>
            <w:r>
              <w:rPr>
                <w:rFonts w:hint="eastAsia" w:ascii="宋体" w:hAnsi="宋体" w:eastAsia="宋体" w:cs="宋体"/>
                <w:sz w:val="21"/>
                <w:szCs w:val="21"/>
                <w:lang w:val="en-US" w:eastAsia="zh-CN"/>
              </w:rPr>
              <w:t>60</w:t>
            </w:r>
            <w:r>
              <w:rPr>
                <w:rFonts w:hint="eastAsia" w:ascii="宋体" w:hAnsi="宋体" w:eastAsia="宋体" w:cs="宋体"/>
                <w:sz w:val="21"/>
                <w:szCs w:val="21"/>
              </w:rPr>
              <w:t>位以上进样器，且具有2个独立清洗的载流槽。</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3.1.2、具有进样针自动清洗功能。</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3.2、蠕动泵</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3.2.1蠕动泵：蠕动泵进样方向和化学反应流路方向一致，蠕动泵为无需调节整体压块式设计，该压块可分为2个不同压力的区域，可应对一个测试方法使用不同材质规格泵管时的压力偏差。</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3.2.2、蠕动泵的泵盖具备自动开合功能，清洗程序完成后，蠕动泵会自动执行泵盖松开指令，使泵管从受压状态中释放出来，从而延长泵管的使用寿命。</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3.2.3、进口三卡头泵管，通过调换泵管的不同卡头位置来延长泵管的使用寿命，降低运行成本。</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3.4、检测器</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▲3.4.1双光束设计，通过窄带滤光片分光，不同的系列分析仪可以使用相同的滤光片，也可使用不同的滤光片，滤光片更换方便。</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3.4.2波长范围： 400-1100nm。</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3.4.3流通式比色皿：光程10mm。</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3.5数据处理工作站(含计算机及打印机)</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操作：可同时显示所有同系列分析仪的实时谱图及过往图谱，可一边进行测试一边进行以往数据的查看及处理，能够进行多窗口同时操作。控制功能：可对自动进样器，蠕动泵、在线比例稀释、在线前处理等功能模块进行控制，方便设置参数、观察图谱和处理数据；</w:t>
            </w:r>
          </w:p>
          <w:p>
            <w:pPr>
              <w:pStyle w:val="12"/>
              <w:pageBreakBefore w:val="0"/>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4.测试项目技术要求：</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4.1阴离子表面活性剂技术指标</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4.1.1方法原理：亚甲基蓝光度法</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4.1.2线性范围：0.02-2mg/L </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4.1.3检出限：≤0.010 mg/L </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4.1.4样品分析频率：20样/小时</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4.1.5精密度：≤1%</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4.1.6准确度：误差在±3%以内</w:t>
            </w:r>
          </w:p>
          <w:p>
            <w:pPr>
              <w:pStyle w:val="12"/>
              <w:pageBreakBefore w:val="0"/>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5、检测项目采用方法</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阴离子表面活性剂：亚甲基蓝光度法；</w:t>
            </w:r>
          </w:p>
          <w:p>
            <w:pPr>
              <w:pStyle w:val="12"/>
              <w:pageBreakBefore w:val="0"/>
              <w:numPr>
                <w:ilvl w:val="0"/>
                <w:numId w:val="5"/>
              </w:numPr>
              <w:tabs>
                <w:tab w:val="left" w:pos="828"/>
              </w:tabs>
              <w:kinsoku/>
              <w:overflowPunct/>
              <w:bidi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主要配置:</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6.1全自动阴离子表面活性剂分析一体机1台</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2</w:t>
            </w:r>
            <w:r>
              <w:rPr>
                <w:rFonts w:hint="eastAsia" w:ascii="宋体" w:hAnsi="宋体" w:eastAsia="宋体" w:cs="宋体"/>
                <w:sz w:val="21"/>
                <w:szCs w:val="21"/>
              </w:rPr>
              <w:t>路由器1台</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3</w:t>
            </w:r>
            <w:r>
              <w:rPr>
                <w:rFonts w:hint="eastAsia" w:ascii="宋体" w:hAnsi="宋体" w:eastAsia="宋体" w:cs="宋体"/>
                <w:sz w:val="21"/>
                <w:szCs w:val="21"/>
              </w:rPr>
              <w:t>配件套包（泵管、接头、进样针等）1套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4</w:t>
            </w:r>
            <w:r>
              <w:rPr>
                <w:rFonts w:hint="eastAsia" w:ascii="宋体" w:hAnsi="宋体" w:eastAsia="宋体" w:cs="宋体"/>
                <w:sz w:val="21"/>
                <w:szCs w:val="21"/>
              </w:rPr>
              <w:t>说明书：软件、仪器及方法说明1套</w:t>
            </w:r>
          </w:p>
          <w:p>
            <w:pPr>
              <w:pStyle w:val="12"/>
              <w:pageBreakBefore w:val="0"/>
              <w:tabs>
                <w:tab w:val="left" w:pos="828"/>
              </w:tabs>
              <w:kinsoku/>
              <w:overflowPunct/>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6.</w:t>
            </w:r>
            <w:r>
              <w:rPr>
                <w:rFonts w:hint="eastAsia" w:hAnsi="宋体" w:cs="宋体"/>
                <w:sz w:val="21"/>
                <w:szCs w:val="21"/>
                <w:lang w:val="en-US" w:eastAsia="zh-CN"/>
              </w:rPr>
              <w:t>5</w:t>
            </w:r>
            <w:r>
              <w:rPr>
                <w:rFonts w:hint="eastAsia" w:ascii="宋体" w:hAnsi="宋体" w:eastAsia="宋体" w:cs="宋体"/>
                <w:sz w:val="21"/>
                <w:szCs w:val="21"/>
              </w:rPr>
              <w:t>电脑、打印机1套</w:t>
            </w:r>
            <w:r>
              <w:rPr>
                <w:rFonts w:hint="eastAsia" w:ascii="宋体" w:hAnsi="宋体" w:eastAsia="宋体" w:cs="宋体"/>
                <w:b w:val="0"/>
                <w:bCs w:val="0"/>
                <w:sz w:val="21"/>
                <w:szCs w:val="21"/>
                <w:lang w:val="en-US" w:eastAsia="zh-CN"/>
              </w:rPr>
              <w:t>（品牌计算机，I5十二代及以上， 内存16G及以上， DVD刻录， 固态硬盘1T以上， ≥22液晶专用显示器，中文正版Win10 64位专业系统；A4黑白激光打印机1套。）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6</w:t>
            </w:r>
            <w:r>
              <w:rPr>
                <w:rFonts w:hint="eastAsia" w:ascii="宋体" w:hAnsi="宋体" w:eastAsia="宋体" w:cs="宋体"/>
                <w:sz w:val="21"/>
                <w:szCs w:val="21"/>
              </w:rPr>
              <w:t>大于50位极坐标自动进样器1套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7</w:t>
            </w:r>
            <w:r>
              <w:rPr>
                <w:rFonts w:hint="eastAsia" w:ascii="宋体" w:hAnsi="宋体" w:eastAsia="宋体" w:cs="宋体"/>
                <w:sz w:val="21"/>
                <w:szCs w:val="21"/>
              </w:rPr>
              <w:t>检测器1套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8</w:t>
            </w:r>
            <w:r>
              <w:rPr>
                <w:rFonts w:hint="eastAsia" w:ascii="宋体" w:hAnsi="宋体" w:eastAsia="宋体" w:cs="宋体"/>
                <w:sz w:val="21"/>
                <w:szCs w:val="21"/>
              </w:rPr>
              <w:t>主机1套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9</w:t>
            </w:r>
            <w:r>
              <w:rPr>
                <w:rFonts w:hint="eastAsia" w:ascii="宋体" w:hAnsi="宋体" w:eastAsia="宋体" w:cs="宋体"/>
                <w:sz w:val="21"/>
                <w:szCs w:val="21"/>
              </w:rPr>
              <w:t>超声波清洗器1套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6.1</w:t>
            </w:r>
            <w:r>
              <w:rPr>
                <w:rFonts w:hint="eastAsia" w:hAnsi="宋体" w:cs="宋体"/>
                <w:sz w:val="21"/>
                <w:szCs w:val="21"/>
                <w:lang w:val="en-US" w:eastAsia="zh-CN"/>
              </w:rPr>
              <w:t>0</w:t>
            </w:r>
            <w:r>
              <w:rPr>
                <w:rFonts w:hint="eastAsia" w:ascii="宋体" w:hAnsi="宋体" w:eastAsia="宋体" w:cs="宋体"/>
                <w:sz w:val="21"/>
                <w:szCs w:val="21"/>
              </w:rPr>
              <w:t>溶剂过滤器（与阴离子项目配合使用）1套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11</w:t>
            </w:r>
            <w:r>
              <w:rPr>
                <w:rFonts w:hint="eastAsia" w:ascii="宋体" w:hAnsi="宋体" w:eastAsia="宋体" w:cs="宋体"/>
                <w:sz w:val="21"/>
                <w:szCs w:val="21"/>
              </w:rPr>
              <w:t>真空循环水泵1套</w:t>
            </w:r>
          </w:p>
          <w:p>
            <w:pPr>
              <w:pStyle w:val="12"/>
              <w:pageBreakBefore w:val="0"/>
              <w:tabs>
                <w:tab w:val="left" w:pos="828"/>
              </w:tabs>
              <w:kinsoku/>
              <w:overflowPunct/>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6.</w:t>
            </w:r>
            <w:r>
              <w:rPr>
                <w:rFonts w:hint="eastAsia" w:hAnsi="宋体" w:cs="宋体"/>
                <w:sz w:val="21"/>
                <w:szCs w:val="21"/>
                <w:lang w:val="en-US" w:eastAsia="zh-CN"/>
              </w:rPr>
              <w:t>12</w:t>
            </w:r>
            <w:r>
              <w:rPr>
                <w:rFonts w:hint="eastAsia" w:ascii="宋体" w:hAnsi="宋体" w:eastAsia="宋体" w:cs="宋体"/>
                <w:sz w:val="21"/>
                <w:szCs w:val="21"/>
              </w:rPr>
              <w:t>滤膜20张</w:t>
            </w:r>
          </w:p>
          <w:p>
            <w:pPr>
              <w:pStyle w:val="12"/>
              <w:pageBreakBefore w:val="0"/>
              <w:tabs>
                <w:tab w:val="left" w:pos="828"/>
              </w:tabs>
              <w:kinsoku/>
              <w:overflowPunct/>
              <w:bidi w:val="0"/>
              <w:spacing w:line="360" w:lineRule="auto"/>
              <w:jc w:val="left"/>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6.</w:t>
            </w:r>
            <w:r>
              <w:rPr>
                <w:rFonts w:hint="eastAsia" w:hAnsi="宋体" w:cs="宋体"/>
                <w:sz w:val="21"/>
                <w:szCs w:val="21"/>
                <w:lang w:val="en-US" w:eastAsia="zh-CN"/>
              </w:rPr>
              <w:t>13</w:t>
            </w:r>
            <w:r>
              <w:rPr>
                <w:rFonts w:hint="eastAsia" w:ascii="宋体" w:hAnsi="宋体" w:eastAsia="宋体" w:cs="宋体"/>
                <w:sz w:val="21"/>
                <w:szCs w:val="21"/>
              </w:rPr>
              <w:t>试剂包2套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8</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便携式浊度仪</w:t>
            </w:r>
          </w:p>
        </w:tc>
        <w:tc>
          <w:tcPr>
            <w:tcW w:w="10625"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1、用途：</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z w:val="21"/>
                <w:szCs w:val="21"/>
              </w:rPr>
              <w:t>便携式浊度仪，具有实验室浊度仪的优越性能，既可用于野外测试，又可用于实验室的水质分析，可广泛应用于饮用水、废水、纯水、工业水及环境水的浊度值测量。</w:t>
            </w:r>
            <w:r>
              <w:rPr>
                <w:rFonts w:hint="eastAsia" w:ascii="宋体" w:hAnsi="宋体" w:eastAsia="宋体" w:cs="宋体"/>
                <w:spacing w:val="-2"/>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2、技术性能指标：</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2.1光源：钨灯</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2.2 检测器：硅光电检测器</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2.3 测量范围：0~1000 NTU</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2.4 准确度：读数的±2%+杂散光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2.5 可重复性：读数的±1%或者0.01NTU，取大者</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■2.6 分辨率：0.01NTU</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■2.7 杂散光：&lt;0.02NTU</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▲2.8 双检测器光学系统，可消除色度、光波动、杂散光等的干扰</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3、配置要求：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z w:val="21"/>
                <w:szCs w:val="21"/>
              </w:rPr>
              <w:t xml:space="preserve">3.1 </w:t>
            </w:r>
            <w:r>
              <w:rPr>
                <w:rFonts w:hint="eastAsia" w:ascii="宋体" w:hAnsi="宋体" w:eastAsia="宋体" w:cs="宋体"/>
                <w:i w:val="0"/>
                <w:iCs w:val="0"/>
                <w:caps w:val="0"/>
                <w:color w:val="000000"/>
                <w:spacing w:val="0"/>
                <w:sz w:val="21"/>
                <w:szCs w:val="21"/>
                <w:shd w:val="clear" w:fill="FFFFFF"/>
              </w:rPr>
              <w:t>内置蓝牙</w:t>
            </w:r>
            <w:r>
              <w:rPr>
                <w:rFonts w:hint="eastAsia" w:ascii="宋体" w:hAnsi="宋体" w:cs="宋体"/>
                <w:i w:val="0"/>
                <w:iCs w:val="0"/>
                <w:caps w:val="0"/>
                <w:color w:val="000000"/>
                <w:spacing w:val="0"/>
                <w:sz w:val="21"/>
                <w:szCs w:val="21"/>
                <w:shd w:val="clear" w:fill="FFFFFF"/>
                <w:lang w:val="en-US" w:eastAsia="zh-CN"/>
              </w:rPr>
              <w:t>或</w:t>
            </w:r>
            <w:r>
              <w:rPr>
                <w:rFonts w:hint="eastAsia" w:ascii="宋体" w:hAnsi="宋体" w:eastAsia="宋体" w:cs="宋体"/>
                <w:i w:val="0"/>
                <w:iCs w:val="0"/>
                <w:caps w:val="0"/>
                <w:color w:val="000000"/>
                <w:spacing w:val="0"/>
                <w:sz w:val="21"/>
                <w:szCs w:val="21"/>
                <w:shd w:val="clear" w:fill="FFFFFF"/>
              </w:rPr>
              <w:t>支持无线传输</w:t>
            </w:r>
            <w:r>
              <w:rPr>
                <w:rFonts w:hint="eastAsia" w:ascii="宋体" w:hAnsi="宋体" w:cs="宋体"/>
                <w:i w:val="0"/>
                <w:iCs w:val="0"/>
                <w:caps w:val="0"/>
                <w:color w:val="000000"/>
                <w:spacing w:val="0"/>
                <w:sz w:val="21"/>
                <w:szCs w:val="21"/>
                <w:shd w:val="clear" w:fill="FFFFFF"/>
                <w:lang w:val="en-US" w:eastAsia="zh-CN"/>
              </w:rPr>
              <w:t>功能</w:t>
            </w:r>
            <w:r>
              <w:rPr>
                <w:rFonts w:hint="eastAsia" w:ascii="宋体" w:hAnsi="宋体" w:eastAsia="宋体" w:cs="宋体"/>
                <w:i w:val="0"/>
                <w:iCs w:val="0"/>
                <w:caps w:val="0"/>
                <w:color w:val="000000"/>
                <w:spacing w:val="0"/>
                <w:sz w:val="21"/>
                <w:szCs w:val="21"/>
                <w:shd w:val="clear"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pacing w:val="-2"/>
                <w:sz w:val="21"/>
                <w:szCs w:val="21"/>
                <w:lang w:val="en-US" w:eastAsia="zh-CN"/>
              </w:rPr>
              <w:t>3.2</w:t>
            </w:r>
            <w:r>
              <w:rPr>
                <w:rFonts w:hint="eastAsia" w:ascii="宋体" w:hAnsi="宋体" w:eastAsia="宋体" w:cs="宋体"/>
                <w:spacing w:val="-2"/>
                <w:sz w:val="21"/>
                <w:szCs w:val="21"/>
              </w:rPr>
              <w:t>便携式浊度仪主机，6个样品池、标准液、验证标准液、硅油、电池、用户手册</w:t>
            </w:r>
            <w:r>
              <w:rPr>
                <w:rFonts w:hint="eastAsia" w:ascii="宋体" w:hAnsi="宋体" w:eastAsia="宋体" w:cs="宋体"/>
                <w:spacing w:val="-2"/>
                <w:sz w:val="21"/>
                <w:szCs w:val="21"/>
                <w:lang w:eastAsia="zh-CN"/>
              </w:rPr>
              <w:t>、</w:t>
            </w:r>
            <w:r>
              <w:rPr>
                <w:rFonts w:hint="eastAsia" w:ascii="宋体" w:hAnsi="宋体" w:eastAsia="宋体" w:cs="宋体"/>
                <w:b w:val="0"/>
                <w:bCs w:val="0"/>
                <w:spacing w:val="-2"/>
                <w:sz w:val="21"/>
                <w:szCs w:val="21"/>
              </w:rPr>
              <w:t>质量合格证明文件、保修卡</w:t>
            </w:r>
            <w:r>
              <w:rPr>
                <w:rFonts w:hint="eastAsia" w:ascii="宋体" w:hAnsi="宋体" w:eastAsia="宋体" w:cs="宋体"/>
                <w:spacing w:val="-2"/>
                <w:sz w:val="21"/>
                <w:szCs w:val="21"/>
                <w:lang w:val="en-US" w:eastAsia="zh-CN"/>
              </w:rPr>
              <w:t>等标准配置。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9</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实验室叶绿素荧光测定仪</w:t>
            </w:r>
          </w:p>
        </w:tc>
        <w:tc>
          <w:tcPr>
            <w:tcW w:w="10625" w:type="dxa"/>
            <w:vAlign w:val="center"/>
          </w:tcPr>
          <w:p>
            <w:pPr>
              <w:pStyle w:val="5"/>
              <w:pageBreakBefore w:val="0"/>
              <w:numPr>
                <w:ilvl w:val="0"/>
                <w:numId w:val="0"/>
              </w:numPr>
              <w:kinsoku/>
              <w:overflowPunct/>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b/>
                <w:bCs/>
                <w:sz w:val="21"/>
                <w:szCs w:val="21"/>
              </w:rPr>
              <w:t>主机配置及配件</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072"/>
              <w:gridCol w:w="2351"/>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6"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p>
              </w:tc>
              <w:tc>
                <w:tcPr>
                  <w:tcW w:w="3072"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主机</w:t>
                  </w: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台式主机</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标准配置</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restart"/>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配件</w:t>
                  </w: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微量移液器</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100-1000μL</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石英荧光比色皿四通光</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10mm～50mm方型/2支</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擦镜纸</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样品瓶</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与主匹配机      </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打印纸</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热敏打印纸</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3072"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触屏笔</w:t>
                  </w:r>
                </w:p>
              </w:tc>
              <w:tc>
                <w:tcPr>
                  <w:tcW w:w="2351" w:type="dxa"/>
                  <w:noWrap w:val="0"/>
                  <w:vAlign w:val="center"/>
                </w:tcPr>
                <w:p>
                  <w:pPr>
                    <w:pageBreakBefore w:val="0"/>
                    <w:kinsoku/>
                    <w:overflowPunct/>
                    <w:bidi w:val="0"/>
                    <w:snapToGrid w:val="0"/>
                    <w:spacing w:line="36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适用时</w:t>
                  </w:r>
                </w:p>
              </w:tc>
              <w:tc>
                <w:tcPr>
                  <w:tcW w:w="2210" w:type="dxa"/>
                  <w:noWrap w:val="0"/>
                  <w:vAlign w:val="center"/>
                </w:tcPr>
                <w:p>
                  <w:pPr>
                    <w:pageBreakBefore w:val="0"/>
                    <w:kinsoku/>
                    <w:overflowPunct/>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bl>
          <w:p>
            <w:pPr>
              <w:pageBreakBefore w:val="0"/>
              <w:numPr>
                <w:ilvl w:val="0"/>
                <w:numId w:val="0"/>
              </w:numPr>
              <w:kinsoku/>
              <w:overflowPunct/>
              <w:bidi w:val="0"/>
              <w:spacing w:line="360" w:lineRule="auto"/>
              <w:ind w:left="425" w:leftChars="0" w:hanging="425" w:firstLineChars="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2.技术参数：</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lang w:val="en-US" w:eastAsia="zh-CN"/>
              </w:rPr>
              <w:t xml:space="preserve">测量项目：叶绿素 </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2.2.</w:t>
            </w:r>
            <w:r>
              <w:rPr>
                <w:rFonts w:hint="eastAsia" w:ascii="宋体" w:hAnsi="宋体" w:eastAsia="宋体" w:cs="宋体"/>
                <w:sz w:val="21"/>
                <w:szCs w:val="21"/>
                <w:lang w:val="en-US" w:eastAsia="zh-CN"/>
              </w:rPr>
              <w:t>测量范围：叶绿素（0.01-500</w:t>
            </w:r>
            <w:r>
              <w:rPr>
                <w:rFonts w:hint="eastAsia" w:ascii="宋体" w:hAnsi="宋体" w:eastAsia="宋体" w:cs="宋体"/>
                <w:color w:val="000000" w:themeColor="text1"/>
                <w:sz w:val="21"/>
                <w:szCs w:val="21"/>
                <w:lang w:val="en-US" w:eastAsia="zh-CN"/>
                <w14:textFill>
                  <w14:solidFill>
                    <w14:schemeClr w14:val="tx1"/>
                  </w14:solidFill>
                </w14:textFill>
              </w:rPr>
              <w:t>μg/L</w:t>
            </w:r>
            <w:r>
              <w:rPr>
                <w:rFonts w:hint="eastAsia" w:ascii="宋体" w:hAnsi="宋体" w:eastAsia="宋体" w:cs="宋体"/>
                <w:sz w:val="21"/>
                <w:szCs w:val="21"/>
                <w:lang w:val="en-US" w:eastAsia="zh-CN"/>
              </w:rPr>
              <w:t>）</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2.3.</w:t>
            </w:r>
            <w:r>
              <w:rPr>
                <w:rFonts w:hint="eastAsia" w:ascii="宋体" w:hAnsi="宋体" w:eastAsia="宋体" w:cs="宋体"/>
                <w:sz w:val="21"/>
                <w:szCs w:val="21"/>
                <w:lang w:val="en-US" w:eastAsia="zh-CN"/>
              </w:rPr>
              <w:t>检测准确度：≤5%，线性度R²≥0.999</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2.4.</w:t>
            </w:r>
            <w:r>
              <w:rPr>
                <w:rFonts w:hint="eastAsia" w:ascii="宋体" w:hAnsi="宋体" w:eastAsia="宋体" w:cs="宋体"/>
                <w:b w:val="0"/>
                <w:bCs w:val="0"/>
                <w:color w:val="000000" w:themeColor="text1"/>
                <w:sz w:val="21"/>
                <w:szCs w:val="21"/>
                <w:lang w:val="en-US" w:eastAsia="zh-CN"/>
                <w14:textFill>
                  <w14:solidFill>
                    <w14:schemeClr w14:val="tx1"/>
                  </w14:solidFill>
                </w14:textFill>
              </w:rPr>
              <w:t>分辨率：</w:t>
            </w:r>
            <w:r>
              <w:rPr>
                <w:rFonts w:hint="eastAsia" w:ascii="宋体" w:hAnsi="宋体" w:eastAsia="宋体" w:cs="宋体"/>
                <w:color w:val="000000" w:themeColor="text1"/>
                <w:sz w:val="21"/>
                <w:szCs w:val="21"/>
                <w:lang w:val="en-US" w:eastAsia="zh-CN"/>
                <w14:textFill>
                  <w14:solidFill>
                    <w14:schemeClr w14:val="tx1"/>
                  </w14:solidFill>
                </w14:textFill>
              </w:rPr>
              <w:t>叶绿素：0.01μg/L</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2.5.</w:t>
            </w:r>
            <w:r>
              <w:rPr>
                <w:rFonts w:hint="eastAsia" w:ascii="宋体" w:hAnsi="宋体" w:eastAsia="宋体" w:cs="宋体"/>
                <w:sz w:val="21"/>
                <w:szCs w:val="21"/>
                <w:lang w:val="en-US" w:eastAsia="zh-CN"/>
              </w:rPr>
              <w:t xml:space="preserve">测量时间: ≤20秒 </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2.6.</w:t>
            </w:r>
            <w:r>
              <w:rPr>
                <w:rFonts w:hint="eastAsia" w:ascii="宋体" w:hAnsi="宋体" w:eastAsia="宋体" w:cs="宋体"/>
                <w:sz w:val="21"/>
                <w:szCs w:val="21"/>
                <w:lang w:val="en-US" w:eastAsia="zh-CN"/>
              </w:rPr>
              <w:t>屏幕显示：≥</w:t>
            </w:r>
            <w:r>
              <w:rPr>
                <w:rFonts w:hint="eastAsia" w:ascii="宋体" w:hAnsi="宋体" w:eastAsia="宋体" w:cs="宋体"/>
                <w:color w:val="000000" w:themeColor="text1"/>
                <w:sz w:val="21"/>
                <w:szCs w:val="21"/>
                <w:lang w:val="en-US" w:eastAsia="zh-CN"/>
                <w14:textFill>
                  <w14:solidFill>
                    <w14:schemeClr w14:val="tx1"/>
                  </w14:solidFill>
                </w14:textFill>
              </w:rPr>
              <w:t>6英寸高清触摸显示屏</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2.7.</w:t>
            </w:r>
            <w:r>
              <w:rPr>
                <w:rFonts w:hint="eastAsia" w:ascii="宋体" w:hAnsi="宋体" w:eastAsia="宋体" w:cs="宋体"/>
                <w:b w:val="0"/>
                <w:bCs w:val="0"/>
                <w:sz w:val="21"/>
                <w:szCs w:val="21"/>
                <w:lang w:val="en-US" w:eastAsia="zh-CN"/>
              </w:rPr>
              <w:t>操作界面：全中文显示</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2.8.</w:t>
            </w:r>
            <w:r>
              <w:rPr>
                <w:rFonts w:hint="eastAsia" w:ascii="宋体" w:hAnsi="宋体" w:eastAsia="宋体" w:cs="宋体"/>
                <w:sz w:val="21"/>
                <w:szCs w:val="21"/>
                <w:lang w:val="en-US" w:eastAsia="zh-CN"/>
              </w:rPr>
              <w:t>具有指示灯带；</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2.9.</w:t>
            </w:r>
            <w:r>
              <w:rPr>
                <w:rFonts w:hint="eastAsia" w:ascii="宋体" w:hAnsi="宋体" w:eastAsia="宋体" w:cs="宋体"/>
                <w:sz w:val="21"/>
                <w:szCs w:val="21"/>
                <w:lang w:val="en-US" w:eastAsia="zh-CN"/>
              </w:rPr>
              <w:t>检测器：荧光检测器</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2.10.</w:t>
            </w:r>
            <w:r>
              <w:rPr>
                <w:rFonts w:hint="eastAsia" w:ascii="宋体" w:hAnsi="宋体" w:eastAsia="宋体" w:cs="宋体"/>
                <w:sz w:val="21"/>
                <w:szCs w:val="21"/>
                <w:lang w:val="en-US" w:eastAsia="zh-CN"/>
              </w:rPr>
              <w:t>样品管：专用10mm或≤50m的方型测试管，</w:t>
            </w:r>
            <w:r>
              <w:rPr>
                <w:rFonts w:hint="eastAsia" w:ascii="宋体" w:hAnsi="宋体" w:eastAsia="宋体" w:cs="宋体"/>
                <w:b w:val="0"/>
                <w:bCs w:val="0"/>
                <w:sz w:val="21"/>
                <w:szCs w:val="21"/>
              </w:rPr>
              <w:t>无样品管</w:t>
            </w:r>
            <w:r>
              <w:rPr>
                <w:rFonts w:hint="eastAsia" w:ascii="宋体" w:hAnsi="宋体" w:eastAsia="宋体" w:cs="宋体"/>
                <w:b w:val="0"/>
                <w:bCs w:val="0"/>
                <w:sz w:val="21"/>
                <w:szCs w:val="21"/>
                <w:lang w:val="en-US" w:eastAsia="zh-CN"/>
              </w:rPr>
              <w:t>的仪器应配样品杯+</w:t>
            </w:r>
            <w:r>
              <w:rPr>
                <w:rFonts w:hint="eastAsia" w:ascii="宋体" w:hAnsi="宋体" w:eastAsia="宋体" w:cs="宋体"/>
                <w:b w:val="0"/>
                <w:bCs w:val="0"/>
                <w:sz w:val="21"/>
                <w:szCs w:val="21"/>
              </w:rPr>
              <w:t>浸入式荧光传感器</w:t>
            </w:r>
            <w:r>
              <w:rPr>
                <w:rFonts w:hint="eastAsia" w:ascii="宋体" w:hAnsi="宋体" w:eastAsia="宋体" w:cs="宋体"/>
                <w:b w:val="0"/>
                <w:bCs w:val="0"/>
                <w:sz w:val="21"/>
                <w:szCs w:val="21"/>
                <w:lang w:val="en-US" w:eastAsia="zh-CN"/>
              </w:rPr>
              <w:t>或</w:t>
            </w:r>
            <w:r>
              <w:rPr>
                <w:rFonts w:hint="eastAsia" w:ascii="宋体" w:hAnsi="宋体" w:eastAsia="宋体" w:cs="宋体"/>
                <w:sz w:val="21"/>
                <w:szCs w:val="21"/>
              </w:rPr>
              <w:t>浸入式数字电极</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2.11.</w:t>
            </w:r>
            <w:r>
              <w:rPr>
                <w:rFonts w:hint="eastAsia" w:ascii="宋体" w:hAnsi="宋体" w:eastAsia="宋体" w:cs="宋体"/>
                <w:b w:val="0"/>
                <w:bCs w:val="0"/>
                <w:sz w:val="21"/>
                <w:szCs w:val="21"/>
                <w:lang w:val="en-US" w:eastAsia="zh-CN"/>
              </w:rPr>
              <w:t>仪器内置倒计时模块，检测过程中可根据实际需要随时调整倒计时的时长</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2.12.</w:t>
            </w:r>
            <w:r>
              <w:rPr>
                <w:rFonts w:hint="eastAsia" w:ascii="宋体" w:hAnsi="宋体" w:eastAsia="宋体" w:cs="宋体"/>
                <w:sz w:val="21"/>
                <w:szCs w:val="21"/>
                <w:lang w:val="en-US" w:eastAsia="zh-CN"/>
              </w:rPr>
              <w:t>打印：内置热敏打印机</w:t>
            </w:r>
          </w:p>
          <w:p>
            <w:pPr>
              <w:pageBreakBefore w:val="0"/>
              <w:widowControl w:val="0"/>
              <w:numPr>
                <w:ilvl w:val="1"/>
                <w:numId w:val="0"/>
              </w:numPr>
              <w:kinsoku/>
              <w:overflowPunct/>
              <w:bidi w:val="0"/>
              <w:spacing w:line="360" w:lineRule="auto"/>
              <w:ind w:left="567" w:leftChars="0" w:hanging="567"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2.13.</w:t>
            </w:r>
            <w:r>
              <w:rPr>
                <w:rFonts w:hint="eastAsia" w:ascii="宋体" w:hAnsi="宋体" w:eastAsia="宋体" w:cs="宋体"/>
                <w:color w:val="auto"/>
                <w:sz w:val="21"/>
                <w:szCs w:val="21"/>
                <w:lang w:val="en-US" w:eastAsia="zh-CN"/>
              </w:rPr>
              <w:t>存储：≥50万组数据，可实时查看</w:t>
            </w:r>
          </w:p>
          <w:p>
            <w:pPr>
              <w:pageBreakBefore w:val="0"/>
              <w:widowControl w:val="0"/>
              <w:numPr>
                <w:ilvl w:val="1"/>
                <w:numId w:val="0"/>
              </w:numPr>
              <w:kinsoku/>
              <w:overflowPunct/>
              <w:bidi w:val="0"/>
              <w:spacing w:line="360" w:lineRule="auto"/>
              <w:ind w:left="567" w:leftChars="0" w:hanging="567"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2.14.</w:t>
            </w:r>
            <w:r>
              <w:rPr>
                <w:rFonts w:hint="eastAsia" w:ascii="宋体" w:hAnsi="宋体" w:eastAsia="宋体" w:cs="宋体"/>
                <w:color w:val="auto"/>
                <w:sz w:val="21"/>
                <w:szCs w:val="21"/>
                <w:lang w:val="en-US" w:eastAsia="zh-CN"/>
              </w:rPr>
              <w:t>使用环境：</w:t>
            </w:r>
            <w:r>
              <w:rPr>
                <w:rFonts w:hint="eastAsia" w:ascii="宋体" w:hAnsi="宋体" w:eastAsia="宋体" w:cs="宋体"/>
                <w:b w:val="0"/>
                <w:bCs w:val="0"/>
                <w:color w:val="000000"/>
                <w:sz w:val="21"/>
                <w:szCs w:val="21"/>
                <w:lang w:val="en-US" w:eastAsia="zh-CN"/>
              </w:rPr>
              <w:t>温度:（5-40）℃，湿度：相对湿度≤85%RH（无冷凝）</w:t>
            </w:r>
          </w:p>
          <w:p>
            <w:pPr>
              <w:pageBreakBefore w:val="0"/>
              <w:widowControl w:val="0"/>
              <w:numPr>
                <w:ilvl w:val="1"/>
                <w:numId w:val="0"/>
              </w:numPr>
              <w:kinsoku/>
              <w:overflowPunct/>
              <w:bidi w:val="0"/>
              <w:spacing w:line="360" w:lineRule="auto"/>
              <w:ind w:left="567" w:leftChars="0" w:hanging="567" w:firstLineChars="0"/>
              <w:jc w:val="left"/>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kern w:val="2"/>
                <w:sz w:val="21"/>
                <w:szCs w:val="21"/>
                <w:lang w:val="en-US" w:eastAsia="zh-CN" w:bidi="ar-SA"/>
              </w:rPr>
              <w:t>2.15.</w:t>
            </w:r>
            <w:r>
              <w:rPr>
                <w:rFonts w:hint="eastAsia" w:ascii="宋体" w:hAnsi="宋体" w:eastAsia="宋体" w:cs="宋体"/>
                <w:sz w:val="21"/>
                <w:szCs w:val="21"/>
                <w:lang w:val="en-US" w:eastAsia="zh-CN"/>
              </w:rPr>
              <w:t>具有数据合理性判断功能，用户可自设检测限值，超过限值会出现红色提示，若在设定限值内则显示绿色.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10</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手持叶绿素荧光测定仪</w:t>
            </w:r>
          </w:p>
        </w:tc>
        <w:tc>
          <w:tcPr>
            <w:tcW w:w="10625" w:type="dxa"/>
            <w:vAlign w:val="center"/>
          </w:tcPr>
          <w:p>
            <w:pPr>
              <w:pStyle w:val="5"/>
              <w:keepNext w:val="0"/>
              <w:keepLines w:val="0"/>
              <w:pageBreakBefore w:val="0"/>
              <w:widowControl w:val="0"/>
              <w:numPr>
                <w:ilvl w:val="0"/>
                <w:numId w:val="0"/>
              </w:numPr>
              <w:kinsoku/>
              <w:wordWrap/>
              <w:overflowPunct/>
              <w:topLinePunct w:val="0"/>
              <w:bidi w:val="0"/>
              <w:adjustRightInd w:val="0"/>
              <w:snapToGrid w:val="0"/>
              <w:spacing w:line="360" w:lineRule="auto"/>
              <w:ind w:left="425" w:leftChars="0" w:hanging="425" w:firstLineChars="0"/>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b/>
                <w:bCs/>
                <w:sz w:val="21"/>
                <w:szCs w:val="21"/>
              </w:rPr>
              <w:t>主机配置及配件</w:t>
            </w:r>
          </w:p>
          <w:p>
            <w:pPr>
              <w:keepNext w:val="0"/>
              <w:keepLines w:val="0"/>
              <w:pageBreakBefore w:val="0"/>
              <w:widowControl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223"/>
              <w:gridCol w:w="220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6"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主机</w:t>
                  </w: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荧光叶绿素测定仪</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标准配置</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restart"/>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配件</w:t>
                  </w: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微量移液器</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100-1000uL</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石英荧光比色皿四通光</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10mm方型/2支</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擦镜纸</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Cs/>
                      <w:sz w:val="21"/>
                      <w:szCs w:val="21"/>
                    </w:rPr>
                  </w:pP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样品瓶</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10mL </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Cs/>
                      <w:sz w:val="21"/>
                      <w:szCs w:val="21"/>
                    </w:rPr>
                  </w:pP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打印纸</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热敏打印纸</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bCs/>
                      <w:sz w:val="21"/>
                      <w:szCs w:val="21"/>
                    </w:rPr>
                  </w:pPr>
                </w:p>
              </w:tc>
              <w:tc>
                <w:tcPr>
                  <w:tcW w:w="3223"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触屏笔</w:t>
                  </w:r>
                </w:p>
              </w:tc>
              <w:tc>
                <w:tcPr>
                  <w:tcW w:w="220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10" w:type="dxa"/>
                  <w:noWrap w:val="0"/>
                  <w:vAlign w:val="center"/>
                </w:tcPr>
                <w:p>
                  <w:pPr>
                    <w:keepNext w:val="0"/>
                    <w:keepLines w:val="0"/>
                    <w:pageBreakBefore w:val="0"/>
                    <w:widowControl w:val="0"/>
                    <w:kinsoku/>
                    <w:wordWrap/>
                    <w:overflowPunct/>
                    <w:topLinePunct w:val="0"/>
                    <w:bidi w:val="0"/>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bl>
          <w:p>
            <w:pPr>
              <w:keepNext w:val="0"/>
              <w:keepLines w:val="0"/>
              <w:pageBreakBefore w:val="0"/>
              <w:widowControl w:val="0"/>
              <w:numPr>
                <w:ilvl w:val="0"/>
                <w:numId w:val="0"/>
              </w:numPr>
              <w:kinsoku/>
              <w:wordWrap/>
              <w:overflowPunct/>
              <w:topLinePunct w:val="0"/>
              <w:bidi w:val="0"/>
              <w:spacing w:line="360" w:lineRule="auto"/>
              <w:ind w:left="425" w:leftChars="0" w:hanging="425" w:firstLineChars="0"/>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2.技术参数：</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lang w:val="en-US" w:eastAsia="zh-CN"/>
              </w:rPr>
              <w:t xml:space="preserve">测量项目：叶绿素 </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2.2.</w:t>
            </w:r>
            <w:r>
              <w:rPr>
                <w:rFonts w:hint="eastAsia" w:ascii="宋体" w:hAnsi="宋体" w:eastAsia="宋体" w:cs="宋体"/>
                <w:sz w:val="21"/>
                <w:szCs w:val="21"/>
                <w:lang w:val="en-US" w:eastAsia="zh-CN"/>
              </w:rPr>
              <w:t>测量范围：叶绿素（0.01-400或500</w:t>
            </w:r>
            <w:r>
              <w:rPr>
                <w:rFonts w:hint="eastAsia" w:ascii="宋体" w:hAnsi="宋体" w:eastAsia="宋体" w:cs="宋体"/>
                <w:color w:val="000000" w:themeColor="text1"/>
                <w:sz w:val="21"/>
                <w:szCs w:val="21"/>
                <w:lang w:val="en-US" w:eastAsia="zh-CN"/>
                <w14:textFill>
                  <w14:solidFill>
                    <w14:schemeClr w14:val="tx1"/>
                  </w14:solidFill>
                </w14:textFill>
              </w:rPr>
              <w:t>μg/L</w:t>
            </w:r>
            <w:r>
              <w:rPr>
                <w:rFonts w:hint="eastAsia" w:ascii="宋体" w:hAnsi="宋体" w:eastAsia="宋体" w:cs="宋体"/>
                <w:sz w:val="21"/>
                <w:szCs w:val="21"/>
                <w:lang w:val="en-US" w:eastAsia="zh-CN"/>
              </w:rPr>
              <w:t>）</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2.3.</w:t>
            </w:r>
            <w:r>
              <w:rPr>
                <w:rFonts w:hint="eastAsia" w:ascii="宋体" w:hAnsi="宋体" w:eastAsia="宋体" w:cs="宋体"/>
                <w:sz w:val="21"/>
                <w:szCs w:val="21"/>
                <w:lang w:val="en-US" w:eastAsia="zh-CN"/>
              </w:rPr>
              <w:t>检测准确度≤5%或线性R²≥0.998</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2.4.</w:t>
            </w:r>
            <w:r>
              <w:rPr>
                <w:rFonts w:hint="eastAsia" w:ascii="宋体" w:hAnsi="宋体" w:eastAsia="宋体" w:cs="宋体"/>
                <w:b w:val="0"/>
                <w:bCs w:val="0"/>
                <w:color w:val="000000" w:themeColor="text1"/>
                <w:sz w:val="21"/>
                <w:szCs w:val="21"/>
                <w:lang w:val="en-US" w:eastAsia="zh-CN"/>
                <w14:textFill>
                  <w14:solidFill>
                    <w14:schemeClr w14:val="tx1"/>
                  </w14:solidFill>
                </w14:textFill>
              </w:rPr>
              <w:t>分辨率：</w:t>
            </w:r>
            <w:r>
              <w:rPr>
                <w:rFonts w:hint="eastAsia" w:ascii="宋体" w:hAnsi="宋体" w:eastAsia="宋体" w:cs="宋体"/>
                <w:color w:val="000000" w:themeColor="text1"/>
                <w:sz w:val="21"/>
                <w:szCs w:val="21"/>
                <w:lang w:val="en-US" w:eastAsia="zh-CN"/>
                <w14:textFill>
                  <w14:solidFill>
                    <w14:schemeClr w14:val="tx1"/>
                  </w14:solidFill>
                </w14:textFill>
              </w:rPr>
              <w:t>叶绿素：0.01μg/L</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2.5.</w:t>
            </w:r>
            <w:r>
              <w:rPr>
                <w:rFonts w:hint="eastAsia" w:ascii="宋体" w:hAnsi="宋体" w:eastAsia="宋体" w:cs="宋体"/>
                <w:sz w:val="21"/>
                <w:szCs w:val="21"/>
                <w:lang w:val="en-US" w:eastAsia="zh-CN"/>
              </w:rPr>
              <w:t xml:space="preserve">测量时间: ≤20秒 </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2.6.</w:t>
            </w:r>
            <w:r>
              <w:rPr>
                <w:rFonts w:hint="eastAsia" w:ascii="宋体" w:hAnsi="宋体" w:eastAsia="宋体" w:cs="宋体"/>
                <w:sz w:val="21"/>
                <w:szCs w:val="21"/>
                <w:lang w:val="en-US" w:eastAsia="zh-CN"/>
              </w:rPr>
              <w:t>屏幕显示：≥</w:t>
            </w:r>
            <w:r>
              <w:rPr>
                <w:rFonts w:hint="eastAsia" w:ascii="宋体" w:hAnsi="宋体" w:eastAsia="宋体" w:cs="宋体"/>
                <w:color w:val="000000" w:themeColor="text1"/>
                <w:sz w:val="21"/>
                <w:szCs w:val="21"/>
                <w:lang w:val="en-US" w:eastAsia="zh-CN"/>
                <w14:textFill>
                  <w14:solidFill>
                    <w14:schemeClr w14:val="tx1"/>
                  </w14:solidFill>
                </w14:textFill>
              </w:rPr>
              <w:t>5英寸高清触摸显示屏</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2.7.</w:t>
            </w:r>
            <w:r>
              <w:rPr>
                <w:rFonts w:hint="eastAsia" w:ascii="宋体" w:hAnsi="宋体" w:eastAsia="宋体" w:cs="宋体"/>
                <w:b w:val="0"/>
                <w:bCs w:val="0"/>
                <w:sz w:val="21"/>
                <w:szCs w:val="21"/>
                <w:lang w:val="en-US" w:eastAsia="zh-CN"/>
              </w:rPr>
              <w:t>操作界面：全中文显示</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2.8.</w:t>
            </w:r>
            <w:r>
              <w:rPr>
                <w:rFonts w:hint="eastAsia" w:ascii="宋体" w:hAnsi="宋体" w:eastAsia="宋体" w:cs="宋体"/>
                <w:sz w:val="21"/>
                <w:szCs w:val="21"/>
                <w:lang w:val="en-US" w:eastAsia="zh-CN"/>
              </w:rPr>
              <w:t>具有指示灯带；</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2.9.</w:t>
            </w:r>
            <w:r>
              <w:rPr>
                <w:rFonts w:hint="eastAsia" w:ascii="宋体" w:hAnsi="宋体" w:eastAsia="宋体" w:cs="宋体"/>
                <w:sz w:val="21"/>
                <w:szCs w:val="21"/>
                <w:lang w:val="en-US" w:eastAsia="zh-CN"/>
              </w:rPr>
              <w:t>检测器：荧光检测器</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2.10.</w:t>
            </w:r>
            <w:r>
              <w:rPr>
                <w:rFonts w:hint="eastAsia" w:ascii="宋体" w:hAnsi="宋体" w:eastAsia="宋体" w:cs="宋体"/>
                <w:sz w:val="21"/>
                <w:szCs w:val="21"/>
                <w:lang w:val="en-US" w:eastAsia="zh-CN"/>
              </w:rPr>
              <w:t>样品管：专用10mm方型测试管</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2.11.</w:t>
            </w:r>
            <w:r>
              <w:rPr>
                <w:rFonts w:hint="eastAsia" w:ascii="宋体" w:hAnsi="宋体" w:eastAsia="宋体" w:cs="宋体"/>
                <w:b w:val="0"/>
                <w:bCs w:val="0"/>
                <w:sz w:val="21"/>
                <w:szCs w:val="21"/>
                <w:lang w:val="en-US" w:eastAsia="zh-CN"/>
              </w:rPr>
              <w:t>仪器内置倒计时模块，检测过程中可根据实际需要随时调整倒计时的时长</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highlight w:val="none"/>
                <w:lang w:val="en-US" w:eastAsia="zh-CN" w:bidi="ar-SA"/>
              </w:rPr>
              <w:t>2.12.</w:t>
            </w:r>
            <w:r>
              <w:rPr>
                <w:rFonts w:hint="eastAsia" w:ascii="宋体" w:hAnsi="宋体" w:eastAsia="宋体" w:cs="宋体"/>
                <w:sz w:val="21"/>
                <w:szCs w:val="21"/>
                <w:highlight w:val="none"/>
                <w:lang w:val="en-US" w:eastAsia="zh-CN"/>
              </w:rPr>
              <w:t>打印：配备热敏打印机</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2.13.</w:t>
            </w:r>
            <w:r>
              <w:rPr>
                <w:rFonts w:hint="eastAsia" w:ascii="宋体" w:hAnsi="宋体" w:eastAsia="宋体" w:cs="宋体"/>
                <w:color w:val="auto"/>
                <w:sz w:val="21"/>
                <w:szCs w:val="21"/>
                <w:lang w:val="en-US" w:eastAsia="zh-CN"/>
              </w:rPr>
              <w:t>存储：≥10万组数据，可实时查看</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kern w:val="2"/>
                <w:sz w:val="21"/>
                <w:szCs w:val="21"/>
                <w:lang w:val="en-US" w:eastAsia="zh-CN" w:bidi="ar-SA"/>
              </w:rPr>
              <w:t>2.14.</w:t>
            </w:r>
            <w:r>
              <w:rPr>
                <w:rFonts w:hint="eastAsia" w:ascii="宋体" w:hAnsi="宋体" w:eastAsia="宋体" w:cs="宋体"/>
                <w:color w:val="auto"/>
                <w:sz w:val="21"/>
                <w:szCs w:val="21"/>
                <w:lang w:val="en-US" w:eastAsia="zh-CN"/>
              </w:rPr>
              <w:t>数据传输</w:t>
            </w:r>
            <w:r>
              <w:rPr>
                <w:rFonts w:hint="eastAsia" w:ascii="宋体" w:hAnsi="宋体" w:eastAsia="宋体" w:cs="宋体"/>
                <w:color w:val="000000"/>
                <w:sz w:val="21"/>
                <w:szCs w:val="21"/>
                <w:lang w:val="en-US" w:eastAsia="zh-CN"/>
              </w:rPr>
              <w:t>：USB接口</w:t>
            </w:r>
            <w:r>
              <w:rPr>
                <w:rFonts w:hint="eastAsia" w:ascii="宋体" w:hAnsi="宋体" w:cs="宋体"/>
                <w:color w:val="000000"/>
                <w:sz w:val="21"/>
                <w:szCs w:val="21"/>
                <w:lang w:val="en-US" w:eastAsia="zh-CN"/>
              </w:rPr>
              <w:t>或</w:t>
            </w:r>
            <w:r>
              <w:rPr>
                <w:rFonts w:hint="eastAsia" w:ascii="宋体" w:hAnsi="宋体" w:eastAsia="宋体" w:cs="宋体"/>
                <w:i w:val="0"/>
                <w:iCs w:val="0"/>
                <w:caps w:val="0"/>
                <w:color w:val="000000"/>
                <w:spacing w:val="0"/>
                <w:sz w:val="21"/>
                <w:szCs w:val="21"/>
                <w:shd w:val="clear" w:fill="auto"/>
              </w:rPr>
              <w:t>内置蓝牙</w:t>
            </w:r>
            <w:r>
              <w:rPr>
                <w:rFonts w:hint="eastAsia" w:ascii="宋体" w:hAnsi="宋体" w:cs="宋体"/>
                <w:i w:val="0"/>
                <w:iCs w:val="0"/>
                <w:caps w:val="0"/>
                <w:color w:val="000000"/>
                <w:spacing w:val="0"/>
                <w:sz w:val="21"/>
                <w:szCs w:val="21"/>
                <w:shd w:val="clear" w:fill="auto"/>
                <w:lang w:val="en-US" w:eastAsia="zh-CN"/>
              </w:rPr>
              <w:t>或</w:t>
            </w:r>
            <w:r>
              <w:rPr>
                <w:rFonts w:hint="eastAsia" w:ascii="宋体" w:hAnsi="宋体" w:eastAsia="宋体" w:cs="宋体"/>
                <w:i w:val="0"/>
                <w:iCs w:val="0"/>
                <w:caps w:val="0"/>
                <w:color w:val="000000"/>
                <w:spacing w:val="0"/>
                <w:sz w:val="21"/>
                <w:szCs w:val="21"/>
                <w:shd w:val="clear" w:fill="auto"/>
              </w:rPr>
              <w:t>支持无线传输</w:t>
            </w:r>
            <w:r>
              <w:rPr>
                <w:rFonts w:hint="eastAsia" w:ascii="宋体" w:hAnsi="宋体" w:eastAsia="宋体" w:cs="宋体"/>
                <w:i w:val="0"/>
                <w:iCs w:val="0"/>
                <w:caps w:val="0"/>
                <w:color w:val="000000"/>
                <w:spacing w:val="0"/>
                <w:sz w:val="21"/>
                <w:szCs w:val="21"/>
                <w:shd w:val="clear" w:fill="auto"/>
                <w:lang w:val="en-US" w:eastAsia="zh-CN"/>
              </w:rPr>
              <w:t>功能。</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2.15.</w:t>
            </w:r>
            <w:r>
              <w:rPr>
                <w:rFonts w:hint="eastAsia" w:ascii="宋体" w:hAnsi="宋体" w:eastAsia="宋体" w:cs="宋体"/>
                <w:color w:val="auto"/>
                <w:sz w:val="21"/>
                <w:szCs w:val="21"/>
                <w:lang w:val="en-US" w:eastAsia="zh-CN"/>
              </w:rPr>
              <w:t>使用环境：</w:t>
            </w:r>
            <w:r>
              <w:rPr>
                <w:rFonts w:hint="eastAsia" w:ascii="宋体" w:hAnsi="宋体" w:eastAsia="宋体" w:cs="宋体"/>
                <w:b w:val="0"/>
                <w:bCs w:val="0"/>
                <w:color w:val="000000"/>
                <w:sz w:val="21"/>
                <w:szCs w:val="21"/>
                <w:lang w:val="en-US" w:eastAsia="zh-CN"/>
              </w:rPr>
              <w:t>温度:（5-40）℃，湿度：相对湿度≤85%RH（无冷凝）</w:t>
            </w:r>
          </w:p>
          <w:p>
            <w:pPr>
              <w:keepNext w:val="0"/>
              <w:keepLines w:val="0"/>
              <w:pageBreakBefore w:val="0"/>
              <w:widowControl w:val="0"/>
              <w:numPr>
                <w:ilvl w:val="1"/>
                <w:numId w:val="0"/>
              </w:numPr>
              <w:kinsoku/>
              <w:wordWrap/>
              <w:overflowPunct/>
              <w:topLinePunct w:val="0"/>
              <w:bidi w:val="0"/>
              <w:spacing w:line="360" w:lineRule="auto"/>
              <w:ind w:left="567" w:leftChars="0" w:hanging="567" w:firstLineChars="0"/>
              <w:jc w:val="left"/>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kern w:val="2"/>
                <w:sz w:val="21"/>
                <w:szCs w:val="21"/>
                <w:lang w:val="en-US" w:eastAsia="zh-CN" w:bidi="ar-SA"/>
              </w:rPr>
              <w:t>2.16.</w:t>
            </w:r>
            <w:r>
              <w:rPr>
                <w:rFonts w:hint="eastAsia" w:ascii="宋体" w:hAnsi="宋体" w:eastAsia="宋体" w:cs="宋体"/>
                <w:sz w:val="21"/>
                <w:szCs w:val="21"/>
                <w:lang w:val="en-US" w:eastAsia="zh-CN"/>
              </w:rPr>
              <w:t>具有数据合理性判断功能，用户可自设检测限值，超过限值会出现红色提示，若在设定限值内则显示绿色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11</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便携式多参数水质测定仪（水温、PH、电导率、溶解氧</w:t>
            </w:r>
          </w:p>
        </w:tc>
        <w:tc>
          <w:tcPr>
            <w:tcW w:w="10625" w:type="dxa"/>
            <w:vAlign w:val="center"/>
          </w:tcPr>
          <w:p>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用途</w:t>
            </w:r>
          </w:p>
          <w:p>
            <w:pPr>
              <w:pageBreakBefore w:val="0"/>
              <w:kinsoku/>
              <w:overflowPunct/>
              <w:bidi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可用于市政污水、工业污水、饮用水、环境监测、教育、科研等领域的水质分析。可测参数有pH、电导率、TDS、DO；可在分析仪之间调换已校准的电极，可以现场使用，自动检测标准程序和校准提醒。</w:t>
            </w:r>
          </w:p>
          <w:p>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eastAsia="zh-CN"/>
              </w:rPr>
              <w:t>、</w:t>
            </w:r>
            <w:r>
              <w:rPr>
                <w:rFonts w:hint="eastAsia" w:ascii="宋体" w:hAnsi="宋体" w:eastAsia="宋体" w:cs="宋体"/>
                <w:b/>
                <w:bCs/>
                <w:sz w:val="21"/>
                <w:szCs w:val="21"/>
              </w:rPr>
              <w:t>便携式多参数分析仪</w:t>
            </w:r>
          </w:p>
          <w:p>
            <w:pPr>
              <w:pageBreakBefore w:val="0"/>
              <w:kinsoku/>
              <w:overflowPunct/>
              <w:bidi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2.1 工作条件</w:t>
            </w:r>
          </w:p>
          <w:p>
            <w:pPr>
              <w:pageBreakBefore w:val="0"/>
              <w:kinsoku/>
              <w:overflowPunct/>
              <w:bidi w:val="0"/>
              <w:spacing w:line="360" w:lineRule="auto"/>
              <w:rPr>
                <w:rFonts w:hint="eastAsia" w:ascii="宋体" w:hAnsi="宋体" w:eastAsia="宋体" w:cs="宋体"/>
                <w:spacing w:val="-2"/>
                <w:sz w:val="21"/>
                <w:szCs w:val="21"/>
              </w:rPr>
            </w:pPr>
            <w:r>
              <w:rPr>
                <w:rFonts w:hint="eastAsia" w:ascii="宋体" w:hAnsi="宋体" w:eastAsia="宋体" w:cs="宋体"/>
                <w:sz w:val="21"/>
                <w:szCs w:val="21"/>
              </w:rPr>
              <w:t xml:space="preserve">2.1.1 </w:t>
            </w:r>
            <w:r>
              <w:rPr>
                <w:rFonts w:hint="eastAsia" w:ascii="宋体" w:hAnsi="宋体" w:eastAsia="宋体" w:cs="宋体"/>
                <w:spacing w:val="-2"/>
                <w:sz w:val="21"/>
                <w:szCs w:val="21"/>
              </w:rPr>
              <w:t>电源要求 ：提供两种供电模式（1）内部的</w:t>
            </w:r>
            <w:r>
              <w:rPr>
                <w:rFonts w:hint="eastAsia" w:ascii="宋体" w:hAnsi="宋体" w:eastAsia="宋体" w:cs="宋体"/>
                <w:color w:val="000000"/>
                <w:sz w:val="21"/>
                <w:szCs w:val="21"/>
              </w:rPr>
              <w:t>可充电锂离子电池</w:t>
            </w:r>
            <w:r>
              <w:rPr>
                <w:rFonts w:hint="eastAsia" w:ascii="宋体" w:hAnsi="宋体" w:eastAsia="宋体" w:cs="宋体"/>
                <w:sz w:val="21"/>
                <w:szCs w:val="21"/>
              </w:rPr>
              <w:t>;（2）</w:t>
            </w:r>
            <w:r>
              <w:rPr>
                <w:rFonts w:hint="eastAsia" w:ascii="宋体" w:hAnsi="宋体" w:eastAsia="宋体" w:cs="宋体"/>
                <w:sz w:val="21"/>
                <w:szCs w:val="21"/>
                <w:lang w:val="en-US" w:eastAsia="zh-CN"/>
              </w:rPr>
              <w:t>可外接220V市电或</w:t>
            </w:r>
            <w:r>
              <w:rPr>
                <w:rFonts w:hint="eastAsia" w:ascii="宋体" w:hAnsi="宋体" w:eastAsia="宋体" w:cs="宋体"/>
                <w:spacing w:val="-2"/>
                <w:sz w:val="21"/>
                <w:szCs w:val="21"/>
              </w:rPr>
              <w:t xml:space="preserve">外置的 </w:t>
            </w:r>
            <w:r>
              <w:rPr>
                <w:rFonts w:hint="eastAsia" w:ascii="宋体" w:hAnsi="宋体" w:eastAsia="宋体" w:cs="宋体"/>
                <w:color w:val="000000"/>
                <w:sz w:val="21"/>
                <w:szCs w:val="21"/>
              </w:rPr>
              <w:t>USB 电源适配器。</w:t>
            </w:r>
          </w:p>
          <w:p>
            <w:pPr>
              <w:pageBreakBefore w:val="0"/>
              <w:kinsoku/>
              <w:overflowPunct/>
              <w:bidi w:val="0"/>
              <w:spacing w:line="360" w:lineRule="auto"/>
              <w:jc w:val="both"/>
              <w:rPr>
                <w:rFonts w:hint="eastAsia" w:ascii="宋体" w:hAnsi="宋体" w:eastAsia="宋体" w:cs="宋体"/>
                <w:b/>
                <w:sz w:val="21"/>
                <w:szCs w:val="21"/>
              </w:rPr>
            </w:pPr>
            <w:r>
              <w:rPr>
                <w:rFonts w:hint="eastAsia" w:ascii="宋体" w:hAnsi="宋体" w:eastAsia="宋体" w:cs="宋体"/>
                <w:b/>
                <w:sz w:val="21"/>
                <w:szCs w:val="21"/>
              </w:rPr>
              <w:t>2.2技术性能指标</w:t>
            </w:r>
          </w:p>
          <w:p>
            <w:pPr>
              <w:pageBreakBefore w:val="0"/>
              <w:kinsoku/>
              <w:overflowPunct/>
              <w:bidi w:val="0"/>
              <w:spacing w:line="360" w:lineRule="auto"/>
              <w:ind w:left="1235" w:hanging="1234" w:hangingChars="588"/>
              <w:rPr>
                <w:rFonts w:hint="eastAsia" w:ascii="宋体" w:hAnsi="宋体" w:eastAsia="宋体" w:cs="宋体"/>
                <w:b/>
                <w:sz w:val="21"/>
                <w:szCs w:val="21"/>
              </w:rPr>
            </w:pPr>
            <w:r>
              <w:rPr>
                <w:rFonts w:hint="eastAsia" w:ascii="宋体" w:hAnsi="宋体" w:eastAsia="宋体" w:cs="宋体"/>
                <w:sz w:val="21"/>
                <w:szCs w:val="21"/>
              </w:rPr>
              <w:t>2.2.1 语言：中文</w:t>
            </w:r>
          </w:p>
          <w:p>
            <w:pPr>
              <w:pageBreakBefore w:val="0"/>
              <w:kinsoku/>
              <w:overflowPunct/>
              <w:bidi w:val="0"/>
              <w:spacing w:line="360" w:lineRule="auto"/>
              <w:ind w:left="1155" w:hanging="1155" w:hangingChars="550"/>
              <w:jc w:val="both"/>
              <w:rPr>
                <w:rFonts w:hint="eastAsia" w:ascii="宋体" w:hAnsi="宋体" w:eastAsia="宋体" w:cs="宋体"/>
                <w:sz w:val="21"/>
                <w:szCs w:val="21"/>
              </w:rPr>
            </w:pPr>
            <w:r>
              <w:rPr>
                <w:rFonts w:hint="eastAsia" w:ascii="宋体" w:hAnsi="宋体" w:eastAsia="宋体" w:cs="宋体"/>
                <w:szCs w:val="21"/>
                <w:lang w:val="en-US" w:eastAsia="zh-CN"/>
              </w:rPr>
              <w:t>▲</w:t>
            </w:r>
            <w:r>
              <w:rPr>
                <w:rFonts w:hint="eastAsia" w:ascii="宋体" w:hAnsi="宋体" w:eastAsia="宋体" w:cs="宋体"/>
                <w:sz w:val="21"/>
                <w:szCs w:val="21"/>
              </w:rPr>
              <w:t>2.2.2显示：可同时显示如下2个电极的测量读数</w:t>
            </w:r>
          </w:p>
          <w:p>
            <w:pPr>
              <w:pageBreakBefore w:val="0"/>
              <w:kinsoku/>
              <w:overflowPunct/>
              <w:bidi w:val="0"/>
              <w:spacing w:line="360" w:lineRule="auto"/>
              <w:ind w:firstLine="617" w:firstLineChars="294"/>
              <w:jc w:val="both"/>
              <w:rPr>
                <w:rFonts w:hint="eastAsia" w:ascii="宋体" w:hAnsi="宋体" w:eastAsia="宋体" w:cs="宋体"/>
                <w:bCs/>
                <w:sz w:val="21"/>
                <w:szCs w:val="21"/>
              </w:rPr>
            </w:pPr>
            <w:r>
              <w:rPr>
                <w:rFonts w:hint="eastAsia" w:ascii="宋体" w:hAnsi="宋体" w:eastAsia="宋体" w:cs="宋体"/>
                <w:bCs/>
                <w:sz w:val="21"/>
                <w:szCs w:val="21"/>
              </w:rPr>
              <w:t>（1）pH电极：pH、mV、温度</w:t>
            </w:r>
          </w:p>
          <w:p>
            <w:pPr>
              <w:pageBreakBefore w:val="0"/>
              <w:kinsoku/>
              <w:overflowPunct/>
              <w:bidi w:val="0"/>
              <w:spacing w:line="360" w:lineRule="auto"/>
              <w:ind w:firstLine="617" w:firstLineChars="294"/>
              <w:jc w:val="both"/>
              <w:rPr>
                <w:rFonts w:hint="eastAsia" w:ascii="宋体" w:hAnsi="宋体" w:eastAsia="宋体" w:cs="宋体"/>
                <w:bCs/>
                <w:sz w:val="21"/>
                <w:szCs w:val="21"/>
              </w:rPr>
            </w:pPr>
            <w:r>
              <w:rPr>
                <w:rFonts w:hint="eastAsia" w:ascii="宋体" w:hAnsi="宋体" w:eastAsia="宋体" w:cs="宋体"/>
                <w:bCs/>
                <w:sz w:val="21"/>
                <w:szCs w:val="21"/>
              </w:rPr>
              <w:t>（2）电导率电极：电导率、盐度、TDS总溶解固体、温度</w:t>
            </w:r>
          </w:p>
          <w:p>
            <w:pPr>
              <w:pageBreakBefore w:val="0"/>
              <w:kinsoku/>
              <w:overflowPunct/>
              <w:bidi w:val="0"/>
              <w:spacing w:line="360" w:lineRule="auto"/>
              <w:ind w:firstLine="617" w:firstLineChars="294"/>
              <w:jc w:val="both"/>
              <w:rPr>
                <w:rFonts w:hint="eastAsia" w:ascii="宋体" w:hAnsi="宋体" w:eastAsia="宋体" w:cs="宋体"/>
                <w:bCs/>
                <w:sz w:val="21"/>
                <w:szCs w:val="21"/>
                <w:lang w:eastAsia="zh-CN"/>
              </w:rPr>
            </w:pPr>
            <w:r>
              <w:rPr>
                <w:rFonts w:hint="eastAsia" w:ascii="宋体" w:hAnsi="宋体" w:eastAsia="宋体" w:cs="宋体"/>
                <w:bCs/>
                <w:sz w:val="21"/>
                <w:szCs w:val="21"/>
              </w:rPr>
              <w:t>（3）溶解氧电极：溶解氧、压力、温度</w:t>
            </w:r>
          </w:p>
          <w:p>
            <w:pPr>
              <w:pageBreakBefore w:val="0"/>
              <w:kinsoku/>
              <w:overflowPunct/>
              <w:bidi w:val="0"/>
              <w:spacing w:line="360" w:lineRule="auto"/>
              <w:ind w:left="105" w:hanging="105" w:hangingChars="50"/>
              <w:jc w:val="both"/>
              <w:rPr>
                <w:rFonts w:hint="eastAsia" w:ascii="宋体" w:hAnsi="宋体" w:eastAsia="宋体" w:cs="宋体"/>
                <w:sz w:val="21"/>
                <w:szCs w:val="21"/>
              </w:rPr>
            </w:pPr>
            <w:r>
              <w:rPr>
                <w:rFonts w:hint="eastAsia" w:ascii="宋体" w:hAnsi="宋体" w:eastAsia="宋体" w:cs="宋体"/>
                <w:sz w:val="21"/>
                <w:szCs w:val="21"/>
              </w:rPr>
              <w:t>2.2.3 数据内存：不少于 10,000 组数据</w:t>
            </w:r>
          </w:p>
          <w:p>
            <w:pPr>
              <w:pageBreakBefore w:val="0"/>
              <w:kinsoku/>
              <w:overflowPunct/>
              <w:bidi w:val="0"/>
              <w:spacing w:line="360" w:lineRule="auto"/>
              <w:ind w:left="1890" w:hanging="1890" w:hangingChars="900"/>
              <w:rPr>
                <w:rFonts w:hint="eastAsia" w:ascii="宋体" w:hAnsi="宋体" w:eastAsia="宋体" w:cs="宋体"/>
                <w:sz w:val="21"/>
                <w:szCs w:val="21"/>
              </w:rPr>
            </w:pPr>
            <w:r>
              <w:rPr>
                <w:rFonts w:hint="eastAsia" w:ascii="宋体" w:hAnsi="宋体" w:eastAsia="宋体" w:cs="宋体"/>
                <w:sz w:val="21"/>
                <w:szCs w:val="21"/>
              </w:rPr>
              <w:t>2.2.4 数据存储： 在“按下即读”模式和间隔测量模式时可自动存储。</w:t>
            </w:r>
          </w:p>
          <w:p>
            <w:pPr>
              <w:pageBreakBefore w:val="0"/>
              <w:kinsoku/>
              <w:overflowPunct/>
              <w:bidi w:val="0"/>
              <w:spacing w:line="360" w:lineRule="auto"/>
              <w:ind w:left="105" w:hanging="105" w:hangingChars="50"/>
              <w:rPr>
                <w:rFonts w:hint="eastAsia" w:ascii="宋体" w:hAnsi="宋体" w:eastAsia="宋体" w:cs="宋体"/>
                <w:sz w:val="21"/>
                <w:szCs w:val="21"/>
                <w:highlight w:val="none"/>
              </w:rPr>
            </w:pPr>
            <w:r>
              <w:rPr>
                <w:rFonts w:hint="eastAsia" w:ascii="宋体" w:hAnsi="宋体" w:eastAsia="宋体" w:cs="宋体"/>
                <w:sz w:val="21"/>
                <w:szCs w:val="21"/>
                <w:highlight w:val="none"/>
              </w:rPr>
              <w:t>2.2.5 数据传输：</w:t>
            </w:r>
            <w:r>
              <w:rPr>
                <w:rFonts w:hint="eastAsia" w:ascii="宋体" w:hAnsi="宋体" w:eastAsia="宋体" w:cs="宋体"/>
                <w:i w:val="0"/>
                <w:iCs w:val="0"/>
                <w:caps w:val="0"/>
                <w:color w:val="auto"/>
                <w:spacing w:val="0"/>
                <w:sz w:val="21"/>
                <w:szCs w:val="21"/>
                <w:highlight w:val="none"/>
                <w:shd w:val="clear" w:fill="auto"/>
              </w:rPr>
              <w:t>蓝牙</w:t>
            </w:r>
            <w:r>
              <w:rPr>
                <w:rFonts w:hint="eastAsia" w:ascii="宋体" w:hAnsi="宋体" w:cs="宋体"/>
                <w:i w:val="0"/>
                <w:iCs w:val="0"/>
                <w:caps w:val="0"/>
                <w:color w:val="auto"/>
                <w:spacing w:val="0"/>
                <w:sz w:val="21"/>
                <w:szCs w:val="21"/>
                <w:highlight w:val="none"/>
                <w:shd w:val="clear" w:fill="auto"/>
                <w:lang w:val="en-US" w:eastAsia="zh-CN"/>
              </w:rPr>
              <w:t>或</w:t>
            </w:r>
            <w:r>
              <w:rPr>
                <w:rFonts w:hint="eastAsia" w:ascii="宋体" w:hAnsi="宋体" w:eastAsia="宋体" w:cs="宋体"/>
                <w:i w:val="0"/>
                <w:iCs w:val="0"/>
                <w:caps w:val="0"/>
                <w:color w:val="auto"/>
                <w:spacing w:val="0"/>
                <w:sz w:val="21"/>
                <w:szCs w:val="21"/>
                <w:highlight w:val="none"/>
                <w:shd w:val="clear" w:fill="auto"/>
              </w:rPr>
              <w:t>支持</w:t>
            </w:r>
            <w:r>
              <w:rPr>
                <w:rFonts w:hint="eastAsia" w:ascii="宋体" w:hAnsi="宋体" w:cs="宋体"/>
                <w:i w:val="0"/>
                <w:iCs w:val="0"/>
                <w:caps w:val="0"/>
                <w:color w:val="auto"/>
                <w:spacing w:val="0"/>
                <w:sz w:val="21"/>
                <w:szCs w:val="21"/>
                <w:highlight w:val="none"/>
                <w:shd w:val="clear" w:fill="auto"/>
                <w:lang w:val="en-US" w:eastAsia="zh-CN"/>
              </w:rPr>
              <w:t>其它</w:t>
            </w:r>
            <w:r>
              <w:rPr>
                <w:rFonts w:hint="eastAsia" w:ascii="宋体" w:hAnsi="宋体" w:eastAsia="宋体" w:cs="宋体"/>
                <w:i w:val="0"/>
                <w:iCs w:val="0"/>
                <w:caps w:val="0"/>
                <w:color w:val="auto"/>
                <w:spacing w:val="0"/>
                <w:sz w:val="21"/>
                <w:szCs w:val="21"/>
                <w:highlight w:val="none"/>
                <w:shd w:val="clear" w:fill="auto"/>
              </w:rPr>
              <w:t>无线传输</w:t>
            </w:r>
            <w:r>
              <w:rPr>
                <w:rFonts w:hint="eastAsia" w:ascii="宋体" w:hAnsi="宋体" w:cs="宋体"/>
                <w:i w:val="0"/>
                <w:iCs w:val="0"/>
                <w:caps w:val="0"/>
                <w:color w:val="auto"/>
                <w:spacing w:val="0"/>
                <w:sz w:val="21"/>
                <w:szCs w:val="21"/>
                <w:highlight w:val="none"/>
                <w:shd w:val="clear" w:fill="auto"/>
                <w:lang w:val="en-US" w:eastAsia="zh-CN"/>
              </w:rPr>
              <w:t>功能</w:t>
            </w:r>
            <w:r>
              <w:rPr>
                <w:rFonts w:hint="eastAsia" w:ascii="宋体" w:hAnsi="宋体" w:eastAsia="宋体" w:cs="宋体"/>
                <w:i w:val="0"/>
                <w:iCs w:val="0"/>
                <w:caps w:val="0"/>
                <w:color w:val="auto"/>
                <w:spacing w:val="0"/>
                <w:sz w:val="21"/>
                <w:szCs w:val="21"/>
                <w:highlight w:val="none"/>
                <w:shd w:val="clear" w:fill="auto"/>
                <w:lang w:eastAsia="zh-CN"/>
              </w:rPr>
              <w:t>，</w:t>
            </w:r>
            <w:r>
              <w:rPr>
                <w:rFonts w:hint="eastAsia" w:ascii="宋体" w:hAnsi="宋体" w:eastAsia="宋体" w:cs="宋体"/>
                <w:i w:val="0"/>
                <w:iCs w:val="0"/>
                <w:caps w:val="0"/>
                <w:color w:val="auto"/>
                <w:spacing w:val="0"/>
                <w:sz w:val="21"/>
                <w:szCs w:val="21"/>
                <w:highlight w:val="none"/>
                <w:shd w:val="clear" w:fill="auto"/>
                <w:lang w:val="en-US" w:eastAsia="zh-CN"/>
              </w:rPr>
              <w:t>可</w:t>
            </w:r>
            <w:r>
              <w:rPr>
                <w:rFonts w:hint="eastAsia" w:ascii="宋体" w:hAnsi="宋体" w:eastAsia="宋体" w:cs="宋体"/>
                <w:sz w:val="21"/>
                <w:szCs w:val="21"/>
                <w:highlight w:val="none"/>
              </w:rPr>
              <w:t>通过USB</w:t>
            </w:r>
            <w:r>
              <w:rPr>
                <w:rFonts w:hint="eastAsia" w:ascii="宋体" w:hAnsi="宋体" w:cs="宋体"/>
                <w:sz w:val="21"/>
                <w:szCs w:val="21"/>
                <w:highlight w:val="none"/>
                <w:lang w:val="en-US" w:eastAsia="zh-CN"/>
              </w:rPr>
              <w:t>等</w:t>
            </w:r>
            <w:r>
              <w:rPr>
                <w:rFonts w:hint="eastAsia" w:ascii="宋体" w:hAnsi="宋体" w:eastAsia="宋体" w:cs="宋体"/>
                <w:sz w:val="21"/>
                <w:szCs w:val="21"/>
                <w:highlight w:val="none"/>
              </w:rPr>
              <w:t>接口连接到至PC或USB</w:t>
            </w:r>
            <w:r>
              <w:rPr>
                <w:rFonts w:hint="eastAsia" w:ascii="宋体" w:hAnsi="宋体" w:cs="宋体"/>
                <w:sz w:val="21"/>
                <w:szCs w:val="21"/>
                <w:highlight w:val="none"/>
                <w:lang w:val="en-US" w:eastAsia="zh-CN"/>
              </w:rPr>
              <w:t>等</w:t>
            </w:r>
            <w:r>
              <w:rPr>
                <w:rFonts w:hint="eastAsia" w:ascii="宋体" w:hAnsi="宋体" w:eastAsia="宋体" w:cs="宋体"/>
                <w:sz w:val="21"/>
                <w:szCs w:val="21"/>
                <w:highlight w:val="none"/>
              </w:rPr>
              <w:t>存储设备。</w:t>
            </w:r>
          </w:p>
          <w:p>
            <w:pPr>
              <w:pageBreakBefore w:val="0"/>
              <w:kinsoku/>
              <w:overflowPunct/>
              <w:bidi w:val="0"/>
              <w:spacing w:line="360" w:lineRule="auto"/>
              <w:ind w:left="105" w:hanging="105" w:hangingChars="50"/>
              <w:rPr>
                <w:rFonts w:hint="eastAsia" w:ascii="宋体" w:hAnsi="宋体" w:eastAsia="宋体" w:cs="宋体"/>
                <w:sz w:val="21"/>
                <w:szCs w:val="21"/>
              </w:rPr>
            </w:pPr>
            <w:r>
              <w:rPr>
                <w:rFonts w:hint="eastAsia" w:ascii="宋体" w:hAnsi="宋体" w:eastAsia="宋体" w:cs="宋体"/>
                <w:sz w:val="21"/>
                <w:szCs w:val="21"/>
              </w:rPr>
              <w:t>2.2.6 温度校正：关闭、自动和手动（取决于特定参数）</w:t>
            </w:r>
          </w:p>
          <w:p>
            <w:pPr>
              <w:pageBreakBefore w:val="0"/>
              <w:kinsoku/>
              <w:overflowPunct/>
              <w:bidi w:val="0"/>
              <w:spacing w:line="360" w:lineRule="auto"/>
              <w:ind w:left="105" w:hanging="105" w:hangingChars="50"/>
              <w:rPr>
                <w:rFonts w:hint="eastAsia" w:ascii="宋体" w:hAnsi="宋体" w:eastAsia="宋体" w:cs="宋体"/>
                <w:sz w:val="21"/>
                <w:szCs w:val="21"/>
              </w:rPr>
            </w:pPr>
            <w:r>
              <w:rPr>
                <w:rFonts w:hint="eastAsia" w:ascii="宋体" w:hAnsi="宋体" w:eastAsia="宋体" w:cs="宋体"/>
                <w:sz w:val="21"/>
                <w:szCs w:val="21"/>
              </w:rPr>
              <w:t>2.2.7外壳防护等级：IP67</w:t>
            </w:r>
          </w:p>
          <w:p>
            <w:pPr>
              <w:pageBreakBefore w:val="0"/>
              <w:kinsoku/>
              <w:overflowPunct/>
              <w:bidi w:val="0"/>
              <w:spacing w:line="360" w:lineRule="auto"/>
              <w:ind w:lef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2.2.8</w:t>
            </w:r>
            <w:r>
              <w:rPr>
                <w:rFonts w:hint="eastAsia" w:ascii="宋体" w:hAnsi="宋体" w:eastAsia="宋体" w:cs="宋体"/>
                <w:bCs/>
                <w:sz w:val="21"/>
                <w:szCs w:val="21"/>
                <w:lang w:val="en-US" w:eastAsia="zh-CN"/>
              </w:rPr>
              <w:t>具有定位授时功能</w:t>
            </w:r>
          </w:p>
          <w:p>
            <w:pPr>
              <w:pageBreakBefore w:val="0"/>
              <w:kinsoku/>
              <w:overflowPunct/>
              <w:bidi w:val="0"/>
              <w:spacing w:line="360" w:lineRule="auto"/>
              <w:jc w:val="both"/>
              <w:rPr>
                <w:rFonts w:hint="eastAsia" w:ascii="宋体" w:hAnsi="宋体" w:eastAsia="宋体" w:cs="宋体"/>
                <w:b/>
                <w:sz w:val="21"/>
                <w:szCs w:val="21"/>
              </w:rPr>
            </w:pPr>
            <w:r>
              <w:rPr>
                <w:rFonts w:hint="eastAsia" w:ascii="宋体" w:hAnsi="宋体" w:eastAsia="宋体" w:cs="宋体"/>
                <w:b/>
                <w:spacing w:val="-2"/>
                <w:sz w:val="21"/>
                <w:szCs w:val="21"/>
              </w:rPr>
              <w:t>3</w:t>
            </w:r>
            <w:r>
              <w:rPr>
                <w:rFonts w:hint="eastAsia" w:ascii="宋体" w:hAnsi="宋体" w:eastAsia="宋体" w:cs="宋体"/>
                <w:b/>
                <w:spacing w:val="-2"/>
                <w:sz w:val="21"/>
                <w:szCs w:val="21"/>
                <w:lang w:eastAsia="zh-CN"/>
              </w:rPr>
              <w:t>、</w:t>
            </w:r>
            <w:r>
              <w:rPr>
                <w:rFonts w:hint="eastAsia" w:ascii="宋体" w:hAnsi="宋体" w:eastAsia="宋体" w:cs="宋体"/>
                <w:b/>
                <w:spacing w:val="-2"/>
                <w:sz w:val="21"/>
                <w:szCs w:val="21"/>
              </w:rPr>
              <w:t>电极</w:t>
            </w:r>
            <w:r>
              <w:rPr>
                <w:rFonts w:hint="eastAsia" w:ascii="宋体" w:hAnsi="宋体" w:eastAsia="宋体" w:cs="宋体"/>
                <w:b/>
                <w:sz w:val="21"/>
                <w:szCs w:val="21"/>
              </w:rPr>
              <w:t>技术性能指标</w:t>
            </w:r>
          </w:p>
          <w:p>
            <w:pPr>
              <w:pageBreakBefore w:val="0"/>
              <w:kinsoku/>
              <w:overflowPunct/>
              <w:bidi w:val="0"/>
              <w:spacing w:line="360" w:lineRule="auto"/>
              <w:jc w:val="both"/>
              <w:rPr>
                <w:rFonts w:hint="eastAsia" w:ascii="宋体" w:hAnsi="宋体" w:eastAsia="宋体" w:cs="宋体"/>
                <w:b/>
                <w:spacing w:val="-2"/>
                <w:sz w:val="21"/>
                <w:szCs w:val="21"/>
              </w:rPr>
            </w:pPr>
            <w:r>
              <w:rPr>
                <w:rFonts w:hint="eastAsia" w:ascii="宋体" w:hAnsi="宋体" w:eastAsia="宋体" w:cs="宋体"/>
                <w:b/>
                <w:spacing w:val="-2"/>
                <w:sz w:val="21"/>
                <w:szCs w:val="21"/>
              </w:rPr>
              <w:t>3.1温度</w:t>
            </w:r>
          </w:p>
          <w:p>
            <w:pPr>
              <w:pageBreakBefore w:val="0"/>
              <w:kinsoku/>
              <w:overflowPunct/>
              <w:bidi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量程：-10.0～</w:t>
            </w:r>
            <w:r>
              <w:rPr>
                <w:rFonts w:hint="eastAsia" w:ascii="宋体" w:hAnsi="宋体" w:eastAsia="宋体" w:cs="宋体"/>
                <w:spacing w:val="-2"/>
                <w:sz w:val="21"/>
                <w:szCs w:val="21"/>
                <w:lang w:val="en-US" w:eastAsia="zh-CN"/>
              </w:rPr>
              <w:t>100</w:t>
            </w:r>
            <w:r>
              <w:rPr>
                <w:rFonts w:hint="eastAsia" w:ascii="宋体" w:hAnsi="宋体" w:eastAsia="宋体" w:cs="宋体"/>
                <w:spacing w:val="-2"/>
                <w:sz w:val="21"/>
                <w:szCs w:val="21"/>
              </w:rPr>
              <w:t>℃</w:t>
            </w:r>
          </w:p>
          <w:p>
            <w:pPr>
              <w:pageBreakBefore w:val="0"/>
              <w:kinsoku/>
              <w:overflowPunct/>
              <w:bidi w:val="0"/>
              <w:spacing w:line="360" w:lineRule="auto"/>
              <w:ind w:firstLine="48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w:t>
            </w:r>
          </w:p>
          <w:p>
            <w:pPr>
              <w:pageBreakBefore w:val="0"/>
              <w:kinsoku/>
              <w:overflowPunct/>
              <w:bidi w:val="0"/>
              <w:spacing w:line="360" w:lineRule="auto"/>
              <w:ind w:firstLine="480"/>
              <w:jc w:val="both"/>
              <w:rPr>
                <w:rFonts w:hint="eastAsia" w:ascii="宋体" w:hAnsi="宋体" w:eastAsia="宋体" w:cs="宋体"/>
                <w:spacing w:val="-2"/>
                <w:sz w:val="21"/>
                <w:szCs w:val="21"/>
              </w:rPr>
            </w:pPr>
            <w:r>
              <w:rPr>
                <w:rFonts w:hint="eastAsia" w:ascii="宋体" w:hAnsi="宋体" w:eastAsia="宋体" w:cs="宋体"/>
                <w:spacing w:val="-2"/>
                <w:sz w:val="21"/>
                <w:szCs w:val="21"/>
              </w:rPr>
              <w:t>准确度：±0.3℃</w:t>
            </w:r>
          </w:p>
          <w:p>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■3.2 pH</w:t>
            </w:r>
            <w:r>
              <w:rPr>
                <w:rFonts w:hint="eastAsia" w:ascii="宋体" w:hAnsi="宋体" w:eastAsia="宋体" w:cs="宋体"/>
                <w:b/>
                <w:spacing w:val="-2"/>
                <w:sz w:val="21"/>
                <w:szCs w:val="21"/>
              </w:rPr>
              <w:t>电极</w:t>
            </w:r>
          </w:p>
          <w:p>
            <w:pPr>
              <w:pageBreakBefore w:val="0"/>
              <w:kinsoku/>
              <w:overflowPunct/>
              <w:bidi w:val="0"/>
              <w:spacing w:line="360" w:lineRule="auto"/>
              <w:jc w:val="both"/>
              <w:rPr>
                <w:rFonts w:hint="eastAsia" w:ascii="宋体" w:hAnsi="宋体" w:eastAsia="宋体" w:cs="宋体"/>
                <w:spacing w:val="-2"/>
                <w:sz w:val="21"/>
                <w:szCs w:val="21"/>
              </w:rPr>
            </w:pPr>
            <w:r>
              <w:rPr>
                <w:rFonts w:hint="eastAsia" w:ascii="宋体" w:hAnsi="宋体" w:eastAsia="宋体" w:cs="宋体"/>
                <w:b/>
                <w:bCs/>
                <w:sz w:val="21"/>
                <w:szCs w:val="21"/>
              </w:rPr>
              <w:t xml:space="preserve">   </w:t>
            </w:r>
            <w:r>
              <w:rPr>
                <w:rFonts w:hint="eastAsia" w:ascii="宋体" w:hAnsi="宋体" w:eastAsia="宋体" w:cs="宋体"/>
                <w:spacing w:val="-2"/>
                <w:sz w:val="21"/>
                <w:szCs w:val="21"/>
              </w:rPr>
              <w:t>量程：  0～14（标准凝胶电极）</w:t>
            </w:r>
          </w:p>
          <w:p>
            <w:pPr>
              <w:pageBreakBefore w:val="0"/>
              <w:kinsoku/>
              <w:overflowPunct/>
              <w:bidi w:val="0"/>
              <w:spacing w:line="360" w:lineRule="auto"/>
              <w:ind w:firstLine="309" w:firstLineChars="1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分辨率：0.1/0.01/0.001可选</w:t>
            </w:r>
          </w:p>
          <w:p>
            <w:pPr>
              <w:pageBreakBefore w:val="0"/>
              <w:kinsoku/>
              <w:overflowPunct/>
              <w:bidi w:val="0"/>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 xml:space="preserve">        pH</w:t>
            </w:r>
            <w:r>
              <w:rPr>
                <w:rFonts w:hint="eastAsia" w:ascii="宋体" w:hAnsi="宋体" w:eastAsia="宋体" w:cs="宋体"/>
                <w:spacing w:val="-2"/>
                <w:sz w:val="21"/>
                <w:szCs w:val="21"/>
              </w:rPr>
              <w:t>电极0.02</w:t>
            </w:r>
            <w:r>
              <w:rPr>
                <w:rFonts w:hint="eastAsia" w:ascii="宋体" w:hAnsi="宋体" w:eastAsia="宋体" w:cs="宋体"/>
                <w:bCs/>
                <w:sz w:val="21"/>
                <w:szCs w:val="21"/>
              </w:rPr>
              <w:t xml:space="preserve"> </w:t>
            </w:r>
          </w:p>
          <w:p>
            <w:pPr>
              <w:pageBreakBefore w:val="0"/>
              <w:kinsoku/>
              <w:overflowPunct/>
              <w:bidi w:val="0"/>
              <w:spacing w:line="360" w:lineRule="auto"/>
              <w:jc w:val="both"/>
              <w:rPr>
                <w:rFonts w:hint="eastAsia" w:ascii="宋体" w:hAnsi="宋体" w:eastAsia="宋体" w:cs="宋体"/>
                <w:b/>
                <w:spacing w:val="-2"/>
                <w:sz w:val="21"/>
                <w:szCs w:val="21"/>
              </w:rPr>
            </w:pPr>
            <w:r>
              <w:rPr>
                <w:rFonts w:hint="eastAsia" w:ascii="宋体" w:hAnsi="宋体" w:eastAsia="宋体" w:cs="宋体"/>
                <w:b/>
                <w:bCs/>
                <w:sz w:val="21"/>
                <w:szCs w:val="21"/>
              </w:rPr>
              <w:t xml:space="preserve">3.4 </w:t>
            </w:r>
            <w:r>
              <w:rPr>
                <w:rFonts w:hint="eastAsia" w:ascii="宋体" w:hAnsi="宋体" w:eastAsia="宋体" w:cs="宋体"/>
                <w:b/>
                <w:spacing w:val="-2"/>
                <w:sz w:val="21"/>
                <w:szCs w:val="21"/>
              </w:rPr>
              <w:t>电导率电极</w:t>
            </w:r>
          </w:p>
          <w:p>
            <w:pPr>
              <w:pageBreakBefore w:val="0"/>
              <w:kinsoku/>
              <w:overflowPunct/>
              <w:bidi w:val="0"/>
              <w:spacing w:line="360" w:lineRule="auto"/>
              <w:ind w:firstLine="310" w:firstLineChars="150"/>
              <w:jc w:val="both"/>
              <w:rPr>
                <w:rFonts w:hint="eastAsia" w:ascii="宋体" w:hAnsi="宋体" w:eastAsia="宋体" w:cs="宋体"/>
                <w:spacing w:val="-2"/>
                <w:sz w:val="21"/>
                <w:szCs w:val="21"/>
              </w:rPr>
            </w:pPr>
            <w:r>
              <w:rPr>
                <w:rFonts w:hint="eastAsia" w:ascii="宋体" w:hAnsi="宋体" w:eastAsia="宋体" w:cs="宋体"/>
                <w:b/>
                <w:spacing w:val="-2"/>
                <w:sz w:val="21"/>
                <w:szCs w:val="21"/>
              </w:rPr>
              <w:t>电导率：</w:t>
            </w:r>
          </w:p>
          <w:p>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量程：0.01 μS/cm ～ 200.0 mS/cm</w:t>
            </w:r>
          </w:p>
          <w:p>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分辨率：0.01 μS/cm（最大0.05μS/cm）</w:t>
            </w:r>
          </w:p>
          <w:p>
            <w:pPr>
              <w:pageBreakBefore w:val="0"/>
              <w:kinsoku/>
              <w:overflowPunct/>
              <w:bidi w:val="0"/>
              <w:spacing w:line="360" w:lineRule="auto"/>
              <w:ind w:firstLine="525" w:firstLineChars="250"/>
              <w:jc w:val="both"/>
              <w:rPr>
                <w:rFonts w:hint="eastAsia" w:ascii="宋体" w:hAnsi="宋体" w:eastAsia="宋体" w:cs="宋体"/>
                <w:sz w:val="21"/>
                <w:szCs w:val="21"/>
              </w:rPr>
            </w:pPr>
            <w:r>
              <w:rPr>
                <w:rFonts w:hint="eastAsia" w:ascii="宋体" w:hAnsi="宋体" w:eastAsia="宋体" w:cs="宋体"/>
                <w:sz w:val="21"/>
                <w:szCs w:val="21"/>
              </w:rPr>
              <w:t>电阻率：</w:t>
            </w:r>
          </w:p>
          <w:p>
            <w:pPr>
              <w:pageBreakBefore w:val="0"/>
              <w:kinsoku/>
              <w:overflowPunct/>
              <w:bidi w:val="0"/>
              <w:spacing w:line="360" w:lineRule="auto"/>
              <w:ind w:firstLine="515" w:firstLineChars="250"/>
              <w:jc w:val="both"/>
              <w:rPr>
                <w:rFonts w:hint="eastAsia" w:ascii="宋体" w:hAnsi="宋体" w:eastAsia="宋体" w:cs="宋体"/>
                <w:spacing w:val="8"/>
                <w:sz w:val="21"/>
                <w:szCs w:val="21"/>
              </w:rPr>
            </w:pPr>
            <w:r>
              <w:rPr>
                <w:rFonts w:hint="eastAsia" w:ascii="宋体" w:hAnsi="宋体" w:eastAsia="宋体" w:cs="宋体"/>
                <w:spacing w:val="-2"/>
                <w:sz w:val="21"/>
                <w:szCs w:val="21"/>
              </w:rPr>
              <w:t>量程：</w:t>
            </w:r>
            <w:r>
              <w:rPr>
                <w:rFonts w:hint="eastAsia" w:ascii="宋体" w:hAnsi="宋体" w:eastAsia="宋体" w:cs="宋体"/>
                <w:spacing w:val="8"/>
                <w:sz w:val="21"/>
                <w:szCs w:val="21"/>
              </w:rPr>
              <w:t>2.5</w:t>
            </w:r>
            <w:r>
              <w:rPr>
                <w:rFonts w:hint="eastAsia" w:ascii="宋体" w:hAnsi="宋体" w:eastAsia="宋体" w:cs="宋体"/>
                <w:spacing w:val="-2"/>
                <w:sz w:val="21"/>
                <w:szCs w:val="21"/>
              </w:rPr>
              <w:t>～49</w:t>
            </w:r>
            <w:r>
              <w:rPr>
                <w:rFonts w:hint="eastAsia" w:ascii="宋体" w:hAnsi="宋体" w:eastAsia="宋体" w:cs="宋体"/>
                <w:spacing w:val="8"/>
                <w:sz w:val="21"/>
                <w:szCs w:val="21"/>
              </w:rPr>
              <w:t>欧姆·厘米</w:t>
            </w:r>
          </w:p>
          <w:p>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w:t>
            </w:r>
            <w:r>
              <w:rPr>
                <w:rFonts w:hint="eastAsia" w:ascii="宋体" w:hAnsi="宋体" w:eastAsia="宋体" w:cs="宋体"/>
                <w:spacing w:val="8"/>
                <w:sz w:val="21"/>
                <w:szCs w:val="21"/>
              </w:rPr>
              <w:t>欧姆·厘米</w:t>
            </w:r>
            <w:r>
              <w:rPr>
                <w:rFonts w:hint="eastAsia" w:ascii="宋体" w:hAnsi="宋体" w:eastAsia="宋体" w:cs="宋体"/>
                <w:spacing w:val="-2"/>
                <w:sz w:val="21"/>
                <w:szCs w:val="21"/>
              </w:rPr>
              <w:t>（最大0.05</w:t>
            </w:r>
            <w:r>
              <w:rPr>
                <w:rFonts w:hint="eastAsia" w:ascii="宋体" w:hAnsi="宋体" w:eastAsia="宋体" w:cs="宋体"/>
                <w:spacing w:val="8"/>
                <w:sz w:val="21"/>
                <w:szCs w:val="21"/>
              </w:rPr>
              <w:t>欧姆·厘米</w:t>
            </w:r>
            <w:r>
              <w:rPr>
                <w:rFonts w:hint="eastAsia" w:ascii="宋体" w:hAnsi="宋体" w:eastAsia="宋体" w:cs="宋体"/>
                <w:spacing w:val="-2"/>
                <w:sz w:val="21"/>
                <w:szCs w:val="21"/>
              </w:rPr>
              <w:t>）</w:t>
            </w:r>
          </w:p>
          <w:p>
            <w:pPr>
              <w:pageBreakBefore w:val="0"/>
              <w:kinsoku/>
              <w:overflowPunct/>
              <w:bidi w:val="0"/>
              <w:spacing w:line="360" w:lineRule="auto"/>
              <w:ind w:firstLine="310" w:firstLineChars="150"/>
              <w:jc w:val="both"/>
              <w:rPr>
                <w:rFonts w:hint="eastAsia" w:ascii="宋体" w:hAnsi="宋体" w:eastAsia="宋体" w:cs="宋体"/>
                <w:b/>
                <w:spacing w:val="-2"/>
                <w:sz w:val="21"/>
                <w:szCs w:val="21"/>
              </w:rPr>
            </w:pPr>
            <w:r>
              <w:rPr>
                <w:rFonts w:hint="eastAsia" w:ascii="宋体" w:hAnsi="宋体" w:eastAsia="宋体" w:cs="宋体"/>
                <w:b/>
                <w:spacing w:val="-2"/>
                <w:sz w:val="21"/>
                <w:szCs w:val="21"/>
              </w:rPr>
              <w:t>盐度：</w:t>
            </w:r>
          </w:p>
          <w:p>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量程：</w:t>
            </w:r>
            <w:r>
              <w:rPr>
                <w:rFonts w:hint="eastAsia" w:ascii="宋体" w:hAnsi="宋体" w:eastAsia="宋体" w:cs="宋体"/>
                <w:spacing w:val="8"/>
                <w:sz w:val="21"/>
                <w:szCs w:val="21"/>
              </w:rPr>
              <w:t>0</w:t>
            </w:r>
            <w:r>
              <w:rPr>
                <w:rFonts w:hint="eastAsia" w:ascii="宋体" w:hAnsi="宋体" w:eastAsia="宋体" w:cs="宋体"/>
                <w:spacing w:val="-2"/>
                <w:sz w:val="21"/>
                <w:szCs w:val="21"/>
              </w:rPr>
              <w:t>～42g/kg或‰</w:t>
            </w:r>
          </w:p>
          <w:p>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分辨率：0.01ppt</w:t>
            </w:r>
          </w:p>
          <w:p>
            <w:pPr>
              <w:pageBreakBefore w:val="0"/>
              <w:kinsoku/>
              <w:overflowPunct/>
              <w:bidi w:val="0"/>
              <w:spacing w:line="360" w:lineRule="auto"/>
              <w:ind w:firstLine="310" w:firstLineChars="150"/>
              <w:jc w:val="both"/>
              <w:rPr>
                <w:rFonts w:hint="eastAsia" w:ascii="宋体" w:hAnsi="宋体" w:eastAsia="宋体" w:cs="宋体"/>
                <w:b/>
                <w:spacing w:val="-2"/>
                <w:sz w:val="21"/>
                <w:szCs w:val="21"/>
              </w:rPr>
            </w:pPr>
            <w:r>
              <w:rPr>
                <w:rFonts w:hint="eastAsia" w:ascii="宋体" w:hAnsi="宋体" w:eastAsia="宋体" w:cs="宋体"/>
                <w:b/>
                <w:spacing w:val="-2"/>
                <w:sz w:val="21"/>
                <w:szCs w:val="21"/>
              </w:rPr>
              <w:t>总溶解性固体：</w:t>
            </w:r>
          </w:p>
          <w:p>
            <w:pPr>
              <w:pageBreakBefore w:val="0"/>
              <w:kinsoku/>
              <w:overflowPunct/>
              <w:bidi w:val="0"/>
              <w:spacing w:line="360" w:lineRule="auto"/>
              <w:ind w:firstLine="515" w:firstLineChars="250"/>
              <w:jc w:val="both"/>
              <w:rPr>
                <w:rFonts w:hint="eastAsia" w:ascii="宋体" w:hAnsi="宋体" w:eastAsia="宋体" w:cs="宋体"/>
                <w:spacing w:val="-2"/>
                <w:sz w:val="21"/>
                <w:szCs w:val="21"/>
              </w:rPr>
            </w:pPr>
            <w:r>
              <w:rPr>
                <w:rFonts w:hint="eastAsia" w:ascii="宋体" w:hAnsi="宋体" w:eastAsia="宋体" w:cs="宋体"/>
                <w:spacing w:val="-2"/>
                <w:sz w:val="21"/>
                <w:szCs w:val="21"/>
              </w:rPr>
              <w:t>量程：</w:t>
            </w:r>
            <w:r>
              <w:rPr>
                <w:rFonts w:hint="eastAsia" w:ascii="宋体" w:hAnsi="宋体" w:eastAsia="宋体" w:cs="宋体"/>
                <w:spacing w:val="8"/>
                <w:sz w:val="21"/>
                <w:szCs w:val="21"/>
              </w:rPr>
              <w:t>0.0</w:t>
            </w:r>
            <w:r>
              <w:rPr>
                <w:rFonts w:hint="eastAsia" w:ascii="宋体" w:hAnsi="宋体" w:eastAsia="宋体" w:cs="宋体"/>
                <w:spacing w:val="-2"/>
                <w:sz w:val="21"/>
                <w:szCs w:val="21"/>
              </w:rPr>
              <w:t>～50.0g/L</w:t>
            </w:r>
          </w:p>
          <w:p>
            <w:pPr>
              <w:pageBreakBefore w:val="0"/>
              <w:kinsoku/>
              <w:overflowPunct/>
              <w:bidi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分辨率：0.1 mg/L</w:t>
            </w:r>
          </w:p>
          <w:p>
            <w:pPr>
              <w:pageBreakBefore w:val="0"/>
              <w:kinsoku/>
              <w:overflowPunct/>
              <w:autoSpaceDE w:val="0"/>
              <w:autoSpaceDN w:val="0"/>
              <w:bidi w:val="0"/>
              <w:adjustRightInd w:val="0"/>
              <w:spacing w:line="360" w:lineRule="auto"/>
              <w:jc w:val="both"/>
              <w:rPr>
                <w:rFonts w:hint="eastAsia" w:ascii="宋体" w:hAnsi="宋体" w:eastAsia="宋体" w:cs="宋体"/>
                <w:b/>
                <w:spacing w:val="-2"/>
                <w:sz w:val="21"/>
                <w:szCs w:val="21"/>
              </w:rPr>
            </w:pPr>
            <w:r>
              <w:rPr>
                <w:rFonts w:hint="eastAsia" w:ascii="宋体" w:hAnsi="宋体" w:eastAsia="宋体" w:cs="宋体"/>
                <w:b/>
                <w:bCs/>
                <w:sz w:val="21"/>
                <w:szCs w:val="21"/>
              </w:rPr>
              <w:t xml:space="preserve">■3.5 </w:t>
            </w:r>
            <w:r>
              <w:rPr>
                <w:rFonts w:hint="eastAsia" w:ascii="宋体" w:hAnsi="宋体" w:eastAsia="宋体" w:cs="宋体"/>
                <w:b/>
                <w:spacing w:val="-2"/>
                <w:sz w:val="21"/>
                <w:szCs w:val="21"/>
              </w:rPr>
              <w:t>溶解氧</w:t>
            </w:r>
          </w:p>
          <w:p>
            <w:pPr>
              <w:pageBreakBefore w:val="0"/>
              <w:kinsoku/>
              <w:overflowPunct/>
              <w:autoSpaceDE w:val="0"/>
              <w:autoSpaceDN w:val="0"/>
              <w:bidi w:val="0"/>
              <w:adjustRightInd w:val="0"/>
              <w:spacing w:line="360" w:lineRule="auto"/>
              <w:ind w:firstLine="412" w:firstLineChars="200"/>
              <w:jc w:val="both"/>
              <w:rPr>
                <w:rFonts w:hint="eastAsia" w:ascii="宋体" w:hAnsi="宋体" w:eastAsia="宋体" w:cs="宋体"/>
                <w:spacing w:val="-2"/>
                <w:sz w:val="21"/>
                <w:szCs w:val="21"/>
              </w:rPr>
            </w:pPr>
            <w:r>
              <w:rPr>
                <w:rFonts w:hint="eastAsia" w:ascii="宋体" w:hAnsi="宋体" w:eastAsia="宋体" w:cs="宋体"/>
                <w:spacing w:val="-2"/>
                <w:sz w:val="21"/>
                <w:szCs w:val="21"/>
              </w:rPr>
              <w:t>量程:  0.01–20.0 mg/L</w:t>
            </w:r>
          </w:p>
          <w:p>
            <w:pPr>
              <w:pageBreakBefore w:val="0"/>
              <w:kinsoku/>
              <w:overflowPunct/>
              <w:autoSpaceDE w:val="0"/>
              <w:autoSpaceDN w:val="0"/>
              <w:bidi w:val="0"/>
              <w:adjustRightInd w:val="0"/>
              <w:spacing w:line="360" w:lineRule="auto"/>
              <w:ind w:firstLine="1030" w:firstLineChars="500"/>
              <w:jc w:val="both"/>
              <w:rPr>
                <w:rFonts w:hint="eastAsia" w:ascii="宋体" w:hAnsi="宋体" w:eastAsia="宋体" w:cs="宋体"/>
                <w:spacing w:val="-2"/>
                <w:sz w:val="21"/>
                <w:szCs w:val="21"/>
              </w:rPr>
            </w:pPr>
            <w:r>
              <w:rPr>
                <w:rFonts w:hint="eastAsia" w:ascii="宋体" w:hAnsi="宋体" w:eastAsia="宋体" w:cs="宋体"/>
                <w:spacing w:val="-2"/>
                <w:sz w:val="21"/>
                <w:szCs w:val="21"/>
              </w:rPr>
              <w:t>0–200% 饱和度</w:t>
            </w:r>
          </w:p>
          <w:p>
            <w:pPr>
              <w:pageBreakBefore w:val="0"/>
              <w:kinsoku/>
              <w:overflowPunct/>
              <w:autoSpaceDE w:val="0"/>
              <w:autoSpaceDN w:val="0"/>
              <w:bidi w:val="0"/>
              <w:adjustRightInd w:val="0"/>
              <w:spacing w:line="360" w:lineRule="auto"/>
              <w:ind w:firstLine="309" w:firstLineChars="150"/>
              <w:jc w:val="both"/>
              <w:rPr>
                <w:rFonts w:hint="eastAsia" w:ascii="宋体" w:hAnsi="宋体" w:eastAsia="宋体" w:cs="宋体"/>
                <w:spacing w:val="-2"/>
                <w:sz w:val="21"/>
                <w:szCs w:val="21"/>
              </w:rPr>
            </w:pPr>
            <w:r>
              <w:rPr>
                <w:rFonts w:hint="eastAsia" w:ascii="宋体" w:hAnsi="宋体" w:eastAsia="宋体" w:cs="宋体"/>
                <w:spacing w:val="-2"/>
                <w:sz w:val="21"/>
                <w:szCs w:val="21"/>
              </w:rPr>
              <w:t>分辨率：0.01 mg/L</w:t>
            </w:r>
          </w:p>
          <w:p>
            <w:pPr>
              <w:pageBreakBefore w:val="0"/>
              <w:kinsoku/>
              <w:overflowPunct/>
              <w:autoSpaceDE w:val="0"/>
              <w:autoSpaceDN w:val="0"/>
              <w:bidi w:val="0"/>
              <w:adjustRightInd w:val="0"/>
              <w:spacing w:line="360" w:lineRule="auto"/>
              <w:ind w:firstLine="309" w:firstLineChars="150"/>
              <w:jc w:val="both"/>
              <w:rPr>
                <w:rFonts w:hint="eastAsia" w:ascii="宋体" w:hAnsi="宋体" w:eastAsia="宋体" w:cs="宋体"/>
                <w:spacing w:val="-2"/>
                <w:sz w:val="21"/>
                <w:szCs w:val="21"/>
              </w:rPr>
            </w:pPr>
            <w:r>
              <w:rPr>
                <w:rFonts w:hint="eastAsia" w:ascii="宋体" w:hAnsi="宋体" w:eastAsia="宋体" w:cs="宋体"/>
                <w:spacing w:val="-2"/>
                <w:sz w:val="21"/>
                <w:szCs w:val="21"/>
              </w:rPr>
              <w:t>溶解氧的准确度： 在 0.1–8 mg/L时，为 ±0.1 mg/L</w:t>
            </w:r>
          </w:p>
          <w:p>
            <w:pPr>
              <w:pageBreakBefore w:val="0"/>
              <w:kinsoku/>
              <w:overflowPunct/>
              <w:autoSpaceDE w:val="0"/>
              <w:autoSpaceDN w:val="0"/>
              <w:bidi w:val="0"/>
              <w:adjustRightInd w:val="0"/>
              <w:spacing w:line="360" w:lineRule="auto"/>
              <w:ind w:firstLine="1751" w:firstLineChars="850"/>
              <w:jc w:val="both"/>
              <w:rPr>
                <w:rFonts w:hint="eastAsia" w:ascii="宋体" w:hAnsi="宋体" w:eastAsia="宋体" w:cs="宋体"/>
                <w:spacing w:val="-2"/>
                <w:sz w:val="21"/>
                <w:szCs w:val="21"/>
              </w:rPr>
            </w:pPr>
            <w:r>
              <w:rPr>
                <w:rFonts w:hint="eastAsia" w:ascii="宋体" w:hAnsi="宋体" w:eastAsia="宋体" w:cs="宋体"/>
                <w:spacing w:val="-2"/>
                <w:sz w:val="21"/>
                <w:szCs w:val="21"/>
              </w:rPr>
              <w:t>大于8.0 mg/L时，为 ±0.2 mg/L</w:t>
            </w:r>
          </w:p>
          <w:p>
            <w:pPr>
              <w:pageBreakBefore w:val="0"/>
              <w:kinsoku/>
              <w:overflowPunct/>
              <w:bidi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ascii="宋体" w:hAnsi="宋体" w:eastAsia="宋体" w:cs="宋体"/>
                <w:b/>
                <w:bCs/>
                <w:sz w:val="21"/>
                <w:szCs w:val="21"/>
                <w:lang w:eastAsia="zh-CN"/>
              </w:rPr>
              <w:t>、</w:t>
            </w:r>
            <w:r>
              <w:rPr>
                <w:rFonts w:hint="eastAsia" w:ascii="宋体" w:hAnsi="宋体" w:eastAsia="宋体" w:cs="宋体"/>
                <w:b/>
                <w:bCs/>
                <w:sz w:val="21"/>
                <w:szCs w:val="21"/>
              </w:rPr>
              <w:t>仪器配置</w:t>
            </w:r>
          </w:p>
          <w:p>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（1）标准型凝胶pH电极, 1米电缆；</w:t>
            </w:r>
          </w:p>
          <w:p>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（2）标准型电导电极,1  1米电缆;</w:t>
            </w:r>
          </w:p>
          <w:p>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（3）标准溶解氧型电极, 1米电缆;</w:t>
            </w:r>
          </w:p>
          <w:p>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其他配件：</w:t>
            </w:r>
          </w:p>
          <w:p>
            <w:pPr>
              <w:pStyle w:val="37"/>
              <w:pageBreakBefore w:val="0"/>
              <w:kinsoku/>
              <w:overflowPunct/>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（1）系列pH电极校准标准液、电导率电极校准标准液、溶解氧荧光帽等</w:t>
            </w:r>
          </w:p>
          <w:p>
            <w:pPr>
              <w:pageBreakBefore w:val="0"/>
              <w:kinsoku/>
              <w:overflowPunct/>
              <w:bidi w:val="0"/>
              <w:spacing w:line="360" w:lineRule="auto"/>
              <w:jc w:val="both"/>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auto"/>
                <w:sz w:val="21"/>
                <w:szCs w:val="21"/>
              </w:rPr>
              <w:t>（2）USB适配器及电源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12</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酶底物法微生物快速检测系统</w:t>
            </w:r>
          </w:p>
        </w:tc>
        <w:tc>
          <w:tcPr>
            <w:tcW w:w="10625" w:type="dxa"/>
            <w:vAlign w:val="center"/>
          </w:tcPr>
          <w:p>
            <w:pPr>
              <w:pStyle w:val="4"/>
              <w:pageBreakBefore w:val="0"/>
              <w:numPr>
                <w:ilvl w:val="2"/>
                <w:numId w:val="0"/>
              </w:numPr>
              <w:tabs>
                <w:tab w:val="left" w:pos="312"/>
                <w:tab w:val="clear" w:pos="900"/>
              </w:tabs>
              <w:kinsoku/>
              <w:overflowPunct/>
              <w:bidi w:val="0"/>
              <w:spacing w:before="312" w:after="156" w:line="360" w:lineRule="auto"/>
              <w:ind w:left="0" w:leftChars="0" w:firstLine="0" w:firstLineChars="0"/>
              <w:rPr>
                <w:rFonts w:hint="eastAsia" w:ascii="宋体" w:hAnsi="宋体" w:eastAsia="宋体" w:cs="宋体"/>
                <w:sz w:val="21"/>
                <w:szCs w:val="21"/>
              </w:rPr>
            </w:pPr>
            <w:bookmarkStart w:id="105" w:name="_Toc12760"/>
            <w:r>
              <w:rPr>
                <w:rFonts w:hint="eastAsia" w:ascii="宋体" w:hAnsi="宋体" w:eastAsia="宋体" w:cs="宋体"/>
                <w:b/>
                <w:bCs/>
                <w:kern w:val="2"/>
                <w:sz w:val="21"/>
                <w:szCs w:val="21"/>
                <w:lang w:val="en-US" w:eastAsia="zh-CN" w:bidi="ar-SA"/>
              </w:rPr>
              <w:t>1．</w:t>
            </w:r>
            <w:r>
              <w:rPr>
                <w:rFonts w:hint="eastAsia" w:ascii="宋体" w:hAnsi="宋体" w:eastAsia="宋体" w:cs="宋体"/>
                <w:sz w:val="21"/>
                <w:szCs w:val="21"/>
              </w:rPr>
              <w:t>主机配置及附件</w:t>
            </w:r>
            <w:bookmarkEnd w:id="105"/>
          </w:p>
          <w:p>
            <w:pPr>
              <w:pageBreakBefore w:val="0"/>
              <w:tabs>
                <w:tab w:val="left" w:pos="3000"/>
              </w:tabs>
              <w:kinsoku/>
              <w:overflowPunct/>
              <w:bidi w:val="0"/>
              <w:spacing w:line="360" w:lineRule="auto"/>
              <w:ind w:firstLine="422" w:firstLineChars="200"/>
              <w:outlineLvl w:val="3"/>
              <w:rPr>
                <w:rFonts w:hint="eastAsia" w:ascii="宋体" w:hAnsi="宋体" w:eastAsia="宋体" w:cs="宋体"/>
                <w:szCs w:val="21"/>
              </w:rPr>
            </w:pPr>
            <w:r>
              <w:rPr>
                <w:rFonts w:hint="eastAsia" w:ascii="宋体" w:hAnsi="宋体" w:eastAsia="宋体" w:cs="宋体"/>
                <w:b/>
                <w:sz w:val="21"/>
                <w:szCs w:val="21"/>
              </w:rPr>
              <w:t>（采购数量按招标清单为准，这里只表示每台采购设备应配置的备件或耗材数量）</w:t>
            </w:r>
          </w:p>
          <w:tbl>
            <w:tblPr>
              <w:tblStyle w:val="23"/>
              <w:tblW w:w="7998" w:type="dxa"/>
              <w:tblInd w:w="96" w:type="dxa"/>
              <w:tblLayout w:type="autofit"/>
              <w:tblCellMar>
                <w:top w:w="0" w:type="dxa"/>
                <w:left w:w="108" w:type="dxa"/>
                <w:bottom w:w="0" w:type="dxa"/>
                <w:right w:w="108" w:type="dxa"/>
              </w:tblCellMar>
            </w:tblPr>
            <w:tblGrid>
              <w:gridCol w:w="1333"/>
              <w:gridCol w:w="2083"/>
              <w:gridCol w:w="1333"/>
              <w:gridCol w:w="1333"/>
              <w:gridCol w:w="1916"/>
            </w:tblGrid>
            <w:tr>
              <w:tblPrEx>
                <w:tblCellMar>
                  <w:top w:w="0" w:type="dxa"/>
                  <w:left w:w="108" w:type="dxa"/>
                  <w:bottom w:w="0" w:type="dxa"/>
                  <w:right w:w="108" w:type="dxa"/>
                </w:tblCellMar>
              </w:tblPrEx>
              <w:trPr>
                <w:trHeight w:val="676" w:hRule="atLeast"/>
              </w:trPr>
              <w:tc>
                <w:tcPr>
                  <w:tcW w:w="1333"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2083"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产品名称</w:t>
                  </w:r>
                </w:p>
              </w:tc>
              <w:tc>
                <w:tcPr>
                  <w:tcW w:w="1333"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数量</w:t>
                  </w:r>
                </w:p>
              </w:tc>
              <w:tc>
                <w:tcPr>
                  <w:tcW w:w="1333"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1916"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备注</w:t>
                  </w:r>
                </w:p>
              </w:tc>
            </w:tr>
            <w:tr>
              <w:tblPrEx>
                <w:tblCellMar>
                  <w:top w:w="0" w:type="dxa"/>
                  <w:left w:w="108" w:type="dxa"/>
                  <w:bottom w:w="0" w:type="dxa"/>
                  <w:right w:w="108" w:type="dxa"/>
                </w:tblCellMar>
              </w:tblPrEx>
              <w:trPr>
                <w:trHeight w:val="919" w:hRule="atLeast"/>
              </w:trPr>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208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程控定量封口机</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1916"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w:t>
                  </w:r>
                </w:p>
              </w:tc>
            </w:tr>
            <w:tr>
              <w:tblPrEx>
                <w:tblCellMar>
                  <w:top w:w="0" w:type="dxa"/>
                  <w:left w:w="108" w:type="dxa"/>
                  <w:bottom w:w="0" w:type="dxa"/>
                  <w:right w:w="108" w:type="dxa"/>
                </w:tblCellMar>
              </w:tblPrEx>
              <w:trPr>
                <w:trHeight w:val="660" w:hRule="atLeast"/>
              </w:trPr>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208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紫外观察箱</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1916"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w:t>
                  </w:r>
                </w:p>
              </w:tc>
            </w:tr>
            <w:tr>
              <w:tblPrEx>
                <w:tblCellMar>
                  <w:top w:w="0" w:type="dxa"/>
                  <w:left w:w="108" w:type="dxa"/>
                  <w:bottom w:w="0" w:type="dxa"/>
                  <w:right w:w="108" w:type="dxa"/>
                </w:tblCellMar>
              </w:tblPrEx>
              <w:trPr>
                <w:trHeight w:val="919" w:hRule="atLeast"/>
              </w:trPr>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208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大肠菌群检测试剂</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5</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盒</w:t>
                  </w:r>
                </w:p>
              </w:tc>
              <w:tc>
                <w:tcPr>
                  <w:tcW w:w="1916"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100</w:t>
                  </w:r>
                  <w:r>
                    <w:rPr>
                      <w:rStyle w:val="38"/>
                      <w:rFonts w:hint="eastAsia" w:ascii="宋体" w:hAnsi="宋体" w:eastAsia="宋体" w:cs="宋体"/>
                      <w:sz w:val="21"/>
                      <w:szCs w:val="21"/>
                    </w:rPr>
                    <w:t>个</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r>
              <w:tblPrEx>
                <w:tblCellMar>
                  <w:top w:w="0" w:type="dxa"/>
                  <w:left w:w="108" w:type="dxa"/>
                  <w:bottom w:w="0" w:type="dxa"/>
                  <w:right w:w="108" w:type="dxa"/>
                </w:tblCellMar>
              </w:tblPrEx>
              <w:trPr>
                <w:trHeight w:val="660" w:hRule="atLeast"/>
              </w:trPr>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208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97孔定量盘</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5</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1916"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100</w:t>
                  </w:r>
                  <w:r>
                    <w:rPr>
                      <w:rStyle w:val="38"/>
                      <w:rFonts w:hint="eastAsia" w:ascii="宋体" w:hAnsi="宋体" w:eastAsia="宋体" w:cs="宋体"/>
                      <w:sz w:val="21"/>
                      <w:szCs w:val="21"/>
                    </w:rPr>
                    <w:t>个</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r>
              <w:tblPrEx>
                <w:tblCellMar>
                  <w:top w:w="0" w:type="dxa"/>
                  <w:left w:w="108" w:type="dxa"/>
                  <w:bottom w:w="0" w:type="dxa"/>
                  <w:right w:w="108" w:type="dxa"/>
                </w:tblCellMar>
              </w:tblPrEx>
              <w:trPr>
                <w:trHeight w:val="660" w:hRule="atLeast"/>
              </w:trPr>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208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无菌取样瓶</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3</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1916"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200</w:t>
                  </w:r>
                  <w:r>
                    <w:rPr>
                      <w:rStyle w:val="38"/>
                      <w:rFonts w:hint="eastAsia" w:ascii="宋体" w:hAnsi="宋体" w:eastAsia="宋体" w:cs="宋体"/>
                      <w:sz w:val="21"/>
                      <w:szCs w:val="21"/>
                    </w:rPr>
                    <w:t>个</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r>
              <w:tblPrEx>
                <w:tblCellMar>
                  <w:top w:w="0" w:type="dxa"/>
                  <w:left w:w="108" w:type="dxa"/>
                  <w:bottom w:w="0" w:type="dxa"/>
                  <w:right w:w="108" w:type="dxa"/>
                </w:tblCellMar>
              </w:tblPrEx>
              <w:trPr>
                <w:trHeight w:val="941" w:hRule="atLeast"/>
              </w:trPr>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208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菌落总数组件</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1333"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箱</w:t>
                  </w:r>
                </w:p>
              </w:tc>
              <w:tc>
                <w:tcPr>
                  <w:tcW w:w="1916" w:type="dxa"/>
                  <w:tcBorders>
                    <w:top w:val="nil"/>
                    <w:left w:val="single" w:color="000000" w:sz="8" w:space="0"/>
                    <w:bottom w:val="single" w:color="000000" w:sz="8" w:space="0"/>
                    <w:right w:val="single" w:color="000000" w:sz="8"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测25</w:t>
                  </w:r>
                  <w:r>
                    <w:rPr>
                      <w:rStyle w:val="38"/>
                      <w:rFonts w:hint="eastAsia" w:ascii="宋体" w:hAnsi="宋体" w:eastAsia="宋体" w:cs="宋体"/>
                      <w:sz w:val="21"/>
                      <w:szCs w:val="21"/>
                    </w:rPr>
                    <w:t>次</w:t>
                  </w:r>
                  <w:r>
                    <w:rPr>
                      <w:rFonts w:hint="eastAsia" w:ascii="宋体" w:hAnsi="宋体" w:eastAsia="宋体" w:cs="宋体"/>
                      <w:color w:val="000000"/>
                      <w:kern w:val="0"/>
                      <w:sz w:val="21"/>
                      <w:szCs w:val="21"/>
                    </w:rPr>
                    <w:t>/</w:t>
                  </w:r>
                  <w:r>
                    <w:rPr>
                      <w:rStyle w:val="38"/>
                      <w:rFonts w:hint="eastAsia" w:ascii="宋体" w:hAnsi="宋体" w:eastAsia="宋体" w:cs="宋体"/>
                      <w:sz w:val="21"/>
                      <w:szCs w:val="21"/>
                    </w:rPr>
                    <w:t>箱</w:t>
                  </w:r>
                </w:p>
              </w:tc>
            </w:tr>
          </w:tbl>
          <w:p>
            <w:pPr>
              <w:pageBreakBefore w:val="0"/>
              <w:kinsoku/>
              <w:overflowPunct/>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注：试剂耗材根据用户需求，按此表总量分批供应。</w:t>
            </w:r>
          </w:p>
          <w:p>
            <w:pPr>
              <w:pStyle w:val="4"/>
              <w:pageBreakBefore w:val="0"/>
              <w:numPr>
                <w:ilvl w:val="2"/>
                <w:numId w:val="0"/>
              </w:numPr>
              <w:tabs>
                <w:tab w:val="left" w:pos="312"/>
                <w:tab w:val="clear" w:pos="900"/>
              </w:tabs>
              <w:kinsoku/>
              <w:overflowPunct/>
              <w:bidi w:val="0"/>
              <w:spacing w:before="312" w:after="156" w:line="360" w:lineRule="auto"/>
              <w:ind w:left="0" w:leftChars="0" w:firstLine="0" w:firstLineChars="0"/>
              <w:rPr>
                <w:rFonts w:hint="eastAsia" w:ascii="宋体" w:hAnsi="宋体" w:eastAsia="宋体" w:cs="宋体"/>
                <w:sz w:val="21"/>
                <w:szCs w:val="21"/>
              </w:rPr>
            </w:pPr>
            <w:bookmarkStart w:id="106" w:name="_Toc24097"/>
            <w:r>
              <w:rPr>
                <w:rFonts w:hint="eastAsia" w:ascii="宋体" w:hAnsi="宋体" w:eastAsia="宋体" w:cs="宋体"/>
                <w:b/>
                <w:bCs/>
                <w:kern w:val="2"/>
                <w:sz w:val="21"/>
                <w:szCs w:val="21"/>
                <w:lang w:val="en-US" w:eastAsia="zh-CN" w:bidi="ar-SA"/>
              </w:rPr>
              <w:t>2．</w:t>
            </w:r>
            <w:r>
              <w:rPr>
                <w:rFonts w:hint="eastAsia" w:ascii="宋体" w:hAnsi="宋体" w:eastAsia="宋体" w:cs="宋体"/>
                <w:sz w:val="21"/>
                <w:szCs w:val="21"/>
              </w:rPr>
              <w:t>仪器用途：</w:t>
            </w:r>
            <w:bookmarkEnd w:id="106"/>
            <w:r>
              <w:rPr>
                <w:rFonts w:hint="eastAsia" w:ascii="宋体" w:hAnsi="宋体" w:eastAsia="宋体" w:cs="宋体"/>
                <w:sz w:val="21"/>
                <w:szCs w:val="21"/>
              </w:rPr>
              <w:t xml:space="preserve"> </w:t>
            </w:r>
          </w:p>
          <w:p>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仪器用于饮用水、地表水、地下水、生活污水和工业废水等中的总大肠菌群、粪大肠菌群和大肠埃希氏菌等项目的检测。 符合《GB5750.12 生活饮用水》和《HJ1001-2018 环境水质》方法，与酶底物法培养基配合使用。</w:t>
            </w:r>
          </w:p>
          <w:p>
            <w:pPr>
              <w:pStyle w:val="4"/>
              <w:pageBreakBefore w:val="0"/>
              <w:numPr>
                <w:ilvl w:val="2"/>
                <w:numId w:val="0"/>
              </w:numPr>
              <w:tabs>
                <w:tab w:val="left" w:pos="312"/>
                <w:tab w:val="clear" w:pos="900"/>
              </w:tabs>
              <w:kinsoku/>
              <w:overflowPunct/>
              <w:bidi w:val="0"/>
              <w:spacing w:before="312" w:after="156" w:line="360" w:lineRule="auto"/>
              <w:ind w:left="0" w:leftChars="0" w:firstLine="0" w:firstLineChars="0"/>
              <w:rPr>
                <w:rFonts w:hint="eastAsia" w:ascii="宋体" w:hAnsi="宋体" w:eastAsia="宋体" w:cs="宋体"/>
                <w:sz w:val="21"/>
                <w:szCs w:val="21"/>
              </w:rPr>
            </w:pPr>
            <w:bookmarkStart w:id="107" w:name="_Toc21464"/>
            <w:r>
              <w:rPr>
                <w:rFonts w:hint="eastAsia" w:ascii="宋体" w:hAnsi="宋体" w:eastAsia="宋体" w:cs="宋体"/>
                <w:b/>
                <w:bCs/>
                <w:kern w:val="2"/>
                <w:sz w:val="21"/>
                <w:szCs w:val="21"/>
                <w:lang w:val="en-US" w:eastAsia="zh-CN" w:bidi="ar-SA"/>
              </w:rPr>
              <w:t>3．</w:t>
            </w:r>
            <w:r>
              <w:rPr>
                <w:rFonts w:hint="eastAsia" w:ascii="宋体" w:hAnsi="宋体" w:eastAsia="宋体" w:cs="宋体"/>
                <w:sz w:val="21"/>
                <w:szCs w:val="21"/>
              </w:rPr>
              <w:t>技术参数：</w:t>
            </w:r>
            <w:bookmarkEnd w:id="107"/>
          </w:p>
          <w:p>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（1）</w:t>
            </w:r>
            <w:r>
              <w:rPr>
                <w:rFonts w:hint="eastAsia" w:ascii="宋体" w:hAnsi="宋体" w:eastAsia="宋体" w:cs="宋体"/>
                <w:sz w:val="21"/>
                <w:szCs w:val="21"/>
              </w:rPr>
              <w:t>程控定量封口机</w:t>
            </w:r>
          </w:p>
          <w:p>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1、显示屏，显示功能：温度进度条、休眠界面、封口计数数值、故障报警； 操作功能：回退键、运行键、休眠键（空闲时仪器能自动进入休眠状态）。</w:t>
            </w:r>
          </w:p>
          <w:p>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▲2、开机预热≤</w:t>
            </w:r>
            <w:r>
              <w:rPr>
                <w:rFonts w:hint="eastAsia" w:ascii="宋体" w:hAnsi="宋体" w:eastAsia="宋体" w:cs="宋体"/>
                <w:sz w:val="21"/>
                <w:szCs w:val="21"/>
                <w:lang w:val="en-US" w:eastAsia="zh-CN"/>
              </w:rPr>
              <w:t>3</w:t>
            </w:r>
            <w:r>
              <w:rPr>
                <w:rFonts w:hint="eastAsia" w:ascii="宋体" w:hAnsi="宋体" w:eastAsia="宋体" w:cs="宋体"/>
                <w:sz w:val="21"/>
                <w:szCs w:val="21"/>
              </w:rPr>
              <w:t>分钟，封口速度≤</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秒，单个样品操作时间小于 3 秒,进口加热滚轴。</w:t>
            </w:r>
          </w:p>
          <w:p>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 设备有独立检修盖和维修窗口，无螺丝钉，易维护和清洗，设备底部有伸缩式可拆卸接水盘 (防止样品在操作时漏水对设备造成损坏) ；紫外消毒功能，可有效控制封盘过程中微生物的干扰。</w:t>
            </w:r>
          </w:p>
          <w:p>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4、可连续封口24h 且封口平整，无漏液破孔，连续做样不少于 100000 批次。</w:t>
            </w:r>
          </w:p>
          <w:p>
            <w:pPr>
              <w:pageBreakBefore w:val="0"/>
              <w:kinsoku/>
              <w:overflowPunct/>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5、具有联网功能，可通过移动APP查看当前封口温度、运行状态。</w:t>
            </w:r>
          </w:p>
          <w:p>
            <w:pPr>
              <w:pageBreakBefore w:val="0"/>
              <w:kinsoku/>
              <w:overflowPunct/>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eastAsia="宋体" w:cs="宋体"/>
                <w:sz w:val="21"/>
                <w:szCs w:val="21"/>
                <w:highlight w:val="none"/>
              </w:rPr>
              <w:t>6、加热滚轴温度150-200℃可调</w:t>
            </w:r>
            <w:r>
              <w:rPr>
                <w:rFonts w:hint="eastAsia" w:ascii="宋体" w:hAnsi="宋体" w:eastAsia="宋体" w:cs="宋体"/>
                <w:sz w:val="21"/>
                <w:szCs w:val="21"/>
                <w:highlight w:val="none"/>
                <w:lang w:val="en-US" w:eastAsia="zh-CN"/>
              </w:rPr>
              <w:t>或180℃±2℃</w:t>
            </w:r>
            <w:r>
              <w:rPr>
                <w:rFonts w:hint="eastAsia" w:ascii="宋体" w:hAnsi="宋体" w:eastAsia="宋体" w:cs="宋体"/>
                <w:sz w:val="21"/>
                <w:szCs w:val="21"/>
                <w:highlight w:val="none"/>
              </w:rPr>
              <w:t>。</w:t>
            </w:r>
          </w:p>
          <w:p>
            <w:pPr>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7、 环境温度和湿度工作范围：温度+5℃~+40℃、湿度 10%~80%。 </w:t>
            </w:r>
          </w:p>
          <w:p>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（2）</w:t>
            </w:r>
            <w:r>
              <w:rPr>
                <w:rFonts w:hint="eastAsia" w:ascii="宋体" w:hAnsi="宋体" w:eastAsia="宋体" w:cs="宋体"/>
                <w:sz w:val="21"/>
                <w:szCs w:val="21"/>
              </w:rPr>
              <w:t>三用紫外观察箱</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1.采用254mm,366nm双波长紫外灯管，准确引发荧光反应。</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2.灯箱一体式设计有效制造暗场观测效果方便观察荧光，即使环境明亮，也能通过观察窗清晰判读荧光反应且有效避免实验员接触紫外线。</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3.提供双侧调整窗口设计，便于实验员观察及标记。</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4.可用于酶底物法大肠埃希氏菌检测、酶底物法菌落总数检测。</w:t>
            </w:r>
          </w:p>
          <w:p>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（3）</w:t>
            </w:r>
            <w:r>
              <w:rPr>
                <w:rFonts w:hint="eastAsia" w:ascii="宋体" w:hAnsi="宋体" w:eastAsia="宋体" w:cs="宋体"/>
                <w:sz w:val="21"/>
                <w:szCs w:val="21"/>
              </w:rPr>
              <w:t>酶底物法大肠菌群检测试剂</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1.酶底物法检测试剂用于总大肠菌群、耐热大肠菌群检测及大肠埃希氏菌检测。</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2.完全符合GB/T 5750.12-2023《生活饮用水标准检验方法 第12部分：微生物指标》与HJ 1001-2018《水质 总大肠菌群、粪大肠菌群和大肠埃希氏菌的测定 酶底物法》标准要求。 </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3.试剂采用独立避光铝箔包装，具备避光、防潮和密封性能，可确保试剂在保质期内性能稳定。有易撕口，有效防止粉末喷溅。</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4.试剂包装上均有相应批号、效期，有效期内使用稳定性可靠。</w:t>
            </w:r>
          </w:p>
          <w:p>
            <w:pPr>
              <w:pageBreakBefore w:val="0"/>
              <w:numPr>
                <w:ilvl w:val="1"/>
                <w:numId w:val="0"/>
              </w:numPr>
              <w:kinsoku/>
              <w:overflowPunct/>
              <w:bidi w:val="0"/>
              <w:spacing w:line="360" w:lineRule="auto"/>
              <w:rPr>
                <w:rFonts w:hint="eastAsia" w:ascii="宋体" w:hAnsi="宋体" w:eastAsia="宋体" w:cs="宋体"/>
                <w:strike w:val="0"/>
                <w:sz w:val="21"/>
                <w:szCs w:val="21"/>
                <w:highlight w:val="yellow"/>
              </w:rPr>
            </w:pPr>
            <w:r>
              <w:rPr>
                <w:rFonts w:hint="eastAsia" w:ascii="宋体" w:hAnsi="宋体" w:eastAsia="宋体" w:cs="宋体"/>
                <w:strike w:val="0"/>
                <w:sz w:val="21"/>
                <w:szCs w:val="21"/>
                <w:highlight w:val="none"/>
              </w:rPr>
              <w:t>6.试剂与程控定量封口机、紫外观察箱均来自同一个厂家。</w:t>
            </w:r>
          </w:p>
          <w:p>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（4）</w:t>
            </w:r>
            <w:r>
              <w:rPr>
                <w:rFonts w:hint="eastAsia" w:ascii="宋体" w:hAnsi="宋体" w:eastAsia="宋体" w:cs="宋体"/>
                <w:sz w:val="21"/>
                <w:szCs w:val="21"/>
              </w:rPr>
              <w:t>定量盘</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1.51孔定量检测盘无须稀释可检测200MPN/100ml总大肠菌群和大肠埃希氏菌或粪大肠菌群，97孔定量检测盘无须稀释可检测2419MPN/100ml总大肠菌群和大肠埃希氏菌或粪大肠菌群。</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2.定量盘需通过密封性测试证明并提供相关证明文件。</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3.无漏液，无破孔，封好的孔格能够耐受不小于8kg的压力，不会由于定量盘叠加受力造成孔与孔之间的串连以及破损。</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4.定量盘采用2个/袋方式包装，避免实际使用过程中的二次污染。</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5.每箱定量盘包装上有批号及有效期时间。</w:t>
            </w:r>
          </w:p>
          <w:p>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（5）</w:t>
            </w:r>
            <w:r>
              <w:rPr>
                <w:rFonts w:hint="eastAsia" w:ascii="宋体" w:hAnsi="宋体" w:eastAsia="宋体" w:cs="宋体"/>
                <w:sz w:val="21"/>
                <w:szCs w:val="21"/>
              </w:rPr>
              <w:t>无菌取样瓶</w:t>
            </w:r>
          </w:p>
          <w:p>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1.每箱无菌取样瓶均通过辐照灭菌处理，符合ISO11137要求，无菌保证水平（SAL）为10</w:t>
            </w:r>
            <w:r>
              <w:rPr>
                <w:rFonts w:hint="eastAsia" w:ascii="宋体" w:hAnsi="宋体" w:eastAsia="宋体" w:cs="宋体"/>
                <w:sz w:val="21"/>
                <w:szCs w:val="21"/>
                <w:vertAlign w:val="superscript"/>
              </w:rPr>
              <w:t>-3</w:t>
            </w:r>
            <w:r>
              <w:rPr>
                <w:rFonts w:hint="eastAsia" w:ascii="宋体" w:hAnsi="宋体" w:eastAsia="宋体" w:cs="宋体"/>
                <w:sz w:val="21"/>
                <w:szCs w:val="21"/>
              </w:rPr>
              <w:t>；</w:t>
            </w:r>
          </w:p>
          <w:p>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2.每个瓶盖上有塑封套，表示该取样瓶已经过灭菌工艺处理；塑封套配有易撕条，方便开口；</w:t>
            </w:r>
          </w:p>
          <w:p>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100mL容量瓶体上具有10mL-100mL刻度线，辅助样品稀释；</w:t>
            </w:r>
          </w:p>
          <w:p>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.每个无菌取样瓶可定量100ml水样，溶解酶底物检测试剂，瓶体通透性好，可判读阳性结果；</w:t>
            </w:r>
          </w:p>
          <w:p>
            <w:pPr>
              <w:pStyle w:val="5"/>
              <w:pageBreakBefore w:val="0"/>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.每箱无菌取样瓶包装上有批号及到期时间；</w:t>
            </w:r>
          </w:p>
          <w:p>
            <w:pPr>
              <w:pStyle w:val="6"/>
              <w:pageBreakBefore w:val="0"/>
              <w:widowControl w:val="0"/>
              <w:numPr>
                <w:ilvl w:val="3"/>
                <w:numId w:val="0"/>
              </w:numPr>
              <w:kinsoku/>
              <w:overflowPunct/>
              <w:bidi w:val="0"/>
              <w:spacing w:before="312" w:after="156" w:line="360" w:lineRule="auto"/>
              <w:ind w:left="0" w:leftChars="0" w:firstLine="0" w:firstLineChars="0"/>
              <w:jc w:val="both"/>
              <w:rPr>
                <w:rFonts w:hint="eastAsia" w:ascii="宋体" w:hAnsi="宋体" w:eastAsia="宋体" w:cs="宋体"/>
                <w:sz w:val="21"/>
                <w:szCs w:val="21"/>
              </w:rPr>
            </w:pPr>
            <w:r>
              <w:rPr>
                <w:rFonts w:hint="eastAsia" w:ascii="黑体" w:hAnsi="黑体" w:eastAsia="黑体" w:cs="宋体"/>
                <w:b/>
                <w:bCs/>
                <w:sz w:val="21"/>
                <w:szCs w:val="21"/>
                <w:lang w:val="en-US" w:eastAsia="zh-CN" w:bidi="ar-SA"/>
              </w:rPr>
              <w:t>（6）</w:t>
            </w:r>
            <w:r>
              <w:rPr>
                <w:rFonts w:hint="eastAsia" w:ascii="宋体" w:hAnsi="宋体" w:eastAsia="宋体" w:cs="宋体"/>
                <w:sz w:val="21"/>
                <w:szCs w:val="21"/>
              </w:rPr>
              <w:t>酶底物法菌落总数检测套件</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1.用于水中菌落总数检测。</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2.完全符合GB/T5750-2023《生活饮用水标准检验方法》中的规定。</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3.试剂采用单独包装，小瓶装可检测一个水样，大瓶装可检测10个水样，培养基预装灭菌，随取随用，简便快捷。</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4.84孔定量检测盘无须稀释可检测水中738 MPN/ml菌落总数。</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5.定量盘采用独有阶梯式设计，堆叠不压孔，不晃动，拿取方便。</w:t>
            </w:r>
          </w:p>
          <w:p>
            <w:pPr>
              <w:pageBreakBefore w:val="0"/>
              <w:numPr>
                <w:ilvl w:val="1"/>
                <w:numId w:val="0"/>
              </w:numPr>
              <w:kinsoku/>
              <w:overflowPunct/>
              <w:bidi w:val="0"/>
              <w:spacing w:line="360" w:lineRule="auto"/>
              <w:rPr>
                <w:rFonts w:hint="eastAsia" w:ascii="宋体" w:hAnsi="宋体" w:eastAsia="宋体" w:cs="宋体"/>
                <w:sz w:val="21"/>
                <w:szCs w:val="21"/>
              </w:rPr>
            </w:pPr>
            <w:r>
              <w:rPr>
                <w:rFonts w:hint="eastAsia" w:ascii="宋体" w:hAnsi="宋体" w:eastAsia="宋体" w:cs="宋体"/>
                <w:sz w:val="21"/>
                <w:szCs w:val="21"/>
              </w:rPr>
              <w:t>6.精选定量盘材质，观察无荧光干扰。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sz w:val="21"/>
                <w:szCs w:val="21"/>
              </w:rPr>
              <w:t>7.检测套件包装上均有相应批号、效期，有效期内使用稳定性可靠。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13</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 xml:space="preserve"> 台式溶解氧测定仪（电化学探头法）</w:t>
            </w:r>
          </w:p>
        </w:tc>
        <w:tc>
          <w:tcPr>
            <w:tcW w:w="10625" w:type="dxa"/>
            <w:vAlign w:val="center"/>
          </w:tcPr>
          <w:p>
            <w:pPr>
              <w:pStyle w:val="4"/>
              <w:pageBreakBefore w:val="0"/>
              <w:numPr>
                <w:ilvl w:val="2"/>
                <w:numId w:val="0"/>
              </w:numPr>
              <w:tabs>
                <w:tab w:val="left" w:pos="312"/>
                <w:tab w:val="clear" w:pos="900"/>
              </w:tabs>
              <w:kinsoku/>
              <w:overflowPunct/>
              <w:bidi w:val="0"/>
              <w:spacing w:line="360" w:lineRule="auto"/>
              <w:rPr>
                <w:rFonts w:hint="eastAsia" w:ascii="宋体" w:hAnsi="宋体" w:eastAsia="宋体" w:cs="宋体"/>
                <w:color w:val="auto"/>
                <w:sz w:val="21"/>
                <w:szCs w:val="21"/>
                <w:lang w:val="en-US" w:eastAsia="zh-CN"/>
              </w:rPr>
            </w:pPr>
            <w:bookmarkStart w:id="108" w:name="_Toc1134"/>
            <w:r>
              <w:rPr>
                <w:rFonts w:hint="eastAsia" w:ascii="宋体" w:hAnsi="宋体" w:eastAsia="宋体" w:cs="宋体"/>
                <w:b/>
                <w:bCs/>
                <w:color w:val="auto"/>
                <w:kern w:val="2"/>
                <w:sz w:val="21"/>
                <w:szCs w:val="21"/>
                <w:lang w:val="en-US" w:eastAsia="zh-CN" w:bidi="ar-SA"/>
              </w:rPr>
              <w:t>1．</w:t>
            </w:r>
            <w:r>
              <w:rPr>
                <w:rFonts w:hint="eastAsia" w:ascii="宋体" w:hAnsi="宋体" w:eastAsia="宋体" w:cs="宋体"/>
                <w:color w:val="auto"/>
                <w:sz w:val="21"/>
                <w:szCs w:val="21"/>
                <w:lang w:val="en-US" w:eastAsia="zh-CN"/>
              </w:rPr>
              <w:t>主机配置及附件</w:t>
            </w:r>
            <w:bookmarkEnd w:id="108"/>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695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4" w:type="pct"/>
                  <w:vAlign w:val="center"/>
                </w:tcPr>
                <w:p>
                  <w:pPr>
                    <w:pageBreakBefore w:val="0"/>
                    <w:kinsoku/>
                    <w:overflowPunct/>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343" w:type="pct"/>
                  <w:vAlign w:val="center"/>
                </w:tcPr>
                <w:p>
                  <w:pPr>
                    <w:pageBreakBefore w:val="0"/>
                    <w:kinsoku/>
                    <w:overflowPunct/>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名称及规格</w:t>
                  </w:r>
                </w:p>
              </w:tc>
              <w:tc>
                <w:tcPr>
                  <w:tcW w:w="973" w:type="pct"/>
                  <w:vAlign w:val="center"/>
                </w:tcPr>
                <w:p>
                  <w:pPr>
                    <w:pageBreakBefore w:val="0"/>
                    <w:kinsoku/>
                    <w:overflowPunct/>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溶解氧测定仪</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溶解氧电极</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多功能电极架</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343" w:type="pct"/>
                  <w:vAlign w:val="center"/>
                </w:tcPr>
                <w:p>
                  <w:pPr>
                    <w:pageBreakBefore w:val="0"/>
                    <w:kinsoku/>
                    <w:overflowPunct/>
                    <w:bidi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电源适配器DC 9V(内正外负)</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通用USB连接线</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防尘罩(按键款)</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简易操作指南</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使用说明书</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343" w:type="pct"/>
                  <w:vAlign w:val="center"/>
                </w:tcPr>
                <w:p>
                  <w:pPr>
                    <w:pageBreakBefore w:val="0"/>
                    <w:kinsoku/>
                    <w:overflowPunct/>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软件卡</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84"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343" w:type="pct"/>
                  <w:vAlign w:val="center"/>
                </w:tcPr>
                <w:p>
                  <w:pPr>
                    <w:pageBreakBefore w:val="0"/>
                    <w:kinsoku/>
                    <w:overflowPunct/>
                    <w:bidi w:val="0"/>
                    <w:spacing w:line="360" w:lineRule="auto"/>
                    <w:ind w:right="46" w:rightChars="22"/>
                    <w:rPr>
                      <w:rFonts w:hint="eastAsia" w:ascii="宋体" w:hAnsi="宋体" w:eastAsia="宋体" w:cs="宋体"/>
                      <w:color w:val="auto"/>
                      <w:sz w:val="21"/>
                      <w:szCs w:val="21"/>
                    </w:rPr>
                  </w:pPr>
                  <w:r>
                    <w:rPr>
                      <w:rFonts w:hint="eastAsia" w:ascii="宋体" w:hAnsi="宋体" w:eastAsia="宋体" w:cs="宋体"/>
                      <w:color w:val="auto"/>
                      <w:sz w:val="21"/>
                      <w:szCs w:val="21"/>
                    </w:rPr>
                    <w:t>产品合格证</w:t>
                  </w:r>
                </w:p>
              </w:tc>
              <w:tc>
                <w:tcPr>
                  <w:tcW w:w="973" w:type="pct"/>
                  <w:vAlign w:val="center"/>
                </w:tcPr>
                <w:p>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1份</w:t>
                  </w:r>
                </w:p>
              </w:tc>
            </w:tr>
          </w:tbl>
          <w:p>
            <w:pPr>
              <w:pStyle w:val="4"/>
              <w:pageBreakBefore w:val="0"/>
              <w:numPr>
                <w:ilvl w:val="2"/>
                <w:numId w:val="0"/>
              </w:numPr>
              <w:tabs>
                <w:tab w:val="left" w:pos="312"/>
                <w:tab w:val="clear" w:pos="900"/>
              </w:tabs>
              <w:kinsoku/>
              <w:overflowPunct/>
              <w:bidi w:val="0"/>
              <w:spacing w:line="360" w:lineRule="auto"/>
              <w:rPr>
                <w:rFonts w:hint="eastAsia" w:ascii="宋体" w:hAnsi="宋体" w:eastAsia="宋体" w:cs="宋体"/>
                <w:color w:val="auto"/>
                <w:sz w:val="21"/>
                <w:szCs w:val="21"/>
              </w:rPr>
            </w:pPr>
            <w:bookmarkStart w:id="109" w:name="_Toc31018"/>
            <w:r>
              <w:rPr>
                <w:rFonts w:hint="eastAsia" w:ascii="宋体" w:hAnsi="宋体" w:eastAsia="宋体" w:cs="宋体"/>
                <w:b/>
                <w:bCs/>
                <w:color w:val="auto"/>
                <w:kern w:val="2"/>
                <w:sz w:val="21"/>
                <w:szCs w:val="21"/>
                <w:lang w:val="en-US" w:eastAsia="zh-CN" w:bidi="ar-SA"/>
              </w:rPr>
              <w:t>2．</w:t>
            </w:r>
            <w:r>
              <w:rPr>
                <w:rFonts w:hint="eastAsia" w:ascii="宋体" w:hAnsi="宋体" w:eastAsia="宋体" w:cs="宋体"/>
                <w:color w:val="auto"/>
                <w:sz w:val="21"/>
                <w:szCs w:val="21"/>
              </w:rPr>
              <w:t>要特点</w:t>
            </w:r>
            <w:bookmarkEnd w:id="109"/>
          </w:p>
          <w:p>
            <w:pPr>
              <w:pageBreakBefore w:val="0"/>
              <w:widowControl/>
              <w:numPr>
                <w:ilvl w:val="0"/>
                <w:numId w:val="0"/>
              </w:numPr>
              <w:kinsoku/>
              <w:overflowPunct/>
              <w:bidi w:val="0"/>
              <w:spacing w:line="360" w:lineRule="auto"/>
              <w:ind w:left="360" w:left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2.1</w:t>
            </w:r>
            <w:r>
              <w:rPr>
                <w:rFonts w:hint="eastAsia" w:ascii="宋体" w:hAnsi="宋体" w:eastAsia="宋体" w:cs="宋体"/>
                <w:bCs/>
                <w:color w:val="auto"/>
                <w:kern w:val="0"/>
                <w:sz w:val="21"/>
                <w:szCs w:val="21"/>
              </w:rPr>
              <w:t>采用彩色高清液晶屏幕，显示清晰</w:t>
            </w:r>
          </w:p>
          <w:p>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温度单位可选：℃ 和 °F。</w:t>
            </w:r>
          </w:p>
          <w:p>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支持开机自诊断、自动关机、断电保护和恢复出厂设置等功能</w:t>
            </w:r>
          </w:p>
          <w:p>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支持固件升级功能，允许功能扩展和个性化要求</w:t>
            </w:r>
          </w:p>
          <w:p>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支持IP54防护等级</w:t>
            </w:r>
          </w:p>
          <w:p>
            <w:pPr>
              <w:pStyle w:val="34"/>
              <w:pageBreakBefore w:val="0"/>
              <w:numPr>
                <w:ilvl w:val="0"/>
                <w:numId w:val="0"/>
              </w:numPr>
              <w:kinsoku/>
              <w:overflowPunct/>
              <w:bidi w:val="0"/>
              <w:spacing w:line="360" w:lineRule="auto"/>
              <w:ind w:left="360" w:left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标配极谱法溶解氧电极、电极支架、防尘罩</w:t>
            </w:r>
          </w:p>
          <w:p>
            <w:pPr>
              <w:pageBreakBefore w:val="0"/>
              <w:widowControl/>
              <w:numPr>
                <w:ilvl w:val="0"/>
                <w:numId w:val="0"/>
              </w:numPr>
              <w:kinsoku/>
              <w:overflowPunct/>
              <w:bidi w:val="0"/>
              <w:spacing w:line="360" w:lineRule="auto"/>
              <w:ind w:left="360" w:leftChars="0"/>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2.7</w:t>
            </w:r>
            <w:r>
              <w:rPr>
                <w:rFonts w:hint="eastAsia" w:ascii="宋体" w:hAnsi="宋体" w:eastAsia="宋体" w:cs="宋体"/>
                <w:color w:val="auto"/>
                <w:kern w:val="0"/>
                <w:sz w:val="21"/>
                <w:szCs w:val="21"/>
              </w:rPr>
              <w:t>智能判别终点，支持自动读数、定时读数、定时间隔读数、手动读数</w:t>
            </w:r>
          </w:p>
          <w:p>
            <w:pPr>
              <w:pageBreakBefore w:val="0"/>
              <w:widowControl/>
              <w:numPr>
                <w:ilvl w:val="0"/>
                <w:numId w:val="0"/>
              </w:numPr>
              <w:kinsoku/>
              <w:overflowPunct/>
              <w:bidi w:val="0"/>
              <w:spacing w:line="360" w:lineRule="auto"/>
              <w:ind w:left="360" w:leftChars="0"/>
              <w:jc w:val="left"/>
              <w:rPr>
                <w:rFonts w:hint="eastAsia" w:ascii="宋体" w:hAnsi="宋体" w:eastAsia="宋体" w:cs="宋体"/>
                <w:b/>
                <w:bCs/>
                <w:color w:val="auto"/>
                <w:kern w:val="0"/>
                <w:sz w:val="21"/>
                <w:szCs w:val="21"/>
              </w:rPr>
            </w:pPr>
            <w:r>
              <w:rPr>
                <w:rFonts w:hint="eastAsia" w:ascii="宋体" w:hAnsi="宋体" w:eastAsia="宋体" w:cs="宋体"/>
                <w:b w:val="0"/>
                <w:bCs w:val="0"/>
                <w:color w:val="auto"/>
                <w:sz w:val="21"/>
                <w:szCs w:val="21"/>
                <w:highlight w:val="none"/>
                <w:lang w:val="en-US" w:eastAsia="zh-CN"/>
              </w:rPr>
              <w:t>■2.8</w:t>
            </w:r>
            <w:r>
              <w:rPr>
                <w:rFonts w:hint="eastAsia" w:ascii="宋体" w:hAnsi="宋体" w:eastAsia="宋体" w:cs="宋体"/>
                <w:color w:val="auto"/>
                <w:kern w:val="0"/>
                <w:sz w:val="21"/>
                <w:szCs w:val="21"/>
              </w:rPr>
              <w:t>支持自动温度补偿、自动大气压补偿（kPa、mmHg、atm多种单位可选）</w:t>
            </w:r>
          </w:p>
          <w:p>
            <w:pPr>
              <w:pageBreakBefore w:val="0"/>
              <w:widowControl/>
              <w:numPr>
                <w:ilvl w:val="0"/>
                <w:numId w:val="0"/>
              </w:numPr>
              <w:kinsoku/>
              <w:overflowPunct/>
              <w:bidi w:val="0"/>
              <w:spacing w:line="360" w:lineRule="auto"/>
              <w:ind w:left="360" w:leftChars="0"/>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lang w:val="en-US" w:eastAsia="zh-CN"/>
              </w:rPr>
              <w:t>■2.9</w:t>
            </w:r>
            <w:r>
              <w:rPr>
                <w:rFonts w:hint="eastAsia" w:ascii="宋体" w:hAnsi="宋体" w:eastAsia="宋体" w:cs="宋体"/>
                <w:color w:val="auto"/>
                <w:kern w:val="0"/>
                <w:sz w:val="21"/>
                <w:szCs w:val="21"/>
              </w:rPr>
              <w:t>自动零氧标定和满度标定</w:t>
            </w:r>
          </w:p>
          <w:p>
            <w:pPr>
              <w:pageBreakBefore w:val="0"/>
              <w:widowControl/>
              <w:numPr>
                <w:ilvl w:val="0"/>
                <w:numId w:val="0"/>
              </w:numPr>
              <w:kinsoku/>
              <w:overflowPunct/>
              <w:bidi w:val="0"/>
              <w:spacing w:line="360" w:lineRule="auto"/>
              <w:ind w:left="360" w:left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2.10</w:t>
            </w:r>
            <w:r>
              <w:rPr>
                <w:rFonts w:hint="eastAsia" w:ascii="宋体" w:hAnsi="宋体" w:eastAsia="宋体" w:cs="宋体"/>
                <w:color w:val="auto"/>
                <w:kern w:val="0"/>
                <w:sz w:val="21"/>
                <w:szCs w:val="21"/>
              </w:rPr>
              <w:t>支持手动盐度补偿</w:t>
            </w:r>
          </w:p>
          <w:p>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2.11</w:t>
            </w:r>
            <w:r>
              <w:rPr>
                <w:rFonts w:hint="eastAsia" w:ascii="宋体" w:hAnsi="宋体" w:eastAsia="宋体" w:cs="宋体"/>
                <w:color w:val="auto"/>
                <w:kern w:val="0"/>
                <w:sz w:val="21"/>
                <w:szCs w:val="21"/>
              </w:rPr>
              <w:t>支持数据存储（各500套）、查阅、删除、传输和打印</w:t>
            </w:r>
          </w:p>
          <w:p>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2.22</w:t>
            </w:r>
            <w:r>
              <w:rPr>
                <w:rFonts w:hint="eastAsia" w:ascii="宋体" w:hAnsi="宋体" w:eastAsia="宋体" w:cs="宋体"/>
                <w:color w:val="auto"/>
                <w:kern w:val="0"/>
                <w:sz w:val="21"/>
                <w:szCs w:val="21"/>
              </w:rPr>
              <w:t>符合GLP，实现数据追溯</w:t>
            </w:r>
          </w:p>
          <w:p>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直接打印测量结果，打印格式可选</w:t>
            </w:r>
          </w:p>
          <w:p>
            <w:pPr>
              <w:pageBreakBefore w:val="0"/>
              <w:widowControl/>
              <w:numPr>
                <w:ilvl w:val="0"/>
                <w:numId w:val="0"/>
              </w:numPr>
              <w:kinsoku/>
              <w:overflowPunct/>
              <w:bidi w:val="0"/>
              <w:spacing w:line="360" w:lineRule="auto"/>
              <w:ind w:left="42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2.24</w:t>
            </w:r>
            <w:r>
              <w:rPr>
                <w:rFonts w:hint="eastAsia" w:ascii="宋体" w:hAnsi="宋体" w:eastAsia="宋体" w:cs="宋体"/>
                <w:color w:val="auto"/>
                <w:kern w:val="0"/>
                <w:sz w:val="21"/>
                <w:szCs w:val="21"/>
                <w:highlight w:val="none"/>
              </w:rPr>
              <w:t>具有USB</w:t>
            </w:r>
            <w:r>
              <w:rPr>
                <w:rFonts w:hint="eastAsia" w:ascii="宋体" w:hAnsi="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接口，</w:t>
            </w:r>
            <w:r>
              <w:rPr>
                <w:rFonts w:hint="eastAsia" w:ascii="宋体" w:hAnsi="宋体" w:cs="宋体"/>
                <w:color w:val="auto"/>
                <w:kern w:val="0"/>
                <w:sz w:val="21"/>
                <w:szCs w:val="21"/>
                <w:highlight w:val="none"/>
                <w:lang w:val="en-US" w:eastAsia="zh-CN"/>
              </w:rPr>
              <w:t>能</w:t>
            </w:r>
            <w:r>
              <w:rPr>
                <w:rFonts w:hint="eastAsia" w:ascii="宋体" w:hAnsi="宋体" w:eastAsia="宋体" w:cs="宋体"/>
                <w:color w:val="auto"/>
                <w:kern w:val="0"/>
                <w:sz w:val="21"/>
                <w:szCs w:val="21"/>
                <w:highlight w:val="none"/>
              </w:rPr>
              <w:t>实现数据传输</w:t>
            </w:r>
          </w:p>
          <w:p>
            <w:pPr>
              <w:pStyle w:val="4"/>
              <w:pageBreakBefore w:val="0"/>
              <w:numPr>
                <w:ilvl w:val="2"/>
                <w:numId w:val="0"/>
              </w:numPr>
              <w:tabs>
                <w:tab w:val="left" w:pos="312"/>
                <w:tab w:val="clear" w:pos="900"/>
              </w:tabs>
              <w:kinsoku/>
              <w:overflowPunct/>
              <w:bidi w:val="0"/>
              <w:spacing w:line="360" w:lineRule="auto"/>
              <w:rPr>
                <w:rFonts w:hint="eastAsia" w:ascii="宋体" w:hAnsi="宋体" w:eastAsia="宋体" w:cs="宋体"/>
                <w:color w:val="auto"/>
                <w:sz w:val="21"/>
                <w:szCs w:val="21"/>
              </w:rPr>
            </w:pPr>
            <w:bookmarkStart w:id="110" w:name="_Toc5227"/>
            <w:r>
              <w:rPr>
                <w:rFonts w:hint="eastAsia" w:ascii="宋体" w:hAnsi="宋体" w:eastAsia="宋体" w:cs="宋体"/>
                <w:b/>
                <w:bCs/>
                <w:color w:val="auto"/>
                <w:kern w:val="2"/>
                <w:sz w:val="21"/>
                <w:szCs w:val="21"/>
                <w:lang w:val="en-US" w:eastAsia="zh-CN" w:bidi="ar-SA"/>
              </w:rPr>
              <w:t>3．</w:t>
            </w:r>
            <w:r>
              <w:rPr>
                <w:rFonts w:hint="eastAsia" w:ascii="宋体" w:hAnsi="宋体" w:eastAsia="宋体" w:cs="宋体"/>
                <w:color w:val="auto"/>
                <w:sz w:val="21"/>
                <w:szCs w:val="21"/>
              </w:rPr>
              <w:t>技术参数</w:t>
            </w:r>
            <w:bookmarkEnd w:id="110"/>
          </w:p>
          <w:tbl>
            <w:tblPr>
              <w:tblStyle w:val="23"/>
              <w:tblW w:w="5005" w:type="pct"/>
              <w:jc w:val="center"/>
              <w:tblLayout w:type="autofit"/>
              <w:tblCellMar>
                <w:top w:w="0" w:type="dxa"/>
                <w:left w:w="108" w:type="dxa"/>
                <w:bottom w:w="0" w:type="dxa"/>
                <w:right w:w="108" w:type="dxa"/>
              </w:tblCellMar>
            </w:tblPr>
            <w:tblGrid>
              <w:gridCol w:w="1548"/>
              <w:gridCol w:w="3310"/>
              <w:gridCol w:w="5561"/>
            </w:tblGrid>
            <w:tr>
              <w:tblPrEx>
                <w:tblCellMar>
                  <w:top w:w="0" w:type="dxa"/>
                  <w:left w:w="108" w:type="dxa"/>
                  <w:bottom w:w="0" w:type="dxa"/>
                  <w:right w:w="108" w:type="dxa"/>
                </w:tblCellMar>
              </w:tblPrEx>
              <w:trPr>
                <w:trHeight w:val="54" w:hRule="atLeast"/>
                <w:jc w:val="center"/>
              </w:trPr>
              <w:tc>
                <w:tcPr>
                  <w:tcW w:w="2331" w:type="pct"/>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测量参数</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溶解氧浓度、溶解氧饱和度和温度值</w:t>
                  </w:r>
                </w:p>
              </w:tc>
            </w:tr>
            <w:tr>
              <w:tblPrEx>
                <w:tblCellMar>
                  <w:top w:w="0" w:type="dxa"/>
                  <w:left w:w="108" w:type="dxa"/>
                  <w:bottom w:w="0" w:type="dxa"/>
                  <w:right w:w="108" w:type="dxa"/>
                </w:tblCellMar>
              </w:tblPrEx>
              <w:trPr>
                <w:trHeight w:val="315" w:hRule="atLeast"/>
                <w:jc w:val="center"/>
              </w:trPr>
              <w:tc>
                <w:tcPr>
                  <w:tcW w:w="743" w:type="pct"/>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溶解氧</w:t>
                  </w: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范围</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电子单元：(0.00～99.99)mg/L</w:t>
                  </w:r>
                </w:p>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配套范围：(0.00～50.00)mg/L</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最小分辨率</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0.01 mg/L</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电子单元示值误差</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±0.10mg/L</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仪器示值误差</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±0.30mg/L（≤ 20.00mg/L）</w:t>
                  </w:r>
                </w:p>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±10.0%（＞ 20.00mg/L）</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响应时间</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≤45s(20.0 ℃时90%响应)</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盐度补偿误差</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w:t>
                  </w:r>
                </w:p>
              </w:tc>
            </w:tr>
            <w:tr>
              <w:tblPrEx>
                <w:tblCellMar>
                  <w:top w:w="0" w:type="dxa"/>
                  <w:left w:w="108" w:type="dxa"/>
                  <w:bottom w:w="0" w:type="dxa"/>
                  <w:right w:w="108" w:type="dxa"/>
                </w:tblCellMar>
              </w:tblPrEx>
              <w:trPr>
                <w:trHeight w:val="315" w:hRule="atLeast"/>
                <w:jc w:val="center"/>
              </w:trPr>
              <w:tc>
                <w:tcPr>
                  <w:tcW w:w="743" w:type="pct"/>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饱和度</w:t>
                  </w: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范围</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(0.0～600.0)%</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最小分辨率</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电子单元示值误差 </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仪器示值误差</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±10.0%</w:t>
                  </w:r>
                </w:p>
              </w:tc>
            </w:tr>
            <w:tr>
              <w:tblPrEx>
                <w:tblCellMar>
                  <w:top w:w="0" w:type="dxa"/>
                  <w:left w:w="108" w:type="dxa"/>
                  <w:bottom w:w="0" w:type="dxa"/>
                  <w:right w:w="108" w:type="dxa"/>
                </w:tblCellMar>
              </w:tblPrEx>
              <w:trPr>
                <w:trHeight w:val="315" w:hRule="atLeast"/>
                <w:jc w:val="center"/>
              </w:trPr>
              <w:tc>
                <w:tcPr>
                  <w:tcW w:w="743" w:type="pct"/>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温度</w:t>
                  </w: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范围</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(-10.0～135.0)℃/(14.0-275.0)℉</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最小分辨率</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 ℃/0.1℉</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电子单元示值误差</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±0.1 ℃</w:t>
                  </w:r>
                </w:p>
              </w:tc>
            </w:tr>
            <w:tr>
              <w:tblPrEx>
                <w:tblCellMar>
                  <w:top w:w="0" w:type="dxa"/>
                  <w:left w:w="108" w:type="dxa"/>
                  <w:bottom w:w="0" w:type="dxa"/>
                  <w:right w:w="108" w:type="dxa"/>
                </w:tblCellMar>
              </w:tblPrEx>
              <w:trPr>
                <w:trHeight w:val="315" w:hRule="atLeast"/>
                <w:jc w:val="center"/>
              </w:trPr>
              <w:tc>
                <w:tcPr>
                  <w:tcW w:w="743" w:type="pct"/>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p>
              </w:tc>
              <w:tc>
                <w:tcPr>
                  <w:tcW w:w="158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仪器的示值误差</w:t>
                  </w:r>
                </w:p>
              </w:tc>
              <w:tc>
                <w:tcPr>
                  <w:tcW w:w="2668" w:type="pct"/>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±0.3℃（0.0℃-60.0℃）；±1.0 ℃（其他范围）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14</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COD消解仪</w:t>
            </w:r>
          </w:p>
        </w:tc>
        <w:tc>
          <w:tcPr>
            <w:tcW w:w="10625" w:type="dxa"/>
            <w:vAlign w:val="center"/>
          </w:tcPr>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1、操控模式：</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主机应设计采用不小于</w:t>
            </w:r>
            <w:r>
              <w:rPr>
                <w:rFonts w:hint="eastAsia" w:ascii="宋体" w:hAnsi="宋体"/>
                <w:sz w:val="21"/>
                <w:szCs w:val="21"/>
                <w:lang w:val="en-US" w:eastAsia="zh-CN"/>
              </w:rPr>
              <w:t>5</w:t>
            </w:r>
            <w:r>
              <w:rPr>
                <w:rFonts w:hint="eastAsia" w:ascii="宋体" w:hAnsi="宋体" w:eastAsia="宋体"/>
                <w:sz w:val="21"/>
                <w:szCs w:val="21"/>
              </w:rPr>
              <w:t>寸液晶触摸屏操控模式便于实际操作，实时监测各消解单元设定参数，为防止酸碱液体腐蚀，触摸屏上方应设计有防溅盖设计；</w:t>
            </w:r>
          </w:p>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2、消解元件：</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2.1为了更好地保证水样消解彻底，各消解单元应设计采用导热性强、保温效果好的石墨材质消解；</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2.2  消解孔数量</w:t>
            </w:r>
            <w:r>
              <w:rPr>
                <w:rFonts w:hint="eastAsia" w:ascii="宋体" w:hAnsi="宋体" w:eastAsia="宋体"/>
                <w:sz w:val="21"/>
                <w:szCs w:val="21"/>
                <w:lang w:eastAsia="zh-CN"/>
              </w:rPr>
              <w:t>至少</w:t>
            </w:r>
            <w:r>
              <w:rPr>
                <w:rFonts w:hint="eastAsia" w:ascii="宋体" w:hAnsi="宋体" w:eastAsia="宋体"/>
                <w:sz w:val="21"/>
                <w:szCs w:val="21"/>
              </w:rPr>
              <w:t>12位；</w:t>
            </w:r>
          </w:p>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3、加热元件：</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3.1  各加热单元应设计采用一体化缠绕加热模式设计确保各加热孔受热均匀；</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3.2  采用单孔</w:t>
            </w:r>
            <w:r>
              <w:rPr>
                <w:rFonts w:hint="eastAsia" w:ascii="宋体" w:hAnsi="宋体" w:eastAsia="宋体"/>
                <w:sz w:val="21"/>
                <w:szCs w:val="21"/>
                <w:lang w:val="en-US" w:eastAsia="zh-CN"/>
              </w:rPr>
              <w:t>单控</w:t>
            </w:r>
            <w:r>
              <w:rPr>
                <w:rFonts w:hint="eastAsia" w:ascii="宋体" w:hAnsi="宋体" w:eastAsia="宋体"/>
                <w:sz w:val="21"/>
                <w:szCs w:val="21"/>
              </w:rPr>
              <w:t>加热技术，使样品受热均匀，不得采用整体加热模式；</w:t>
            </w:r>
          </w:p>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4、加热控制程序：</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4.1 加热程序采用PID控温技术，温控范围：室温—200℃，控温精度：≤±1℃，孔间温度平行性：≤±2℃；</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4.2 消解过程中，可实时监测1-12位各消解单元的加热温度（0-200℃)、倒计时回流时间(0-200min)；</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4.3 消解过程可一键启动，自动完成消解过程（各消解孔自动达到设定消解温度，自动回流倒计时，自动停止），无需人工值守。</w:t>
            </w:r>
          </w:p>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rPr>
              <w:t xml:space="preserve">5、消解瓶设计： </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消解瓶容积应≥</w:t>
            </w:r>
            <w:r>
              <w:rPr>
                <w:rFonts w:hint="eastAsia" w:ascii="宋体" w:hAnsi="宋体" w:eastAsia="宋体"/>
                <w:sz w:val="21"/>
                <w:szCs w:val="21"/>
                <w:lang w:val="en-US" w:eastAsia="zh-CN"/>
              </w:rPr>
              <w:t>250</w:t>
            </w:r>
            <w:r>
              <w:rPr>
                <w:rFonts w:hint="eastAsia" w:ascii="宋体" w:hAnsi="宋体" w:eastAsia="宋体"/>
                <w:sz w:val="21"/>
                <w:szCs w:val="21"/>
              </w:rPr>
              <w:t>ml，消解结束可直接在瓶内滴定，无需移液；</w:t>
            </w:r>
          </w:p>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lang w:val="en-US" w:eastAsia="zh-CN"/>
              </w:rPr>
              <w:t>6</w:t>
            </w:r>
            <w:r>
              <w:rPr>
                <w:rFonts w:hint="eastAsia" w:ascii="宋体" w:hAnsi="宋体" w:eastAsia="宋体"/>
                <w:b/>
                <w:bCs/>
                <w:sz w:val="21"/>
                <w:szCs w:val="21"/>
              </w:rPr>
              <w:t>、产品规格技术要求：</w:t>
            </w:r>
          </w:p>
          <w:p>
            <w:pPr>
              <w:pageBreakBefore w:val="0"/>
              <w:kinsoku/>
              <w:overflowPunct/>
              <w:bidi w:val="0"/>
              <w:spacing w:after="0" w:line="360" w:lineRule="auto"/>
              <w:rPr>
                <w:rFonts w:hint="eastAsia" w:ascii="宋体" w:hAnsi="宋体" w:eastAsia="宋体"/>
                <w:sz w:val="21"/>
                <w:szCs w:val="21"/>
                <w:lang w:val="en-US" w:eastAsia="zh-CN"/>
              </w:rPr>
            </w:pPr>
            <w:r>
              <w:rPr>
                <w:rFonts w:hint="eastAsia" w:ascii="宋体" w:hAnsi="宋体" w:eastAsia="宋体"/>
                <w:sz w:val="21"/>
                <w:szCs w:val="21"/>
              </w:rPr>
              <w:t>时间控制：0-200min</w:t>
            </w:r>
            <w:r>
              <w:rPr>
                <w:rFonts w:hint="eastAsia" w:ascii="宋体" w:hAnsi="宋体" w:eastAsia="宋体"/>
                <w:sz w:val="21"/>
                <w:szCs w:val="21"/>
                <w:lang w:val="en-US" w:eastAsia="zh-CN"/>
              </w:rPr>
              <w:t>可调</w:t>
            </w:r>
          </w:p>
          <w:p>
            <w:pPr>
              <w:pageBreakBefore w:val="0"/>
              <w:kinsoku/>
              <w:overflowPunct/>
              <w:bidi w:val="0"/>
              <w:spacing w:after="0" w:line="360" w:lineRule="auto"/>
              <w:rPr>
                <w:rFonts w:hint="eastAsia" w:ascii="宋体" w:hAnsi="宋体" w:eastAsia="宋体"/>
                <w:sz w:val="21"/>
                <w:szCs w:val="21"/>
                <w:lang w:val="en-US" w:eastAsia="zh-CN"/>
              </w:rPr>
            </w:pPr>
            <w:r>
              <w:rPr>
                <w:rFonts w:hint="eastAsia" w:ascii="宋体" w:hAnsi="宋体" w:eastAsia="宋体"/>
                <w:sz w:val="21"/>
                <w:szCs w:val="21"/>
              </w:rPr>
              <w:t>温度控制：室温-200℃</w:t>
            </w:r>
            <w:r>
              <w:rPr>
                <w:rFonts w:hint="eastAsia" w:ascii="宋体" w:hAnsi="宋体" w:eastAsia="宋体"/>
                <w:sz w:val="21"/>
                <w:szCs w:val="21"/>
                <w:lang w:val="en-US" w:eastAsia="zh-CN"/>
              </w:rPr>
              <w:t>可调</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升温时间：5-8min升温至设定温度</w:t>
            </w:r>
          </w:p>
          <w:p>
            <w:pPr>
              <w:pageBreakBefore w:val="0"/>
              <w:kinsoku/>
              <w:overflowPunct/>
              <w:bidi w:val="0"/>
              <w:spacing w:after="0" w:line="360" w:lineRule="auto"/>
              <w:rPr>
                <w:rFonts w:hint="eastAsia" w:ascii="宋体" w:hAnsi="宋体" w:eastAsia="宋体"/>
                <w:b/>
                <w:bCs/>
                <w:sz w:val="21"/>
                <w:szCs w:val="21"/>
              </w:rPr>
            </w:pPr>
            <w:r>
              <w:rPr>
                <w:rFonts w:hint="eastAsia" w:ascii="宋体" w:hAnsi="宋体" w:eastAsia="宋体"/>
                <w:b/>
                <w:bCs/>
                <w:sz w:val="21"/>
                <w:szCs w:val="21"/>
                <w:lang w:val="en-US" w:eastAsia="zh-CN"/>
              </w:rPr>
              <w:t>7</w:t>
            </w:r>
            <w:r>
              <w:rPr>
                <w:rFonts w:hint="eastAsia" w:ascii="宋体" w:hAnsi="宋体" w:eastAsia="宋体"/>
                <w:b/>
                <w:bCs/>
                <w:sz w:val="21"/>
                <w:szCs w:val="21"/>
              </w:rPr>
              <w:t>、系统配置：</w:t>
            </w:r>
          </w:p>
          <w:p>
            <w:pPr>
              <w:pageBreakBefore w:val="0"/>
              <w:kinsoku/>
              <w:overflowPunct/>
              <w:bidi w:val="0"/>
              <w:spacing w:after="0" w:line="360" w:lineRule="auto"/>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sz w:val="21"/>
                <w:szCs w:val="21"/>
              </w:rPr>
              <w:t>主机一台，</w:t>
            </w:r>
            <w:r>
              <w:rPr>
                <w:rFonts w:hint="eastAsia" w:ascii="宋体" w:hAnsi="宋体" w:eastAsia="宋体"/>
                <w:sz w:val="21"/>
                <w:szCs w:val="21"/>
                <w:lang w:val="en-US" w:eastAsia="zh-CN"/>
              </w:rPr>
              <w:t>≥5</w:t>
            </w:r>
            <w:r>
              <w:rPr>
                <w:rFonts w:hint="eastAsia" w:ascii="宋体" w:hAnsi="宋体" w:eastAsia="宋体"/>
                <w:sz w:val="21"/>
                <w:szCs w:val="21"/>
              </w:rPr>
              <w:t>寸液晶触摸屏（内嵌）一块、消解瓶12只，空气回流管12根，消解瓶支架一套，回流管支架一套、仪器操作说明书一份，产品保修单一份、合格证一份、装箱清单一份、保险管2只。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15</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 xml:space="preserve"> 生化培养箱</w:t>
            </w:r>
          </w:p>
        </w:tc>
        <w:tc>
          <w:tcPr>
            <w:tcW w:w="10625" w:type="dxa"/>
            <w:vAlign w:val="center"/>
          </w:tcPr>
          <w:p>
            <w:pPr>
              <w:pStyle w:val="4"/>
              <w:pageBreakBefore w:val="0"/>
              <w:numPr>
                <w:ilvl w:val="2"/>
                <w:numId w:val="6"/>
              </w:numPr>
              <w:tabs>
                <w:tab w:val="left" w:pos="312"/>
                <w:tab w:val="clear" w:pos="900"/>
              </w:tabs>
              <w:kinsoku/>
              <w:overflowPunct/>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配置清单</w:t>
            </w:r>
          </w:p>
          <w:p>
            <w:pPr>
              <w:pStyle w:val="5"/>
              <w:pageBreakBefore w:val="0"/>
              <w:kinsoku/>
              <w:overflowPunct/>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7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544"/>
              <w:gridCol w:w="2544"/>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5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设备名称</w:t>
                  </w:r>
                </w:p>
              </w:tc>
              <w:tc>
                <w:tcPr>
                  <w:tcW w:w="25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6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6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隔板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6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说明书</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份</w:t>
                  </w:r>
                </w:p>
              </w:tc>
              <w:tc>
                <w:tcPr>
                  <w:tcW w:w="16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合格证</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份</w:t>
                  </w:r>
                </w:p>
              </w:tc>
              <w:tc>
                <w:tcPr>
                  <w:tcW w:w="16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保修卡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份</w:t>
                  </w:r>
                </w:p>
              </w:tc>
              <w:tc>
                <w:tcPr>
                  <w:tcW w:w="16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r>
          </w:tbl>
          <w:p>
            <w:pPr>
              <w:pageBreakBefore w:val="0"/>
              <w:numPr>
                <w:ilvl w:val="0"/>
                <w:numId w:val="0"/>
              </w:numPr>
              <w:tabs>
                <w:tab w:val="left" w:pos="0"/>
              </w:tabs>
              <w:kinsoku/>
              <w:overflowPunct/>
              <w:bidi w:val="0"/>
              <w:spacing w:line="360" w:lineRule="auto"/>
              <w:ind w:leftChars="0"/>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产品特点：</w:t>
            </w:r>
            <w:r>
              <w:rPr>
                <w:rFonts w:hint="eastAsia" w:ascii="宋体" w:hAnsi="宋体" w:eastAsia="宋体" w:cs="宋体"/>
                <w:b/>
                <w:color w:val="auto"/>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外壳采用冷轧钢板制造，表面静电喷塑，内胆镜面不锈钢，搁板可以任意调节；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温控系统采用微电脑单片机技术，控温精度高；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具有温度、时间调节控制，触模式键盘设定调节；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显示为双屏高亮度数码管显示，示值准确直观，性能优越；</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具有定时和计时功能；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工作室内装照明装置，大视角保温真空钢化玻璃，便于观察；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sz w:val="21"/>
                <w:szCs w:val="21"/>
                <w:lang w:val="en-US" w:eastAsia="zh-CN"/>
              </w:rPr>
              <w:t xml:space="preserve">参考标准GB/T 28851-2012 </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lang w:val="en-US" w:eastAsia="zh-CN"/>
              </w:rPr>
              <w:t>3</w:t>
            </w:r>
            <w:r>
              <w:rPr>
                <w:rStyle w:val="39"/>
                <w:rFonts w:hint="eastAsia" w:ascii="宋体" w:hAnsi="宋体" w:eastAsia="宋体" w:cs="宋体"/>
                <w:color w:val="auto"/>
                <w:sz w:val="21"/>
                <w:szCs w:val="21"/>
              </w:rPr>
              <w:t>技术参数：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控温范围：0-50℃</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分辨率：0.1℃</w:t>
            </w:r>
            <w:r>
              <w:rPr>
                <w:rFonts w:hint="eastAsia" w:ascii="宋体" w:hAnsi="宋体" w:eastAsia="宋体" w:cs="宋体"/>
                <w:color w:val="auto"/>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波动度：</w:t>
            </w:r>
            <w:r>
              <w:rPr>
                <w:rFonts w:hint="eastAsia" w:ascii="宋体" w:hAnsi="宋体" w:eastAsia="宋体" w:cs="宋体"/>
                <w:sz w:val="21"/>
                <w:szCs w:val="21"/>
              </w:rPr>
              <w:t>≤</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均匀度：</w:t>
            </w:r>
            <w:r>
              <w:rPr>
                <w:rFonts w:hint="eastAsia" w:ascii="宋体" w:hAnsi="宋体" w:eastAsia="宋体" w:cs="宋体"/>
                <w:sz w:val="21"/>
                <w:szCs w:val="21"/>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定时范围：0-999h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载物托架【标配】：</w:t>
            </w:r>
            <w:r>
              <w:rPr>
                <w:rFonts w:hint="eastAsia" w:ascii="宋体" w:hAnsi="宋体" w:eastAsia="宋体" w:cs="宋体"/>
                <w:color w:val="auto"/>
                <w:sz w:val="21"/>
                <w:szCs w:val="21"/>
                <w:lang w:val="en-US" w:eastAsia="zh-CN"/>
              </w:rPr>
              <w:t>不少于</w:t>
            </w:r>
            <w:r>
              <w:rPr>
                <w:rFonts w:hint="eastAsia" w:ascii="宋体" w:hAnsi="宋体" w:eastAsia="宋体" w:cs="宋体"/>
                <w:color w:val="auto"/>
                <w:sz w:val="21"/>
                <w:szCs w:val="21"/>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16</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 xml:space="preserve"> 电热鼓风干燥箱</w:t>
            </w:r>
          </w:p>
        </w:tc>
        <w:tc>
          <w:tcPr>
            <w:tcW w:w="10625" w:type="dxa"/>
            <w:vAlign w:val="center"/>
          </w:tcPr>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1、外壳采用冷轧钢板制造，表面静电喷塑，内胆镜面不锈钢，隔板可以任意调节；</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2、箱门具备大视角观察玻璃窗，便于用户观察；</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4、旋转式两级锁紧结构，保证门与进口封条贴合度更高，达到良好的密封性；</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5、腔体四角采用圆角主设计，搁架容易拆卸，方便清洁；</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6、彩色液晶显示各项参数指标，具备控温、定时、编程、风速调控、超温报警等功能；</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7、具有倒计时预约功能；</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8、预热腔设计，空气加热混合后直接进入工作室，确保快速升温及良好的热分布效果；</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9、采用罩级电机及风叶，具有空气对流微风装置，内腔空气可以更新循环；</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10、风机6段调速，可保证不同风速的要求，避免粉尘样品扬尘造成样品损耗；</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11、可编程程序设计，可设置10段100周期；</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12、配RS-485接口，用以连接计算机；</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控温范围：室温+5～250℃</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分辨率：0.1℃</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波动度：±1℃(105℃)</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均匀度：±2%</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升温速率：</w:t>
            </w:r>
            <w:r>
              <w:rPr>
                <w:rFonts w:hint="eastAsia" w:ascii="宋体" w:hAnsi="宋体" w:eastAsia="宋体" w:cstheme="minorBidi"/>
                <w:sz w:val="21"/>
                <w:szCs w:val="21"/>
              </w:rPr>
              <w:t>室温升至 200℃约 30～45min</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定时范围：0～9999min/h；预约范围：0～9999min</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sz w:val="21"/>
                <w:szCs w:val="21"/>
              </w:rPr>
              <w:t>编程控制：10段100周期</w:t>
            </w:r>
          </w:p>
          <w:p>
            <w:pPr>
              <w:pageBreakBefore w:val="0"/>
              <w:kinsoku/>
              <w:overflowPunct/>
              <w:bidi w:val="0"/>
              <w:spacing w:after="0" w:line="360" w:lineRule="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容积：≥14</w:t>
            </w:r>
            <w:r>
              <w:rPr>
                <w:rFonts w:hint="eastAsia" w:ascii="宋体" w:hAnsi="宋体" w:eastAsia="宋体"/>
                <w:sz w:val="21"/>
                <w:szCs w:val="21"/>
                <w:lang w:val="en-US" w:eastAsia="zh-CN"/>
              </w:rPr>
              <w:t>0</w:t>
            </w:r>
            <w:r>
              <w:rPr>
                <w:rFonts w:hint="eastAsia" w:ascii="宋体" w:hAnsi="宋体" w:eastAsia="宋体"/>
                <w:sz w:val="21"/>
                <w:szCs w:val="21"/>
              </w:rPr>
              <w:t>L</w:t>
            </w:r>
          </w:p>
          <w:p>
            <w:pPr>
              <w:pageBreakBefore w:val="0"/>
              <w:kinsoku/>
              <w:overflowPunct/>
              <w:bidi w:val="0"/>
              <w:spacing w:after="0" w:line="360" w:lineRule="auto"/>
              <w:rPr>
                <w:rFonts w:hint="default" w:ascii="宋体" w:hAnsi="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sz w:val="21"/>
                <w:szCs w:val="21"/>
              </w:rPr>
              <w:t>载物搁架：3/7块（标配/最多）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t>17</w:t>
            </w:r>
          </w:p>
        </w:tc>
        <w:tc>
          <w:tcPr>
            <w:tcW w:w="2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bCs/>
                <w:color w:val="000000" w:themeColor="text1"/>
                <w:kern w:val="2"/>
                <w:sz w:val="24"/>
                <w:szCs w:val="24"/>
                <w:vertAlign w:val="baseline"/>
                <w:lang w:val="en-US" w:eastAsia="zh-CN" w:bidi="ar-SA"/>
                <w14:textFill>
                  <w14:solidFill>
                    <w14:schemeClr w14:val="tx1"/>
                  </w14:solidFill>
                </w14:textFill>
              </w:rPr>
              <w:t>通风柜</w:t>
            </w:r>
          </w:p>
        </w:tc>
        <w:tc>
          <w:tcPr>
            <w:tcW w:w="10625"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1.全钢结构通风柜，</w:t>
            </w:r>
            <w:r>
              <w:rPr>
                <w:rFonts w:hint="eastAsia" w:ascii="宋体" w:hAnsi="宋体" w:eastAsia="宋体"/>
                <w:sz w:val="21"/>
                <w:szCs w:val="21"/>
                <w:lang w:val="en-US" w:eastAsia="zh-CN"/>
              </w:rPr>
              <w:t>≥</w:t>
            </w:r>
            <w:r>
              <w:rPr>
                <w:rFonts w:hint="eastAsia" w:ascii="宋体" w:hAnsi="宋体" w:eastAsia="宋体"/>
                <w:sz w:val="21"/>
                <w:szCs w:val="21"/>
              </w:rPr>
              <w:t>1.0mm钢板酸洗，环氧树脂静电喷涂</w:t>
            </w:r>
            <w:r>
              <w:rPr>
                <w:rFonts w:hint="eastAsia" w:ascii="宋体" w:hAnsi="宋体" w:eastAsia="宋体"/>
                <w:sz w:val="21"/>
                <w:szCs w:val="21"/>
                <w:lang w:val="en-US" w:eastAsia="zh-CN"/>
              </w:rPr>
              <w:t>或</w:t>
            </w:r>
            <w:r>
              <w:rPr>
                <w:rFonts w:ascii="宋体" w:hAnsi="宋体" w:eastAsia="宋体" w:cs="宋体"/>
                <w:sz w:val="21"/>
                <w:szCs w:val="21"/>
              </w:rPr>
              <w:t>PP（聚丙烯）防腐涂层</w:t>
            </w:r>
            <w:r>
              <w:rPr>
                <w:rFonts w:hint="eastAsia" w:ascii="宋体" w:hAnsi="宋体" w:eastAsia="宋体" w:cs="宋体"/>
                <w:sz w:val="21"/>
                <w:szCs w:val="21"/>
                <w:lang w:val="en-US" w:eastAsia="zh-CN"/>
              </w:rPr>
              <w:t>喷涂</w:t>
            </w:r>
            <w:r>
              <w:rPr>
                <w:rFonts w:hint="eastAsia" w:ascii="宋体" w:hAnsi="宋体" w:eastAsia="宋体"/>
                <w:sz w:val="21"/>
                <w:szCs w:val="21"/>
              </w:rPr>
              <w:t>，</w:t>
            </w:r>
            <w:r>
              <w:rPr>
                <w:rFonts w:hint="eastAsia" w:ascii="宋体" w:hAnsi="宋体" w:eastAsia="宋体"/>
                <w:sz w:val="21"/>
                <w:szCs w:val="21"/>
                <w:lang w:val="en-US" w:eastAsia="zh-CN"/>
              </w:rPr>
              <w:t>≥</w:t>
            </w:r>
            <w:r>
              <w:rPr>
                <w:rFonts w:hint="eastAsia" w:ascii="宋体" w:hAnsi="宋体" w:eastAsia="宋体"/>
                <w:sz w:val="21"/>
                <w:szCs w:val="21"/>
              </w:rPr>
              <w:t>12mm实芯理化板台面设有挡水边，防止液体外溢，具有良好的防水、防酸碱、耐高温等性能，通风柜整体包含屋顶排风，消音装置，废气处理等</w:t>
            </w:r>
            <w:r>
              <w:rPr>
                <w:rFonts w:hint="eastAsia" w:ascii="宋体" w:hAnsi="宋体" w:eastAsia="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eastAsia="宋体" w:cs="Times New Roman"/>
                <w:sz w:val="21"/>
                <w:szCs w:val="21"/>
              </w:rPr>
            </w:pPr>
            <w:r>
              <w:rPr>
                <w:rFonts w:hint="eastAsia" w:ascii="宋体" w:hAnsi="宋体" w:eastAsia="宋体" w:cs="宋体"/>
                <w:b w:val="0"/>
                <w:bCs w:val="0"/>
                <w:color w:val="auto"/>
                <w:sz w:val="21"/>
                <w:szCs w:val="21"/>
                <w:highlight w:val="none"/>
                <w:lang w:val="en-US" w:eastAsia="zh-CN"/>
              </w:rPr>
              <w:t>▲</w:t>
            </w:r>
            <w:r>
              <w:rPr>
                <w:rFonts w:ascii="Times New Roman" w:hAnsi="Times New Roman" w:eastAsia="宋体" w:cs="Times New Roman"/>
                <w:sz w:val="21"/>
                <w:szCs w:val="21"/>
              </w:rPr>
              <w:t>2.柜体</w:t>
            </w:r>
            <w:r>
              <w:rPr>
                <w:rFonts w:hint="eastAsia" w:ascii="Times New Roman" w:hAnsi="Times New Roman" w:eastAsia="宋体" w:cs="Times New Roman"/>
                <w:sz w:val="21"/>
                <w:szCs w:val="21"/>
                <w:lang w:val="en-US" w:eastAsia="zh-CN"/>
              </w:rPr>
              <w:t>长度</w:t>
            </w:r>
            <w:r>
              <w:rPr>
                <w:rFonts w:ascii="Times New Roman" w:hAnsi="Times New Roman" w:eastAsia="宋体" w:cs="Times New Roman"/>
                <w:sz w:val="21"/>
                <w:szCs w:val="21"/>
              </w:rPr>
              <w:t>（mm）</w:t>
            </w:r>
            <w:r>
              <w:rPr>
                <w:rFonts w:hint="eastAsia" w:ascii="Times New Roman" w:hAnsi="Times New Roman" w:eastAsia="宋体" w:cs="Times New Roman"/>
                <w:sz w:val="21"/>
                <w:szCs w:val="21"/>
              </w:rPr>
              <w:t>：≥</w:t>
            </w:r>
            <w:r>
              <w:rPr>
                <w:rFonts w:ascii="Times New Roman" w:hAnsi="Times New Roman" w:eastAsia="宋体" w:cs="Times New Roman"/>
                <w:sz w:val="21"/>
                <w:szCs w:val="21"/>
              </w:rPr>
              <w:t>1500</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3.条型配重体同步齿轮移动操作可视窗上下移动，可视窗为</w:t>
            </w:r>
            <w:r>
              <w:rPr>
                <w:rFonts w:hint="eastAsia" w:ascii="宋体" w:hAnsi="宋体" w:eastAsia="宋体"/>
                <w:sz w:val="21"/>
                <w:szCs w:val="21"/>
                <w:lang w:val="en-US" w:eastAsia="zh-CN"/>
              </w:rPr>
              <w:t>≥</w:t>
            </w:r>
            <w:r>
              <w:rPr>
                <w:rFonts w:hint="eastAsia" w:ascii="宋体" w:hAnsi="宋体" w:eastAsia="宋体"/>
                <w:sz w:val="21"/>
                <w:szCs w:val="21"/>
              </w:rPr>
              <w:t>5mm钢化玻璃，保证实验室人员安全，内衬为</w:t>
            </w:r>
            <w:r>
              <w:rPr>
                <w:rFonts w:hint="eastAsia" w:ascii="宋体" w:hAnsi="宋体" w:eastAsia="宋体"/>
                <w:sz w:val="21"/>
                <w:szCs w:val="21"/>
                <w:lang w:val="en-US" w:eastAsia="zh-CN"/>
              </w:rPr>
              <w:t>≥</w:t>
            </w:r>
            <w:r>
              <w:rPr>
                <w:rFonts w:hint="eastAsia" w:ascii="宋体" w:hAnsi="宋体" w:eastAsia="宋体"/>
                <w:sz w:val="21"/>
                <w:szCs w:val="21"/>
              </w:rPr>
              <w:t>5mm高密度抗倍特防腐蚀导流板，外置液晶操控面板，两侧预留供水及供气拷克安装口，配多功能插座系统，有效保证用电安全。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4.实验通风柜专用通风系统，配防腐蚀室内静音风机，保证单个通风柜风量2200-3000m³/h。</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5、插座：采用防尘、防溅带有自动闭合功能防护盖的安全插座，配置10A/16A /220V的多功能插座，适合实验室内各种仪器设备。</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1"/>
                <w:szCs w:val="21"/>
              </w:rPr>
            </w:pPr>
            <w:r>
              <w:rPr>
                <w:rFonts w:hint="eastAsia" w:ascii="宋体" w:hAnsi="宋体" w:eastAsia="宋体"/>
                <w:sz w:val="21"/>
                <w:szCs w:val="21"/>
              </w:rPr>
              <w:t>6.照明：采用圆形节能孔灯，隐藏于顶板上，不与通风柜内实验气体直接接触，易更换，亮度完全满足实验要求。</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sz w:val="21"/>
                <w:szCs w:val="21"/>
              </w:rPr>
              <w:t>7.满足实验室要求，对原有通风柜</w:t>
            </w:r>
            <w:r>
              <w:rPr>
                <w:rFonts w:hint="eastAsia" w:ascii="宋体" w:hAnsi="宋体" w:eastAsia="宋体"/>
                <w:sz w:val="21"/>
                <w:szCs w:val="21"/>
                <w:lang w:eastAsia="zh-CN"/>
              </w:rPr>
              <w:t>及实验台面</w:t>
            </w:r>
            <w:r>
              <w:rPr>
                <w:rFonts w:hint="eastAsia" w:ascii="宋体" w:hAnsi="宋体" w:eastAsia="宋体"/>
                <w:sz w:val="21"/>
                <w:szCs w:val="21"/>
              </w:rPr>
              <w:t>拆除，</w:t>
            </w:r>
            <w:r>
              <w:rPr>
                <w:rFonts w:hint="eastAsia" w:ascii="宋体" w:hAnsi="宋体" w:eastAsia="宋体"/>
                <w:sz w:val="21"/>
                <w:szCs w:val="21"/>
                <w:lang w:eastAsia="zh-CN"/>
              </w:rPr>
              <w:t>满足</w:t>
            </w:r>
            <w:r>
              <w:rPr>
                <w:rFonts w:hint="eastAsia" w:ascii="宋体" w:hAnsi="宋体" w:eastAsia="宋体"/>
                <w:sz w:val="21"/>
                <w:szCs w:val="21"/>
              </w:rPr>
              <w:t>安装新购置通风柜</w:t>
            </w:r>
            <w:r>
              <w:rPr>
                <w:rFonts w:hint="eastAsia" w:ascii="宋体" w:hAnsi="宋体" w:eastAsia="宋体"/>
                <w:sz w:val="21"/>
                <w:szCs w:val="21"/>
                <w:lang w:eastAsia="zh-CN"/>
              </w:rPr>
              <w:t>的条件</w:t>
            </w:r>
            <w:r>
              <w:rPr>
                <w:rFonts w:hint="eastAsia" w:ascii="宋体" w:hAnsi="宋体" w:eastAsia="宋体"/>
                <w:sz w:val="21"/>
                <w:szCs w:val="21"/>
              </w:rPr>
              <w:t>，</w:t>
            </w:r>
            <w:r>
              <w:rPr>
                <w:rFonts w:hint="eastAsia" w:ascii="宋体" w:hAnsi="宋体" w:eastAsia="宋体"/>
                <w:sz w:val="21"/>
                <w:szCs w:val="21"/>
                <w:lang w:eastAsia="zh-CN"/>
              </w:rPr>
              <w:t>并改造满足安装的水和电（</w:t>
            </w:r>
            <w:r>
              <w:rPr>
                <w:rFonts w:hint="eastAsia" w:ascii="宋体" w:hAnsi="宋体"/>
                <w:sz w:val="21"/>
                <w:szCs w:val="21"/>
                <w:lang w:val="en-US" w:eastAsia="zh-CN"/>
              </w:rPr>
              <w:t>水管、电线</w:t>
            </w:r>
            <w:r>
              <w:rPr>
                <w:rFonts w:hint="eastAsia" w:ascii="宋体" w:hAnsi="宋体" w:eastAsia="宋体"/>
                <w:sz w:val="21"/>
                <w:szCs w:val="21"/>
                <w:lang w:val="en-US" w:eastAsia="zh-CN"/>
              </w:rPr>
              <w:t>约20米内，</w:t>
            </w:r>
            <w:r>
              <w:rPr>
                <w:rFonts w:hint="eastAsia" w:ascii="宋体" w:hAnsi="宋体" w:eastAsia="宋体"/>
                <w:sz w:val="21"/>
                <w:szCs w:val="21"/>
                <w:lang w:eastAsia="zh-CN"/>
              </w:rPr>
              <w:t>以实际为准）</w:t>
            </w:r>
            <w:r>
              <w:rPr>
                <w:rFonts w:hint="eastAsia" w:ascii="宋体" w:hAnsi="宋体" w:eastAsia="宋体"/>
                <w:sz w:val="21"/>
                <w:szCs w:val="21"/>
              </w:rPr>
              <w:t>。</w:t>
            </w:r>
          </w:p>
        </w:tc>
      </w:tr>
    </w:tbl>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auto"/>
          <w:sz w:val="24"/>
          <w:szCs w:val="24"/>
          <w:lang w:val="en-US" w:eastAsia="zh-CN" w:bidi="ar"/>
        </w:rPr>
      </w:pPr>
    </w:p>
    <w:p>
      <w:pPr>
        <w:pageBreakBefore w:val="0"/>
        <w:kinsoku/>
        <w:overflowPunct/>
        <w:bidi w:val="0"/>
        <w:spacing w:line="360" w:lineRule="auto"/>
        <w:jc w:val="center"/>
        <w:rPr>
          <w:rFonts w:hint="default"/>
          <w:lang w:val="en-US" w:eastAsia="zh-CN"/>
        </w:rPr>
      </w:pPr>
      <w:r>
        <w:rPr>
          <w:rFonts w:hint="eastAsia" w:ascii="宋体" w:hAnsi="宋体" w:eastAsia="宋体" w:cs="宋体"/>
          <w:b/>
          <w:color w:val="auto"/>
          <w:sz w:val="24"/>
          <w:szCs w:val="24"/>
          <w:lang w:val="en-US" w:eastAsia="zh-CN" w:bidi="ar"/>
        </w:rPr>
        <w:br w:type="page"/>
      </w:r>
    </w:p>
    <w:tbl>
      <w:tblPr>
        <w:tblStyle w:val="24"/>
        <w:tblW w:w="12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739"/>
        <w:gridCol w:w="9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2859" w:type="dxa"/>
            <w:gridSpan w:val="3"/>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32"/>
                <w:szCs w:val="32"/>
                <w:u w:val="none"/>
                <w:lang w:val="en-US" w:eastAsia="zh-CN" w:bidi="ar"/>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2"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设备名称</w:t>
            </w:r>
          </w:p>
        </w:tc>
        <w:tc>
          <w:tcPr>
            <w:tcW w:w="9188"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气相分子吸收光谱仪</w:t>
            </w:r>
          </w:p>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（核心产品）</w:t>
            </w:r>
          </w:p>
        </w:tc>
        <w:tc>
          <w:tcPr>
            <w:tcW w:w="9188" w:type="dxa"/>
            <w:vAlign w:val="center"/>
          </w:tcPr>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1.主机配置和备件耗材</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0"/>
              <w:gridCol w:w="52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2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967"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4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2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tc>
              <w:tc>
                <w:tcPr>
                  <w:tcW w:w="86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气相分子吸收光谱仪</w:t>
                  </w:r>
                </w:p>
              </w:tc>
              <w:tc>
                <w:tcPr>
                  <w:tcW w:w="2967" w:type="pct"/>
                  <w:noWrap w:val="0"/>
                  <w:vAlign w:val="center"/>
                </w:tcPr>
                <w:p>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含进样系统、泵系统、自动除水系统、在线加热系统、电子流量系统、载气净化系统、温度控制系统、自动稀释系统、内置氨氮在线氧化系统</w:t>
                  </w:r>
                  <w:r>
                    <w:rPr>
                      <w:rFonts w:hint="eastAsia" w:ascii="宋体" w:hAnsi="宋体" w:eastAsia="宋体" w:cs="宋体"/>
                      <w:color w:val="auto"/>
                      <w:sz w:val="21"/>
                      <w:szCs w:val="21"/>
                      <w:highlight w:val="none"/>
                      <w:lang w:val="en-US" w:eastAsia="zh-CN"/>
                    </w:rPr>
                    <w:t>及数据处理系统</w:t>
                  </w:r>
                  <w:r>
                    <w:rPr>
                      <w:rFonts w:hint="eastAsia" w:ascii="宋体" w:hAnsi="宋体" w:eastAsia="宋体" w:cs="宋体"/>
                      <w:color w:val="auto"/>
                      <w:sz w:val="21"/>
                      <w:szCs w:val="21"/>
                      <w:highlight w:val="none"/>
                    </w:rPr>
                    <w:t>等</w:t>
                  </w:r>
                </w:p>
              </w:tc>
              <w:tc>
                <w:tcPr>
                  <w:tcW w:w="74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restar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备件/耗材</w:t>
                  </w:r>
                </w:p>
              </w:tc>
              <w:tc>
                <w:tcPr>
                  <w:tcW w:w="86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一年备件包</w:t>
                  </w:r>
                </w:p>
              </w:tc>
              <w:tc>
                <w:tcPr>
                  <w:tcW w:w="2967" w:type="pct"/>
                  <w:noWrap w:val="0"/>
                  <w:vAlign w:val="center"/>
                </w:tcPr>
                <w:p>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除标配的配件耗材外，每台另赠进样软管、试剂泵管、尾气吸收装置、进样针等</w:t>
                  </w:r>
                  <w:r>
                    <w:rPr>
                      <w:rFonts w:hint="eastAsia" w:ascii="宋体" w:hAnsi="宋体" w:eastAsia="宋体" w:cs="宋体"/>
                      <w:color w:val="auto"/>
                      <w:sz w:val="21"/>
                      <w:szCs w:val="21"/>
                      <w:highlight w:val="none"/>
                      <w:lang w:val="en-US" w:eastAsia="zh-CN"/>
                    </w:rPr>
                    <w:t>1套，合计2套/台</w:t>
                  </w:r>
                </w:p>
              </w:tc>
              <w:tc>
                <w:tcPr>
                  <w:tcW w:w="74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样品瓶</w:t>
                  </w:r>
                </w:p>
              </w:tc>
              <w:tc>
                <w:tcPr>
                  <w:tcW w:w="2967"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50mL×60个/套</w:t>
                  </w:r>
                </w:p>
              </w:tc>
              <w:tc>
                <w:tcPr>
                  <w:tcW w:w="74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试剂瓶架</w:t>
                  </w:r>
                </w:p>
              </w:tc>
              <w:tc>
                <w:tcPr>
                  <w:tcW w:w="2967"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4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86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高纯</w:t>
                  </w:r>
                  <w:r>
                    <w:rPr>
                      <w:rFonts w:hint="eastAsia" w:ascii="宋体" w:hAnsi="宋体" w:eastAsia="宋体" w:cs="宋体"/>
                      <w:color w:val="auto"/>
                      <w:sz w:val="21"/>
                      <w:szCs w:val="21"/>
                      <w:highlight w:val="none"/>
                      <w:lang w:eastAsia="zh-CN"/>
                    </w:rPr>
                    <w:t>氮</w:t>
                  </w:r>
                  <w:r>
                    <w:rPr>
                      <w:rFonts w:hint="eastAsia" w:ascii="宋体" w:hAnsi="宋体" w:eastAsia="宋体" w:cs="宋体"/>
                      <w:color w:val="auto"/>
                      <w:sz w:val="21"/>
                      <w:szCs w:val="21"/>
                      <w:highlight w:val="none"/>
                    </w:rPr>
                    <w:t>气</w:t>
                  </w:r>
                </w:p>
              </w:tc>
              <w:tc>
                <w:tcPr>
                  <w:tcW w:w="2967"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1瓶/台（</w:t>
                  </w:r>
                  <w:r>
                    <w:rPr>
                      <w:rFonts w:hint="eastAsia" w:ascii="宋体" w:hAnsi="宋体" w:eastAsia="宋体" w:cs="宋体"/>
                      <w:color w:val="auto"/>
                      <w:sz w:val="21"/>
                      <w:szCs w:val="21"/>
                      <w:highlight w:val="none"/>
                    </w:rPr>
                    <w:t>含瓶、气、阀</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纯度≥</w:t>
                  </w:r>
                  <w:r>
                    <w:rPr>
                      <w:rFonts w:hint="eastAsia" w:ascii="宋体" w:hAnsi="宋体" w:eastAsia="宋体" w:cs="宋体"/>
                      <w:color w:val="auto"/>
                      <w:sz w:val="21"/>
                      <w:szCs w:val="21"/>
                      <w:highlight w:val="none"/>
                    </w:rPr>
                    <w:t>99.999%</w:t>
                  </w:r>
                </w:p>
              </w:tc>
              <w:tc>
                <w:tcPr>
                  <w:tcW w:w="745"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2.工作条件</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2.1工作环境温度：15℃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GB" w:eastAsia="zh-CN"/>
              </w:rPr>
              <w:t>30℃。</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2.2工作环境</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 w:val="0"/>
                <w:bCs w:val="0"/>
                <w:color w:val="auto"/>
                <w:sz w:val="21"/>
                <w:szCs w:val="21"/>
                <w:highlight w:val="none"/>
                <w:lang w:val="en-GB" w:eastAsia="zh-CN"/>
              </w:rPr>
              <w:t>湿度：≤</w:t>
            </w: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lang w:val="en-GB" w:eastAsia="zh-CN"/>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2.3供电电源：</w:t>
            </w:r>
            <w:r>
              <w:rPr>
                <w:rFonts w:hint="eastAsia" w:ascii="宋体" w:hAnsi="宋体" w:eastAsia="宋体" w:cs="宋体"/>
                <w:b w:val="0"/>
                <w:bCs w:val="0"/>
                <w:color w:val="auto"/>
                <w:sz w:val="21"/>
                <w:szCs w:val="21"/>
                <w:highlight w:val="none"/>
                <w:lang w:val="en-US" w:eastAsia="zh-CN"/>
              </w:rPr>
              <w:t>AC 220</w:t>
            </w:r>
            <w:r>
              <w:rPr>
                <w:rFonts w:hint="eastAsia" w:ascii="宋体" w:hAnsi="宋体" w:eastAsia="宋体" w:cs="宋体"/>
                <w:b w:val="0"/>
                <w:bCs w:val="0"/>
                <w:color w:val="auto"/>
                <w:sz w:val="21"/>
                <w:szCs w:val="21"/>
                <w:highlight w:val="none"/>
                <w:lang w:val="en-GB" w:eastAsia="zh-CN"/>
              </w:rPr>
              <w:t>V</w:t>
            </w:r>
            <w:r>
              <w:rPr>
                <w:rFonts w:hint="eastAsia" w:ascii="宋体" w:hAnsi="宋体" w:eastAsia="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val="en-GB" w:eastAsia="zh-CN"/>
              </w:rPr>
              <w:t>V，50Hz。</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3.仪器用途</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GB" w:eastAsia="zh-CN"/>
              </w:rPr>
              <w:t>3.1仪器适用于水体中氨氮、总氮、硫化物、硝酸盐氮、亚硝酸盐氮、凯氏氮等含氮、含硫类关键污染指标的精准定量检测。</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3.2满足《水质 氨氮的测定 气相分子吸收光谱法》（HJ 195-2023）、《水质总氮的测定气相分子吸收光谱法》（HJ 199-2023）、《水质硫化物的测定气相分子吸收光谱法》（HJ 200-2023）、《水质硝酸盐氮的测定气相分子吸收光谱法》（HJ 19</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GB" w:eastAsia="zh-CN"/>
              </w:rPr>
              <w:t>-2024）、《水质亚硝酸盐氮的测定气相分子吸收光谱法》（HJ 19</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GB" w:eastAsia="zh-CN"/>
              </w:rPr>
              <w:t>-2024）等</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lang w:val="en-GB" w:eastAsia="zh-CN"/>
              </w:rPr>
              <w:t>环境监测国家标准方法的分析</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GB" w:eastAsia="zh-CN"/>
              </w:rPr>
              <w:t>。</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4.技术参数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 xml:space="preserve">4.1 </w:t>
            </w:r>
            <w:r>
              <w:rPr>
                <w:rFonts w:hint="eastAsia" w:ascii="宋体" w:hAnsi="宋体" w:eastAsia="宋体" w:cs="宋体"/>
                <w:b w:val="0"/>
                <w:bCs w:val="0"/>
                <w:color w:val="auto"/>
                <w:sz w:val="21"/>
                <w:szCs w:val="21"/>
                <w:highlight w:val="none"/>
                <w:lang w:val="en-GB" w:eastAsia="zh-CN"/>
              </w:rPr>
              <w:t>主机系统</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4.1.1内置气-液分离装置，使用高效的连续萃取气液分离技术。</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▲4.1.2内置总氮在线消解系统，使用紫外在线消解系统，单个样品测量含消解时间小于5min。</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■4.1.3内置氨氮在线氧化系统。</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▲4.1.4内置自动稀释系统。可对不同浓度样品精准稀释；支持单点定标进行自动梯度稀释，自动生成覆盖检测范围的标准曲线，曲线相关性系数≥0.9995。</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4.1.5内置在线加热系统，能开机自动检测环境温度，无需手动开启辅助加热，温度异常时自动停止加热。</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4.1.6内置自动除水系统，使用全过程无需干燥剂，采用半导体恒温除湿或同等效果技术，避免水汽干扰。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4.1.7以氮气（纯度≥99.9%）为载气，配备载气净化系统；具备压力和流量双重监测报警系统。</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4.1.8仪器在30min内基线的漂移不大于0.001Abs，基线最大瞬时噪声不大于0.0005Abs。</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4.1.9采用适配各国标/行标方法要求的氘灯，固定灯位，光路稳定；具备光源寿命统计监测功能。</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4.1.10采用连续光源，波长范围覆盖各国标/行标方法特征波长要求，且连续可调；波长准确性±0.2nm，波长重复性±0.1nm</w:t>
            </w:r>
            <w:r>
              <w:rPr>
                <w:rFonts w:hint="eastAsia" w:ascii="宋体" w:hAnsi="宋体" w:eastAsia="宋体" w:cs="宋体"/>
                <w:b w:val="0"/>
                <w:bCs w:val="0"/>
                <w:color w:val="auto"/>
                <w:sz w:val="21"/>
                <w:szCs w:val="21"/>
                <w:highlight w:val="none"/>
                <w:lang w:val="en-GB" w:eastAsia="zh-CN"/>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 试剂瓶架</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4.2.1配置试剂瓶架。与主机、自动进样系统衔接，布局合理。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4.2.2至少可容纳6个1000mL规格试剂瓶。</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4.3自动进样器</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▲4.3.1样品位数≥50位，样品管容积不小于50mL，适配大体积样品或高浓度稀释需求。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4.3.2样品盘可拆洗，进样管路/进样针采用耐腐蚀材质；具备程序控制流动洗针功能，可软件调节洗针流量，适配不同污染程度样品。</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■4.3.3配备均质吹扫系统，支持进样前/进样中均质，软件可设置吹扫时间，消除样品分层、去除VOC干扰。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4.4氨氮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■4.4.1检出限：≤0.02mg/L；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4.4.2标准曲线相关系数：r≥0.9995；</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4.4.3精密度（连续6次测定）：0.2mg/L时RSD＜3%。</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4.5亚硝酸盐氮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■4.5.1检出限：≤0.003mg/L；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4.5.2标准曲线相关系数：r≥0.9995；</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4.5.3精密度（连续6次测定）：0.2mg/L时RSD＜3%。</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4.6硝酸盐氮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■4.6.1检出限：≤0.008mg/L；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4.6.2标准曲线相关系数：r≥0.9995；</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4.6.3精密度（连续6次测定）：0.5mg/L时RSD＜3%。</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4.7总氮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■4.7.1检出限：≤0.05mg/L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4.7.2标准曲线相关系数：r≥0.9995</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4.7.3精密度（连续6次测定）：0.5mg/L时RSD＜3%。</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4.8硫化物</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■4.8.1检出限：≤0.005mg/L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4.8.2标准曲线相关系数：r≥0.9995</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4.8.3精密度（连续6次测定）：0.2mg/L时RSD＜3%。</w:t>
            </w:r>
          </w:p>
          <w:p>
            <w:pPr>
              <w:keepNext w:val="0"/>
              <w:keepLines w:val="0"/>
              <w:pageBreakBefore w:val="0"/>
              <w:tabs>
                <w:tab w:val="left" w:pos="3000"/>
              </w:tabs>
              <w:kinsoku/>
              <w:wordWrap/>
              <w:overflowPunct/>
              <w:topLinePunct w:val="0"/>
              <w:autoSpaceDE/>
              <w:autoSpaceDN/>
              <w:bidi w:val="0"/>
              <w:adjustRightInd/>
              <w:snapToGrid/>
              <w:spacing w:line="360" w:lineRule="auto"/>
              <w:ind w:firstLine="420" w:firstLineChars="200"/>
              <w:textAlignment w:val="auto"/>
              <w:outlineLvl w:val="3"/>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 xml:space="preserve"> 仪器采用</w:t>
            </w:r>
            <w:r>
              <w:rPr>
                <w:rFonts w:hint="eastAsia" w:ascii="宋体" w:hAnsi="宋体" w:eastAsia="宋体" w:cs="宋体"/>
                <w:b w:val="0"/>
                <w:bCs w:val="0"/>
                <w:color w:val="auto"/>
                <w:sz w:val="21"/>
                <w:szCs w:val="21"/>
                <w:highlight w:val="none"/>
              </w:rPr>
              <w:t>模块化组合</w:t>
            </w:r>
            <w:r>
              <w:rPr>
                <w:rFonts w:hint="eastAsia" w:ascii="宋体" w:hAnsi="宋体" w:eastAsia="宋体" w:cs="宋体"/>
                <w:b w:val="0"/>
                <w:bCs w:val="0"/>
                <w:color w:val="auto"/>
                <w:sz w:val="21"/>
                <w:szCs w:val="21"/>
                <w:highlight w:val="none"/>
                <w:lang w:val="en-US" w:eastAsia="zh-CN"/>
              </w:rPr>
              <w:t>，可实现总氮项目的自动消解、分析检测以及高浓度样品的自动稀释。</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5.数据处理系统</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5.1数据输出和输入系统1套（品牌计算机，I5十二代及以上， 内存16G及以上， DVD刻录， 固态硬盘1T以上， ≥22液晶专用显示器，中文正版Win10 64位专业系统；A4黑白激光打印机1套。）</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5.2操作软件支持开机检测通讯口、波长、泵转速、灯位等，并可直接设置测试波长、泵转速、进样时间等参数；具备实时显示检测图谱功能，支持平行样图谱对比；具备紧急添加样品功能；自动保存检测数据、操作日志，支持报告导出；具备测量全程基线实时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离子色谱仪</w:t>
            </w:r>
          </w:p>
        </w:tc>
        <w:tc>
          <w:tcPr>
            <w:tcW w:w="9188" w:type="dxa"/>
            <w:vAlign w:val="center"/>
          </w:tcPr>
          <w:p>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1离子色谱仪用途与功能</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仪器可用于样品中常规阴离子：</w:t>
            </w:r>
            <w:r>
              <w:rPr>
                <w:rFonts w:hint="eastAsia" w:ascii="宋体" w:hAnsi="宋体" w:eastAsia="宋体" w:cs="宋体"/>
                <w:sz w:val="21"/>
                <w:szCs w:val="21"/>
              </w:rPr>
              <w:t>F-、Cl-、Br-、NO3-、NO2-、SO42-、PO43-、碘化物等指标的</w:t>
            </w:r>
            <w:r>
              <w:rPr>
                <w:rFonts w:hint="eastAsia" w:ascii="宋体" w:hAnsi="宋体" w:eastAsia="宋体" w:cs="宋体"/>
                <w:color w:val="000000"/>
                <w:sz w:val="21"/>
                <w:szCs w:val="21"/>
              </w:rPr>
              <w:t>分析。</w:t>
            </w:r>
          </w:p>
          <w:p>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 仪器配置：（采购数量按招标清单为准，这里只表示每台采购设备应配置的备件或耗材数量）</w:t>
            </w:r>
          </w:p>
          <w:p>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color w:val="000000"/>
                <w:sz w:val="21"/>
                <w:szCs w:val="21"/>
              </w:rPr>
              <w:t>一体化离子色谱系统：包括高压泵1套，内置柱温箱1套，保护柱1套，阴离子色谱柱1套，阴离子自再生微膜抑制器1套，电导检测器1套，自动进样器1套，软件操作系统1套，报警传感器1套，电脑打印机1套。</w:t>
            </w:r>
          </w:p>
          <w:p>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 性能及技术参数要求</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3.1泵</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3.1.1 泵头及管路均为化学惰性非金属材质，</w:t>
            </w:r>
            <w:r>
              <w:rPr>
                <w:rFonts w:hint="eastAsia" w:ascii="宋体" w:hAnsi="宋体" w:eastAsia="宋体" w:cs="宋体"/>
                <w:color w:val="000000"/>
                <w:sz w:val="21"/>
                <w:szCs w:val="21"/>
                <w:lang w:val="en-US" w:eastAsia="zh-CN"/>
              </w:rPr>
              <w:t>采用</w:t>
            </w:r>
            <w:r>
              <w:rPr>
                <w:rFonts w:hint="eastAsia" w:ascii="宋体" w:hAnsi="宋体" w:eastAsia="宋体" w:cs="宋体"/>
                <w:b w:val="0"/>
                <w:bCs w:val="0"/>
                <w:color w:val="000000"/>
                <w:sz w:val="21"/>
                <w:szCs w:val="21"/>
              </w:rPr>
              <w:t>双柱塞串联/并联平流泵</w:t>
            </w:r>
            <w:r>
              <w:rPr>
                <w:rFonts w:hint="eastAsia" w:ascii="宋体" w:hAnsi="宋体" w:eastAsia="宋体" w:cs="宋体"/>
                <w:color w:val="000000"/>
                <w:sz w:val="21"/>
                <w:szCs w:val="21"/>
              </w:rPr>
              <w:t>，配</w:t>
            </w:r>
            <w:r>
              <w:rPr>
                <w:rFonts w:hint="eastAsia" w:ascii="宋体" w:hAnsi="宋体" w:eastAsia="宋体" w:cs="宋体"/>
                <w:b w:val="0"/>
                <w:bCs w:val="0"/>
                <w:color w:val="000000"/>
                <w:sz w:val="21"/>
                <w:szCs w:val="21"/>
              </w:rPr>
              <w:t>PEEK 泵头+全PEEK 流路</w:t>
            </w:r>
            <w:r>
              <w:rPr>
                <w:rFonts w:hint="eastAsia" w:ascii="宋体" w:hAnsi="宋体" w:eastAsia="宋体" w:cs="宋体"/>
                <w:color w:val="000000"/>
                <w:sz w:val="21"/>
                <w:szCs w:val="21"/>
              </w:rPr>
              <w:t>，适合pH为0～14的淋洗液及反相有机溶剂；</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3.1.2最大耐压≥40MPa；</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3.1.3压力显示精度：≤0.1MPa；</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3.1.4流量设定值允许误差：≤0.1% ；</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3.1.5流量稳定性：≤0.1% ；</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3.1.6压力波动：≤0.5%；</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3.1.7具有自动后冲洗系统，可以对柱塞杆和密封圈进行自动清洗；</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3.1.8流量范围：0.001-9.999mL/min（无需更换泵头）；流量增幅：≤0.001 mL/min；</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3.1.9具有漏液传感器，可进行漏液报警。</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3.2电导检测器</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3.2.1 自动量程电导检测器，μg/L~g/L浓度范围信号直接拓展，无需调整量程；</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3.2.2全程信号输出范围：0-46000μS/cm，无需调整量程；</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3.2.3基线噪声：</w:t>
            </w:r>
            <w:r>
              <w:rPr>
                <w:rFonts w:hint="eastAsia" w:ascii="宋体" w:hAnsi="宋体" w:eastAsia="宋体" w:cs="宋体"/>
                <w:sz w:val="21"/>
                <w:szCs w:val="21"/>
              </w:rPr>
              <w:t>0.002</w:t>
            </w:r>
            <w:r>
              <w:rPr>
                <w:rFonts w:hint="eastAsia" w:ascii="宋体" w:hAnsi="宋体" w:eastAsia="宋体" w:cs="宋体"/>
                <w:color w:val="000000"/>
                <w:sz w:val="21"/>
                <w:szCs w:val="21"/>
              </w:rPr>
              <w:t>μS/cm</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3.2.4基线漂移：≤</w:t>
            </w:r>
            <w:r>
              <w:rPr>
                <w:rFonts w:hint="eastAsia" w:ascii="宋体" w:hAnsi="宋体" w:eastAsia="宋体" w:cs="宋体"/>
                <w:sz w:val="21"/>
                <w:szCs w:val="21"/>
              </w:rPr>
              <w:t>0.008</w:t>
            </w:r>
            <w:r>
              <w:rPr>
                <w:rFonts w:hint="eastAsia" w:ascii="宋体" w:hAnsi="宋体" w:eastAsia="宋体" w:cs="宋体"/>
                <w:color w:val="000000"/>
                <w:sz w:val="21"/>
                <w:szCs w:val="21"/>
              </w:rPr>
              <w:t>μS.cm</w:t>
            </w:r>
            <w:r>
              <w:rPr>
                <w:rFonts w:hint="eastAsia" w:ascii="宋体" w:hAnsi="宋体" w:eastAsia="宋体" w:cs="宋体"/>
                <w:color w:val="000000"/>
                <w:sz w:val="21"/>
                <w:szCs w:val="21"/>
                <w:vertAlign w:val="superscript"/>
              </w:rPr>
              <w:t>-1</w:t>
            </w:r>
            <w:r>
              <w:rPr>
                <w:rFonts w:hint="eastAsia" w:ascii="宋体" w:hAnsi="宋体" w:eastAsia="宋体" w:cs="宋体"/>
                <w:color w:val="000000"/>
                <w:sz w:val="21"/>
                <w:szCs w:val="21"/>
              </w:rPr>
              <w:t>/30min）</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3.2.5最小检测浓度：Cl-≤</w:t>
            </w:r>
            <w:r>
              <w:rPr>
                <w:rFonts w:hint="eastAsia" w:ascii="宋体" w:hAnsi="宋体" w:eastAsia="宋体" w:cs="宋体"/>
                <w:sz w:val="21"/>
                <w:szCs w:val="21"/>
              </w:rPr>
              <w:t>0.0005</w:t>
            </w:r>
            <w:r>
              <w:rPr>
                <w:rFonts w:hint="eastAsia" w:ascii="宋体" w:hAnsi="宋体" w:eastAsia="宋体" w:cs="宋体"/>
                <w:color w:val="000000"/>
                <w:sz w:val="21"/>
                <w:szCs w:val="21"/>
              </w:rPr>
              <w:t>μg/mL  Li+≤</w:t>
            </w:r>
            <w:r>
              <w:rPr>
                <w:rFonts w:hint="eastAsia" w:ascii="宋体" w:hAnsi="宋体" w:eastAsia="宋体" w:cs="宋体"/>
                <w:sz w:val="21"/>
                <w:szCs w:val="21"/>
              </w:rPr>
              <w:t>0.0005</w:t>
            </w:r>
            <w:r>
              <w:rPr>
                <w:rFonts w:hint="eastAsia" w:ascii="宋体" w:hAnsi="宋体" w:eastAsia="宋体" w:cs="宋体"/>
                <w:color w:val="000000"/>
                <w:sz w:val="21"/>
                <w:szCs w:val="21"/>
              </w:rPr>
              <w:t xml:space="preserve">μg/mL）  </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3.2.6定性重复性：≤0.1%，定量重复性：≤0.1%；</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3.2.7电导池体积：≤0.6μL；</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3.2.8检测器</w:t>
            </w:r>
            <w:r>
              <w:rPr>
                <w:rFonts w:hint="eastAsia" w:ascii="宋体" w:hAnsi="宋体" w:eastAsia="宋体" w:cs="宋体"/>
                <w:color w:val="000000"/>
                <w:sz w:val="21"/>
                <w:szCs w:val="21"/>
                <w:lang w:val="en-US" w:eastAsia="zh-CN"/>
              </w:rPr>
              <w:t>分辨率</w:t>
            </w:r>
            <w:r>
              <w:rPr>
                <w:rFonts w:hint="eastAsia" w:ascii="宋体" w:hAnsi="宋体" w:eastAsia="宋体" w:cs="宋体"/>
                <w:i w:val="0"/>
                <w:iCs w:val="0"/>
                <w:color w:val="000000"/>
                <w:kern w:val="0"/>
                <w:sz w:val="21"/>
                <w:szCs w:val="21"/>
                <w:u w:val="none"/>
                <w:lang w:val="en-US" w:eastAsia="zh-CN" w:bidi="ar"/>
              </w:rPr>
              <w:t>≤0.0023nS/cm，</w:t>
            </w:r>
            <w:r>
              <w:rPr>
                <w:rFonts w:hint="eastAsia" w:ascii="宋体" w:hAnsi="宋体" w:eastAsia="宋体" w:cs="宋体"/>
                <w:color w:val="000000"/>
                <w:sz w:val="21"/>
                <w:szCs w:val="21"/>
              </w:rPr>
              <w:t>耐受最大压力≥8Mpa；</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3.2.9信号采集频率：信号采集频率可调，并且最大采集频率不低于100Hz。</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3.3抑制器</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3.3.1使用电解技术在线产生抑制所需的H+或OH-，不需通入酸、碱进行再生；</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3.3.2并联式再生液流路设计，再生液经抑制器内部管路同时向阴阳电极同时提供再生液；</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3.3.3高抑制容量：抑制容量200μeq/min(阴离子)，100μeq/min(阳离子）；</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3.3.4耐压能力强，在高达6MPa情况下无泄漏，2MPa下正常运行；</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3.3.5死体积≤50μL，更灵敏的响应信号；</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rPr>
              <w:t>3.4色谱柱</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▲3.4.1阴、阳离子色谱柱能够耐受pH 0-14的工作范围，可耐受3000 psi以上压力，可以使用强酸强碱淋洗液；</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3.4.2柱容量不小于200μeq/根。</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3.4.3  Cl-：NO2-的分离能力可达到10000:1，适用于高氯基体样品中痕量亚硝酸盐的分析。</w:t>
            </w:r>
          </w:p>
          <w:p>
            <w:pPr>
              <w:pageBreakBefore w:val="0"/>
              <w:widowControl/>
              <w:kinsoku/>
              <w:wordWrap/>
              <w:overflowPunct/>
              <w:topLinePunct w:val="0"/>
              <w:autoSpaceDE/>
              <w:autoSpaceDN/>
              <w:bidi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3.4.4 氢氧根体系色谱柱：一次进样，可在45分钟内完成17种以上离子的分离；</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color w:val="000000"/>
                <w:sz w:val="21"/>
                <w:szCs w:val="21"/>
              </w:rPr>
              <w:t>3.5工作站</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3.5.1基于数据库设计，产生的所有数据都存储在数据库中，数据自动备份机制，可使数据永久存储；</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3.5.2</w:t>
            </w:r>
            <w:r>
              <w:rPr>
                <w:rFonts w:hint="eastAsia" w:ascii="宋体" w:hAnsi="宋体" w:eastAsia="宋体" w:cs="宋体"/>
                <w:sz w:val="21"/>
                <w:szCs w:val="21"/>
              </w:rPr>
              <w:t>色谱工作站软件，中文操作界面，匹配Windows系统，可兼容国产麒麟操作系统</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3.5.3可采用柱状图、折线图、气泡图等多种形式显示数据点的趋势与离散度； </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3.5.4工作站可对适时分析条件参数和分析结果进行监控，在线监测和采集泵压力变化、温度变化、淋洗液浓度变化、抑制器电流等各部件数据；</w:t>
            </w:r>
          </w:p>
          <w:p>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3.6内置柱温箱</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3.6.1循环立体风热加温模式，加热均匀。</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3.6.2温度控制范围：内置柱温箱且可实现加热、制冷控温，环境温度±5-75℃；</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3.6.3柱温箱温度设定值允许误差：≤±0.1℃；</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3.6.4温度稳定性：≤0.1℃/h。</w:t>
            </w:r>
          </w:p>
          <w:p>
            <w:pPr>
              <w:pageBreakBefore w:val="0"/>
              <w:kinsoku/>
              <w:wordWrap/>
              <w:overflowPunct/>
              <w:topLinePunct w:val="0"/>
              <w:autoSpaceDE/>
              <w:autoSpaceDN/>
              <w:bidi w:val="0"/>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3.7进样器</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3.7.1三轴式自动进样器，无需人工值守，可连续完成进样，进样批次一致性高；</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▲3.7.2样品位数：120位进样位，可实现2mL和5mL</w:t>
            </w:r>
            <w:r>
              <w:rPr>
                <w:rFonts w:hint="eastAsia" w:ascii="宋体" w:hAnsi="宋体" w:eastAsia="宋体" w:cs="宋体"/>
                <w:color w:val="000000"/>
                <w:sz w:val="21"/>
                <w:szCs w:val="21"/>
                <w:lang w:val="en-US" w:eastAsia="zh-CN"/>
              </w:rPr>
              <w:t>或2ml</w:t>
            </w:r>
            <w:r>
              <w:rPr>
                <w:rFonts w:hint="eastAsia" w:ascii="宋体" w:hAnsi="宋体" w:eastAsia="宋体" w:cs="宋体"/>
                <w:color w:val="000000"/>
                <w:sz w:val="21"/>
                <w:szCs w:val="21"/>
              </w:rPr>
              <w:t>样品位同时进</w:t>
            </w:r>
            <w:r>
              <w:rPr>
                <w:rFonts w:hint="eastAsia" w:ascii="宋体" w:hAnsi="宋体" w:eastAsia="宋体" w:cs="宋体"/>
                <w:color w:val="000000"/>
                <w:sz w:val="21"/>
                <w:szCs w:val="21"/>
                <w:lang w:val="en-US" w:eastAsia="zh-CN"/>
              </w:rPr>
              <w:t>样</w:t>
            </w:r>
            <w:r>
              <w:rPr>
                <w:rFonts w:hint="eastAsia" w:ascii="宋体" w:hAnsi="宋体" w:eastAsia="宋体" w:cs="宋体"/>
                <w:color w:val="000000"/>
                <w:sz w:val="21"/>
                <w:szCs w:val="21"/>
              </w:rPr>
              <w:t>分析，无需切换样品盘。</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3.7.3</w:t>
            </w:r>
            <w:r>
              <w:rPr>
                <w:rFonts w:hint="eastAsia" w:ascii="宋体" w:hAnsi="宋体" w:eastAsia="宋体" w:cs="宋体"/>
                <w:sz w:val="21"/>
                <w:szCs w:val="21"/>
              </w:rPr>
              <w:t>最大进样量：500μL</w:t>
            </w:r>
            <w:r>
              <w:rPr>
                <w:rFonts w:hint="eastAsia" w:ascii="宋体" w:hAnsi="宋体" w:eastAsia="宋体" w:cs="宋体"/>
                <w:color w:val="000000"/>
                <w:sz w:val="21"/>
                <w:szCs w:val="21"/>
              </w:rPr>
              <w:t>；</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3.7.4进样方式：可实现全定量环和部分定量环和微量进样；</w:t>
            </w:r>
          </w:p>
          <w:p>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3.7.5进样精密度：满环进样：RSD≤0.3%</w:t>
            </w:r>
          </w:p>
          <w:p>
            <w:pPr>
              <w:pageBreakBefore w:val="0"/>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color w:val="000000"/>
                <w:sz w:val="21"/>
                <w:szCs w:val="21"/>
              </w:rPr>
              <w:t>3.7.6 具有自动稀释功能，可以实现样品的自动稀释和标准曲线的自动配置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全自动总磷总氮测定仪</w:t>
            </w:r>
          </w:p>
        </w:tc>
        <w:tc>
          <w:tcPr>
            <w:tcW w:w="9188" w:type="dxa"/>
            <w:vAlign w:val="center"/>
          </w:tcPr>
          <w:p>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1、用于水中总磷、总氮指标的全自动化检测，</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《水质 总磷的测定 钼酸铵分光光度法》（GB/T 11893-1989）、《水质 总氮的测定 碱性过硫酸钾消解紫外分光光度法》（HJ636-2012）方法标准；</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2、全流程自动化完成批量样品试剂加入、消解、冷却、定容、混匀、检测、清洗、数据采集与处理、数据报告生成等操作；</w:t>
            </w:r>
          </w:p>
          <w:p>
            <w:pPr>
              <w:pageBreakBefore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3、仪器可按单个标准母液，自动配置标准梯度，建立标准曲线；</w:t>
            </w:r>
          </w:p>
          <w:p>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▲4、智能自动稀释，对浓度超过测定上限的样品，仪器可按测试结果自动稀释后重新测试；稀释倍数不小于20倍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 xml:space="preserve"> </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消解系统，样品独立密封、消解，消解温度为120-124℃，工作压力为1.1-1.4kg/cm²，消解时间30min；</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样品瓶盖自动拧开后自动添加试剂，试剂添加完成后自动拧紧瓶盖。</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、比色测定系统，采用高精度CCD检测器</w:t>
            </w:r>
            <w:r>
              <w:rPr>
                <w:rFonts w:hint="eastAsia" w:ascii="宋体" w:hAnsi="宋体" w:eastAsia="宋体" w:cs="宋体"/>
                <w:color w:val="auto"/>
                <w:sz w:val="21"/>
                <w:szCs w:val="21"/>
                <w:highlight w:val="none"/>
                <w:lang w:val="en-US" w:eastAsia="zh-CN"/>
              </w:rPr>
              <w:t>或分光光度计检测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一次可以进行</w:t>
            </w:r>
            <w:r>
              <w:rPr>
                <w:rFonts w:hint="eastAsia" w:ascii="宋体" w:hAnsi="宋体" w:eastAsia="宋体" w:cs="宋体"/>
                <w:color w:val="auto"/>
                <w:sz w:val="21"/>
                <w:szCs w:val="21"/>
                <w:lang w:val="en-US" w:eastAsia="zh-CN"/>
              </w:rPr>
              <w:t>多波长同时测定；</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、仪器配有自动清洗功能，可自动清洗消解比色瓶；</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、可自动配置梯度标液，自动绘制标准曲线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自动在样品中进行加标，也可自动插入质控样；</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能实</w:t>
            </w:r>
            <w:r>
              <w:rPr>
                <w:rFonts w:hint="eastAsia" w:ascii="宋体" w:hAnsi="宋体" w:eastAsia="宋体" w:cs="宋体"/>
                <w:color w:val="auto"/>
                <w:sz w:val="21"/>
                <w:szCs w:val="21"/>
              </w:rPr>
              <w:t>现绘制标准曲线、数据保存、数据调用、生成测试报告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实时上传检测数据等功能。</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、仪器指标：</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.1测定范围：TP：（0-1.2）mg/L（不稀释，取样量25 mL时），TN: 0-7mg/L（不稀释，取样量10ML时）；</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.2检出限：TP：≤0.01 mg/L, TN: ≤0.05 mg/L；</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.4重复性：TP:1.0mg/LRSD&lt;1.0%,0.5mg/LRSD&lt;3.5%</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TN: 4.0mg/LRSD&lt;1.0%,2.0mg/LRSD&lt;3.5%</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.5消解位不少于</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.6 自动进样器样品位：</w:t>
            </w:r>
            <w:r>
              <w:rPr>
                <w:rFonts w:hint="eastAsia" w:ascii="宋体" w:hAnsi="宋体" w:eastAsia="宋体" w:cs="宋体"/>
                <w:color w:val="auto"/>
                <w:sz w:val="21"/>
                <w:szCs w:val="21"/>
                <w:lang w:val="en-US" w:eastAsia="zh-CN"/>
              </w:rPr>
              <w:t>不少于60</w:t>
            </w:r>
            <w:r>
              <w:rPr>
                <w:rFonts w:hint="eastAsia" w:ascii="宋体" w:hAnsi="宋体" w:eastAsia="宋体" w:cs="宋体"/>
                <w:color w:val="auto"/>
                <w:sz w:val="21"/>
                <w:szCs w:val="21"/>
              </w:rPr>
              <w:t>位</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、仪器配置</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.1总磷总氮智能分析仪 1套（内置：高温高压消解系统、比色测定系统、试剂定量加液系统、自动清洗系统、数据</w:t>
            </w:r>
            <w:r>
              <w:rPr>
                <w:rFonts w:hint="eastAsia" w:ascii="宋体" w:hAnsi="宋体" w:eastAsia="宋体" w:cs="宋体"/>
                <w:color w:val="auto"/>
                <w:sz w:val="21"/>
                <w:szCs w:val="21"/>
                <w:lang w:val="en-US" w:eastAsia="zh-CN"/>
              </w:rPr>
              <w:t>输入输出</w:t>
            </w:r>
            <w:r>
              <w:rPr>
                <w:rFonts w:hint="eastAsia" w:ascii="宋体" w:hAnsi="宋体" w:eastAsia="宋体" w:cs="宋体"/>
                <w:color w:val="auto"/>
                <w:sz w:val="21"/>
                <w:szCs w:val="21"/>
              </w:rPr>
              <w:t>处理控制系统）</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.2 自动进样器 1套</w:t>
            </w:r>
          </w:p>
          <w:p>
            <w:pPr>
              <w:pageBreakBefore w:val="0"/>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.3打印机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全自动红外测油仪</w:t>
            </w:r>
          </w:p>
        </w:tc>
        <w:tc>
          <w:tcPr>
            <w:tcW w:w="9188" w:type="dxa"/>
            <w:vAlign w:val="center"/>
          </w:tcPr>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1.主机配置和备件耗材</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2459"/>
              <w:gridCol w:w="44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1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419"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634"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11"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tc>
              <w:tc>
                <w:tcPr>
                  <w:tcW w:w="1334"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全自动红外分光测油仪</w:t>
                  </w:r>
                </w:p>
              </w:tc>
              <w:tc>
                <w:tcPr>
                  <w:tcW w:w="24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含主机，前处理单元，检测单元、操控系统等必需部件</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Merge w:val="restar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备件/耗材</w:t>
                  </w:r>
                </w:p>
              </w:tc>
              <w:tc>
                <w:tcPr>
                  <w:tcW w:w="1334" w:type="pct"/>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数据处理系统</w:t>
                  </w:r>
                </w:p>
              </w:tc>
              <w:tc>
                <w:tcPr>
                  <w:tcW w:w="2419" w:type="pct"/>
                  <w:noWrap w:val="0"/>
                  <w:vAlign w:val="center"/>
                </w:tcPr>
                <w:p>
                  <w:pPr>
                    <w:pageBreakBefore w:val="0"/>
                    <w:kinsoku/>
                    <w:wordWrap/>
                    <w:overflowPunct/>
                    <w:topLinePunct w:val="0"/>
                    <w:autoSpaceDE/>
                    <w:autoSpaceDN/>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预装有正版windows操作系统及office软件、原装工作站和数据处理软件等</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自动采样器</w:t>
                  </w:r>
                </w:p>
              </w:tc>
              <w:tc>
                <w:tcPr>
                  <w:tcW w:w="24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石油类</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便携样品箱</w:t>
                  </w:r>
                </w:p>
              </w:tc>
              <w:tc>
                <w:tcPr>
                  <w:tcW w:w="2419" w:type="pct"/>
                  <w:shd w:val="clear" w:color="auto" w:fill="auto"/>
                  <w:noWrap w:val="0"/>
                  <w:vAlign w:val="center"/>
                </w:tcPr>
                <w:p>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与采样瓶适配，可同时盛放≥15个采样瓶</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采样瓶</w:t>
                  </w:r>
                </w:p>
              </w:tc>
              <w:tc>
                <w:tcPr>
                  <w:tcW w:w="2419" w:type="pct"/>
                  <w:noWrap w:val="0"/>
                  <w:vAlign w:val="center"/>
                </w:tcPr>
                <w:p>
                  <w:pPr>
                    <w:pageBreakBefore w:val="0"/>
                    <w:kinsoku/>
                    <w:wordWrap/>
                    <w:overflowPunct/>
                    <w:topLinePunct w:val="0"/>
                    <w:autoSpaceDE/>
                    <w:autoSpaceDN/>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与自动采样器适配，含配套盖子</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1000mL废液瓶</w:t>
                  </w:r>
                </w:p>
              </w:tc>
              <w:tc>
                <w:tcPr>
                  <w:tcW w:w="24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废液桶</w:t>
                  </w:r>
                </w:p>
              </w:tc>
              <w:tc>
                <w:tcPr>
                  <w:tcW w:w="24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10L</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其他相关配件</w:t>
                  </w:r>
                </w:p>
              </w:tc>
              <w:tc>
                <w:tcPr>
                  <w:tcW w:w="24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1" w:type="pct"/>
                  <w:vMerge w:val="continue"/>
                  <w:noWrap w:val="0"/>
                  <w:vAlign w:val="center"/>
                </w:tcPr>
                <w:p>
                  <w:pPr>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p>
              </w:tc>
              <w:tc>
                <w:tcPr>
                  <w:tcW w:w="13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专用工具包</w:t>
                  </w:r>
                </w:p>
              </w:tc>
              <w:tc>
                <w:tcPr>
                  <w:tcW w:w="24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bl>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2.工作条件</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2.1工作环境温度：10</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GB" w:eastAsia="zh-CN"/>
              </w:rPr>
              <w:t>40℃。</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2.2工作环境</w:t>
            </w:r>
            <w:r>
              <w:rPr>
                <w:rFonts w:hint="eastAsia" w:ascii="宋体" w:hAnsi="宋体" w:eastAsia="宋体" w:cs="宋体"/>
                <w:b w:val="0"/>
                <w:bCs w:val="0"/>
                <w:color w:val="auto"/>
                <w:sz w:val="21"/>
                <w:szCs w:val="21"/>
                <w:highlight w:val="none"/>
                <w:lang w:val="en-US" w:eastAsia="zh-CN"/>
              </w:rPr>
              <w:t>相对</w:t>
            </w:r>
            <w:r>
              <w:rPr>
                <w:rFonts w:hint="eastAsia" w:ascii="宋体" w:hAnsi="宋体" w:eastAsia="宋体" w:cs="宋体"/>
                <w:b w:val="0"/>
                <w:bCs w:val="0"/>
                <w:color w:val="auto"/>
                <w:sz w:val="21"/>
                <w:szCs w:val="21"/>
                <w:highlight w:val="none"/>
                <w:lang w:val="en-GB" w:eastAsia="zh-CN"/>
              </w:rPr>
              <w:t>湿度：20%～80%。</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GB" w:eastAsia="zh-CN"/>
              </w:rPr>
              <w:t>2.3电源：</w:t>
            </w:r>
            <w:r>
              <w:rPr>
                <w:rFonts w:hint="eastAsia" w:ascii="宋体" w:hAnsi="宋体" w:eastAsia="宋体" w:cs="宋体"/>
                <w:b w:val="0"/>
                <w:bCs w:val="0"/>
                <w:color w:val="auto"/>
                <w:sz w:val="21"/>
                <w:szCs w:val="21"/>
                <w:highlight w:val="none"/>
                <w:lang w:val="en-US" w:eastAsia="zh-CN"/>
              </w:rPr>
              <w:t>AC 200V～240v</w:t>
            </w:r>
            <w:r>
              <w:rPr>
                <w:rFonts w:hint="eastAsia" w:ascii="宋体" w:hAnsi="宋体" w:eastAsia="宋体" w:cs="宋体"/>
                <w:b w:val="0"/>
                <w:bCs w:val="0"/>
                <w:color w:val="auto"/>
                <w:sz w:val="21"/>
                <w:szCs w:val="21"/>
                <w:highlight w:val="none"/>
                <w:lang w:val="en-GB" w:eastAsia="zh-CN"/>
              </w:rPr>
              <w:t>。</w:t>
            </w:r>
          </w:p>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3.仪器用途</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 xml:space="preserve">3.1 </w:t>
            </w:r>
            <w:r>
              <w:rPr>
                <w:rFonts w:hint="eastAsia" w:ascii="宋体" w:hAnsi="宋体" w:eastAsia="宋体" w:cs="宋体"/>
                <w:b w:val="0"/>
                <w:bCs w:val="0"/>
                <w:color w:val="auto"/>
                <w:sz w:val="21"/>
                <w:szCs w:val="21"/>
                <w:highlight w:val="none"/>
                <w:lang w:val="en-GB" w:eastAsia="zh-CN"/>
              </w:rPr>
              <w:t>适用于</w:t>
            </w:r>
            <w:r>
              <w:rPr>
                <w:rFonts w:hint="eastAsia" w:ascii="宋体" w:hAnsi="宋体" w:eastAsia="宋体" w:cs="宋体"/>
                <w:b w:val="0"/>
                <w:bCs w:val="0"/>
                <w:color w:val="auto"/>
                <w:sz w:val="21"/>
                <w:szCs w:val="21"/>
                <w:highlight w:val="none"/>
                <w:lang w:val="en-US" w:eastAsia="zh-CN"/>
              </w:rPr>
              <w:t>地表水、地下水、</w:t>
            </w:r>
            <w:r>
              <w:rPr>
                <w:rFonts w:hint="eastAsia" w:ascii="宋体" w:hAnsi="宋体" w:eastAsia="宋体" w:cs="宋体"/>
                <w:b w:val="0"/>
                <w:bCs w:val="0"/>
                <w:color w:val="auto"/>
                <w:sz w:val="21"/>
                <w:szCs w:val="21"/>
                <w:highlight w:val="none"/>
                <w:lang w:val="en-GB" w:eastAsia="zh-CN"/>
              </w:rPr>
              <w:t>工业废水和生活污水中石油类和动植物油类的测定。</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GB" w:eastAsia="zh-CN"/>
              </w:rPr>
            </w:pPr>
            <w:r>
              <w:rPr>
                <w:rFonts w:hint="eastAsia" w:ascii="宋体" w:hAnsi="宋体" w:eastAsia="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val="en-GB" w:eastAsia="zh-CN"/>
              </w:rPr>
              <w:t>满足《水质石油类和动植物油</w:t>
            </w:r>
            <w:r>
              <w:rPr>
                <w:rFonts w:hint="eastAsia" w:ascii="宋体" w:hAnsi="宋体" w:eastAsia="宋体" w:cs="宋体"/>
                <w:b w:val="0"/>
                <w:bCs w:val="0"/>
                <w:color w:val="auto"/>
                <w:sz w:val="21"/>
                <w:szCs w:val="21"/>
                <w:highlight w:val="none"/>
                <w:lang w:val="en-US" w:eastAsia="zh-CN"/>
              </w:rPr>
              <w:t>类</w:t>
            </w:r>
            <w:r>
              <w:rPr>
                <w:rFonts w:hint="eastAsia" w:ascii="宋体" w:hAnsi="宋体" w:eastAsia="宋体" w:cs="宋体"/>
                <w:b w:val="0"/>
                <w:bCs w:val="0"/>
                <w:color w:val="auto"/>
                <w:sz w:val="21"/>
                <w:szCs w:val="21"/>
                <w:highlight w:val="none"/>
                <w:lang w:val="en-GB" w:eastAsia="zh-CN"/>
              </w:rPr>
              <w:t>的测定红外分光光度法》（HJ</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GB" w:eastAsia="zh-CN"/>
              </w:rPr>
              <w:t>637-2018）、《土壤石油类的测定红外分光光度法》（HJ</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GB" w:eastAsia="zh-CN"/>
              </w:rPr>
              <w:t>1051-2019）、《固定污染源废气油烟和油雾的测定红外分光光度法》（HJ</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GB" w:eastAsia="zh-CN"/>
              </w:rPr>
              <w:t>1077-2019）</w:t>
            </w:r>
            <w:r>
              <w:rPr>
                <w:rFonts w:hint="eastAsia" w:ascii="宋体" w:hAnsi="宋体" w:eastAsia="宋体" w:cs="宋体"/>
                <w:b w:val="0"/>
                <w:bCs w:val="0"/>
                <w:color w:val="auto"/>
                <w:sz w:val="21"/>
                <w:szCs w:val="21"/>
                <w:highlight w:val="none"/>
                <w:lang w:val="en-US" w:eastAsia="zh-CN"/>
              </w:rPr>
              <w:t>等有关红外法测定油类的国家</w:t>
            </w:r>
            <w:r>
              <w:rPr>
                <w:rFonts w:hint="eastAsia" w:ascii="宋体" w:hAnsi="宋体" w:eastAsia="宋体" w:cs="宋体"/>
                <w:b w:val="0"/>
                <w:bCs w:val="0"/>
                <w:color w:val="auto"/>
                <w:sz w:val="21"/>
                <w:szCs w:val="21"/>
                <w:highlight w:val="none"/>
                <w:lang w:val="en-GB" w:eastAsia="zh-CN"/>
              </w:rPr>
              <w:t>标准方法的</w:t>
            </w:r>
            <w:r>
              <w:rPr>
                <w:rFonts w:hint="eastAsia" w:ascii="宋体" w:hAnsi="宋体" w:eastAsia="宋体" w:cs="宋体"/>
                <w:b w:val="0"/>
                <w:bCs w:val="0"/>
                <w:color w:val="auto"/>
                <w:sz w:val="21"/>
                <w:szCs w:val="21"/>
                <w:highlight w:val="none"/>
                <w:lang w:val="en-US" w:eastAsia="zh-CN"/>
              </w:rPr>
              <w:t>分析</w:t>
            </w:r>
            <w:r>
              <w:rPr>
                <w:rFonts w:hint="eastAsia" w:ascii="宋体" w:hAnsi="宋体" w:eastAsia="宋体" w:cs="宋体"/>
                <w:b w:val="0"/>
                <w:bCs w:val="0"/>
                <w:color w:val="auto"/>
                <w:sz w:val="21"/>
                <w:szCs w:val="21"/>
                <w:highlight w:val="none"/>
                <w:lang w:val="en-GB" w:eastAsia="zh-CN"/>
              </w:rPr>
              <w:t>要求。</w:t>
            </w:r>
          </w:p>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4.技术参数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4.1仪器需包含但不限于前处理单元、检测单元、数据分析单元，可相互联机工作，亦可分别独立使用，独立使用时可适用于油烟和油雾的测定。</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4.2联机工作时从水样的体积读取，萃取、分离、吸附到进样、分析、清洗、排废等全流程实现自动化。</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4.3分离方式：萃取、分离管、隔水膜三次分离。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4.4体积输入：仪器自动读取传输至软件界面。</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■4.5采样方式：兼容市售500mL和1000mL广口瓶现场采样，直接上机萃取，自动测量、自动读取水样体积，样品无需转移。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4.6校正方法：标准物质校正、标准曲线校正、单点快速校正。</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▲4.7样品位：≥10位，支持批量连续做样，兼容500mL和1000mL广口瓶。</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■4.8测量时间：单个样品测量耗时≤10分钟。</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4.9紧急样品可中途加样，标记优先样品，对于标记优先样品优先测量。</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4.10测量前蠕动泵自动闭合，避免因人工操作失误导致样品没有转移，测量失效，测量结束蠕动泵自动打开，避免泵管长期夹住导致泵管失去弹性无法工作，使用寿命减少。</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▲4.10对于乳化水样，仪器可以自动添加破乳剂。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4.11自带废气处理装置和废液回收装置，废液中的试剂与水完全自动分离，废水自动排放，有毒有机试剂自动收集。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4.12测量范围：0～50000mg/L，超量可自动稀释。</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■4.13检出限：＜0.06mg/L（500mL水样，萃取液体积50mL）。</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4.14精密度：RSD&lt;2%（1.0mg/L左右浓度标液，连续测定6次）。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4.15准确度：使用至少1个有证标准物质进行检验，测定结果在证书质控要求范围内。</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4.16注射泵精密度：RSD&lt;0.05%（重复10次、20次，注射25mL水，重量法称重）；RSD&lt;0.5%（重复10次，注射2.5mL水，重量法称重）。</w:t>
            </w:r>
          </w:p>
          <w:p>
            <w:pPr>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5.数据处理系统</w:t>
            </w:r>
          </w:p>
          <w:p>
            <w:pPr>
              <w:pageBreakBefore w:val="0"/>
              <w:kinsoku/>
              <w:wordWrap/>
              <w:overflowPunct/>
              <w:topLinePunct w:val="0"/>
              <w:autoSpaceDE/>
              <w:autoSpaceDN/>
              <w:bidi w:val="0"/>
              <w:adjustRightInd/>
              <w:spacing w:line="360" w:lineRule="auto"/>
              <w:ind w:firstLine="420" w:firstLineChars="200"/>
              <w:textAlignment w:val="auto"/>
              <w:outlineLvl w:val="3"/>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数据输出和输入系统1套（品牌计算机，I5十二代及以上， 内存16G及以上， DVD刻录， 固态硬盘1T以上， ≥22液晶专用显示器，中文正版Win10 64位专业系统；A4黑白激光打印机1套。）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超纯水机</w:t>
            </w:r>
          </w:p>
        </w:tc>
        <w:tc>
          <w:tcPr>
            <w:tcW w:w="9188" w:type="dxa"/>
            <w:vAlign w:val="center"/>
          </w:tcPr>
          <w:p>
            <w:pPr>
              <w:pStyle w:val="5"/>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SA"/>
              </w:rPr>
              <w:t>1.</w:t>
            </w:r>
            <w:r>
              <w:rPr>
                <w:rFonts w:hint="eastAsia" w:ascii="宋体" w:hAnsi="宋体" w:eastAsia="宋体" w:cs="宋体"/>
                <w:b/>
                <w:bCs/>
                <w:sz w:val="21"/>
                <w:szCs w:val="21"/>
              </w:rPr>
              <w:t>主机配置及配件</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573"/>
              <w:gridCol w:w="4700"/>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6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主机</w:t>
                  </w: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超纯水机</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标准配置</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restart"/>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配件</w:t>
                  </w: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纯化柱</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含PP纯化柱、活性碳纤维PC纯化柱，进口反渗透柱、超纯化柱等。</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取水手臂</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终端微滤器</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bCs/>
                      <w:sz w:val="21"/>
                      <w:szCs w:val="21"/>
                    </w:rPr>
                  </w:pPr>
                  <w:r>
                    <w:rPr>
                      <w:rFonts w:hint="eastAsia" w:ascii="宋体" w:hAnsi="宋体" w:eastAsia="宋体" w:cs="宋体"/>
                      <w:bCs/>
                      <w:sz w:val="21"/>
                      <w:szCs w:val="21"/>
                    </w:rPr>
                    <w:t>孔径≤0.22μm</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紫外线杀菌装置</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bCs/>
                      <w:sz w:val="21"/>
                      <w:szCs w:val="21"/>
                    </w:rPr>
                  </w:pPr>
                  <w:r>
                    <w:rPr>
                      <w:rFonts w:hint="eastAsia" w:ascii="宋体" w:hAnsi="宋体" w:eastAsia="宋体" w:cs="宋体"/>
                      <w:bCs/>
                      <w:sz w:val="21"/>
                      <w:szCs w:val="21"/>
                    </w:rPr>
                    <w:t>185/254nm</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60" w:type="dxa"/>
                  <w:vMerge w:val="continue"/>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Cs/>
                      <w:sz w:val="21"/>
                      <w:szCs w:val="21"/>
                    </w:rPr>
                  </w:pP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无菌水箱</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bCs/>
                      <w:sz w:val="21"/>
                      <w:szCs w:val="21"/>
                      <w:lang w:val="en-US" w:eastAsia="zh-CN"/>
                    </w:rPr>
                  </w:pPr>
                  <w:bookmarkStart w:id="111" w:name="OLE_LINK2"/>
                  <w:r>
                    <w:rPr>
                      <w:rFonts w:hint="eastAsia" w:ascii="宋体" w:hAnsi="宋体" w:eastAsia="宋体" w:cs="宋体"/>
                      <w:bCs/>
                      <w:sz w:val="21"/>
                      <w:szCs w:val="21"/>
                    </w:rPr>
                    <w:t>≥</w:t>
                  </w:r>
                  <w:r>
                    <w:rPr>
                      <w:rFonts w:hint="eastAsia" w:ascii="宋体" w:hAnsi="宋体" w:eastAsia="宋体" w:cs="宋体"/>
                      <w:bCs/>
                      <w:sz w:val="21"/>
                      <w:szCs w:val="21"/>
                      <w:lang w:val="en-US" w:eastAsia="zh-CN"/>
                    </w:rPr>
                    <w:t>15L</w:t>
                  </w:r>
                  <w:r>
                    <w:rPr>
                      <w:rFonts w:hint="eastAsia" w:ascii="宋体" w:hAnsi="宋体" w:eastAsia="宋体" w:cs="宋体"/>
                      <w:bCs/>
                      <w:sz w:val="21"/>
                      <w:szCs w:val="21"/>
                    </w:rPr>
                    <w:t>，带空气过滤器</w:t>
                  </w:r>
                  <w:bookmarkEnd w:id="111"/>
                  <w:r>
                    <w:rPr>
                      <w:rFonts w:hint="eastAsia" w:ascii="宋体" w:hAnsi="宋体" w:eastAsia="宋体" w:cs="宋体"/>
                      <w:bCs/>
                      <w:sz w:val="21"/>
                      <w:szCs w:val="21"/>
                      <w:lang w:val="en-US" w:eastAsia="zh-CN"/>
                    </w:rPr>
                    <w:t>和紫外</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0" w:type="dxa"/>
                  <w:vMerge w:val="continue"/>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color w:val="000000"/>
                      <w:sz w:val="21"/>
                      <w:szCs w:val="21"/>
                    </w:rPr>
                  </w:pPr>
                </w:p>
              </w:tc>
              <w:tc>
                <w:tcPr>
                  <w:tcW w:w="157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维修（护）工具包</w:t>
                  </w:r>
                </w:p>
              </w:tc>
              <w:tc>
                <w:tcPr>
                  <w:tcW w:w="4700"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389"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bl>
          <w:p>
            <w:pPr>
              <w:pageBreakBefore w:val="0"/>
              <w:numPr>
                <w:ilvl w:val="0"/>
                <w:numId w:val="0"/>
              </w:numPr>
              <w:kinsoku/>
              <w:wordWrap/>
              <w:overflowPunct/>
              <w:topLinePunct w:val="0"/>
              <w:autoSpaceDE/>
              <w:autoSpaceDN/>
              <w:bidi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lang w:val="en-US" w:eastAsia="zh-CN"/>
              </w:rPr>
              <w:t>技术指标</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2.1.</w:t>
            </w:r>
            <w:r>
              <w:rPr>
                <w:rFonts w:hint="eastAsia" w:ascii="宋体" w:hAnsi="宋体" w:eastAsia="宋体" w:cs="宋体"/>
                <w:sz w:val="21"/>
                <w:szCs w:val="21"/>
              </w:rPr>
              <w:t>以城市自来水为水源，</w:t>
            </w:r>
            <w:r>
              <w:rPr>
                <w:rFonts w:hint="eastAsia" w:ascii="宋体" w:hAnsi="宋体" w:eastAsia="宋体" w:cs="宋体"/>
                <w:sz w:val="21"/>
                <w:szCs w:val="21"/>
                <w:lang w:val="en-US" w:eastAsia="zh-CN"/>
              </w:rPr>
              <w:t>配预处理立柱，</w:t>
            </w:r>
            <w:r>
              <w:rPr>
                <w:rFonts w:hint="eastAsia" w:ascii="宋体" w:hAnsi="宋体" w:eastAsia="宋体" w:cs="宋体"/>
                <w:sz w:val="21"/>
                <w:szCs w:val="21"/>
              </w:rPr>
              <w:t>可同时生产、超纯水、RO纯水。</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2.2.</w:t>
            </w:r>
            <w:r>
              <w:rPr>
                <w:rFonts w:hint="eastAsia" w:ascii="宋体" w:hAnsi="宋体" w:eastAsia="宋体" w:cs="宋体"/>
                <w:sz w:val="21"/>
                <w:szCs w:val="21"/>
              </w:rPr>
              <w:t>制水量≥</w:t>
            </w:r>
            <w:r>
              <w:rPr>
                <w:rFonts w:hint="eastAsia" w:ascii="宋体" w:hAnsi="宋体" w:eastAsia="宋体" w:cs="宋体"/>
                <w:sz w:val="21"/>
                <w:szCs w:val="21"/>
                <w:lang w:val="en-US" w:eastAsia="zh-CN"/>
              </w:rPr>
              <w:t>15</w:t>
            </w:r>
            <w:r>
              <w:rPr>
                <w:rFonts w:hint="eastAsia" w:ascii="宋体" w:hAnsi="宋体" w:eastAsia="宋体" w:cs="宋体"/>
                <w:sz w:val="21"/>
                <w:szCs w:val="21"/>
              </w:rPr>
              <w:t>L/h，产水水质：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"mailto:纯水---电导率1μs/cm*@25℃（在线监测），UP超纯水---电阻率18.25MΩ.cm*@25℃（在线监测）" </w:instrText>
            </w:r>
            <w:r>
              <w:rPr>
                <w:rFonts w:hint="eastAsia" w:ascii="宋体" w:hAnsi="宋体" w:eastAsia="宋体" w:cs="宋体"/>
                <w:sz w:val="21"/>
                <w:szCs w:val="21"/>
              </w:rPr>
              <w:fldChar w:fldCharType="separate"/>
            </w:r>
            <w:r>
              <w:rPr>
                <w:rFonts w:hint="eastAsia" w:ascii="宋体" w:hAnsi="宋体" w:eastAsia="宋体" w:cs="宋体"/>
                <w:sz w:val="21"/>
                <w:szCs w:val="21"/>
              </w:rPr>
              <w:t>纯水电阻率&gt;0.2 MΩ.cm（25℃），吸光度（254nm,1cm光程：≤0.001），微粒及细菌去除率&gt;99%；超纯水</w:t>
            </w:r>
            <w:bookmarkStart w:id="112" w:name="_Hlk190018939"/>
            <w:r>
              <w:rPr>
                <w:rFonts w:hint="eastAsia" w:ascii="宋体" w:hAnsi="宋体" w:eastAsia="宋体" w:cs="宋体"/>
                <w:sz w:val="21"/>
                <w:szCs w:val="21"/>
              </w:rPr>
              <w:t>电阻率</w:t>
            </w:r>
            <w:bookmarkEnd w:id="112"/>
            <w:r>
              <w:rPr>
                <w:rFonts w:hint="eastAsia" w:ascii="宋体" w:hAnsi="宋体" w:eastAsia="宋体" w:cs="宋体"/>
                <w:sz w:val="21"/>
                <w:szCs w:val="21"/>
              </w:rPr>
              <w:t>达到18.2MΩ.cm（25℃），电导率达到0.055μs/cm（25℃）</w:t>
            </w:r>
            <w:r>
              <w:rPr>
                <w:rFonts w:hint="eastAsia" w:ascii="宋体" w:hAnsi="宋体" w:eastAsia="宋体" w:cs="宋体"/>
                <w:sz w:val="21"/>
                <w:szCs w:val="21"/>
              </w:rPr>
              <w:fldChar w:fldCharType="end"/>
            </w:r>
            <w:r>
              <w:rPr>
                <w:rFonts w:hint="eastAsia" w:ascii="宋体" w:hAnsi="宋体" w:eastAsia="宋体" w:cs="宋体"/>
                <w:sz w:val="21"/>
                <w:szCs w:val="21"/>
              </w:rPr>
              <w:t>，TOC≤2ppb，微粒&lt;1/mL(&gt;0.2μm)，细菌&lt;0.01CFU/mL。</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2.3.</w:t>
            </w:r>
            <w:r>
              <w:rPr>
                <w:rFonts w:hint="eastAsia" w:ascii="宋体" w:hAnsi="宋体" w:eastAsia="宋体" w:cs="宋体"/>
                <w:sz w:val="21"/>
                <w:szCs w:val="21"/>
              </w:rPr>
              <w:t>超纯水机可连接到LIMS实验室信息管理系统，具有可导出运行数据的USB接口。</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2.4.</w:t>
            </w:r>
            <w:r>
              <w:rPr>
                <w:rFonts w:hint="eastAsia" w:ascii="宋体" w:hAnsi="宋体" w:eastAsia="宋体" w:cs="宋体"/>
                <w:sz w:val="21"/>
                <w:szCs w:val="21"/>
              </w:rPr>
              <w:t>取水手臂</w:t>
            </w:r>
            <w:r>
              <w:rPr>
                <w:rFonts w:hint="eastAsia" w:ascii="宋体" w:hAnsi="宋体" w:eastAsia="宋体" w:cs="宋体"/>
                <w:sz w:val="21"/>
                <w:szCs w:val="21"/>
                <w:lang w:val="en-US" w:eastAsia="zh-CN"/>
              </w:rPr>
              <w:t>或主机</w:t>
            </w:r>
            <w:r>
              <w:rPr>
                <w:rFonts w:hint="eastAsia" w:ascii="宋体" w:hAnsi="宋体" w:eastAsia="宋体" w:cs="宋体"/>
                <w:sz w:val="21"/>
                <w:szCs w:val="21"/>
              </w:rPr>
              <w:t>配有显示屏，可在线监测取水电阻率、水温、流速、取水量等信息，具有常规、定量、即时3种取水模式，出口端装终端微滤器。</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2.5.</w:t>
            </w:r>
            <w:r>
              <w:rPr>
                <w:rFonts w:hint="eastAsia" w:ascii="宋体" w:hAnsi="宋体" w:eastAsia="宋体" w:cs="宋体"/>
                <w:sz w:val="21"/>
                <w:szCs w:val="21"/>
              </w:rPr>
              <w:t>无菌水箱，总体积</w:t>
            </w:r>
            <w:r>
              <w:rPr>
                <w:rFonts w:hint="eastAsia" w:ascii="宋体" w:hAnsi="宋体" w:eastAsia="宋体" w:cs="宋体"/>
                <w:sz w:val="21"/>
                <w:szCs w:val="21"/>
                <w:lang w:val="en-US" w:eastAsia="zh-CN"/>
              </w:rPr>
              <w:t>≥30</w:t>
            </w:r>
            <w:r>
              <w:rPr>
                <w:rFonts w:hint="eastAsia" w:ascii="宋体" w:hAnsi="宋体" w:eastAsia="宋体" w:cs="宋体"/>
                <w:sz w:val="21"/>
                <w:szCs w:val="21"/>
              </w:rPr>
              <w:t>升，带空气过滤器。</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2.6.</w:t>
            </w:r>
            <w:r>
              <w:rPr>
                <w:rFonts w:hint="eastAsia" w:ascii="宋体" w:hAnsi="宋体" w:eastAsia="宋体" w:cs="宋体"/>
                <w:sz w:val="21"/>
                <w:szCs w:val="21"/>
              </w:rPr>
              <w:t>超纯水配185/254双波长紫外灯。</w:t>
            </w:r>
          </w:p>
          <w:p>
            <w:pPr>
              <w:pageBreakBefore w:val="0"/>
              <w:numPr>
                <w:ilvl w:val="1"/>
                <w:numId w:val="0"/>
              </w:numPr>
              <w:kinsoku/>
              <w:wordWrap/>
              <w:overflowPunct/>
              <w:topLinePunct w:val="0"/>
              <w:autoSpaceDE/>
              <w:autoSpaceDN/>
              <w:bidi w:val="0"/>
              <w:spacing w:line="360" w:lineRule="auto"/>
              <w:ind w:left="567" w:leftChars="0" w:hanging="567"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2"/>
                <w:sz w:val="21"/>
                <w:szCs w:val="21"/>
                <w:lang w:val="en-US" w:eastAsia="zh-CN" w:bidi="ar-SA"/>
              </w:rPr>
              <w:t>2.7.</w:t>
            </w:r>
            <w:r>
              <w:rPr>
                <w:rFonts w:hint="eastAsia" w:ascii="宋体" w:hAnsi="宋体" w:eastAsia="宋体" w:cs="宋体"/>
                <w:sz w:val="21"/>
                <w:szCs w:val="21"/>
              </w:rPr>
              <w:t>彩色触摸屏操作，可任意设置定时、定量取水，具有不少于3年历史数据查询功能，水箱储量、取水量、滤芯和水质状况（温度、电阻率、TOC等）等数据实时显示，具有更换纯化柱、水质异常和漏水报警以及系统自动清洗等维护信息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便携式离心机</w:t>
            </w:r>
          </w:p>
        </w:tc>
        <w:tc>
          <w:tcPr>
            <w:tcW w:w="9188" w:type="dxa"/>
            <w:vAlign w:val="center"/>
          </w:tcPr>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1、体积小巧、拉杆箱一体式设计、耗电量低、适配便携式移动电源、便于现场操作。</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2、操作简单，一键式操作，免维护。</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3、独有的腔体设计，整体结构厚实可靠，腔体外设计自动通风循环系统，电路板全部悬挂，具有很好的防潮效果。</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4、离心腔腔内与盖子风道形成循环风道系统，使整个腔体、电机等部件保持极好的散热作用，提高整机的稳定性能及高可靠性。</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5、风道结构采用独创的半圆弧形特殊点位结构使其达到最佳的散热传热效果。</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6、内部采用独创的复合多层环保高密度材料，具有极强的隔音隔热作用。</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7、最佳三角平衡点牢牢地固定在电机底部，使整套系统运行平稳，高可靠性，高稳定性。</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8、仪器用于地表水、地下水、废水的户外现场水质离心处理。</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▲9、转速0-2500r/min可调或2000r/min，最大容量</w:t>
            </w:r>
            <w:r>
              <w:rPr>
                <w:rFonts w:hint="eastAsia" w:ascii="宋体" w:hAnsi="宋体" w:eastAsia="宋体" w:cs="宋体"/>
                <w:sz w:val="21"/>
                <w:szCs w:val="21"/>
                <w:lang w:val="en-US"/>
              </w:rPr>
              <w:t>4*300</w:t>
            </w:r>
            <w:r>
              <w:rPr>
                <w:rFonts w:hint="eastAsia" w:ascii="宋体" w:hAnsi="宋体" w:eastAsia="宋体" w:cs="宋体"/>
                <w:sz w:val="21"/>
                <w:szCs w:val="21"/>
                <w:lang w:val="en-US" w:eastAsia="zh-CN"/>
              </w:rPr>
              <w:t>或≥1000</w:t>
            </w:r>
            <w:r>
              <w:rPr>
                <w:rFonts w:hint="eastAsia" w:ascii="宋体" w:hAnsi="宋体" w:eastAsia="宋体" w:cs="宋体"/>
                <w:sz w:val="21"/>
                <w:szCs w:val="21"/>
              </w:rPr>
              <w:t>ml</w:t>
            </w:r>
          </w:p>
          <w:p>
            <w:pPr>
              <w:pageBreakBefore w:val="0"/>
              <w:kinsoku/>
              <w:wordWrap/>
              <w:overflowPunct/>
              <w:topLinePunct w:val="0"/>
              <w:autoSpaceDE/>
              <w:autoSpaceDN/>
              <w:bidi w:val="0"/>
              <w:spacing w:after="0"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、相对离心力</w:t>
            </w:r>
            <w:r>
              <w:rPr>
                <w:rFonts w:hint="eastAsia" w:ascii="宋体" w:hAnsi="宋体" w:eastAsia="宋体" w:cs="宋体"/>
                <w:color w:val="000000" w:themeColor="text1"/>
                <w:sz w:val="21"/>
                <w:szCs w:val="21"/>
                <w:lang w:val="en-US" w:eastAsia="zh-CN"/>
                <w14:textFill>
                  <w14:solidFill>
                    <w14:schemeClr w14:val="tx1"/>
                  </w14:solidFill>
                </w14:textFill>
              </w:rPr>
              <w:t>≥1091</w:t>
            </w:r>
            <w:r>
              <w:rPr>
                <w:rFonts w:hint="eastAsia" w:ascii="宋体" w:hAnsi="宋体" w:eastAsia="宋体" w:cs="宋体"/>
                <w:color w:val="000000" w:themeColor="text1"/>
                <w:sz w:val="21"/>
                <w:szCs w:val="21"/>
                <w14:textFill>
                  <w14:solidFill>
                    <w14:schemeClr w14:val="tx1"/>
                  </w14:solidFill>
                </w14:textFill>
              </w:rPr>
              <w:t>xg</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、时间设置：1min-99min</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、转速精度：±20r/min</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、能够在野外，没有交流电源的情况下正常工作。</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、仪器不需要额外添加任何配件配置，即可开展以上工作并达到以上功能、性能及技术指标要求。</w:t>
            </w:r>
          </w:p>
          <w:p>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、基本配置：主机1台，</w:t>
            </w:r>
            <w:r>
              <w:rPr>
                <w:rFonts w:hint="eastAsia" w:ascii="宋体" w:hAnsi="宋体" w:eastAsia="宋体" w:cs="宋体"/>
                <w:sz w:val="21"/>
                <w:szCs w:val="21"/>
                <w:lang w:val="en-US" w:eastAsia="zh-CN"/>
              </w:rPr>
              <w:t>≥</w:t>
            </w:r>
            <w:r>
              <w:rPr>
                <w:rFonts w:hint="eastAsia" w:ascii="宋体" w:hAnsi="宋体" w:eastAsia="宋体" w:cs="宋体"/>
                <w:sz w:val="21"/>
                <w:szCs w:val="21"/>
              </w:rPr>
              <w:t>4个离心瓶。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7</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专用药品柜</w:t>
            </w:r>
          </w:p>
        </w:tc>
        <w:tc>
          <w:tcPr>
            <w:tcW w:w="9188" w:type="dxa"/>
            <w:vAlign w:val="center"/>
          </w:tcPr>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1.金属部分材质：镀锌钢板，并涂有抗酸碱的环氧聚酯涂层；</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2. 柜体需配可调节功能支脚；</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3.层板材质：层板采用聚丙烯（PP）材质一次冲压成型；</w:t>
            </w:r>
          </w:p>
          <w:p>
            <w:pPr>
              <w:pageBreakBefore w:val="0"/>
              <w:kinsoku/>
              <w:wordWrap/>
              <w:overflowPunct/>
              <w:topLinePunct w:val="0"/>
              <w:autoSpaceDE/>
              <w:autoSpaceDN/>
              <w:bidi w:val="0"/>
              <w:spacing w:after="0" w:line="360" w:lineRule="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容积：</w:t>
            </w:r>
            <w:r>
              <w:rPr>
                <w:rFonts w:hint="eastAsia" w:ascii="宋体" w:hAnsi="宋体" w:eastAsia="宋体" w:cs="宋体"/>
                <w:b w:val="0"/>
                <w:bCs w:val="0"/>
                <w:color w:val="auto"/>
                <w:sz w:val="21"/>
                <w:szCs w:val="21"/>
                <w:highlight w:val="none"/>
                <w:lang w:val="en-US" w:eastAsia="zh-CN"/>
              </w:rPr>
              <w:t>≥630L</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显示屏： LED智能显示屏，显示过滤器工作温度，风机转速，门忘关报警器，过滤器寿命倒计时，过滤器出风口TVOC浓度探头，风机转速用户可根据使用情况调节保证柜体内负压</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.过滤系统具备模块化功能，可针对液体或粉尘及混合实验，进行配置相应的过滤器。对常见的500种化学物质有吸附功能。</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 当储药柜未关门时，具备关门提醒功能</w:t>
            </w:r>
            <w:r>
              <w:rPr>
                <w:rFonts w:hint="eastAsia" w:ascii="宋体" w:hAnsi="宋体" w:cs="宋体"/>
                <w:sz w:val="21"/>
                <w:szCs w:val="21"/>
                <w:lang w:val="en-US" w:eastAsia="zh-CN"/>
              </w:rPr>
              <w:t>.</w:t>
            </w:r>
          </w:p>
          <w:p>
            <w:pPr>
              <w:pageBreakBefore w:val="0"/>
              <w:kinsoku/>
              <w:wordWrap/>
              <w:overflowPunct/>
              <w:topLinePunct w:val="0"/>
              <w:autoSpaceDE/>
              <w:autoSpaceDN/>
              <w:bidi w:val="0"/>
              <w:spacing w:after="0" w:line="360" w:lineRule="auto"/>
              <w:rPr>
                <w:rFonts w:hint="eastAsia" w:ascii="宋体" w:hAnsi="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 风机VAV联动，当门打开时风机转速自动调节增大，保证柜体内负压值</w:t>
            </w:r>
            <w:r>
              <w:rPr>
                <w:rFonts w:hint="eastAsia" w:ascii="宋体" w:hAnsi="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 标配过滤模块TVOC检测探头，实时在线显示出风口TVOC浓度值，精确到0.1PPM值</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配置清单：</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1.风机箱：</w:t>
            </w:r>
            <w:r>
              <w:rPr>
                <w:rFonts w:hint="eastAsia" w:ascii="宋体" w:hAnsi="宋体" w:eastAsia="宋体" w:cs="宋体"/>
                <w:sz w:val="21"/>
                <w:szCs w:val="21"/>
                <w:lang w:val="en-US" w:eastAsia="zh-CN"/>
              </w:rPr>
              <w:t>至少</w:t>
            </w:r>
            <w:r>
              <w:rPr>
                <w:rFonts w:hint="eastAsia" w:ascii="宋体" w:hAnsi="宋体" w:eastAsia="宋体" w:cs="宋体"/>
                <w:sz w:val="21"/>
                <w:szCs w:val="21"/>
              </w:rPr>
              <w:t xml:space="preserve">含1套风机； </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2.双柜体加透明门板：</w:t>
            </w:r>
            <w:r>
              <w:rPr>
                <w:rFonts w:hint="eastAsia" w:ascii="宋体" w:hAnsi="宋体" w:eastAsia="宋体" w:cs="宋体"/>
                <w:sz w:val="21"/>
                <w:szCs w:val="21"/>
                <w:lang w:val="en-US" w:eastAsia="zh-CN"/>
              </w:rPr>
              <w:t>≥</w:t>
            </w:r>
            <w:r>
              <w:rPr>
                <w:rFonts w:hint="eastAsia" w:ascii="宋体" w:hAnsi="宋体" w:eastAsia="宋体" w:cs="宋体"/>
                <w:sz w:val="21"/>
                <w:szCs w:val="21"/>
              </w:rPr>
              <w:t>6mm厚亚克力双门；</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3.门锁：双门双锁安全设计（符合双人管理）；</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.PP层板：</w:t>
            </w:r>
            <w:r>
              <w:rPr>
                <w:rFonts w:hint="eastAsia" w:ascii="宋体" w:hAnsi="宋体" w:eastAsia="宋体" w:cs="宋体"/>
                <w:sz w:val="21"/>
                <w:szCs w:val="21"/>
                <w:lang w:val="en-US" w:eastAsia="zh-CN"/>
              </w:rPr>
              <w:t>≥</w:t>
            </w:r>
            <w:r>
              <w:rPr>
                <w:rFonts w:hint="eastAsia" w:ascii="宋体" w:hAnsi="宋体" w:eastAsia="宋体" w:cs="宋体"/>
                <w:sz w:val="21"/>
                <w:szCs w:val="21"/>
              </w:rPr>
              <w:t>8块；</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2块同种规格的PP材质分子过滤器。</w:t>
            </w:r>
          </w:p>
          <w:p>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6</w:t>
            </w:r>
            <w:r>
              <w:rPr>
                <w:rFonts w:hint="eastAsia" w:ascii="宋体" w:hAnsi="宋体" w:eastAsia="宋体" w:cs="宋体"/>
                <w:sz w:val="21"/>
                <w:szCs w:val="21"/>
              </w:rPr>
              <w:t>.强酸储存盒</w:t>
            </w:r>
            <w:r>
              <w:rPr>
                <w:rFonts w:hint="eastAsia" w:ascii="宋体" w:hAnsi="宋体" w:eastAsia="宋体" w:cs="宋体"/>
                <w:sz w:val="21"/>
                <w:szCs w:val="21"/>
                <w:lang w:val="en-US" w:eastAsia="zh-CN"/>
              </w:rPr>
              <w:t>≥</w:t>
            </w:r>
            <w:r>
              <w:rPr>
                <w:rFonts w:hint="eastAsia" w:ascii="宋体" w:hAnsi="宋体" w:eastAsia="宋体" w:cs="宋体"/>
                <w:sz w:val="21"/>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瓶口分液器</w:t>
            </w:r>
          </w:p>
        </w:tc>
        <w:tc>
          <w:tcPr>
            <w:tcW w:w="9188" w:type="dxa"/>
            <w:vAlign w:val="center"/>
          </w:tcPr>
          <w:p>
            <w:pPr>
              <w:pStyle w:val="5"/>
              <w:pageBreakBefore w:val="0"/>
              <w:numPr>
                <w:ilvl w:val="0"/>
                <w:numId w:val="7"/>
              </w:numPr>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配置及配件</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493"/>
              <w:gridCol w:w="5172"/>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4"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p>
              </w:tc>
              <w:tc>
                <w:tcPr>
                  <w:tcW w:w="149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5172"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994"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主机</w:t>
                  </w:r>
                </w:p>
              </w:tc>
              <w:tc>
                <w:tcPr>
                  <w:tcW w:w="149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瓶口分液器</w:t>
                  </w:r>
                </w:p>
              </w:tc>
              <w:tc>
                <w:tcPr>
                  <w:tcW w:w="5172"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含：（0.5-5）ml；（5-50）ml；（10-100）ml各一台</w:t>
                  </w:r>
                </w:p>
              </w:tc>
              <w:tc>
                <w:tcPr>
                  <w:tcW w:w="994"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配件</w:t>
                  </w:r>
                </w:p>
              </w:tc>
              <w:tc>
                <w:tcPr>
                  <w:tcW w:w="1493"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进液管</w:t>
                  </w:r>
                </w:p>
              </w:tc>
              <w:tc>
                <w:tcPr>
                  <w:tcW w:w="5172"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94" w:type="dxa"/>
                  <w:noWrap w:val="0"/>
                  <w:vAlign w:val="center"/>
                </w:tcPr>
                <w:p>
                  <w:pPr>
                    <w:pageBreakBefore w:val="0"/>
                    <w:kinsoku/>
                    <w:wordWrap/>
                    <w:overflowPunct/>
                    <w:topLinePunct w:val="0"/>
                    <w:autoSpaceDE/>
                    <w:autoSpaceDN/>
                    <w:bidi w:val="0"/>
                    <w:snapToGrid w:val="0"/>
                    <w:spacing w:line="36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2根/台</w:t>
                  </w:r>
                </w:p>
              </w:tc>
            </w:tr>
          </w:tbl>
          <w:p>
            <w:pPr>
              <w:pageBreakBefore w:val="0"/>
              <w:widowControl/>
              <w:numPr>
                <w:ilvl w:val="0"/>
                <w:numId w:val="7"/>
              </w:numPr>
              <w:shd w:val="clear" w:color="auto" w:fill="FFFFFF"/>
              <w:kinsoku/>
              <w:wordWrap/>
              <w:overflowPunct/>
              <w:topLinePunct w:val="0"/>
              <w:autoSpaceDE/>
              <w:autoSpaceDN/>
              <w:bidi w:val="0"/>
              <w:spacing w:line="360" w:lineRule="auto"/>
              <w:ind w:left="425" w:leftChars="0" w:hanging="425"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技术指标</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lang w:eastAsia="zh-CN"/>
              </w:rPr>
              <w:t>能够量取盐酸、浓硫酸、硝酸、正己烷、三氯甲烷、四氯化碳等强腐蚀性、挥发性试剂。</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具有极强的化学耐受性；</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可高温消毒灭菌；</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采用PTFE、FEP、哈氏合金、 PP等材料制成；</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最大耐压500mbar，最大耐粘性500mm</w:t>
            </w:r>
            <w:r>
              <w:rPr>
                <w:rFonts w:hint="eastAsia" w:ascii="宋体" w:hAnsi="宋体" w:eastAsia="宋体" w:cs="宋体"/>
                <w:sz w:val="21"/>
                <w:szCs w:val="21"/>
                <w:vertAlign w:val="superscript"/>
              </w:rPr>
              <w:t>2</w:t>
            </w:r>
            <w:r>
              <w:rPr>
                <w:rFonts w:hint="eastAsia" w:ascii="宋体" w:hAnsi="宋体" w:eastAsia="宋体" w:cs="宋体"/>
                <w:sz w:val="21"/>
                <w:szCs w:val="21"/>
              </w:rPr>
              <w:t>/s，最大耐液体温度为40℃，最大耐液体密度2.2g/cm3；</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配备两根进液管，适配不同高度的瓶子；</w:t>
            </w:r>
          </w:p>
          <w:p>
            <w:pPr>
              <w:pageBreakBefore w:val="0"/>
              <w:widowControl/>
              <w:numPr>
                <w:ilvl w:val="1"/>
                <w:numId w:val="7"/>
              </w:numPr>
              <w:shd w:val="clear" w:color="auto" w:fill="FFFFFF"/>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rPr>
            </w:pPr>
            <w:r>
              <w:rPr>
                <w:rFonts w:hint="eastAsia" w:ascii="宋体" w:hAnsi="宋体" w:eastAsia="宋体" w:cs="宋体"/>
                <w:sz w:val="21"/>
                <w:szCs w:val="21"/>
              </w:rPr>
              <w:t>带有回流阀，可轻松回收多余试剂。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技术参数:</w:t>
            </w:r>
          </w:p>
          <w:p>
            <w:pPr>
              <w:pageBreakBefore w:val="0"/>
              <w:widowControl/>
              <w:shd w:val="clear" w:color="auto" w:fill="FFFFFF"/>
              <w:kinsoku/>
              <w:wordWrap/>
              <w:overflowPunct/>
              <w:topLinePunct w:val="0"/>
              <w:autoSpaceDE/>
              <w:autoSpaceDN/>
              <w:bidi w:val="0"/>
              <w:spacing w:line="360" w:lineRule="auto"/>
              <w:jc w:val="right"/>
              <w:rPr>
                <w:rFonts w:hint="eastAsia" w:ascii="宋体" w:hAnsi="宋体" w:eastAsia="宋体" w:cs="宋体"/>
                <w:sz w:val="21"/>
                <w:szCs w:val="21"/>
              </w:rPr>
            </w:pPr>
            <w:r>
              <w:rPr>
                <w:rFonts w:hint="eastAsia" w:ascii="宋体" w:hAnsi="宋体" w:eastAsia="宋体" w:cs="宋体"/>
                <w:sz w:val="21"/>
                <w:szCs w:val="21"/>
              </w:rPr>
              <w:t>A= 准确度 CV=偏差系数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2276"/>
              <w:gridCol w:w="1065"/>
              <w:gridCol w:w="1072"/>
              <w:gridCol w:w="106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9" w:type="pct"/>
                  <w:vMerge w:val="restar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量程范围ml</w:t>
                  </w:r>
                </w:p>
              </w:tc>
              <w:tc>
                <w:tcPr>
                  <w:tcW w:w="1269" w:type="pct"/>
                  <w:vMerge w:val="restar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刻度</w:t>
                  </w:r>
                  <w:r>
                    <w:rPr>
                      <w:rFonts w:hint="eastAsia" w:ascii="宋体" w:hAnsi="宋体" w:eastAsia="宋体" w:cs="宋体"/>
                      <w:sz w:val="21"/>
                      <w:szCs w:val="21"/>
                    </w:rPr>
                    <w:br w:type="textWrapping"/>
                  </w:r>
                  <w:r>
                    <w:rPr>
                      <w:rFonts w:hint="eastAsia" w:ascii="宋体" w:hAnsi="宋体" w:eastAsia="宋体" w:cs="宋体"/>
                      <w:sz w:val="21"/>
                      <w:szCs w:val="21"/>
                    </w:rPr>
                    <w:t>ml</w:t>
                  </w:r>
                </w:p>
              </w:tc>
              <w:tc>
                <w:tcPr>
                  <w:tcW w:w="1192" w:type="pct"/>
                  <w:gridSpan w:val="2"/>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A≤±</w:t>
                  </w:r>
                </w:p>
              </w:tc>
              <w:tc>
                <w:tcPr>
                  <w:tcW w:w="1097" w:type="pct"/>
                  <w:gridSpan w:val="2"/>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39" w:type="pct"/>
                  <w:vMerge w:val="continue"/>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p>
              </w:tc>
              <w:tc>
                <w:tcPr>
                  <w:tcW w:w="1269" w:type="pct"/>
                  <w:vMerge w:val="continue"/>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598"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μl</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503"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39"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0.5-5</w:t>
                  </w:r>
                </w:p>
              </w:tc>
              <w:tc>
                <w:tcPr>
                  <w:tcW w:w="1269"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0.1</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598"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503"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39"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5.0-50</w:t>
                  </w:r>
                </w:p>
              </w:tc>
              <w:tc>
                <w:tcPr>
                  <w:tcW w:w="1269"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598"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250</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503"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39"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10-100</w:t>
                  </w:r>
                </w:p>
              </w:tc>
              <w:tc>
                <w:tcPr>
                  <w:tcW w:w="1269"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c>
                <w:tcPr>
                  <w:tcW w:w="598"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500</w:t>
                  </w:r>
                </w:p>
              </w:tc>
              <w:tc>
                <w:tcPr>
                  <w:tcW w:w="594"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0.2</w:t>
                  </w:r>
                </w:p>
              </w:tc>
              <w:tc>
                <w:tcPr>
                  <w:tcW w:w="503" w:type="pct"/>
                  <w:vAlign w:val="center"/>
                </w:tcPr>
                <w:p>
                  <w:pPr>
                    <w:pageBreakBefore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200</w:t>
                  </w:r>
                </w:p>
              </w:tc>
            </w:tr>
          </w:tbl>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紫外分光光度计</w:t>
            </w:r>
          </w:p>
        </w:tc>
        <w:tc>
          <w:tcPr>
            <w:tcW w:w="9188" w:type="dxa"/>
            <w:vAlign w:val="center"/>
          </w:tcPr>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光学系统：双光束</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光谱带宽：1.8nm</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波长范围：190 ~ 1100 nm</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波长准确度：±0.3 nm</w:t>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波长重复性：≤0.2 nm</w:t>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波长显示：0.1 nm</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波长移动速度：5000 nm/min</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扫描速度：100 ~ 4500 nm/min</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光度范围：-3 ~ 3 A，0 ~ 400 %T</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光度准确度：±0.3 %T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光度重复性：≤0.15 %T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噪声： ≤0.0008 A @ 2 A，500 nm</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漂移：</w:t>
            </w:r>
            <w:r>
              <w:rPr>
                <w:rFonts w:hint="eastAsia" w:ascii="宋体" w:hAnsi="宋体" w:eastAsia="宋体" w:cs="宋体"/>
                <w:sz w:val="21"/>
                <w:szCs w:val="21"/>
              </w:rPr>
              <w:tab/>
            </w:r>
            <w:r>
              <w:rPr>
                <w:rFonts w:hint="eastAsia" w:ascii="宋体" w:hAnsi="宋体" w:eastAsia="宋体" w:cs="宋体"/>
                <w:sz w:val="21"/>
                <w:szCs w:val="21"/>
              </w:rPr>
              <w:t>≤0.0005A/h</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基线平直度：±0.001 A</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■杂散光≤0.0</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测量模式：光度测量，定量测量，光谱测量，动力学，时间扫描，多波长测量，生物方法测量，自定义方法测量</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接收器</w:t>
            </w:r>
            <w:r>
              <w:rPr>
                <w:rFonts w:hint="eastAsia" w:ascii="宋体" w:hAnsi="宋体" w:eastAsia="宋体" w:cs="宋体"/>
                <w:sz w:val="21"/>
                <w:szCs w:val="21"/>
              </w:rPr>
              <w:tab/>
            </w:r>
            <w:r>
              <w:rPr>
                <w:rFonts w:hint="eastAsia" w:ascii="宋体" w:hAnsi="宋体" w:eastAsia="宋体" w:cs="宋体"/>
                <w:sz w:val="21"/>
                <w:szCs w:val="21"/>
              </w:rPr>
              <w:t>硅光电池</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测量：内置7种测量方法（260/280，260/230，Lowery法，UV法，BCA法，CBB法，Biuret），</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▲仪器自带性能验证：波长精度，波长重复性验证，光度精度，光度重复性验证、杂散光验证，分辨率验证等功能。</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autoSpaceDE/>
              <w:autoSpaceDN/>
              <w:bidi w:val="0"/>
              <w:spacing w:line="360" w:lineRule="auto"/>
              <w:rPr>
                <w:rFonts w:hint="eastAsia" w:ascii="宋体" w:hAnsi="宋体" w:eastAsia="宋体" w:cs="宋体"/>
                <w:b w:val="0"/>
                <w:bCs w:val="0"/>
                <w:kern w:val="0"/>
                <w:sz w:val="21"/>
                <w:szCs w:val="21"/>
                <w:lang w:bidi="ar"/>
              </w:rPr>
            </w:pPr>
            <w:r>
              <w:rPr>
                <w:rFonts w:hint="eastAsia" w:ascii="宋体" w:hAnsi="宋体" w:eastAsia="宋体" w:cs="宋体"/>
                <w:sz w:val="21"/>
                <w:szCs w:val="21"/>
              </w:rPr>
              <w:t>内置电脑</w:t>
            </w:r>
            <w:r>
              <w:rPr>
                <w:rFonts w:hint="eastAsia" w:ascii="宋体" w:hAnsi="宋体" w:eastAsia="宋体" w:cs="宋体"/>
                <w:sz w:val="21"/>
                <w:szCs w:val="21"/>
                <w:lang w:val="en-US" w:eastAsia="zh-CN"/>
              </w:rPr>
              <w:t>或微处理机</w:t>
            </w:r>
            <w:r>
              <w:rPr>
                <w:rFonts w:hint="eastAsia" w:ascii="宋体" w:hAnsi="宋体" w:eastAsia="宋体" w:cs="宋体"/>
                <w:sz w:val="21"/>
                <w:szCs w:val="21"/>
              </w:rPr>
              <w:t>（2GB内存/64GB SSD存储器</w:t>
            </w:r>
            <w:r>
              <w:rPr>
                <w:rFonts w:hint="eastAsia" w:ascii="宋体" w:hAnsi="宋体" w:eastAsia="宋体" w:cs="宋体"/>
                <w:sz w:val="21"/>
                <w:szCs w:val="21"/>
                <w:lang w:val="en-US" w:eastAsia="zh-CN"/>
              </w:rPr>
              <w:t>或</w:t>
            </w:r>
            <w:r>
              <w:rPr>
                <w:rFonts w:hint="eastAsia" w:ascii="宋体" w:hAnsi="宋体" w:eastAsia="宋体" w:cs="宋体"/>
                <w:sz w:val="21"/>
                <w:szCs w:val="21"/>
              </w:rPr>
              <w:t>工业嵌入式系统，彩色液晶触摸屏</w:t>
            </w:r>
            <w:r>
              <w:rPr>
                <w:rFonts w:hint="eastAsia" w:ascii="宋体" w:hAnsi="宋体" w:cs="宋体"/>
                <w:sz w:val="21"/>
                <w:szCs w:val="21"/>
                <w:lang w:val="en-US" w:eastAsia="zh-CN"/>
              </w:rPr>
              <w:t>或按键</w:t>
            </w:r>
            <w:r>
              <w:rPr>
                <w:rFonts w:hint="eastAsia" w:ascii="宋体" w:hAnsi="宋体" w:eastAsia="宋体" w:cs="宋体"/>
                <w:sz w:val="21"/>
                <w:szCs w:val="21"/>
              </w:rPr>
              <w:t>，彩色液晶屏像素不低于1280×800）；</w:t>
            </w:r>
          </w:p>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样品室适配5~100mm的样品池架及</w:t>
            </w:r>
            <w:r>
              <w:rPr>
                <w:rFonts w:hint="eastAsia" w:ascii="宋体" w:hAnsi="宋体" w:eastAsia="宋体" w:cs="宋体"/>
                <w:sz w:val="21"/>
                <w:szCs w:val="21"/>
                <w:lang w:val="en-US" w:eastAsia="zh-CN"/>
              </w:rPr>
              <w:t>配10、20、30、40、50mm比色皿各4只，配10mm石英比色皿2只。</w:t>
            </w:r>
            <w:r>
              <w:rPr>
                <w:rFonts w:hint="eastAsia" w:ascii="宋体" w:hAnsi="宋体" w:eastAsia="宋体" w:cs="宋体"/>
                <w:sz w:val="21"/>
                <w:szCs w:val="21"/>
              </w:rPr>
              <w:t>；</w:t>
            </w:r>
            <w:r>
              <w:rPr>
                <w:rFonts w:hint="eastAsia" w:ascii="宋体" w:hAnsi="宋体" w:eastAsia="宋体" w:cs="宋体"/>
                <w:sz w:val="21"/>
                <w:szCs w:val="21"/>
              </w:rPr>
              <w:cr/>
            </w:r>
            <w:r>
              <w:rPr>
                <w:rFonts w:hint="eastAsia" w:ascii="宋体" w:hAnsi="宋体" w:eastAsia="宋体" w:cs="宋体"/>
                <w:sz w:val="21"/>
                <w:szCs w:val="21"/>
              </w:rPr>
              <w:t>开机自校准系统和预热；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垂直震动器</w:t>
            </w:r>
          </w:p>
        </w:tc>
        <w:tc>
          <w:tcPr>
            <w:tcW w:w="9188" w:type="dxa"/>
            <w:vAlign w:val="center"/>
          </w:tcPr>
          <w:p>
            <w:pPr>
              <w:pStyle w:val="4"/>
              <w:pageBreakBefore w:val="0"/>
              <w:numPr>
                <w:ilvl w:val="2"/>
                <w:numId w:val="0"/>
              </w:numPr>
              <w:tabs>
                <w:tab w:val="left" w:pos="0"/>
                <w:tab w:val="left" w:pos="312"/>
                <w:tab w:val="clear" w:pos="900"/>
              </w:tabs>
              <w:kinsoku/>
              <w:wordWrap/>
              <w:overflowPunct/>
              <w:topLinePunct w:val="0"/>
              <w:autoSpaceDE/>
              <w:autoSpaceDN/>
              <w:bidi w:val="0"/>
              <w:spacing w:line="360" w:lineRule="auto"/>
              <w:ind w:leftChars="0"/>
              <w:rPr>
                <w:rFonts w:hint="eastAsia" w:ascii="宋体" w:hAnsi="宋体" w:eastAsia="宋体" w:cs="宋体"/>
                <w:sz w:val="21"/>
                <w:szCs w:val="21"/>
              </w:rPr>
            </w:pPr>
            <w:bookmarkStart w:id="113" w:name="_Toc19525"/>
            <w:r>
              <w:rPr>
                <w:rFonts w:hint="eastAsia" w:ascii="宋体" w:hAnsi="宋体" w:eastAsia="宋体" w:cs="宋体"/>
                <w:sz w:val="21"/>
                <w:szCs w:val="21"/>
                <w:lang w:val="en-US" w:eastAsia="zh-CN"/>
              </w:rPr>
              <w:t>一、主机配置及附件</w:t>
            </w:r>
            <w:bookmarkEnd w:id="113"/>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7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2870"/>
              <w:gridCol w:w="2218"/>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60"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21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92"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7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w:t>
                  </w:r>
                </w:p>
              </w:tc>
              <w:tc>
                <w:tcPr>
                  <w:tcW w:w="2218"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9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7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管路</w:t>
                  </w:r>
                </w:p>
              </w:tc>
              <w:tc>
                <w:tcPr>
                  <w:tcW w:w="2218"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9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7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说明书</w:t>
                  </w:r>
                </w:p>
              </w:tc>
              <w:tc>
                <w:tcPr>
                  <w:tcW w:w="2218"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7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w:t>
                  </w:r>
                </w:p>
              </w:tc>
              <w:tc>
                <w:tcPr>
                  <w:tcW w:w="2218"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7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装箱单</w:t>
                  </w:r>
                </w:p>
              </w:tc>
              <w:tc>
                <w:tcPr>
                  <w:tcW w:w="2218"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69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70" w:type="dxa"/>
                  <w:tcBorders>
                    <w:top w:val="nil"/>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2218" w:type="dxa"/>
                  <w:tcBorders>
                    <w:top w:val="nil"/>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92" w:type="dxa"/>
                  <w:tcBorders>
                    <w:top w:val="nil"/>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分液漏斗（四氟活塞）</w:t>
                  </w:r>
                </w:p>
              </w:tc>
              <w:tc>
                <w:tcPr>
                  <w:tcW w:w="221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500和1000mL</w:t>
                  </w:r>
                </w:p>
              </w:tc>
              <w:tc>
                <w:tcPr>
                  <w:tcW w:w="169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各6个</w:t>
                  </w:r>
                </w:p>
              </w:tc>
            </w:tr>
          </w:tbl>
          <w:p>
            <w:pPr>
              <w:pageBreakBefore w:val="0"/>
              <w:numPr>
                <w:ilvl w:val="0"/>
                <w:numId w:val="0"/>
              </w:numPr>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1、振荡方式：垂直振荡或倾斜振荡可选；</w:t>
            </w:r>
            <w:r>
              <w:rPr>
                <w:rFonts w:hint="eastAsia" w:ascii="宋体" w:hAnsi="宋体" w:eastAsia="宋体" w:cs="宋体"/>
                <w:sz w:val="21"/>
                <w:szCs w:val="21"/>
              </w:rPr>
              <w:br w:type="textWrapping"/>
            </w:r>
            <w:r>
              <w:rPr>
                <w:rFonts w:hint="eastAsia" w:ascii="宋体" w:hAnsi="宋体" w:eastAsia="宋体" w:cs="宋体"/>
                <w:sz w:val="21"/>
                <w:szCs w:val="21"/>
              </w:rPr>
              <w:t>2、配备伺服电机；</w:t>
            </w:r>
            <w:r>
              <w:rPr>
                <w:rFonts w:hint="eastAsia" w:ascii="宋体" w:hAnsi="宋体" w:eastAsia="宋体" w:cs="宋体"/>
                <w:sz w:val="21"/>
                <w:szCs w:val="21"/>
              </w:rPr>
              <w:br w:type="textWrapping"/>
            </w:r>
            <w:r>
              <w:rPr>
                <w:rFonts w:hint="eastAsia" w:ascii="宋体" w:hAnsi="宋体" w:eastAsia="宋体" w:cs="宋体"/>
                <w:sz w:val="21"/>
                <w:szCs w:val="21"/>
              </w:rPr>
              <w:t>3、操作方式：自动放气款设定转速和实测转速及设定时间和剩余时间可在同一界面显示；</w:t>
            </w:r>
            <w:r>
              <w:rPr>
                <w:rFonts w:hint="eastAsia" w:ascii="宋体" w:hAnsi="宋体" w:eastAsia="宋体" w:cs="宋体"/>
                <w:sz w:val="21"/>
                <w:szCs w:val="21"/>
              </w:rPr>
              <w:br w:type="textWrapping"/>
            </w:r>
            <w:r>
              <w:rPr>
                <w:rFonts w:hint="eastAsia" w:ascii="宋体" w:hAnsi="宋体" w:eastAsia="宋体" w:cs="宋体"/>
                <w:sz w:val="21"/>
                <w:szCs w:val="21"/>
              </w:rPr>
              <w:t>4、弹性无级可调一体式夹具，可自由滑动，适用于分液漏斗比色管、试管、离心管等多种容器；</w:t>
            </w:r>
            <w:r>
              <w:rPr>
                <w:rFonts w:hint="eastAsia" w:ascii="宋体" w:hAnsi="宋体" w:eastAsia="宋体" w:cs="宋体"/>
                <w:sz w:val="21"/>
                <w:szCs w:val="21"/>
              </w:rPr>
              <w:br w:type="textWrapping"/>
            </w:r>
            <w:r>
              <w:rPr>
                <w:rFonts w:hint="eastAsia" w:ascii="宋体" w:hAnsi="宋体" w:eastAsia="宋体" w:cs="宋体"/>
                <w:sz w:val="21"/>
                <w:szCs w:val="21"/>
              </w:rPr>
              <w:t>5、装有前部防护板，使用起来安全放心；</w:t>
            </w: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6、不锈钢设计，耐酸碱，耐腐蚀；</w:t>
            </w:r>
            <w:r>
              <w:rPr>
                <w:rFonts w:hint="eastAsia" w:ascii="宋体" w:hAnsi="宋体" w:eastAsia="宋体" w:cs="宋体"/>
                <w:sz w:val="21"/>
                <w:szCs w:val="21"/>
              </w:rPr>
              <w:br w:type="textWrapping"/>
            </w:r>
            <w:r>
              <w:rPr>
                <w:rFonts w:hint="eastAsia" w:ascii="宋体" w:hAnsi="宋体" w:eastAsia="宋体" w:cs="宋体"/>
                <w:sz w:val="21"/>
                <w:szCs w:val="21"/>
              </w:rPr>
              <w:t>7、选用优质杆式轴承，长久耐用；</w:t>
            </w: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8、</w:t>
            </w:r>
            <w:r>
              <w:rPr>
                <w:rFonts w:hint="eastAsia" w:ascii="宋体" w:hAnsi="宋体" w:eastAsia="宋体" w:cs="宋体"/>
                <w:sz w:val="21"/>
                <w:szCs w:val="21"/>
                <w:lang w:val="en-US" w:eastAsia="zh-CN"/>
              </w:rPr>
              <w:t>具有</w:t>
            </w:r>
            <w:r>
              <w:rPr>
                <w:rFonts w:hint="eastAsia" w:ascii="宋体" w:hAnsi="宋体" w:eastAsia="宋体" w:cs="宋体"/>
                <w:sz w:val="21"/>
                <w:szCs w:val="21"/>
              </w:rPr>
              <w:t>自动放气</w:t>
            </w:r>
            <w:r>
              <w:rPr>
                <w:rFonts w:hint="eastAsia" w:ascii="宋体" w:hAnsi="宋体" w:eastAsia="宋体" w:cs="宋体"/>
                <w:sz w:val="21"/>
                <w:szCs w:val="21"/>
                <w:lang w:val="en-US" w:eastAsia="zh-CN"/>
              </w:rPr>
              <w:t>功能</w:t>
            </w:r>
            <w:r>
              <w:rPr>
                <w:rFonts w:hint="eastAsia" w:ascii="宋体" w:hAnsi="宋体" w:eastAsia="宋体" w:cs="宋体"/>
                <w:sz w:val="21"/>
                <w:szCs w:val="21"/>
              </w:rPr>
              <w:t>，放气时间可自行设定，萃取次数、时间、转数可分段程序设置；</w:t>
            </w:r>
            <w:r>
              <w:rPr>
                <w:rFonts w:hint="eastAsia" w:ascii="宋体" w:hAnsi="宋体" w:eastAsia="宋体" w:cs="宋体"/>
                <w:sz w:val="21"/>
                <w:szCs w:val="21"/>
              </w:rPr>
              <w:br w:type="textWrapping"/>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9、自动放气款设备每一路都有独立的电磁阀，电磁阀数量与位数相同，废气独立收集；</w:t>
            </w:r>
            <w:r>
              <w:rPr>
                <w:rFonts w:hint="eastAsia" w:ascii="宋体" w:hAnsi="宋体" w:eastAsia="宋体" w:cs="宋体"/>
                <w:sz w:val="21"/>
                <w:szCs w:val="21"/>
              </w:rPr>
              <w:br w:type="textWrapping"/>
            </w:r>
            <w:r>
              <w:rPr>
                <w:rFonts w:hint="eastAsia" w:ascii="宋体" w:hAnsi="宋体" w:eastAsia="宋体" w:cs="宋体"/>
                <w:sz w:val="21"/>
                <w:szCs w:val="21"/>
              </w:rPr>
              <w:t>10、选配分液漏斗可实现快速对接。</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二、</w:t>
            </w:r>
            <w:r>
              <w:rPr>
                <w:rStyle w:val="39"/>
                <w:rFonts w:hint="eastAsia" w:ascii="宋体" w:hAnsi="宋体" w:eastAsia="宋体" w:cs="宋体"/>
                <w:sz w:val="21"/>
                <w:szCs w:val="21"/>
              </w:rPr>
              <w:t>技术参数</w:t>
            </w:r>
          </w:p>
          <w:tbl>
            <w:tblPr>
              <w:tblStyle w:val="23"/>
              <w:tblW w:w="7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5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自动放气功能</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彩色触摸屏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无极调速</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振荡频率范围：</w:t>
                  </w:r>
                  <w:r>
                    <w:rPr>
                      <w:rStyle w:val="41"/>
                      <w:rFonts w:hint="eastAsia" w:ascii="宋体" w:hAnsi="宋体" w:eastAsia="宋体" w:cs="宋体"/>
                      <w:sz w:val="21"/>
                      <w:szCs w:val="21"/>
                      <w:lang w:val="en-US" w:eastAsia="zh-CN" w:bidi="ar"/>
                    </w:rPr>
                    <w:t>0~350rpm</w:t>
                  </w:r>
                  <w:r>
                    <w:rPr>
                      <w:rStyle w:val="40"/>
                      <w:rFonts w:hint="eastAsia" w:ascii="宋体" w:hAnsi="宋体" w:eastAsia="宋体" w:cs="宋体"/>
                      <w:sz w:val="21"/>
                      <w:szCs w:val="21"/>
                      <w:lang w:val="en-US" w:eastAsia="zh-CN" w:bidi="ar"/>
                    </w:rPr>
                    <w:t>；频率精度</w:t>
                  </w:r>
                  <w:r>
                    <w:rPr>
                      <w:rStyle w:val="41"/>
                      <w:rFonts w:hint="eastAsia" w:ascii="宋体" w:hAnsi="宋体" w:eastAsia="宋体" w:cs="宋体"/>
                      <w:sz w:val="21"/>
                      <w:szCs w:val="21"/>
                      <w:lang w:val="en-US" w:eastAsia="zh-CN" w:bidi="ar"/>
                    </w:rPr>
                    <w:t>±1rpm</w:t>
                  </w:r>
                  <w:r>
                    <w:rPr>
                      <w:rStyle w:val="40"/>
                      <w:rFonts w:hint="eastAsia" w:ascii="宋体" w:hAnsi="宋体" w:eastAsia="宋体" w:cs="宋体"/>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定时功能</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0~9999(</w:t>
                  </w:r>
                  <w:r>
                    <w:rPr>
                      <w:rStyle w:val="40"/>
                      <w:rFonts w:hint="eastAsia" w:ascii="宋体" w:hAnsi="宋体" w:eastAsia="宋体" w:cs="宋体"/>
                      <w:sz w:val="21"/>
                      <w:szCs w:val="21"/>
                      <w:lang w:val="en-US" w:eastAsia="zh-CN" w:bidi="ar"/>
                    </w:rPr>
                    <w:t>秒、分、时单位可选</w:t>
                  </w:r>
                  <w:r>
                    <w:rPr>
                      <w:rStyle w:val="41"/>
                      <w:rFonts w:hint="eastAsia" w:ascii="宋体" w:hAnsi="宋体" w:eastAsia="宋体" w:cs="宋体"/>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样品位数</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40"/>
                      <w:rFonts w:hint="eastAsia" w:ascii="宋体" w:hAnsi="宋体" w:eastAsia="宋体" w:cs="宋体"/>
                      <w:sz w:val="21"/>
                      <w:szCs w:val="21"/>
                      <w:lang w:val="en-US" w:eastAsia="zh-CN" w:bidi="ar"/>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样品容量</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振荡幅度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倾斜角度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转速精度</w:t>
                  </w:r>
                </w:p>
              </w:tc>
              <w:tc>
                <w:tcPr>
                  <w:tcW w:w="5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40"/>
                      <w:rFonts w:hint="eastAsia" w:ascii="宋体" w:hAnsi="宋体" w:eastAsia="宋体" w:cs="宋体"/>
                      <w:sz w:val="21"/>
                      <w:szCs w:val="21"/>
                      <w:lang w:val="en-US" w:eastAsia="zh-CN" w:bidi="ar"/>
                    </w:rPr>
                    <w:t>％</w:t>
                  </w:r>
                </w:p>
              </w:tc>
            </w:tr>
          </w:tbl>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11</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全自动液液萃取仪</w:t>
            </w:r>
          </w:p>
        </w:tc>
        <w:tc>
          <w:tcPr>
            <w:tcW w:w="9188" w:type="dxa"/>
            <w:vAlign w:val="center"/>
          </w:tcPr>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、整个萃取及清洗过程中，实验人员与有害挥发溶剂无接触，保障了实验人员的身心健康；</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、萃取过程无需人工放气，</w:t>
            </w:r>
            <w:r>
              <w:rPr>
                <w:rFonts w:hint="eastAsia" w:ascii="宋体" w:hAnsi="宋体" w:eastAsia="宋体" w:cs="宋体"/>
                <w:sz w:val="21"/>
                <w:szCs w:val="21"/>
                <w:lang w:val="en-US" w:eastAsia="zh-CN"/>
              </w:rPr>
              <w:t>并</w:t>
            </w:r>
            <w:r>
              <w:rPr>
                <w:rFonts w:hint="eastAsia" w:ascii="宋体" w:hAnsi="宋体" w:eastAsia="宋体" w:cs="宋体"/>
                <w:sz w:val="21"/>
                <w:szCs w:val="21"/>
              </w:rPr>
              <w:t>自动完成萃取作业；</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、大屏幕触摸屏操作，界面友好方便，实验人员容易上手操作；</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、采用半封闭式</w:t>
            </w:r>
            <w:r>
              <w:rPr>
                <w:rFonts w:hint="eastAsia" w:ascii="宋体" w:hAnsi="宋体" w:eastAsia="宋体" w:cs="宋体"/>
                <w:sz w:val="21"/>
                <w:szCs w:val="21"/>
                <w:lang w:val="en-US" w:eastAsia="zh-CN"/>
              </w:rPr>
              <w:t>或</w:t>
            </w:r>
            <w:r>
              <w:rPr>
                <w:rFonts w:hint="eastAsia" w:ascii="宋体" w:hAnsi="宋体" w:eastAsia="宋体" w:cs="宋体"/>
                <w:i w:val="0"/>
                <w:iCs w:val="0"/>
                <w:kern w:val="2"/>
                <w:sz w:val="21"/>
                <w:szCs w:val="21"/>
                <w:u w:val="none"/>
                <w:lang w:val="en-US" w:eastAsia="zh-CN" w:bidi="ar"/>
              </w:rPr>
              <w:t>全封闭式</w:t>
            </w:r>
            <w:r>
              <w:rPr>
                <w:rFonts w:hint="eastAsia" w:ascii="宋体" w:hAnsi="宋体" w:eastAsia="宋体" w:cs="宋体"/>
                <w:sz w:val="21"/>
                <w:szCs w:val="21"/>
              </w:rPr>
              <w:t>气流振荡原理</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、采用定压散射式广角清洗；</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、一键萃取震荡，自动静置分层，每个样品可单独控制；</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、一次性可萃取1至6个样品；</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、智能微电脑操作,自主设定各项仪器参数；</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、萃取及清洗均可设定时间定时操作；</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、仪器机身采用全不锈钢材质；</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、萃取时间及方式：0-999秒之间可调，每个样品单独控制</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、清洗时间及方式：0-999秒之间可调，每个样品单独控制</w:t>
            </w:r>
          </w:p>
          <w:p>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、萃取样品大小及数量 ：</w:t>
            </w:r>
            <w:r>
              <w:rPr>
                <w:rFonts w:hint="eastAsia" w:ascii="宋体" w:hAnsi="宋体" w:eastAsia="宋体" w:cs="宋体"/>
                <w:sz w:val="21"/>
                <w:szCs w:val="21"/>
                <w:highlight w:val="none"/>
                <w:lang w:val="en-US" w:eastAsia="zh-CN"/>
              </w:rPr>
              <w:t>根据用户需求，</w:t>
            </w:r>
            <w:r>
              <w:rPr>
                <w:rFonts w:hint="eastAsia" w:ascii="宋体" w:hAnsi="宋体" w:eastAsia="宋体" w:cs="宋体"/>
                <w:sz w:val="21"/>
                <w:szCs w:val="21"/>
                <w:lang w:val="en-US" w:eastAsia="zh-CN"/>
              </w:rPr>
              <w:t>在</w:t>
            </w:r>
            <w:r>
              <w:rPr>
                <w:rFonts w:hint="eastAsia" w:ascii="宋体" w:hAnsi="宋体" w:eastAsia="宋体" w:cs="宋体"/>
                <w:i w:val="0"/>
                <w:iCs w:val="0"/>
                <w:kern w:val="2"/>
                <w:sz w:val="21"/>
                <w:szCs w:val="21"/>
                <w:u w:val="none"/>
                <w:lang w:val="en-US" w:eastAsia="zh-CN" w:bidi="ar"/>
              </w:rPr>
              <w:t>250、500、1000ml、2000ml</w:t>
            </w:r>
            <w:r>
              <w:rPr>
                <w:rFonts w:hint="eastAsia" w:ascii="宋体" w:hAnsi="宋体" w:eastAsia="宋体" w:cs="宋体"/>
                <w:sz w:val="21"/>
                <w:szCs w:val="21"/>
                <w:highlight w:val="none"/>
                <w:lang w:val="en-US" w:eastAsia="zh-CN"/>
              </w:rPr>
              <w:t>选择两种规格，共计12个。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12</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叶绿素研磨仪（包括抽滤装置全套）</w:t>
            </w:r>
          </w:p>
        </w:tc>
        <w:tc>
          <w:tcPr>
            <w:tcW w:w="9188" w:type="dxa"/>
            <w:vAlign w:val="center"/>
          </w:tcPr>
          <w:p>
            <w:pPr>
              <w:pageBreakBefore w:val="0"/>
              <w:numPr>
                <w:ilvl w:val="0"/>
                <w:numId w:val="0"/>
              </w:numPr>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1、主要特点：</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高通量:可同时研磨8个样品，可适用于多种尺寸样品的研磨1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每个样品只需要1-2分钟即可完成，符合《水质叶绿素a的测定分光光度法》（HJ 897-2017）法。</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可设置研磨时间、研磨速率和循环次数，保证每次 研磨和下一次研磨条件的一致性。</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内置两个安全锁扣及一个样品舱盖联锁。</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开始和停止按钮可使使用者随时启动或者停止研磨进程。</w:t>
            </w:r>
          </w:p>
          <w:p>
            <w:pPr>
              <w:pageBreakBefore w:val="0"/>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2、技术参数：</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、应用领域： 组织均质、研磨、细胞破碎、匀浆、材料分散、制备、样品混匀、振荡</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2、触摸屏显示,可以方便直观的操作</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3、可存储二十组实验数据</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4、模式循环：根据设置的实验参数，可在几个设置好的参数间不断循环</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9、均质速度：0—70 HZ/秒</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工作时间：0秒-9999</w:t>
            </w:r>
            <w:r>
              <w:rPr>
                <w:rFonts w:hint="eastAsia" w:ascii="宋体" w:hAnsi="宋体" w:eastAsia="宋体" w:cs="宋体"/>
                <w:color w:val="auto"/>
                <w:sz w:val="21"/>
                <w:szCs w:val="21"/>
                <w:lang w:val="en-US" w:eastAsia="zh-Hans"/>
              </w:rPr>
              <w:t>秒</w:t>
            </w:r>
            <w:r>
              <w:rPr>
                <w:rFonts w:hint="eastAsia" w:ascii="宋体" w:hAnsi="宋体" w:eastAsia="宋体" w:cs="宋体"/>
                <w:color w:val="auto"/>
                <w:sz w:val="21"/>
                <w:szCs w:val="21"/>
                <w:lang w:val="en-US" w:eastAsia="zh-CN"/>
              </w:rPr>
              <w:t>，用户可自行设定</w:t>
            </w:r>
            <w:r>
              <w:rPr>
                <w:rFonts w:hint="eastAsia" w:ascii="宋体" w:hAnsi="宋体" w:cs="宋体"/>
                <w:color w:val="auto"/>
                <w:sz w:val="21"/>
                <w:szCs w:val="21"/>
                <w:lang w:val="en-US" w:eastAsia="zh-CN"/>
              </w:rPr>
              <w:t>；</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1、研磨方式：湿磨，干磨，低温研磨都可</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val="en-US" w:eastAsia="zh-CN"/>
              </w:rPr>
              <w:t>12、适配器材质：聚四氟乙烯 或 合金钢</w:t>
            </w:r>
          </w:p>
          <w:p>
            <w:pPr>
              <w:pageBreakBefore w:val="0"/>
              <w:kinsoku/>
              <w:wordWrap/>
              <w:overflowPunct/>
              <w:topLinePunct w:val="0"/>
              <w:autoSpaceDE/>
              <w:autoSpaceDN/>
              <w:bidi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3、基本配置：</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Hans"/>
              </w:rPr>
              <w:t>主机1台</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lang w:eastAsia="zh-Hans"/>
              </w:rPr>
              <w:t>适配器1</w:t>
            </w:r>
            <w:r>
              <w:rPr>
                <w:rFonts w:hint="eastAsia" w:ascii="宋体" w:hAnsi="宋体" w:eastAsia="宋体" w:cs="宋体"/>
                <w:color w:val="auto"/>
                <w:sz w:val="21"/>
                <w:szCs w:val="21"/>
                <w:lang w:val="en-US" w:eastAsia="zh-CN"/>
              </w:rPr>
              <w:t>套</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lang w:eastAsia="zh-Hans"/>
              </w:rPr>
              <w:t>研磨管1包</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lang w:eastAsia="zh-Hans"/>
              </w:rPr>
              <w:t>配套研磨珠1套</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4、售后服务与培训 </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4.1、厂方负责安装调试和培训</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4.2、安装调试后经用户确认合格次日起，质量保证期至少2年。</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4.3、维修响应时间一般情况下8小时</w:t>
            </w:r>
          </w:p>
          <w:p>
            <w:pPr>
              <w:pageBreakBefore w:val="0"/>
              <w:kinsoku/>
              <w:wordWrap/>
              <w:overflowPunct/>
              <w:topLinePunct w:val="0"/>
              <w:autoSpaceDE/>
              <w:autoSpaceDN/>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4.4、终身负责维修</w:t>
            </w:r>
          </w:p>
          <w:p>
            <w:pPr>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全套抽滤装置：</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仪器配置：</w:t>
            </w:r>
          </w:p>
          <w:tbl>
            <w:tblPr>
              <w:tblStyle w:val="23"/>
              <w:tblW w:w="85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9"/>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隔膜真快泵（防腐型&amp;截流瓶）</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3L集液瓶 </w:t>
                  </w:r>
                  <w:r>
                    <w:rPr>
                      <w:rStyle w:val="40"/>
                      <w:rFonts w:hint="eastAsia" w:ascii="宋体" w:hAnsi="宋体" w:eastAsia="宋体" w:cs="宋体"/>
                      <w:color w:val="auto"/>
                      <w:sz w:val="21"/>
                      <w:szCs w:val="21"/>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全不锈钢六连过滤器</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微孔滤膜（φ50mm </w:t>
                  </w:r>
                  <w:r>
                    <w:rPr>
                      <w:rStyle w:val="40"/>
                      <w:rFonts w:hint="eastAsia" w:ascii="宋体" w:hAnsi="宋体" w:eastAsia="宋体" w:cs="宋体"/>
                      <w:color w:val="auto"/>
                      <w:sz w:val="21"/>
                      <w:szCs w:val="21"/>
                      <w:lang w:val="en-US" w:eastAsia="zh-CN" w:bidi="ar"/>
                    </w:rPr>
                    <w:t xml:space="preserve"> 0.45μm  MCE）  </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500片</w:t>
                  </w:r>
                </w:p>
              </w:tc>
            </w:tr>
          </w:tbl>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隔膜真空泵技术参数：</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抽气速度（L/min）：60；</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极限压力：≥0.08MPa;</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工作环境温度（℃）：7-40；</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泵头数量：2；</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泵体温度（℃）：≤55</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膜片及阀片材质：进口橡胶。</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过滤器技术参数：</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1、规格：六联；</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2、滤杯：不锈钢316L；</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3、阀门：不锈钢；</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4、筛板：不锈钢316L（100μm）</w:t>
            </w:r>
          </w:p>
          <w:p>
            <w:pPr>
              <w:pageBreakBefore w:val="0"/>
              <w:numPr>
                <w:ilvl w:val="0"/>
                <w:numId w:val="0"/>
              </w:numPr>
              <w:kinsoku/>
              <w:wordWrap/>
              <w:overflowPunct/>
              <w:topLinePunct w:val="0"/>
              <w:autoSpaceDE/>
              <w:autoSpaceDN/>
              <w:bidi w:val="0"/>
              <w:spacing w:line="360" w:lineRule="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5、连接方式：不锈钢胶塞式；</w:t>
            </w:r>
          </w:p>
          <w:p>
            <w:pPr>
              <w:pageBreakBefore w:val="0"/>
              <w:kinsoku/>
              <w:wordWrap/>
              <w:overflowPunct/>
              <w:topLinePunct w:val="0"/>
              <w:autoSpaceDE/>
              <w:autoSpaceDN/>
              <w:bidi w:val="0"/>
              <w:snapToGrid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6、支架：不锈钢316L。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13</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流速仪</w:t>
            </w:r>
          </w:p>
        </w:tc>
        <w:tc>
          <w:tcPr>
            <w:tcW w:w="9188" w:type="dxa"/>
            <w:vAlign w:val="center"/>
          </w:tcPr>
          <w:p>
            <w:pPr>
              <w:pStyle w:val="5"/>
              <w:pageBreakBefore w:val="0"/>
              <w:numPr>
                <w:ilvl w:val="0"/>
                <w:numId w:val="8"/>
              </w:numPr>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sz w:val="21"/>
                <w:szCs w:val="21"/>
              </w:rPr>
            </w:pPr>
            <w:r>
              <w:rPr>
                <w:rFonts w:hint="eastAsia" w:ascii="宋体" w:hAnsi="宋体" w:eastAsia="宋体" w:cs="宋体"/>
                <w:b/>
                <w:bCs/>
                <w:sz w:val="21"/>
                <w:szCs w:val="21"/>
              </w:rPr>
              <w:t>主机配置及配件</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5207"/>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设备名称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数量（台/套）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0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拉杆箱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手持主机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不锈钢测杆（含夹具）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USB转232数据线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1根</w:t>
                  </w:r>
                </w:p>
              </w:tc>
            </w:tr>
          </w:tbl>
          <w:p>
            <w:pPr>
              <w:pageBreakBefore w:val="0"/>
              <w:numPr>
                <w:ilvl w:val="0"/>
                <w:numId w:val="8"/>
              </w:numPr>
              <w:kinsoku/>
              <w:wordWrap/>
              <w:overflowPunct/>
              <w:topLinePunct w:val="0"/>
              <w:autoSpaceDE/>
              <w:autoSpaceDN/>
              <w:bidi w:val="0"/>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仪器用途</w:t>
            </w:r>
          </w:p>
          <w:p>
            <w:pPr>
              <w:pageBreakBefore w:val="0"/>
              <w:kinsoku/>
              <w:wordWrap/>
              <w:overflowPunct/>
              <w:topLinePunct w:val="0"/>
              <w:autoSpaceDE/>
              <w:autoSpaceDN/>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主要运用于自然河道、灌溉明渠、市政管网管道、水文流域等环境流速流量的测量。</w:t>
            </w:r>
          </w:p>
          <w:p>
            <w:pPr>
              <w:pageBreakBefore w:val="0"/>
              <w:numPr>
                <w:ilvl w:val="0"/>
                <w:numId w:val="8"/>
              </w:numPr>
              <w:kinsoku/>
              <w:wordWrap/>
              <w:overflowPunct/>
              <w:topLinePunct w:val="0"/>
              <w:autoSpaceDE/>
              <w:autoSpaceDN/>
              <w:bidi w:val="0"/>
              <w:spacing w:line="360" w:lineRule="auto"/>
              <w:ind w:left="425" w:leftChars="0" w:hanging="425"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技术参数</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流速测量范围：0.05m/s～8.00m/s</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流速测量分辨率：1mm/s</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流速测量精度：≤1.5%</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水深测量：0.02m～10.00m；分辨率：2mm 精度：±0.5%</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温度范围：-10～60ºC；分辨率：0.1ºC</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流量范围：1L/s～720000000m³/h；</w:t>
            </w:r>
          </w:p>
          <w:p>
            <w:pPr>
              <w:pageBreakBefore w:val="0"/>
              <w:numPr>
                <w:ilvl w:val="-1"/>
                <w:numId w:val="0"/>
              </w:numPr>
              <w:kinsoku/>
              <w:wordWrap/>
              <w:overflowPunct/>
              <w:topLinePunct w:val="0"/>
              <w:autoSpaceDE/>
              <w:autoSpaceDN/>
              <w:bidi w:val="0"/>
              <w:spacing w:line="36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 xml:space="preserve">3.7 </w:t>
            </w:r>
            <w:r>
              <w:rPr>
                <w:rFonts w:hint="eastAsia" w:ascii="宋体" w:hAnsi="宋体" w:eastAsia="宋体" w:cs="宋体"/>
                <w:sz w:val="21"/>
                <w:szCs w:val="21"/>
                <w:lang w:val="en-US" w:eastAsia="zh-CN"/>
              </w:rPr>
              <w:t>信号传输：</w:t>
            </w:r>
            <w:r>
              <w:rPr>
                <w:rFonts w:hint="eastAsia" w:ascii="宋体" w:hAnsi="宋体" w:eastAsia="宋体" w:cs="宋体"/>
                <w:i w:val="0"/>
                <w:iCs w:val="0"/>
                <w:caps w:val="0"/>
                <w:spacing w:val="0"/>
                <w:sz w:val="21"/>
                <w:szCs w:val="21"/>
                <w:shd w:val="clear"/>
              </w:rPr>
              <w:t>内置蓝牙</w:t>
            </w:r>
            <w:r>
              <w:rPr>
                <w:rFonts w:hint="eastAsia" w:ascii="宋体" w:hAnsi="宋体" w:cs="宋体"/>
                <w:i w:val="0"/>
                <w:iCs w:val="0"/>
                <w:caps w:val="0"/>
                <w:spacing w:val="0"/>
                <w:sz w:val="21"/>
                <w:szCs w:val="21"/>
                <w:shd w:val="clear"/>
                <w:lang w:val="en-US" w:eastAsia="zh-CN"/>
              </w:rPr>
              <w:t>或</w:t>
            </w:r>
            <w:r>
              <w:rPr>
                <w:rFonts w:hint="eastAsia" w:ascii="宋体" w:hAnsi="宋体" w:eastAsia="宋体" w:cs="宋体"/>
                <w:i w:val="0"/>
                <w:iCs w:val="0"/>
                <w:caps w:val="0"/>
                <w:spacing w:val="0"/>
                <w:sz w:val="21"/>
                <w:szCs w:val="21"/>
                <w:shd w:val="clear"/>
              </w:rPr>
              <w:t>支持</w:t>
            </w:r>
            <w:r>
              <w:rPr>
                <w:rFonts w:hint="eastAsia" w:ascii="宋体" w:hAnsi="宋体" w:cs="宋体"/>
                <w:i w:val="0"/>
                <w:iCs w:val="0"/>
                <w:caps w:val="0"/>
                <w:spacing w:val="0"/>
                <w:sz w:val="21"/>
                <w:szCs w:val="21"/>
                <w:shd w:val="clear"/>
                <w:lang w:val="en-US" w:eastAsia="zh-CN"/>
              </w:rPr>
              <w:t>其他</w:t>
            </w:r>
            <w:r>
              <w:rPr>
                <w:rFonts w:hint="eastAsia" w:ascii="宋体" w:hAnsi="宋体" w:eastAsia="宋体" w:cs="宋体"/>
                <w:i w:val="0"/>
                <w:iCs w:val="0"/>
                <w:caps w:val="0"/>
                <w:spacing w:val="0"/>
                <w:sz w:val="21"/>
                <w:szCs w:val="21"/>
                <w:shd w:val="clear"/>
              </w:rPr>
              <w:t>无线传输</w:t>
            </w:r>
            <w:r>
              <w:rPr>
                <w:rFonts w:hint="eastAsia" w:ascii="宋体" w:hAnsi="宋体" w:cs="宋体"/>
                <w:i w:val="0"/>
                <w:iCs w:val="0"/>
                <w:caps w:val="0"/>
                <w:spacing w:val="0"/>
                <w:sz w:val="21"/>
                <w:szCs w:val="21"/>
                <w:shd w:val="clear"/>
                <w:lang w:val="en-US" w:eastAsia="zh-CN"/>
              </w:rPr>
              <w:t>方式</w:t>
            </w:r>
            <w:r>
              <w:rPr>
                <w:rFonts w:hint="eastAsia" w:ascii="宋体" w:hAnsi="宋体" w:eastAsia="宋体" w:cs="宋体"/>
                <w:i w:val="0"/>
                <w:iCs w:val="0"/>
                <w:caps w:val="0"/>
                <w:spacing w:val="0"/>
                <w:sz w:val="21"/>
                <w:szCs w:val="21"/>
                <w:shd w:val="clear"/>
                <w:lang w:val="en-US" w:eastAsia="zh-CN"/>
              </w:rPr>
              <w:t>。</w:t>
            </w:r>
            <w:r>
              <w:rPr>
                <w:rFonts w:hint="eastAsia" w:ascii="宋体" w:hAnsi="宋体" w:eastAsia="宋体" w:cs="宋体"/>
                <w:sz w:val="21"/>
                <w:szCs w:val="21"/>
                <w:lang w:val="en-US" w:eastAsia="zh-CN"/>
              </w:rPr>
              <w:t xml:space="preserve">                                                                                                                          </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输出信号：手持机存储：≥2M字节，流速、瞬时流量、累积流量、水位；</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传感器和变送器之间电缆长度：≥8米；</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w:t>
            </w:r>
            <w:r>
              <w:rPr>
                <w:rFonts w:hint="eastAsia" w:ascii="宋体" w:hAnsi="宋体" w:cs="宋体"/>
                <w:sz w:val="21"/>
                <w:szCs w:val="21"/>
                <w:lang w:val="en-US" w:eastAsia="zh-CN"/>
              </w:rPr>
              <w:t>延长杆≥</w:t>
            </w:r>
            <w:r>
              <w:rPr>
                <w:rFonts w:hint="eastAsia" w:ascii="宋体" w:hAnsi="宋体" w:eastAsia="宋体" w:cs="宋体"/>
                <w:sz w:val="21"/>
                <w:szCs w:val="21"/>
                <w:lang w:val="en-US" w:eastAsia="zh-CN"/>
              </w:rPr>
              <w:t xml:space="preserve">2米 ；                                                                                                                                                                                              </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被测水道类型：管道、渠道、天然溪流、河流；</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产品满足：GB/T 11828.2-2005《水位测量仪器 第2部分：压力水位计》、GB/T 15966-2017《水文仪器基本参数及通用技术条件》；                                                                                                                                                                                   </w:t>
            </w:r>
          </w:p>
          <w:p>
            <w:pPr>
              <w:pageBreakBefore w:val="0"/>
              <w:numPr>
                <w:ilvl w:val="1"/>
                <w:numId w:val="8"/>
              </w:numPr>
              <w:kinsoku/>
              <w:wordWrap/>
              <w:overflowPunct/>
              <w:topLinePunct w:val="0"/>
              <w:autoSpaceDE/>
              <w:autoSpaceDN/>
              <w:bidi w:val="0"/>
              <w:spacing w:line="360" w:lineRule="auto"/>
              <w:ind w:left="567" w:leftChars="0" w:hanging="567"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传感器防护等级：IP68（ 符合GB/T 4208-2017规定）。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14</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多联不锈钢溶液过滤器</w:t>
            </w:r>
          </w:p>
        </w:tc>
        <w:tc>
          <w:tcPr>
            <w:tcW w:w="9188" w:type="dxa"/>
            <w:vAlign w:val="center"/>
          </w:tcPr>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5" w:leftChars="0" w:hanging="425" w:firstLineChars="0"/>
              <w:textAlignment w:val="auto"/>
              <w:rPr>
                <w:rFonts w:hint="eastAsia" w:ascii="宋体" w:hAnsi="宋体" w:eastAsia="宋体" w:cs="宋体"/>
                <w:sz w:val="21"/>
                <w:szCs w:val="21"/>
                <w:lang w:eastAsia="zh-CN"/>
              </w:rPr>
            </w:pPr>
            <w:bookmarkStart w:id="114" w:name="_Toc20139"/>
            <w:r>
              <w:rPr>
                <w:rFonts w:hint="eastAsia" w:ascii="宋体" w:hAnsi="宋体" w:eastAsia="宋体" w:cs="宋体"/>
                <w:b/>
                <w:kern w:val="44"/>
                <w:sz w:val="21"/>
                <w:szCs w:val="21"/>
                <w:lang w:val="en-US" w:eastAsia="zh-CN" w:bidi="ar-SA"/>
              </w:rPr>
              <w:t>1.</w:t>
            </w:r>
            <w:r>
              <w:rPr>
                <w:rFonts w:hint="eastAsia" w:ascii="宋体" w:hAnsi="宋体" w:eastAsia="宋体" w:cs="宋体"/>
                <w:sz w:val="21"/>
                <w:szCs w:val="21"/>
                <w:lang w:eastAsia="zh-CN"/>
              </w:rPr>
              <w:t>仪器配置</w:t>
            </w:r>
            <w:bookmarkEnd w:id="114"/>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lang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4109"/>
              <w:gridCol w:w="1638"/>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p>
              </w:tc>
              <w:tc>
                <w:tcPr>
                  <w:tcW w:w="4109"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63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说明</w:t>
                  </w:r>
                </w:p>
              </w:tc>
              <w:tc>
                <w:tcPr>
                  <w:tcW w:w="1627"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主机</w:t>
                  </w:r>
                </w:p>
              </w:tc>
              <w:tc>
                <w:tcPr>
                  <w:tcW w:w="4109"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隔膜真空泵（防腐型&amp;截流瓶）</w:t>
                  </w:r>
                </w:p>
              </w:tc>
              <w:tc>
                <w:tcPr>
                  <w:tcW w:w="163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含电源线等</w:t>
                  </w:r>
                </w:p>
              </w:tc>
              <w:tc>
                <w:tcPr>
                  <w:tcW w:w="1627"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shd w:val="clear" w:color="auto" w:fill="auto"/>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配件</w:t>
                  </w:r>
                </w:p>
              </w:tc>
              <w:tc>
                <w:tcPr>
                  <w:tcW w:w="4109" w:type="dxa"/>
                  <w:shd w:val="clear" w:color="auto" w:fill="auto"/>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全不锈钢六联过滤器</w:t>
                  </w:r>
                </w:p>
              </w:tc>
              <w:tc>
                <w:tcPr>
                  <w:tcW w:w="1638" w:type="dxa"/>
                  <w:shd w:val="clear" w:color="auto" w:fill="auto"/>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w:t>
                  </w:r>
                </w:p>
              </w:tc>
              <w:tc>
                <w:tcPr>
                  <w:tcW w:w="1627" w:type="dxa"/>
                  <w:shd w:val="clear" w:color="auto" w:fill="auto"/>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配件</w:t>
                  </w:r>
                </w:p>
              </w:tc>
              <w:tc>
                <w:tcPr>
                  <w:tcW w:w="4109"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≥2L集液瓶</w:t>
                  </w:r>
                </w:p>
              </w:tc>
              <w:tc>
                <w:tcPr>
                  <w:tcW w:w="163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627"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配件</w:t>
                  </w:r>
                </w:p>
              </w:tc>
              <w:tc>
                <w:tcPr>
                  <w:tcW w:w="4109"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微孔滤膜（</w:t>
                  </w:r>
                  <w:r>
                    <w:rPr>
                      <w:rFonts w:hint="eastAsia" w:ascii="宋体" w:hAnsi="宋体" w:eastAsia="宋体" w:cs="宋体"/>
                      <w:sz w:val="21"/>
                      <w:szCs w:val="21"/>
                    </w:rPr>
                    <w:t>Φ47-Φ50</w:t>
                  </w:r>
                  <w:r>
                    <w:rPr>
                      <w:rFonts w:hint="eastAsia" w:ascii="宋体" w:hAnsi="宋体" w:eastAsia="宋体" w:cs="宋体"/>
                      <w:sz w:val="21"/>
                      <w:szCs w:val="21"/>
                      <w:vertAlign w:val="baseline"/>
                      <w:lang w:val="en-US" w:eastAsia="zh-CN"/>
                    </w:rPr>
                    <w:t>， 0.45μm  MCE）</w:t>
                  </w:r>
                </w:p>
              </w:tc>
              <w:tc>
                <w:tcPr>
                  <w:tcW w:w="163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与滤杯相匹配</w:t>
                  </w:r>
                </w:p>
              </w:tc>
              <w:tc>
                <w:tcPr>
                  <w:tcW w:w="1627"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500片</w:t>
                  </w:r>
                </w:p>
              </w:tc>
            </w:tr>
          </w:tbl>
          <w:p>
            <w:pPr>
              <w:pStyle w:val="42"/>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sz w:val="21"/>
                <w:szCs w:val="21"/>
                <w:lang w:eastAsia="zh-CN"/>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lang w:eastAsia="zh-CN"/>
              </w:rPr>
              <w:t>设备功能及要求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泛应用与化学分析、环境检测、水质分析、科学研究等。该产品可同时检测三个或者六个样品，灵敏度高，且操作简单；可根据操作者需要，选择不同材质滤膜，对不同样品进行过滤，如样品中悬浮物，细菌微粒，适合与实验室过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3.</w:t>
            </w:r>
            <w:r>
              <w:rPr>
                <w:rFonts w:hint="eastAsia" w:ascii="宋体" w:hAnsi="宋体" w:eastAsia="宋体" w:cs="宋体"/>
                <w:b/>
                <w:bCs/>
                <w:sz w:val="21"/>
                <w:szCs w:val="21"/>
                <w:lang w:val="en-US" w:eastAsia="zh-CN"/>
              </w:rPr>
              <w:t>技术参数</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3.1.</w:t>
            </w:r>
            <w:r>
              <w:rPr>
                <w:rFonts w:hint="eastAsia" w:ascii="宋体" w:hAnsi="宋体" w:eastAsia="宋体" w:cs="宋体"/>
                <w:b/>
                <w:bCs/>
                <w:sz w:val="21"/>
                <w:szCs w:val="21"/>
              </w:rPr>
              <w:t>真空泵：</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3.1.1.</w:t>
            </w:r>
            <w:r>
              <w:rPr>
                <w:rFonts w:hint="eastAsia" w:ascii="宋体" w:hAnsi="宋体" w:eastAsia="宋体" w:cs="宋体"/>
                <w:sz w:val="21"/>
                <w:szCs w:val="21"/>
              </w:rPr>
              <w:t>抽气速度（L/min）：60；</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3.1.2.</w:t>
            </w:r>
            <w:r>
              <w:rPr>
                <w:rFonts w:hint="eastAsia" w:ascii="宋体" w:hAnsi="宋体" w:eastAsia="宋体" w:cs="宋体"/>
                <w:sz w:val="21"/>
                <w:szCs w:val="21"/>
              </w:rPr>
              <w:t>极限压力：≥0.08MPa;</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3.1.3.</w:t>
            </w:r>
            <w:r>
              <w:rPr>
                <w:rFonts w:hint="eastAsia" w:ascii="宋体" w:hAnsi="宋体" w:eastAsia="宋体" w:cs="宋体"/>
                <w:sz w:val="21"/>
                <w:szCs w:val="21"/>
              </w:rPr>
              <w:t>电压：220V,50Hz；</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3.1.4.</w:t>
            </w:r>
            <w:r>
              <w:rPr>
                <w:rFonts w:hint="eastAsia" w:ascii="宋体" w:hAnsi="宋体" w:eastAsia="宋体" w:cs="宋体"/>
                <w:sz w:val="21"/>
                <w:szCs w:val="21"/>
              </w:rPr>
              <w:t>额定功率：160W；</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3.1.5.</w:t>
            </w:r>
            <w:r>
              <w:rPr>
                <w:rFonts w:hint="eastAsia" w:ascii="宋体" w:hAnsi="宋体" w:eastAsia="宋体" w:cs="宋体"/>
                <w:sz w:val="21"/>
                <w:szCs w:val="21"/>
              </w:rPr>
              <w:t>正压力：≥30psi；</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3.1.6.</w:t>
            </w:r>
            <w:r>
              <w:rPr>
                <w:rFonts w:hint="eastAsia" w:ascii="宋体" w:hAnsi="宋体" w:eastAsia="宋体" w:cs="宋体"/>
                <w:sz w:val="21"/>
                <w:szCs w:val="21"/>
              </w:rPr>
              <w:t>工作环境温度（℃）：7-40；</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3.1.7.</w:t>
            </w:r>
            <w:r>
              <w:rPr>
                <w:rFonts w:hint="eastAsia" w:ascii="宋体" w:hAnsi="宋体" w:eastAsia="宋体" w:cs="宋体"/>
                <w:sz w:val="21"/>
                <w:szCs w:val="21"/>
              </w:rPr>
              <w:t>泵头数量：2；</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3.1.8.</w:t>
            </w:r>
            <w:r>
              <w:rPr>
                <w:rFonts w:hint="eastAsia" w:ascii="宋体" w:hAnsi="宋体" w:eastAsia="宋体" w:cs="宋体"/>
                <w:sz w:val="21"/>
                <w:szCs w:val="21"/>
              </w:rPr>
              <w:t>泵体温度（℃）：≤55</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3.2.</w:t>
            </w:r>
            <w:r>
              <w:rPr>
                <w:rFonts w:hint="eastAsia" w:ascii="宋体" w:hAnsi="宋体" w:eastAsia="宋体" w:cs="宋体"/>
                <w:b/>
                <w:bCs/>
                <w:sz w:val="21"/>
                <w:szCs w:val="21"/>
                <w:lang w:val="en-US" w:eastAsia="zh-CN"/>
              </w:rPr>
              <w:t>全不锈钢六连过滤器</w:t>
            </w:r>
            <w:r>
              <w:rPr>
                <w:rFonts w:hint="eastAsia" w:ascii="宋体" w:hAnsi="宋体" w:eastAsia="宋体" w:cs="宋体"/>
                <w:b/>
                <w:bCs/>
                <w:sz w:val="21"/>
                <w:szCs w:val="21"/>
              </w:rPr>
              <w:t>：</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kern w:val="2"/>
                <w:sz w:val="21"/>
                <w:szCs w:val="21"/>
                <w:lang w:val="en-US" w:eastAsia="zh-CN" w:bidi="ar-SA"/>
              </w:rPr>
              <w:t>3.2.1.</w:t>
            </w:r>
            <w:r>
              <w:rPr>
                <w:rFonts w:hint="eastAsia" w:ascii="宋体" w:hAnsi="宋体" w:eastAsia="宋体" w:cs="宋体"/>
                <w:sz w:val="21"/>
                <w:szCs w:val="21"/>
              </w:rPr>
              <w:t>规格：六联；</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3.2.2.</w:t>
            </w:r>
            <w:r>
              <w:rPr>
                <w:rFonts w:hint="eastAsia" w:ascii="宋体" w:hAnsi="宋体" w:eastAsia="宋体" w:cs="宋体"/>
                <w:sz w:val="21"/>
                <w:szCs w:val="21"/>
              </w:rPr>
              <w:t>滤杯：不锈钢</w:t>
            </w:r>
            <w:r>
              <w:rPr>
                <w:rFonts w:hint="eastAsia" w:ascii="宋体" w:hAnsi="宋体" w:eastAsia="宋体" w:cs="宋体"/>
                <w:sz w:val="21"/>
                <w:szCs w:val="21"/>
                <w:lang w:val="en-US" w:eastAsia="zh-CN"/>
              </w:rPr>
              <w:t>304</w:t>
            </w:r>
            <w:r>
              <w:rPr>
                <w:rFonts w:hint="eastAsia" w:ascii="宋体" w:hAnsi="宋体" w:eastAsia="宋体" w:cs="宋体"/>
                <w:sz w:val="21"/>
                <w:szCs w:val="21"/>
              </w:rPr>
              <w:t>；</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3.2.3.</w:t>
            </w:r>
            <w:r>
              <w:rPr>
                <w:rFonts w:hint="eastAsia" w:ascii="宋体" w:hAnsi="宋体" w:eastAsia="宋体" w:cs="宋体"/>
                <w:sz w:val="21"/>
                <w:szCs w:val="21"/>
              </w:rPr>
              <w:t>阀门：不锈钢；</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3.2.4.</w:t>
            </w:r>
            <w:r>
              <w:rPr>
                <w:rFonts w:hint="eastAsia" w:ascii="宋体" w:hAnsi="宋体" w:eastAsia="宋体" w:cs="宋体"/>
                <w:sz w:val="21"/>
                <w:szCs w:val="21"/>
              </w:rPr>
              <w:t>筛板：不锈钢</w:t>
            </w:r>
            <w:r>
              <w:rPr>
                <w:rFonts w:hint="eastAsia" w:ascii="宋体" w:hAnsi="宋体" w:eastAsia="宋体" w:cs="宋体"/>
                <w:sz w:val="21"/>
                <w:szCs w:val="21"/>
                <w:lang w:val="en-US" w:eastAsia="zh-CN"/>
              </w:rPr>
              <w:t>304</w:t>
            </w:r>
            <w:r>
              <w:rPr>
                <w:rFonts w:hint="eastAsia" w:ascii="宋体" w:hAnsi="宋体" w:eastAsia="宋体" w:cs="宋体"/>
                <w:sz w:val="21"/>
                <w:szCs w:val="21"/>
              </w:rPr>
              <w:t>（100μm）</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3.2.5.</w:t>
            </w:r>
            <w:r>
              <w:rPr>
                <w:rFonts w:hint="eastAsia" w:ascii="宋体" w:hAnsi="宋体" w:eastAsia="宋体" w:cs="宋体"/>
                <w:sz w:val="21"/>
                <w:szCs w:val="21"/>
              </w:rPr>
              <w:t>连接方式：不锈钢胶塞式；</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3.2.6.</w:t>
            </w:r>
            <w:r>
              <w:rPr>
                <w:rFonts w:hint="eastAsia" w:ascii="宋体" w:hAnsi="宋体" w:eastAsia="宋体" w:cs="宋体"/>
                <w:sz w:val="21"/>
                <w:szCs w:val="21"/>
              </w:rPr>
              <w:t>支架：不锈钢</w:t>
            </w:r>
            <w:r>
              <w:rPr>
                <w:rFonts w:hint="eastAsia" w:ascii="宋体" w:hAnsi="宋体" w:eastAsia="宋体" w:cs="宋体"/>
                <w:sz w:val="21"/>
                <w:szCs w:val="21"/>
                <w:lang w:val="en-US" w:eastAsia="zh-CN"/>
              </w:rPr>
              <w:t>304</w:t>
            </w:r>
            <w:r>
              <w:rPr>
                <w:rFonts w:hint="eastAsia" w:ascii="宋体" w:hAnsi="宋体" w:eastAsia="宋体" w:cs="宋体"/>
                <w:sz w:val="21"/>
                <w:szCs w:val="21"/>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bCs/>
                <w:sz w:val="21"/>
                <w:szCs w:val="21"/>
                <w:lang w:eastAsia="zh-CN"/>
              </w:rPr>
            </w:pPr>
            <w:r>
              <w:rPr>
                <w:rFonts w:hint="eastAsia" w:ascii="宋体" w:hAnsi="宋体" w:eastAsia="宋体" w:cs="宋体"/>
                <w:b/>
                <w:bCs/>
                <w:kern w:val="2"/>
                <w:sz w:val="21"/>
                <w:szCs w:val="21"/>
                <w:lang w:val="en-US" w:eastAsia="zh-CN" w:bidi="ar-SA"/>
              </w:rPr>
              <w:t>3.3.</w:t>
            </w:r>
            <w:r>
              <w:rPr>
                <w:rFonts w:hint="eastAsia" w:ascii="宋体" w:hAnsi="宋体" w:eastAsia="宋体" w:cs="宋体"/>
                <w:b/>
                <w:bCs/>
                <w:sz w:val="21"/>
                <w:szCs w:val="21"/>
                <w:lang w:val="en-US" w:eastAsia="zh-CN"/>
              </w:rPr>
              <w:t>微孔滤膜</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3.3.1.</w:t>
            </w:r>
            <w:r>
              <w:rPr>
                <w:rFonts w:hint="eastAsia" w:ascii="宋体" w:hAnsi="宋体" w:eastAsia="宋体" w:cs="宋体"/>
                <w:sz w:val="21"/>
                <w:szCs w:val="21"/>
              </w:rPr>
              <w:t>滤膜材质：水系膜(标配)（需要其他材质采购时选择）</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3.3.2.</w:t>
            </w:r>
            <w:r>
              <w:rPr>
                <w:rFonts w:hint="eastAsia" w:ascii="宋体" w:hAnsi="宋体" w:eastAsia="宋体" w:cs="宋体"/>
                <w:sz w:val="21"/>
                <w:szCs w:val="21"/>
              </w:rPr>
              <w:t>滤膜孔径： 0.45μm（标配）（需要其他规格采购时选择）</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709" w:leftChars="0" w:hanging="709"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3.3.3.</w:t>
            </w:r>
            <w:r>
              <w:rPr>
                <w:rFonts w:hint="eastAsia" w:ascii="宋体" w:hAnsi="宋体" w:eastAsia="宋体" w:cs="宋体"/>
                <w:sz w:val="21"/>
                <w:szCs w:val="21"/>
              </w:rPr>
              <w:t>滤膜直径：Φ47-Φ50（mm）</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kern w:val="2"/>
                <w:sz w:val="21"/>
                <w:szCs w:val="21"/>
                <w:lang w:val="en-US" w:eastAsia="zh-CN" w:bidi="ar-SA"/>
              </w:rPr>
              <w:t>3.4.</w:t>
            </w:r>
            <w:r>
              <w:rPr>
                <w:rFonts w:hint="eastAsia" w:ascii="宋体" w:hAnsi="宋体" w:eastAsia="宋体" w:cs="宋体"/>
                <w:b/>
                <w:bCs/>
                <w:sz w:val="21"/>
                <w:szCs w:val="21"/>
                <w:lang w:val="en-US" w:eastAsia="zh-CN"/>
              </w:rPr>
              <w:t>集液瓶</w:t>
            </w:r>
            <w:r>
              <w:rPr>
                <w:rFonts w:hint="eastAsia" w:ascii="宋体" w:hAnsi="宋体" w:eastAsia="宋体" w:cs="宋体"/>
                <w:b/>
                <w:bCs/>
                <w:sz w:val="21"/>
                <w:szCs w:val="21"/>
              </w:rPr>
              <w:t>容量：</w:t>
            </w:r>
            <w:r>
              <w:rPr>
                <w:rFonts w:hint="eastAsia" w:ascii="宋体" w:hAnsi="宋体" w:eastAsia="宋体" w:cs="宋体"/>
                <w:b/>
                <w:bCs/>
                <w:sz w:val="21"/>
                <w:szCs w:val="21"/>
                <w:lang w:val="en-US" w:eastAsia="zh-CN"/>
              </w:rPr>
              <w:t>≥2L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红外测油仪</w:t>
            </w:r>
          </w:p>
        </w:tc>
        <w:tc>
          <w:tcPr>
            <w:tcW w:w="9188" w:type="dxa"/>
            <w:vAlign w:val="center"/>
          </w:tcPr>
          <w:p>
            <w:pPr>
              <w:pStyle w:val="34"/>
              <w:pageBreakBefore w:val="0"/>
              <w:numPr>
                <w:ilvl w:val="0"/>
                <w:numId w:val="0"/>
              </w:numPr>
              <w:kinsoku/>
              <w:wordWrap/>
              <w:overflowPunct/>
              <w:topLinePunct w:val="0"/>
              <w:autoSpaceDE/>
              <w:autoSpaceDN/>
              <w:bidi w:val="0"/>
              <w:spacing w:line="360" w:lineRule="auto"/>
              <w:ind w:left="420" w:hanging="42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1.</w:t>
            </w:r>
            <w:r>
              <w:rPr>
                <w:rFonts w:hint="eastAsia" w:ascii="宋体" w:hAnsi="宋体" w:eastAsia="宋体" w:cs="宋体"/>
                <w:b/>
                <w:bCs/>
                <w:sz w:val="21"/>
                <w:szCs w:val="21"/>
              </w:rPr>
              <w:t>符合标准</w:t>
            </w:r>
          </w:p>
          <w:p>
            <w:pPr>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474747"/>
                <w:kern w:val="0"/>
                <w:sz w:val="21"/>
                <w:szCs w:val="21"/>
              </w:rPr>
            </w:pPr>
            <w:r>
              <w:rPr>
                <w:rFonts w:hint="eastAsia" w:ascii="宋体" w:hAnsi="宋体" w:eastAsia="宋体" w:cs="宋体"/>
                <w:color w:val="474747"/>
                <w:kern w:val="0"/>
                <w:sz w:val="21"/>
                <w:szCs w:val="21"/>
              </w:rPr>
              <w:t>“HJ 637-2018 水质 石油类和动植物油类的测定 红外分光光度法”</w:t>
            </w:r>
          </w:p>
          <w:p>
            <w:pPr>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474747"/>
                <w:kern w:val="0"/>
                <w:sz w:val="21"/>
                <w:szCs w:val="21"/>
              </w:rPr>
            </w:pPr>
            <w:r>
              <w:rPr>
                <w:rFonts w:hint="eastAsia" w:ascii="宋体" w:hAnsi="宋体" w:eastAsia="宋体" w:cs="宋体"/>
                <w:color w:val="474747"/>
                <w:kern w:val="0"/>
                <w:sz w:val="21"/>
                <w:szCs w:val="21"/>
              </w:rPr>
              <w:t>“HJ 1077-2019 固定污染源废气 油烟和油雾的测定 红外分光光度法”</w:t>
            </w:r>
          </w:p>
          <w:p>
            <w:pPr>
              <w:pageBreakBefore w:val="0"/>
              <w:widowControl/>
              <w:shd w:val="clear" w:color="auto" w:fill="FFFFFF"/>
              <w:kinsoku/>
              <w:wordWrap/>
              <w:overflowPunct/>
              <w:topLinePunct w:val="0"/>
              <w:autoSpaceDE/>
              <w:autoSpaceDN/>
              <w:bidi w:val="0"/>
              <w:spacing w:line="360" w:lineRule="auto"/>
              <w:ind w:firstLine="210" w:firstLineChars="100"/>
              <w:jc w:val="left"/>
              <w:rPr>
                <w:rFonts w:hint="eastAsia" w:ascii="宋体" w:hAnsi="宋体" w:eastAsia="宋体" w:cs="宋体"/>
                <w:color w:val="474747"/>
                <w:kern w:val="0"/>
                <w:sz w:val="21"/>
                <w:szCs w:val="21"/>
              </w:rPr>
            </w:pPr>
            <w:r>
              <w:rPr>
                <w:rFonts w:hint="eastAsia" w:ascii="宋体" w:hAnsi="宋体" w:eastAsia="宋体" w:cs="宋体"/>
                <w:color w:val="474747"/>
                <w:kern w:val="0"/>
                <w:sz w:val="21"/>
                <w:szCs w:val="21"/>
              </w:rPr>
              <w:t>“HJ 1051-2019 土壤 石油类的测定 红外分光光度法”</w:t>
            </w:r>
          </w:p>
          <w:p>
            <w:pPr>
              <w:pStyle w:val="34"/>
              <w:pageBreakBefore w:val="0"/>
              <w:numPr>
                <w:ilvl w:val="0"/>
                <w:numId w:val="0"/>
              </w:numPr>
              <w:kinsoku/>
              <w:wordWrap/>
              <w:overflowPunct/>
              <w:topLinePunct w:val="0"/>
              <w:autoSpaceDE/>
              <w:autoSpaceDN/>
              <w:bidi w:val="0"/>
              <w:spacing w:line="360" w:lineRule="auto"/>
              <w:ind w:left="420" w:hanging="42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rPr>
              <w:t>应用领域</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用工业废水和生活污水中石油类和动植物油类的测定</w:t>
            </w:r>
          </w:p>
          <w:p>
            <w:pPr>
              <w:pStyle w:val="34"/>
              <w:pageBreakBefore w:val="0"/>
              <w:numPr>
                <w:ilvl w:val="0"/>
                <w:numId w:val="0"/>
              </w:numPr>
              <w:kinsoku/>
              <w:wordWrap/>
              <w:overflowPunct/>
              <w:topLinePunct w:val="0"/>
              <w:autoSpaceDE/>
              <w:autoSpaceDN/>
              <w:bidi w:val="0"/>
              <w:spacing w:line="360" w:lineRule="auto"/>
              <w:ind w:left="420" w:hanging="42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3.</w:t>
            </w:r>
            <w:r>
              <w:rPr>
                <w:rFonts w:hint="eastAsia" w:ascii="宋体" w:hAnsi="宋体" w:eastAsia="宋体" w:cs="宋体"/>
                <w:b/>
                <w:bCs/>
                <w:sz w:val="21"/>
                <w:szCs w:val="21"/>
              </w:rPr>
              <w:t>技术指标和有关参数性能</w:t>
            </w:r>
          </w:p>
          <w:p>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软件系统：采用双系统分析,分别满足四氯化碳或四氯乙烯做萃取剂的使用方法</w:t>
            </w:r>
          </w:p>
          <w:p>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kern w:val="0"/>
                <w:sz w:val="21"/>
                <w:szCs w:val="21"/>
              </w:rPr>
              <w:t>校准方式：</w:t>
            </w:r>
            <w:r>
              <w:rPr>
                <w:rFonts w:hint="eastAsia" w:ascii="宋体" w:hAnsi="宋体" w:eastAsia="宋体" w:cs="宋体"/>
                <w:sz w:val="21"/>
                <w:szCs w:val="21"/>
              </w:rPr>
              <w:t>仪器既可用标准曲线校准也可使用系数校准；</w:t>
            </w:r>
          </w:p>
          <w:p>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sz w:val="21"/>
                <w:szCs w:val="21"/>
              </w:rPr>
              <w:t>光源系统：光源使用寿命可达5000小时以上。光源使用电调制调解光源技术，防止仪器内部温度过高影响稳定性；</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方法检出限：当样品体积为500ml，萃取液体积为50ml时，检出限为0.06mg/L；</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仪器检出限DL≤0.04mg/L(四氯乙烯空白液测定11次的3倍SD)；</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波数准确度及重复性：±0.5cm</w:t>
            </w:r>
            <w:r>
              <w:rPr>
                <w:rFonts w:hint="eastAsia" w:ascii="宋体" w:hAnsi="宋体" w:eastAsia="宋体" w:cs="宋体"/>
                <w:sz w:val="21"/>
                <w:szCs w:val="21"/>
                <w:vertAlign w:val="superscript"/>
              </w:rPr>
              <w:t>-1</w:t>
            </w:r>
            <w:r>
              <w:rPr>
                <w:rFonts w:hint="eastAsia" w:ascii="宋体" w:hAnsi="宋体" w:eastAsia="宋体" w:cs="宋体"/>
                <w:sz w:val="21"/>
                <w:szCs w:val="21"/>
              </w:rPr>
              <w:t>。 采用自动定位校准，30mg/L以上油样自动对2930cm</w:t>
            </w:r>
            <w:r>
              <w:rPr>
                <w:rFonts w:hint="eastAsia" w:ascii="宋体" w:hAnsi="宋体" w:eastAsia="宋体" w:cs="宋体"/>
                <w:sz w:val="21"/>
                <w:szCs w:val="21"/>
                <w:vertAlign w:val="superscript"/>
              </w:rPr>
              <w:t>-1</w:t>
            </w:r>
            <w:r>
              <w:rPr>
                <w:rFonts w:hint="eastAsia" w:ascii="宋体" w:hAnsi="宋体" w:eastAsia="宋体" w:cs="宋体"/>
                <w:sz w:val="21"/>
                <w:szCs w:val="21"/>
              </w:rPr>
              <w:t>、2960cm</w:t>
            </w:r>
            <w:r>
              <w:rPr>
                <w:rFonts w:hint="eastAsia" w:ascii="宋体" w:hAnsi="宋体" w:eastAsia="宋体" w:cs="宋体"/>
                <w:sz w:val="21"/>
                <w:szCs w:val="21"/>
                <w:vertAlign w:val="superscript"/>
              </w:rPr>
              <w:t>-1</w:t>
            </w:r>
            <w:r>
              <w:rPr>
                <w:rFonts w:hint="eastAsia" w:ascii="宋体" w:hAnsi="宋体" w:eastAsia="宋体" w:cs="宋体"/>
                <w:sz w:val="21"/>
                <w:szCs w:val="21"/>
              </w:rPr>
              <w:t>、3030cm</w:t>
            </w:r>
            <w:r>
              <w:rPr>
                <w:rFonts w:hint="eastAsia" w:ascii="宋体" w:hAnsi="宋体" w:eastAsia="宋体" w:cs="宋体"/>
                <w:sz w:val="21"/>
                <w:szCs w:val="21"/>
                <w:vertAlign w:val="superscript"/>
              </w:rPr>
              <w:t>-1</w:t>
            </w:r>
            <w:r>
              <w:rPr>
                <w:rFonts w:hint="eastAsia" w:ascii="宋体" w:hAnsi="宋体" w:eastAsia="宋体" w:cs="宋体"/>
                <w:sz w:val="21"/>
                <w:szCs w:val="21"/>
              </w:rPr>
              <w:t>处校准，消除了人为定位的影响；</w:t>
            </w:r>
          </w:p>
          <w:p>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重复性：30～40mg/L油标样测定11次 RSD≤0.6%或0.5mg/L水样RSD≤5%，</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准确度误差：≤1%;</w:t>
            </w:r>
          </w:p>
          <w:p>
            <w:pPr>
              <w:pageBreakBefore w:val="0"/>
              <w:kinsoku/>
              <w:wordWrap/>
              <w:overflowPunct/>
              <w:topLinePunct w:val="0"/>
              <w:autoSpaceDE/>
              <w:autoSpaceDN/>
              <w:bidi w:val="0"/>
              <w:spacing w:line="360" w:lineRule="auto"/>
              <w:ind w:left="210" w:hanging="210" w:hangingChars="100"/>
              <w:rPr>
                <w:rFonts w:hint="eastAsia" w:ascii="宋体" w:hAnsi="宋体" w:eastAsia="宋体" w:cs="宋体"/>
                <w:sz w:val="21"/>
                <w:szCs w:val="21"/>
              </w:rPr>
            </w:pPr>
            <w:r>
              <w:rPr>
                <w:rFonts w:hint="eastAsia" w:ascii="宋体" w:hAnsi="宋体" w:eastAsia="宋体" w:cs="宋体"/>
                <w:sz w:val="21"/>
                <w:szCs w:val="21"/>
              </w:rPr>
              <w:t>校正系数准确度：误差±10%;</w:t>
            </w:r>
          </w:p>
          <w:p>
            <w:pPr>
              <w:pageBreakBefore w:val="0"/>
              <w:kinsoku/>
              <w:wordWrap/>
              <w:overflowPunct/>
              <w:topLinePunct w:val="0"/>
              <w:autoSpaceDE/>
              <w:autoSpaceDN/>
              <w:bidi w:val="0"/>
              <w:spacing w:line="360" w:lineRule="auto"/>
              <w:ind w:left="210" w:hanging="210" w:hangingChars="100"/>
              <w:rPr>
                <w:rFonts w:hint="eastAsia" w:ascii="宋体" w:hAnsi="宋体" w:eastAsia="宋体" w:cs="宋体"/>
                <w:kern w:val="0"/>
                <w:sz w:val="21"/>
                <w:szCs w:val="21"/>
              </w:rPr>
            </w:pPr>
            <w:r>
              <w:rPr>
                <w:rFonts w:hint="eastAsia" w:ascii="宋体" w:hAnsi="宋体" w:eastAsia="宋体" w:cs="宋体"/>
                <w:sz w:val="21"/>
                <w:szCs w:val="21"/>
              </w:rPr>
              <w:t>扫描速度：全谱扫描，45秒钟/次；</w:t>
            </w:r>
            <w:r>
              <w:rPr>
                <w:rFonts w:hint="eastAsia" w:ascii="宋体" w:hAnsi="宋体" w:eastAsia="宋体" w:cs="宋体"/>
                <w:kern w:val="0"/>
                <w:sz w:val="21"/>
                <w:szCs w:val="21"/>
              </w:rPr>
              <w:t>非分散红外法2秒钟</w:t>
            </w:r>
            <w:r>
              <w:rPr>
                <w:rFonts w:hint="eastAsia" w:ascii="宋体" w:hAnsi="宋体" w:eastAsia="宋体" w:cs="宋体"/>
                <w:sz w:val="21"/>
                <w:szCs w:val="21"/>
              </w:rPr>
              <w:t>/次</w:t>
            </w:r>
            <w:r>
              <w:rPr>
                <w:rFonts w:hint="eastAsia" w:ascii="宋体" w:hAnsi="宋体" w:eastAsia="宋体" w:cs="宋体"/>
                <w:kern w:val="0"/>
                <w:sz w:val="21"/>
                <w:szCs w:val="21"/>
              </w:rPr>
              <w:t>；</w:t>
            </w:r>
          </w:p>
          <w:p>
            <w:pPr>
              <w:pageBreakBefore w:val="0"/>
              <w:numPr>
                <w:ilvl w:val="0"/>
                <w:numId w:val="0"/>
              </w:numPr>
              <w:kinsoku/>
              <w:wordWrap/>
              <w:overflowPunct/>
              <w:topLinePunct w:val="0"/>
              <w:autoSpaceDE/>
              <w:autoSpaceDN/>
              <w:bidi w:val="0"/>
              <w:spacing w:line="360" w:lineRule="auto"/>
              <w:ind w:left="420" w:hanging="420"/>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bidi="ar-SA"/>
              </w:rPr>
              <w:t>4.</w:t>
            </w:r>
            <w:r>
              <w:rPr>
                <w:rFonts w:hint="eastAsia" w:ascii="宋体" w:hAnsi="宋体" w:eastAsia="宋体" w:cs="宋体"/>
                <w:b/>
                <w:bCs/>
                <w:sz w:val="21"/>
                <w:szCs w:val="21"/>
              </w:rPr>
              <w:t>技术参数</w:t>
            </w:r>
            <w:r>
              <w:rPr>
                <w:rFonts w:hint="eastAsia" w:ascii="宋体" w:hAnsi="宋体" w:eastAsia="宋体" w:cs="宋体"/>
                <w:kern w:val="0"/>
                <w:sz w:val="21"/>
                <w:szCs w:val="21"/>
              </w:rPr>
              <w:t xml:space="preserve"> </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基本测量范围：0.0～800mg/L</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最低检出浓度：0.003mg/L(水样浓度)</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线性相关系数r﹥0.9995</w:t>
            </w:r>
          </w:p>
          <w:p>
            <w:pPr>
              <w:pageBreakBefore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波数范围：3400cm</w:t>
            </w:r>
            <w:r>
              <w:rPr>
                <w:rFonts w:hint="eastAsia" w:ascii="宋体" w:hAnsi="宋体" w:eastAsia="宋体" w:cs="宋体"/>
                <w:sz w:val="21"/>
                <w:szCs w:val="21"/>
                <w:vertAlign w:val="superscript"/>
              </w:rPr>
              <w:t>-1</w:t>
            </w:r>
            <w:r>
              <w:rPr>
                <w:rFonts w:hint="eastAsia" w:ascii="宋体" w:hAnsi="宋体" w:eastAsia="宋体" w:cs="宋体"/>
                <w:sz w:val="21"/>
                <w:szCs w:val="21"/>
              </w:rPr>
              <w:t>～2400cm</w:t>
            </w:r>
            <w:r>
              <w:rPr>
                <w:rFonts w:hint="eastAsia" w:ascii="宋体" w:hAnsi="宋体" w:eastAsia="宋体" w:cs="宋体"/>
                <w:sz w:val="21"/>
                <w:szCs w:val="21"/>
                <w:vertAlign w:val="superscript"/>
              </w:rPr>
              <w:t>-1</w:t>
            </w:r>
            <w:r>
              <w:rPr>
                <w:rFonts w:hint="eastAsia" w:ascii="宋体" w:hAnsi="宋体" w:eastAsia="宋体" w:cs="宋体"/>
                <w:sz w:val="21"/>
                <w:szCs w:val="21"/>
              </w:rPr>
              <w:t>（即2941nm～4167nm）</w:t>
            </w:r>
          </w:p>
          <w:p>
            <w:pPr>
              <w:pageBreakBefore w:val="0"/>
              <w:kinsoku/>
              <w:wordWrap/>
              <w:overflowPunct/>
              <w:topLinePunct w:val="0"/>
              <w:autoSpaceDE/>
              <w:autoSpaceDN/>
              <w:bidi w:val="0"/>
              <w:spacing w:line="360" w:lineRule="auto"/>
              <w:rPr>
                <w:rFonts w:hint="eastAsia" w:ascii="宋体" w:hAnsi="宋体" w:eastAsia="宋体" w:cs="宋体"/>
                <w:sz w:val="21"/>
                <w:szCs w:val="21"/>
                <w:vertAlign w:val="superscript"/>
              </w:rPr>
            </w:pPr>
            <w:r>
              <w:rPr>
                <w:rFonts w:hint="eastAsia" w:ascii="宋体" w:hAnsi="宋体" w:eastAsia="宋体" w:cs="宋体"/>
                <w:sz w:val="21"/>
                <w:szCs w:val="21"/>
              </w:rPr>
              <w:t>波长准确度：±1.0cm</w:t>
            </w:r>
            <w:r>
              <w:rPr>
                <w:rFonts w:hint="eastAsia" w:ascii="宋体" w:hAnsi="宋体" w:eastAsia="宋体" w:cs="宋体"/>
                <w:sz w:val="21"/>
                <w:szCs w:val="21"/>
                <w:vertAlign w:val="superscript"/>
              </w:rPr>
              <w:t>-1</w:t>
            </w:r>
          </w:p>
          <w:p>
            <w:pPr>
              <w:pageBreakBefore w:val="0"/>
              <w:kinsoku/>
              <w:wordWrap/>
              <w:overflowPunct/>
              <w:topLinePunct w:val="0"/>
              <w:autoSpaceDE/>
              <w:autoSpaceDN/>
              <w:bidi w:val="0"/>
              <w:spacing w:line="360" w:lineRule="auto"/>
              <w:rPr>
                <w:rFonts w:hint="eastAsia" w:ascii="宋体" w:hAnsi="宋体" w:eastAsia="宋体" w:cs="宋体"/>
                <w:sz w:val="21"/>
                <w:szCs w:val="21"/>
                <w:vertAlign w:val="superscript"/>
              </w:rPr>
            </w:pPr>
            <w:r>
              <w:rPr>
                <w:rFonts w:hint="eastAsia" w:ascii="宋体" w:hAnsi="宋体" w:eastAsia="宋体" w:cs="宋体"/>
                <w:sz w:val="21"/>
                <w:szCs w:val="21"/>
              </w:rPr>
              <w:t>波数重复性：±0.5cm</w:t>
            </w:r>
            <w:r>
              <w:rPr>
                <w:rFonts w:hint="eastAsia" w:ascii="宋体" w:hAnsi="宋体" w:eastAsia="宋体" w:cs="宋体"/>
                <w:sz w:val="21"/>
                <w:szCs w:val="21"/>
                <w:vertAlign w:val="superscript"/>
              </w:rPr>
              <w:t>-1</w:t>
            </w:r>
          </w:p>
          <w:p>
            <w:pPr>
              <w:pageBreakBefore w:val="0"/>
              <w:kinsoku/>
              <w:wordWrap/>
              <w:overflowPunct/>
              <w:topLinePunct w:val="0"/>
              <w:autoSpaceDE/>
              <w:autoSpaceDN/>
              <w:bidi w:val="0"/>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吸光度范围：0.0000～ 2.0000AU（即透过率100～1%T）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16</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实验室台式离心机</w:t>
            </w:r>
          </w:p>
        </w:tc>
        <w:tc>
          <w:tcPr>
            <w:tcW w:w="9188" w:type="dxa"/>
            <w:vAlign w:val="center"/>
          </w:tcPr>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1、高清液晶触控屏</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rPr>
              <w:t>2、采用三轴陀螺仪</w:t>
            </w:r>
            <w:r>
              <w:rPr>
                <w:rFonts w:hint="eastAsia" w:ascii="宋体" w:hAnsi="宋体" w:eastAsia="宋体" w:cs="宋体"/>
                <w:sz w:val="21"/>
                <w:szCs w:val="21"/>
                <w:lang w:val="en-US" w:eastAsia="zh-CN"/>
              </w:rPr>
              <w:t>或</w:t>
            </w:r>
            <w:r>
              <w:rPr>
                <w:rFonts w:hint="eastAsia" w:ascii="宋体" w:hAnsi="宋体" w:eastAsia="宋体" w:cs="宋体"/>
                <w:sz w:val="21"/>
                <w:szCs w:val="21"/>
              </w:rPr>
              <w:t>高敏加速度</w:t>
            </w:r>
            <w:r>
              <w:rPr>
                <w:rFonts w:hint="eastAsia" w:ascii="宋体" w:hAnsi="宋体" w:eastAsia="宋体" w:cs="宋体"/>
                <w:sz w:val="21"/>
                <w:szCs w:val="21"/>
                <w:lang w:val="en-US" w:eastAsia="zh-CN"/>
              </w:rPr>
              <w:t>/高精度振动</w:t>
            </w:r>
            <w:r>
              <w:rPr>
                <w:rFonts w:hint="eastAsia" w:ascii="宋体" w:hAnsi="宋体" w:eastAsia="宋体" w:cs="宋体"/>
                <w:sz w:val="21"/>
                <w:szCs w:val="21"/>
              </w:rPr>
              <w:t>传感器</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+微机</w:t>
            </w:r>
            <w:r>
              <w:rPr>
                <w:rFonts w:hint="eastAsia" w:ascii="宋体" w:hAnsi="宋体" w:eastAsia="宋体" w:cs="宋体"/>
                <w:sz w:val="21"/>
                <w:szCs w:val="21"/>
              </w:rPr>
              <w:t>实时监测平衡状态</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3、具有曲线显示功能，运行参数以曲线形式直观的显示在屏幕上，用以监测各参数的变化过程和稳定性</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4、超大储存空间，可存储多达1000个程序组，130000条日志记录，支持数据导出</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5、具有多级权限分配功能，可根据需求自由设置权限范围，账号期限等，最多管理1000个用户</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6、可设置</w:t>
            </w:r>
            <w:r>
              <w:rPr>
                <w:rFonts w:hint="eastAsia" w:ascii="宋体" w:hAnsi="宋体" w:eastAsia="宋体" w:cs="宋体"/>
                <w:sz w:val="21"/>
                <w:szCs w:val="21"/>
                <w:lang w:val="en-US" w:eastAsia="zh-CN"/>
              </w:rPr>
              <w:t>≥</w:t>
            </w:r>
            <w:r>
              <w:rPr>
                <w:rFonts w:hint="eastAsia" w:ascii="宋体" w:hAnsi="宋体" w:eastAsia="宋体" w:cs="宋体"/>
                <w:sz w:val="21"/>
                <w:szCs w:val="21"/>
              </w:rPr>
              <w:t>10 组多段离心程序组，每组可设置10段离心参数，满足多元化试验要求</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7、具有门盖，超速，超温，过流，过压等多重保护功能</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rPr>
              <w:t>8、具备转子离心半径修正功能</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、所有转子、转子盖均可高温高压灭菌</w:t>
            </w:r>
            <w:r>
              <w:rPr>
                <w:rFonts w:hint="eastAsia" w:ascii="宋体" w:hAnsi="宋体" w:eastAsia="宋体" w:cs="宋体"/>
                <w:sz w:val="21"/>
                <w:szCs w:val="21"/>
                <w:lang w:eastAsia="zh-CN"/>
              </w:rPr>
              <w:t>。</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rPr>
              <w:t>、最高转速;</w:t>
            </w:r>
            <w:r>
              <w:rPr>
                <w:rFonts w:hint="eastAsia" w:ascii="宋体" w:hAnsi="宋体" w:eastAsia="宋体" w:cs="宋体"/>
                <w:sz w:val="21"/>
                <w:szCs w:val="21"/>
                <w:lang w:val="en-US" w:eastAsia="zh-CN"/>
              </w:rPr>
              <w:t>≥</w:t>
            </w:r>
            <w:r>
              <w:rPr>
                <w:rFonts w:hint="eastAsia" w:ascii="宋体" w:hAnsi="宋体" w:eastAsia="宋体" w:cs="宋体"/>
                <w:sz w:val="21"/>
                <w:szCs w:val="21"/>
              </w:rPr>
              <w:t>5000 r/min</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、最大离心力:</w:t>
            </w:r>
            <w:r>
              <w:rPr>
                <w:rFonts w:hint="eastAsia" w:ascii="宋体" w:hAnsi="宋体" w:eastAsia="宋体" w:cs="宋体"/>
                <w:sz w:val="21"/>
                <w:szCs w:val="21"/>
                <w:lang w:val="en-US" w:eastAsia="zh-CN"/>
              </w:rPr>
              <w:t>≥4390</w:t>
            </w:r>
            <w:r>
              <w:rPr>
                <w:rFonts w:hint="eastAsia" w:ascii="宋体" w:hAnsi="宋体" w:eastAsia="宋体" w:cs="宋体"/>
                <w:sz w:val="21"/>
                <w:szCs w:val="21"/>
              </w:rPr>
              <w:t>×g</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、最大容量：</w:t>
            </w:r>
            <w:r>
              <w:rPr>
                <w:rFonts w:hint="eastAsia" w:ascii="宋体" w:hAnsi="宋体" w:eastAsia="宋体" w:cs="宋体"/>
                <w:sz w:val="21"/>
                <w:szCs w:val="21"/>
                <w:lang w:val="en-US" w:eastAsia="zh-CN"/>
              </w:rPr>
              <w:t>≥800</w:t>
            </w:r>
            <w:r>
              <w:rPr>
                <w:rFonts w:hint="eastAsia" w:ascii="宋体" w:hAnsi="宋体" w:eastAsia="宋体" w:cs="宋体"/>
                <w:sz w:val="21"/>
                <w:szCs w:val="21"/>
              </w:rPr>
              <w:t>ml</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、转速精度：±10r/min</w:t>
            </w:r>
          </w:p>
          <w:p>
            <w:pPr>
              <w:pageBreakBefore w:val="0"/>
              <w:kinsoku/>
              <w:wordWrap/>
              <w:overflowPunct/>
              <w:topLinePunct w:val="0"/>
              <w:autoSpaceDE/>
              <w:autoSpaceDN/>
              <w:bidi w:val="0"/>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、定时范围：1min~99h99 min59s/点动/连续</w:t>
            </w:r>
          </w:p>
          <w:p>
            <w:pPr>
              <w:pageBreakBefore w:val="0"/>
              <w:kinsoku/>
              <w:wordWrap/>
              <w:overflowPunct/>
              <w:topLinePunct w:val="0"/>
              <w:autoSpaceDE/>
              <w:autoSpaceDN/>
              <w:bidi w:val="0"/>
              <w:spacing w:after="0"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、配置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标准配置所需要的</w:t>
            </w:r>
            <w:r>
              <w:rPr>
                <w:rFonts w:hint="eastAsia" w:ascii="宋体" w:hAnsi="宋体" w:eastAsia="宋体" w:cs="宋体"/>
                <w:sz w:val="21"/>
                <w:szCs w:val="21"/>
              </w:rPr>
              <w:t>水平转子</w:t>
            </w:r>
            <w:r>
              <w:rPr>
                <w:rFonts w:hint="eastAsia" w:ascii="宋体" w:hAnsi="宋体" w:eastAsia="宋体" w:cs="宋体"/>
                <w:sz w:val="21"/>
                <w:szCs w:val="21"/>
                <w:lang w:val="en-US" w:eastAsia="zh-CN"/>
              </w:rPr>
              <w:t>等</w:t>
            </w:r>
            <w:r>
              <w:rPr>
                <w:rFonts w:hint="eastAsia" w:ascii="宋体" w:hAnsi="宋体" w:eastAsia="宋体" w:cs="宋体"/>
                <w:sz w:val="21"/>
                <w:szCs w:val="21"/>
                <w:lang w:eastAsia="zh-CN"/>
              </w:rPr>
              <w:t>、</w:t>
            </w:r>
            <w:r>
              <w:rPr>
                <w:rFonts w:hint="eastAsia" w:ascii="宋体" w:hAnsi="宋体" w:eastAsia="宋体" w:cs="宋体"/>
                <w:sz w:val="21"/>
                <w:szCs w:val="21"/>
              </w:rPr>
              <w:t>玻璃管适配器</w:t>
            </w:r>
            <w:r>
              <w:rPr>
                <w:rFonts w:hint="eastAsia" w:ascii="宋体" w:hAnsi="宋体" w:eastAsia="宋体" w:cs="宋体"/>
                <w:sz w:val="21"/>
                <w:szCs w:val="21"/>
                <w:lang w:val="en-US" w:eastAsia="zh-CN"/>
              </w:rPr>
              <w:t>等</w:t>
            </w:r>
            <w:r>
              <w:rPr>
                <w:rFonts w:hint="eastAsia" w:ascii="宋体" w:hAnsi="宋体" w:eastAsia="宋体" w:cs="宋体"/>
                <w:sz w:val="21"/>
                <w:szCs w:val="21"/>
              </w:rPr>
              <w:t>，离心管</w:t>
            </w:r>
            <w:r>
              <w:rPr>
                <w:rFonts w:hint="eastAsia" w:ascii="宋体" w:hAnsi="宋体" w:eastAsia="宋体" w:cs="宋体"/>
                <w:sz w:val="21"/>
                <w:szCs w:val="21"/>
                <w:lang w:val="en-US" w:eastAsia="zh-CN"/>
              </w:rPr>
              <w:t>≥</w:t>
            </w:r>
            <w:r>
              <w:rPr>
                <w:rFonts w:hint="eastAsia" w:ascii="宋体" w:hAnsi="宋体" w:eastAsia="宋体" w:cs="宋体"/>
                <w:sz w:val="21"/>
                <w:szCs w:val="21"/>
              </w:rPr>
              <w:t>50支。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32" w:type="dxa"/>
            <w:vAlign w:val="center"/>
          </w:tcPr>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17</w:t>
            </w:r>
          </w:p>
        </w:tc>
        <w:tc>
          <w:tcPr>
            <w:tcW w:w="2739" w:type="dxa"/>
            <w:vAlign w:val="center"/>
          </w:tcPr>
          <w:p>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氟化物离子计</w:t>
            </w:r>
          </w:p>
        </w:tc>
        <w:tc>
          <w:tcPr>
            <w:tcW w:w="9188"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1.</w:t>
            </w:r>
            <w:r>
              <w:rPr>
                <w:rFonts w:hint="eastAsia" w:ascii="宋体" w:hAnsi="宋体" w:eastAsia="宋体" w:cs="宋体"/>
                <w:b/>
                <w:bCs/>
                <w:sz w:val="21"/>
                <w:szCs w:val="21"/>
              </w:rPr>
              <w:t>主机配置及配件</w:t>
            </w:r>
          </w:p>
          <w:p>
            <w:pPr>
              <w:keepNext w:val="0"/>
              <w:keepLines w:val="0"/>
              <w:pageBreakBefore w:val="0"/>
              <w:tabs>
                <w:tab w:val="left" w:pos="3000"/>
              </w:tabs>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（采购数量按招标清单为准，这里只表示每台采购设备应配置的备件或耗材数量）</w:t>
            </w:r>
          </w:p>
          <w:tbl>
            <w:tblPr>
              <w:tblStyle w:val="2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538"/>
              <w:gridCol w:w="2086"/>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p>
              </w:tc>
              <w:tc>
                <w:tcPr>
                  <w:tcW w:w="353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名称</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主机</w:t>
                  </w:r>
                </w:p>
              </w:tc>
              <w:tc>
                <w:tcPr>
                  <w:tcW w:w="353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氟化物离子计</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含便携式户外箱</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配件</w:t>
                  </w:r>
                </w:p>
              </w:tc>
              <w:tc>
                <w:tcPr>
                  <w:tcW w:w="353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电源线</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搅拌器</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氟离子电极</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参比电极</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温度电极</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多功能电极架</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电源适配器DC 9V(内正外负)</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通用USB连接线</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rPr>
                  </w:pPr>
                </w:p>
              </w:tc>
              <w:tc>
                <w:tcPr>
                  <w:tcW w:w="353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防尘罩(按键款)</w:t>
                  </w:r>
                </w:p>
              </w:tc>
              <w:tc>
                <w:tcPr>
                  <w:tcW w:w="20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99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1只</w:t>
                  </w:r>
                </w:p>
              </w:tc>
            </w:tr>
          </w:tbl>
          <w:p>
            <w:pPr>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 w:val="21"/>
                <w:szCs w:val="21"/>
                <w:lang w:val="en-US" w:eastAsia="zh-CN"/>
              </w:rPr>
              <w:t>设备功能及要求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用于地表水、地下水及工业废水（如化工、电镀、电子半导体、冶金等行业）的氟污染评估和排放监控，可以测量电位值、pH值、pX值、ORP值、离子浓度值和温度值。</w:t>
            </w:r>
          </w:p>
          <w:p>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SA"/>
              </w:rPr>
              <w:t>3.</w:t>
            </w:r>
            <w:r>
              <w:rPr>
                <w:rFonts w:hint="eastAsia" w:ascii="宋体" w:hAnsi="宋体" w:eastAsia="宋体" w:cs="宋体"/>
                <w:b/>
                <w:bCs/>
                <w:sz w:val="21"/>
                <w:szCs w:val="21"/>
                <w:lang w:val="en-US" w:eastAsia="zh-CN"/>
              </w:rPr>
              <w:t>技术参数</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w:t>
            </w:r>
            <w:r>
              <w:rPr>
                <w:rFonts w:hint="eastAsia" w:ascii="宋体" w:hAnsi="宋体" w:eastAsia="宋体" w:cs="宋体"/>
                <w:sz w:val="21"/>
                <w:szCs w:val="21"/>
                <w:lang w:val="en-US" w:eastAsia="zh-CN"/>
              </w:rPr>
              <w:t>采用彩色高清液晶屏幕，显示清晰</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3.2.</w:t>
            </w:r>
            <w:r>
              <w:rPr>
                <w:rFonts w:hint="eastAsia" w:ascii="宋体" w:hAnsi="宋体" w:eastAsia="宋体" w:cs="宋体"/>
                <w:sz w:val="21"/>
                <w:szCs w:val="21"/>
                <w:lang w:val="en-US" w:eastAsia="zh-CN"/>
              </w:rPr>
              <w:t>三种分辨率可选：pX支持0.001pX、0.01pX和0.1pX，mV支持0.01mV、0.1 mV和1mV</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3.3.</w:t>
            </w:r>
            <w:r>
              <w:rPr>
                <w:rFonts w:hint="eastAsia" w:ascii="宋体" w:hAnsi="宋体" w:eastAsia="宋体" w:cs="宋体"/>
                <w:sz w:val="21"/>
                <w:szCs w:val="21"/>
                <w:lang w:val="en-US" w:eastAsia="zh-CN"/>
              </w:rPr>
              <w:t>温度单位可选：℃ 和 °F。</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3.4.</w:t>
            </w:r>
            <w:r>
              <w:rPr>
                <w:rFonts w:hint="eastAsia" w:ascii="宋体" w:hAnsi="宋体" w:eastAsia="宋体" w:cs="宋体"/>
                <w:sz w:val="21"/>
                <w:szCs w:val="21"/>
                <w:lang w:val="en-US" w:eastAsia="zh-CN"/>
              </w:rPr>
              <w:t>支持开机自诊断、自动关机、断电保护和恢复出厂设置等功能</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3.5.</w:t>
            </w:r>
            <w:r>
              <w:rPr>
                <w:rFonts w:hint="eastAsia" w:ascii="宋体" w:hAnsi="宋体" w:eastAsia="宋体" w:cs="宋体"/>
                <w:sz w:val="21"/>
                <w:szCs w:val="21"/>
                <w:lang w:val="en-US" w:eastAsia="zh-CN"/>
              </w:rPr>
              <w:t>支持固件升级功能，允许功能扩展和个性化要求</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3.6.</w:t>
            </w:r>
            <w:r>
              <w:rPr>
                <w:rFonts w:hint="eastAsia" w:ascii="宋体" w:hAnsi="宋体" w:eastAsia="宋体" w:cs="宋体"/>
                <w:sz w:val="21"/>
                <w:szCs w:val="21"/>
                <w:lang w:val="en-US" w:eastAsia="zh-CN"/>
              </w:rPr>
              <w:t>支持IP54防护等级</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3.7.</w:t>
            </w:r>
            <w:r>
              <w:rPr>
                <w:rFonts w:hint="eastAsia" w:ascii="宋体" w:hAnsi="宋体" w:eastAsia="宋体" w:cs="宋体"/>
                <w:sz w:val="21"/>
                <w:szCs w:val="21"/>
                <w:lang w:val="en-US" w:eastAsia="zh-CN"/>
              </w:rPr>
              <w:t>标配搅拌器、氟离子电极、参比电极、温度电极，电极支架、防尘罩。</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3.8.</w:t>
            </w:r>
            <w:r>
              <w:rPr>
                <w:rFonts w:hint="eastAsia" w:ascii="宋体" w:hAnsi="宋体" w:eastAsia="宋体" w:cs="宋体"/>
                <w:sz w:val="21"/>
                <w:szCs w:val="21"/>
                <w:lang w:val="en-US" w:eastAsia="zh-CN"/>
              </w:rPr>
              <w:t>智能判别终点，支持自动读数、定时读数、定时间隔读数、手动读数</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3.9.</w:t>
            </w:r>
            <w:r>
              <w:rPr>
                <w:rFonts w:hint="eastAsia" w:ascii="宋体" w:hAnsi="宋体" w:eastAsia="宋体" w:cs="宋体"/>
                <w:sz w:val="21"/>
                <w:szCs w:val="21"/>
                <w:lang w:val="en-US" w:eastAsia="zh-CN"/>
              </w:rPr>
              <w:t>支持自动/手动温度补偿</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3.10.</w:t>
            </w:r>
            <w:r>
              <w:rPr>
                <w:rFonts w:hint="eastAsia" w:ascii="宋体" w:hAnsi="宋体" w:eastAsia="宋体" w:cs="宋体"/>
                <w:sz w:val="21"/>
                <w:szCs w:val="21"/>
                <w:lang w:val="en-US" w:eastAsia="zh-CN"/>
              </w:rPr>
              <w:t>支持1-5点pH电极标定</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3.11.</w:t>
            </w:r>
            <w:r>
              <w:rPr>
                <w:rFonts w:hint="eastAsia" w:ascii="宋体" w:hAnsi="宋体" w:eastAsia="宋体" w:cs="宋体"/>
                <w:sz w:val="21"/>
                <w:szCs w:val="21"/>
                <w:lang w:val="en-US" w:eastAsia="zh-CN"/>
              </w:rPr>
              <w:t>自动识别GB、DIN、NIST、USA等4组标准缓冲溶液，支持标液组管理，支持自定义pH缓冲溶液和标液组</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3.12.</w:t>
            </w:r>
            <w:r>
              <w:rPr>
                <w:rFonts w:hint="eastAsia" w:ascii="宋体" w:hAnsi="宋体" w:eastAsia="宋体" w:cs="宋体"/>
                <w:sz w:val="21"/>
                <w:szCs w:val="21"/>
                <w:lang w:val="en-US" w:eastAsia="zh-CN"/>
              </w:rPr>
              <w:t>内置Na+、K+、NH4+、Cl-、F-等多种离子模式，允许用户自建</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3.13.</w:t>
            </w:r>
            <w:r>
              <w:rPr>
                <w:rFonts w:hint="eastAsia" w:ascii="宋体" w:hAnsi="宋体" w:eastAsia="宋体" w:cs="宋体"/>
                <w:sz w:val="21"/>
                <w:szCs w:val="21"/>
                <w:lang w:val="en-US" w:eastAsia="zh-CN"/>
              </w:rPr>
              <w:t>μg/L、mg/L、g/L、mol/L、mmol/L、PX多种离子浓度单位快速切换</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3.14.</w:t>
            </w:r>
            <w:r>
              <w:rPr>
                <w:rFonts w:hint="eastAsia" w:ascii="宋体" w:hAnsi="宋体" w:eastAsia="宋体" w:cs="宋体"/>
                <w:sz w:val="21"/>
                <w:szCs w:val="21"/>
                <w:lang w:val="en-US" w:eastAsia="zh-CN"/>
              </w:rPr>
              <w:t>测量模式：直读浓度法测量、标准添加法测量、样品添加法测量、GRAN法测量</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3.15.</w:t>
            </w:r>
            <w:r>
              <w:rPr>
                <w:rFonts w:hint="eastAsia" w:ascii="宋体" w:hAnsi="宋体" w:eastAsia="宋体" w:cs="宋体"/>
                <w:sz w:val="21"/>
                <w:szCs w:val="21"/>
                <w:lang w:val="en-US" w:eastAsia="zh-CN"/>
              </w:rPr>
              <w:t>支持数据存储（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sz w:val="21"/>
                <w:szCs w:val="21"/>
                <w:lang w:val="en-US" w:eastAsia="zh-CN"/>
              </w:rPr>
              <w:t>500套）、查阅、删除、传输和打印</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3.17.</w:t>
            </w:r>
            <w:r>
              <w:rPr>
                <w:rFonts w:hint="eastAsia" w:ascii="宋体" w:hAnsi="宋体" w:eastAsia="宋体" w:cs="宋体"/>
                <w:sz w:val="21"/>
                <w:szCs w:val="21"/>
                <w:lang w:val="en-US" w:eastAsia="zh-CN"/>
              </w:rPr>
              <w:t>直接打印测量结果，打印格式可选</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3.18.</w:t>
            </w:r>
            <w:r>
              <w:rPr>
                <w:rFonts w:hint="eastAsia" w:ascii="宋体" w:hAnsi="宋体" w:eastAsia="宋体" w:cs="宋体"/>
                <w:sz w:val="21"/>
                <w:szCs w:val="21"/>
                <w:lang w:val="en-US" w:eastAsia="zh-CN"/>
              </w:rPr>
              <w:t>具有USB</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接口，</w:t>
            </w:r>
            <w:r>
              <w:rPr>
                <w:rFonts w:hint="eastAsia" w:ascii="宋体" w:hAnsi="宋体" w:cs="宋体"/>
                <w:sz w:val="21"/>
                <w:szCs w:val="21"/>
                <w:lang w:val="en-US" w:eastAsia="zh-CN"/>
              </w:rPr>
              <w:t>能</w:t>
            </w:r>
            <w:r>
              <w:rPr>
                <w:rFonts w:hint="eastAsia" w:ascii="宋体" w:hAnsi="宋体" w:eastAsia="宋体" w:cs="宋体"/>
                <w:sz w:val="21"/>
                <w:szCs w:val="21"/>
                <w:lang w:val="en-US" w:eastAsia="zh-CN"/>
              </w:rPr>
              <w:t>实现数据传输</w:t>
            </w: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bCs/>
                <w:sz w:val="21"/>
                <w:szCs w:val="21"/>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kern w:val="2"/>
                <w:sz w:val="21"/>
                <w:szCs w:val="21"/>
                <w:lang w:val="en-US" w:eastAsia="zh-CN" w:bidi="ar-SA"/>
              </w:rPr>
              <w:t>4.</w:t>
            </w:r>
            <w:r>
              <w:rPr>
                <w:rFonts w:hint="eastAsia" w:ascii="宋体" w:hAnsi="宋体" w:eastAsia="宋体" w:cs="宋体"/>
                <w:b/>
                <w:bCs/>
                <w:sz w:val="21"/>
                <w:szCs w:val="21"/>
                <w:lang w:val="en-US" w:eastAsia="zh-CN"/>
              </w:rPr>
              <w:t>分析项目指标</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4.1.</w:t>
            </w:r>
            <w:r>
              <w:rPr>
                <w:rFonts w:hint="eastAsia" w:ascii="宋体" w:hAnsi="宋体" w:eastAsia="宋体" w:cs="宋体"/>
                <w:sz w:val="21"/>
                <w:szCs w:val="21"/>
              </w:rPr>
              <w:t>测量参数电位值、pH值、pX值、ORP值、离子浓度值和温度值</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4.2.</w:t>
            </w:r>
            <w:r>
              <w:rPr>
                <w:rFonts w:hint="eastAsia" w:ascii="宋体" w:hAnsi="宋体" w:eastAsia="宋体" w:cs="宋体"/>
                <w:sz w:val="21"/>
                <w:szCs w:val="21"/>
              </w:rPr>
              <w:t>mV：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范围：(-2000.00～2000.00)mV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0.01 mV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±0.03%或±0.1 mV</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4.3.</w:t>
            </w:r>
            <w:r>
              <w:rPr>
                <w:rFonts w:hint="eastAsia" w:ascii="宋体" w:hAnsi="宋体" w:eastAsia="宋体" w:cs="宋体"/>
                <w:sz w:val="21"/>
                <w:szCs w:val="21"/>
              </w:rPr>
              <w:t>pH：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范围：(-2.000～20.000)pH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0.001 pH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±0.002pH</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4.4.</w:t>
            </w:r>
            <w:r>
              <w:rPr>
                <w:rFonts w:hint="eastAsia" w:ascii="宋体" w:hAnsi="宋体" w:eastAsia="宋体" w:cs="宋体"/>
                <w:sz w:val="21"/>
                <w:szCs w:val="21"/>
              </w:rPr>
              <w:t>pX：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范围：(-2.000～20.000)pX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0.001 pX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±0.002 pX</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4.5.</w:t>
            </w:r>
            <w:r>
              <w:rPr>
                <w:rFonts w:hint="eastAsia" w:ascii="宋体" w:hAnsi="宋体" w:eastAsia="宋体" w:cs="宋体"/>
                <w:sz w:val="21"/>
                <w:szCs w:val="21"/>
              </w:rPr>
              <w:t>离子浓度：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w:t>
            </w:r>
            <w:r>
              <w:rPr>
                <w:rFonts w:hint="eastAsia" w:ascii="宋体" w:hAnsi="宋体" w:eastAsia="宋体" w:cs="宋体"/>
                <w:sz w:val="21"/>
                <w:szCs w:val="21"/>
                <w:lang w:eastAsia="zh-CN"/>
              </w:rPr>
              <w:t>：</w:t>
            </w:r>
            <w:r>
              <w:rPr>
                <w:rFonts w:hint="eastAsia" w:ascii="宋体" w:hAnsi="宋体" w:eastAsia="宋体" w:cs="宋体"/>
                <w:sz w:val="21"/>
                <w:szCs w:val="21"/>
              </w:rPr>
              <w:t xml:space="preserve"> (0～19990)，Unit: mol/L, mmol/L, g/L, mg/L, μg/L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精度：</w:t>
            </w:r>
            <w:r>
              <w:rPr>
                <w:rFonts w:hint="eastAsia" w:ascii="宋体" w:hAnsi="宋体" w:eastAsia="宋体" w:cs="宋体"/>
                <w:sz w:val="21"/>
                <w:szCs w:val="21"/>
              </w:rPr>
              <w:t>±0.002</w:t>
            </w:r>
            <w:r>
              <w:rPr>
                <w:rFonts w:hint="eastAsia" w:ascii="宋体" w:hAnsi="宋体" w:eastAsia="宋体" w:cs="宋体"/>
                <w:sz w:val="21"/>
                <w:szCs w:val="21"/>
                <w:lang w:val="en-US" w:eastAsia="zh-CN"/>
              </w:rPr>
              <w:t>pX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4位有效数字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±0.3%</w:t>
            </w:r>
          </w:p>
          <w:p>
            <w:pPr>
              <w:keepNext w:val="0"/>
              <w:keepLines w:val="0"/>
              <w:pageBreakBefore w:val="0"/>
              <w:widowControl w:val="0"/>
              <w:numPr>
                <w:ilvl w:val="1"/>
                <w:numId w:val="0"/>
              </w:numPr>
              <w:kinsoku/>
              <w:wordWrap/>
              <w:overflowPunct/>
              <w:topLinePunct w:val="0"/>
              <w:autoSpaceDE/>
              <w:autoSpaceDN/>
              <w:bidi w:val="0"/>
              <w:adjustRightInd/>
              <w:spacing w:line="360" w:lineRule="auto"/>
              <w:ind w:left="567" w:leftChars="0" w:hanging="567"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4.6.</w:t>
            </w:r>
            <w:r>
              <w:rPr>
                <w:rFonts w:hint="eastAsia" w:ascii="宋体" w:hAnsi="宋体" w:eastAsia="宋体" w:cs="宋体"/>
                <w:sz w:val="21"/>
                <w:szCs w:val="21"/>
              </w:rPr>
              <w:t>温度：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w:t>
            </w:r>
            <w:r>
              <w:rPr>
                <w:rFonts w:hint="eastAsia" w:ascii="宋体" w:hAnsi="宋体" w:eastAsia="宋体" w:cs="宋体"/>
                <w:sz w:val="21"/>
                <w:szCs w:val="21"/>
                <w:lang w:eastAsia="zh-CN"/>
              </w:rPr>
              <w:t>：</w:t>
            </w:r>
            <w:r>
              <w:rPr>
                <w:rFonts w:hint="eastAsia" w:ascii="宋体" w:hAnsi="宋体" w:eastAsia="宋体" w:cs="宋体"/>
                <w:sz w:val="21"/>
                <w:szCs w:val="21"/>
              </w:rPr>
              <w:t xml:space="preserve"> (-10.0～135.0)℃/(14-275)℉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最小分辨率</w:t>
            </w:r>
            <w:r>
              <w:rPr>
                <w:rFonts w:hint="eastAsia" w:ascii="宋体" w:hAnsi="宋体" w:eastAsia="宋体" w:cs="宋体"/>
                <w:sz w:val="21"/>
                <w:szCs w:val="21"/>
                <w:lang w:eastAsia="zh-CN"/>
              </w:rPr>
              <w:t>：</w:t>
            </w:r>
            <w:r>
              <w:rPr>
                <w:rFonts w:hint="eastAsia" w:ascii="宋体" w:hAnsi="宋体" w:eastAsia="宋体" w:cs="宋体"/>
                <w:sz w:val="21"/>
                <w:szCs w:val="21"/>
              </w:rPr>
              <w:t xml:space="preserve"> 0.1 ℃/0.1℉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电子单元示值误差</w:t>
            </w:r>
            <w:r>
              <w:rPr>
                <w:rFonts w:hint="eastAsia" w:ascii="宋体" w:hAnsi="宋体" w:eastAsia="宋体" w:cs="宋体"/>
                <w:sz w:val="21"/>
                <w:szCs w:val="21"/>
                <w:lang w:eastAsia="zh-CN"/>
              </w:rPr>
              <w:t>：</w:t>
            </w:r>
            <w:r>
              <w:rPr>
                <w:rFonts w:hint="eastAsia" w:ascii="宋体" w:hAnsi="宋体" w:eastAsia="宋体" w:cs="宋体"/>
                <w:sz w:val="21"/>
                <w:szCs w:val="21"/>
              </w:rPr>
              <w:t xml:space="preserve"> ±0.1 ℃/±0.18℉</w:t>
            </w:r>
          </w:p>
        </w:tc>
      </w:tr>
    </w:tbl>
    <w:p>
      <w:pPr>
        <w:pageBreakBefore w:val="0"/>
        <w:kinsoku/>
        <w:overflowPunct/>
        <w:bidi w:val="0"/>
        <w:spacing w:line="360" w:lineRule="auto"/>
        <w:rPr>
          <w:rFonts w:hint="eastAsia" w:ascii="宋体" w:hAnsi="宋体" w:eastAsia="宋体" w:cs="宋体"/>
          <w:b/>
          <w:color w:val="auto"/>
          <w:sz w:val="24"/>
          <w:szCs w:val="24"/>
          <w:lang w:val="en-US" w:eastAsia="zh-CN" w:bidi="ar"/>
        </w:rPr>
      </w:pP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right="0" w:rightChars="0" w:firstLine="482"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auto"/>
          <w:sz w:val="24"/>
          <w:szCs w:val="24"/>
          <w:lang w:val="en-US" w:eastAsia="zh-CN" w:bidi="ar"/>
        </w:rPr>
        <w:t>注：1.</w:t>
      </w:r>
      <w:r>
        <w:rPr>
          <w:rFonts w:hint="eastAsia" w:ascii="宋体" w:hAnsi="宋体" w:eastAsia="宋体" w:cs="宋体"/>
          <w:b/>
          <w:color w:val="auto"/>
          <w:sz w:val="24"/>
          <w:szCs w:val="24"/>
          <w:lang w:eastAsia="zh-CN" w:bidi="ar"/>
        </w:rPr>
        <w:t>本</w:t>
      </w:r>
      <w:r>
        <w:rPr>
          <w:rFonts w:hint="eastAsia" w:ascii="宋体" w:hAnsi="宋体" w:eastAsia="宋体" w:cs="宋体"/>
          <w:b/>
          <w:color w:val="auto"/>
          <w:sz w:val="24"/>
          <w:szCs w:val="24"/>
          <w:lang w:val="en-US" w:eastAsia="zh-CN" w:bidi="ar"/>
        </w:rPr>
        <w:t>章</w:t>
      </w:r>
      <w:r>
        <w:rPr>
          <w:rFonts w:hint="eastAsia" w:ascii="宋体" w:hAnsi="宋体" w:eastAsia="宋体" w:cs="宋体"/>
          <w:b/>
          <w:color w:val="auto"/>
          <w:sz w:val="24"/>
          <w:szCs w:val="24"/>
          <w:lang w:eastAsia="zh-CN" w:bidi="ar"/>
        </w:rPr>
        <w:t>采购需求及技术参数要求</w:t>
      </w:r>
      <w:r>
        <w:rPr>
          <w:rFonts w:hint="eastAsia" w:ascii="宋体" w:hAnsi="宋体" w:eastAsia="宋体" w:cs="宋体"/>
          <w:b/>
          <w:color w:val="auto"/>
          <w:sz w:val="24"/>
          <w:szCs w:val="24"/>
          <w:lang w:val="en-US" w:eastAsia="zh-CN" w:bidi="ar"/>
        </w:rPr>
        <w:t>中</w:t>
      </w:r>
      <w:r>
        <w:rPr>
          <w:rFonts w:hint="eastAsia" w:ascii="宋体" w:hAnsi="宋体" w:eastAsia="宋体" w:cs="宋体"/>
          <w:b/>
          <w:color w:val="auto"/>
          <w:sz w:val="24"/>
          <w:szCs w:val="24"/>
          <w:lang w:eastAsia="zh-CN" w:bidi="ar"/>
        </w:rPr>
        <w:t>如出现引用某一特定的专利技术、商标、名称、设计、原产地或供应者等情况，则仅起参考作用。</w:t>
      </w:r>
      <w:r>
        <w:rPr>
          <w:rFonts w:hint="eastAsia" w:ascii="宋体" w:hAnsi="宋体" w:eastAsia="宋体" w:cs="宋体"/>
          <w:b/>
          <w:color w:val="auto"/>
          <w:sz w:val="24"/>
          <w:szCs w:val="24"/>
          <w:lang w:val="en-US" w:eastAsia="zh-CN" w:bidi="ar"/>
        </w:rPr>
        <w:t>投标单位</w:t>
      </w:r>
      <w:r>
        <w:rPr>
          <w:rFonts w:hint="eastAsia" w:ascii="宋体" w:hAnsi="宋体" w:eastAsia="宋体" w:cs="宋体"/>
          <w:b/>
          <w:color w:val="auto"/>
          <w:sz w:val="24"/>
          <w:szCs w:val="24"/>
          <w:lang w:eastAsia="zh-CN" w:bidi="ar"/>
        </w:rPr>
        <w:t>可选用实质上“相当于”或“优于”该参考技术规格要求的产品，同时填写技术参数响应偏离表。</w:t>
      </w:r>
    </w:p>
    <w:p>
      <w:pPr>
        <w:pageBreakBefore w:val="0"/>
        <w:kinsoku/>
        <w:overflowPunct/>
        <w:bidi w:val="0"/>
        <w:spacing w:line="360" w:lineRule="auto"/>
        <w:rPr>
          <w:rFonts w:hint="eastAsia" w:ascii="宋体" w:hAnsi="宋体" w:eastAsia="宋体" w:cs="宋体"/>
          <w:b/>
          <w:color w:val="auto"/>
          <w:sz w:val="24"/>
          <w:szCs w:val="24"/>
          <w:lang w:val="en-US" w:eastAsia="zh-CN" w:bidi="ar"/>
        </w:rPr>
      </w:pPr>
      <w:r>
        <w:rPr>
          <w:rFonts w:hint="eastAsia" w:ascii="宋体" w:hAnsi="宋体" w:eastAsia="宋体" w:cs="宋体"/>
          <w:b/>
          <w:color w:val="auto"/>
          <w:sz w:val="24"/>
          <w:szCs w:val="24"/>
          <w:lang w:val="en-US" w:eastAsia="zh-CN" w:bidi="ar"/>
        </w:rPr>
        <w:br w:type="page"/>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right="0" w:rightChars="0" w:firstLine="482" w:firstLineChars="200"/>
        <w:jc w:val="both"/>
        <w:textAlignment w:val="auto"/>
        <w:rPr>
          <w:rFonts w:hint="eastAsia" w:ascii="宋体" w:hAnsi="宋体" w:eastAsia="宋体" w:cs="宋体"/>
          <w:b/>
          <w:color w:val="auto"/>
          <w:sz w:val="24"/>
          <w:szCs w:val="24"/>
          <w:lang w:val="en-US" w:eastAsia="zh-CN" w:bidi="ar"/>
        </w:rPr>
        <w:sectPr>
          <w:pgSz w:w="16838" w:h="11906" w:orient="landscape"/>
          <w:pgMar w:top="1803" w:right="1440" w:bottom="1803" w:left="1440" w:header="851" w:footer="992" w:gutter="0"/>
          <w:pgNumType w:fmt="decimal"/>
          <w:cols w:space="0" w:num="1"/>
          <w:rtlGutter w:val="0"/>
          <w:docGrid w:type="lines" w:linePitch="319" w:charSpace="0"/>
        </w:sectPr>
      </w:pP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w:t>
      </w:r>
      <w:r>
        <w:rPr>
          <w:rFonts w:hint="eastAsia" w:ascii="宋体" w:hAnsi="宋体" w:cs="宋体"/>
          <w:b/>
          <w:bCs/>
          <w:color w:val="auto"/>
          <w:kern w:val="2"/>
          <w:sz w:val="24"/>
          <w:szCs w:val="24"/>
          <w:lang w:val="en-US" w:eastAsia="zh-CN" w:bidi="ar-SA"/>
        </w:rPr>
        <w:t>商务部分</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（一）包装、运输</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15" w:name="_Hlk80037347"/>
      <w:r>
        <w:rPr>
          <w:rFonts w:hint="eastAsia" w:ascii="宋体" w:hAnsi="宋体" w:eastAsia="宋体" w:cs="宋体"/>
          <w:color w:val="auto"/>
          <w:sz w:val="24"/>
          <w:szCs w:val="24"/>
          <w:highlight w:val="none"/>
        </w:rPr>
        <w:t>.供应商</w:t>
      </w:r>
      <w:bookmarkEnd w:id="115"/>
      <w:r>
        <w:rPr>
          <w:rFonts w:hint="eastAsia" w:ascii="宋体" w:hAnsi="宋体" w:eastAsia="宋体" w:cs="宋体"/>
          <w:color w:val="auto"/>
          <w:sz w:val="24"/>
          <w:szCs w:val="24"/>
          <w:highlight w:val="none"/>
        </w:rPr>
        <w:t>所供货物必须为制造商原厂包装，包装质量符合国家相关标准。货物要求有包装材料保护运至现场，因包装不良造成的损失由成交供应商负责。</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供应商负责将货物材料送到安装地点过程中的全部运输，包括装卸车、货物现场的搬运。</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（二）供货安装调试要求</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1.供应商负责到采购人指定的安装地点进行安装调试。</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2.供应商必须提供设备安装、集成及调测服务，并确保调试完成后，设备能够正常运行，达到采购人可正常使用状态。</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3.安装设备主机时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若零地电压未达设备安装要求，需供应商解决。</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（三）验收</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1.货物为原制造商制造的全新产品，在中国境内可依规安全合法使用。</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.软件升级：产品使用年限内免费为买方提供设备所配软件升级。</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.交付验收标准</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次序对照适用标准为：①符合中华人民共和国国家安全质量标准、环保标准或行业标准；②符合采购文件和响应承诺中采购人认可的合理最佳配置、参数及各项要求；③货物来源为官方标准。上述标准必须是有关官方机构发布的最新版本的标准。④</w:t>
      </w:r>
      <w:r>
        <w:rPr>
          <w:rFonts w:hint="eastAsia" w:ascii="宋体" w:hAnsi="宋体" w:eastAsia="宋体" w:cs="宋体"/>
          <w:b w:val="0"/>
          <w:bCs w:val="0"/>
          <w:sz w:val="24"/>
          <w:lang w:val="en-US" w:eastAsia="zh-CN"/>
        </w:rPr>
        <w:t>由</w:t>
      </w:r>
      <w:r>
        <w:rPr>
          <w:rFonts w:hint="eastAsia" w:ascii="宋体" w:hAnsi="宋体" w:eastAsia="宋体" w:cs="宋体"/>
          <w:b w:val="0"/>
          <w:bCs w:val="0"/>
          <w:sz w:val="24"/>
        </w:rPr>
        <w:t>仪器制造商授权的技术人员现场安装调试合格后</w:t>
      </w:r>
      <w:r>
        <w:rPr>
          <w:rFonts w:hint="eastAsia" w:ascii="宋体" w:hAnsi="宋体" w:eastAsia="宋体" w:cs="宋体"/>
          <w:b w:val="0"/>
          <w:bCs w:val="0"/>
          <w:sz w:val="24"/>
          <w:lang w:val="en-US" w:eastAsia="zh-CN"/>
        </w:rPr>
        <w:t>，采购人使用</w:t>
      </w:r>
      <w:r>
        <w:rPr>
          <w:rFonts w:hint="eastAsia" w:ascii="宋体" w:hAnsi="宋体" w:eastAsia="宋体" w:cs="宋体"/>
          <w:b w:val="0"/>
          <w:bCs w:val="0"/>
          <w:sz w:val="24"/>
        </w:rPr>
        <w:t>方可签字验收。</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.技术资料</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交货时，中标供应商应同时交付</w:t>
      </w:r>
      <w:r>
        <w:rPr>
          <w:rFonts w:hint="eastAsia" w:ascii="宋体" w:hAnsi="宋体" w:eastAsia="宋体" w:cs="宋体"/>
          <w:b w:val="0"/>
          <w:bCs w:val="0"/>
          <w:sz w:val="24"/>
        </w:rPr>
        <w:t>仪器装箱清单、质量合格证明文件、保修卡、使用说明和维护手册等技术文件齐全</w:t>
      </w:r>
      <w:r>
        <w:rPr>
          <w:rFonts w:hint="eastAsia" w:ascii="宋体" w:hAnsi="宋体" w:eastAsia="宋体" w:cs="宋体"/>
          <w:color w:val="auto"/>
          <w:sz w:val="24"/>
          <w:szCs w:val="24"/>
          <w:highlight w:val="none"/>
        </w:rPr>
        <w:t>。</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（四）培训</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根据采购人的要求安排熟悉本项目的专业技术人员在采购人指定的地点向采购人提供完备、全面的产品使用培训，培训内容包括设备参数的设置、操作、维护保养、应急处理、简单故障排除等，确保采购人能够对设备、系统有足够的了解，能够独立进行日常操作、管理和维护。</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.所有的培训费用由成交供应商负责，均计入投标报价中。</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116" w:name="_Toc499039833"/>
      <w:bookmarkStart w:id="117" w:name="_Toc3245"/>
      <w:bookmarkStart w:id="118" w:name="_Toc488324326"/>
      <w:r>
        <w:rPr>
          <w:rFonts w:hint="eastAsia" w:ascii="宋体" w:hAnsi="宋体" w:eastAsia="宋体" w:cs="宋体"/>
          <w:b/>
          <w:bCs/>
          <w:color w:val="auto"/>
          <w:sz w:val="24"/>
          <w:szCs w:val="24"/>
          <w:highlight w:val="none"/>
        </w:rPr>
        <w:t>（五）质量保证及售后服务</w:t>
      </w:r>
      <w:bookmarkEnd w:id="116"/>
      <w:bookmarkEnd w:id="117"/>
      <w:bookmarkEnd w:id="118"/>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yellow"/>
        </w:rPr>
      </w:pPr>
      <w:r>
        <w:rPr>
          <w:rFonts w:hint="eastAsia" w:ascii="宋体" w:hAnsi="宋体" w:eastAsia="宋体" w:cs="宋体"/>
          <w:b w:val="0"/>
          <w:bCs w:val="0"/>
          <w:sz w:val="24"/>
          <w:highlight w:val="none"/>
          <w:lang w:val="en-US" w:eastAsia="zh-CN"/>
        </w:rPr>
        <w:t>★</w:t>
      </w:r>
      <w:r>
        <w:rPr>
          <w:rFonts w:hint="eastAsia" w:ascii="宋体" w:hAnsi="宋体" w:eastAsia="宋体" w:cs="宋体"/>
          <w:b/>
          <w:bCs/>
          <w:color w:val="auto"/>
          <w:sz w:val="24"/>
          <w:szCs w:val="24"/>
          <w:highlight w:val="none"/>
        </w:rPr>
        <w:t>1.设备质保期：整机质保期</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年。在质保期内，供应商必须提供仪器制造商的故障检查、维修及维护等服务，所有服务及更换部件（耗材除外）全部免费。仪器制造商对仪器提供终身维修维护支持，软件免费升级，并以优惠价提供配件耗材</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提供承诺书）</w:t>
      </w:r>
      <w:r>
        <w:rPr>
          <w:rFonts w:hint="eastAsia" w:ascii="宋体" w:hAnsi="宋体" w:eastAsia="宋体" w:cs="宋体"/>
          <w:b/>
          <w:bCs/>
          <w:color w:val="auto"/>
          <w:spacing w:val="8"/>
          <w:sz w:val="24"/>
          <w:szCs w:val="24"/>
          <w:highlight w:val="none"/>
          <w:shd w:val="clear" w:color="auto" w:fill="FFFFFF"/>
        </w:rPr>
        <w:t>。</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2.质量保证期内，在非人为因素情况下，一切维修换件保养费用和备品备件均由成交供应商免费提供。</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.售后服务要求</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维修响应时间：维修响应时间≤2小时，24小时内排除故障，每年不少于4次技术支持。</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b w:val="0"/>
          <w:bCs w:val="0"/>
          <w:sz w:val="24"/>
        </w:rPr>
        <w:t>仪器制造商工程师在仪器安装、调试完成后对操作人员进行仪器基本操作和维护的免费培训，保证相关人员能独立上机进行基本操作和数据处理。如因人员变动，需要进行再次培训，应满足对采购人新增实验人员进行免费培训。</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rPr>
        <w:t>供应商承担产品的运输、安装、培训的费用。</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（六）针对本项目特别约定</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1、项目中设备涉及到连接实验室管理系统的，供应商有义务协助采购人完成连接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所提供的设备</w:t>
      </w:r>
      <w:r>
        <w:rPr>
          <w:rFonts w:hint="eastAsia" w:ascii="宋体" w:hAnsi="宋体" w:eastAsia="宋体" w:cs="宋体"/>
          <w:color w:val="auto"/>
          <w:sz w:val="24"/>
          <w:szCs w:val="24"/>
          <w:highlight w:val="none"/>
          <w:lang w:val="en-US" w:eastAsia="zh-CN"/>
        </w:rPr>
        <w:t>具备防篡改功能。</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、项目中但凡涉及需要送检仪器需由</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供货商送检，送检费用由中标供应商</w:t>
      </w:r>
      <w:r>
        <w:rPr>
          <w:rFonts w:hint="eastAsia" w:ascii="宋体" w:hAnsi="宋体" w:cs="宋体"/>
          <w:color w:val="auto"/>
          <w:sz w:val="24"/>
          <w:szCs w:val="24"/>
          <w:highlight w:val="none"/>
          <w:lang w:val="en-US" w:eastAsia="zh-CN"/>
        </w:rPr>
        <w:t>承担</w:t>
      </w:r>
      <w:r>
        <w:rPr>
          <w:rFonts w:hint="eastAsia" w:ascii="宋体" w:hAnsi="宋体" w:eastAsia="宋体" w:cs="宋体"/>
          <w:color w:val="auto"/>
          <w:sz w:val="24"/>
          <w:szCs w:val="24"/>
          <w:highlight w:val="none"/>
          <w:lang w:val="en-US" w:eastAsia="zh-CN"/>
        </w:rPr>
        <w:t>；</w:t>
      </w:r>
    </w:p>
    <w:p>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根据国家市场监督管理总局</w:t>
      </w:r>
      <w:r>
        <w:rPr>
          <w:rFonts w:hint="eastAsia" w:ascii="宋体" w:hAnsi="宋体" w:eastAsia="宋体" w:cs="宋体"/>
          <w:color w:val="auto"/>
          <w:sz w:val="24"/>
          <w:szCs w:val="24"/>
          <w:highlight w:val="none"/>
          <w:lang w:val="en-US" w:eastAsia="zh-CN"/>
        </w:rPr>
        <w:t>“市监检测（司）函【2026】51号《检验检测机构资质认定生态环境监测机构评审补充要求（2025 年）》 条文释义”</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lang w:val="en-US" w:eastAsia="zh-CN"/>
        </w:rPr>
        <w:t>中要求具有授时定位（北斗）功能设备的，需满足该</w:t>
      </w:r>
      <w:r>
        <w:rPr>
          <w:rFonts w:hint="eastAsia" w:ascii="宋体" w:hAnsi="宋体" w:cs="宋体"/>
          <w:color w:val="auto"/>
          <w:sz w:val="24"/>
          <w:szCs w:val="24"/>
          <w:highlight w:val="none"/>
          <w:lang w:val="en-US" w:eastAsia="zh-CN"/>
        </w:rPr>
        <w:t>功能要求</w:t>
      </w:r>
      <w:r>
        <w:rPr>
          <w:rFonts w:hint="eastAsia" w:ascii="宋体" w:hAnsi="宋体" w:eastAsia="宋体" w:cs="宋体"/>
          <w:color w:val="auto"/>
          <w:sz w:val="24"/>
          <w:szCs w:val="24"/>
          <w:highlight w:val="none"/>
          <w:lang w:val="en-US" w:eastAsia="zh-CN"/>
        </w:rPr>
        <w:t>。</w:t>
      </w:r>
    </w:p>
    <w:p>
      <w:pPr>
        <w:pStyle w:val="5"/>
        <w:pageBreakBefore w:val="0"/>
        <w:numPr>
          <w:ilvl w:val="0"/>
          <w:numId w:val="0"/>
        </w:numPr>
        <w:kinsoku/>
        <w:overflowPunct/>
        <w:bidi w:val="0"/>
        <w:spacing w:line="360" w:lineRule="auto"/>
        <w:rPr>
          <w:rFonts w:hint="default"/>
          <w:lang w:val="en-US" w:eastAsia="zh-CN"/>
        </w:rPr>
      </w:pPr>
    </w:p>
    <w:p>
      <w:pPr>
        <w:pageBreakBefore w:val="0"/>
        <w:kinsoku/>
        <w:overflowPunct/>
        <w:bidi w:val="0"/>
        <w:spacing w:line="360" w:lineRule="auto"/>
        <w:rPr>
          <w:rFonts w:hint="eastAsia" w:ascii="宋体" w:hAnsi="宋体" w:eastAsia="宋体" w:cs="宋体"/>
        </w:rPr>
      </w:pPr>
      <w:r>
        <w:rPr>
          <w:rFonts w:hint="eastAsia" w:ascii="宋体" w:hAnsi="宋体" w:eastAsia="宋体" w:cs="宋体"/>
        </w:rPr>
        <w:br w:type="page"/>
      </w:r>
    </w:p>
    <w:p>
      <w:pPr>
        <w:pStyle w:val="2"/>
        <w:pageBreakBefore w:val="0"/>
        <w:kinsoku/>
        <w:overflowPunct/>
        <w:bidi w:val="0"/>
        <w:spacing w:line="360" w:lineRule="auto"/>
        <w:jc w:val="center"/>
        <w:rPr>
          <w:rFonts w:hint="eastAsia" w:ascii="宋体" w:hAnsi="宋体" w:eastAsia="宋体" w:cs="宋体"/>
        </w:rPr>
        <w:sectPr>
          <w:pgSz w:w="11906" w:h="16838"/>
          <w:pgMar w:top="1440" w:right="1803" w:bottom="1440" w:left="1803" w:header="851" w:footer="992" w:gutter="0"/>
          <w:pgNumType w:fmt="decimal"/>
          <w:cols w:space="0" w:num="1"/>
          <w:rtlGutter w:val="0"/>
          <w:docGrid w:type="lines" w:linePitch="319" w:charSpace="0"/>
        </w:sectPr>
      </w:pPr>
      <w:bookmarkStart w:id="119" w:name="_Toc32373"/>
    </w:p>
    <w:p>
      <w:pPr>
        <w:pStyle w:val="2"/>
        <w:pageBreakBefore w:val="0"/>
        <w:kinsoku/>
        <w:overflowPunct/>
        <w:bidi w:val="0"/>
        <w:spacing w:line="360" w:lineRule="auto"/>
        <w:jc w:val="center"/>
        <w:rPr>
          <w:rFonts w:hint="eastAsia" w:ascii="宋体" w:hAnsi="宋体" w:eastAsia="宋体" w:cs="宋体"/>
        </w:rPr>
      </w:pPr>
      <w:bookmarkStart w:id="120" w:name="_Toc5402"/>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 评标方法（综合评分法）</w:t>
      </w:r>
      <w:bookmarkEnd w:id="101"/>
      <w:bookmarkEnd w:id="119"/>
      <w:bookmarkEnd w:id="120"/>
    </w:p>
    <w:p>
      <w:pPr>
        <w:pageBreakBefore w:val="0"/>
        <w:widowControl w:val="0"/>
        <w:numPr>
          <w:ilvl w:val="0"/>
          <w:numId w:val="0"/>
        </w:numPr>
        <w:kinsoku/>
        <w:overflowPunct/>
        <w:bidi w:val="0"/>
        <w:spacing w:line="360" w:lineRule="auto"/>
        <w:jc w:val="center"/>
        <w:rPr>
          <w:rFonts w:hint="eastAsia" w:ascii="宋体" w:hAnsi="宋体" w:eastAsia="宋体" w:cs="宋体"/>
          <w:b/>
          <w:bCs/>
          <w:color w:val="auto"/>
          <w:sz w:val="28"/>
          <w:szCs w:val="28"/>
          <w:highlight w:val="none"/>
        </w:rPr>
      </w:pPr>
      <w:bookmarkStart w:id="121" w:name="_Toc451172722"/>
      <w:bookmarkStart w:id="122" w:name="_Toc20965"/>
      <w:bookmarkStart w:id="123" w:name="_Toc389296549"/>
      <w:bookmarkStart w:id="124" w:name="_Toc27893"/>
      <w:bookmarkStart w:id="125" w:name="_Toc19917"/>
      <w:bookmarkStart w:id="126" w:name="_Toc3541"/>
      <w:bookmarkStart w:id="127" w:name="_Toc11759"/>
      <w:r>
        <w:rPr>
          <w:rFonts w:hint="eastAsia" w:ascii="宋体" w:hAnsi="宋体" w:eastAsia="宋体" w:cs="宋体"/>
          <w:b/>
          <w:bCs/>
          <w:color w:val="auto"/>
          <w:sz w:val="28"/>
          <w:szCs w:val="28"/>
          <w:highlight w:val="none"/>
        </w:rPr>
        <w:t>评标方法前附表</w:t>
      </w:r>
      <w:bookmarkEnd w:id="121"/>
      <w:bookmarkEnd w:id="122"/>
      <w:bookmarkEnd w:id="123"/>
      <w:bookmarkEnd w:id="124"/>
      <w:bookmarkEnd w:id="125"/>
      <w:bookmarkEnd w:id="126"/>
      <w:bookmarkEnd w:id="127"/>
    </w:p>
    <w:tbl>
      <w:tblPr>
        <w:tblStyle w:val="2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00"/>
        <w:gridCol w:w="482"/>
        <w:gridCol w:w="1872"/>
        <w:gridCol w:w="3196"/>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52"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5550"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 查 内 容</w:t>
            </w:r>
          </w:p>
        </w:tc>
        <w:tc>
          <w:tcPr>
            <w:tcW w:w="2338"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 查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95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w:t>
            </w:r>
          </w:p>
        </w:tc>
        <w:tc>
          <w:tcPr>
            <w:tcW w:w="800"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tc>
        <w:tc>
          <w:tcPr>
            <w:tcW w:w="5550"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投标人自行承诺符合《中华人民共和国政府采购法》第二十二条规定及《中华人民共和国政府采购法实施条例》第十七条的相关要求。</w:t>
            </w:r>
          </w:p>
        </w:tc>
        <w:tc>
          <w:tcPr>
            <w:tcW w:w="2338"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审查</w:t>
            </w:r>
            <w:r>
              <w:rPr>
                <w:rFonts w:hint="eastAsia" w:ascii="宋体" w:hAnsi="宋体" w:eastAsia="宋体" w:cs="宋体"/>
                <w:b/>
                <w:color w:val="auto"/>
                <w:sz w:val="24"/>
                <w:szCs w:val="24"/>
                <w:highlight w:val="none"/>
              </w:rPr>
              <w:t>投标文件中</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800"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5550"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投标人在中国境内注册登记具有独立承担民事责任的能力，提供有效的营业执照或者其他主体资格证明文件；投标人为自然人的提供身份证明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适用于自然人参加投标情形）。</w:t>
            </w:r>
          </w:p>
        </w:tc>
        <w:tc>
          <w:tcPr>
            <w:tcW w:w="2338"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审查投标文件中的证明材料的复印件或扫描件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800"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5550"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递交截止时间前投标人在“信用中国”网站(www.creditchina.gov.cn)中未被列入：失信被执行人、重大税收违法失信主体、政府采购严重违法失信行为记录名单；在“中国政府采购网”(www.ccgp.gov.cn)中未被列入：政府采购严重违法失信行为记录名单。</w:t>
            </w:r>
          </w:p>
        </w:tc>
        <w:tc>
          <w:tcPr>
            <w:tcW w:w="2338"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由采购人或采购代理机构在评标前进行查询，查询记录为网站查询结果的网页截图或网页打印稿。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8688" w:type="dxa"/>
            <w:gridSpan w:val="5"/>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由采购人或采购代理机构依据资格审查标准对实质性响应的投标人进行资格审查，上述评审标准，投标人须全部满足，否则为不合格的投标人，不得进入符合性评审和投标报价评审。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5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p>
        </w:tc>
        <w:tc>
          <w:tcPr>
            <w:tcW w:w="800"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w:t>
            </w:r>
          </w:p>
        </w:tc>
        <w:tc>
          <w:tcPr>
            <w:tcW w:w="7888" w:type="dxa"/>
            <w:gridSpan w:val="4"/>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（1）未按照招标文件的规定提交投标保证金的；</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（2）报价超过招标文件中规定的预算金额且采购人不能承担的；</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（3）投标文件的签署不符合第二章投标人须知前附表第22项规定；</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法人身份证明书、授权委托书不符合招标</w:t>
            </w:r>
            <w:r>
              <w:rPr>
                <w:rFonts w:hint="eastAsia" w:ascii="宋体" w:hAnsi="宋体" w:eastAsia="宋体" w:cs="宋体"/>
                <w:color w:val="auto"/>
                <w:sz w:val="24"/>
                <w:szCs w:val="24"/>
                <w:highlight w:val="none"/>
              </w:rPr>
              <w:t>文件要求；</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未按照招标文件要求编制的或</w:t>
            </w:r>
            <w:r>
              <w:rPr>
                <w:rFonts w:hint="eastAsia" w:ascii="宋体" w:hAnsi="宋体" w:eastAsia="宋体" w:cs="宋体"/>
                <w:color w:val="auto"/>
                <w:sz w:val="24"/>
                <w:szCs w:val="24"/>
                <w:highlight w:val="none"/>
              </w:rPr>
              <w:t>投标文件关键字迹模糊、无法辨认的；</w:t>
            </w:r>
          </w:p>
          <w:p>
            <w:pPr>
              <w:keepNext w:val="0"/>
              <w:keepLines w:val="0"/>
              <w:pageBreakBefore w:val="0"/>
              <w:widowControl w:val="0"/>
              <w:kinsoku/>
              <w:wordWrap/>
              <w:overflowPunct/>
              <w:topLinePunct w:val="0"/>
              <w:autoSpaceDE/>
              <w:autoSpaceDN/>
              <w:bidi w:val="0"/>
              <w:snapToGrid/>
              <w:spacing w:line="360" w:lineRule="auto"/>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和招标文件规定的其他无效情形或投标文件含有采购人不能接受的附加条件的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）不符合招标文件中规定的其它实质性要求。</w:t>
            </w:r>
          </w:p>
          <w:p>
            <w:pPr>
              <w:keepNext w:val="0"/>
              <w:keepLines w:val="0"/>
              <w:pageBreakBefore w:val="0"/>
              <w:widowControl w:val="0"/>
              <w:kinsoku/>
              <w:wordWrap/>
              <w:overflowPunct/>
              <w:topLinePunct w:val="0"/>
              <w:autoSpaceDE/>
              <w:autoSpaceDN/>
              <w:bidi w:val="0"/>
              <w:snapToGrid/>
              <w:spacing w:line="360" w:lineRule="auto"/>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）不满足招标文件标注“</w:t>
            </w:r>
            <w:r>
              <w:rPr>
                <w:rFonts w:hint="eastAsia" w:ascii="宋体" w:hAnsi="宋体" w:eastAsia="宋体" w:cs="宋体"/>
                <w:b/>
                <w:color w:val="auto"/>
                <w:sz w:val="24"/>
                <w:szCs w:val="24"/>
                <w:lang w:eastAsia="zh-CN" w:bidi="ar"/>
              </w:rPr>
              <w:t>★</w:t>
            </w:r>
            <w:r>
              <w:rPr>
                <w:rFonts w:hint="eastAsia" w:ascii="宋体" w:hAnsi="宋体" w:eastAsia="宋体" w:cs="宋体"/>
                <w:color w:val="auto"/>
                <w:sz w:val="24"/>
                <w:szCs w:val="24"/>
                <w:highlight w:val="none"/>
                <w:lang w:eastAsia="zh-CN"/>
              </w:rPr>
              <w:t>”号条款的实质性要求。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8688" w:type="dxa"/>
            <w:gridSpan w:val="5"/>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上符合性评审</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容评审</w:t>
            </w:r>
            <w:r>
              <w:rPr>
                <w:rFonts w:hint="eastAsia" w:ascii="宋体" w:hAnsi="宋体" w:eastAsia="宋体" w:cs="宋体"/>
                <w:color w:val="auto"/>
                <w:sz w:val="24"/>
                <w:szCs w:val="24"/>
                <w:highlight w:val="none"/>
              </w:rPr>
              <w:t>对应为“是”或“否”；评审结论对应为“不通过”或“通过”。若有一项评审内容为“</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rPr>
              <w:t>”则评审结</w:t>
            </w:r>
            <w:r>
              <w:rPr>
                <w:rFonts w:hint="eastAsia" w:ascii="宋体" w:hAnsi="宋体" w:eastAsia="宋体" w:cs="宋体"/>
                <w:color w:val="auto"/>
                <w:sz w:val="24"/>
                <w:szCs w:val="24"/>
                <w:highlight w:val="none"/>
                <w:lang w:val="en-US" w:eastAsia="zh-CN"/>
              </w:rPr>
              <w:t>果</w:t>
            </w:r>
            <w:r>
              <w:rPr>
                <w:rFonts w:hint="eastAsia" w:ascii="宋体" w:hAnsi="宋体" w:eastAsia="宋体" w:cs="宋体"/>
                <w:color w:val="auto"/>
                <w:sz w:val="24"/>
                <w:szCs w:val="24"/>
                <w:highlight w:val="none"/>
              </w:rPr>
              <w:t>为“不通过”。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40" w:type="dxa"/>
            <w:gridSpan w:val="6"/>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40"/>
                <w:szCs w:val="40"/>
                <w:highlight w:val="none"/>
                <w:lang w:val="en-US" w:eastAsia="zh-CN"/>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条款内容</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三</w:t>
            </w:r>
          </w:p>
        </w:tc>
        <w:tc>
          <w:tcPr>
            <w:tcW w:w="3154"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8"/>
                <w:sz w:val="24"/>
                <w:szCs w:val="24"/>
                <w:highlight w:val="none"/>
              </w:rPr>
              <w:t>（满分100分）</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本项目采用综合评分法。评标总分值由投标报价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部分组成，总分值100分。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F1：满分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商务部分F2：满分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投标人的评标总得分＝F1＋F2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评分因素</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F1</w:t>
            </w:r>
          </w:p>
        </w:tc>
        <w:tc>
          <w:tcPr>
            <w:tcW w:w="3154" w:type="dxa"/>
            <w:gridSpan w:val="3"/>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w:t>
            </w:r>
            <w:r>
              <w:rPr>
                <w:rFonts w:hint="eastAsia" w:ascii="宋体" w:hAnsi="宋体" w:eastAsia="宋体" w:cs="宋体"/>
                <w:b w:val="0"/>
                <w:bCs w:val="0"/>
                <w:color w:val="auto"/>
                <w:sz w:val="24"/>
                <w:szCs w:val="24"/>
                <w:highlight w:val="none"/>
                <w:lang w:val="en-US" w:eastAsia="zh-CN"/>
              </w:rPr>
              <w:t>部分</w:t>
            </w:r>
            <w:r>
              <w:rPr>
                <w:rFonts w:hint="eastAsia" w:ascii="宋体" w:hAnsi="宋体" w:eastAsia="宋体" w:cs="宋体"/>
                <w:b w:val="0"/>
                <w:bCs w:val="0"/>
                <w:color w:val="auto"/>
                <w:sz w:val="24"/>
                <w:szCs w:val="24"/>
                <w:highlight w:val="none"/>
              </w:rPr>
              <w:t>评分标准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满分30</w:t>
            </w:r>
            <w:r>
              <w:rPr>
                <w:rFonts w:hint="eastAsia" w:ascii="宋体" w:hAnsi="宋体" w:eastAsia="宋体" w:cs="宋体"/>
                <w:b w:val="0"/>
                <w:bCs w:val="0"/>
                <w:color w:val="auto"/>
                <w:sz w:val="24"/>
                <w:szCs w:val="24"/>
                <w:highlight w:val="none"/>
              </w:rPr>
              <w:t>分）</w:t>
            </w:r>
          </w:p>
        </w:tc>
        <w:tc>
          <w:tcPr>
            <w:tcW w:w="5534" w:type="dxa"/>
            <w:gridSpan w:val="2"/>
            <w:noWrap w:val="0"/>
            <w:vAlign w:val="center"/>
          </w:tcPr>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投标报价得分统一采用低价优先法计算，即满足招标文件要求（指通过符合性评审的报价）且投标价格最低的投标报价为评标基准价，其价格分为满分。其他投标人的价格分统一按照下列公式计算：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投标报价得分＝（评标基准价/投标报价）×</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评标过程中，不得去掉报价中的最高报价和最低报价；</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因落实政府采购政策进行价格调整的，以调整后的评审价格计算评标基准价和投标报价得分。若投标人符合本项目招标文件第二章《投标须知前附表》第</w:t>
            </w:r>
            <w:r>
              <w:rPr>
                <w:rFonts w:hint="eastAsia" w:ascii="宋体" w:hAnsi="宋体" w:eastAsia="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 xml:space="preserve">条中（1）、（2）、（3）相关规定的，其投标报价给以10%的价格扣除，用扣除后的价格参加评审。评审价格=投标报价*90%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b w:val="0"/>
                <w:color w:val="auto"/>
                <w:kern w:val="2"/>
                <w:sz w:val="24"/>
                <w:szCs w:val="24"/>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 xml:space="preserve">计算结果保留小数点后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位，第</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位</w:t>
            </w:r>
            <w:r>
              <w:rPr>
                <w:rFonts w:hint="eastAsia" w:ascii="宋体" w:hAnsi="宋体" w:eastAsia="宋体" w:cs="宋体"/>
                <w:b w:val="0"/>
                <w:bCs w:val="0"/>
                <w:color w:val="auto"/>
                <w:sz w:val="24"/>
                <w:szCs w:val="24"/>
                <w:highlight w:val="none"/>
                <w:lang w:val="en-US" w:eastAsia="zh-CN"/>
              </w:rPr>
              <w:t>自行舍去</w:t>
            </w:r>
            <w:r>
              <w:rPr>
                <w:rFonts w:hint="eastAsia" w:ascii="宋体" w:hAnsi="宋体" w:eastAsia="宋体" w:cs="宋体"/>
                <w:b w:val="0"/>
                <w:bCs w:val="0"/>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F2</w:t>
            </w:r>
          </w:p>
        </w:tc>
        <w:tc>
          <w:tcPr>
            <w:tcW w:w="1282" w:type="dxa"/>
            <w:gridSpan w:val="2"/>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商务评分标准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分）</w:t>
            </w:r>
          </w:p>
        </w:tc>
        <w:tc>
          <w:tcPr>
            <w:tcW w:w="1872" w:type="dxa"/>
            <w:noWrap w:val="0"/>
            <w:vAlign w:val="center"/>
          </w:tcPr>
          <w:p>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技术参数的响应程度评审</w:t>
            </w:r>
          </w:p>
          <w:p>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22.60</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b/>
                <w:bCs w:val="0"/>
                <w:color w:val="auto"/>
                <w:sz w:val="24"/>
                <w:szCs w:val="24"/>
                <w:highlight w:val="none"/>
                <w:lang w:val="en-US" w:eastAsia="zh-CN"/>
              </w:rPr>
            </w:pPr>
          </w:p>
        </w:tc>
        <w:tc>
          <w:tcPr>
            <w:tcW w:w="55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根据投标人提供的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技术参数响应偏离表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和技术支持资料，对照招标文件的技术参数进行评审。所投产品指标满足或优于招标文件技术参数的得满分</w:t>
            </w:r>
            <w:r>
              <w:rPr>
                <w:rFonts w:hint="eastAsia" w:ascii="宋体" w:hAnsi="宋体" w:cs="宋体"/>
                <w:color w:val="auto"/>
                <w:sz w:val="24"/>
                <w:szCs w:val="24"/>
                <w:highlight w:val="none"/>
                <w:lang w:val="en-US" w:eastAsia="zh-CN"/>
              </w:rPr>
              <w:t>22.20</w:t>
            </w:r>
            <w:r>
              <w:rPr>
                <w:rFonts w:hint="eastAsia" w:ascii="宋体" w:hAnsi="宋体" w:eastAsia="宋体" w:cs="宋体"/>
                <w:color w:val="auto"/>
                <w:sz w:val="24"/>
                <w:szCs w:val="24"/>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lang w:val="en-US" w:eastAsia="zh-CN"/>
              </w:rPr>
              <w:t>技术参数（标注“▲”参数）评审（满分</w:t>
            </w:r>
            <w:r>
              <w:rPr>
                <w:rFonts w:hint="eastAsia" w:ascii="宋体" w:hAnsi="宋体" w:cs="宋体"/>
                <w:b/>
                <w:bCs/>
                <w:color w:val="auto"/>
                <w:sz w:val="24"/>
                <w:szCs w:val="24"/>
                <w:highlight w:val="none"/>
                <w:lang w:val="en-US" w:eastAsia="zh-CN"/>
              </w:rPr>
              <w:t>13.2</w:t>
            </w:r>
            <w:r>
              <w:rPr>
                <w:rFonts w:hint="eastAsia" w:ascii="宋体" w:hAnsi="宋体" w:eastAsia="宋体" w:cs="宋体"/>
                <w:b/>
                <w:bCs/>
                <w:color w:val="auto"/>
                <w:sz w:val="24"/>
                <w:szCs w:val="24"/>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”号的为重要技术参数，共计</w:t>
            </w: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0.4分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Cs w:val="21"/>
                <w:highlight w:val="none"/>
              </w:rPr>
              <w:t>一般</w:t>
            </w:r>
            <w:r>
              <w:rPr>
                <w:rFonts w:hint="eastAsia" w:ascii="宋体" w:hAnsi="宋体" w:eastAsia="宋体" w:cs="宋体"/>
                <w:b/>
                <w:bCs/>
                <w:color w:val="auto"/>
                <w:szCs w:val="21"/>
                <w:highlight w:val="none"/>
                <w:lang w:val="en-US" w:eastAsia="zh-CN"/>
              </w:rPr>
              <w:t>技术参数（标注“■”参数）评审（满分</w:t>
            </w:r>
            <w:r>
              <w:rPr>
                <w:rFonts w:hint="eastAsia" w:ascii="宋体" w:hAnsi="宋体" w:cs="宋体"/>
                <w:b/>
                <w:bCs/>
                <w:color w:val="auto"/>
                <w:szCs w:val="21"/>
                <w:highlight w:val="none"/>
                <w:lang w:val="en-US" w:eastAsia="zh-CN"/>
              </w:rPr>
              <w:t>9.4</w:t>
            </w:r>
            <w:r>
              <w:rPr>
                <w:rFonts w:hint="eastAsia" w:ascii="宋体" w:hAnsi="宋体" w:eastAsia="宋体" w:cs="宋体"/>
                <w:b/>
                <w:bCs/>
                <w:color w:val="auto"/>
                <w:szCs w:val="21"/>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”号的为一般技术参数，共计</w:t>
            </w:r>
            <w:r>
              <w:rPr>
                <w:rFonts w:hint="eastAsia" w:ascii="宋体" w:hAnsi="宋体" w:cs="宋体"/>
                <w:color w:val="auto"/>
                <w:sz w:val="24"/>
                <w:szCs w:val="24"/>
                <w:highlight w:val="none"/>
                <w:lang w:val="en-US" w:eastAsia="zh-CN"/>
              </w:rPr>
              <w:t>47</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0.2分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注：①每一条</w:t>
            </w:r>
            <w:r>
              <w:rPr>
                <w:rFonts w:hint="eastAsia" w:ascii="宋体" w:hAnsi="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lang w:val="en-US" w:eastAsia="zh-CN"/>
              </w:rPr>
              <w:t>技术参数（标注“▲”参数及标注“■”参数）要求须提供相关证明材料（第四章“采购需求及技术参数要求”</w:t>
            </w:r>
            <w:r>
              <w:rPr>
                <w:rFonts w:hint="eastAsia" w:ascii="宋体" w:hAnsi="宋体" w:cs="宋体"/>
                <w:b/>
                <w:bCs/>
                <w:color w:val="auto"/>
                <w:sz w:val="24"/>
                <w:szCs w:val="24"/>
                <w:highlight w:val="none"/>
                <w:lang w:val="en-US" w:eastAsia="zh-CN"/>
              </w:rPr>
              <w:t>中有要求的按要求提供，无要求的自行提供</w:t>
            </w:r>
            <w:r>
              <w:rPr>
                <w:rFonts w:hint="eastAsia" w:ascii="宋体" w:hAnsi="宋体" w:eastAsia="宋体" w:cs="宋体"/>
                <w:b/>
                <w:bCs/>
                <w:color w:val="auto"/>
                <w:sz w:val="24"/>
                <w:szCs w:val="24"/>
                <w:highlight w:val="none"/>
                <w:lang w:val="en-US" w:eastAsia="zh-CN"/>
              </w:rPr>
              <w:t>），未提供证明材料的，视为参数负偏离。证明材料应制作索引目录</w:t>
            </w:r>
            <w:r>
              <w:rPr>
                <w:rFonts w:hint="eastAsia" w:ascii="宋体" w:hAnsi="宋体" w:cs="宋体"/>
                <w:b/>
                <w:bCs/>
                <w:color w:val="auto"/>
                <w:sz w:val="24"/>
                <w:szCs w:val="24"/>
                <w:highlight w:val="none"/>
                <w:lang w:val="en-US" w:eastAsia="zh-CN"/>
              </w:rPr>
              <w:t>并框图标识</w:t>
            </w:r>
            <w:r>
              <w:rPr>
                <w:rFonts w:hint="eastAsia" w:ascii="宋体" w:hAnsi="宋体" w:eastAsia="宋体" w:cs="宋体"/>
                <w:b/>
                <w:bCs/>
                <w:color w:val="auto"/>
                <w:sz w:val="24"/>
                <w:szCs w:val="24"/>
                <w:highlight w:val="none"/>
                <w:lang w:val="en-US" w:eastAsia="zh-CN"/>
              </w:rPr>
              <w:t>，方便评委查找。不制作索引目录或编排混乱导致评委漏查的，造成的不利后果由投标人自行承担责任。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②证明材料可以为产品说明书或技术白皮书或检测报告或印刷宣传彩页或设备铭牌等。证明材料应当字迹清晰可见，否则造成的不利后果由投标人自行承担责任。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项目供货方案</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5534"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w:t>
            </w:r>
            <w:r>
              <w:rPr>
                <w:rFonts w:hint="eastAsia" w:ascii="宋体" w:hAnsi="宋体" w:eastAsia="宋体" w:cs="宋体"/>
                <w:b/>
                <w:bCs/>
                <w:color w:val="auto"/>
                <w:sz w:val="24"/>
                <w:szCs w:val="24"/>
                <w:highlight w:val="none"/>
                <w:lang w:val="en-US" w:eastAsia="zh-CN"/>
              </w:rPr>
              <w:t>（1）供货方案；（2）进度安排(包括</w:t>
            </w:r>
            <w:r>
              <w:rPr>
                <w:rFonts w:hint="eastAsia" w:ascii="宋体" w:hAnsi="宋体" w:cs="宋体"/>
                <w:b/>
                <w:bCs/>
                <w:color w:val="auto"/>
                <w:sz w:val="24"/>
                <w:szCs w:val="24"/>
                <w:highlight w:val="none"/>
                <w:lang w:val="en-US" w:eastAsia="zh-CN"/>
              </w:rPr>
              <w:t>运输、</w:t>
            </w:r>
            <w:r>
              <w:rPr>
                <w:rFonts w:hint="eastAsia" w:ascii="宋体" w:hAnsi="宋体" w:eastAsia="宋体" w:cs="宋体"/>
                <w:b/>
                <w:bCs/>
                <w:color w:val="auto"/>
                <w:sz w:val="24"/>
                <w:szCs w:val="24"/>
                <w:highlight w:val="none"/>
                <w:lang w:val="en-US" w:eastAsia="zh-CN"/>
              </w:rPr>
              <w:t>安装、调试及验收等各项工作)；（3）产品质量保证措施及保障承诺；（4）供货保证措施及惩处措施</w:t>
            </w:r>
            <w:r>
              <w:rPr>
                <w:rFonts w:hint="eastAsia" w:ascii="宋体" w:hAnsi="宋体" w:cs="宋体"/>
                <w:b/>
                <w:bCs/>
                <w:color w:val="auto"/>
                <w:sz w:val="24"/>
                <w:szCs w:val="24"/>
                <w:highlight w:val="none"/>
                <w:lang w:val="en-US" w:eastAsia="zh-CN"/>
              </w:rPr>
              <w:t>；（5）相对应的惩处措施等</w:t>
            </w:r>
            <w:r>
              <w:rPr>
                <w:rFonts w:hint="eastAsia" w:ascii="宋体" w:hAnsi="宋体" w:eastAsia="宋体" w:cs="宋体"/>
                <w:color w:val="auto"/>
                <w:sz w:val="24"/>
                <w:szCs w:val="24"/>
                <w:highlight w:val="none"/>
                <w:lang w:val="en-US" w:eastAsia="zh-CN"/>
              </w:rPr>
              <w:t xml:space="preserve">进行综合评审： </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供货方案</w:t>
            </w:r>
            <w:r>
              <w:rPr>
                <w:rFonts w:hint="eastAsia" w:ascii="宋体" w:hAnsi="宋体" w:eastAsia="宋体" w:cs="宋体"/>
                <w:color w:val="auto"/>
                <w:sz w:val="24"/>
                <w:szCs w:val="24"/>
                <w:highlight w:val="none"/>
                <w:lang w:val="en-US" w:eastAsia="zh-CN"/>
              </w:rPr>
              <w:t>阐述</w:t>
            </w:r>
            <w:r>
              <w:rPr>
                <w:rFonts w:hint="eastAsia" w:ascii="宋体" w:hAnsi="宋体" w:eastAsia="宋体" w:cs="宋体"/>
                <w:color w:val="auto"/>
                <w:sz w:val="24"/>
                <w:szCs w:val="24"/>
                <w:highlight w:val="none"/>
              </w:rPr>
              <w:t>完整全面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完善具体、合理可行，针对性强，</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可实施性及</w:t>
            </w:r>
            <w:r>
              <w:rPr>
                <w:rFonts w:hint="eastAsia" w:ascii="宋体" w:hAnsi="宋体" w:eastAsia="宋体" w:cs="宋体"/>
                <w:color w:val="auto"/>
                <w:sz w:val="24"/>
                <w:szCs w:val="24"/>
                <w:highlight w:val="none"/>
                <w:lang w:eastAsia="zh-CN"/>
              </w:rPr>
              <w:t>针对性</w:t>
            </w:r>
            <w:r>
              <w:rPr>
                <w:rFonts w:hint="eastAsia" w:ascii="宋体" w:hAnsi="宋体" w:eastAsia="宋体" w:cs="宋体"/>
                <w:color w:val="auto"/>
                <w:sz w:val="24"/>
                <w:szCs w:val="24"/>
                <w:highlight w:val="none"/>
                <w:lang w:val="en-US" w:eastAsia="zh-CN"/>
              </w:rPr>
              <w:t>的得满分25分；</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项内容每缺少一项内容扣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以上内容涉及到的描述缺陷是指：内容无针对性，不全面、不清晰、无可行性，内容与实际情况不匹配、不符合项目特点或无法达到预期效果、不适用于本项目、内容不符合相关规范要求、内容与本项目无关等任意一种情形</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方案</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根据投标人提供的售后服务方案进行评审，包括但不限于</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rPr>
              <w:t>质保期内售后服务方案（包括：维修政策承诺情况、维修服务响应时限、巡检维护周期、巡检计划内容、问题诊断及故障排除、售后服务技术人员的配备情况、培训方案（提供音视频频资料或纸质培训资料）；（2）质保期外售后服务方案（包括：维修政策承诺情况、维修服务响应时限、巡检维护周期、巡检计划内容、问题诊断及故障排除、售后服务技术人员的配备情况）；（3）相对应的惩处措施</w:t>
            </w:r>
            <w:r>
              <w:rPr>
                <w:rFonts w:hint="eastAsia" w:ascii="宋体" w:hAnsi="宋体" w:eastAsia="宋体" w:cs="宋体"/>
                <w:b/>
                <w:bCs/>
                <w:color w:val="auto"/>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售后服务方案及承诺完整、表述清晰、有针对性、完全贴合项目需求的得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②以上“（1）、（2）、（3）”三项内容缺少</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任意一项扣</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，缺少“（3）”扣5分</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以上内容涉及到的描述缺陷是指</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内容无针对性，不全面、不清晰、无可行性，内容与实际情况不匹配、不符合项目特点或无法达到预期效果、不适用于本项目、内容不符合相关规范要求、内容与本项目无关等任意一种情形。</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或者设备生产厂家</w:t>
            </w:r>
            <w:r>
              <w:rPr>
                <w:rFonts w:hint="eastAsia" w:ascii="宋体" w:hAnsi="宋体" w:eastAsia="宋体" w:cs="宋体"/>
                <w:color w:val="auto"/>
                <w:sz w:val="24"/>
                <w:szCs w:val="24"/>
                <w:highlight w:val="none"/>
              </w:rPr>
              <w:t>每提供一份近年类似项目业绩证明材料的得1分，满分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①近年指202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年1月1日至投标截止时间前（以中标通知书时间或合同签订时间为准）</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②类似业绩指</w:t>
            </w:r>
            <w:r>
              <w:rPr>
                <w:rFonts w:hint="eastAsia" w:ascii="宋体" w:hAnsi="宋体" w:eastAsia="宋体" w:cs="宋体"/>
                <w:b/>
                <w:bCs/>
                <w:color w:val="auto"/>
                <w:sz w:val="24"/>
                <w:szCs w:val="24"/>
                <w:highlight w:val="none"/>
                <w:lang w:val="en-US" w:eastAsia="zh-CN"/>
              </w:rPr>
              <w:t>含有本标段核心产品的供</w:t>
            </w:r>
            <w:r>
              <w:rPr>
                <w:rFonts w:hint="eastAsia" w:ascii="宋体" w:hAnsi="宋体" w:eastAsia="宋体" w:cs="宋体"/>
                <w:b/>
                <w:bCs/>
                <w:color w:val="auto"/>
                <w:sz w:val="24"/>
                <w:szCs w:val="24"/>
                <w:highlight w:val="none"/>
              </w:rPr>
              <w:t>货业绩，金额不限；</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③业绩证明材料</w:t>
            </w:r>
            <w:r>
              <w:rPr>
                <w:rFonts w:hint="eastAsia" w:ascii="宋体" w:hAnsi="宋体" w:cs="宋体"/>
                <w:b/>
                <w:bCs/>
                <w:color w:val="auto"/>
                <w:sz w:val="24"/>
                <w:szCs w:val="24"/>
                <w:highlight w:val="none"/>
                <w:lang w:val="en-US" w:eastAsia="zh-CN"/>
              </w:rPr>
              <w:t>可</w:t>
            </w:r>
            <w:r>
              <w:rPr>
                <w:rFonts w:hint="eastAsia" w:ascii="宋体" w:hAnsi="宋体" w:eastAsia="宋体" w:cs="宋体"/>
                <w:b/>
                <w:bCs/>
                <w:color w:val="auto"/>
                <w:sz w:val="24"/>
                <w:szCs w:val="24"/>
                <w:highlight w:val="none"/>
              </w:rPr>
              <w:t>为中标</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通知书或合同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合同首页、关键信息页、标的及金额所在页及合同签字盖章页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原件扫描件</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④无证明材料或证明材料不齐全、无法体现业绩内容的，不得分。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节</w:t>
            </w:r>
            <w:r>
              <w:rPr>
                <w:rFonts w:hint="eastAsia" w:ascii="宋体" w:hAnsi="宋体" w:eastAsia="宋体" w:cs="宋体"/>
                <w:color w:val="auto"/>
                <w:sz w:val="24"/>
                <w:szCs w:val="24"/>
                <w:highlight w:val="none"/>
              </w:rPr>
              <w:t>能产品</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节能产品的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投标产品属于优先采购范围内的节能产品的，提供国家确定的认证机构出具的、处于有效期之内的节能产品认证证书（扫描件加盖电子签章）</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gridSpan w:val="2"/>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环境标志产品的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投标产品属于优先采购范围内的环境标志产品的，提供国家确定的认证机构出具的、处于有效期之内的环境标志产品认证证书（扫描件加盖电子签章）。</w:t>
            </w:r>
          </w:p>
        </w:tc>
      </w:tr>
    </w:tbl>
    <w:p>
      <w:pPr>
        <w:pageBreakBefore w:val="0"/>
        <w:kinsoku/>
        <w:overflowPunct/>
        <w:bidi w:val="0"/>
        <w:spacing w:line="360" w:lineRule="auto"/>
        <w:rPr>
          <w:rFonts w:hint="eastAsia" w:ascii="宋体" w:hAnsi="宋体" w:eastAsia="宋体" w:cs="宋体"/>
          <w:b/>
          <w:bCs/>
          <w:color w:val="auto"/>
          <w:sz w:val="28"/>
          <w:szCs w:val="28"/>
          <w:highlight w:val="none"/>
        </w:rPr>
      </w:pPr>
    </w:p>
    <w:p>
      <w:pPr>
        <w:pageBreakBefore w:val="0"/>
        <w:kinsoku/>
        <w:overflowPunct/>
        <w:bidi w:val="0"/>
        <w:spacing w:line="360" w:lineRule="auto"/>
        <w:rPr>
          <w:rFonts w:hint="eastAsia"/>
        </w:rPr>
      </w:pPr>
      <w:r>
        <w:rPr>
          <w:rFonts w:hint="eastAsia" w:ascii="宋体" w:hAnsi="宋体" w:eastAsia="宋体" w:cs="宋体"/>
          <w:b/>
          <w:bCs/>
          <w:color w:val="auto"/>
          <w:sz w:val="28"/>
          <w:szCs w:val="28"/>
          <w:highlight w:val="none"/>
        </w:rPr>
        <w:br w:type="page"/>
      </w:r>
    </w:p>
    <w:tbl>
      <w:tblPr>
        <w:tblStyle w:val="2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82"/>
        <w:gridCol w:w="1872"/>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40" w:type="dxa"/>
            <w:gridSpan w:val="4"/>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40"/>
                <w:szCs w:val="40"/>
                <w:highlight w:val="none"/>
                <w:lang w:val="en-US" w:eastAsia="zh-CN"/>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条款内容</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三</w:t>
            </w:r>
          </w:p>
        </w:tc>
        <w:tc>
          <w:tcPr>
            <w:tcW w:w="315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pacing w:val="-8"/>
                <w:sz w:val="24"/>
                <w:szCs w:val="24"/>
                <w:highlight w:val="none"/>
              </w:rPr>
              <w:t>（满分100分）</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本项目采用综合评分法。评标总分值由投标报价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部分组成，总分值100分。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F1：满分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商务部分F2：满分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投标人的评标总得分＝F1＋F2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315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评分因素</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F1</w:t>
            </w:r>
          </w:p>
        </w:tc>
        <w:tc>
          <w:tcPr>
            <w:tcW w:w="3154" w:type="dxa"/>
            <w:gridSpan w:val="2"/>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w:t>
            </w:r>
            <w:r>
              <w:rPr>
                <w:rFonts w:hint="eastAsia" w:ascii="宋体" w:hAnsi="宋体" w:eastAsia="宋体" w:cs="宋体"/>
                <w:b w:val="0"/>
                <w:bCs w:val="0"/>
                <w:color w:val="auto"/>
                <w:sz w:val="24"/>
                <w:szCs w:val="24"/>
                <w:highlight w:val="none"/>
                <w:lang w:val="en-US" w:eastAsia="zh-CN"/>
              </w:rPr>
              <w:t>部分</w:t>
            </w:r>
            <w:r>
              <w:rPr>
                <w:rFonts w:hint="eastAsia" w:ascii="宋体" w:hAnsi="宋体" w:eastAsia="宋体" w:cs="宋体"/>
                <w:b w:val="0"/>
                <w:bCs w:val="0"/>
                <w:color w:val="auto"/>
                <w:sz w:val="24"/>
                <w:szCs w:val="24"/>
                <w:highlight w:val="none"/>
              </w:rPr>
              <w:t>评分标准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满分30</w:t>
            </w:r>
            <w:r>
              <w:rPr>
                <w:rFonts w:hint="eastAsia" w:ascii="宋体" w:hAnsi="宋体" w:eastAsia="宋体" w:cs="宋体"/>
                <w:b w:val="0"/>
                <w:bCs w:val="0"/>
                <w:color w:val="auto"/>
                <w:sz w:val="24"/>
                <w:szCs w:val="24"/>
                <w:highlight w:val="none"/>
              </w:rPr>
              <w:t>分）</w:t>
            </w:r>
          </w:p>
        </w:tc>
        <w:tc>
          <w:tcPr>
            <w:tcW w:w="5534"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投标报价得分统一采用低价优先法计算，即满足招标文件要求（指通过符合性评审的报价）且投标价格最低的投标报价为评标基准价，其价格分为满分。其他投标人的价格分统一按照下列公式计算：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投标报价得分＝（评标基准价/投标报价）×</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评标过程中，不得去掉报价中的最高报价和最低报价；</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因落实政府采购政策进行价格调整的，以调整后的评审价格计算评标基准价和投标报价得分。若投标人符合本项目招标文件第二章《投标须知前附表》第</w:t>
            </w:r>
            <w:r>
              <w:rPr>
                <w:rFonts w:hint="eastAsia" w:ascii="宋体" w:hAnsi="宋体" w:eastAsia="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 xml:space="preserve">条中（1）、（2）、（3）相关规定的，其投标报价给以10%的价格扣除，用扣除后的价格参加评审。评审价格=投标报价*90%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b w:val="0"/>
                <w:color w:val="auto"/>
                <w:kern w:val="2"/>
                <w:sz w:val="24"/>
                <w:szCs w:val="24"/>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 xml:space="preserve">计算结果保留小数点后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位，第</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位</w:t>
            </w:r>
            <w:r>
              <w:rPr>
                <w:rFonts w:hint="eastAsia" w:ascii="宋体" w:hAnsi="宋体" w:eastAsia="宋体" w:cs="宋体"/>
                <w:b w:val="0"/>
                <w:bCs w:val="0"/>
                <w:color w:val="auto"/>
                <w:sz w:val="24"/>
                <w:szCs w:val="24"/>
                <w:highlight w:val="none"/>
                <w:lang w:val="en-US" w:eastAsia="zh-CN"/>
              </w:rPr>
              <w:t>自行舍去</w:t>
            </w:r>
            <w:r>
              <w:rPr>
                <w:rFonts w:hint="eastAsia" w:ascii="宋体" w:hAnsi="宋体" w:eastAsia="宋体" w:cs="宋体"/>
                <w:b w:val="0"/>
                <w:bCs w:val="0"/>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F2</w:t>
            </w:r>
          </w:p>
        </w:tc>
        <w:tc>
          <w:tcPr>
            <w:tcW w:w="128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商务评分标准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分）</w:t>
            </w:r>
          </w:p>
        </w:tc>
        <w:tc>
          <w:tcPr>
            <w:tcW w:w="1872" w:type="dxa"/>
            <w:noWrap w:val="0"/>
            <w:vAlign w:val="center"/>
          </w:tcPr>
          <w:p>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技术参数的响应程度评审</w:t>
            </w:r>
          </w:p>
          <w:p>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18.6</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kinsoku/>
              <w:wordWrap/>
              <w:overflowPunct/>
              <w:topLinePunct w:val="0"/>
              <w:autoSpaceDE/>
              <w:autoSpaceDN/>
              <w:bidi w:val="0"/>
              <w:snapToGrid w:val="0"/>
              <w:spacing w:line="360" w:lineRule="auto"/>
              <w:ind w:left="-2" w:leftChars="-1" w:right="0" w:rightChars="0" w:firstLine="0" w:firstLineChars="0"/>
              <w:jc w:val="center"/>
              <w:textAlignment w:val="auto"/>
              <w:outlineLvl w:val="9"/>
              <w:rPr>
                <w:rFonts w:hint="eastAsia" w:ascii="宋体" w:hAnsi="宋体" w:eastAsia="宋体" w:cs="宋体"/>
                <w:b/>
                <w:bCs w:val="0"/>
                <w:color w:val="auto"/>
                <w:sz w:val="24"/>
                <w:szCs w:val="24"/>
                <w:highlight w:val="none"/>
                <w:lang w:val="en-US" w:eastAsia="zh-CN"/>
              </w:rPr>
            </w:pPr>
          </w:p>
        </w:tc>
        <w:tc>
          <w:tcPr>
            <w:tcW w:w="5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根据投标人提供的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技术参数响应偏离表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和技术支持资料，对照招标文件的技术参数进行评审。所投产品指标满足或优于招标文件技术参数的得满分</w:t>
            </w:r>
            <w:r>
              <w:rPr>
                <w:rFonts w:hint="eastAsia" w:ascii="宋体" w:hAnsi="宋体" w:cs="宋体"/>
                <w:color w:val="auto"/>
                <w:sz w:val="24"/>
                <w:szCs w:val="24"/>
                <w:highlight w:val="none"/>
                <w:lang w:val="en-US" w:eastAsia="zh-CN"/>
              </w:rPr>
              <w:t>18.6</w:t>
            </w:r>
            <w:r>
              <w:rPr>
                <w:rFonts w:hint="eastAsia" w:ascii="宋体" w:hAnsi="宋体" w:eastAsia="宋体" w:cs="宋体"/>
                <w:color w:val="auto"/>
                <w:sz w:val="24"/>
                <w:szCs w:val="24"/>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lang w:val="en-US" w:eastAsia="zh-CN"/>
              </w:rPr>
              <w:t>技术参数（标注“▲”参数）评审（满分</w:t>
            </w:r>
            <w:r>
              <w:rPr>
                <w:rFonts w:hint="eastAsia" w:ascii="宋体" w:hAnsi="宋体" w:cs="宋体"/>
                <w:b/>
                <w:bCs/>
                <w:color w:val="auto"/>
                <w:sz w:val="24"/>
                <w:szCs w:val="24"/>
                <w:highlight w:val="none"/>
                <w:lang w:val="en-US" w:eastAsia="zh-CN"/>
              </w:rPr>
              <w:t>11.6</w:t>
            </w:r>
            <w:r>
              <w:rPr>
                <w:rFonts w:hint="eastAsia" w:ascii="宋体" w:hAnsi="宋体" w:eastAsia="宋体" w:cs="宋体"/>
                <w:b/>
                <w:bCs/>
                <w:color w:val="auto"/>
                <w:sz w:val="24"/>
                <w:szCs w:val="24"/>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”号的为重要技术参数，共计</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0.4分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pacing w:line="360" w:lineRule="auto"/>
              <w:ind w:left="0" w:leftChars="0" w:right="0" w:rightChars="0"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Cs w:val="21"/>
                <w:highlight w:val="none"/>
              </w:rPr>
              <w:t>一般</w:t>
            </w:r>
            <w:r>
              <w:rPr>
                <w:rFonts w:hint="eastAsia" w:ascii="宋体" w:hAnsi="宋体" w:eastAsia="宋体" w:cs="宋体"/>
                <w:b/>
                <w:bCs/>
                <w:color w:val="auto"/>
                <w:szCs w:val="21"/>
                <w:highlight w:val="none"/>
                <w:lang w:val="en-US" w:eastAsia="zh-CN"/>
              </w:rPr>
              <w:t>技术参数（标注“■”参数）评审（满分</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分）</w:t>
            </w:r>
          </w:p>
          <w:p>
            <w:pPr>
              <w:keepNext w:val="0"/>
              <w:keepLines w:val="0"/>
              <w:pageBreakBefore w:val="0"/>
              <w:numPr>
                <w:ilvl w:val="0"/>
                <w:numId w:val="0"/>
              </w:numPr>
              <w:kinsoku/>
              <w:wordWrap/>
              <w:overflowPunct/>
              <w:topLinePunct w:val="0"/>
              <w:autoSpaceDE/>
              <w:autoSpaceDN/>
              <w:bidi w:val="0"/>
              <w:adjustRightInd w:val="0"/>
              <w:spacing w:line="360" w:lineRule="auto"/>
              <w:ind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w:t>
            </w:r>
            <w:r>
              <w:rPr>
                <w:rFonts w:hint="eastAsia" w:ascii="宋体" w:hAnsi="宋体" w:eastAsia="宋体" w:cs="宋体"/>
                <w:color w:val="auto"/>
                <w:sz w:val="24"/>
                <w:highlight w:val="none"/>
                <w:lang w:eastAsia="zh-CN"/>
              </w:rPr>
              <w:t>采购需求及技术参数要求</w:t>
            </w:r>
            <w:r>
              <w:rPr>
                <w:rFonts w:hint="eastAsia" w:ascii="宋体" w:hAnsi="宋体" w:eastAsia="宋体" w:cs="宋体"/>
                <w:color w:val="auto"/>
                <w:sz w:val="24"/>
                <w:szCs w:val="24"/>
                <w:highlight w:val="none"/>
                <w:lang w:val="en-US" w:eastAsia="zh-CN"/>
              </w:rPr>
              <w:t>”，标注“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”号的为一般技术参数，共计</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”参数为</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分，每出现1条标注“</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 w:val="24"/>
                <w:szCs w:val="24"/>
                <w:highlight w:val="none"/>
                <w:lang w:val="en-US" w:eastAsia="zh-CN"/>
              </w:rPr>
              <w:t>”的重要技术参数不满足招标文件要求的扣</w:t>
            </w:r>
            <w:r>
              <w:rPr>
                <w:rFonts w:hint="eastAsia" w:ascii="宋体" w:hAnsi="宋体" w:cs="宋体"/>
                <w:color w:val="auto"/>
                <w:sz w:val="24"/>
                <w:szCs w:val="24"/>
                <w:highlight w:val="none"/>
                <w:lang w:val="en-US" w:eastAsia="zh-CN"/>
              </w:rPr>
              <w:t>0.2分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注：①每一条</w:t>
            </w:r>
            <w:r>
              <w:rPr>
                <w:rFonts w:hint="eastAsia" w:ascii="宋体" w:hAnsi="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lang w:val="en-US" w:eastAsia="zh-CN"/>
              </w:rPr>
              <w:t>技术参数（标注“▲”参数及标注“■”参数）要求须提供相关证明材料（第四章“采购需求及技术参数要求”</w:t>
            </w:r>
            <w:r>
              <w:rPr>
                <w:rFonts w:hint="eastAsia" w:ascii="宋体" w:hAnsi="宋体" w:cs="宋体"/>
                <w:b/>
                <w:bCs/>
                <w:color w:val="auto"/>
                <w:sz w:val="24"/>
                <w:szCs w:val="24"/>
                <w:highlight w:val="none"/>
                <w:lang w:val="en-US" w:eastAsia="zh-CN"/>
              </w:rPr>
              <w:t>中有要求的按要求提供，无要求的自行提供</w:t>
            </w:r>
            <w:r>
              <w:rPr>
                <w:rFonts w:hint="eastAsia" w:ascii="宋体" w:hAnsi="宋体" w:eastAsia="宋体" w:cs="宋体"/>
                <w:b/>
                <w:bCs/>
                <w:color w:val="auto"/>
                <w:sz w:val="24"/>
                <w:szCs w:val="24"/>
                <w:highlight w:val="none"/>
                <w:lang w:val="en-US" w:eastAsia="zh-CN"/>
              </w:rPr>
              <w:t>），未提供证明材料的，视为参数负偏离。证明材料应制作索引目录</w:t>
            </w:r>
            <w:r>
              <w:rPr>
                <w:rFonts w:hint="eastAsia" w:ascii="宋体" w:hAnsi="宋体" w:cs="宋体"/>
                <w:b/>
                <w:bCs/>
                <w:color w:val="auto"/>
                <w:sz w:val="24"/>
                <w:szCs w:val="24"/>
                <w:highlight w:val="none"/>
                <w:lang w:val="en-US" w:eastAsia="zh-CN"/>
              </w:rPr>
              <w:t>并框图标识</w:t>
            </w:r>
            <w:r>
              <w:rPr>
                <w:rFonts w:hint="eastAsia" w:ascii="宋体" w:hAnsi="宋体" w:eastAsia="宋体" w:cs="宋体"/>
                <w:b/>
                <w:bCs/>
                <w:color w:val="auto"/>
                <w:sz w:val="24"/>
                <w:szCs w:val="24"/>
                <w:highlight w:val="none"/>
                <w:lang w:val="en-US" w:eastAsia="zh-CN"/>
              </w:rPr>
              <w:t>，方便评委查找。不制作索引目录或编排混乱导致评委漏查的，造成的不利后果由投标人自行承担责任。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②证明材料可以为产品说明书或技术白皮书或检测报告或印刷宣传彩页或设备铭牌等。证明材料应当字迹清晰可见，否则造成的不利后果由投标人自行承担责任。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项目供货方案</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5534"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根据投标人提供的</w:t>
            </w:r>
            <w:r>
              <w:rPr>
                <w:rFonts w:hint="eastAsia" w:ascii="宋体" w:hAnsi="宋体" w:eastAsia="宋体" w:cs="宋体"/>
                <w:b/>
                <w:bCs/>
                <w:color w:val="auto"/>
                <w:sz w:val="24"/>
                <w:szCs w:val="24"/>
                <w:highlight w:val="none"/>
                <w:lang w:val="en-US" w:eastAsia="zh-CN"/>
              </w:rPr>
              <w:t>（1）供货方案；（2）进度安排(包括</w:t>
            </w:r>
            <w:r>
              <w:rPr>
                <w:rFonts w:hint="eastAsia" w:ascii="宋体" w:hAnsi="宋体" w:cs="宋体"/>
                <w:b/>
                <w:bCs/>
                <w:color w:val="auto"/>
                <w:sz w:val="24"/>
                <w:szCs w:val="24"/>
                <w:highlight w:val="none"/>
                <w:lang w:val="en-US" w:eastAsia="zh-CN"/>
              </w:rPr>
              <w:t>运输、</w:t>
            </w:r>
            <w:r>
              <w:rPr>
                <w:rFonts w:hint="eastAsia" w:ascii="宋体" w:hAnsi="宋体" w:eastAsia="宋体" w:cs="宋体"/>
                <w:b/>
                <w:bCs/>
                <w:color w:val="auto"/>
                <w:sz w:val="24"/>
                <w:szCs w:val="24"/>
                <w:highlight w:val="none"/>
                <w:lang w:val="en-US" w:eastAsia="zh-CN"/>
              </w:rPr>
              <w:t>安装、调试及验收等各项工作)；（3）产品质量保证措施及保障承诺；（4）供货保证措施及惩处措施</w:t>
            </w:r>
            <w:r>
              <w:rPr>
                <w:rFonts w:hint="eastAsia" w:ascii="宋体" w:hAnsi="宋体" w:cs="宋体"/>
                <w:b/>
                <w:bCs/>
                <w:color w:val="auto"/>
                <w:sz w:val="24"/>
                <w:szCs w:val="24"/>
                <w:highlight w:val="none"/>
                <w:lang w:val="en-US" w:eastAsia="zh-CN"/>
              </w:rPr>
              <w:t>；（5）相对应的惩处措施等</w:t>
            </w:r>
            <w:r>
              <w:rPr>
                <w:rFonts w:hint="eastAsia" w:ascii="宋体" w:hAnsi="宋体" w:eastAsia="宋体" w:cs="宋体"/>
                <w:color w:val="auto"/>
                <w:sz w:val="24"/>
                <w:szCs w:val="24"/>
                <w:highlight w:val="none"/>
                <w:lang w:val="en-US" w:eastAsia="zh-CN"/>
              </w:rPr>
              <w:t xml:space="preserve">进行综合评审： </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供货方案</w:t>
            </w:r>
            <w:r>
              <w:rPr>
                <w:rFonts w:hint="eastAsia" w:ascii="宋体" w:hAnsi="宋体" w:eastAsia="宋体" w:cs="宋体"/>
                <w:color w:val="auto"/>
                <w:sz w:val="24"/>
                <w:szCs w:val="24"/>
                <w:highlight w:val="none"/>
                <w:lang w:val="en-US" w:eastAsia="zh-CN"/>
              </w:rPr>
              <w:t>阐述</w:t>
            </w:r>
            <w:r>
              <w:rPr>
                <w:rFonts w:hint="eastAsia" w:ascii="宋体" w:hAnsi="宋体" w:eastAsia="宋体" w:cs="宋体"/>
                <w:color w:val="auto"/>
                <w:sz w:val="24"/>
                <w:szCs w:val="24"/>
                <w:highlight w:val="none"/>
              </w:rPr>
              <w:t>完整全面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完善具体、合理可行，针对性强，</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可实施性及</w:t>
            </w:r>
            <w:r>
              <w:rPr>
                <w:rFonts w:hint="eastAsia" w:ascii="宋体" w:hAnsi="宋体" w:eastAsia="宋体" w:cs="宋体"/>
                <w:color w:val="auto"/>
                <w:sz w:val="24"/>
                <w:szCs w:val="24"/>
                <w:highlight w:val="none"/>
                <w:lang w:eastAsia="zh-CN"/>
              </w:rPr>
              <w:t>针对性</w:t>
            </w:r>
            <w:r>
              <w:rPr>
                <w:rFonts w:hint="eastAsia" w:ascii="宋体" w:hAnsi="宋体" w:eastAsia="宋体" w:cs="宋体"/>
                <w:color w:val="auto"/>
                <w:sz w:val="24"/>
                <w:szCs w:val="24"/>
                <w:highlight w:val="none"/>
                <w:lang w:val="en-US" w:eastAsia="zh-CN"/>
              </w:rPr>
              <w:t>的得满分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项内容每缺少一项内容扣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以上内容涉及到的描述缺陷是指：内容无针对性，不全面、不清晰、无可行性，内容与实际情况不匹配、不符合项目特点或无法达到预期效果、不适用于本项目、内容不符合相关规范要求、内容与本项目无关等任意一种情形</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val="en-US" w:eastAsia="zh-CN"/>
              </w:rPr>
              <w:t>方案</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分）</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根据投标人提供的售后服务方案进行评审，包括但不限于</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rPr>
              <w:t>质保期内售后服务方案（包括：维修政策承诺情况、维修服务响应时限、巡检维护周期、巡检计划内容、问题诊断及故障排除、售后服务技术人员的配备情况、培训方案（提供音视频频资料或纸质培训资料）；（2）质保期外售后服务方案（包括：维修政策承诺情况、维修服务响应时限、巡检维护周期、巡检计划内容、问题诊断及故障排除、售后服务技术人员的配备情况）；（3）相对应的惩处措施</w:t>
            </w:r>
            <w:r>
              <w:rPr>
                <w:rFonts w:hint="eastAsia" w:ascii="宋体" w:hAnsi="宋体" w:eastAsia="宋体" w:cs="宋体"/>
                <w:b/>
                <w:bCs/>
                <w:color w:val="auto"/>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售后服务方案及承诺完整、表述清晰、有针对性、完全贴合项目需求的得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②以上“（1）、（2）、（3）”三项内容缺少任意一项扣</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③以上任意一项内容每有一处描述缺陷的</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以上内容涉及到的描述缺陷是指</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内容无针对性，不全面、不清晰、无可行性，内容与实际情况不匹配、不符合项目特点或无法达到预期效果、不适用于本项目、内容不符合相关规范要求、内容与本项目无关等任意一种情形。</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：②③条款不重复扣分，扣完为止。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或者设备生产厂家</w:t>
            </w:r>
            <w:r>
              <w:rPr>
                <w:rFonts w:hint="eastAsia" w:ascii="宋体" w:hAnsi="宋体" w:eastAsia="宋体" w:cs="宋体"/>
                <w:color w:val="auto"/>
                <w:sz w:val="24"/>
                <w:szCs w:val="24"/>
                <w:highlight w:val="none"/>
              </w:rPr>
              <w:t>每提供一份近年类似项目业绩证明材料的得1分，满分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①近年指202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年1月1日至投标截止时间前（以中标通知书时间或合同签订时间为准）</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②类似业绩指</w:t>
            </w:r>
            <w:r>
              <w:rPr>
                <w:rFonts w:hint="eastAsia" w:ascii="宋体" w:hAnsi="宋体" w:eastAsia="宋体" w:cs="宋体"/>
                <w:b/>
                <w:bCs/>
                <w:color w:val="auto"/>
                <w:sz w:val="24"/>
                <w:szCs w:val="24"/>
                <w:highlight w:val="none"/>
                <w:lang w:val="en-US" w:eastAsia="zh-CN"/>
              </w:rPr>
              <w:t>含有本标段核心产品的供</w:t>
            </w:r>
            <w:r>
              <w:rPr>
                <w:rFonts w:hint="eastAsia" w:ascii="宋体" w:hAnsi="宋体" w:eastAsia="宋体" w:cs="宋体"/>
                <w:b/>
                <w:bCs/>
                <w:color w:val="auto"/>
                <w:sz w:val="24"/>
                <w:szCs w:val="24"/>
                <w:highlight w:val="none"/>
              </w:rPr>
              <w:t>货业绩，金额不限；</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③业绩证明材料</w:t>
            </w:r>
            <w:r>
              <w:rPr>
                <w:rFonts w:hint="eastAsia" w:ascii="宋体" w:hAnsi="宋体" w:cs="宋体"/>
                <w:b/>
                <w:bCs/>
                <w:color w:val="auto"/>
                <w:sz w:val="24"/>
                <w:szCs w:val="24"/>
                <w:highlight w:val="none"/>
                <w:lang w:val="en-US" w:eastAsia="zh-CN"/>
              </w:rPr>
              <w:t>可</w:t>
            </w:r>
            <w:r>
              <w:rPr>
                <w:rFonts w:hint="eastAsia" w:ascii="宋体" w:hAnsi="宋体" w:eastAsia="宋体" w:cs="宋体"/>
                <w:b/>
                <w:bCs/>
                <w:color w:val="auto"/>
                <w:sz w:val="24"/>
                <w:szCs w:val="24"/>
                <w:highlight w:val="none"/>
              </w:rPr>
              <w:t>为中标</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通知书或合同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合同首页、关键信息页、标的及金额所在页及合同签字盖章页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原件扫描件</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④无证明材料或证明材料不齐全、无法体现业绩内容的，不得分。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restart"/>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节</w:t>
            </w:r>
            <w:r>
              <w:rPr>
                <w:rFonts w:hint="eastAsia" w:ascii="宋体" w:hAnsi="宋体" w:eastAsia="宋体" w:cs="宋体"/>
                <w:color w:val="auto"/>
                <w:sz w:val="24"/>
                <w:szCs w:val="24"/>
                <w:highlight w:val="none"/>
              </w:rPr>
              <w:t>能产品</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节能产品的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投标产品属于优先采购范围内的节能产品的，提供国家确定的认证机构出具的、处于有效期之内的节能产品认证证书（扫描件加盖电子签章）</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282" w:type="dxa"/>
            <w:vMerge w:val="continue"/>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p>
        </w:tc>
        <w:tc>
          <w:tcPr>
            <w:tcW w:w="1872"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环境标志产品（满分</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分）</w:t>
            </w:r>
          </w:p>
        </w:tc>
        <w:tc>
          <w:tcPr>
            <w:tcW w:w="5534" w:type="dxa"/>
            <w:noWrap w:val="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TW" w:eastAsia="zh-TW"/>
              </w:rPr>
              <w:t>产品中</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zh-TW" w:eastAsia="zh-TW"/>
              </w:rPr>
              <w:t>环境标志产品的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color w:val="auto"/>
                <w:sz w:val="24"/>
                <w:szCs w:val="24"/>
                <w:highlight w:val="none"/>
                <w:lang w:val="zh-TW" w:eastAsia="zh-TW"/>
              </w:rPr>
              <w:t>不得分。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lang w:val="zh-TW" w:eastAsia="zh-TW"/>
              </w:rPr>
              <w:t>注：</w:t>
            </w:r>
            <w:r>
              <w:rPr>
                <w:rFonts w:hint="eastAsia" w:ascii="宋体" w:hAnsi="宋体" w:eastAsia="宋体" w:cs="宋体"/>
                <w:b/>
                <w:bCs/>
                <w:color w:val="auto"/>
                <w:sz w:val="24"/>
                <w:szCs w:val="24"/>
                <w:highlight w:val="none"/>
              </w:rPr>
              <w:t>投标产品属于优先采购范围内的环境标志产品的，提供国家确定的认证机构出具的、处于有效期之内的环境标志产品认证证书（扫描件加盖电子签章）。</w:t>
            </w:r>
          </w:p>
        </w:tc>
      </w:tr>
    </w:tbl>
    <w:p>
      <w:pPr>
        <w:pageBreakBefore w:val="0"/>
        <w:kinsoku/>
        <w:overflowPunct/>
        <w:bidi w:val="0"/>
        <w:spacing w:line="360" w:lineRule="auto"/>
        <w:jc w:val="center"/>
        <w:rPr>
          <w:rFonts w:hint="eastAsia" w:ascii="宋体" w:hAnsi="宋体" w:eastAsia="宋体" w:cs="宋体"/>
          <w:b/>
          <w:bCs/>
          <w:color w:val="auto"/>
          <w:sz w:val="28"/>
          <w:szCs w:val="28"/>
          <w:highlight w:val="none"/>
        </w:rPr>
      </w:pPr>
    </w:p>
    <w:p>
      <w:pPr>
        <w:pageBreakBefore w:val="0"/>
        <w:kinsoku/>
        <w:overflowPunct/>
        <w:bidi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评标方法</w:t>
      </w:r>
      <w:r>
        <w:rPr>
          <w:rFonts w:hint="eastAsia" w:ascii="宋体" w:hAnsi="宋体" w:eastAsia="宋体" w:cs="宋体"/>
          <w:b/>
          <w:bCs/>
          <w:color w:val="auto"/>
          <w:sz w:val="28"/>
          <w:szCs w:val="28"/>
          <w:highlight w:val="none"/>
          <w:lang w:val="en-US" w:eastAsia="zh-CN"/>
        </w:rPr>
        <w:t>及标准</w:t>
      </w:r>
    </w:p>
    <w:p>
      <w:pPr>
        <w:keepNext w:val="0"/>
        <w:keepLines w:val="0"/>
        <w:pageBreakBefore w:val="0"/>
        <w:widowControl w:val="0"/>
        <w:numPr>
          <w:ilvl w:val="0"/>
          <w:numId w:val="0"/>
        </w:numPr>
        <w:kinsoku/>
        <w:wordWrap/>
        <w:overflowPunct/>
        <w:topLinePunct w:val="0"/>
        <w:autoSpaceDE/>
        <w:autoSpaceDN/>
        <w:bidi w:val="0"/>
        <w:snapToGrid/>
        <w:spacing w:line="360" w:lineRule="auto"/>
        <w:ind w:right="0" w:rightChars="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1.评标方法</w:t>
      </w:r>
    </w:p>
    <w:p>
      <w:pPr>
        <w:pStyle w:val="13"/>
        <w:keepNext w:val="0"/>
        <w:keepLines w:val="0"/>
        <w:pageBreakBefore w:val="0"/>
        <w:widowControl w:val="0"/>
        <w:tabs>
          <w:tab w:val="left" w:pos="540"/>
        </w:tabs>
        <w:kinsoku/>
        <w:wordWrap/>
        <w:overflowPunct/>
        <w:topLinePunct w:val="0"/>
        <w:autoSpaceDE/>
        <w:autoSpaceDN/>
        <w:bidi w:val="0"/>
        <w:adjustRightInd w:val="0"/>
        <w:snapToGrid/>
        <w:spacing w:after="0" w:line="360" w:lineRule="auto"/>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1.1本次评标采用综合评分法。</w:t>
      </w:r>
      <w:r>
        <w:rPr>
          <w:rFonts w:hint="eastAsia" w:ascii="宋体" w:hAnsi="宋体" w:eastAsia="宋体" w:cs="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3"/>
        <w:keepNext w:val="0"/>
        <w:keepLines w:val="0"/>
        <w:pageBreakBefore w:val="0"/>
        <w:widowControl w:val="0"/>
        <w:tabs>
          <w:tab w:val="left" w:pos="540"/>
        </w:tabs>
        <w:kinsoku/>
        <w:wordWrap/>
        <w:overflowPunct/>
        <w:topLinePunct w:val="0"/>
        <w:autoSpaceDE/>
        <w:autoSpaceDN/>
        <w:bidi w:val="0"/>
        <w:adjustRightInd w:val="0"/>
        <w:snapToGrid/>
        <w:spacing w:after="0"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若提供相同品牌产品</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核心产品</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的不同投标人参加同一合同项下投标的，根据《政府采购货物和服务招标投标管理办法中华人民共和国财政部令第87号》 第三十一条规定执行：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3"/>
        <w:keepNext w:val="0"/>
        <w:keepLines w:val="0"/>
        <w:pageBreakBefore w:val="0"/>
        <w:widowControl w:val="0"/>
        <w:tabs>
          <w:tab w:val="left" w:pos="540"/>
        </w:tabs>
        <w:kinsoku/>
        <w:wordWrap/>
        <w:overflowPunct/>
        <w:topLinePunct w:val="0"/>
        <w:autoSpaceDE/>
        <w:autoSpaceDN/>
        <w:bidi w:val="0"/>
        <w:adjustRightInd w:val="0"/>
        <w:snapToGrid/>
        <w:spacing w:after="0" w:line="360" w:lineRule="auto"/>
        <w:ind w:left="0" w:leftChars="0" w:right="0" w:rightChars="0" w:firstLine="0" w:firstLineChars="0"/>
        <w:jc w:val="both"/>
        <w:textAlignment w:val="auto"/>
        <w:outlineLvl w:val="9"/>
        <w:rPr>
          <w:rFonts w:hint="eastAsia" w:ascii="宋体" w:hAnsi="宋体" w:eastAsia="宋体" w:cs="宋体"/>
          <w:b/>
          <w:bCs/>
          <w:color w:val="auto"/>
          <w:sz w:val="24"/>
          <w:highlight w:val="none"/>
          <w:lang w:val="en-US" w:eastAsia="zh-CN"/>
        </w:rPr>
      </w:pPr>
      <w:bookmarkStart w:id="128" w:name="_Toc321836409"/>
      <w:r>
        <w:rPr>
          <w:rFonts w:hint="eastAsia" w:ascii="宋体" w:hAnsi="宋体" w:eastAsia="宋体" w:cs="宋体"/>
          <w:b/>
          <w:bCs/>
          <w:color w:val="auto"/>
          <w:sz w:val="24"/>
          <w:highlight w:val="none"/>
          <w:lang w:val="en-US" w:eastAsia="zh-CN"/>
        </w:rPr>
        <w:t>2.评审标准</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2.1资格评审标准：见评标方法前附表；</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2.2符合性评审标准：见评标方法前附表；</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bookmarkStart w:id="129" w:name="_Toc321836408"/>
      <w:r>
        <w:rPr>
          <w:rFonts w:hint="eastAsia" w:ascii="宋体" w:hAnsi="宋体" w:eastAsia="宋体" w:cs="宋体"/>
          <w:b w:val="0"/>
          <w:bCs w:val="0"/>
          <w:color w:val="auto"/>
          <w:sz w:val="24"/>
          <w:szCs w:val="24"/>
          <w:highlight w:val="none"/>
        </w:rPr>
        <w:t>2.3 分值构成与评分标准</w:t>
      </w:r>
      <w:bookmarkEnd w:id="129"/>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2.3.1 分值构成</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：见评标方法前附表；</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部分：见评标方法前附表；</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2.3.2评分标准</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按招标文件中规定的评标方法和标准，对符合性评审</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的投标文件进行商务和技术评估，综合比较与评价。</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评分标准：见评标方法前附表；</w:t>
      </w:r>
    </w:p>
    <w:p>
      <w:pPr>
        <w:pStyle w:val="12"/>
        <w:keepNext w:val="0"/>
        <w:keepLines w:val="0"/>
        <w:pageBreakBefore w:val="0"/>
        <w:widowControl w:val="0"/>
        <w:tabs>
          <w:tab w:val="left" w:pos="247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eastAsia="宋体" w:cs="宋体"/>
          <w:color w:val="auto"/>
          <w:sz w:val="24"/>
          <w:szCs w:val="24"/>
          <w:highlight w:val="none"/>
          <w:lang w:val="en-US" w:eastAsia="zh-CN"/>
        </w:rPr>
        <w:t>和商务</w:t>
      </w:r>
      <w:r>
        <w:rPr>
          <w:rFonts w:hint="eastAsia" w:ascii="宋体" w:hAnsi="宋体" w:eastAsia="宋体" w:cs="宋体"/>
          <w:color w:val="auto"/>
          <w:sz w:val="24"/>
          <w:szCs w:val="24"/>
          <w:highlight w:val="none"/>
        </w:rPr>
        <w:t>部分评分标准：见评标方法前附表；</w:t>
      </w:r>
    </w:p>
    <w:bookmarkEnd w:id="128"/>
    <w:p>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30" w:name="_Toc31737"/>
      <w:bookmarkStart w:id="131" w:name="_Toc589"/>
      <w:bookmarkStart w:id="132" w:name="_Toc20762"/>
      <w:bookmarkStart w:id="133" w:name="_Toc8629"/>
      <w:bookmarkStart w:id="134" w:name="_Toc321836411"/>
      <w:r>
        <w:rPr>
          <w:rFonts w:hint="eastAsia" w:ascii="宋体" w:hAnsi="宋体" w:eastAsia="宋体" w:cs="宋体"/>
          <w:color w:val="auto"/>
          <w:sz w:val="24"/>
          <w:szCs w:val="24"/>
          <w:highlight w:val="none"/>
        </w:rPr>
        <w:t>3. 评标程序</w:t>
      </w:r>
      <w:bookmarkEnd w:id="130"/>
      <w:bookmarkEnd w:id="131"/>
      <w:bookmarkEnd w:id="132"/>
      <w:bookmarkEnd w:id="133"/>
    </w:p>
    <w:p>
      <w:pPr>
        <w:pStyle w:val="4"/>
        <w:keepNext w:val="0"/>
        <w:keepLines w:val="0"/>
        <w:pageBreakBefore w:val="0"/>
        <w:widowControl w:val="0"/>
        <w:tabs>
          <w:tab w:val="left" w:pos="1588"/>
        </w:tabs>
        <w:kinsoku/>
        <w:wordWrap/>
        <w:overflowPunct/>
        <w:topLinePunct w:val="0"/>
        <w:autoSpaceDE/>
        <w:autoSpaceDN/>
        <w:bidi w:val="0"/>
        <w:snapToGrid/>
        <w:spacing w:before="0" w:line="360" w:lineRule="auto"/>
        <w:ind w:left="0" w:leftChars="0" w:right="0" w:rightChars="0" w:firstLine="482" w:firstLineChars="200"/>
        <w:jc w:val="both"/>
        <w:rPr>
          <w:rFonts w:hint="eastAsia" w:ascii="宋体" w:hAnsi="宋体" w:eastAsia="宋体" w:cs="宋体"/>
          <w:color w:val="auto"/>
          <w:sz w:val="24"/>
          <w:szCs w:val="24"/>
          <w:highlight w:val="none"/>
        </w:rPr>
      </w:pPr>
      <w:bookmarkStart w:id="135" w:name="_Toc23515"/>
      <w:bookmarkStart w:id="136" w:name="_Toc18079"/>
      <w:bookmarkStart w:id="137" w:name="_Toc321836410"/>
      <w:bookmarkStart w:id="138" w:name="_Toc21781"/>
      <w:bookmarkStart w:id="139" w:name="_Toc25415"/>
      <w:r>
        <w:rPr>
          <w:rFonts w:hint="eastAsia" w:ascii="宋体" w:hAnsi="宋体" w:eastAsia="宋体" w:cs="宋体"/>
          <w:color w:val="auto"/>
          <w:sz w:val="24"/>
          <w:szCs w:val="24"/>
          <w:highlight w:val="none"/>
        </w:rPr>
        <w:t>3.1 资格评审</w:t>
      </w:r>
      <w:bookmarkEnd w:id="135"/>
      <w:bookmarkEnd w:id="136"/>
      <w:bookmarkEnd w:id="137"/>
      <w:bookmarkEnd w:id="138"/>
      <w:bookmarkEnd w:id="139"/>
    </w:p>
    <w:p>
      <w:pPr>
        <w:pStyle w:val="12"/>
        <w:keepNext w:val="0"/>
        <w:keepLines w:val="0"/>
        <w:pageBreakBefore w:val="0"/>
        <w:widowControl w:val="0"/>
        <w:tabs>
          <w:tab w:val="left" w:pos="2472"/>
        </w:tabs>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3.1.1由采购人或采购代理机构依据资格审查标准对实质性响应的投标人进行资格审查（资格性审查条件详见评标方法前附表），并向评标委员会提交资格审查报告。</w:t>
      </w:r>
    </w:p>
    <w:p>
      <w:pPr>
        <w:pStyle w:val="4"/>
        <w:keepNext w:val="0"/>
        <w:keepLines w:val="0"/>
        <w:pageBreakBefore w:val="0"/>
        <w:widowControl w:val="0"/>
        <w:tabs>
          <w:tab w:val="left" w:pos="1588"/>
        </w:tabs>
        <w:kinsoku/>
        <w:wordWrap/>
        <w:overflowPunct/>
        <w:topLinePunct w:val="0"/>
        <w:autoSpaceDE/>
        <w:autoSpaceDN/>
        <w:bidi w:val="0"/>
        <w:snapToGrid/>
        <w:spacing w:before="0" w:line="360" w:lineRule="auto"/>
        <w:ind w:left="0" w:leftChars="0" w:right="0" w:rightChars="0" w:firstLine="482" w:firstLineChars="200"/>
        <w:jc w:val="both"/>
        <w:rPr>
          <w:rFonts w:hint="eastAsia" w:ascii="宋体" w:hAnsi="宋体" w:eastAsia="宋体" w:cs="宋体"/>
          <w:color w:val="auto"/>
          <w:sz w:val="24"/>
          <w:szCs w:val="24"/>
          <w:highlight w:val="none"/>
        </w:rPr>
      </w:pPr>
      <w:bookmarkStart w:id="140" w:name="_Toc4808"/>
      <w:bookmarkStart w:id="141" w:name="_Toc15218"/>
      <w:bookmarkStart w:id="142" w:name="_Toc9016"/>
      <w:bookmarkStart w:id="143" w:name="_Toc5924"/>
      <w:r>
        <w:rPr>
          <w:rFonts w:hint="eastAsia" w:ascii="宋体" w:hAnsi="宋体" w:eastAsia="宋体" w:cs="宋体"/>
          <w:color w:val="auto"/>
          <w:sz w:val="24"/>
          <w:szCs w:val="24"/>
          <w:highlight w:val="none"/>
        </w:rPr>
        <w:t>3.2 符合性评审</w:t>
      </w:r>
      <w:bookmarkEnd w:id="140"/>
      <w:bookmarkEnd w:id="141"/>
      <w:bookmarkEnd w:id="142"/>
      <w:bookmarkEnd w:id="143"/>
    </w:p>
    <w:p>
      <w:pPr>
        <w:pStyle w:val="4"/>
        <w:keepNext w:val="0"/>
        <w:keepLines w:val="0"/>
        <w:pageBreakBefore w:val="0"/>
        <w:widowControl w:val="0"/>
        <w:tabs>
          <w:tab w:val="left" w:pos="1588"/>
        </w:tabs>
        <w:kinsoku/>
        <w:wordWrap/>
        <w:overflowPunct/>
        <w:topLinePunct w:val="0"/>
        <w:autoSpaceDE/>
        <w:autoSpaceDN/>
        <w:bidi w:val="0"/>
        <w:snapToGrid/>
        <w:spacing w:before="0" w:line="360" w:lineRule="auto"/>
        <w:ind w:left="0" w:leftChars="0" w:right="0" w:rightChars="0" w:firstLine="480" w:firstLineChars="200"/>
        <w:jc w:val="both"/>
        <w:rPr>
          <w:rFonts w:hint="eastAsia" w:ascii="宋体" w:hAnsi="宋体" w:eastAsia="宋体" w:cs="宋体"/>
          <w:b w:val="0"/>
          <w:bCs/>
          <w:color w:val="auto"/>
          <w:sz w:val="24"/>
          <w:szCs w:val="24"/>
          <w:highlight w:val="none"/>
        </w:rPr>
      </w:pPr>
      <w:bookmarkStart w:id="144" w:name="_Toc26852"/>
      <w:bookmarkStart w:id="145" w:name="_Toc12492"/>
      <w:bookmarkStart w:id="146" w:name="_Toc26590"/>
      <w:bookmarkStart w:id="147" w:name="_Toc2239"/>
      <w:r>
        <w:rPr>
          <w:rFonts w:hint="eastAsia" w:ascii="宋体" w:hAnsi="宋体" w:eastAsia="宋体" w:cs="宋体"/>
          <w:b w:val="0"/>
          <w:bCs/>
          <w:color w:val="auto"/>
          <w:sz w:val="24"/>
          <w:szCs w:val="24"/>
          <w:highlight w:val="none"/>
        </w:rPr>
        <w:t>3.2.1 评标委员会对通过资格审查的投标人进行符合性审查（符合性审查条件详见评标方法前附表）。依据招标文件的规定，从投标文件的有效性、完整性和对招标文件的响应程度进行审查，以确定是否对招标文件的实质性要求做出响应。</w:t>
      </w:r>
      <w:bookmarkEnd w:id="144"/>
      <w:bookmarkEnd w:id="145"/>
      <w:bookmarkEnd w:id="146"/>
      <w:bookmarkEnd w:id="147"/>
    </w:p>
    <w:p>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3.2.2投标文件计算错误的修正</w:t>
      </w:r>
    </w:p>
    <w:p>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3.2.2.1 投标文件报价出现前后不一致的，除招标文件另有规定外，按照下列规定修正：</w:t>
      </w:r>
    </w:p>
    <w:p>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1）投标文件中开标一览表（报价表）内容与投标文件中相应内容不一致的，以开标一览表（报价表）为准；</w:t>
      </w:r>
    </w:p>
    <w:p>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pPr>
        <w:pStyle w:val="12"/>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pPr>
        <w:pStyle w:val="12"/>
        <w:keepNext w:val="0"/>
        <w:keepLines w:val="0"/>
        <w:pageBreakBefore w:val="0"/>
        <w:widowControl w:val="0"/>
        <w:tabs>
          <w:tab w:val="left" w:pos="2472"/>
        </w:tabs>
        <w:kinsoku/>
        <w:wordWrap/>
        <w:overflowPunct/>
        <w:topLinePunct w:val="0"/>
        <w:autoSpaceDE/>
        <w:autoSpaceDN/>
        <w:bidi w:val="0"/>
        <w:snapToGrid/>
        <w:spacing w:line="360" w:lineRule="auto"/>
        <w:ind w:left="0" w:leftChars="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投标文件的投标报价，同时出现两种以上不一致的，按照前款规定的顺序修正，投标人同意后，调整后的投标报价对投标人起约束作用。如果投标人不接受修正后的报价，则其投标按无效标处理。</w:t>
      </w:r>
    </w:p>
    <w:p>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48" w:name="_Toc31452"/>
      <w:bookmarkStart w:id="149" w:name="_Toc7843"/>
      <w:bookmarkStart w:id="150" w:name="_Toc3241"/>
      <w:bookmarkStart w:id="151" w:name="_Toc23068"/>
      <w:r>
        <w:rPr>
          <w:rFonts w:hint="eastAsia" w:ascii="宋体" w:hAnsi="宋体" w:eastAsia="宋体" w:cs="宋体"/>
          <w:color w:val="auto"/>
          <w:sz w:val="24"/>
          <w:szCs w:val="24"/>
          <w:highlight w:val="none"/>
        </w:rPr>
        <w:t>3.3详细评审</w:t>
      </w:r>
      <w:bookmarkEnd w:id="134"/>
      <w:bookmarkEnd w:id="148"/>
      <w:bookmarkEnd w:id="149"/>
      <w:bookmarkEnd w:id="150"/>
      <w:bookmarkEnd w:id="151"/>
    </w:p>
    <w:p>
      <w:pPr>
        <w:pStyle w:val="12"/>
        <w:pageBreakBefore w:val="0"/>
        <w:tabs>
          <w:tab w:val="left" w:pos="2472"/>
        </w:tabs>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按本章规定的量化因素和分值进行打分，并计算出投标人的评标总得分。对投标人的价格分等客观评分项的评分应当一致，对其他需要借助专业知识评判的主观评分项，应当严格按照评分细则公正评分。</w:t>
      </w:r>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3.3.2除投标报价得分外，其余部分得分由评标委员会成员独立评分，</w:t>
      </w:r>
      <w:r>
        <w:rPr>
          <w:rFonts w:hint="eastAsia" w:ascii="宋体" w:hAnsi="宋体" w:eastAsia="宋体" w:cs="宋体"/>
          <w:bCs/>
          <w:color w:val="auto"/>
          <w:sz w:val="24"/>
          <w:highlight w:val="none"/>
        </w:rPr>
        <w:t>投标人各项评分因素得分为该项因素各评委评分的算术平均值（</w:t>
      </w:r>
      <w:r>
        <w:rPr>
          <w:rFonts w:hint="eastAsia" w:ascii="宋体" w:hAnsi="宋体" w:eastAsia="宋体" w:cs="宋体"/>
          <w:b/>
          <w:bCs w:val="0"/>
          <w:color w:val="auto"/>
          <w:sz w:val="24"/>
          <w:highlight w:val="none"/>
        </w:rPr>
        <w:t>保留小数点后</w:t>
      </w:r>
      <w:r>
        <w:rPr>
          <w:rFonts w:hint="eastAsia" w:ascii="宋体" w:hAnsi="宋体" w:eastAsia="宋体" w:cs="宋体"/>
          <w:b/>
          <w:bCs w:val="0"/>
          <w:color w:val="auto"/>
          <w:sz w:val="24"/>
          <w:highlight w:val="none"/>
          <w:lang w:val="en-US" w:eastAsia="zh-CN"/>
        </w:rPr>
        <w:t>一</w:t>
      </w:r>
      <w:r>
        <w:rPr>
          <w:rFonts w:hint="eastAsia" w:ascii="宋体" w:hAnsi="宋体" w:eastAsia="宋体" w:cs="宋体"/>
          <w:b/>
          <w:bCs w:val="0"/>
          <w:color w:val="auto"/>
          <w:sz w:val="24"/>
          <w:highlight w:val="none"/>
        </w:rPr>
        <w:t>位</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小数点后第</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位“</w:t>
      </w:r>
      <w:r>
        <w:rPr>
          <w:rFonts w:hint="eastAsia" w:ascii="宋体" w:hAnsi="宋体" w:eastAsia="宋体" w:cs="宋体"/>
          <w:b/>
          <w:bCs/>
          <w:color w:val="auto"/>
          <w:sz w:val="24"/>
          <w:highlight w:val="none"/>
          <w:lang w:val="en-US" w:eastAsia="zh-CN"/>
        </w:rPr>
        <w:t>自动舍去</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52" w:name="_Toc321836412"/>
      <w:bookmarkStart w:id="153" w:name="_Toc11627"/>
      <w:bookmarkStart w:id="154" w:name="_Toc28017"/>
      <w:bookmarkStart w:id="155" w:name="_Toc29699"/>
      <w:bookmarkStart w:id="156" w:name="_Toc18986"/>
      <w:r>
        <w:rPr>
          <w:rFonts w:hint="eastAsia" w:ascii="宋体" w:hAnsi="宋体" w:eastAsia="宋体" w:cs="宋体"/>
          <w:color w:val="auto"/>
          <w:sz w:val="24"/>
          <w:szCs w:val="24"/>
          <w:highlight w:val="none"/>
        </w:rPr>
        <w:t>3.4 投标文件的澄清</w:t>
      </w:r>
      <w:bookmarkEnd w:id="152"/>
      <w:bookmarkEnd w:id="153"/>
      <w:bookmarkEnd w:id="154"/>
      <w:bookmarkEnd w:id="155"/>
      <w:bookmarkEnd w:id="156"/>
      <w:r>
        <w:rPr>
          <w:rFonts w:hint="eastAsia" w:ascii="宋体" w:hAnsi="宋体" w:eastAsia="宋体" w:cs="宋体"/>
          <w:color w:val="auto"/>
          <w:sz w:val="24"/>
          <w:szCs w:val="24"/>
          <w:highlight w:val="none"/>
        </w:rPr>
        <w:t xml:space="preserve"> </w:t>
      </w:r>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 在评标过程中，评标委员会可以书面形式（应当由评标委员会专家签字）要求投标人对所提交的投标文件中含义不明确、同类问题表述不一致或者有明显文字和计算错误的内容，进行书面澄清或说明。评标委员会不接受投标人主动提出的澄清、说明。</w:t>
      </w:r>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 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3.4.3 评标委员会对投标人提交的澄清、说明有疑问的，可以要求投标人进一步澄清、说明。</w:t>
      </w:r>
    </w:p>
    <w:p>
      <w:pPr>
        <w:pStyle w:val="4"/>
        <w:pageBreakBefore w:val="0"/>
        <w:tabs>
          <w:tab w:val="left" w:pos="1588"/>
        </w:tabs>
        <w:kinsoku/>
        <w:overflowPunct/>
        <w:bidi w:val="0"/>
        <w:spacing w:before="0" w:line="360" w:lineRule="auto"/>
        <w:ind w:left="0" w:firstLine="0"/>
        <w:rPr>
          <w:rFonts w:hint="eastAsia" w:ascii="宋体" w:hAnsi="宋体" w:eastAsia="宋体" w:cs="宋体"/>
          <w:color w:val="auto"/>
          <w:sz w:val="24"/>
          <w:szCs w:val="24"/>
          <w:highlight w:val="none"/>
        </w:rPr>
      </w:pPr>
      <w:bookmarkStart w:id="157" w:name="_Toc30582"/>
      <w:bookmarkStart w:id="158" w:name="_Toc7677"/>
      <w:bookmarkStart w:id="159" w:name="_Toc10112"/>
      <w:bookmarkStart w:id="160" w:name="_Toc321836413"/>
      <w:bookmarkStart w:id="161" w:name="_Toc23997"/>
      <w:r>
        <w:rPr>
          <w:rFonts w:hint="eastAsia" w:ascii="宋体" w:hAnsi="宋体" w:eastAsia="宋体" w:cs="宋体"/>
          <w:color w:val="auto"/>
          <w:sz w:val="24"/>
          <w:szCs w:val="24"/>
          <w:highlight w:val="none"/>
        </w:rPr>
        <w:t>3.5评标结果</w:t>
      </w:r>
      <w:bookmarkEnd w:id="157"/>
      <w:bookmarkEnd w:id="158"/>
      <w:bookmarkEnd w:id="159"/>
      <w:bookmarkEnd w:id="160"/>
      <w:bookmarkEnd w:id="161"/>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3.5.1 评标委员会按得分由高到低顺序推荐中标候选人，并提出书面评标报告。评标委员会的评标报告应由评标委员会全体成员签字。对评标结论有异议的评标委员会成员可以书面方式阐述其不同意见和理由。评标委员会成员拒绝在评标报告上签字且不以书面阐述其不同意见和理由的，视为同意评标结论。评标委员会应当对此作出书面说明并记录在案。</w:t>
      </w:r>
    </w:p>
    <w:p>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3.5.2 采购人根据评标委员会提出的书面评标报告和推荐的中标候选人名单，确定中标人。</w:t>
      </w:r>
    </w:p>
    <w:p>
      <w:pPr>
        <w:pageBreakBefore w:val="0"/>
        <w:kinsoku/>
        <w:overflowPunct/>
        <w:bidi w:val="0"/>
        <w:spacing w:line="360" w:lineRule="auto"/>
        <w:ind w:firstLine="480" w:firstLineChars="20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3.5.3</w:t>
      </w:r>
      <w:r>
        <w:rPr>
          <w:rFonts w:hint="eastAsia" w:ascii="宋体" w:hAnsi="宋体" w:eastAsia="宋体" w:cs="宋体"/>
          <w:b w:val="0"/>
          <w:color w:val="auto"/>
          <w:sz w:val="24"/>
          <w:szCs w:val="24"/>
          <w:highlight w:val="none"/>
        </w:rPr>
        <w:t>特殊情形处理</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公开招标数额标准以上的采购项目，投标截止后投标人不足3家或者通过资格审查或符合性审查的投标人不足3家的，除采购任务取消情形外，按照以下方式处理：</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）招标文件存在不合理条款或者招标程序不符合规定的，采购人、采购代理机构改正后依法重新招标；</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）招标文件没有不合理条款、招标程序符合规定，需要采用其他采购方式采购的，采购人应当依法报财政部门批准。</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评标结果汇总完成后，除下列情形外，任何人不得修改评标结果：</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）分值汇总计算错误的；</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）分项评分超出评分标准范围的；</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）评标委员会成员对客观评审因素评分不一致的；</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）经评标委员会认定评分畸高、畸低的。</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）投标人对本条第一款情形提出质疑的，采购人或者采购代理机构可以组织原评标委员会进行重新评审，重新评审改变评标结果的，应当书面报告本级财政部门。</w:t>
      </w:r>
    </w:p>
    <w:p>
      <w:pPr>
        <w:pageBreakBefore w:val="0"/>
        <w:tabs>
          <w:tab w:val="left" w:pos="7899"/>
        </w:tabs>
        <w:kinsoku/>
        <w:overflowPunct/>
        <w:bidi w:val="0"/>
        <w:spacing w:line="360" w:lineRule="auto"/>
        <w:ind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ageBreakBefore w:val="0"/>
        <w:tabs>
          <w:tab w:val="left" w:pos="7899"/>
        </w:tabs>
        <w:kinsoku/>
        <w:overflowPunct/>
        <w:bidi w:val="0"/>
        <w:spacing w:line="360" w:lineRule="auto"/>
        <w:ind w:firstLine="413" w:firstLineChars="197"/>
        <w:jc w:val="center"/>
        <w:outlineLvl w:val="0"/>
        <w:rPr>
          <w:rFonts w:hint="eastAsia" w:ascii="宋体" w:hAnsi="宋体" w:eastAsia="宋体" w:cs="宋体"/>
          <w:b/>
          <w:bCs w:val="0"/>
          <w:color w:val="auto"/>
          <w:sz w:val="30"/>
          <w:szCs w:val="30"/>
          <w:highlight w:val="none"/>
        </w:rPr>
      </w:pPr>
      <w:r>
        <w:rPr>
          <w:rFonts w:hint="eastAsia" w:ascii="宋体" w:hAnsi="宋体" w:eastAsia="宋体" w:cs="宋体"/>
          <w:lang w:eastAsia="zh-CN"/>
        </w:rPr>
        <w:br w:type="page"/>
      </w:r>
      <w:bookmarkStart w:id="162" w:name="_Toc4861"/>
      <w:bookmarkStart w:id="163" w:name="_Toc4043"/>
      <w:bookmarkStart w:id="164" w:name="_Toc3289"/>
      <w:bookmarkStart w:id="165" w:name="_Toc25104"/>
      <w:r>
        <w:rPr>
          <w:rStyle w:val="33"/>
          <w:rFonts w:hint="eastAsia" w:ascii="宋体" w:hAnsi="宋体" w:eastAsia="宋体" w:cs="宋体"/>
          <w:lang w:val="en-US" w:eastAsia="zh-CN"/>
        </w:rPr>
        <w:t xml:space="preserve">第六章  </w:t>
      </w:r>
      <w:r>
        <w:rPr>
          <w:rStyle w:val="33"/>
          <w:rFonts w:hint="eastAsia" w:ascii="宋体" w:hAnsi="宋体" w:eastAsia="宋体" w:cs="宋体"/>
        </w:rPr>
        <w:t>投标文件格式</w:t>
      </w:r>
      <w:bookmarkEnd w:id="162"/>
      <w:bookmarkEnd w:id="163"/>
      <w:bookmarkEnd w:id="164"/>
      <w:bookmarkEnd w:id="165"/>
    </w:p>
    <w:p>
      <w:pPr>
        <w:pageBreakBefore w:val="0"/>
        <w:kinsoku/>
        <w:overflowPunct/>
        <w:bidi w:val="0"/>
        <w:spacing w:line="360" w:lineRule="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b/>
          <w:color w:val="auto"/>
          <w:sz w:val="52"/>
          <w:szCs w:val="40"/>
          <w:highlight w:val="none"/>
          <w:u w:val="single"/>
          <w:shd w:val="clear" w:color="auto" w:fill="FFFFFF"/>
          <w:lang w:val="en-US" w:eastAsia="zh-CN"/>
        </w:rPr>
      </w:pPr>
      <w:r>
        <w:rPr>
          <w:rFonts w:hint="eastAsia" w:ascii="宋体" w:hAnsi="宋体" w:cs="宋体"/>
          <w:b/>
          <w:color w:val="auto"/>
          <w:sz w:val="48"/>
          <w:szCs w:val="36"/>
          <w:highlight w:val="none"/>
          <w:shd w:val="clear" w:color="auto" w:fill="FFFFFF"/>
          <w:lang w:eastAsia="zh-CN"/>
        </w:rPr>
        <w:t>珠江流域（玉溪段）生态环境监测能力提升项目</w:t>
      </w:r>
      <w:r>
        <w:rPr>
          <w:rFonts w:hint="eastAsia" w:ascii="宋体" w:hAnsi="宋体" w:cs="宋体"/>
          <w:b/>
          <w:color w:val="auto"/>
          <w:sz w:val="48"/>
          <w:szCs w:val="36"/>
          <w:highlight w:val="none"/>
          <w:u w:val="single"/>
          <w:shd w:val="clear" w:color="auto" w:fill="FFFFFF"/>
          <w:lang w:val="en-US" w:eastAsia="zh-CN"/>
        </w:rPr>
        <w:t xml:space="preserve">    </w:t>
      </w:r>
      <w:r>
        <w:rPr>
          <w:rFonts w:hint="eastAsia" w:ascii="宋体" w:hAnsi="宋体" w:cs="宋体"/>
          <w:b/>
          <w:color w:val="auto"/>
          <w:sz w:val="48"/>
          <w:szCs w:val="36"/>
          <w:highlight w:val="none"/>
          <w:u w:val="none"/>
          <w:shd w:val="clear" w:color="auto" w:fill="FFFFFF"/>
          <w:lang w:val="en-US" w:eastAsia="zh-CN"/>
        </w:rPr>
        <w:t>包</w:t>
      </w:r>
    </w:p>
    <w:p>
      <w:pPr>
        <w:pageBreakBefore w:val="0"/>
        <w:kinsoku/>
        <w:overflowPunct/>
        <w:bidi w:val="0"/>
        <w:spacing w:line="360" w:lineRule="auto"/>
        <w:ind w:firstLine="397"/>
        <w:jc w:val="center"/>
        <w:rPr>
          <w:rFonts w:hint="eastAsia" w:ascii="宋体" w:hAnsi="宋体" w:eastAsia="宋体" w:cs="宋体"/>
          <w:color w:val="auto"/>
          <w:sz w:val="44"/>
          <w:highlight w:val="none"/>
        </w:rPr>
      </w:pPr>
    </w:p>
    <w:p>
      <w:pPr>
        <w:pStyle w:val="5"/>
        <w:pageBreakBefore w:val="0"/>
        <w:kinsoku/>
        <w:overflowPunct/>
        <w:bidi w:val="0"/>
        <w:spacing w:line="360" w:lineRule="auto"/>
        <w:rPr>
          <w:rFonts w:hint="eastAsia" w:ascii="宋体" w:hAnsi="宋体" w:eastAsia="宋体" w:cs="宋体"/>
          <w:color w:val="auto"/>
          <w:highlight w:val="none"/>
        </w:rPr>
      </w:pPr>
    </w:p>
    <w:p>
      <w:pPr>
        <w:pStyle w:val="28"/>
        <w:pageBreakBefore w:val="0"/>
        <w:kinsoku/>
        <w:overflowPunct/>
        <w:bidi w:val="0"/>
        <w:spacing w:line="360" w:lineRule="auto"/>
        <w:rPr>
          <w:rFonts w:hint="eastAsia" w:ascii="宋体" w:hAnsi="宋体" w:eastAsia="宋体" w:cs="宋体"/>
          <w:color w:val="auto"/>
          <w:sz w:val="44"/>
          <w:highlight w:val="none"/>
        </w:rPr>
      </w:pPr>
    </w:p>
    <w:p>
      <w:pPr>
        <w:pStyle w:val="28"/>
        <w:pageBreakBefore w:val="0"/>
        <w:kinsoku/>
        <w:overflowPunct/>
        <w:bidi w:val="0"/>
        <w:spacing w:line="360" w:lineRule="auto"/>
        <w:rPr>
          <w:rFonts w:hint="eastAsia" w:ascii="宋体" w:hAnsi="宋体" w:eastAsia="宋体" w:cs="宋体"/>
          <w:color w:val="auto"/>
          <w:sz w:val="44"/>
          <w:highlight w:val="none"/>
        </w:rPr>
      </w:pPr>
    </w:p>
    <w:p>
      <w:pPr>
        <w:pStyle w:val="28"/>
        <w:pageBreakBefore w:val="0"/>
        <w:kinsoku/>
        <w:overflowPunct/>
        <w:bidi w:val="0"/>
        <w:spacing w:line="360" w:lineRule="auto"/>
        <w:rPr>
          <w:rFonts w:hint="eastAsia" w:ascii="宋体" w:hAnsi="宋体" w:eastAsia="宋体" w:cs="宋体"/>
          <w:color w:val="auto"/>
          <w:sz w:val="44"/>
          <w:highlight w:val="none"/>
        </w:rPr>
      </w:pPr>
    </w:p>
    <w:p>
      <w:pPr>
        <w:pStyle w:val="5"/>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ind w:firstLine="397"/>
        <w:jc w:val="center"/>
        <w:rPr>
          <w:rFonts w:hint="eastAsia" w:ascii="宋体" w:hAnsi="宋体" w:eastAsia="宋体" w:cs="宋体"/>
          <w:b/>
          <w:color w:val="auto"/>
          <w:sz w:val="96"/>
          <w:szCs w:val="28"/>
          <w:highlight w:val="none"/>
        </w:rPr>
      </w:pPr>
      <w:r>
        <w:rPr>
          <w:rFonts w:hint="eastAsia" w:ascii="宋体" w:hAnsi="宋体" w:eastAsia="宋体" w:cs="宋体"/>
          <w:b/>
          <w:color w:val="auto"/>
          <w:sz w:val="96"/>
          <w:szCs w:val="28"/>
          <w:highlight w:val="none"/>
        </w:rPr>
        <w:t>投 标 文 件</w:t>
      </w:r>
    </w:p>
    <w:p>
      <w:pPr>
        <w:pageBreakBefore w:val="0"/>
        <w:kinsoku/>
        <w:overflowPunct/>
        <w:bidi w:val="0"/>
        <w:spacing w:line="360" w:lineRule="auto"/>
        <w:ind w:leftChars="800" w:firstLine="397"/>
        <w:jc w:val="both"/>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6"/>
          <w:szCs w:val="32"/>
          <w:highlight w:val="none"/>
        </w:rPr>
        <w:t>项目编号：</w:t>
      </w:r>
      <w:r>
        <w:rPr>
          <w:rFonts w:hint="eastAsia" w:ascii="宋体" w:hAnsi="宋体" w:eastAsia="宋体" w:cs="宋体"/>
          <w:b/>
          <w:bCs/>
          <w:color w:val="auto"/>
          <w:sz w:val="36"/>
          <w:szCs w:val="32"/>
          <w:highlight w:val="none"/>
          <w:u w:val="single"/>
          <w:lang w:val="en-US" w:eastAsia="zh-CN"/>
        </w:rPr>
        <w:t xml:space="preserve">                  </w:t>
      </w:r>
      <w:r>
        <w:rPr>
          <w:rFonts w:hint="eastAsia" w:ascii="宋体" w:hAnsi="宋体" w:eastAsia="宋体" w:cs="宋体"/>
          <w:b/>
          <w:bCs/>
          <w:color w:val="auto"/>
          <w:sz w:val="36"/>
          <w:szCs w:val="32"/>
          <w:highlight w:val="none"/>
          <w:lang w:val="en-US" w:eastAsia="zh-CN"/>
        </w:rPr>
        <w:t xml:space="preserve">      </w:t>
      </w:r>
    </w:p>
    <w:p>
      <w:pPr>
        <w:pageBreakBefore w:val="0"/>
        <w:kinsoku/>
        <w:overflowPunct/>
        <w:bidi w:val="0"/>
        <w:spacing w:line="360" w:lineRule="auto"/>
        <w:ind w:firstLine="397"/>
        <w:jc w:val="center"/>
        <w:rPr>
          <w:rFonts w:hint="eastAsia" w:ascii="宋体" w:hAnsi="宋体" w:eastAsia="宋体" w:cs="宋体"/>
          <w:color w:val="auto"/>
          <w:sz w:val="24"/>
          <w:highlight w:val="none"/>
        </w:rPr>
      </w:pPr>
    </w:p>
    <w:p>
      <w:pPr>
        <w:pageBreakBefore w:val="0"/>
        <w:kinsoku/>
        <w:overflowPunct/>
        <w:bidi w:val="0"/>
        <w:spacing w:line="360" w:lineRule="auto"/>
        <w:ind w:firstLine="397"/>
        <w:jc w:val="center"/>
        <w:rPr>
          <w:rFonts w:hint="eastAsia" w:ascii="宋体" w:hAnsi="宋体" w:eastAsia="宋体" w:cs="宋体"/>
          <w:color w:val="auto"/>
          <w:sz w:val="24"/>
          <w:highlight w:val="none"/>
        </w:rPr>
      </w:pPr>
    </w:p>
    <w:p>
      <w:pPr>
        <w:pageBreakBefore w:val="0"/>
        <w:kinsoku/>
        <w:overflowPunct/>
        <w:bidi w:val="0"/>
        <w:spacing w:line="360" w:lineRule="auto"/>
        <w:ind w:firstLine="397"/>
        <w:jc w:val="center"/>
        <w:rPr>
          <w:rFonts w:hint="eastAsia" w:ascii="宋体" w:hAnsi="宋体" w:eastAsia="宋体" w:cs="宋体"/>
          <w:color w:val="auto"/>
          <w:sz w:val="24"/>
          <w:highlight w:val="none"/>
        </w:rPr>
      </w:pPr>
    </w:p>
    <w:p>
      <w:pPr>
        <w:pStyle w:val="28"/>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rPr>
          <w:rFonts w:hint="eastAsia" w:ascii="宋体" w:hAnsi="宋体" w:eastAsia="宋体" w:cs="宋体"/>
          <w:color w:val="auto"/>
          <w:highlight w:val="none"/>
        </w:rPr>
      </w:pPr>
    </w:p>
    <w:p>
      <w:pPr>
        <w:pStyle w:val="28"/>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jc w:val="cente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投标人名称: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（电子签章）</w:t>
      </w:r>
    </w:p>
    <w:p>
      <w:pPr>
        <w:pageBreakBefore w:val="0"/>
        <w:kinsoku/>
        <w:overflowPunct/>
        <w:bidi w:val="0"/>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（电子签章或电子签名）</w:t>
      </w:r>
    </w:p>
    <w:p>
      <w:pPr>
        <w:pStyle w:val="5"/>
        <w:pageBreakBefore w:val="0"/>
        <w:kinsoku/>
        <w:overflowPunct/>
        <w:bidi w:val="0"/>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日期:</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8"/>
          <w:highlight w:val="none"/>
        </w:rPr>
        <w:br w:type="page"/>
      </w:r>
      <w:bookmarkStart w:id="166" w:name="_Toc28608"/>
      <w:bookmarkStart w:id="167" w:name="_Toc15964"/>
      <w:bookmarkStart w:id="168" w:name="_Toc18314"/>
      <w:bookmarkStart w:id="169" w:name="_Toc16937"/>
      <w:r>
        <w:rPr>
          <w:rFonts w:hint="eastAsia" w:ascii="宋体" w:hAnsi="宋体" w:eastAsia="宋体" w:cs="宋体"/>
          <w:b/>
          <w:color w:val="auto"/>
          <w:sz w:val="32"/>
          <w:szCs w:val="32"/>
          <w:highlight w:val="none"/>
          <w:shd w:val="clear" w:color="auto" w:fill="FFFFFF"/>
        </w:rPr>
        <w:t>一、投 标 函</w:t>
      </w:r>
      <w:bookmarkEnd w:id="166"/>
      <w:bookmarkEnd w:id="167"/>
      <w:bookmarkEnd w:id="168"/>
      <w:bookmarkEnd w:id="169"/>
    </w:p>
    <w:p>
      <w:pPr>
        <w:pStyle w:val="28"/>
        <w:pageBreakBefore w:val="0"/>
        <w:kinsoku/>
        <w:overflowPunct/>
        <w:bidi w:val="0"/>
        <w:spacing w:line="360" w:lineRule="auto"/>
        <w:rPr>
          <w:rFonts w:hint="eastAsia" w:ascii="宋体" w:hAnsi="宋体" w:eastAsia="宋体" w:cs="宋体"/>
          <w:color w:val="auto"/>
          <w:highlight w:val="none"/>
        </w:rPr>
      </w:pPr>
    </w:p>
    <w:p>
      <w:pPr>
        <w:pageBreakBefore w:val="0"/>
        <w:shd w:val="solid" w:color="FFFFFF" w:fill="auto"/>
        <w:kinsoku/>
        <w:overflowPunct/>
        <w:autoSpaceDN w:val="0"/>
        <w:bidi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（采购人名称）：</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我方全面研究了“</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r>
        <w:rPr>
          <w:rFonts w:hint="eastAsia" w:ascii="宋体" w:hAnsi="宋体" w:eastAsia="宋体" w:cs="宋体"/>
          <w:color w:val="auto"/>
          <w:sz w:val="24"/>
          <w:highlight w:val="none"/>
          <w:shd w:val="clear" w:color="auto" w:fill="FFFFFF"/>
        </w:rPr>
        <w:t>”的招标文件（项目编号：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），决定参加贵单位组织的本项目投标。我方授权</w:t>
      </w:r>
      <w:r>
        <w:rPr>
          <w:rFonts w:hint="eastAsia" w:ascii="宋体" w:hAnsi="宋体" w:eastAsia="宋体" w:cs="宋体"/>
          <w:color w:val="auto"/>
          <w:sz w:val="24"/>
          <w:highlight w:val="none"/>
          <w:u w:val="single"/>
          <w:shd w:val="clear" w:color="auto" w:fill="FFFFFF"/>
        </w:rPr>
        <w:t>　　 （姓名、职务）</w:t>
      </w:r>
      <w:r>
        <w:rPr>
          <w:rFonts w:hint="eastAsia" w:ascii="宋体" w:hAnsi="宋体" w:eastAsia="宋体" w:cs="宋体"/>
          <w:color w:val="auto"/>
          <w:sz w:val="24"/>
          <w:highlight w:val="none"/>
          <w:shd w:val="clear" w:color="auto" w:fill="FFFFFF"/>
        </w:rPr>
        <w:t>代表我方</w:t>
      </w:r>
      <w:r>
        <w:rPr>
          <w:rFonts w:hint="eastAsia" w:ascii="宋体" w:hAnsi="宋体" w:eastAsia="宋体" w:cs="宋体"/>
          <w:color w:val="auto"/>
          <w:sz w:val="24"/>
          <w:highlight w:val="none"/>
          <w:u w:val="single"/>
          <w:shd w:val="clear" w:color="auto" w:fill="FFFFFF"/>
        </w:rPr>
        <w:t>（投标</w:t>
      </w:r>
      <w:r>
        <w:rPr>
          <w:rFonts w:hint="eastAsia" w:ascii="宋体" w:hAnsi="宋体" w:eastAsia="宋体" w:cs="宋体"/>
          <w:color w:val="auto"/>
          <w:sz w:val="24"/>
          <w:highlight w:val="none"/>
          <w:u w:val="single"/>
          <w:shd w:val="clear" w:color="auto" w:fill="FFFFFF"/>
          <w:lang w:val="en-US" w:eastAsia="zh-CN"/>
        </w:rPr>
        <w:t>单位</w:t>
      </w:r>
      <w:r>
        <w:rPr>
          <w:rFonts w:hint="eastAsia" w:ascii="宋体" w:hAnsi="宋体" w:eastAsia="宋体" w:cs="宋体"/>
          <w:color w:val="auto"/>
          <w:sz w:val="24"/>
          <w:highlight w:val="none"/>
          <w:u w:val="single"/>
          <w:shd w:val="clear" w:color="auto" w:fill="FFFFFF"/>
        </w:rPr>
        <w:t>的名称）</w:t>
      </w:r>
      <w:r>
        <w:rPr>
          <w:rFonts w:hint="eastAsia" w:ascii="宋体" w:hAnsi="宋体" w:eastAsia="宋体" w:cs="宋体"/>
          <w:color w:val="auto"/>
          <w:sz w:val="24"/>
          <w:highlight w:val="none"/>
          <w:shd w:val="clear" w:color="auto" w:fill="FFFFFF"/>
        </w:rPr>
        <w:t>全权处理本项目投标的有关事宜。</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1、我方自愿按照招标文件规定的各项要求向采购人提供所需货物/服务，我方愿按“投标报价一览表”所报的投标价格承担招标文件中所规定的投标人的全部责任和义务。</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2、一旦我方中标，我方将严格履行合同规定的责任和义务，保证于合同签字生效后按采购人要求完成项目内容。</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3、我方同意按照招标文件的要求，向贵单位缴纳人民币</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元（大写：</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）的投标保证金。并承诺：下列任何情况发生时，我方将不要求退还投标保证金：</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（1）如果我方在投标有效期内撤回投标；</w:t>
      </w:r>
    </w:p>
    <w:p>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（2）我方提供了虚假响应招标文件的投标文件；</w:t>
      </w:r>
    </w:p>
    <w:p>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（3）在投标过程中有违规违纪行为；</w:t>
      </w:r>
    </w:p>
    <w:p>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（4）我方在投标有效期内收到中标通知书后，由于我方原因未能按照招标文件要求提交履约保证金或与采购人签订并履行合同。</w:t>
      </w:r>
    </w:p>
    <w:p>
      <w:pPr>
        <w:pageBreakBefore w:val="0"/>
        <w:shd w:val="solid" w:color="FFFFFF" w:fill="auto"/>
        <w:kinsoku/>
        <w:overflowPunct/>
        <w:autoSpaceDN w:val="0"/>
        <w:bidi w:val="0"/>
        <w:spacing w:line="360" w:lineRule="auto"/>
        <w:ind w:firstLine="482"/>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4、我方严格按照招标文件的要求提交投标文件。</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5、我方愿意提供贵方可能另外要求的，与投标有关的文件资料，并保证我方已提供和将要提供的文件资料是真实、准确的。</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6、我方完全理解采购人不一定将合同授予最低报价的投标人的行为。</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7、投标有效期：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w:t>
      </w:r>
    </w:p>
    <w:p>
      <w:pPr>
        <w:pStyle w:val="5"/>
        <w:pageBreakBefore w:val="0"/>
        <w:kinsoku/>
        <w:overflowPunct/>
        <w:bidi w:val="0"/>
        <w:spacing w:after="0" w:line="360" w:lineRule="auto"/>
        <w:ind w:firstLine="42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highlight w:val="none"/>
          <w:lang w:val="en-US" w:eastAsia="zh-CN"/>
        </w:rPr>
        <w:t>......</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投标人名称:</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 xml:space="preserve">（电子签章或电子签名）        </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通讯地址：</w:t>
      </w:r>
      <w:r>
        <w:rPr>
          <w:rFonts w:hint="eastAsia" w:ascii="宋体" w:hAnsi="宋体" w:eastAsia="宋体" w:cs="宋体"/>
          <w:color w:val="auto"/>
          <w:sz w:val="24"/>
          <w:highlight w:val="none"/>
          <w:u w:val="single"/>
          <w:shd w:val="clear" w:color="auto" w:fill="FFFFFF"/>
        </w:rPr>
        <w:t xml:space="preserve">　　　　　　　　　　　　　 </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联系电话（手机号）：</w:t>
      </w:r>
      <w:r>
        <w:rPr>
          <w:rFonts w:hint="eastAsia" w:ascii="宋体" w:hAnsi="宋体" w:eastAsia="宋体" w:cs="宋体"/>
          <w:color w:val="auto"/>
          <w:sz w:val="24"/>
          <w:highlight w:val="none"/>
          <w:u w:val="single"/>
          <w:shd w:val="clear" w:color="auto" w:fill="FFFFFF"/>
        </w:rPr>
        <w:t xml:space="preserve">　　　　　　　　　　 </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sz w:val="24"/>
          <w:highlight w:val="none"/>
          <w:shd w:val="clear" w:color="auto" w:fill="FFFFFF"/>
        </w:rPr>
        <w:t>座机：</w:t>
      </w:r>
      <w:r>
        <w:rPr>
          <w:rFonts w:hint="eastAsia" w:ascii="宋体" w:hAnsi="宋体" w:eastAsia="宋体" w:cs="宋体"/>
          <w:color w:val="auto"/>
          <w:sz w:val="24"/>
          <w:highlight w:val="none"/>
          <w:u w:val="single"/>
          <w:shd w:val="clear" w:color="auto" w:fill="FFFFFF"/>
        </w:rPr>
        <w:t xml:space="preserve">　　　　　　　　　　　　　 </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ageBreakBefore w:val="0"/>
        <w:tabs>
          <w:tab w:val="right" w:pos="8306"/>
        </w:tabs>
        <w:kinsoku/>
        <w:overflowPunct/>
        <w:bidi w:val="0"/>
        <w:spacing w:after="156" w:line="360" w:lineRule="auto"/>
        <w:jc w:val="center"/>
        <w:outlineLvl w:val="1"/>
        <w:rPr>
          <w:rFonts w:hint="eastAsia" w:ascii="宋体" w:hAnsi="宋体" w:eastAsia="宋体" w:cs="宋体"/>
          <w:color w:val="auto"/>
          <w:sz w:val="32"/>
          <w:szCs w:val="32"/>
          <w:highlight w:val="none"/>
        </w:rPr>
      </w:pPr>
      <w:bookmarkStart w:id="170" w:name="_Toc30762"/>
      <w:bookmarkStart w:id="171" w:name="_Toc27908"/>
      <w:bookmarkStart w:id="172" w:name="_Toc18194"/>
      <w:bookmarkStart w:id="173" w:name="_Toc20026"/>
      <w:bookmarkStart w:id="174" w:name="_Toc4631"/>
      <w:bookmarkStart w:id="175" w:name="_Toc29426"/>
      <w:bookmarkStart w:id="176" w:name="_Toc3346"/>
      <w:bookmarkStart w:id="177" w:name="_Toc21908"/>
      <w:bookmarkStart w:id="178" w:name="_Toc15973"/>
      <w:r>
        <w:rPr>
          <w:rFonts w:hint="eastAsia" w:ascii="宋体" w:hAnsi="宋体" w:eastAsia="宋体" w:cs="宋体"/>
          <w:b/>
          <w:color w:val="auto"/>
          <w:sz w:val="32"/>
          <w:szCs w:val="32"/>
          <w:highlight w:val="none"/>
          <w:shd w:val="clear" w:color="auto" w:fill="FFFFFF"/>
        </w:rPr>
        <w:t>二、法定代表人身份证明书</w:t>
      </w:r>
      <w:bookmarkEnd w:id="170"/>
      <w:bookmarkEnd w:id="171"/>
      <w:bookmarkEnd w:id="172"/>
      <w:bookmarkEnd w:id="173"/>
      <w:bookmarkEnd w:id="174"/>
      <w:bookmarkEnd w:id="175"/>
      <w:bookmarkEnd w:id="176"/>
      <w:bookmarkEnd w:id="177"/>
      <w:bookmarkEnd w:id="178"/>
    </w:p>
    <w:p>
      <w:pPr>
        <w:pageBreakBefore w:val="0"/>
        <w:tabs>
          <w:tab w:val="right" w:pos="8306"/>
        </w:tabs>
        <w:kinsoku/>
        <w:overflowPunct/>
        <w:bidi w:val="0"/>
        <w:spacing w:line="360" w:lineRule="auto"/>
        <w:rPr>
          <w:rFonts w:hint="eastAsia" w:ascii="宋体" w:hAnsi="宋体" w:eastAsia="宋体" w:cs="宋体"/>
          <w:color w:val="auto"/>
          <w:sz w:val="24"/>
          <w:highlight w:val="none"/>
        </w:rPr>
      </w:pPr>
    </w:p>
    <w:p>
      <w:pPr>
        <w:pageBreakBefore w:val="0"/>
        <w:tabs>
          <w:tab w:val="right" w:pos="8306"/>
        </w:tabs>
        <w:kinsoku/>
        <w:overflowPunct/>
        <w:bidi w:val="0"/>
        <w:spacing w:line="360" w:lineRule="auto"/>
        <w:rPr>
          <w:rFonts w:hint="eastAsia" w:ascii="宋体" w:hAnsi="宋体" w:eastAsia="宋体" w:cs="宋体"/>
          <w:color w:val="auto"/>
          <w:sz w:val="24"/>
          <w:highlight w:val="none"/>
        </w:rPr>
      </w:pPr>
    </w:p>
    <w:p>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pageBreakBefore w:val="0"/>
        <w:tabs>
          <w:tab w:val="right" w:pos="8306"/>
        </w:tabs>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（投标人的单位名称）</w:t>
      </w:r>
      <w:r>
        <w:rPr>
          <w:rFonts w:hint="eastAsia" w:ascii="宋体" w:hAnsi="宋体" w:eastAsia="宋体" w:cs="宋体"/>
          <w:color w:val="auto"/>
          <w:sz w:val="24"/>
          <w:highlight w:val="none"/>
        </w:rPr>
        <w:t>的法定代表人。</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特此证明。</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p>
    <w:p>
      <w:pPr>
        <w:pStyle w:val="28"/>
        <w:pageBreakBefore w:val="0"/>
        <w:kinsoku/>
        <w:overflowPunct/>
        <w:bidi w:val="0"/>
        <w:spacing w:line="360" w:lineRule="auto"/>
        <w:rPr>
          <w:rFonts w:hint="eastAsia" w:ascii="宋体" w:hAnsi="宋体" w:eastAsia="宋体" w:cs="宋体"/>
          <w:color w:val="auto"/>
          <w:highlight w:val="none"/>
        </w:rPr>
      </w:pP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p>
    <w:p>
      <w:pPr>
        <w:pageBreakBefore w:val="0"/>
        <w:tabs>
          <w:tab w:val="right" w:pos="8306"/>
        </w:tabs>
        <w:kinsoku/>
        <w:overflowPunct/>
        <w:bidi w:val="0"/>
        <w:spacing w:line="360" w:lineRule="auto"/>
        <w:ind w:firstLine="28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附：法定代表人身份证复印件正、反面</w:t>
      </w:r>
    </w:p>
    <w:tbl>
      <w:tblPr>
        <w:tblStyle w:val="23"/>
        <w:tblW w:w="0" w:type="auto"/>
        <w:jc w:val="center"/>
        <w:tblLayout w:type="fixed"/>
        <w:tblCellMar>
          <w:top w:w="0" w:type="dxa"/>
          <w:left w:w="108" w:type="dxa"/>
          <w:bottom w:w="0" w:type="dxa"/>
          <w:right w:w="108" w:type="dxa"/>
        </w:tblCellMar>
      </w:tblPr>
      <w:tblGrid>
        <w:gridCol w:w="4620"/>
        <w:gridCol w:w="4305"/>
      </w:tblGrid>
      <w:tr>
        <w:tblPrEx>
          <w:tblCellMar>
            <w:top w:w="0" w:type="dxa"/>
            <w:left w:w="108" w:type="dxa"/>
            <w:bottom w:w="0" w:type="dxa"/>
            <w:right w:w="108" w:type="dxa"/>
          </w:tblCellMar>
        </w:tblPrEx>
        <w:trPr>
          <w:trHeight w:val="2918" w:hRule="atLeast"/>
          <w:jc w:val="center"/>
        </w:trPr>
        <w:tc>
          <w:tcPr>
            <w:tcW w:w="4620"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附身份证复印件正面</w:t>
            </w:r>
          </w:p>
        </w:tc>
        <w:tc>
          <w:tcPr>
            <w:tcW w:w="4305"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附身份证复印件背面</w:t>
            </w:r>
          </w:p>
        </w:tc>
      </w:tr>
    </w:tbl>
    <w:p>
      <w:pPr>
        <w:pageBreakBefore w:val="0"/>
        <w:shd w:val="solid" w:color="FFFFFF" w:fill="auto"/>
        <w:kinsoku/>
        <w:overflowPunct/>
        <w:autoSpaceDN w:val="0"/>
        <w:bidi w:val="0"/>
        <w:spacing w:line="360" w:lineRule="auto"/>
        <w:jc w:val="center"/>
        <w:outlineLvl w:val="1"/>
        <w:rPr>
          <w:rFonts w:hint="eastAsia" w:ascii="宋体" w:hAnsi="宋体" w:eastAsia="宋体" w:cs="宋体"/>
          <w:color w:val="auto"/>
          <w:sz w:val="32"/>
          <w:szCs w:val="32"/>
          <w:highlight w:val="none"/>
          <w:shd w:val="clear" w:color="auto" w:fill="FFFFFF"/>
        </w:rPr>
      </w:pPr>
      <w:r>
        <w:rPr>
          <w:rFonts w:hint="eastAsia" w:ascii="宋体" w:hAnsi="宋体" w:eastAsia="宋体" w:cs="宋体"/>
          <w:lang w:eastAsia="zh-CN"/>
        </w:rPr>
        <w:br w:type="page"/>
      </w:r>
      <w:bookmarkStart w:id="179" w:name="_Toc13993"/>
      <w:bookmarkStart w:id="180" w:name="_Toc16570"/>
      <w:bookmarkStart w:id="181" w:name="_Toc11455"/>
      <w:bookmarkStart w:id="182" w:name="_Toc8354"/>
      <w:bookmarkStart w:id="183" w:name="_Toc28784"/>
      <w:bookmarkStart w:id="184" w:name="_Toc2956"/>
      <w:bookmarkStart w:id="185" w:name="_Toc15027"/>
      <w:r>
        <w:rPr>
          <w:rFonts w:hint="eastAsia" w:ascii="宋体" w:hAnsi="宋体" w:eastAsia="宋体" w:cs="宋体"/>
          <w:b/>
          <w:color w:val="auto"/>
          <w:sz w:val="32"/>
          <w:szCs w:val="32"/>
          <w:highlight w:val="none"/>
          <w:shd w:val="clear" w:color="auto" w:fill="FFFFFF"/>
        </w:rPr>
        <w:t>三、法定代表人授权</w:t>
      </w:r>
      <w:r>
        <w:rPr>
          <w:rFonts w:hint="eastAsia" w:ascii="宋体" w:hAnsi="宋体" w:eastAsia="宋体" w:cs="宋体"/>
          <w:b/>
          <w:color w:val="auto"/>
          <w:sz w:val="32"/>
          <w:szCs w:val="32"/>
          <w:highlight w:val="none"/>
          <w:shd w:val="clear" w:color="auto" w:fill="FFFFFF"/>
          <w:lang w:val="en-US" w:eastAsia="zh-CN"/>
        </w:rPr>
        <w:t>委托</w:t>
      </w:r>
      <w:r>
        <w:rPr>
          <w:rFonts w:hint="eastAsia" w:ascii="宋体" w:hAnsi="宋体" w:eastAsia="宋体" w:cs="宋体"/>
          <w:b/>
          <w:color w:val="auto"/>
          <w:sz w:val="32"/>
          <w:szCs w:val="32"/>
          <w:highlight w:val="none"/>
          <w:shd w:val="clear" w:color="auto" w:fill="FFFFFF"/>
        </w:rPr>
        <w:t>书</w:t>
      </w:r>
      <w:bookmarkEnd w:id="179"/>
      <w:bookmarkEnd w:id="180"/>
      <w:bookmarkEnd w:id="181"/>
      <w:bookmarkEnd w:id="182"/>
      <w:bookmarkEnd w:id="183"/>
      <w:bookmarkEnd w:id="184"/>
      <w:bookmarkEnd w:id="185"/>
    </w:p>
    <w:p>
      <w:pPr>
        <w:pageBreakBefore w:val="0"/>
        <w:shd w:val="solid" w:color="FFFFFF" w:fill="auto"/>
        <w:kinsoku/>
        <w:overflowPunct/>
        <w:autoSpaceDN w:val="0"/>
        <w:bidi w:val="0"/>
        <w:spacing w:line="360" w:lineRule="auto"/>
        <w:rPr>
          <w:rFonts w:hint="eastAsia" w:ascii="宋体" w:hAnsi="宋体" w:eastAsia="宋体" w:cs="宋体"/>
          <w:color w:val="auto"/>
          <w:highlight w:val="none"/>
          <w:shd w:val="clear" w:color="auto" w:fill="FFFFFF"/>
        </w:rPr>
      </w:pPr>
      <w:r>
        <w:rPr>
          <w:rFonts w:hint="eastAsia" w:ascii="宋体" w:hAnsi="宋体" w:eastAsia="宋体" w:cs="宋体"/>
          <w:b/>
          <w:color w:val="auto"/>
          <w:highlight w:val="none"/>
          <w:shd w:val="clear" w:color="auto" w:fill="FFFFFF"/>
        </w:rPr>
        <w:t xml:space="preserve"> </w:t>
      </w:r>
    </w:p>
    <w:p>
      <w:pPr>
        <w:pageBreakBefore w:val="0"/>
        <w:kinsoku/>
        <w:overflowPunct/>
        <w:bidi w:val="0"/>
        <w:spacing w:before="10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（法定代表人姓名）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cs="宋体"/>
          <w:color w:val="auto"/>
          <w:sz w:val="24"/>
          <w:szCs w:val="20"/>
          <w:highlight w:val="none"/>
          <w:shd w:val="clear" w:color="auto" w:fill="FFFFFF"/>
          <w:lang w:eastAsia="zh-CN"/>
        </w:rPr>
        <w:t>珠江流域（玉溪段）生态环境监测能力提升项目</w:t>
      </w:r>
      <w:r>
        <w:rPr>
          <w:rFonts w:hint="eastAsia" w:ascii="宋体" w:hAnsi="宋体" w:eastAsia="宋体" w:cs="宋体"/>
          <w:color w:val="auto"/>
          <w:sz w:val="24"/>
          <w:szCs w:val="20"/>
          <w:highlight w:val="none"/>
          <w:u w:val="single"/>
          <w:shd w:val="clear" w:color="auto" w:fill="FFFFFF"/>
          <w:lang w:val="en-US" w:eastAsia="zh-CN"/>
        </w:rPr>
        <w:t xml:space="preserve">    </w:t>
      </w:r>
      <w:r>
        <w:rPr>
          <w:rFonts w:hint="eastAsia" w:ascii="宋体" w:hAnsi="宋体" w:eastAsia="宋体" w:cs="宋体"/>
          <w:color w:val="auto"/>
          <w:sz w:val="24"/>
          <w:szCs w:val="20"/>
          <w:highlight w:val="none"/>
          <w:shd w:val="clear" w:color="auto" w:fill="FFFFFF"/>
          <w:lang w:val="en-US" w:eastAsia="zh-CN"/>
        </w:rPr>
        <w:t>包</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文件、签订合同和处理有关事宜，其法律后果由我方承担。</w:t>
      </w:r>
    </w:p>
    <w:p>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ageBreakBefore w:val="0"/>
        <w:shd w:val="solid" w:color="FFFFFF" w:fill="auto"/>
        <w:kinsoku/>
        <w:overflowPunct/>
        <w:autoSpaceDN w:val="0"/>
        <w:bidi w:val="0"/>
        <w:spacing w:line="360"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 xml:space="preserve"> </w:t>
      </w:r>
    </w:p>
    <w:p>
      <w:pPr>
        <w:pageBreakBefore w:val="0"/>
        <w:kinsoku/>
        <w:overflowPunct/>
        <w:bidi w:val="0"/>
        <w:spacing w:line="360" w:lineRule="auto"/>
        <w:ind w:right="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pPr>
        <w:pageBreakBefore w:val="0"/>
        <w:kinsoku/>
        <w:overflowPunct/>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（电子签章或电子签名）</w:t>
      </w:r>
    </w:p>
    <w:p>
      <w:pPr>
        <w:pageBreakBefore w:val="0"/>
        <w:kinsoku/>
        <w:wordWrap w:val="0"/>
        <w:overflowPunct/>
        <w:bidi w:val="0"/>
        <w:spacing w:line="360" w:lineRule="auto"/>
        <w:ind w:left="3780" w:left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p>
    <w:p>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p>
    <w:p>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联系电话(手机)：</w:t>
      </w:r>
      <w:r>
        <w:rPr>
          <w:rFonts w:hint="eastAsia" w:ascii="宋体" w:hAnsi="宋体" w:eastAsia="宋体" w:cs="宋体"/>
          <w:color w:val="auto"/>
          <w:sz w:val="24"/>
          <w:highlight w:val="none"/>
          <w:u w:val="single"/>
        </w:rPr>
        <w:t xml:space="preserve">                   </w:t>
      </w:r>
    </w:p>
    <w:p>
      <w:pPr>
        <w:pageBreakBefore w:val="0"/>
        <w:kinsoku/>
        <w:overflowPunct/>
        <w:bidi w:val="0"/>
        <w:spacing w:line="360" w:lineRule="auto"/>
        <w:ind w:right="42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座机：</w:t>
      </w:r>
      <w:r>
        <w:rPr>
          <w:rFonts w:hint="eastAsia" w:ascii="宋体" w:hAnsi="宋体" w:eastAsia="宋体" w:cs="宋体"/>
          <w:color w:val="auto"/>
          <w:sz w:val="24"/>
          <w:highlight w:val="none"/>
          <w:u w:val="single"/>
        </w:rPr>
        <w:t xml:space="preserve">                             </w:t>
      </w:r>
    </w:p>
    <w:p>
      <w:pPr>
        <w:pStyle w:val="28"/>
        <w:pageBreakBefore w:val="0"/>
        <w:kinsoku/>
        <w:overflowPunct/>
        <w:bidi w:val="0"/>
        <w:spacing w:line="360" w:lineRule="auto"/>
        <w:jc w:val="right"/>
        <w:rPr>
          <w:rFonts w:hint="eastAsia" w:ascii="宋体" w:hAnsi="宋体" w:eastAsia="宋体" w:cs="宋体"/>
          <w:color w:val="auto"/>
          <w:highlight w:val="none"/>
          <w:u w:val="single"/>
        </w:rPr>
      </w:pPr>
    </w:p>
    <w:p>
      <w:pPr>
        <w:pStyle w:val="28"/>
        <w:pageBreakBefore w:val="0"/>
        <w:kinsoku/>
        <w:overflowPunct/>
        <w:bidi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pStyle w:val="28"/>
        <w:pageBreakBefore w:val="0"/>
        <w:kinsoku/>
        <w:overflowPunct/>
        <w:bidi w:val="0"/>
        <w:spacing w:line="360" w:lineRule="auto"/>
        <w:jc w:val="right"/>
        <w:rPr>
          <w:rFonts w:hint="eastAsia" w:ascii="宋体" w:hAnsi="宋体" w:eastAsia="宋体" w:cs="宋体"/>
          <w:color w:val="auto"/>
          <w:highlight w:val="none"/>
        </w:rPr>
      </w:pPr>
    </w:p>
    <w:p>
      <w:pPr>
        <w:pageBreakBefore w:val="0"/>
        <w:shd w:val="solid" w:color="FFFFFF" w:fill="auto"/>
        <w:kinsoku/>
        <w:overflowPunct/>
        <w:autoSpaceDN w:val="0"/>
        <w:bidi w:val="0"/>
        <w:spacing w:line="360" w:lineRule="auto"/>
        <w:ind w:firstLine="480"/>
        <w:rPr>
          <w:rFonts w:hint="eastAsia" w:ascii="宋体" w:hAnsi="宋体" w:eastAsia="宋体" w:cs="宋体"/>
          <w:color w:val="auto"/>
          <w:sz w:val="24"/>
          <w:highlight w:val="none"/>
          <w:shd w:val="clear" w:color="auto" w:fill="FFFFFF"/>
        </w:rPr>
      </w:pPr>
    </w:p>
    <w:p>
      <w:pPr>
        <w:pageBreakBefore w:val="0"/>
        <w:tabs>
          <w:tab w:val="right" w:pos="8306"/>
        </w:tabs>
        <w:kinsoku/>
        <w:overflowPunct/>
        <w:bidi w:val="0"/>
        <w:spacing w:line="360" w:lineRule="auto"/>
        <w:ind w:left="106" w:firstLine="603"/>
        <w:rPr>
          <w:rFonts w:hint="eastAsia" w:ascii="宋体" w:hAnsi="宋体" w:eastAsia="宋体" w:cs="宋体"/>
          <w:color w:val="auto"/>
          <w:sz w:val="28"/>
          <w:szCs w:val="28"/>
          <w:highlight w:val="none"/>
        </w:rPr>
      </w:pPr>
      <w:r>
        <w:rPr>
          <w:rFonts w:hint="eastAsia" w:ascii="宋体" w:hAnsi="宋体" w:eastAsia="宋体" w:cs="宋体"/>
          <w:b/>
          <w:color w:val="auto"/>
          <w:highlight w:val="none"/>
          <w:shd w:val="clear" w:color="auto" w:fill="FFFFFF"/>
        </w:rPr>
        <w:t xml:space="preserve"> </w:t>
      </w:r>
      <w:r>
        <w:rPr>
          <w:rFonts w:hint="eastAsia" w:ascii="宋体" w:hAnsi="宋体" w:eastAsia="宋体" w:cs="宋体"/>
          <w:b/>
          <w:color w:val="auto"/>
          <w:sz w:val="24"/>
          <w:highlight w:val="none"/>
        </w:rPr>
        <w:t>附：代理人身份证复印件正、反面</w:t>
      </w:r>
    </w:p>
    <w:tbl>
      <w:tblPr>
        <w:tblStyle w:val="23"/>
        <w:tblW w:w="9018" w:type="dxa"/>
        <w:jc w:val="center"/>
        <w:tblLayout w:type="fixed"/>
        <w:tblCellMar>
          <w:top w:w="0" w:type="dxa"/>
          <w:left w:w="108" w:type="dxa"/>
          <w:bottom w:w="0" w:type="dxa"/>
          <w:right w:w="108" w:type="dxa"/>
        </w:tblCellMar>
      </w:tblPr>
      <w:tblGrid>
        <w:gridCol w:w="4620"/>
        <w:gridCol w:w="4398"/>
      </w:tblGrid>
      <w:tr>
        <w:tblPrEx>
          <w:tblCellMar>
            <w:top w:w="0" w:type="dxa"/>
            <w:left w:w="108" w:type="dxa"/>
            <w:bottom w:w="0" w:type="dxa"/>
            <w:right w:w="108" w:type="dxa"/>
          </w:tblCellMar>
        </w:tblPrEx>
        <w:trPr>
          <w:trHeight w:val="2918" w:hRule="atLeast"/>
          <w:jc w:val="center"/>
        </w:trPr>
        <w:tc>
          <w:tcPr>
            <w:tcW w:w="4620"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附身份证复印件正面</w:t>
            </w:r>
          </w:p>
        </w:tc>
        <w:tc>
          <w:tcPr>
            <w:tcW w:w="439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p>
          <w:p>
            <w:pPr>
              <w:pageBreakBefore w:val="0"/>
              <w:kinsoku/>
              <w:overflowPunct/>
              <w:bidi w:val="0"/>
              <w:spacing w:line="360" w:lineRule="auto"/>
              <w:jc w:val="center"/>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附身份证复印件背面</w:t>
            </w:r>
          </w:p>
        </w:tc>
      </w:tr>
    </w:tbl>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lang w:eastAsia="zh-Hans"/>
        </w:rPr>
      </w:pPr>
      <w:bookmarkStart w:id="186" w:name="_Toc29093"/>
      <w:bookmarkStart w:id="187" w:name="_Toc32386"/>
      <w:bookmarkStart w:id="188" w:name="_Toc1685"/>
      <w:bookmarkStart w:id="189" w:name="_Toc28810"/>
      <w:bookmarkStart w:id="190" w:name="_Toc8967"/>
    </w:p>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bookmarkStart w:id="191" w:name="_Toc32546"/>
      <w:bookmarkStart w:id="192" w:name="_Toc2211"/>
      <w:bookmarkStart w:id="193" w:name="_Toc25938"/>
      <w:bookmarkStart w:id="194" w:name="_Toc18592"/>
      <w:r>
        <w:rPr>
          <w:rFonts w:hint="eastAsia" w:ascii="宋体" w:hAnsi="宋体" w:eastAsia="宋体" w:cs="宋体"/>
          <w:b/>
          <w:color w:val="auto"/>
          <w:sz w:val="32"/>
          <w:szCs w:val="32"/>
          <w:highlight w:val="none"/>
          <w:shd w:val="clear" w:color="auto" w:fill="FFFFFF"/>
          <w:lang w:eastAsia="zh-Hans"/>
        </w:rPr>
        <w:t>四</w:t>
      </w:r>
      <w:r>
        <w:rPr>
          <w:rFonts w:hint="eastAsia" w:ascii="宋体" w:hAnsi="宋体" w:eastAsia="宋体" w:cs="宋体"/>
          <w:b/>
          <w:color w:val="auto"/>
          <w:sz w:val="32"/>
          <w:szCs w:val="32"/>
          <w:highlight w:val="none"/>
          <w:shd w:val="clear" w:color="auto" w:fill="FFFFFF"/>
        </w:rPr>
        <w:t>、投标保证金缴纳凭证</w:t>
      </w:r>
      <w:bookmarkEnd w:id="186"/>
      <w:bookmarkEnd w:id="187"/>
      <w:bookmarkEnd w:id="188"/>
      <w:bookmarkEnd w:id="189"/>
      <w:bookmarkEnd w:id="190"/>
      <w:bookmarkEnd w:id="191"/>
      <w:bookmarkEnd w:id="192"/>
      <w:bookmarkEnd w:id="193"/>
      <w:bookmarkEnd w:id="194"/>
    </w:p>
    <w:p>
      <w:pPr>
        <w:pageBreakBefore w:val="0"/>
        <w:shd w:val="solid" w:color="FFFFFF" w:fill="auto"/>
        <w:kinsoku/>
        <w:overflowPunct/>
        <w:autoSpaceDN w:val="0"/>
        <w:bidi w:val="0"/>
        <w:spacing w:line="360" w:lineRule="auto"/>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32"/>
          <w:szCs w:val="32"/>
          <w:highlight w:val="none"/>
          <w:shd w:val="clear" w:color="auto" w:fill="FFFFFF"/>
        </w:rPr>
        <w:t xml:space="preserve">        </w:t>
      </w:r>
      <w:r>
        <w:rPr>
          <w:rFonts w:hint="eastAsia" w:ascii="宋体" w:hAnsi="宋体" w:eastAsia="宋体" w:cs="宋体"/>
          <w:b/>
          <w:color w:val="auto"/>
          <w:sz w:val="24"/>
          <w:highlight w:val="none"/>
          <w:shd w:val="clear" w:color="auto" w:fill="FFFFFF"/>
        </w:rPr>
        <w:t xml:space="preserve">                </w:t>
      </w:r>
      <w:bookmarkStart w:id="195" w:name="_Toc13266"/>
      <w:bookmarkStart w:id="196" w:name="_Toc13221"/>
    </w:p>
    <w:bookmarkEnd w:id="195"/>
    <w:bookmarkEnd w:id="196"/>
    <w:p>
      <w:pPr>
        <w:pageBreakBefore w:val="0"/>
        <w:shd w:val="solid" w:color="FFFFFF" w:fill="auto"/>
        <w:kinsoku/>
        <w:overflowPunct/>
        <w:autoSpaceDN w:val="0"/>
        <w:bidi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（一）投标保证金</w:t>
      </w:r>
      <w:r>
        <w:rPr>
          <w:rFonts w:hint="eastAsia" w:ascii="宋体" w:hAnsi="宋体" w:eastAsia="宋体" w:cs="宋体"/>
          <w:bCs/>
          <w:color w:val="auto"/>
          <w:sz w:val="24"/>
          <w:highlight w:val="none"/>
          <w:lang w:val="en-US" w:eastAsia="zh-CN"/>
        </w:rPr>
        <w:t>银行转账</w:t>
      </w:r>
      <w:r>
        <w:rPr>
          <w:rFonts w:hint="eastAsia" w:ascii="宋体" w:hAnsi="宋体" w:eastAsia="宋体" w:cs="宋体"/>
          <w:bCs/>
          <w:color w:val="auto"/>
          <w:sz w:val="24"/>
          <w:highlight w:val="none"/>
        </w:rPr>
        <w:t>凭证或银行保函或保险单或</w:t>
      </w:r>
      <w:r>
        <w:rPr>
          <w:rFonts w:hint="eastAsia" w:ascii="宋体" w:hAnsi="宋体" w:eastAsia="宋体" w:cs="宋体"/>
          <w:bCs/>
          <w:color w:val="auto"/>
          <w:sz w:val="24"/>
          <w:highlight w:val="none"/>
          <w:lang w:val="en-US" w:eastAsia="zh-CN"/>
        </w:rPr>
        <w:t>其他凭证（如支票、汇票、本票等非现金形式提交的凭证）</w:t>
      </w:r>
      <w:r>
        <w:rPr>
          <w:rFonts w:hint="eastAsia" w:ascii="宋体" w:hAnsi="宋体" w:eastAsia="宋体" w:cs="宋体"/>
          <w:bCs/>
          <w:color w:val="auto"/>
          <w:sz w:val="24"/>
          <w:highlight w:val="none"/>
        </w:rPr>
        <w:t>；</w:t>
      </w:r>
    </w:p>
    <w:p>
      <w:pPr>
        <w:pageBreakBefore w:val="0"/>
        <w:shd w:val="solid" w:color="FFFFFF" w:fill="auto"/>
        <w:kinsoku/>
        <w:overflowPunct/>
        <w:autoSpaceDN w:val="0"/>
        <w:bidi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（附扫描件或复印件）</w:t>
      </w:r>
    </w:p>
    <w:p>
      <w:pPr>
        <w:pageBreakBefore w:val="0"/>
        <w:shd w:val="solid" w:color="FFFFFF" w:fill="auto"/>
        <w:kinsoku/>
        <w:overflowPunct/>
        <w:autoSpaceDN w:val="0"/>
        <w:bidi w:val="0"/>
        <w:spacing w:line="360" w:lineRule="auto"/>
        <w:rPr>
          <w:rFonts w:hint="eastAsia" w:ascii="宋体" w:hAnsi="宋体" w:eastAsia="宋体" w:cs="宋体"/>
          <w:bCs/>
          <w:color w:val="auto"/>
          <w:sz w:val="24"/>
          <w:highlight w:val="none"/>
        </w:rPr>
      </w:pPr>
    </w:p>
    <w:p>
      <w:pPr>
        <w:pageBreakBefore w:val="0"/>
        <w:numPr>
          <w:ilvl w:val="0"/>
          <w:numId w:val="9"/>
        </w:numPr>
        <w:shd w:val="solid" w:color="FFFFFF" w:fill="auto"/>
        <w:kinsoku/>
        <w:overflowPunct/>
        <w:autoSpaceDN w:val="0"/>
        <w:bidi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基本存款账户信息或开户许可证</w:t>
      </w:r>
    </w:p>
    <w:p>
      <w:pPr>
        <w:pStyle w:val="5"/>
        <w:pageBreakBefore w:val="0"/>
        <w:kinsoku/>
        <w:overflowPunct/>
        <w:bidi w:val="0"/>
        <w:spacing w:line="360" w:lineRule="auto"/>
        <w:jc w:val="both"/>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（附扫描件或复印件</w:t>
      </w:r>
      <w:r>
        <w:rPr>
          <w:rFonts w:hint="eastAsia" w:ascii="宋体" w:hAnsi="宋体" w:eastAsia="宋体" w:cs="宋体"/>
          <w:bCs/>
          <w:color w:val="auto"/>
          <w:sz w:val="24"/>
          <w:highlight w:val="none"/>
          <w:lang w:eastAsia="zh-CN"/>
        </w:rPr>
        <w:t>）</w:t>
      </w:r>
    </w:p>
    <w:p>
      <w:pPr>
        <w:pageBreakBefore w:val="0"/>
        <w:kinsoku/>
        <w:overflowPunct/>
        <w:bidi w:val="0"/>
        <w:spacing w:line="360" w:lineRule="auto"/>
        <w:rPr>
          <w:rFonts w:hint="eastAsia" w:ascii="宋体" w:hAnsi="宋体" w:eastAsia="宋体" w:cs="宋体"/>
          <w:bCs/>
          <w:color w:val="auto"/>
          <w:sz w:val="24"/>
          <w:highlight w:val="none"/>
          <w:lang w:eastAsia="zh-CN"/>
        </w:rPr>
      </w:pPr>
    </w:p>
    <w:p>
      <w:pPr>
        <w:pageBreakBefore w:val="0"/>
        <w:kinsoku/>
        <w:overflowPunct/>
        <w:bidi w:val="0"/>
        <w:spacing w:line="360" w:lineRule="auto"/>
        <w:jc w:val="center"/>
        <w:outlineLvl w:val="1"/>
        <w:rPr>
          <w:rFonts w:hint="eastAsia" w:ascii="宋体" w:hAnsi="宋体" w:eastAsia="宋体" w:cs="宋体"/>
          <w:b/>
          <w:color w:val="auto"/>
          <w:sz w:val="32"/>
          <w:szCs w:val="32"/>
          <w:highlight w:val="none"/>
          <w:shd w:val="clear" w:color="auto" w:fill="FFFFFF"/>
        </w:rPr>
      </w:pPr>
      <w:r>
        <w:rPr>
          <w:rFonts w:hint="eastAsia" w:ascii="宋体" w:hAnsi="宋体" w:eastAsia="宋体" w:cs="宋体"/>
          <w:lang w:eastAsia="zh-CN"/>
        </w:rPr>
        <w:br w:type="page"/>
      </w:r>
      <w:bookmarkStart w:id="197" w:name="_Toc688"/>
      <w:bookmarkStart w:id="198" w:name="_Toc29370"/>
      <w:bookmarkStart w:id="199" w:name="_Toc27737"/>
      <w:bookmarkStart w:id="200" w:name="_Toc15146"/>
      <w:r>
        <w:rPr>
          <w:rFonts w:hint="eastAsia" w:ascii="宋体" w:hAnsi="宋体" w:eastAsia="宋体" w:cs="宋体"/>
          <w:b/>
          <w:color w:val="auto"/>
          <w:sz w:val="32"/>
          <w:szCs w:val="32"/>
          <w:highlight w:val="none"/>
          <w:shd w:val="clear" w:color="auto" w:fill="FFFFFF"/>
          <w:lang w:eastAsia="zh-Hans"/>
        </w:rPr>
        <w:t>五</w:t>
      </w:r>
      <w:r>
        <w:rPr>
          <w:rFonts w:hint="eastAsia" w:ascii="宋体" w:hAnsi="宋体" w:eastAsia="宋体" w:cs="宋体"/>
          <w:b/>
          <w:color w:val="auto"/>
          <w:sz w:val="32"/>
          <w:szCs w:val="32"/>
          <w:highlight w:val="none"/>
          <w:shd w:val="clear" w:color="auto" w:fill="FFFFFF"/>
        </w:rPr>
        <w:t>、</w:t>
      </w:r>
      <w:r>
        <w:rPr>
          <w:rFonts w:hint="eastAsia" w:ascii="宋体" w:hAnsi="宋体" w:eastAsia="宋体" w:cs="宋体"/>
          <w:b/>
          <w:bCs/>
          <w:color w:val="auto"/>
          <w:sz w:val="32"/>
          <w:szCs w:val="32"/>
          <w:highlight w:val="none"/>
        </w:rPr>
        <w:t>投标报价一览表</w:t>
      </w:r>
      <w:bookmarkEnd w:id="197"/>
      <w:bookmarkEnd w:id="198"/>
      <w:bookmarkEnd w:id="199"/>
      <w:bookmarkEnd w:id="200"/>
    </w:p>
    <w:p>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p>
    <w:p>
      <w:pPr>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p>
    <w:tbl>
      <w:tblPr>
        <w:tblStyle w:val="23"/>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1690" w:type="dxa"/>
            <w:noWrap w:val="0"/>
            <w:vAlign w:val="center"/>
          </w:tcPr>
          <w:p>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7436" w:type="dxa"/>
            <w:noWrap w:val="0"/>
            <w:vAlign w:val="center"/>
          </w:tcPr>
          <w:p>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1690" w:type="dxa"/>
            <w:vMerge w:val="restart"/>
            <w:noWrap w:val="0"/>
            <w:vAlign w:val="center"/>
          </w:tcPr>
          <w:p>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w:t>
            </w:r>
          </w:p>
        </w:tc>
        <w:tc>
          <w:tcPr>
            <w:tcW w:w="7436" w:type="dxa"/>
            <w:noWrap w:val="0"/>
            <w:vAlign w:val="center"/>
          </w:tcPr>
          <w:p>
            <w:pPr>
              <w:pageBreakBefore w:val="0"/>
              <w:tabs>
                <w:tab w:val="left" w:pos="5468"/>
              </w:tabs>
              <w:kinsoku/>
              <w:overflowPunct/>
              <w:bidi w:val="0"/>
              <w:spacing w:line="360" w:lineRule="auto"/>
              <w:ind w:firstLine="28" w:firstLine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lang w:val="en-US" w:eastAsia="zh-CN"/>
              </w:rPr>
              <w:t>人民币</w:t>
            </w:r>
            <w:r>
              <w:rPr>
                <w:rFonts w:hint="eastAsia" w:ascii="宋体" w:hAnsi="宋体" w:eastAsia="宋体"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1690" w:type="dxa"/>
            <w:vMerge w:val="continue"/>
            <w:noWrap w:val="0"/>
            <w:vAlign w:val="center"/>
          </w:tcPr>
          <w:p>
            <w:pPr>
              <w:pageBreakBefore w:val="0"/>
              <w:kinsoku/>
              <w:overflowPunct/>
              <w:bidi w:val="0"/>
              <w:spacing w:before="120" w:after="120" w:line="360" w:lineRule="auto"/>
              <w:jc w:val="center"/>
              <w:rPr>
                <w:rFonts w:hint="eastAsia" w:ascii="宋体" w:hAnsi="宋体" w:eastAsia="宋体" w:cs="宋体"/>
                <w:color w:val="auto"/>
                <w:sz w:val="24"/>
                <w:highlight w:val="none"/>
              </w:rPr>
            </w:pPr>
          </w:p>
        </w:tc>
        <w:tc>
          <w:tcPr>
            <w:tcW w:w="7436" w:type="dxa"/>
            <w:noWrap w:val="0"/>
            <w:vAlign w:val="center"/>
          </w:tcPr>
          <w:p>
            <w:pPr>
              <w:pageBreakBefore w:val="0"/>
              <w:tabs>
                <w:tab w:val="left" w:pos="5468"/>
              </w:tabs>
              <w:kinsoku/>
              <w:overflowPunct/>
              <w:bidi w:val="0"/>
              <w:spacing w:line="360" w:lineRule="auto"/>
              <w:ind w:firstLine="28" w:firstLine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690" w:type="dxa"/>
            <w:noWrap w:val="0"/>
            <w:vAlign w:val="center"/>
          </w:tcPr>
          <w:p>
            <w:pPr>
              <w:pageBreakBefore w:val="0"/>
              <w:kinsoku/>
              <w:overflowPunct/>
              <w:bidi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交货期</w:t>
            </w:r>
          </w:p>
        </w:tc>
        <w:tc>
          <w:tcPr>
            <w:tcW w:w="7436" w:type="dxa"/>
            <w:noWrap w:val="0"/>
            <w:vAlign w:val="center"/>
          </w:tcPr>
          <w:p>
            <w:pPr>
              <w:pageBreakBefore w:val="0"/>
              <w:tabs>
                <w:tab w:val="left" w:pos="5468"/>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签订合同后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日历天内完成安装、调试、验收合格并交付使用。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690" w:type="dxa"/>
            <w:noWrap w:val="0"/>
            <w:vAlign w:val="center"/>
          </w:tcPr>
          <w:p>
            <w:pPr>
              <w:pageBreakBefore w:val="0"/>
              <w:kinsoku/>
              <w:overflowPunct/>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7436" w:type="dxa"/>
            <w:noWrap w:val="0"/>
            <w:vAlign w:val="center"/>
          </w:tcPr>
          <w:p>
            <w:pPr>
              <w:pageBreakBefore w:val="0"/>
              <w:tabs>
                <w:tab w:val="left" w:pos="5468"/>
              </w:tabs>
              <w:kinsoku/>
              <w:overflowPunct/>
              <w:bidi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玉溪市生态环境局</w:t>
            </w:r>
            <w:r>
              <w:rPr>
                <w:rFonts w:hint="eastAsia" w:ascii="宋体" w:hAnsi="宋体" w:eastAsia="宋体" w:cs="宋体"/>
                <w:color w:val="auto"/>
                <w:sz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690" w:type="dxa"/>
            <w:noWrap w:val="0"/>
            <w:vAlign w:val="center"/>
          </w:tcPr>
          <w:p>
            <w:pPr>
              <w:pageBreakBefore w:val="0"/>
              <w:kinsoku/>
              <w:overflowPunct/>
              <w:bidi w:val="0"/>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其它</w:t>
            </w:r>
          </w:p>
        </w:tc>
        <w:tc>
          <w:tcPr>
            <w:tcW w:w="7436" w:type="dxa"/>
            <w:noWrap w:val="0"/>
            <w:vAlign w:val="center"/>
          </w:tcPr>
          <w:p>
            <w:pPr>
              <w:pageBreakBefore w:val="0"/>
              <w:tabs>
                <w:tab w:val="left" w:pos="5468"/>
              </w:tabs>
              <w:kinsoku/>
              <w:overflowPunct/>
              <w:bidi w:val="0"/>
              <w:spacing w:line="360" w:lineRule="auto"/>
              <w:rPr>
                <w:rFonts w:hint="eastAsia" w:ascii="宋体" w:hAnsi="宋体" w:eastAsia="宋体" w:cs="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690" w:type="dxa"/>
            <w:noWrap w:val="0"/>
            <w:vAlign w:val="center"/>
          </w:tcPr>
          <w:p>
            <w:pPr>
              <w:pageBreakBefore w:val="0"/>
              <w:kinsoku/>
              <w:overflowPunct/>
              <w:bidi w:val="0"/>
              <w:spacing w:before="120" w:after="1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436" w:type="dxa"/>
            <w:noWrap w:val="0"/>
            <w:vAlign w:val="center"/>
          </w:tcPr>
          <w:p>
            <w:pPr>
              <w:pageBreakBefore w:val="0"/>
              <w:kinsoku/>
              <w:overflowPunct/>
              <w:bidi w:val="0"/>
              <w:spacing w:before="120" w:after="120" w:line="360" w:lineRule="auto"/>
              <w:rPr>
                <w:rFonts w:hint="eastAsia" w:ascii="宋体" w:hAnsi="宋体" w:eastAsia="宋体" w:cs="宋体"/>
                <w:color w:val="auto"/>
                <w:sz w:val="24"/>
                <w:highlight w:val="none"/>
              </w:rPr>
            </w:pPr>
          </w:p>
        </w:tc>
      </w:tr>
    </w:tbl>
    <w:p>
      <w:pPr>
        <w:pageBreakBefore w:val="0"/>
        <w:kinsoku/>
        <w:overflowPunct/>
        <w:bidi w:val="0"/>
        <w:spacing w:line="360" w:lineRule="auto"/>
        <w:rPr>
          <w:rFonts w:hint="eastAsia" w:ascii="宋体" w:hAnsi="宋体" w:eastAsia="宋体" w:cs="宋体"/>
          <w:color w:val="auto"/>
          <w:sz w:val="24"/>
          <w:highlight w:val="none"/>
        </w:rPr>
      </w:pPr>
    </w:p>
    <w:p>
      <w:pPr>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注：投标报价币种：按人民币报价。</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Style w:val="5"/>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ageBreakBefore w:val="0"/>
        <w:shd w:val="solid" w:color="FFFFFF" w:fill="auto"/>
        <w:kinsoku/>
        <w:overflowPunct/>
        <w:autoSpaceDN w:val="0"/>
        <w:bidi w:val="0"/>
        <w:spacing w:line="360" w:lineRule="auto"/>
        <w:jc w:val="center"/>
        <w:outlineLvl w:val="1"/>
        <w:rPr>
          <w:rFonts w:hint="eastAsia" w:ascii="宋体" w:hAnsi="宋体" w:eastAsia="宋体" w:cs="宋体"/>
          <w:color w:val="auto"/>
          <w:sz w:val="32"/>
          <w:szCs w:val="32"/>
          <w:highlight w:val="none"/>
          <w:shd w:val="clear" w:color="auto" w:fill="FFFFFF"/>
        </w:rPr>
      </w:pPr>
      <w:r>
        <w:rPr>
          <w:rFonts w:hint="eastAsia" w:ascii="宋体" w:hAnsi="宋体" w:eastAsia="宋体" w:cs="宋体"/>
          <w:color w:val="auto"/>
          <w:sz w:val="24"/>
          <w:highlight w:val="none"/>
        </w:rPr>
        <w:br w:type="page"/>
      </w:r>
      <w:bookmarkStart w:id="201" w:name="_Toc10809"/>
      <w:bookmarkStart w:id="202" w:name="_Toc30702"/>
      <w:bookmarkStart w:id="203" w:name="_Toc19158"/>
      <w:bookmarkStart w:id="204" w:name="_Toc22875"/>
      <w:r>
        <w:rPr>
          <w:rFonts w:hint="eastAsia" w:ascii="宋体" w:hAnsi="宋体" w:eastAsia="宋体" w:cs="宋体"/>
          <w:b/>
          <w:color w:val="auto"/>
          <w:sz w:val="32"/>
          <w:szCs w:val="32"/>
          <w:highlight w:val="none"/>
          <w:shd w:val="clear" w:color="auto" w:fill="FFFFFF"/>
        </w:rPr>
        <w:t>六、分项报价明细表</w:t>
      </w:r>
      <w:bookmarkEnd w:id="201"/>
      <w:bookmarkEnd w:id="202"/>
      <w:bookmarkEnd w:id="203"/>
      <w:bookmarkEnd w:id="204"/>
    </w:p>
    <w:p>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p>
    <w:p>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u w:val="single"/>
        </w:rPr>
        <w:t xml:space="preserve"> </w:t>
      </w:r>
    </w:p>
    <w:tbl>
      <w:tblPr>
        <w:tblStyle w:val="23"/>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330"/>
        <w:gridCol w:w="734"/>
        <w:gridCol w:w="756"/>
        <w:gridCol w:w="785"/>
        <w:gridCol w:w="834"/>
        <w:gridCol w:w="673"/>
        <w:gridCol w:w="913"/>
        <w:gridCol w:w="1121"/>
        <w:gridCol w:w="758"/>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61"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1330"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设备</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产品</w:t>
            </w:r>
            <w:r>
              <w:rPr>
                <w:rFonts w:hint="eastAsia" w:ascii="宋体" w:hAnsi="宋体" w:eastAsia="宋体" w:cs="宋体"/>
                <w:bCs/>
                <w:color w:val="auto"/>
                <w:sz w:val="22"/>
                <w:highlight w:val="none"/>
              </w:rPr>
              <w:t>）名称</w:t>
            </w:r>
          </w:p>
        </w:tc>
        <w:tc>
          <w:tcPr>
            <w:tcW w:w="734"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厂家</w:t>
            </w:r>
          </w:p>
        </w:tc>
        <w:tc>
          <w:tcPr>
            <w:tcW w:w="756"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品牌</w:t>
            </w:r>
          </w:p>
        </w:tc>
        <w:tc>
          <w:tcPr>
            <w:tcW w:w="785"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型号</w:t>
            </w:r>
          </w:p>
        </w:tc>
        <w:tc>
          <w:tcPr>
            <w:tcW w:w="834"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数量</w:t>
            </w:r>
          </w:p>
        </w:tc>
        <w:tc>
          <w:tcPr>
            <w:tcW w:w="673"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计量单位</w:t>
            </w:r>
          </w:p>
        </w:tc>
        <w:tc>
          <w:tcPr>
            <w:tcW w:w="913"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投标</w:t>
            </w:r>
            <w:r>
              <w:rPr>
                <w:rFonts w:hint="eastAsia" w:ascii="宋体" w:hAnsi="宋体" w:eastAsia="宋体" w:cs="宋体"/>
                <w:bCs/>
                <w:color w:val="auto"/>
                <w:sz w:val="22"/>
                <w:highlight w:val="none"/>
              </w:rPr>
              <w:t>单价（元）</w:t>
            </w:r>
          </w:p>
        </w:tc>
        <w:tc>
          <w:tcPr>
            <w:tcW w:w="1121"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投标</w:t>
            </w:r>
            <w:r>
              <w:rPr>
                <w:rFonts w:hint="eastAsia" w:ascii="宋体" w:hAnsi="宋体" w:eastAsia="宋体" w:cs="宋体"/>
                <w:bCs/>
                <w:color w:val="auto"/>
                <w:sz w:val="22"/>
                <w:highlight w:val="none"/>
              </w:rPr>
              <w:t>合价</w:t>
            </w:r>
          </w:p>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（元）</w:t>
            </w:r>
          </w:p>
        </w:tc>
        <w:tc>
          <w:tcPr>
            <w:tcW w:w="758"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
                <w:color w:val="auto"/>
                <w:sz w:val="22"/>
                <w:highlight w:val="none"/>
              </w:rPr>
              <w:t>厂家所属情形</w:t>
            </w:r>
          </w:p>
        </w:tc>
        <w:tc>
          <w:tcPr>
            <w:tcW w:w="690" w:type="dxa"/>
            <w:noWrap w:val="0"/>
            <w:vAlign w:val="center"/>
          </w:tcPr>
          <w:p>
            <w:pPr>
              <w:pageBreakBefore w:val="0"/>
              <w:kinsoku/>
              <w:overflowPunct/>
              <w:bidi w:val="0"/>
              <w:spacing w:line="360" w:lineRule="auto"/>
              <w:jc w:val="center"/>
              <w:rPr>
                <w:rFonts w:hint="default" w:ascii="宋体" w:hAnsi="宋体" w:eastAsia="宋体" w:cs="宋体"/>
                <w:b/>
                <w:color w:val="auto"/>
                <w:sz w:val="22"/>
                <w:highlight w:val="none"/>
                <w:lang w:val="en-US" w:eastAsia="zh-CN"/>
              </w:rPr>
            </w:pPr>
            <w:r>
              <w:rPr>
                <w:rFonts w:hint="eastAsia" w:ascii="宋体" w:hAnsi="宋体" w:cs="宋体"/>
                <w:b/>
                <w:color w:val="auto"/>
                <w:sz w:val="22"/>
                <w:highlight w:val="none"/>
                <w:lang w:val="en-US" w:eastAsia="zh-CN"/>
              </w:rPr>
              <w:t>产品国别</w:t>
            </w:r>
          </w:p>
        </w:tc>
        <w:tc>
          <w:tcPr>
            <w:tcW w:w="690"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1"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330"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cs="宋体"/>
                <w:bCs/>
                <w:color w:val="auto"/>
                <w:sz w:val="22"/>
                <w:highlight w:val="none"/>
                <w:lang w:val="en-US" w:eastAsia="zh-CN"/>
              </w:rPr>
              <w:t xml:space="preserve"> </w:t>
            </w:r>
          </w:p>
        </w:tc>
        <w:tc>
          <w:tcPr>
            <w:tcW w:w="734"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756"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785"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834" w:type="dxa"/>
            <w:noWrap w:val="0"/>
            <w:vAlign w:val="center"/>
          </w:tcPr>
          <w:p>
            <w:pPr>
              <w:pageBreakBefore w:val="0"/>
              <w:kinsoku/>
              <w:overflowPunct/>
              <w:bidi w:val="0"/>
              <w:spacing w:line="360" w:lineRule="auto"/>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 xml:space="preserve"> </w:t>
            </w:r>
          </w:p>
        </w:tc>
        <w:tc>
          <w:tcPr>
            <w:tcW w:w="673" w:type="dxa"/>
            <w:noWrap w:val="0"/>
            <w:vAlign w:val="center"/>
          </w:tcPr>
          <w:p>
            <w:pPr>
              <w:pageBreakBefore w:val="0"/>
              <w:kinsoku/>
              <w:overflowPunct/>
              <w:bidi w:val="0"/>
              <w:spacing w:line="360" w:lineRule="auto"/>
              <w:jc w:val="center"/>
              <w:rPr>
                <w:rFonts w:hint="default" w:ascii="宋体" w:hAnsi="宋体" w:eastAsia="宋体" w:cs="宋体"/>
                <w:bCs/>
                <w:color w:val="auto"/>
                <w:sz w:val="22"/>
                <w:highlight w:val="none"/>
                <w:lang w:val="en-US"/>
              </w:rPr>
            </w:pPr>
          </w:p>
        </w:tc>
        <w:tc>
          <w:tcPr>
            <w:tcW w:w="913"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1121"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758"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1"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2</w:t>
            </w:r>
          </w:p>
        </w:tc>
        <w:tc>
          <w:tcPr>
            <w:tcW w:w="1330" w:type="dxa"/>
            <w:noWrap w:val="0"/>
            <w:vAlign w:val="center"/>
          </w:tcPr>
          <w:p>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734"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756"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785"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834" w:type="dxa"/>
            <w:noWrap w:val="0"/>
            <w:vAlign w:val="center"/>
          </w:tcPr>
          <w:p>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673" w:type="dxa"/>
            <w:noWrap w:val="0"/>
            <w:vAlign w:val="center"/>
          </w:tcPr>
          <w:p>
            <w:pPr>
              <w:pageBreakBefore w:val="0"/>
              <w:kinsoku/>
              <w:overflowPunct/>
              <w:bidi w:val="0"/>
              <w:spacing w:line="360" w:lineRule="auto"/>
              <w:jc w:val="center"/>
              <w:rPr>
                <w:rFonts w:hint="default" w:ascii="宋体" w:hAnsi="宋体" w:eastAsia="宋体" w:cs="宋体"/>
                <w:bCs/>
                <w:color w:val="auto"/>
                <w:sz w:val="22"/>
                <w:highlight w:val="none"/>
                <w:lang w:val="en-US"/>
              </w:rPr>
            </w:pPr>
          </w:p>
        </w:tc>
        <w:tc>
          <w:tcPr>
            <w:tcW w:w="913"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1121"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758"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1" w:type="dxa"/>
            <w:noWrap w:val="0"/>
            <w:vAlign w:val="center"/>
          </w:tcPr>
          <w:p>
            <w:pPr>
              <w:pageBreakBefore w:val="0"/>
              <w:kinsoku/>
              <w:overflowPunct/>
              <w:bidi w:val="0"/>
              <w:spacing w:line="360" w:lineRule="auto"/>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w:t>
            </w:r>
          </w:p>
        </w:tc>
        <w:tc>
          <w:tcPr>
            <w:tcW w:w="1330" w:type="dxa"/>
            <w:noWrap w:val="0"/>
            <w:vAlign w:val="center"/>
          </w:tcPr>
          <w:p>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734"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756"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785"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834" w:type="dxa"/>
            <w:noWrap w:val="0"/>
            <w:vAlign w:val="center"/>
          </w:tcPr>
          <w:p>
            <w:pPr>
              <w:pageBreakBefore w:val="0"/>
              <w:kinsoku/>
              <w:overflowPunct/>
              <w:bidi w:val="0"/>
              <w:spacing w:line="360" w:lineRule="auto"/>
              <w:jc w:val="center"/>
              <w:rPr>
                <w:rFonts w:hint="eastAsia" w:ascii="宋体" w:hAnsi="宋体" w:cs="宋体"/>
                <w:bCs/>
                <w:color w:val="auto"/>
                <w:sz w:val="22"/>
                <w:highlight w:val="none"/>
                <w:lang w:val="en-US" w:eastAsia="zh-CN"/>
              </w:rPr>
            </w:pPr>
          </w:p>
        </w:tc>
        <w:tc>
          <w:tcPr>
            <w:tcW w:w="673" w:type="dxa"/>
            <w:noWrap w:val="0"/>
            <w:vAlign w:val="center"/>
          </w:tcPr>
          <w:p>
            <w:pPr>
              <w:pageBreakBefore w:val="0"/>
              <w:kinsoku/>
              <w:overflowPunct/>
              <w:bidi w:val="0"/>
              <w:spacing w:line="360" w:lineRule="auto"/>
              <w:jc w:val="center"/>
              <w:rPr>
                <w:rFonts w:hint="default" w:ascii="宋体" w:hAnsi="宋体" w:eastAsia="宋体" w:cs="宋体"/>
                <w:bCs/>
                <w:color w:val="auto"/>
                <w:sz w:val="22"/>
                <w:highlight w:val="none"/>
                <w:lang w:val="en-US"/>
              </w:rPr>
            </w:pPr>
          </w:p>
        </w:tc>
        <w:tc>
          <w:tcPr>
            <w:tcW w:w="913" w:type="dxa"/>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p>
        </w:tc>
        <w:tc>
          <w:tcPr>
            <w:tcW w:w="1121"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758"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top"/>
          </w:tcPr>
          <w:p>
            <w:pPr>
              <w:pageBreakBefore w:val="0"/>
              <w:kinsoku/>
              <w:overflowPunct/>
              <w:bidi w:val="0"/>
              <w:spacing w:line="360" w:lineRule="auto"/>
              <w:rPr>
                <w:rFonts w:hint="eastAsia" w:ascii="宋体" w:hAnsi="宋体" w:eastAsia="宋体" w:cs="宋体"/>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73" w:type="dxa"/>
            <w:gridSpan w:val="7"/>
            <w:noWrap w:val="0"/>
            <w:vAlign w:val="center"/>
          </w:tcPr>
          <w:p>
            <w:pPr>
              <w:pageBreakBefore w:val="0"/>
              <w:kinsoku/>
              <w:overflowPunct/>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4"/>
                <w:highlight w:val="none"/>
                <w:shd w:val="clear" w:color="auto" w:fill="FFFFFF"/>
              </w:rPr>
              <w:t>合计（元）</w:t>
            </w:r>
          </w:p>
        </w:tc>
        <w:tc>
          <w:tcPr>
            <w:tcW w:w="3482" w:type="dxa"/>
            <w:gridSpan w:val="4"/>
            <w:noWrap w:val="0"/>
            <w:vAlign w:val="center"/>
          </w:tcPr>
          <w:p>
            <w:pPr>
              <w:pageBreakBefore w:val="0"/>
              <w:kinsoku/>
              <w:overflowPunct/>
              <w:bidi w:val="0"/>
              <w:spacing w:line="360" w:lineRule="auto"/>
              <w:rPr>
                <w:rFonts w:hint="eastAsia" w:ascii="宋体" w:hAnsi="宋体" w:eastAsia="宋体" w:cs="宋体"/>
                <w:bCs/>
                <w:color w:val="auto"/>
                <w:sz w:val="22"/>
                <w:highlight w:val="none"/>
              </w:rPr>
            </w:pPr>
          </w:p>
        </w:tc>
        <w:tc>
          <w:tcPr>
            <w:tcW w:w="690" w:type="dxa"/>
            <w:noWrap w:val="0"/>
            <w:vAlign w:val="center"/>
          </w:tcPr>
          <w:p>
            <w:pPr>
              <w:pageBreakBefore w:val="0"/>
              <w:kinsoku/>
              <w:overflowPunct/>
              <w:bidi w:val="0"/>
              <w:spacing w:line="360" w:lineRule="auto"/>
              <w:rPr>
                <w:rFonts w:hint="eastAsia" w:ascii="宋体" w:hAnsi="宋体" w:eastAsia="宋体" w:cs="宋体"/>
                <w:bCs/>
                <w:color w:val="auto"/>
                <w:sz w:val="22"/>
                <w:highlight w:val="none"/>
              </w:rPr>
            </w:pPr>
          </w:p>
        </w:tc>
      </w:tr>
    </w:tbl>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left="0" w:leftChars="0" w:right="0" w:rightChars="0"/>
        <w:jc w:val="left"/>
        <w:textAlignment w:val="auto"/>
        <w:outlineLvl w:val="9"/>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表格可扩展。</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left="0" w:leftChars="0" w:right="0" w:rightChars="0"/>
        <w:jc w:val="left"/>
        <w:textAlignment w:val="auto"/>
        <w:outlineLvl w:val="9"/>
        <w:rPr>
          <w:rFonts w:hint="eastAsia" w:ascii="宋体" w:hAnsi="宋体" w:eastAsia="宋体" w:cs="宋体"/>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注：</w:t>
      </w:r>
      <w:r>
        <w:rPr>
          <w:rFonts w:hint="eastAsia" w:ascii="宋体" w:hAnsi="宋体" w:eastAsia="宋体" w:cs="宋体"/>
          <w:b w:val="0"/>
          <w:bCs w:val="0"/>
          <w:color w:val="auto"/>
          <w:sz w:val="22"/>
          <w:szCs w:val="22"/>
          <w:highlight w:val="none"/>
          <w:shd w:val="clear" w:color="auto" w:fill="FFFFFF"/>
        </w:rPr>
        <w:t>①表格中“厂家所属情形”指投标人所投产品的厂家属于何种类型的企业（填写大型企业或中型企业或小型企业或微型企业）；若投标人符合招标文件中第二章《投标人须知前附表》第</w:t>
      </w:r>
      <w:r>
        <w:rPr>
          <w:rFonts w:hint="eastAsia" w:ascii="宋体" w:hAnsi="宋体" w:eastAsia="宋体" w:cs="宋体"/>
          <w:b w:val="0"/>
          <w:bCs w:val="0"/>
          <w:color w:val="auto"/>
          <w:sz w:val="22"/>
          <w:szCs w:val="22"/>
          <w:highlight w:val="none"/>
          <w:shd w:val="clear" w:color="auto" w:fill="FFFFFF"/>
          <w:lang w:val="en-US" w:eastAsia="zh-CN"/>
        </w:rPr>
        <w:t>29</w:t>
      </w:r>
      <w:r>
        <w:rPr>
          <w:rFonts w:hint="eastAsia" w:ascii="宋体" w:hAnsi="宋体" w:eastAsia="宋体" w:cs="宋体"/>
          <w:b w:val="0"/>
          <w:bCs w:val="0"/>
          <w:color w:val="auto"/>
          <w:sz w:val="22"/>
          <w:szCs w:val="22"/>
          <w:highlight w:val="none"/>
          <w:shd w:val="clear" w:color="auto" w:fill="FFFFFF"/>
        </w:rPr>
        <w:t>条中相关规定的，则投标人须按其规定提供</w:t>
      </w:r>
      <w:r>
        <w:rPr>
          <w:rFonts w:hint="eastAsia" w:ascii="宋体" w:hAnsi="宋体" w:cs="宋体"/>
          <w:b w:val="0"/>
          <w:bCs w:val="0"/>
          <w:color w:val="auto"/>
          <w:sz w:val="22"/>
          <w:szCs w:val="22"/>
          <w:highlight w:val="none"/>
          <w:shd w:val="clear" w:color="auto" w:fill="FFFFFF"/>
          <w:lang w:val="en-US" w:eastAsia="zh-CN"/>
        </w:rPr>
        <w:t>声明函</w:t>
      </w:r>
      <w:r>
        <w:rPr>
          <w:rFonts w:hint="eastAsia" w:ascii="宋体" w:hAnsi="宋体" w:eastAsia="宋体" w:cs="宋体"/>
          <w:b w:val="0"/>
          <w:bCs w:val="0"/>
          <w:color w:val="auto"/>
          <w:sz w:val="22"/>
          <w:szCs w:val="22"/>
          <w:highlight w:val="none"/>
          <w:shd w:val="clear" w:color="auto" w:fill="FFFFFF"/>
        </w:rPr>
        <w:t>。</w:t>
      </w:r>
      <w:r>
        <w:rPr>
          <w:rFonts w:hint="eastAsia" w:ascii="宋体" w:hAnsi="宋体" w:eastAsia="宋体" w:cs="宋体"/>
          <w:b/>
          <w:bCs/>
          <w:color w:val="auto"/>
          <w:sz w:val="22"/>
          <w:szCs w:val="22"/>
          <w:highlight w:val="none"/>
          <w:shd w:val="clear" w:color="auto" w:fill="FFFFFF"/>
        </w:rPr>
        <w:t> </w:t>
      </w:r>
    </w:p>
    <w:p>
      <w:pPr>
        <w:pStyle w:val="28"/>
        <w:keepNext w:val="0"/>
        <w:keepLines w:val="0"/>
        <w:pageBreakBefore w:val="0"/>
        <w:widowControl w:val="0"/>
        <w:kinsoku/>
        <w:wordWrap/>
        <w:overflowPunct/>
        <w:topLinePunct w:val="0"/>
        <w:autoSpaceDE/>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②投标人对每包件内所有采购内容进行整体投标并作出完整唯一的投标报价，不得出现缺项、漏项或无报价情况，每一项设备的投标报价单价和合价均不得超过采购预算单价和合价，否则按无效标书处理。</w:t>
      </w:r>
    </w:p>
    <w:p>
      <w:pPr>
        <w:pStyle w:val="28"/>
        <w:keepNext w:val="0"/>
        <w:keepLines w:val="0"/>
        <w:pageBreakBefore w:val="0"/>
        <w:widowControl w:val="0"/>
        <w:kinsoku/>
        <w:wordWrap/>
        <w:overflowPunct/>
        <w:topLinePunct w:val="0"/>
        <w:autoSpaceDE/>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③此表中“合计（元）”的金额应与“一、投标（唱标）报价一览表”中的投标总报价一致。</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Style w:val="5"/>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jc w:val="center"/>
        <w:textAlignment w:val="auto"/>
        <w:outlineLvl w:val="1"/>
        <w:rPr>
          <w:rFonts w:hint="default"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color w:val="auto"/>
          <w:sz w:val="24"/>
          <w:highlight w:val="none"/>
        </w:rPr>
        <w:br w:type="page"/>
      </w:r>
      <w:bookmarkStart w:id="205" w:name="_Toc18599"/>
      <w:bookmarkStart w:id="206" w:name="_Toc16367"/>
      <w:bookmarkStart w:id="207" w:name="_Toc3215"/>
      <w:bookmarkStart w:id="208" w:name="_Toc5059"/>
      <w:r>
        <w:rPr>
          <w:rFonts w:hint="eastAsia" w:ascii="宋体" w:hAnsi="宋体" w:eastAsia="宋体" w:cs="宋体"/>
          <w:b/>
          <w:bCs/>
          <w:color w:val="auto"/>
          <w:sz w:val="32"/>
          <w:szCs w:val="32"/>
          <w:highlight w:val="none"/>
          <w:shd w:val="clear" w:color="auto" w:fill="FFFFFF"/>
        </w:rPr>
        <w:t>七、</w:t>
      </w:r>
      <w:r>
        <w:rPr>
          <w:rFonts w:hint="eastAsia" w:ascii="宋体" w:hAnsi="宋体" w:eastAsia="宋体" w:cs="宋体"/>
          <w:b/>
          <w:bCs/>
          <w:color w:val="auto"/>
          <w:sz w:val="32"/>
          <w:szCs w:val="32"/>
          <w:highlight w:val="none"/>
          <w:shd w:val="clear" w:color="auto" w:fill="FFFFFF"/>
          <w:lang w:val="en-US" w:eastAsia="zh-CN"/>
        </w:rPr>
        <w:t>响应偏离表</w:t>
      </w:r>
      <w:bookmarkEnd w:id="205"/>
      <w:bookmarkEnd w:id="206"/>
    </w:p>
    <w:p>
      <w:pPr>
        <w:keepNext w:val="0"/>
        <w:keepLines w:val="0"/>
        <w:pageBreakBefore w:val="0"/>
        <w:widowControl w:val="0"/>
        <w:kinsoku/>
        <w:wordWrap/>
        <w:overflowPunct/>
        <w:topLinePunct w:val="0"/>
        <w:autoSpaceDE/>
        <w:bidi w:val="0"/>
        <w:adjustRightInd/>
        <w:snapToGrid/>
        <w:spacing w:line="360" w:lineRule="auto"/>
        <w:jc w:val="center"/>
        <w:textAlignment w:val="auto"/>
        <w:rPr>
          <w:rFonts w:hint="default"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（一）商务部分响应偏离表</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textAlignment w:val="auto"/>
        <w:rPr>
          <w:rFonts w:hint="eastAsia" w:ascii="宋体" w:hAnsi="宋体" w:eastAsia="宋体" w:cs="宋体"/>
          <w:color w:val="auto"/>
          <w:sz w:val="24"/>
          <w:highlight w:val="none"/>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textAlignment w:val="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p>
    <w:p>
      <w:pPr>
        <w:keepNext w:val="0"/>
        <w:keepLines w:val="0"/>
        <w:pageBreakBefore w:val="0"/>
        <w:widowControl w:val="0"/>
        <w:kinsoku/>
        <w:wordWrap/>
        <w:overflowPunct/>
        <w:topLinePunct w:val="0"/>
        <w:autoSpaceDE/>
        <w:bidi w:val="0"/>
        <w:adjustRightInd/>
        <w:snapToGrid/>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u w:val="single"/>
        </w:rPr>
        <w:t xml:space="preserve"> </w:t>
      </w:r>
    </w:p>
    <w:p>
      <w:pPr>
        <w:pageBreakBefore w:val="0"/>
        <w:widowControl/>
        <w:kinsoku/>
        <w:overflowPunct/>
        <w:bidi w:val="0"/>
        <w:snapToGrid w:val="0"/>
        <w:spacing w:line="360" w:lineRule="auto"/>
        <w:ind w:firstLine="420"/>
        <w:jc w:val="left"/>
        <w:rPr>
          <w:rFonts w:hint="eastAsia" w:ascii="宋体" w:hAnsi="宋体" w:cs="宋体"/>
          <w:color w:val="000000"/>
          <w:kern w:val="0"/>
          <w:sz w:val="24"/>
          <w:szCs w:val="24"/>
        </w:rPr>
      </w:pPr>
      <w:r>
        <w:rPr>
          <w:rFonts w:hint="eastAsia" w:ascii="宋体" w:hAnsi="宋体" w:cs="宋体"/>
          <w:b/>
          <w:bCs/>
          <w:color w:val="000000"/>
          <w:kern w:val="0"/>
          <w:sz w:val="28"/>
          <w:szCs w:val="28"/>
        </w:rPr>
        <w:t>□</w:t>
      </w:r>
      <w:r>
        <w:rPr>
          <w:rFonts w:hint="eastAsia" w:ascii="宋体" w:hAnsi="宋体" w:cs="宋体"/>
          <w:color w:val="000000"/>
          <w:kern w:val="0"/>
          <w:sz w:val="24"/>
          <w:szCs w:val="24"/>
        </w:rPr>
        <w:t>A、我公司已详细阅读</w:t>
      </w: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文件中</w:t>
      </w:r>
      <w:r>
        <w:rPr>
          <w:rFonts w:hint="eastAsia" w:ascii="宋体" w:hAnsi="宋体" w:cs="宋体"/>
          <w:color w:val="000000"/>
          <w:kern w:val="0"/>
          <w:sz w:val="24"/>
          <w:szCs w:val="24"/>
          <w:lang w:val="en-US" w:eastAsia="zh-CN"/>
        </w:rPr>
        <w:t>商务部分</w:t>
      </w:r>
      <w:r>
        <w:rPr>
          <w:rFonts w:hint="eastAsia" w:ascii="宋体" w:hAnsi="宋体" w:cs="宋体"/>
          <w:color w:val="000000"/>
          <w:kern w:val="0"/>
          <w:sz w:val="24"/>
          <w:szCs w:val="24"/>
        </w:rPr>
        <w:t>的各项内容，所有内容均无偏差，</w:t>
      </w:r>
      <w:r>
        <w:rPr>
          <w:rFonts w:hint="eastAsia" w:ascii="宋体" w:hAnsi="宋体" w:cs="宋体"/>
          <w:color w:val="000000"/>
          <w:kern w:val="0"/>
          <w:sz w:val="24"/>
          <w:szCs w:val="24"/>
          <w:lang w:val="en-US" w:eastAsia="zh-CN"/>
        </w:rPr>
        <w:t>中标</w:t>
      </w:r>
      <w:r>
        <w:rPr>
          <w:rFonts w:hint="eastAsia" w:ascii="宋体" w:hAnsi="宋体" w:cs="宋体"/>
          <w:color w:val="000000"/>
          <w:kern w:val="0"/>
          <w:sz w:val="24"/>
          <w:szCs w:val="24"/>
        </w:rPr>
        <w:t>后我公司将严格遵照执行。</w:t>
      </w:r>
    </w:p>
    <w:p>
      <w:pPr>
        <w:pageBreakBefore w:val="0"/>
        <w:widowControl/>
        <w:kinsoku/>
        <w:overflowPunct/>
        <w:bidi w:val="0"/>
        <w:snapToGrid w:val="0"/>
        <w:spacing w:line="360" w:lineRule="auto"/>
        <w:ind w:firstLine="420"/>
        <w:jc w:val="left"/>
        <w:rPr>
          <w:rFonts w:hint="eastAsia" w:ascii="宋体" w:hAnsi="宋体" w:cs="宋体"/>
          <w:color w:val="000000"/>
          <w:kern w:val="0"/>
          <w:sz w:val="24"/>
          <w:szCs w:val="24"/>
        </w:rPr>
      </w:pPr>
      <w:r>
        <w:rPr>
          <w:rFonts w:hint="eastAsia" w:ascii="宋体" w:hAnsi="宋体" w:cs="宋体"/>
          <w:b/>
          <w:bCs/>
          <w:color w:val="000000"/>
          <w:kern w:val="0"/>
          <w:sz w:val="28"/>
          <w:szCs w:val="28"/>
        </w:rPr>
        <w:t>□</w:t>
      </w:r>
      <w:r>
        <w:rPr>
          <w:rFonts w:hint="eastAsia" w:ascii="宋体" w:hAnsi="宋体" w:cs="宋体"/>
          <w:color w:val="000000"/>
          <w:kern w:val="0"/>
          <w:sz w:val="24"/>
          <w:szCs w:val="24"/>
        </w:rPr>
        <w:t>B、我公司已详细阅读</w:t>
      </w: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文件中</w:t>
      </w:r>
      <w:r>
        <w:rPr>
          <w:rFonts w:hint="eastAsia" w:ascii="宋体" w:hAnsi="宋体" w:cs="宋体"/>
          <w:color w:val="000000"/>
          <w:kern w:val="0"/>
          <w:sz w:val="24"/>
          <w:szCs w:val="24"/>
          <w:lang w:val="en-US" w:eastAsia="zh-CN"/>
        </w:rPr>
        <w:t>商务部分</w:t>
      </w:r>
      <w:r>
        <w:rPr>
          <w:rFonts w:hint="eastAsia" w:ascii="宋体" w:hAnsi="宋体" w:cs="宋体"/>
          <w:color w:val="000000"/>
          <w:kern w:val="0"/>
          <w:sz w:val="24"/>
          <w:szCs w:val="24"/>
        </w:rPr>
        <w:t>的各项内容，除下述条款有偏离外，其余条款我公司均予以认可，</w:t>
      </w:r>
      <w:r>
        <w:rPr>
          <w:rFonts w:hint="eastAsia" w:ascii="宋体" w:hAnsi="宋体" w:cs="宋体"/>
          <w:color w:val="000000"/>
          <w:kern w:val="0"/>
          <w:sz w:val="24"/>
          <w:szCs w:val="24"/>
          <w:lang w:val="en-US" w:eastAsia="zh-CN"/>
        </w:rPr>
        <w:t>中标</w:t>
      </w:r>
      <w:r>
        <w:rPr>
          <w:rFonts w:hint="eastAsia" w:ascii="宋体" w:hAnsi="宋体" w:cs="宋体"/>
          <w:color w:val="000000"/>
          <w:kern w:val="0"/>
          <w:sz w:val="24"/>
          <w:szCs w:val="24"/>
        </w:rPr>
        <w:t>后将严格遵照执行。</w:t>
      </w:r>
    </w:p>
    <w:p>
      <w:pPr>
        <w:pStyle w:val="5"/>
        <w:pageBreakBefore w:val="0"/>
        <w:kinsoku/>
        <w:overflowPunct/>
        <w:bidi w:val="0"/>
        <w:spacing w:line="360" w:lineRule="auto"/>
        <w:jc w:val="center"/>
        <w:rPr>
          <w:color w:val="000000"/>
        </w:rPr>
      </w:pPr>
      <w:r>
        <w:rPr>
          <w:rFonts w:hint="eastAsia" w:ascii="宋体" w:hAnsi="宋体" w:cs="宋体"/>
          <w:b/>
          <w:bCs/>
          <w:color w:val="000000"/>
          <w:sz w:val="28"/>
          <w:szCs w:val="28"/>
          <w:lang w:val="en-US" w:eastAsia="zh-CN"/>
        </w:rPr>
        <w:t>投标文件商务部分</w:t>
      </w:r>
      <w:r>
        <w:rPr>
          <w:rFonts w:hint="eastAsia" w:ascii="宋体" w:hAnsi="宋体" w:cs="宋体"/>
          <w:b/>
          <w:bCs/>
          <w:color w:val="000000"/>
          <w:sz w:val="28"/>
          <w:szCs w:val="28"/>
        </w:rPr>
        <w:t>偏差的条款</w:t>
      </w:r>
    </w:p>
    <w:tbl>
      <w:tblPr>
        <w:tblStyle w:val="23"/>
        <w:tblW w:w="0" w:type="auto"/>
        <w:tblInd w:w="0" w:type="dxa"/>
        <w:tblLayout w:type="fixed"/>
        <w:tblCellMar>
          <w:top w:w="0" w:type="dxa"/>
          <w:left w:w="0" w:type="dxa"/>
          <w:bottom w:w="0" w:type="dxa"/>
          <w:right w:w="0" w:type="dxa"/>
        </w:tblCellMar>
      </w:tblPr>
      <w:tblGrid>
        <w:gridCol w:w="1013"/>
        <w:gridCol w:w="3444"/>
        <w:gridCol w:w="2731"/>
        <w:gridCol w:w="1645"/>
      </w:tblGrid>
      <w:tr>
        <w:tblPrEx>
          <w:tblCellMar>
            <w:top w:w="0" w:type="dxa"/>
            <w:left w:w="0" w:type="dxa"/>
            <w:bottom w:w="0" w:type="dxa"/>
            <w:right w:w="0" w:type="dxa"/>
          </w:tblCellMar>
        </w:tblPrEx>
        <w:trPr>
          <w:trHeight w:val="662"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文件章节及条款号</w:t>
            </w: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投标</w:t>
            </w:r>
            <w:r>
              <w:rPr>
                <w:rFonts w:hint="eastAsia" w:ascii="宋体" w:hAnsi="宋体" w:cs="宋体"/>
                <w:color w:val="000000"/>
                <w:kern w:val="0"/>
                <w:sz w:val="24"/>
                <w:szCs w:val="24"/>
              </w:rPr>
              <w:t>文件章节及条款号</w:t>
            </w: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偏差说明</w:t>
            </w:r>
          </w:p>
        </w:tc>
      </w:tr>
      <w:tr>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r>
        <w:tblPrEx>
          <w:tblCellMar>
            <w:top w:w="0" w:type="dxa"/>
            <w:left w:w="0" w:type="dxa"/>
            <w:bottom w:w="0" w:type="dxa"/>
            <w:right w:w="0" w:type="dxa"/>
          </w:tblCellMar>
        </w:tblPrEx>
        <w:trPr>
          <w:trHeight w:val="396" w:hRule="atLeast"/>
        </w:trPr>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3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2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c>
          <w:tcPr>
            <w:tcW w:w="1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overflowPunct/>
              <w:bidi w:val="0"/>
              <w:snapToGrid w:val="0"/>
              <w:spacing w:line="360" w:lineRule="auto"/>
              <w:jc w:val="center"/>
              <w:rPr>
                <w:rFonts w:hint="eastAsia" w:ascii="宋体" w:hAnsi="宋体" w:cs="宋体"/>
                <w:color w:val="000000"/>
                <w:kern w:val="0"/>
                <w:sz w:val="24"/>
                <w:szCs w:val="24"/>
              </w:rPr>
            </w:pPr>
          </w:p>
        </w:tc>
      </w:tr>
    </w:tbl>
    <w:p>
      <w:pPr>
        <w:pageBreakBefore w:val="0"/>
        <w:widowControl/>
        <w:kinsoku/>
        <w:overflowPunct/>
        <w:bidi w:val="0"/>
        <w:snapToGrid w:val="0"/>
        <w:spacing w:line="360" w:lineRule="auto"/>
        <w:jc w:val="left"/>
        <w:rPr>
          <w:rFonts w:hint="eastAsia" w:ascii="宋体" w:hAnsi="宋体" w:cs="宋体"/>
          <w:color w:val="000000"/>
          <w:kern w:val="0"/>
          <w:sz w:val="24"/>
          <w:szCs w:val="24"/>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ageBreakBefore w:val="0"/>
        <w:shd w:val="solid" w:color="FFFFFF" w:fill="auto"/>
        <w:kinsoku/>
        <w:overflowPunct/>
        <w:autoSpaceDN w:val="0"/>
        <w:bidi w:val="0"/>
        <w:spacing w:line="360"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ageBreakBefore w:val="0"/>
        <w:widowControl/>
        <w:kinsoku/>
        <w:overflowPunct/>
        <w:bidi w:val="0"/>
        <w:snapToGrid w:val="0"/>
        <w:spacing w:line="360" w:lineRule="auto"/>
        <w:jc w:val="left"/>
        <w:rPr>
          <w:rFonts w:hint="eastAsia" w:ascii="宋体" w:hAnsi="宋体" w:cs="宋体"/>
          <w:b/>
          <w:color w:val="000000"/>
          <w:kern w:val="0"/>
          <w:sz w:val="24"/>
          <w:szCs w:val="24"/>
        </w:rPr>
      </w:pPr>
    </w:p>
    <w:p>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表格填写说明：</w:t>
      </w:r>
    </w:p>
    <w:p>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1.</w:t>
      </w:r>
      <w:r>
        <w:rPr>
          <w:rFonts w:hint="eastAsia" w:ascii="宋体" w:hAnsi="宋体" w:cs="宋体"/>
          <w:b/>
          <w:color w:val="000000"/>
          <w:kern w:val="0"/>
          <w:sz w:val="24"/>
          <w:szCs w:val="24"/>
          <w:lang w:eastAsia="zh-CN"/>
        </w:rPr>
        <w:t>投标人</w:t>
      </w:r>
      <w:r>
        <w:rPr>
          <w:rFonts w:hint="eastAsia" w:ascii="宋体" w:hAnsi="宋体" w:cs="宋体"/>
          <w:b/>
          <w:color w:val="000000"/>
          <w:kern w:val="0"/>
          <w:sz w:val="24"/>
          <w:szCs w:val="24"/>
        </w:rPr>
        <w:t>应根据实际情况响应，填写本表格，若无偏离，则勾选A项，签字或盖章即可。若有偏离，则勾选B项，按表格要求及实际情况填写后，签字或盖章。</w:t>
      </w:r>
    </w:p>
    <w:p>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2.表格中“</w:t>
      </w:r>
      <w:r>
        <w:rPr>
          <w:rFonts w:hint="eastAsia" w:ascii="宋体" w:hAnsi="宋体" w:cs="宋体"/>
          <w:b/>
          <w:color w:val="000000"/>
          <w:kern w:val="0"/>
          <w:sz w:val="24"/>
          <w:szCs w:val="24"/>
          <w:lang w:val="en-US" w:eastAsia="zh-CN"/>
        </w:rPr>
        <w:t>招标</w:t>
      </w:r>
      <w:r>
        <w:rPr>
          <w:rFonts w:hint="eastAsia" w:ascii="宋体" w:hAnsi="宋体" w:cs="宋体"/>
          <w:b/>
          <w:color w:val="000000"/>
          <w:kern w:val="0"/>
          <w:sz w:val="24"/>
          <w:szCs w:val="24"/>
        </w:rPr>
        <w:t>文件章节及条款号”在填写时应注明该条款在</w:t>
      </w:r>
      <w:r>
        <w:rPr>
          <w:rFonts w:hint="eastAsia" w:ascii="宋体" w:hAnsi="宋体" w:cs="宋体"/>
          <w:b/>
          <w:color w:val="000000"/>
          <w:kern w:val="0"/>
          <w:sz w:val="24"/>
          <w:szCs w:val="24"/>
          <w:lang w:val="en-US" w:eastAsia="zh-CN"/>
        </w:rPr>
        <w:t>招标</w:t>
      </w:r>
      <w:r>
        <w:rPr>
          <w:rFonts w:hint="eastAsia" w:ascii="宋体" w:hAnsi="宋体" w:cs="宋体"/>
          <w:b/>
          <w:color w:val="000000"/>
          <w:kern w:val="0"/>
          <w:sz w:val="24"/>
          <w:szCs w:val="24"/>
        </w:rPr>
        <w:t>文件的章节及条款号。</w:t>
      </w:r>
    </w:p>
    <w:p>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3.表格中“</w:t>
      </w:r>
      <w:r>
        <w:rPr>
          <w:rFonts w:hint="eastAsia" w:ascii="宋体" w:hAnsi="宋体" w:cs="宋体"/>
          <w:b/>
          <w:color w:val="000000"/>
          <w:kern w:val="0"/>
          <w:sz w:val="24"/>
          <w:szCs w:val="24"/>
          <w:lang w:val="en-US" w:eastAsia="zh-CN"/>
        </w:rPr>
        <w:t>投标</w:t>
      </w:r>
      <w:r>
        <w:rPr>
          <w:rFonts w:hint="eastAsia" w:ascii="宋体" w:hAnsi="宋体" w:cs="宋体"/>
          <w:b/>
          <w:color w:val="000000"/>
          <w:kern w:val="0"/>
          <w:sz w:val="24"/>
          <w:szCs w:val="24"/>
        </w:rPr>
        <w:t>文件章节及条款号”请</w:t>
      </w:r>
      <w:r>
        <w:rPr>
          <w:rFonts w:hint="eastAsia" w:ascii="宋体" w:hAnsi="宋体" w:cs="宋体"/>
          <w:b/>
          <w:color w:val="000000"/>
          <w:kern w:val="0"/>
          <w:sz w:val="24"/>
          <w:szCs w:val="24"/>
          <w:lang w:eastAsia="zh-CN"/>
        </w:rPr>
        <w:t>投标人</w:t>
      </w:r>
      <w:r>
        <w:rPr>
          <w:rFonts w:hint="eastAsia" w:ascii="宋体" w:hAnsi="宋体" w:cs="宋体"/>
          <w:b/>
          <w:color w:val="000000"/>
          <w:kern w:val="0"/>
          <w:sz w:val="24"/>
          <w:szCs w:val="24"/>
        </w:rPr>
        <w:t>根据实际响应情况如实、完整、准确地填写。</w:t>
      </w:r>
    </w:p>
    <w:p>
      <w:pPr>
        <w:pageBreakBefore w:val="0"/>
        <w:widowControl/>
        <w:kinsoku/>
        <w:overflowPunct/>
        <w:bidi w:val="0"/>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4.本表格中内容与</w:t>
      </w:r>
      <w:r>
        <w:rPr>
          <w:rFonts w:hint="eastAsia" w:ascii="宋体" w:hAnsi="宋体" w:cs="宋体"/>
          <w:b/>
          <w:color w:val="000000"/>
          <w:kern w:val="0"/>
          <w:sz w:val="24"/>
          <w:szCs w:val="24"/>
          <w:lang w:val="en-US" w:eastAsia="zh-CN"/>
        </w:rPr>
        <w:t>投标</w:t>
      </w:r>
      <w:r>
        <w:rPr>
          <w:rFonts w:hint="eastAsia" w:ascii="宋体" w:hAnsi="宋体" w:cs="宋体"/>
          <w:b/>
          <w:color w:val="000000"/>
          <w:kern w:val="0"/>
          <w:sz w:val="24"/>
          <w:szCs w:val="24"/>
        </w:rPr>
        <w:t>文件其余部分不一致的，以本表格为准。</w:t>
      </w:r>
    </w:p>
    <w:p>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pPr>
        <w:pageBreakBefore w:val="0"/>
        <w:shd w:val="solid" w:color="FFFFFF" w:fill="auto"/>
        <w:kinsoku/>
        <w:overflowPunct/>
        <w:autoSpaceDN w:val="0"/>
        <w:bidi w:val="0"/>
        <w:spacing w:line="360" w:lineRule="auto"/>
        <w:jc w:val="center"/>
        <w:outlineLvl w:val="1"/>
        <w:rPr>
          <w:rFonts w:hint="eastAsia" w:ascii="宋体" w:hAnsi="宋体" w:eastAsia="宋体" w:cs="宋体"/>
          <w:b/>
          <w:bCs/>
          <w:color w:val="auto"/>
          <w:sz w:val="32"/>
          <w:szCs w:val="32"/>
          <w:highlight w:val="none"/>
          <w:shd w:val="clear" w:color="auto" w:fill="FFFFFF"/>
        </w:rPr>
      </w:pPr>
      <w:bookmarkStart w:id="209" w:name="_Toc24762"/>
      <w:bookmarkStart w:id="210" w:name="_Toc13531"/>
      <w:r>
        <w:rPr>
          <w:rFonts w:hint="eastAsia" w:ascii="宋体" w:hAnsi="宋体" w:eastAsia="宋体" w:cs="宋体"/>
          <w:b/>
          <w:bCs/>
          <w:color w:val="auto"/>
          <w:sz w:val="32"/>
          <w:szCs w:val="32"/>
          <w:highlight w:val="none"/>
          <w:shd w:val="clear" w:color="auto" w:fill="FFFFFF"/>
          <w:lang w:eastAsia="zh-CN"/>
        </w:rPr>
        <w:t>（</w:t>
      </w:r>
      <w:r>
        <w:rPr>
          <w:rFonts w:hint="eastAsia" w:ascii="宋体" w:hAnsi="宋体" w:eastAsia="宋体" w:cs="宋体"/>
          <w:b/>
          <w:bCs/>
          <w:color w:val="auto"/>
          <w:sz w:val="32"/>
          <w:szCs w:val="32"/>
          <w:highlight w:val="none"/>
          <w:shd w:val="clear" w:color="auto" w:fill="FFFFFF"/>
          <w:lang w:val="en-US" w:eastAsia="zh-CN"/>
        </w:rPr>
        <w:t>二</w:t>
      </w:r>
      <w:r>
        <w:rPr>
          <w:rFonts w:hint="eastAsia" w:ascii="宋体" w:hAnsi="宋体" w:eastAsia="宋体" w:cs="宋体"/>
          <w:b/>
          <w:bCs/>
          <w:color w:val="auto"/>
          <w:sz w:val="32"/>
          <w:szCs w:val="32"/>
          <w:highlight w:val="none"/>
          <w:shd w:val="clear" w:color="auto" w:fill="FFFFFF"/>
          <w:lang w:eastAsia="zh-CN"/>
        </w:rPr>
        <w:t>）技术参数响应偏离表</w:t>
      </w:r>
      <w:bookmarkEnd w:id="207"/>
      <w:bookmarkEnd w:id="208"/>
      <w:bookmarkEnd w:id="209"/>
      <w:bookmarkEnd w:id="210"/>
    </w:p>
    <w:p>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包）</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shd w:val="clear" w:color="auto" w:fill="FFFFFF"/>
        </w:rPr>
        <w:t>　　　</w:t>
      </w:r>
    </w:p>
    <w:tbl>
      <w:tblPr>
        <w:tblStyle w:val="23"/>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05"/>
        <w:gridCol w:w="1600"/>
        <w:gridCol w:w="1674"/>
        <w:gridCol w:w="1126"/>
        <w:gridCol w:w="1259"/>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682"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1405"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设备</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产品</w:t>
            </w:r>
            <w:r>
              <w:rPr>
                <w:rFonts w:hint="eastAsia" w:ascii="宋体" w:hAnsi="宋体" w:eastAsia="宋体" w:cs="宋体"/>
                <w:bCs/>
                <w:color w:val="auto"/>
                <w:sz w:val="22"/>
                <w:highlight w:val="none"/>
              </w:rPr>
              <w:t>）名称</w:t>
            </w:r>
          </w:p>
        </w:tc>
        <w:tc>
          <w:tcPr>
            <w:tcW w:w="1600"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招标文件技术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要求</w:t>
            </w:r>
          </w:p>
        </w:tc>
        <w:tc>
          <w:tcPr>
            <w:tcW w:w="1674"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投标文件技术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响应内容</w:t>
            </w:r>
          </w:p>
        </w:tc>
        <w:tc>
          <w:tcPr>
            <w:tcW w:w="1126"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偏离</w:t>
            </w:r>
          </w:p>
        </w:tc>
        <w:tc>
          <w:tcPr>
            <w:tcW w:w="1259"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说明</w:t>
            </w:r>
          </w:p>
        </w:tc>
        <w:tc>
          <w:tcPr>
            <w:tcW w:w="1679"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技术支持资料索引（页码及条目号等）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82"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405"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p>
        </w:tc>
        <w:tc>
          <w:tcPr>
            <w:tcW w:w="1600"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4"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126"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259"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9"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82"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2</w:t>
            </w:r>
          </w:p>
        </w:tc>
        <w:tc>
          <w:tcPr>
            <w:tcW w:w="1405"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bCs/>
                <w:color w:val="auto"/>
                <w:sz w:val="22"/>
                <w:highlight w:val="none"/>
              </w:rPr>
            </w:pPr>
          </w:p>
        </w:tc>
        <w:tc>
          <w:tcPr>
            <w:tcW w:w="1600"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4"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126"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259"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9"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682" w:type="dxa"/>
            <w:noWrap w:val="0"/>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w:t>
            </w:r>
          </w:p>
        </w:tc>
        <w:tc>
          <w:tcPr>
            <w:tcW w:w="1405"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00"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4"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126"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259"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c>
          <w:tcPr>
            <w:tcW w:w="1679" w:type="dxa"/>
            <w:noWrap w:val="0"/>
            <w:vAlign w:val="center"/>
          </w:tcPr>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p>
        </w:tc>
      </w:tr>
    </w:tbl>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注：（1）请投标人根据自身实际投标情况如实、完整、准确地填写，不得虚假响应。若由于投标人的疏忽大意或未能完整、如实填写，导致的一切后果由投标人自行承担。</w:t>
      </w:r>
    </w:p>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（2）凡投标人产品内容与招标文件要求有区别的均按“正偏离”、“负偏离”填写，并在“投标文件技术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响应内容”一列中写明详细的技术参数。凡与“</w:t>
      </w:r>
      <w:r>
        <w:rPr>
          <w:rFonts w:hint="eastAsia" w:ascii="宋体" w:hAnsi="宋体" w:eastAsia="宋体" w:cs="宋体"/>
          <w:color w:val="auto"/>
          <w:sz w:val="22"/>
          <w:szCs w:val="22"/>
          <w:highlight w:val="none"/>
          <w:shd w:val="clear" w:color="auto" w:fill="FFFFFF"/>
          <w:lang w:val="en-US" w:eastAsia="zh-CN"/>
        </w:rPr>
        <w:t>采购需求及技术参数要求</w:t>
      </w:r>
      <w:r>
        <w:rPr>
          <w:rFonts w:hint="eastAsia" w:ascii="宋体" w:hAnsi="宋体" w:eastAsia="宋体" w:cs="宋体"/>
          <w:color w:val="auto"/>
          <w:sz w:val="22"/>
          <w:szCs w:val="22"/>
          <w:highlight w:val="none"/>
          <w:shd w:val="clear" w:color="auto" w:fill="FFFFFF"/>
        </w:rPr>
        <w:t xml:space="preserve">”中的技术参数要求有区别的，须在“说明”栏中逐条写明拟提供产品的技术参数，并说明偏离情况。 </w:t>
      </w:r>
    </w:p>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（3）对“偏离”一栏，填写“无偏离、正偏离、负偏离”。其中正偏离是指所投货物技术性能优于招标文件所规定的技术性能；负偏离是指所投货物技术性能低于招标文件所规定的技术性能。</w:t>
      </w:r>
    </w:p>
    <w:p>
      <w:pPr>
        <w:pageBreakBefore w:val="0"/>
        <w:shd w:val="solid" w:color="FFFFFF" w:fill="auto"/>
        <w:kinsoku/>
        <w:overflowPunct/>
        <w:autoSpaceDN w:val="0"/>
        <w:bidi w:val="0"/>
        <w:spacing w:line="360" w:lineRule="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投标人应将支持该项技术</w:t>
      </w:r>
      <w:r>
        <w:rPr>
          <w:rFonts w:hint="eastAsia" w:ascii="宋体" w:hAnsi="宋体" w:eastAsia="宋体" w:cs="宋体"/>
          <w:color w:val="auto"/>
          <w:sz w:val="22"/>
          <w:szCs w:val="22"/>
          <w:highlight w:val="none"/>
          <w:shd w:val="clear" w:color="auto" w:fill="FFFFFF"/>
          <w:lang w:val="en-US" w:eastAsia="zh-CN"/>
        </w:rPr>
        <w:t>参数</w:t>
      </w:r>
      <w:r>
        <w:rPr>
          <w:rFonts w:hint="eastAsia" w:ascii="宋体" w:hAnsi="宋体" w:eastAsia="宋体" w:cs="宋体"/>
          <w:color w:val="auto"/>
          <w:sz w:val="22"/>
          <w:szCs w:val="22"/>
          <w:highlight w:val="none"/>
          <w:shd w:val="clear" w:color="auto" w:fill="FFFFFF"/>
        </w:rPr>
        <w:t>响应的技术支持资料在投标文件中的索引（页码及条目号等）标注在“技术支持资料索引”一栏中，如未标注导致的一切后果由投标人自行承担。</w:t>
      </w:r>
    </w:p>
    <w:p>
      <w:pPr>
        <w:pageBreakBefore w:val="0"/>
        <w:shd w:val="solid" w:color="FFFFFF" w:fill="auto"/>
        <w:kinsoku/>
        <w:overflowPunct/>
        <w:autoSpaceDN w:val="0"/>
        <w:bidi w:val="0"/>
        <w:spacing w:line="360" w:lineRule="auto"/>
        <w:ind w:firstLine="490"/>
        <w:jc w:val="left"/>
        <w:rPr>
          <w:rFonts w:hint="eastAsia" w:ascii="宋体" w:hAnsi="宋体" w:eastAsia="宋体" w:cs="宋体"/>
          <w:color w:val="auto"/>
          <w:sz w:val="24"/>
          <w:highlight w:val="none"/>
          <w:shd w:val="clear" w:color="auto" w:fill="FFFFFF"/>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ageBreakBefore w:val="0"/>
        <w:shd w:val="solid" w:color="FFFFFF" w:fill="auto"/>
        <w:kinsoku/>
        <w:overflowPunct/>
        <w:autoSpaceDN w:val="0"/>
        <w:bidi w:val="0"/>
        <w:spacing w:line="360"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lang w:val="en-US" w:eastAsia="zh-CN"/>
        </w:rPr>
      </w:pPr>
    </w:p>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lang w:val="en-US" w:eastAsia="zh-CN"/>
        </w:rPr>
      </w:pPr>
    </w:p>
    <w:p>
      <w:pPr>
        <w:pageBreakBefore w:val="0"/>
        <w:kinsoku/>
        <w:overflowPunct/>
        <w:bidi w:val="0"/>
        <w:spacing w:line="360" w:lineRule="auto"/>
        <w:rPr>
          <w:rFonts w:hint="eastAsia" w:ascii="宋体" w:hAnsi="宋体" w:eastAsia="宋体" w:cs="宋体"/>
          <w:b/>
          <w:color w:val="auto"/>
          <w:sz w:val="32"/>
          <w:szCs w:val="32"/>
          <w:highlight w:val="none"/>
          <w:shd w:val="clear" w:color="auto" w:fill="FFFFFF"/>
          <w:lang w:val="en-US" w:eastAsia="zh-CN"/>
        </w:rPr>
      </w:pPr>
      <w:bookmarkStart w:id="211" w:name="_Toc18453"/>
      <w:r>
        <w:rPr>
          <w:rFonts w:hint="eastAsia" w:ascii="宋体" w:hAnsi="宋体" w:eastAsia="宋体" w:cs="宋体"/>
          <w:b/>
          <w:color w:val="auto"/>
          <w:sz w:val="32"/>
          <w:szCs w:val="32"/>
          <w:highlight w:val="none"/>
          <w:shd w:val="clear" w:color="auto" w:fill="FFFFFF"/>
          <w:lang w:val="en-US" w:eastAsia="zh-CN"/>
        </w:rPr>
        <w:br w:type="page"/>
      </w:r>
    </w:p>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bookmarkStart w:id="212" w:name="_Toc4885"/>
      <w:bookmarkStart w:id="213" w:name="_Toc15063"/>
      <w:bookmarkStart w:id="214" w:name="_Toc21747"/>
      <w:r>
        <w:rPr>
          <w:rFonts w:hint="eastAsia" w:ascii="宋体" w:hAnsi="宋体" w:eastAsia="宋体" w:cs="宋体"/>
          <w:b/>
          <w:color w:val="auto"/>
          <w:sz w:val="32"/>
          <w:szCs w:val="32"/>
          <w:highlight w:val="none"/>
          <w:shd w:val="clear" w:color="auto" w:fill="FFFFFF"/>
          <w:lang w:val="en-US" w:eastAsia="zh-CN"/>
        </w:rPr>
        <w:t>八</w:t>
      </w:r>
      <w:r>
        <w:rPr>
          <w:rFonts w:hint="eastAsia" w:ascii="宋体" w:hAnsi="宋体" w:eastAsia="宋体" w:cs="宋体"/>
          <w:b/>
          <w:color w:val="auto"/>
          <w:sz w:val="32"/>
          <w:szCs w:val="32"/>
          <w:highlight w:val="none"/>
          <w:shd w:val="clear" w:color="auto" w:fill="FFFFFF"/>
        </w:rPr>
        <w:t>、技术</w:t>
      </w:r>
      <w:r>
        <w:rPr>
          <w:rFonts w:hint="eastAsia" w:ascii="宋体" w:hAnsi="宋体" w:eastAsia="宋体" w:cs="宋体"/>
          <w:b/>
          <w:color w:val="auto"/>
          <w:sz w:val="32"/>
          <w:szCs w:val="32"/>
          <w:highlight w:val="none"/>
          <w:shd w:val="clear" w:color="auto" w:fill="FFFFFF"/>
          <w:lang w:val="en-US" w:eastAsia="zh-CN"/>
        </w:rPr>
        <w:t>和商务</w:t>
      </w:r>
      <w:r>
        <w:rPr>
          <w:rFonts w:hint="eastAsia" w:ascii="宋体" w:hAnsi="宋体" w:eastAsia="宋体" w:cs="宋体"/>
          <w:b/>
          <w:color w:val="auto"/>
          <w:sz w:val="32"/>
          <w:szCs w:val="32"/>
          <w:highlight w:val="none"/>
          <w:shd w:val="clear" w:color="auto" w:fill="FFFFFF"/>
        </w:rPr>
        <w:t>部分</w:t>
      </w:r>
      <w:bookmarkEnd w:id="211"/>
      <w:bookmarkEnd w:id="212"/>
      <w:bookmarkEnd w:id="213"/>
      <w:bookmarkEnd w:id="214"/>
    </w:p>
    <w:p>
      <w:pPr>
        <w:pageBreakBefore w:val="0"/>
        <w:kinsoku/>
        <w:overflowPunct/>
        <w:bidi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投标人根据招标文件及</w:t>
      </w:r>
      <w:r>
        <w:rPr>
          <w:rFonts w:hint="eastAsia" w:ascii="宋体" w:hAnsi="宋体" w:eastAsia="宋体" w:cs="宋体"/>
          <w:b w:val="0"/>
          <w:bCs w:val="0"/>
          <w:color w:val="auto"/>
          <w:sz w:val="24"/>
          <w:highlight w:val="none"/>
          <w:lang w:eastAsia="zh-CN"/>
        </w:rPr>
        <w:t>评标方法</w:t>
      </w:r>
      <w:r>
        <w:rPr>
          <w:rFonts w:hint="eastAsia" w:ascii="宋体" w:hAnsi="宋体" w:eastAsia="宋体" w:cs="宋体"/>
          <w:b w:val="0"/>
          <w:bCs w:val="0"/>
          <w:color w:val="auto"/>
          <w:sz w:val="24"/>
          <w:highlight w:val="none"/>
        </w:rPr>
        <w:t>进行编制，包含但不限于以下内容（无固定格式，由投标人自行编制）：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技术要求响应程度；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rPr>
        <w:t>根据自身情况据实填写《</w:t>
      </w:r>
      <w:r>
        <w:rPr>
          <w:rFonts w:hint="eastAsia" w:ascii="宋体" w:hAnsi="宋体" w:eastAsia="宋体" w:cs="宋体"/>
          <w:b w:val="0"/>
          <w:bCs w:val="0"/>
          <w:color w:val="auto"/>
          <w:sz w:val="24"/>
          <w:highlight w:val="none"/>
          <w:lang w:val="en-US" w:eastAsia="zh-CN"/>
        </w:rPr>
        <w:t>技术参数响应偏离表</w:t>
      </w:r>
      <w:r>
        <w:rPr>
          <w:rFonts w:hint="eastAsia" w:ascii="宋体" w:hAnsi="宋体" w:eastAsia="宋体" w:cs="宋体"/>
          <w:b w:val="0"/>
          <w:bCs w:val="0"/>
          <w:color w:val="auto"/>
          <w:sz w:val="24"/>
          <w:highlight w:val="none"/>
        </w:rPr>
        <w:t>》，根据自身情况提供技术支持资料等）</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04" w:firstLineChars="200"/>
        <w:jc w:val="both"/>
        <w:textAlignment w:val="auto"/>
        <w:outlineLvl w:val="9"/>
        <w:rPr>
          <w:rFonts w:hint="eastAsia" w:ascii="宋体" w:hAnsi="宋体" w:eastAsia="宋体" w:cs="宋体"/>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2、项目供货方案；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（投标人自拟格式）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b w:val="0"/>
          <w:bCs w:val="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b w:val="0"/>
          <w:bCs w:val="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、售后服务方案；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（投标人自拟格式）</w:t>
      </w:r>
    </w:p>
    <w:p>
      <w:pPr>
        <w:pageBreakBefore w:val="0"/>
        <w:kinsoku/>
        <w:overflowPunct/>
        <w:bidi w:val="0"/>
        <w:spacing w:line="360" w:lineRule="auto"/>
        <w:rPr>
          <w:rFonts w:hint="eastAsia" w:ascii="宋体" w:hAnsi="宋体" w:eastAsia="宋体" w:cs="宋体"/>
          <w:b w:val="0"/>
          <w:bCs w:val="0"/>
        </w:rPr>
      </w:pPr>
    </w:p>
    <w:p>
      <w:pPr>
        <w:pageBreakBefore w:val="0"/>
        <w:kinsoku/>
        <w:overflowPunct/>
        <w:bidi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、类似业绩；</w:t>
      </w:r>
    </w:p>
    <w:p>
      <w:pPr>
        <w:pageBreakBefore w:val="0"/>
        <w:kinsoku/>
        <w:overflowPunct/>
        <w:bidi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（格式参考表一：《类似业绩一览表》，表格外的内容投标人自拟格式）</w:t>
      </w:r>
    </w:p>
    <w:p>
      <w:pPr>
        <w:pStyle w:val="22"/>
        <w:pageBreakBefore w:val="0"/>
        <w:kinsoku/>
        <w:overflowPunct/>
        <w:bidi w:val="0"/>
        <w:spacing w:line="360" w:lineRule="auto"/>
        <w:ind w:left="0" w:leftChars="0" w:firstLine="0" w:firstLineChars="0"/>
        <w:rPr>
          <w:rFonts w:hint="eastAsia" w:ascii="宋体" w:hAnsi="宋体" w:eastAsia="宋体" w:cs="宋体"/>
          <w:b w:val="0"/>
          <w:bCs w:val="0"/>
          <w:color w:val="auto"/>
          <w:highlight w:val="none"/>
        </w:rPr>
      </w:pPr>
    </w:p>
    <w:p>
      <w:pPr>
        <w:pageBreakBefore w:val="0"/>
        <w:numPr>
          <w:ilvl w:val="0"/>
          <w:numId w:val="0"/>
        </w:numPr>
        <w:kinsoku/>
        <w:overflowPunct/>
        <w:bidi w:val="0"/>
        <w:spacing w:line="360" w:lineRule="auto"/>
        <w:ind w:firstLine="480" w:firstLineChars="200"/>
        <w:rPr>
          <w:rFonts w:hint="eastAsia" w:ascii="宋体" w:hAnsi="宋体" w:cs="宋体"/>
          <w:b w:val="0"/>
          <w:bCs w:val="0"/>
          <w:color w:val="auto"/>
          <w:sz w:val="24"/>
          <w:highlight w:val="none"/>
          <w:lang w:val="en-US" w:eastAsia="zh-CN"/>
        </w:rPr>
      </w:pPr>
    </w:p>
    <w:p>
      <w:pPr>
        <w:pageBreakBefore w:val="0"/>
        <w:numPr>
          <w:ilvl w:val="0"/>
          <w:numId w:val="0"/>
        </w:numPr>
        <w:kinsoku/>
        <w:overflowPunct/>
        <w:bidi w:val="0"/>
        <w:spacing w:line="360" w:lineRule="auto"/>
        <w:ind w:firstLine="480" w:firstLineChars="200"/>
        <w:rPr>
          <w:rFonts w:hint="eastAsia" w:ascii="宋体" w:hAnsi="宋体" w:cs="宋体"/>
          <w:b w:val="0"/>
          <w:bCs w:val="0"/>
          <w:color w:val="auto"/>
          <w:sz w:val="24"/>
          <w:highlight w:val="none"/>
          <w:lang w:val="en-US" w:eastAsia="zh-CN"/>
        </w:rPr>
      </w:pPr>
    </w:p>
    <w:p>
      <w:pPr>
        <w:pageBreakBefore w:val="0"/>
        <w:numPr>
          <w:ilvl w:val="0"/>
          <w:numId w:val="0"/>
        </w:numPr>
        <w:kinsoku/>
        <w:overflowPunct/>
        <w:bidi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投标人认为有必要提供的其他资料。</w:t>
      </w:r>
    </w:p>
    <w:p>
      <w:pPr>
        <w:pageBreakBefore w:val="0"/>
        <w:tabs>
          <w:tab w:val="right" w:pos="8306"/>
        </w:tabs>
        <w:kinsoku/>
        <w:overflowPunct/>
        <w:bidi w:val="0"/>
        <w:spacing w:line="360" w:lineRule="auto"/>
        <w:rPr>
          <w:rFonts w:hint="eastAsia" w:ascii="宋体" w:hAnsi="宋体" w:eastAsia="宋体" w:cs="宋体"/>
          <w:b/>
          <w:color w:val="auto"/>
          <w:sz w:val="32"/>
          <w:szCs w:val="32"/>
          <w:highlight w:val="none"/>
          <w:shd w:val="clear" w:color="auto" w:fill="FFFFFF"/>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32"/>
          <w:szCs w:val="32"/>
          <w:highlight w:val="none"/>
          <w:shd w:val="clear" w:color="auto" w:fill="FFFFFF"/>
          <w:lang w:val="en-US" w:eastAsia="zh-CN"/>
        </w:rPr>
        <w:t>表一：</w:t>
      </w:r>
    </w:p>
    <w:p>
      <w:pPr>
        <w:pageBreakBefore w:val="0"/>
        <w:tabs>
          <w:tab w:val="right" w:pos="8306"/>
        </w:tabs>
        <w:kinsoku/>
        <w:overflowPunct/>
        <w:bidi w:val="0"/>
        <w:spacing w:line="360" w:lineRule="auto"/>
        <w:jc w:val="center"/>
        <w:rPr>
          <w:rFonts w:hint="eastAsia" w:ascii="宋体" w:hAnsi="宋体" w:eastAsia="宋体" w:cs="宋体"/>
          <w:b/>
          <w:color w:val="auto"/>
          <w:sz w:val="32"/>
          <w:szCs w:val="32"/>
          <w:highlight w:val="none"/>
          <w:shd w:val="clear" w:color="auto" w:fill="FFFFFF"/>
        </w:rPr>
      </w:pPr>
      <w:r>
        <w:rPr>
          <w:rFonts w:hint="eastAsia" w:ascii="宋体" w:hAnsi="宋体" w:eastAsia="宋体" w:cs="宋体"/>
          <w:b/>
          <w:color w:val="auto"/>
          <w:sz w:val="32"/>
          <w:szCs w:val="32"/>
          <w:highlight w:val="none"/>
          <w:shd w:val="clear" w:color="auto" w:fill="FFFFFF"/>
          <w:lang w:val="en-US" w:eastAsia="zh-CN"/>
        </w:rPr>
        <w:t>类似</w:t>
      </w:r>
      <w:r>
        <w:rPr>
          <w:rFonts w:hint="eastAsia" w:ascii="宋体" w:hAnsi="宋体" w:eastAsia="宋体" w:cs="宋体"/>
          <w:b/>
          <w:color w:val="auto"/>
          <w:sz w:val="32"/>
          <w:szCs w:val="32"/>
          <w:highlight w:val="none"/>
          <w:shd w:val="clear" w:color="auto" w:fill="FFFFFF"/>
        </w:rPr>
        <w:t>业绩一览表</w:t>
      </w:r>
    </w:p>
    <w:p>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z w:val="24"/>
          <w:highlight w:val="none"/>
          <w:shd w:val="clear" w:color="auto" w:fill="FFFFFF"/>
        </w:rPr>
        <w:t>项目名称：</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p>
    <w:p>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项目编号：</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　</w:t>
      </w:r>
    </w:p>
    <w:p>
      <w:pPr>
        <w:pStyle w:val="5"/>
        <w:pageBreakBefore w:val="0"/>
        <w:kinsoku/>
        <w:overflowPunct/>
        <w:bidi w:val="0"/>
        <w:spacing w:line="360" w:lineRule="auto"/>
        <w:rPr>
          <w:rFonts w:hint="eastAsia" w:ascii="宋体" w:hAnsi="宋体" w:eastAsia="宋体" w:cs="宋体"/>
        </w:rPr>
      </w:pPr>
    </w:p>
    <w:tbl>
      <w:tblPr>
        <w:tblStyle w:val="23"/>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20"/>
        <w:gridCol w:w="1440"/>
        <w:gridCol w:w="1320"/>
        <w:gridCol w:w="1161"/>
        <w:gridCol w:w="1260"/>
        <w:gridCol w:w="1651"/>
        <w:gridCol w:w="10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600"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ind w:firstLine="105"/>
              <w:jc w:val="center"/>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shd w:val="clear" w:color="auto" w:fill="FFFFFF"/>
              </w:rPr>
              <w:t>序号</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lang w:val="en-US" w:eastAsia="zh-CN"/>
              </w:rPr>
              <w:t>业主（采购方）</w:t>
            </w:r>
            <w:r>
              <w:rPr>
                <w:rFonts w:hint="eastAsia" w:ascii="宋体" w:hAnsi="宋体" w:eastAsia="宋体" w:cs="宋体"/>
                <w:b/>
                <w:color w:val="auto"/>
                <w:sz w:val="24"/>
                <w:highlight w:val="none"/>
                <w:shd w:val="clear" w:color="auto" w:fill="FFFFFF"/>
              </w:rPr>
              <w:t>名称</w:t>
            </w: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rPr>
              <w:t>项目名称</w:t>
            </w: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bCs/>
                <w:color w:val="auto"/>
                <w:sz w:val="24"/>
                <w:highlight w:val="none"/>
                <w:shd w:val="clear" w:color="auto" w:fill="FFFFFF"/>
              </w:rPr>
              <w:t>合同金额</w:t>
            </w: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ind w:firstLine="105"/>
              <w:jc w:val="center"/>
              <w:rPr>
                <w:rFonts w:hint="eastAsia" w:ascii="宋体" w:hAnsi="宋体" w:eastAsia="宋体" w:cs="宋体"/>
                <w:b/>
                <w:color w:val="auto"/>
                <w:sz w:val="24"/>
                <w:highlight w:val="none"/>
                <w:shd w:val="clear" w:color="auto" w:fill="FFFFFF"/>
              </w:rPr>
            </w:pPr>
            <w:r>
              <w:rPr>
                <w:rFonts w:hint="eastAsia" w:ascii="宋体" w:hAnsi="宋体" w:eastAsia="宋体" w:cs="宋体"/>
                <w:b/>
                <w:color w:val="auto"/>
                <w:sz w:val="24"/>
                <w:highlight w:val="none"/>
                <w:shd w:val="clear" w:color="auto" w:fill="FFFFFF"/>
              </w:rPr>
              <w:t>签订时间</w:t>
            </w: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rPr>
              <w:t>联系人及联系方式</w:t>
            </w: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b/>
                <w:color w:val="auto"/>
                <w:sz w:val="24"/>
                <w:highlight w:val="none"/>
                <w:shd w:val="clear" w:color="auto" w:fill="FFFFFF"/>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Style w:val="30"/>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Style w:val="30"/>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4</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5</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6" w:hRule="atLeast"/>
          <w:jc w:val="center"/>
        </w:trPr>
        <w:tc>
          <w:tcPr>
            <w:tcW w:w="7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Style w:val="14"/>
              <w:pageBreakBefore w:val="0"/>
              <w:kinsoku/>
              <w:overflowPunct/>
              <w:bidi w:val="0"/>
              <w:spacing w:line="360" w:lineRule="auto"/>
              <w:jc w:val="center"/>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lang w:val="en-US" w:eastAsia="zh-CN"/>
              </w:rPr>
              <w:t>...</w:t>
            </w:r>
          </w:p>
        </w:tc>
        <w:tc>
          <w:tcPr>
            <w:tcW w:w="144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32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16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26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651"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c>
          <w:tcPr>
            <w:tcW w:w="1050" w:type="dxa"/>
            <w:tcBorders>
              <w:top w:val="single" w:color="auto" w:sz="4" w:space="0"/>
              <w:left w:val="single" w:color="auto" w:sz="4" w:space="0"/>
              <w:bottom w:val="single" w:color="auto" w:sz="4" w:space="0"/>
              <w:right w:val="single" w:color="auto" w:sz="4" w:space="0"/>
            </w:tcBorders>
            <w:shd w:val="solid" w:color="FFFFFF" w:fill="auto"/>
            <w:noWrap w:val="0"/>
            <w:tcMar>
              <w:top w:w="0" w:type="dxa"/>
              <w:left w:w="54" w:type="dxa"/>
              <w:bottom w:w="0" w:type="dxa"/>
              <w:right w:w="54" w:type="dxa"/>
            </w:tcMar>
            <w:vAlign w:val="center"/>
          </w:tcPr>
          <w:p>
            <w:pPr>
              <w:pageBreakBefore w:val="0"/>
              <w:shd w:val="solid" w:color="FFFFFF" w:fill="auto"/>
              <w:kinsoku/>
              <w:overflowPunct/>
              <w:autoSpaceDN w:val="0"/>
              <w:bidi w:val="0"/>
              <w:spacing w:line="360" w:lineRule="auto"/>
              <w:jc w:val="center"/>
              <w:rPr>
                <w:rFonts w:hint="eastAsia" w:ascii="宋体" w:hAnsi="宋体" w:eastAsia="宋体" w:cs="宋体"/>
                <w:color w:val="auto"/>
                <w:sz w:val="24"/>
                <w:highlight w:val="none"/>
                <w:shd w:val="clear" w:color="auto" w:fill="FFFFFF"/>
              </w:rPr>
            </w:pPr>
          </w:p>
        </w:tc>
      </w:tr>
    </w:tbl>
    <w:p>
      <w:pPr>
        <w:pageBreakBefore w:val="0"/>
        <w:shd w:val="solid" w:color="FFFFFF" w:fill="auto"/>
        <w:kinsoku/>
        <w:overflowPunct/>
        <w:autoSpaceDN w:val="0"/>
        <w:bidi w:val="0"/>
        <w:spacing w:line="360" w:lineRule="auto"/>
        <w:ind w:firstLine="480"/>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附</w:t>
      </w:r>
      <w:r>
        <w:rPr>
          <w:rFonts w:hint="eastAsia" w:ascii="宋体" w:hAnsi="宋体" w:eastAsia="宋体" w:cs="宋体"/>
          <w:b/>
          <w:bCs/>
          <w:color w:val="auto"/>
          <w:sz w:val="24"/>
          <w:highlight w:val="none"/>
          <w:shd w:val="clear" w:color="auto" w:fill="FFFFFF"/>
          <w:lang w:eastAsia="zh-CN"/>
        </w:rPr>
        <w:t>：合同</w:t>
      </w:r>
      <w:r>
        <w:rPr>
          <w:rFonts w:hint="eastAsia" w:ascii="宋体" w:hAnsi="宋体" w:eastAsia="宋体" w:cs="宋体"/>
          <w:b/>
          <w:bCs/>
          <w:color w:val="auto"/>
          <w:sz w:val="24"/>
          <w:highlight w:val="none"/>
          <w:shd w:val="clear" w:color="auto" w:fill="FFFFFF"/>
          <w:lang w:val="en-US" w:eastAsia="zh-CN"/>
        </w:rPr>
        <w:t>扫描件或复印件</w:t>
      </w:r>
      <w:r>
        <w:rPr>
          <w:rFonts w:hint="eastAsia" w:ascii="宋体" w:hAnsi="宋体" w:eastAsia="宋体" w:cs="宋体"/>
          <w:b/>
          <w:bCs/>
          <w:color w:val="auto"/>
          <w:sz w:val="24"/>
          <w:highlight w:val="none"/>
          <w:shd w:val="clear" w:color="auto" w:fill="FFFFFF"/>
          <w:lang w:eastAsia="zh-CN"/>
        </w:rPr>
        <w:t>。</w:t>
      </w:r>
      <w:r>
        <w:rPr>
          <w:rFonts w:hint="eastAsia" w:ascii="宋体" w:hAnsi="宋体" w:eastAsia="宋体" w:cs="宋体"/>
          <w:b/>
          <w:bCs/>
          <w:color w:val="auto"/>
          <w:sz w:val="24"/>
          <w:highlight w:val="none"/>
          <w:shd w:val="clear" w:color="auto" w:fill="FFFFFF"/>
          <w:lang w:val="zh-CN" w:eastAsia="zh-CN"/>
        </w:rPr>
        <w:t>所提供的合同需包含合同首页、</w:t>
      </w:r>
      <w:r>
        <w:rPr>
          <w:rFonts w:hint="eastAsia" w:ascii="宋体" w:hAnsi="宋体" w:eastAsia="宋体" w:cs="宋体"/>
          <w:b/>
          <w:bCs/>
          <w:color w:val="auto"/>
          <w:sz w:val="24"/>
          <w:highlight w:val="none"/>
          <w:shd w:val="clear" w:color="auto" w:fill="FFFFFF"/>
          <w:lang w:val="en-US" w:eastAsia="zh-CN"/>
        </w:rPr>
        <w:t>合同标的内容页</w:t>
      </w:r>
      <w:r>
        <w:rPr>
          <w:rFonts w:hint="eastAsia" w:ascii="宋体" w:hAnsi="宋体" w:eastAsia="宋体" w:cs="宋体"/>
          <w:b/>
          <w:bCs/>
          <w:color w:val="auto"/>
          <w:sz w:val="24"/>
          <w:highlight w:val="none"/>
          <w:shd w:val="clear" w:color="auto" w:fill="FFFFFF"/>
          <w:lang w:val="zh-CN" w:eastAsia="zh-CN"/>
        </w:rPr>
        <w:t>、</w:t>
      </w:r>
      <w:r>
        <w:rPr>
          <w:rFonts w:hint="eastAsia" w:ascii="宋体" w:hAnsi="宋体" w:eastAsia="宋体" w:cs="宋体"/>
          <w:b/>
          <w:bCs/>
          <w:color w:val="auto"/>
          <w:sz w:val="24"/>
          <w:highlight w:val="none"/>
          <w:shd w:val="clear" w:color="auto" w:fill="FFFFFF"/>
          <w:lang w:val="en-US" w:eastAsia="zh-CN"/>
        </w:rPr>
        <w:t>签字盖章页。其中合同首页与合同标的内容页同属一页的，只需提供一页即可</w:t>
      </w:r>
      <w:r>
        <w:rPr>
          <w:rFonts w:hint="eastAsia" w:ascii="宋体" w:hAnsi="宋体" w:eastAsia="宋体" w:cs="宋体"/>
          <w:b/>
          <w:bCs/>
          <w:color w:val="auto"/>
          <w:sz w:val="24"/>
          <w:highlight w:val="none"/>
          <w:shd w:val="clear" w:color="auto" w:fill="FFFFFF"/>
        </w:rPr>
        <w:t>。</w:t>
      </w:r>
    </w:p>
    <w:p>
      <w:pPr>
        <w:pStyle w:val="5"/>
        <w:pageBreakBefore w:val="0"/>
        <w:kinsoku/>
        <w:overflowPunct/>
        <w:bidi w:val="0"/>
        <w:spacing w:line="360" w:lineRule="auto"/>
        <w:rPr>
          <w:rFonts w:hint="eastAsia" w:ascii="宋体" w:hAnsi="宋体" w:eastAsia="宋体" w:cs="宋体"/>
          <w:color w:val="auto"/>
          <w:highlight w:val="none"/>
        </w:rPr>
      </w:pPr>
    </w:p>
    <w:p>
      <w:pPr>
        <w:pStyle w:val="5"/>
        <w:pageBreakBefore w:val="0"/>
        <w:kinsoku/>
        <w:overflowPunct/>
        <w:bidi w:val="0"/>
        <w:spacing w:line="360" w:lineRule="auto"/>
        <w:rPr>
          <w:rFonts w:hint="eastAsia" w:ascii="宋体" w:hAnsi="宋体" w:eastAsia="宋体" w:cs="宋体"/>
          <w:b/>
          <w:color w:val="auto"/>
          <w:sz w:val="24"/>
          <w:highlight w:val="none"/>
        </w:rPr>
      </w:pPr>
    </w:p>
    <w:p>
      <w:pPr>
        <w:pageBreakBefore w:val="0"/>
        <w:kinsoku/>
        <w:overflowPunct/>
        <w:bidi w:val="0"/>
        <w:spacing w:line="360" w:lineRule="auto"/>
        <w:rPr>
          <w:rFonts w:hint="eastAsia" w:ascii="宋体" w:hAnsi="宋体" w:eastAsia="宋体" w:cs="宋体"/>
          <w:b/>
          <w:color w:val="auto"/>
          <w:sz w:val="24"/>
          <w:highlight w:val="none"/>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Style w:val="5"/>
        <w:pageBreakBefore w:val="0"/>
        <w:numPr>
          <w:ilvl w:val="0"/>
          <w:numId w:val="0"/>
        </w:numPr>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ageBreakBefore w:val="0"/>
        <w:kinsoku/>
        <w:overflowPunct/>
        <w:bidi w:val="0"/>
        <w:spacing w:line="360" w:lineRule="auto"/>
        <w:rPr>
          <w:rFonts w:hint="eastAsia" w:ascii="宋体" w:hAnsi="宋体" w:eastAsia="宋体" w:cs="宋体"/>
          <w:color w:val="auto"/>
          <w:sz w:val="24"/>
          <w:highlight w:val="none"/>
        </w:rPr>
      </w:pPr>
    </w:p>
    <w:p>
      <w:pPr>
        <w:pageBreakBefore w:val="0"/>
        <w:kinsoku/>
        <w:overflowPunct/>
        <w:bidi w:val="0"/>
        <w:spacing w:line="360" w:lineRule="auto"/>
        <w:jc w:val="center"/>
        <w:rPr>
          <w:rFonts w:hint="eastAsia" w:ascii="宋体" w:hAnsi="宋体" w:eastAsia="宋体" w:cs="宋体"/>
          <w:color w:val="auto"/>
        </w:rPr>
      </w:pPr>
      <w:r>
        <w:rPr>
          <w:rFonts w:hint="eastAsia" w:ascii="宋体" w:hAnsi="宋体" w:eastAsia="宋体" w:cs="宋体"/>
          <w:lang w:val="en-US" w:eastAsia="zh-CN"/>
        </w:rPr>
        <w:br w:type="page"/>
      </w:r>
      <w:bookmarkStart w:id="215" w:name="_Toc32285"/>
      <w:bookmarkStart w:id="216" w:name="_Toc12712"/>
      <w:bookmarkStart w:id="217" w:name="_Toc1682"/>
      <w:bookmarkStart w:id="218" w:name="_Toc28900"/>
      <w:r>
        <w:rPr>
          <w:rFonts w:hint="eastAsia" w:ascii="宋体" w:hAnsi="宋体" w:eastAsia="宋体" w:cs="宋体"/>
          <w:b/>
          <w:color w:val="auto"/>
          <w:sz w:val="32"/>
          <w:szCs w:val="32"/>
          <w:highlight w:val="none"/>
          <w:shd w:val="clear" w:color="auto" w:fill="FFFFFF"/>
          <w:lang w:val="en-US" w:eastAsia="zh-CN"/>
        </w:rPr>
        <w:t>九</w:t>
      </w:r>
      <w:r>
        <w:rPr>
          <w:rFonts w:hint="eastAsia" w:ascii="宋体" w:hAnsi="宋体" w:eastAsia="宋体" w:cs="宋体"/>
          <w:b/>
          <w:color w:val="auto"/>
          <w:sz w:val="32"/>
          <w:szCs w:val="32"/>
          <w:highlight w:val="none"/>
          <w:shd w:val="clear" w:color="auto" w:fill="FFFFFF"/>
        </w:rPr>
        <w:t>、其它资料</w:t>
      </w:r>
      <w:bookmarkEnd w:id="215"/>
      <w:bookmarkEnd w:id="216"/>
      <w:bookmarkEnd w:id="217"/>
      <w:bookmarkEnd w:id="218"/>
    </w:p>
    <w:p>
      <w:pPr>
        <w:pageBreakBefore w:val="0"/>
        <w:kinsoku/>
        <w:overflowPunct/>
        <w:bidi w:val="0"/>
        <w:spacing w:line="360" w:lineRule="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color w:val="auto"/>
          <w:sz w:val="24"/>
          <w:szCs w:val="24"/>
          <w:highlight w:val="none"/>
        </w:rPr>
        <w:t>履约承诺书</w:t>
      </w:r>
    </w:p>
    <w:p>
      <w:pPr>
        <w:pageBreakBefore w:val="0"/>
        <w:shd w:val="solid" w:color="FFFFFF" w:fill="auto"/>
        <w:kinsoku/>
        <w:overflowPunct/>
        <w:autoSpaceDN w:val="0"/>
        <w:bidi w:val="0"/>
        <w:spacing w:line="360" w:lineRule="auto"/>
        <w:jc w:val="left"/>
        <w:rPr>
          <w:rFonts w:hint="eastAsia" w:ascii="宋体" w:hAnsi="宋体" w:eastAsia="宋体" w:cs="宋体"/>
          <w:b/>
          <w:bCs/>
          <w:color w:val="auto"/>
          <w:sz w:val="24"/>
          <w:highlight w:val="none"/>
          <w:shd w:val="clear" w:color="auto" w:fill="FFFFFF"/>
        </w:rPr>
      </w:pPr>
      <w:r>
        <w:rPr>
          <w:rFonts w:hint="eastAsia" w:ascii="宋体" w:hAnsi="宋体" w:eastAsia="宋体" w:cs="宋体"/>
          <w:b/>
          <w:bCs/>
          <w:color w:val="auto"/>
          <w:sz w:val="24"/>
          <w:highlight w:val="none"/>
          <w:shd w:val="clear" w:color="auto" w:fill="FFFFFF"/>
        </w:rPr>
        <w:t>我单位承诺：</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我单位已详细阅读并完全理解、同意《招标文件》的全部内容，包括修改补充文件以及全部参考资料和有关附件；除我单位在《招标文件》规定期间内书面提出的疑问外，我单位放弃对这方面不明及误解的权利，并严格按采购单位确定的技术及商务要求等履行。</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我单位在开标前已详细了解招标内容，并按采购单位条件及要求编制投标报价；我单位的投标报价包括《招标文件》所述报价组成的所有内容、并包括《招标文件》未列明而完成本项目所必须的所有设备、材料、工具、费用等达到交付使用及验收条件的所有一切风险、责任和义务的费用。我单位确认本次投标报价未低于成本价，保证按《招标文件》要求及投标承诺的质量诚信履约。</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我单位保证在《招标文件》要求及承诺的时间内按期、保质完成中标项目。如我单位中标，将在中标结果公告后，积极、主动地与采购单位联系合同签订事宜，合同签订中如有任何问题，我单位保证及时书面反映情况，否则视为我单位责任、按违约处理。</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除法律规定的不可抗力因素外，我单位中标后以任何理由（包括违背上述承诺的事项）提出不能满足《招标文件》技术、服务等要求或不能实现投标承诺的或提出变更的，我单位将无条件接受违约处理、并放弃我单位中标资格。我单位知悉违约责任及其处理，并无条件接受：不退还投标保证金，情节严重的，由财政部门列入不良行为记录名单，在一至三年内禁止参加本单位政府采购活动，并予以通报，处以罚金，给采购单位及他人造成损失的，承担相应的赔偿责任。</w:t>
      </w:r>
    </w:p>
    <w:p>
      <w:pPr>
        <w:pageBreakBefore w:val="0"/>
        <w:kinsoku/>
        <w:overflowPunct/>
        <w:bidi w:val="0"/>
        <w:spacing w:line="360" w:lineRule="auto"/>
        <w:ind w:firstLine="512" w:firstLineChars="200"/>
        <w:rPr>
          <w:rFonts w:hint="eastAsia" w:ascii="宋体" w:hAnsi="宋体" w:eastAsia="宋体" w:cs="宋体"/>
          <w:color w:val="auto"/>
          <w:spacing w:val="8"/>
          <w:sz w:val="24"/>
          <w:highlight w:val="none"/>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Style w:val="5"/>
        <w:pageBreakBefore w:val="0"/>
        <w:numPr>
          <w:ilvl w:val="0"/>
          <w:numId w:val="0"/>
        </w:numPr>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ageBreakBefore w:val="0"/>
        <w:kinsoku/>
        <w:overflowPunct/>
        <w:bidi w:val="0"/>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所投产品必须是符合国家有关规范和环保要求的正规合格产品，质量达到国家有关标准，保证供货产品知识产权合法且厂家经销权合法。投标人保证向招标人供应交易标的物，不存在侵犯第三方知识产权权利情形，包括不得侵犯他人商标权、专利权及著作权（版权）以及我国法律规定的其他知识产权权利及关邻权利，第三方包括权利人及授权许可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（投标人自拟格式进行承诺）</w:t>
      </w:r>
    </w:p>
    <w:p>
      <w:pPr>
        <w:pageBreakBefore w:val="0"/>
        <w:kinsoku/>
        <w:overflowPunct/>
        <w:bidi w:val="0"/>
        <w:spacing w:line="360" w:lineRule="auto"/>
        <w:rPr>
          <w:rFonts w:hint="eastAsia" w:ascii="宋体" w:hAnsi="宋体" w:eastAsia="宋体" w:cs="宋体"/>
          <w:b/>
          <w:bCs/>
          <w:sz w:val="24"/>
          <w:szCs w:val="24"/>
          <w:lang w:val="en-US" w:eastAsia="zh-CN"/>
        </w:rPr>
      </w:pPr>
    </w:p>
    <w:p>
      <w:pPr>
        <w:pageBreakBefore w:val="0"/>
        <w:kinsoku/>
        <w:overflowPunct/>
        <w:bidi w:val="0"/>
        <w:spacing w:line="360" w:lineRule="auto"/>
        <w:rPr>
          <w:rFonts w:hint="eastAsia" w:ascii="宋体" w:hAnsi="宋体" w:eastAsia="宋体" w:cs="宋体"/>
          <w:b/>
          <w:bCs/>
          <w:sz w:val="24"/>
          <w:szCs w:val="24"/>
          <w:lang w:val="en-US" w:eastAsia="zh-CN"/>
        </w:rPr>
      </w:pPr>
    </w:p>
    <w:p>
      <w:pPr>
        <w:pageBreakBefore w:val="0"/>
        <w:kinsoku/>
        <w:overflowPunct/>
        <w:bidi w:val="0"/>
        <w:spacing w:line="360" w:lineRule="auto"/>
        <w:rPr>
          <w:rFonts w:hint="eastAsia" w:ascii="宋体" w:hAnsi="宋体" w:eastAsia="宋体" w:cs="宋体"/>
          <w:b/>
          <w:bCs/>
          <w:sz w:val="24"/>
          <w:szCs w:val="24"/>
          <w:lang w:val="en-US" w:eastAsia="zh-CN"/>
        </w:rPr>
      </w:pPr>
    </w:p>
    <w:p>
      <w:pPr>
        <w:pageBreakBefore w:val="0"/>
        <w:kinsoku/>
        <w:overflowPunct/>
        <w:bidi w:val="0"/>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pPr>
        <w:pageBreakBefore w:val="0"/>
        <w:kinsoku/>
        <w:overflowPunct/>
        <w:bidi w:val="0"/>
        <w:spacing w:before="360" w:beforeLines="150"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cs="宋体"/>
          <w:b/>
          <w:bCs/>
          <w:sz w:val="24"/>
          <w:szCs w:val="24"/>
          <w:lang w:val="en-US" w:eastAsia="zh-CN"/>
        </w:rPr>
        <w:t>（三）</w:t>
      </w:r>
      <w:r>
        <w:rPr>
          <w:rFonts w:hint="eastAsia" w:ascii="宋体" w:hAnsi="宋体" w:eastAsia="宋体" w:cs="宋体"/>
          <w:b/>
          <w:bCs/>
          <w:color w:val="auto"/>
          <w:sz w:val="24"/>
          <w:szCs w:val="24"/>
          <w:highlight w:val="none"/>
        </w:rPr>
        <w:t>不围标串标承诺书</w:t>
      </w:r>
    </w:p>
    <w:p>
      <w:pPr>
        <w:pageBreakBefore w:val="0"/>
        <w:shd w:val="solid" w:color="FFFFFF" w:fill="auto"/>
        <w:kinsoku/>
        <w:overflowPunct/>
        <w:autoSpaceDN w:val="0"/>
        <w:bidi w:val="0"/>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本公司在此郑重承诺，我们坚守诚信经营的原则，坚决反对并严格禁止任何形式的围标、串标行为。我们认识到这些不正当竞争行为不仅违反了市场公平竞争的基本原则，也损害了整个行业的健康发展和企业的长远利益。</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在参与任何项目的招标、投标过程中，我们将自觉遵守国家相关法律法规，坚持公开、公平、公正的原则，保证所有投标活动的透明性与合法性。我们承诺不会通过任何不正当手段影响或操纵招投标过程，包括但不限于与其他投标者协商报价、分配中标机会等行为。</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此外，我们将加强内部管理，提升员工的法律意识和职业道德水平，确保每一位员工都能理解并执行公司的诚信经营政策。对于任何违反此承诺的行为，我们将采取零容忍的态度，一经发现，将严肃处理，绝不姑息。</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最后，我们再次重申我们的承诺：坚决不参与任何围标、串标行为，致力于成为行业内诚信、守法的典范。</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Style w:val="5"/>
        <w:pageBreakBefore w:val="0"/>
        <w:numPr>
          <w:ilvl w:val="0"/>
          <w:numId w:val="0"/>
        </w:numPr>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ageBreakBefore w:val="0"/>
        <w:kinsoku/>
        <w:overflowPunct/>
        <w:bidi w:val="0"/>
        <w:spacing w:line="360" w:lineRule="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color w:val="auto"/>
          <w:sz w:val="24"/>
          <w:highlight w:val="none"/>
          <w:shd w:val="clear" w:color="auto" w:fill="FFFFFF"/>
          <w:lang w:val="en-US" w:eastAsia="zh-CN"/>
        </w:rPr>
        <w:br w:type="page"/>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44"/>
          <w:sz w:val="24"/>
          <w:szCs w:val="24"/>
          <w:highlight w:val="none"/>
          <w:lang w:val="en-US" w:eastAsia="zh-CN" w:bidi="ar-SA"/>
        </w:rPr>
        <w:t>落实的政府采购政策的相关资料。</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注：投标人根据自身情况提供，如不属于本项目招标文件第二章《投标须知前附表》第29条中（1）、（2）、（3）相关规定的情形，可不用提供。</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例如</w:t>
      </w:r>
      <w:r>
        <w:rPr>
          <w:rFonts w:hint="eastAsia" w:ascii="宋体" w:hAnsi="宋体" w:eastAsia="宋体" w:cs="宋体"/>
          <w:color w:val="auto"/>
          <w:sz w:val="24"/>
          <w:highlight w:val="none"/>
          <w:shd w:val="clear" w:color="auto" w:fill="auto"/>
        </w:rPr>
        <w:t>格式：</w:t>
      </w:r>
    </w:p>
    <w:p>
      <w:pPr>
        <w:keepNext w:val="0"/>
        <w:keepLines w:val="0"/>
        <w:pageBreakBefore w:val="0"/>
        <w:widowControl w:val="0"/>
        <w:tabs>
          <w:tab w:val="left" w:pos="426"/>
        </w:tabs>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1</w:t>
      </w: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rPr>
        <w:t>中小企业声明函</w:t>
      </w: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货物</w:t>
      </w:r>
      <w:r>
        <w:rPr>
          <w:rFonts w:hint="eastAsia" w:ascii="宋体" w:hAnsi="宋体" w:eastAsia="宋体" w:cs="宋体"/>
          <w:b/>
          <w:color w:val="auto"/>
          <w:sz w:val="28"/>
          <w:szCs w:val="28"/>
          <w:highlight w:val="none"/>
          <w:shd w:val="clear" w:color="auto" w:fill="auto"/>
          <w:lang w:eastAsia="zh-CN"/>
        </w:rPr>
        <w:t>）</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本公司郑重声明，根据《政府采购促进中小企业发展管理办法》（财库﹝2020﹞46 号）的规定，本公司参加</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（采购人名称）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的</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（项目名称）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采购活动，提供的货物全部由符合政策要求的中小企业制造。相关企业具体情况如下：</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1.</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w:t>
      </w:r>
      <w:r>
        <w:rPr>
          <w:rFonts w:hint="eastAsia" w:ascii="宋体" w:hAnsi="宋体" w:eastAsia="宋体" w:cs="宋体"/>
          <w:bCs/>
          <w:color w:val="auto"/>
          <w:sz w:val="24"/>
          <w:highlight w:val="none"/>
          <w:u w:val="single"/>
          <w:shd w:val="clear" w:color="auto" w:fill="auto"/>
        </w:rPr>
        <w:t>（标的名称）</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（招标文件中明确的所属行业）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行业；制造商为</w:t>
      </w:r>
      <w:r>
        <w:rPr>
          <w:rFonts w:hint="eastAsia" w:ascii="宋体" w:hAnsi="宋体" w:eastAsia="宋体" w:cs="宋体"/>
          <w:bCs/>
          <w:color w:val="auto"/>
          <w:sz w:val="24"/>
          <w:highlight w:val="none"/>
          <w:u w:val="single"/>
          <w:shd w:val="clear" w:color="auto" w:fill="auto"/>
        </w:rPr>
        <w:t>（企业名称）</w:t>
      </w:r>
      <w:r>
        <w:rPr>
          <w:rFonts w:hint="eastAsia" w:ascii="宋体" w:hAnsi="宋体" w:eastAsia="宋体" w:cs="宋体"/>
          <w:bCs/>
          <w:color w:val="auto"/>
          <w:sz w:val="24"/>
          <w:highlight w:val="none"/>
          <w:shd w:val="clear" w:color="auto" w:fill="auto"/>
        </w:rPr>
        <w:t>，从业人员</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 xml:space="preserve"> 人，营业收入为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万元，资产总额为</w:t>
      </w:r>
      <w:r>
        <w:rPr>
          <w:rFonts w:hint="eastAsia" w:ascii="宋体" w:hAnsi="宋体" w:eastAsia="宋体" w:cs="宋体"/>
          <w:bCs/>
          <w:color w:val="auto"/>
          <w:sz w:val="24"/>
          <w:highlight w:val="none"/>
          <w:u w:val="single"/>
          <w:shd w:val="clear" w:color="auto" w:fill="auto"/>
        </w:rPr>
        <w:t xml:space="preserve">     </w:t>
      </w:r>
      <w:r>
        <w:rPr>
          <w:rFonts w:hint="eastAsia" w:ascii="宋体" w:hAnsi="宋体" w:eastAsia="宋体" w:cs="宋体"/>
          <w:bCs/>
          <w:color w:val="auto"/>
          <w:sz w:val="24"/>
          <w:highlight w:val="none"/>
          <w:shd w:val="clear" w:color="auto" w:fill="auto"/>
        </w:rPr>
        <w:t>万元，属于</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u w:val="single"/>
          <w:shd w:val="clear" w:color="auto" w:fill="auto"/>
        </w:rPr>
        <w:t>（中型企业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小型企业</w:t>
      </w:r>
      <w:r>
        <w:rPr>
          <w:rFonts w:hint="eastAsia" w:ascii="宋体" w:hAnsi="宋体" w:eastAsia="宋体" w:cs="宋体"/>
          <w:bCs/>
          <w:color w:val="auto"/>
          <w:sz w:val="24"/>
          <w:highlight w:val="none"/>
          <w:u w:val="single"/>
          <w:shd w:val="clear" w:color="auto" w:fill="auto"/>
          <w:lang w:val="en-US" w:eastAsia="zh-CN"/>
        </w:rPr>
        <w:t>/</w:t>
      </w:r>
      <w:r>
        <w:rPr>
          <w:rFonts w:hint="eastAsia" w:ascii="宋体" w:hAnsi="宋体" w:eastAsia="宋体" w:cs="宋体"/>
          <w:bCs/>
          <w:color w:val="auto"/>
          <w:sz w:val="24"/>
          <w:highlight w:val="none"/>
          <w:u w:val="single"/>
          <w:shd w:val="clear" w:color="auto" w:fill="auto"/>
        </w:rPr>
        <w:t>微型企业）</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 </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以上企业，不属于大企业的分支构，不存在控股股东为大企业的情形，也不存在与大企业的负责人为同一人的情形。 </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本企业对上述声明内容的真实性负责。如有虚假，将依法承担相应责任。</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p>
    <w:p>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企业名称（盖章）： </w:t>
      </w:r>
    </w:p>
    <w:p>
      <w:pPr>
        <w:keepNext w:val="0"/>
        <w:keepLines w:val="0"/>
        <w:pageBreakBefore w:val="0"/>
        <w:widowControl w:val="0"/>
        <w:tabs>
          <w:tab w:val="left" w:pos="426"/>
        </w:tabs>
        <w:kinsoku/>
        <w:wordWrap/>
        <w:overflowPunct/>
        <w:topLinePunct w:val="0"/>
        <w:bidi w:val="0"/>
        <w:spacing w:line="360" w:lineRule="auto"/>
        <w:ind w:left="0" w:leftChars="0" w:right="0" w:rightChars="0" w:firstLine="5520" w:firstLineChars="23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注：①从业人员、营业收入、资产总额填报上一年度数据，无上一年度数据的新成立企业可不填报。</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②上述“企业名称（盖章）”指投标人。</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③如不是中小微企业，则无需提供或填写。</w:t>
      </w: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pPr>
        <w:pStyle w:val="5"/>
        <w:keepNext w:val="0"/>
        <w:keepLines w:val="0"/>
        <w:pageBreakBefore w:val="0"/>
        <w:widowControl w:val="0"/>
        <w:kinsoku/>
        <w:wordWrap/>
        <w:overflowPunct/>
        <w:topLinePunct w:val="0"/>
        <w:bidi w:val="0"/>
        <w:spacing w:after="0" w:line="360" w:lineRule="auto"/>
        <w:ind w:left="0" w:leftChars="0" w:right="0" w:rightChars="0"/>
        <w:textAlignment w:val="auto"/>
        <w:outlineLvl w:val="9"/>
        <w:rPr>
          <w:rFonts w:hint="eastAsia" w:ascii="宋体" w:hAnsi="宋体" w:eastAsia="宋体" w:cs="宋体"/>
          <w:color w:val="auto"/>
          <w:sz w:val="24"/>
          <w:highlight w:val="none"/>
          <w:shd w:val="clear" w:color="auto" w:fill="auto"/>
          <w:lang w:val="en-US" w:eastAsia="zh-CN"/>
        </w:rPr>
      </w:pPr>
    </w:p>
    <w:p>
      <w:pPr>
        <w:keepNext w:val="0"/>
        <w:keepLines w:val="0"/>
        <w:pageBreakBefore w:val="0"/>
        <w:widowControl w:val="0"/>
        <w:tabs>
          <w:tab w:val="left" w:pos="426"/>
        </w:tabs>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z w:val="28"/>
          <w:szCs w:val="28"/>
          <w:highlight w:val="none"/>
          <w:shd w:val="clear" w:color="auto" w:fill="auto"/>
          <w:lang w:eastAsia="zh-CN"/>
        </w:rPr>
      </w:pPr>
      <w:r>
        <w:rPr>
          <w:rFonts w:hint="eastAsia" w:ascii="宋体" w:hAnsi="宋体" w:eastAsia="宋体" w:cs="宋体"/>
          <w:b/>
          <w:color w:val="auto"/>
          <w:sz w:val="28"/>
          <w:szCs w:val="28"/>
          <w:highlight w:val="none"/>
          <w:shd w:val="clear" w:color="auto" w:fill="auto"/>
          <w:lang w:eastAsia="zh-CN"/>
        </w:rPr>
        <w:t>（</w:t>
      </w:r>
      <w:r>
        <w:rPr>
          <w:rFonts w:hint="eastAsia" w:ascii="宋体" w:hAnsi="宋体" w:eastAsia="宋体" w:cs="宋体"/>
          <w:b/>
          <w:color w:val="auto"/>
          <w:sz w:val="28"/>
          <w:szCs w:val="28"/>
          <w:highlight w:val="none"/>
          <w:shd w:val="clear" w:color="auto" w:fill="auto"/>
          <w:lang w:val="en-US" w:eastAsia="zh-CN"/>
        </w:rPr>
        <w:t>2</w:t>
      </w:r>
      <w:r>
        <w:rPr>
          <w:rFonts w:hint="eastAsia" w:ascii="宋体" w:hAnsi="宋体" w:eastAsia="宋体" w:cs="宋体"/>
          <w:b/>
          <w:color w:val="auto"/>
          <w:sz w:val="28"/>
          <w:szCs w:val="28"/>
          <w:highlight w:val="none"/>
          <w:shd w:val="clear" w:color="auto" w:fill="auto"/>
          <w:lang w:eastAsia="zh-CN"/>
        </w:rPr>
        <w:t>）监狱企业证明文件</w:t>
      </w:r>
    </w:p>
    <w:p>
      <w:pPr>
        <w:keepNext w:val="0"/>
        <w:keepLines w:val="0"/>
        <w:pageBreakBefore w:val="0"/>
        <w:widowControl w:val="0"/>
        <w:kinsoku/>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bidi w:val="0"/>
        <w:spacing w:line="360" w:lineRule="auto"/>
        <w:ind w:left="0" w:leftChars="0" w:right="0" w:rightChars="0" w:firstLine="360" w:firstLineChars="15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pacing w:val="6"/>
          <w:sz w:val="24"/>
          <w:highlight w:val="none"/>
          <w:shd w:val="clear" w:color="auto" w:fill="auto"/>
        </w:rPr>
        <w:t>（注：不属于的无需提供）</w:t>
      </w:r>
    </w:p>
    <w:p>
      <w:pPr>
        <w:keepNext w:val="0"/>
        <w:keepLines w:val="0"/>
        <w:pageBreakBefore w:val="0"/>
        <w:widowControl w:val="0"/>
        <w:kinsoku/>
        <w:wordWrap/>
        <w:overflowPunct/>
        <w:topLinePunct w:val="0"/>
        <w:bidi w:val="0"/>
        <w:spacing w:line="360" w:lineRule="auto"/>
        <w:ind w:left="0" w:leftChars="0" w:right="0" w:rightChars="0" w:firstLine="472" w:firstLineChars="196"/>
        <w:textAlignment w:val="auto"/>
        <w:outlineLvl w:val="9"/>
        <w:rPr>
          <w:rFonts w:hint="eastAsia" w:ascii="宋体" w:hAnsi="宋体" w:eastAsia="宋体" w:cs="宋体"/>
          <w:b/>
          <w:color w:val="auto"/>
          <w:kern w:val="0"/>
          <w:sz w:val="24"/>
          <w:highlight w:val="none"/>
          <w:shd w:val="clear" w:color="auto" w:fill="auto"/>
          <w:lang w:bidi="en-US"/>
        </w:rPr>
      </w:pPr>
    </w:p>
    <w:p>
      <w:pPr>
        <w:pStyle w:val="5"/>
        <w:pageBreakBefore w:val="0"/>
        <w:kinsoku/>
        <w:overflowPunct/>
        <w:bidi w:val="0"/>
        <w:spacing w:line="360" w:lineRule="auto"/>
        <w:rPr>
          <w:rFonts w:hint="eastAsia" w:ascii="宋体" w:hAnsi="宋体" w:eastAsia="宋体" w:cs="宋体"/>
          <w:b/>
          <w:color w:val="auto"/>
          <w:kern w:val="0"/>
          <w:sz w:val="24"/>
          <w:highlight w:val="none"/>
          <w:shd w:val="clear" w:color="auto" w:fill="auto"/>
          <w:lang w:bidi="en-US"/>
        </w:rPr>
      </w:pPr>
    </w:p>
    <w:p>
      <w:pPr>
        <w:pageBreakBefore w:val="0"/>
        <w:kinsoku/>
        <w:overflowPunct/>
        <w:bidi w:val="0"/>
        <w:spacing w:line="360" w:lineRule="auto"/>
        <w:rPr>
          <w:rFonts w:hint="eastAsia" w:ascii="宋体" w:hAnsi="宋体" w:eastAsia="宋体" w:cs="宋体"/>
          <w:b/>
          <w:color w:val="auto"/>
          <w:kern w:val="0"/>
          <w:sz w:val="24"/>
          <w:highlight w:val="none"/>
          <w:shd w:val="clear" w:color="auto" w:fill="auto"/>
          <w:lang w:bidi="en-US"/>
        </w:rPr>
      </w:pPr>
    </w:p>
    <w:p>
      <w:pPr>
        <w:pStyle w:val="5"/>
        <w:pageBreakBefore w:val="0"/>
        <w:kinsoku/>
        <w:overflowPunct/>
        <w:bidi w:val="0"/>
        <w:spacing w:line="360" w:lineRule="auto"/>
        <w:rPr>
          <w:rFonts w:hint="eastAsia" w:ascii="宋体" w:hAnsi="宋体" w:eastAsia="宋体" w:cs="宋体"/>
          <w:color w:val="auto"/>
        </w:rPr>
      </w:pPr>
    </w:p>
    <w:p>
      <w:pPr>
        <w:keepNext w:val="0"/>
        <w:keepLines w:val="0"/>
        <w:pageBreakBefore w:val="0"/>
        <w:widowControl w:val="0"/>
        <w:numPr>
          <w:ilvl w:val="0"/>
          <w:numId w:val="10"/>
        </w:numPr>
        <w:tabs>
          <w:tab w:val="left" w:pos="426"/>
        </w:tabs>
        <w:kinsoku/>
        <w:wordWrap/>
        <w:overflowPunct/>
        <w:topLinePunct w:val="0"/>
        <w:bidi w:val="0"/>
        <w:spacing w:line="360" w:lineRule="auto"/>
        <w:ind w:left="0" w:leftChars="0" w:right="0" w:rightChars="0"/>
        <w:jc w:val="center"/>
        <w:textAlignment w:val="auto"/>
        <w:outlineLvl w:val="9"/>
        <w:rPr>
          <w:rFonts w:hint="eastAsia" w:ascii="宋体" w:hAnsi="宋体" w:eastAsia="宋体" w:cs="宋体"/>
          <w:b/>
          <w:color w:val="auto"/>
          <w:sz w:val="28"/>
          <w:szCs w:val="28"/>
          <w:highlight w:val="none"/>
          <w:shd w:val="clear" w:color="auto" w:fill="auto"/>
          <w:lang w:eastAsia="zh-CN"/>
        </w:rPr>
      </w:pPr>
      <w:r>
        <w:rPr>
          <w:rFonts w:hint="eastAsia" w:ascii="宋体" w:hAnsi="宋体" w:eastAsia="宋体" w:cs="宋体"/>
          <w:b/>
          <w:color w:val="auto"/>
          <w:sz w:val="28"/>
          <w:szCs w:val="28"/>
          <w:highlight w:val="none"/>
          <w:shd w:val="clear" w:color="auto" w:fill="auto"/>
          <w:lang w:eastAsia="zh-CN"/>
        </w:rPr>
        <w:t>残疾人福利性单位声明函</w:t>
      </w:r>
    </w:p>
    <w:p>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 w:val="24"/>
          <w:highlight w:val="none"/>
          <w:u w:val="single"/>
          <w:shd w:val="clear" w:color="auto" w:fill="auto"/>
        </w:rPr>
        <w:t xml:space="preserve">   （采购人名称）</w:t>
      </w:r>
      <w:r>
        <w:rPr>
          <w:rFonts w:hint="eastAsia" w:ascii="宋体" w:hAnsi="宋体" w:eastAsia="宋体" w:cs="宋体"/>
          <w:bCs/>
          <w:color w:val="auto"/>
          <w:sz w:val="24"/>
          <w:highlight w:val="none"/>
          <w:shd w:val="clear" w:color="auto" w:fill="auto"/>
        </w:rPr>
        <w:t>单位的</w:t>
      </w:r>
      <w:r>
        <w:rPr>
          <w:rFonts w:hint="eastAsia" w:ascii="宋体" w:hAnsi="宋体" w:eastAsia="宋体" w:cs="宋体"/>
          <w:bCs/>
          <w:color w:val="auto"/>
          <w:sz w:val="24"/>
          <w:highlight w:val="none"/>
          <w:u w:val="single"/>
          <w:shd w:val="clear" w:color="auto" w:fill="auto"/>
        </w:rPr>
        <w:t xml:space="preserve">     （项目名称）</w:t>
      </w:r>
      <w:r>
        <w:rPr>
          <w:rFonts w:hint="eastAsia" w:ascii="宋体" w:hAnsi="宋体" w:eastAsia="宋体" w:cs="宋体"/>
          <w:bCs/>
          <w:color w:val="auto"/>
          <w:sz w:val="24"/>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pacing w:line="360" w:lineRule="auto"/>
        <w:ind w:left="0" w:leftChars="0" w:right="0" w:rightChars="0" w:firstLine="470" w:firstLineChars="196"/>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本单位对上述声明的真实性负责。如有虚假，将依法承担相应责任。</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单位名称（盖章）： </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outlineLvl w:val="9"/>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日  期：</w:t>
      </w:r>
    </w:p>
    <w:p>
      <w:pPr>
        <w:pStyle w:val="5"/>
        <w:pageBreakBefore w:val="0"/>
        <w:kinsoku/>
        <w:overflowPunct/>
        <w:bidi w:val="0"/>
        <w:spacing w:line="360" w:lineRule="auto"/>
        <w:jc w:val="center"/>
        <w:rPr>
          <w:rFonts w:hint="eastAsia" w:ascii="宋体" w:hAnsi="宋体" w:eastAsia="宋体" w:cs="宋体"/>
          <w:color w:val="auto"/>
        </w:rPr>
      </w:pPr>
      <w:r>
        <w:rPr>
          <w:rFonts w:hint="eastAsia" w:ascii="宋体" w:hAnsi="宋体" w:eastAsia="宋体" w:cs="宋体"/>
          <w:color w:val="auto"/>
          <w:spacing w:val="6"/>
          <w:sz w:val="24"/>
          <w:highlight w:val="none"/>
          <w:shd w:val="clear" w:color="auto" w:fill="auto"/>
        </w:rPr>
        <w:t>（注：不属于的无需提供）</w:t>
      </w:r>
    </w:p>
    <w:p>
      <w:pPr>
        <w:pStyle w:val="5"/>
        <w:pageBreakBefore w:val="0"/>
        <w:numPr>
          <w:ilvl w:val="0"/>
          <w:numId w:val="0"/>
        </w:numPr>
        <w:kinsoku/>
        <w:overflowPunct/>
        <w:bidi w:val="0"/>
        <w:spacing w:line="360" w:lineRule="auto"/>
        <w:rPr>
          <w:rFonts w:hint="eastAsia" w:ascii="宋体" w:hAnsi="宋体" w:eastAsia="宋体" w:cs="宋体"/>
          <w:b/>
          <w:bCs/>
          <w:color w:val="auto"/>
          <w:sz w:val="24"/>
          <w:szCs w:val="24"/>
          <w:highlight w:val="none"/>
          <w:lang w:val="en-US" w:eastAsia="zh-CN"/>
        </w:rPr>
      </w:pPr>
    </w:p>
    <w:p>
      <w:pPr>
        <w:pageBreakBefore w:val="0"/>
        <w:kinsoku/>
        <w:overflowPunct/>
        <w:bidi w:val="0"/>
        <w:spacing w:line="360" w:lineRule="auto"/>
        <w:rPr>
          <w:rFonts w:hint="eastAsia" w:ascii="宋体" w:hAnsi="宋体" w:eastAsia="宋体" w:cs="宋体"/>
          <w:b/>
          <w:color w:val="auto"/>
          <w:sz w:val="24"/>
          <w:szCs w:val="24"/>
          <w:highlight w:val="none"/>
          <w:shd w:val="clear" w:color="auto" w:fill="FFFFFF"/>
          <w:lang w:val="en-US" w:eastAsia="zh-CN"/>
        </w:rPr>
      </w:pPr>
    </w:p>
    <w:p>
      <w:pPr>
        <w:pageBreakBefore w:val="0"/>
        <w:kinsoku/>
        <w:overflowPunct/>
        <w:bidi w:val="0"/>
        <w:spacing w:after="100" w:afterAutospacing="1" w:line="360" w:lineRule="auto"/>
        <w:jc w:val="center"/>
        <w:rPr>
          <w:rFonts w:hint="eastAsia" w:ascii="宋体" w:hAnsi="宋体" w:eastAsia="宋体" w:cs="宋体"/>
          <w:b/>
          <w:color w:val="auto"/>
          <w:sz w:val="28"/>
          <w:szCs w:val="28"/>
          <w:highlight w:val="none"/>
          <w:shd w:val="clear" w:color="auto" w:fill="FFFFFF" w:themeFill="background1"/>
        </w:rPr>
      </w:pPr>
      <w:r>
        <w:rPr>
          <w:rFonts w:hint="eastAsia" w:ascii="宋体" w:hAnsi="宋体" w:eastAsia="宋体" w:cs="宋体"/>
          <w:b/>
          <w:color w:val="auto"/>
          <w:sz w:val="24"/>
          <w:szCs w:val="24"/>
          <w:highlight w:val="none"/>
          <w:shd w:val="clear" w:color="auto" w:fill="FFFFFF"/>
          <w:lang w:val="en-US" w:eastAsia="zh-CN"/>
        </w:rPr>
        <w:br w:type="page"/>
      </w:r>
      <w:r>
        <w:rPr>
          <w:rFonts w:hint="eastAsia" w:ascii="宋体" w:hAnsi="宋体" w:eastAsia="宋体" w:cs="宋体"/>
          <w:b/>
          <w:color w:val="auto"/>
          <w:sz w:val="28"/>
          <w:szCs w:val="28"/>
          <w:highlight w:val="none"/>
          <w:shd w:val="clear" w:color="auto" w:fill="FFFFFF" w:themeFill="background1"/>
          <w:lang w:val="en-US" w:eastAsia="zh-CN"/>
        </w:rPr>
        <w:t>（五）</w:t>
      </w:r>
      <w:r>
        <w:rPr>
          <w:rFonts w:hint="eastAsia" w:ascii="宋体" w:hAnsi="宋体" w:eastAsia="宋体" w:cs="宋体"/>
          <w:b/>
          <w:color w:val="auto"/>
          <w:sz w:val="28"/>
          <w:szCs w:val="28"/>
          <w:highlight w:val="none"/>
          <w:shd w:val="clear" w:color="auto" w:fill="FFFFFF" w:themeFill="background1"/>
        </w:rPr>
        <w:t>关于符合本国产品标准的声明函</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本公司（单位）郑重声明，根据</w:t>
      </w:r>
      <w:bookmarkStart w:id="219" w:name="OLE_LINK3"/>
      <w:r>
        <w:rPr>
          <w:rFonts w:hint="eastAsia" w:ascii="宋体" w:hAnsi="宋体" w:eastAsia="宋体" w:cs="宋体"/>
          <w:bCs/>
          <w:color w:val="auto"/>
          <w:sz w:val="24"/>
          <w:szCs w:val="24"/>
          <w:highlight w:val="none"/>
          <w:shd w:val="clear" w:color="auto" w:fill="FFFFFF" w:themeFill="background1"/>
        </w:rPr>
        <w:t>《国务院办公厅关于在政府采购中实施本国产品标准及相关政策的通知》（国办发〔2025〕34号）</w:t>
      </w:r>
      <w:bookmarkEnd w:id="219"/>
      <w:r>
        <w:rPr>
          <w:rFonts w:hint="eastAsia" w:ascii="宋体" w:hAnsi="宋体" w:eastAsia="宋体" w:cs="宋体"/>
          <w:bCs/>
          <w:color w:val="auto"/>
          <w:sz w:val="24"/>
          <w:szCs w:val="24"/>
          <w:highlight w:val="none"/>
          <w:shd w:val="clear" w:color="auto" w:fill="FFFFFF" w:themeFill="background1"/>
        </w:rPr>
        <w:t>的规定，本公司（单位）提供的以下产品属于本国产品。具体情况如下：</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1.（产品名称1）</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，生产厂为（厂名）</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，厂址为（生产厂址）</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（产品名称1）</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的中国境内生产的组件成本占比≥</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（规定比例）。</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（产品名称1）</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的（关键组件）在中国境内生产。</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（产品名称1）</w:t>
      </w:r>
      <w:bookmarkStart w:id="220" w:name="OLE_LINK67"/>
      <w:r>
        <w:rPr>
          <w:rFonts w:hint="eastAsia" w:ascii="宋体" w:hAnsi="宋体" w:eastAsia="宋体" w:cs="宋体"/>
          <w:bCs/>
          <w:color w:val="auto"/>
          <w:sz w:val="24"/>
          <w:szCs w:val="24"/>
          <w:highlight w:val="none"/>
          <w:u w:val="single"/>
          <w:shd w:val="clear" w:color="auto" w:fill="FFFFFF" w:themeFill="background1"/>
        </w:rPr>
        <w:t xml:space="preserve">      </w:t>
      </w:r>
      <w:bookmarkEnd w:id="220"/>
      <w:r>
        <w:rPr>
          <w:rFonts w:hint="eastAsia" w:ascii="宋体" w:hAnsi="宋体" w:eastAsia="宋体" w:cs="宋体"/>
          <w:bCs/>
          <w:color w:val="auto"/>
          <w:sz w:val="24"/>
          <w:szCs w:val="24"/>
          <w:highlight w:val="none"/>
          <w:shd w:val="clear" w:color="auto" w:fill="FFFFFF" w:themeFill="background1"/>
        </w:rPr>
        <w:t>的（关键工序）在中国境内完成。</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2.（产品名称2）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，生产厂为（厂名）</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，厂址为（生产厂址）</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的中国境内生产的组件成本占比≥</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（规定比例）。</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的（关键组件）在中国境内生产。</w:t>
      </w:r>
    </w:p>
    <w:p>
      <w:pPr>
        <w:pageBreakBefore w:val="0"/>
        <w:kinsoku/>
        <w:overflowPunct/>
        <w:bidi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（产品名称2）</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的（关键工序）在中国境内完成。</w:t>
      </w:r>
    </w:p>
    <w:p>
      <w:pPr>
        <w:pageBreakBefore w:val="0"/>
        <w:kinsoku/>
        <w:overflowPunct/>
        <w:bidi w:val="0"/>
        <w:spacing w:after="100" w:afterAutospacing="1" w:line="360" w:lineRule="auto"/>
        <w:ind w:firstLine="480" w:firstLineChars="200"/>
        <w:jc w:val="left"/>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w:t>
      </w:r>
    </w:p>
    <w:p>
      <w:pPr>
        <w:pageBreakBefore w:val="0"/>
        <w:kinsoku/>
        <w:overflowPunct/>
        <w:bidi w:val="0"/>
        <w:spacing w:after="100" w:afterAutospacing="1"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本公司（单位）对上述声明内容的真实性负责。如有虚假，愿承担相应法律责任。</w:t>
      </w:r>
    </w:p>
    <w:p>
      <w:pPr>
        <w:pageBreakBefore w:val="0"/>
        <w:kinsoku/>
        <w:overflowPunct/>
        <w:bidi w:val="0"/>
        <w:spacing w:after="100" w:afterAutospacing="1"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公司（单位）名称（盖章）：</w:t>
      </w:r>
    </w:p>
    <w:p>
      <w:pPr>
        <w:pageBreakBefore w:val="0"/>
        <w:tabs>
          <w:tab w:val="left" w:pos="3757"/>
        </w:tabs>
        <w:kinsoku/>
        <w:overflowPunct/>
        <w:bidi w:val="0"/>
        <w:spacing w:after="100" w:afterAutospacing="1"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日期：     年    月    日</w:t>
      </w:r>
      <w:r>
        <w:rPr>
          <w:rFonts w:hint="eastAsia" w:ascii="宋体" w:hAnsi="宋体" w:eastAsia="宋体" w:cs="宋体"/>
          <w:bCs/>
          <w:color w:val="auto"/>
          <w:sz w:val="24"/>
          <w:szCs w:val="24"/>
          <w:highlight w:val="none"/>
          <w:shd w:val="clear" w:color="auto" w:fill="FFFFFF" w:themeFill="background1"/>
        </w:rPr>
        <w:tab/>
      </w:r>
    </w:p>
    <w:p>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（1）产品如有型号，请在“产品名称”栏一并填写。</w:t>
      </w:r>
    </w:p>
    <w:p>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（2）生产厂名与厂址应与生产厂营业执照载明的相关信息保持一致。</w:t>
      </w:r>
    </w:p>
    <w:p>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（3）该产品的中国境内生产的组件成本占比相关要求实施前，“规定比例”栏可不填，下同。</w:t>
      </w:r>
    </w:p>
    <w:p>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（4）该产品的关键组件要求实施前，“关键组件”栏可不填，下同。</w:t>
      </w:r>
    </w:p>
    <w:p>
      <w:pPr>
        <w:pageBreakBefore w:val="0"/>
        <w:kinsoku/>
        <w:overflowPunct/>
        <w:bidi w:val="0"/>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（5）该产品的关键工序要求实施前，“关键工序”栏可不填，下同。</w:t>
      </w:r>
    </w:p>
    <w:p>
      <w:pPr>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w:t>
      </w:r>
      <w:r>
        <w:rPr>
          <w:rFonts w:hint="eastAsia" w:ascii="宋体" w:hAnsi="宋体" w:eastAsia="宋体" w:cs="宋体"/>
          <w:b/>
          <w:color w:val="auto"/>
          <w:sz w:val="24"/>
          <w:szCs w:val="24"/>
          <w:highlight w:val="none"/>
        </w:rPr>
        <w:t>关于符合本国产品标准的声明函</w:t>
      </w:r>
      <w:r>
        <w:rPr>
          <w:rFonts w:hint="eastAsia" w:ascii="宋体" w:hAnsi="宋体" w:eastAsia="宋体" w:cs="宋体"/>
          <w:color w:val="auto"/>
          <w:sz w:val="24"/>
          <w:szCs w:val="24"/>
          <w:highlight w:val="none"/>
        </w:rPr>
        <w:t>》的说明：</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1.为确保产品在运输或者储存期间保持某种状态而进行的操作；</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2.为产品运输或者销售进行的包装或者展示；</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3.在产品或者其包装上粘贴或者印刷品牌、标志、标识以及其他用于区别的标记；</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4.简单地上漆、磨光和分装；</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5.其他不属于属性改变的情形。</w:t>
      </w:r>
    </w:p>
    <w:p>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ageBreakBefore w:val="0"/>
        <w:kinsoku/>
        <w:overflowPunct/>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当采购项目或者采购包中含有多种产品的，投标人还应当提供《关于本国产品比例的声明函》，承诺提供的符合本国产品标准的产品成本之和占提供的全部产品成本之和的比例达到80%，如投标人未按照前述要求提供相关内容的，不享受本国产品的支持政策。</w:t>
      </w:r>
    </w:p>
    <w:p>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（5）中标人提供的本声明函将随中标结果同时公告。</w:t>
      </w:r>
    </w:p>
    <w:p>
      <w:pPr>
        <w:pStyle w:val="5"/>
        <w:pageBreakBefore w:val="0"/>
        <w:kinsoku/>
        <w:overflowPunct/>
        <w:bidi w:val="0"/>
        <w:spacing w:after="0" w:line="360" w:lineRule="auto"/>
        <w:rPr>
          <w:rFonts w:hint="eastAsia" w:ascii="宋体" w:hAnsi="宋体" w:eastAsia="宋体" w:cs="宋体"/>
          <w:color w:val="auto"/>
          <w:highlight w:val="none"/>
        </w:rPr>
      </w:pPr>
    </w:p>
    <w:p>
      <w:pPr>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rPr>
          <w:rFonts w:hint="eastAsia" w:ascii="宋体" w:hAnsi="宋体" w:eastAsia="宋体" w:cs="宋体"/>
          <w:color w:val="auto"/>
          <w:highlight w:val="none"/>
        </w:rPr>
      </w:pPr>
    </w:p>
    <w:p>
      <w:pPr>
        <w:pageBreakBefore w:val="0"/>
        <w:kinsoku/>
        <w:overflowPunct/>
        <w:bidi w:val="0"/>
        <w:spacing w:line="360" w:lineRule="auto"/>
        <w:jc w:val="center"/>
        <w:rPr>
          <w:rFonts w:hint="eastAsia" w:ascii="宋体" w:hAnsi="宋体" w:eastAsia="宋体" w:cs="宋体"/>
          <w:b/>
          <w:color w:val="auto"/>
          <w:sz w:val="28"/>
          <w:szCs w:val="28"/>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br w:type="page"/>
      </w:r>
      <w:r>
        <w:rPr>
          <w:rFonts w:hint="eastAsia" w:ascii="宋体" w:hAnsi="宋体" w:eastAsia="宋体" w:cs="宋体"/>
          <w:b/>
          <w:color w:val="auto"/>
          <w:sz w:val="28"/>
          <w:szCs w:val="28"/>
          <w:highlight w:val="none"/>
          <w:shd w:val="clear" w:color="auto" w:fill="FFFFFF" w:themeFill="background1"/>
          <w:lang w:eastAsia="zh-CN"/>
        </w:rPr>
        <w:t>（</w:t>
      </w:r>
      <w:r>
        <w:rPr>
          <w:rFonts w:hint="eastAsia" w:ascii="宋体" w:hAnsi="宋体" w:eastAsia="宋体" w:cs="宋体"/>
          <w:b/>
          <w:color w:val="auto"/>
          <w:sz w:val="28"/>
          <w:szCs w:val="28"/>
          <w:highlight w:val="none"/>
          <w:shd w:val="clear" w:color="auto" w:fill="FFFFFF" w:themeFill="background1"/>
          <w:lang w:val="en-US" w:eastAsia="zh-CN"/>
        </w:rPr>
        <w:t>六）</w:t>
      </w:r>
      <w:r>
        <w:rPr>
          <w:rFonts w:hint="eastAsia" w:ascii="宋体" w:hAnsi="宋体" w:eastAsia="宋体" w:cs="宋体"/>
          <w:b/>
          <w:color w:val="auto"/>
          <w:sz w:val="28"/>
          <w:szCs w:val="28"/>
          <w:highlight w:val="none"/>
          <w:shd w:val="clear" w:color="auto" w:fill="FFFFFF" w:themeFill="background1"/>
        </w:rPr>
        <w:t>关于本国产品比例的声明函</w:t>
      </w:r>
    </w:p>
    <w:p>
      <w:pPr>
        <w:pageBreakBefore w:val="0"/>
        <w:kinsoku/>
        <w:overflowPunct/>
        <w:bidi w:val="0"/>
        <w:snapToGrid w:val="0"/>
        <w:spacing w:line="360" w:lineRule="auto"/>
        <w:ind w:firstLine="420" w:firstLineChars="200"/>
        <w:rPr>
          <w:rFonts w:hint="eastAsia" w:ascii="宋体" w:hAnsi="宋体" w:eastAsia="宋体" w:cs="宋体"/>
          <w:color w:val="auto"/>
          <w:szCs w:val="21"/>
          <w:highlight w:val="none"/>
        </w:rPr>
      </w:pPr>
    </w:p>
    <w:p>
      <w:pPr>
        <w:pageBreakBefore w:val="0"/>
        <w:widowControl/>
        <w:kinsoku/>
        <w:overflowPunct/>
        <w:bidi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p>
    <w:p>
      <w:pPr>
        <w:pageBreakBefore w:val="0"/>
        <w:kinsoku/>
        <w:overflowPunct/>
        <w:bidi w:val="0"/>
        <w:spacing w:line="360" w:lineRule="auto"/>
        <w:ind w:firstLine="480" w:firstLineChars="200"/>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sz w:val="24"/>
          <w:szCs w:val="24"/>
          <w:highlight w:val="none"/>
          <w:lang w:bidi="ar"/>
        </w:rPr>
        <w:t>本公司（单位）对上述声明内容的真实性负责。如有虚假，愿承担相应法律责任。</w:t>
      </w:r>
    </w:p>
    <w:p>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pPr>
        <w:pageBreakBefore w:val="0"/>
        <w:kinsoku/>
        <w:overflowPunct/>
        <w:bidi w:val="0"/>
        <w:spacing w:line="360" w:lineRule="auto"/>
        <w:rPr>
          <w:rFonts w:hint="eastAsia" w:ascii="宋体" w:hAnsi="宋体" w:eastAsia="宋体" w:cs="宋体"/>
          <w:b/>
          <w:color w:val="auto"/>
          <w:sz w:val="24"/>
          <w:szCs w:val="24"/>
          <w:highlight w:val="none"/>
          <w:shd w:val="clear" w:color="auto" w:fill="FFFFFF" w:themeFill="background1"/>
        </w:rPr>
      </w:pPr>
    </w:p>
    <w:p>
      <w:pPr>
        <w:pageBreakBefore w:val="0"/>
        <w:widowControl/>
        <w:kinsoku/>
        <w:overflowPunct/>
        <w:bidi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公司（单位）名称（盖章）：</w:t>
      </w:r>
      <w:r>
        <w:rPr>
          <w:rFonts w:hint="eastAsia" w:ascii="宋体" w:hAnsi="宋体" w:eastAsia="宋体" w:cs="宋体"/>
          <w:color w:val="auto"/>
          <w:sz w:val="24"/>
          <w:szCs w:val="24"/>
          <w:highlight w:val="none"/>
          <w:u w:val="single"/>
          <w:lang w:bidi="ar"/>
        </w:rPr>
        <w:t>　</w:t>
      </w:r>
      <w:r>
        <w:rPr>
          <w:rFonts w:hint="eastAsia" w:ascii="宋体" w:hAnsi="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 </w:t>
      </w:r>
    </w:p>
    <w:p>
      <w:pPr>
        <w:pageBreakBefore w:val="0"/>
        <w:kinsoku/>
        <w:overflowPunct/>
        <w:bidi w:val="0"/>
        <w:spacing w:line="360" w:lineRule="auto"/>
        <w:rPr>
          <w:rFonts w:hint="default" w:ascii="宋体" w:hAnsi="宋体" w:eastAsia="宋体" w:cs="宋体"/>
          <w:b/>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日</w:t>
      </w:r>
      <w:r>
        <w:rPr>
          <w:rFonts w:hint="eastAsia" w:ascii="宋体" w:hAnsi="宋体" w:eastAsia="宋体" w:cs="宋体"/>
          <w:b/>
          <w:color w:val="auto"/>
          <w:sz w:val="24"/>
          <w:szCs w:val="24"/>
          <w:highlight w:val="none"/>
          <w:shd w:val="clear" w:color="auto" w:fill="FFFFFF" w:themeFill="background1"/>
        </w:rPr>
        <w:br w:type="page"/>
      </w:r>
    </w:p>
    <w:p>
      <w:pPr>
        <w:pStyle w:val="5"/>
        <w:pageBreakBefore w:val="0"/>
        <w:kinsoku/>
        <w:overflowPunct/>
        <w:bidi w:val="0"/>
        <w:spacing w:line="360" w:lineRule="auto"/>
        <w:jc w:val="center"/>
        <w:rPr>
          <w:rFonts w:hint="eastAsia" w:ascii="宋体" w:hAnsi="宋体" w:eastAsia="宋体" w:cs="宋体"/>
          <w:b/>
          <w:color w:val="auto"/>
          <w:sz w:val="28"/>
          <w:szCs w:val="28"/>
          <w:highlight w:val="none"/>
          <w:shd w:val="clear" w:color="auto" w:fill="FFFFFF"/>
          <w:lang w:eastAsia="zh-CN"/>
        </w:rPr>
      </w:pPr>
      <w:r>
        <w:rPr>
          <w:rFonts w:hint="eastAsia" w:ascii="宋体" w:hAnsi="宋体" w:eastAsia="宋体" w:cs="宋体"/>
          <w:b/>
          <w:color w:val="auto"/>
          <w:sz w:val="28"/>
          <w:szCs w:val="28"/>
          <w:highlight w:val="none"/>
          <w:shd w:val="clear" w:color="auto" w:fill="FFFFFF"/>
          <w:lang w:val="en-US" w:eastAsia="zh-CN"/>
        </w:rPr>
        <w:t>（</w:t>
      </w:r>
      <w:r>
        <w:rPr>
          <w:rFonts w:hint="eastAsia" w:ascii="宋体" w:hAnsi="宋体" w:cs="宋体"/>
          <w:b/>
          <w:color w:val="auto"/>
          <w:sz w:val="28"/>
          <w:szCs w:val="28"/>
          <w:highlight w:val="none"/>
          <w:shd w:val="clear" w:color="auto" w:fill="FFFFFF"/>
          <w:lang w:val="en-US" w:eastAsia="zh-CN"/>
        </w:rPr>
        <w:t>七</w:t>
      </w:r>
      <w:r>
        <w:rPr>
          <w:rFonts w:hint="eastAsia" w:ascii="宋体" w:hAnsi="宋体" w:eastAsia="宋体" w:cs="宋体"/>
          <w:b/>
          <w:color w:val="auto"/>
          <w:sz w:val="28"/>
          <w:szCs w:val="28"/>
          <w:highlight w:val="none"/>
          <w:shd w:val="clear" w:color="auto" w:fill="FFFFFF"/>
          <w:lang w:val="en-US" w:eastAsia="zh-CN"/>
        </w:rPr>
        <w:t>）</w:t>
      </w:r>
      <w:r>
        <w:rPr>
          <w:rFonts w:hint="eastAsia" w:ascii="宋体" w:hAnsi="宋体" w:eastAsia="宋体" w:cs="宋体"/>
          <w:b/>
          <w:color w:val="auto"/>
          <w:sz w:val="28"/>
          <w:szCs w:val="28"/>
          <w:highlight w:val="none"/>
          <w:shd w:val="clear" w:color="auto" w:fill="FFFFFF"/>
        </w:rPr>
        <w:t>投标人认为需要提供的其它资料</w:t>
      </w:r>
      <w:r>
        <w:rPr>
          <w:rFonts w:hint="eastAsia" w:ascii="宋体" w:hAnsi="宋体" w:eastAsia="宋体" w:cs="宋体"/>
          <w:b/>
          <w:color w:val="auto"/>
          <w:sz w:val="28"/>
          <w:szCs w:val="28"/>
          <w:highlight w:val="none"/>
          <w:shd w:val="clear" w:color="auto" w:fill="FFFFFF"/>
          <w:lang w:eastAsia="zh-CN"/>
        </w:rPr>
        <w:t>。</w:t>
      </w:r>
    </w:p>
    <w:p>
      <w:pPr>
        <w:pageBreakBefore w:val="0"/>
        <w:shd w:val="solid" w:color="FFFFFF" w:fill="auto"/>
        <w:kinsoku/>
        <w:overflowPunct/>
        <w:autoSpaceDN w:val="0"/>
        <w:bidi w:val="0"/>
        <w:spacing w:line="360" w:lineRule="auto"/>
        <w:jc w:val="center"/>
        <w:outlineLvl w:val="1"/>
        <w:rPr>
          <w:rFonts w:hint="eastAsia" w:ascii="宋体" w:hAnsi="宋体" w:eastAsia="宋体" w:cs="宋体"/>
          <w:b/>
          <w:color w:val="auto"/>
          <w:sz w:val="32"/>
          <w:szCs w:val="32"/>
          <w:highlight w:val="none"/>
          <w:shd w:val="clear" w:color="auto" w:fill="FFFFFF"/>
        </w:rPr>
      </w:pPr>
      <w:r>
        <w:rPr>
          <w:rFonts w:hint="eastAsia" w:ascii="宋体" w:hAnsi="宋体" w:eastAsia="宋体" w:cs="宋体"/>
          <w:lang w:val="en-US" w:eastAsia="zh-CN"/>
        </w:rPr>
        <w:br w:type="page"/>
      </w:r>
      <w:bookmarkStart w:id="221" w:name="_Toc21652"/>
      <w:bookmarkStart w:id="222" w:name="_Toc14315"/>
      <w:bookmarkStart w:id="223" w:name="_Toc1565"/>
      <w:bookmarkStart w:id="224" w:name="_Toc25635"/>
      <w:r>
        <w:rPr>
          <w:rFonts w:hint="eastAsia" w:ascii="宋体" w:hAnsi="宋体" w:eastAsia="宋体" w:cs="宋体"/>
          <w:b/>
          <w:color w:val="auto"/>
          <w:sz w:val="32"/>
          <w:szCs w:val="32"/>
          <w:highlight w:val="none"/>
          <w:shd w:val="clear" w:color="auto" w:fill="FFFFFF"/>
          <w:lang w:val="en-US" w:eastAsia="zh-CN"/>
        </w:rPr>
        <w:t>十</w:t>
      </w:r>
      <w:r>
        <w:rPr>
          <w:rFonts w:hint="eastAsia" w:ascii="宋体" w:hAnsi="宋体" w:eastAsia="宋体" w:cs="宋体"/>
          <w:b/>
          <w:color w:val="auto"/>
          <w:sz w:val="32"/>
          <w:szCs w:val="32"/>
          <w:highlight w:val="none"/>
          <w:shd w:val="clear" w:color="auto" w:fill="FFFFFF"/>
        </w:rPr>
        <w:t>、资格审查资料</w:t>
      </w:r>
      <w:bookmarkEnd w:id="221"/>
      <w:bookmarkEnd w:id="222"/>
      <w:bookmarkEnd w:id="223"/>
      <w:bookmarkEnd w:id="224"/>
    </w:p>
    <w:p>
      <w:pPr>
        <w:pageBreakBefore w:val="0"/>
        <w:shd w:val="solid" w:color="FFFFFF" w:fill="auto"/>
        <w:kinsoku/>
        <w:overflowPunct/>
        <w:autoSpaceDN w:val="0"/>
        <w:bidi w:val="0"/>
        <w:spacing w:line="360" w:lineRule="auto"/>
        <w:jc w:val="center"/>
        <w:outlineLvl w:val="1"/>
        <w:rPr>
          <w:rFonts w:hint="eastAsia" w:ascii="宋体" w:hAnsi="宋体" w:eastAsia="宋体" w:cs="宋体"/>
          <w:color w:val="auto"/>
          <w:sz w:val="32"/>
          <w:szCs w:val="32"/>
          <w:highlight w:val="none"/>
          <w:shd w:val="clear" w:color="auto" w:fill="FFFFFF"/>
        </w:rPr>
      </w:pPr>
      <w:bookmarkStart w:id="225" w:name="_Toc29005"/>
      <w:bookmarkStart w:id="226" w:name="_Toc17868"/>
      <w:bookmarkStart w:id="227" w:name="_Toc18533"/>
      <w:bookmarkStart w:id="228" w:name="_Toc16142"/>
      <w:r>
        <w:rPr>
          <w:rFonts w:hint="eastAsia" w:ascii="宋体" w:hAnsi="宋体" w:eastAsia="宋体" w:cs="宋体"/>
          <w:b/>
          <w:color w:val="auto"/>
          <w:sz w:val="32"/>
          <w:szCs w:val="32"/>
          <w:highlight w:val="none"/>
          <w:shd w:val="clear" w:color="auto" w:fill="FFFFFF"/>
        </w:rPr>
        <w:t>（一）投标人基本情况表</w:t>
      </w:r>
      <w:bookmarkEnd w:id="225"/>
      <w:bookmarkEnd w:id="226"/>
      <w:bookmarkEnd w:id="227"/>
      <w:bookmarkEnd w:id="228"/>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1026"/>
        <w:gridCol w:w="1304"/>
        <w:gridCol w:w="765"/>
        <w:gridCol w:w="858"/>
        <w:gridCol w:w="481"/>
        <w:gridCol w:w="667"/>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666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注册</w:t>
            </w:r>
            <w:r>
              <w:rPr>
                <w:rFonts w:hint="eastAsia" w:ascii="宋体" w:hAnsi="宋体" w:eastAsia="宋体" w:cs="宋体"/>
                <w:color w:val="auto"/>
                <w:sz w:val="24"/>
                <w:highlight w:val="none"/>
              </w:rPr>
              <w:t>地址</w:t>
            </w:r>
          </w:p>
        </w:tc>
        <w:tc>
          <w:tcPr>
            <w:tcW w:w="666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vMerge w:val="restart"/>
            <w:noWrap w:val="0"/>
            <w:vAlign w:val="center"/>
          </w:tcPr>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02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069"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39"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22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0" w:hRule="atLeast"/>
          <w:jc w:val="center"/>
        </w:trPr>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02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2069"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39"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座机</w:t>
            </w:r>
          </w:p>
        </w:tc>
        <w:tc>
          <w:tcPr>
            <w:tcW w:w="22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5" w:hRule="atLeast"/>
          <w:jc w:val="center"/>
        </w:trPr>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09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注册资本金</w:t>
            </w:r>
          </w:p>
        </w:tc>
        <w:tc>
          <w:tcPr>
            <w:tcW w:w="223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联系电话（手机）</w:t>
            </w:r>
          </w:p>
        </w:tc>
        <w:tc>
          <w:tcPr>
            <w:tcW w:w="16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座机</w:t>
            </w:r>
          </w:p>
        </w:tc>
        <w:tc>
          <w:tcPr>
            <w:tcW w:w="15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联系电话（手机）</w:t>
            </w:r>
          </w:p>
        </w:tc>
        <w:tc>
          <w:tcPr>
            <w:tcW w:w="16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座机</w:t>
            </w:r>
          </w:p>
        </w:tc>
        <w:tc>
          <w:tcPr>
            <w:tcW w:w="15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67" w:hRule="atLeast"/>
          <w:jc w:val="center"/>
        </w:trPr>
        <w:tc>
          <w:tcPr>
            <w:tcW w:w="17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基本存款账户信息</w:t>
            </w:r>
          </w:p>
        </w:tc>
        <w:tc>
          <w:tcPr>
            <w:tcW w:w="666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开户银行：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银行账号：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656" w:hRule="atLeast"/>
          <w:jc w:val="center"/>
        </w:trPr>
        <w:tc>
          <w:tcPr>
            <w:tcW w:w="170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667" w:type="dxa"/>
            <w:gridSpan w:val="7"/>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225" w:hRule="atLeast"/>
          <w:jc w:val="center"/>
        </w:trPr>
        <w:tc>
          <w:tcPr>
            <w:tcW w:w="170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0"/>
                <w:szCs w:val="20"/>
              </w:rPr>
              <w:t>投标人关</w:t>
            </w:r>
            <w:r>
              <w:rPr>
                <w:rFonts w:hint="eastAsia" w:ascii="宋体" w:hAnsi="宋体" w:eastAsia="宋体" w:cs="宋体"/>
                <w:color w:val="auto"/>
                <w:spacing w:val="-2"/>
                <w:sz w:val="20"/>
                <w:szCs w:val="20"/>
              </w:rPr>
              <w:t>联</w:t>
            </w:r>
            <w:r>
              <w:rPr>
                <w:rFonts w:hint="eastAsia" w:ascii="宋体" w:hAnsi="宋体" w:eastAsia="宋体" w:cs="宋体"/>
                <w:color w:val="auto"/>
                <w:sz w:val="20"/>
                <w:szCs w:val="20"/>
              </w:rPr>
              <w:t>企</w:t>
            </w:r>
            <w:r>
              <w:rPr>
                <w:rFonts w:hint="eastAsia" w:ascii="宋体" w:hAnsi="宋体" w:eastAsia="宋体" w:cs="宋体"/>
                <w:color w:val="auto"/>
                <w:spacing w:val="-2"/>
                <w:sz w:val="20"/>
                <w:szCs w:val="20"/>
              </w:rPr>
              <w:t>业</w:t>
            </w:r>
            <w:r>
              <w:rPr>
                <w:rFonts w:hint="eastAsia" w:ascii="宋体" w:hAnsi="宋体" w:eastAsia="宋体" w:cs="宋体"/>
                <w:color w:val="auto"/>
                <w:sz w:val="20"/>
                <w:szCs w:val="20"/>
              </w:rPr>
              <w:t>情况（包</w:t>
            </w:r>
            <w:r>
              <w:rPr>
                <w:rFonts w:hint="eastAsia" w:ascii="宋体" w:hAnsi="宋体" w:eastAsia="宋体" w:cs="宋体"/>
                <w:color w:val="auto"/>
                <w:spacing w:val="-2"/>
                <w:sz w:val="20"/>
                <w:szCs w:val="20"/>
              </w:rPr>
              <w:t>括</w:t>
            </w:r>
            <w:r>
              <w:rPr>
                <w:rFonts w:hint="eastAsia" w:ascii="宋体" w:hAnsi="宋体" w:eastAsia="宋体" w:cs="宋体"/>
                <w:color w:val="auto"/>
                <w:sz w:val="20"/>
                <w:szCs w:val="20"/>
              </w:rPr>
              <w:t>但</w:t>
            </w:r>
            <w:r>
              <w:rPr>
                <w:rFonts w:hint="eastAsia" w:ascii="宋体" w:hAnsi="宋体" w:eastAsia="宋体" w:cs="宋体"/>
                <w:color w:val="auto"/>
                <w:spacing w:val="-2"/>
                <w:sz w:val="20"/>
                <w:szCs w:val="20"/>
              </w:rPr>
              <w:t>不</w:t>
            </w:r>
            <w:r>
              <w:rPr>
                <w:rFonts w:hint="eastAsia" w:ascii="宋体" w:hAnsi="宋体" w:eastAsia="宋体" w:cs="宋体"/>
                <w:color w:val="auto"/>
                <w:sz w:val="20"/>
                <w:szCs w:val="20"/>
              </w:rPr>
              <w:t>限</w:t>
            </w:r>
            <w:r>
              <w:rPr>
                <w:rFonts w:hint="eastAsia" w:ascii="宋体" w:hAnsi="宋体" w:eastAsia="宋体" w:cs="宋体"/>
                <w:color w:val="auto"/>
                <w:spacing w:val="-2"/>
                <w:sz w:val="20"/>
                <w:szCs w:val="20"/>
              </w:rPr>
              <w:t>于</w:t>
            </w:r>
            <w:r>
              <w:rPr>
                <w:rFonts w:hint="eastAsia" w:ascii="宋体" w:hAnsi="宋体" w:eastAsia="宋体" w:cs="宋体"/>
                <w:color w:val="auto"/>
                <w:sz w:val="20"/>
                <w:szCs w:val="20"/>
              </w:rPr>
              <w:t>与投标人</w:t>
            </w:r>
            <w:r>
              <w:rPr>
                <w:rFonts w:hint="eastAsia" w:ascii="宋体" w:hAnsi="宋体" w:eastAsia="宋体" w:cs="宋体"/>
                <w:color w:val="auto"/>
                <w:spacing w:val="-2"/>
                <w:sz w:val="20"/>
                <w:szCs w:val="20"/>
              </w:rPr>
              <w:t>法</w:t>
            </w:r>
            <w:r>
              <w:rPr>
                <w:rFonts w:hint="eastAsia" w:ascii="宋体" w:hAnsi="宋体" w:eastAsia="宋体" w:cs="宋体"/>
                <w:color w:val="auto"/>
                <w:sz w:val="20"/>
                <w:szCs w:val="20"/>
              </w:rPr>
              <w:t>定</w:t>
            </w:r>
            <w:r>
              <w:rPr>
                <w:rFonts w:hint="eastAsia" w:ascii="宋体" w:hAnsi="宋体" w:eastAsia="宋体" w:cs="宋体"/>
                <w:color w:val="auto"/>
                <w:spacing w:val="-2"/>
                <w:sz w:val="20"/>
                <w:szCs w:val="20"/>
              </w:rPr>
              <w:t>代</w:t>
            </w:r>
            <w:r>
              <w:rPr>
                <w:rFonts w:hint="eastAsia" w:ascii="宋体" w:hAnsi="宋体" w:eastAsia="宋体" w:cs="宋体"/>
                <w:color w:val="auto"/>
                <w:sz w:val="20"/>
                <w:szCs w:val="20"/>
              </w:rPr>
              <w:t>表</w:t>
            </w:r>
            <w:r>
              <w:rPr>
                <w:rFonts w:hint="eastAsia" w:ascii="宋体" w:hAnsi="宋体" w:eastAsia="宋体" w:cs="宋体"/>
                <w:color w:val="auto"/>
                <w:spacing w:val="-2"/>
                <w:sz w:val="20"/>
                <w:szCs w:val="20"/>
              </w:rPr>
              <w:t>人</w:t>
            </w:r>
            <w:r>
              <w:rPr>
                <w:rFonts w:hint="eastAsia" w:ascii="宋体" w:hAnsi="宋体" w:eastAsia="宋体" w:cs="宋体"/>
                <w:color w:val="auto"/>
                <w:sz w:val="20"/>
                <w:szCs w:val="20"/>
              </w:rPr>
              <w:t>（单位负</w:t>
            </w:r>
            <w:r>
              <w:rPr>
                <w:rFonts w:hint="eastAsia" w:ascii="宋体" w:hAnsi="宋体" w:eastAsia="宋体" w:cs="宋体"/>
                <w:color w:val="auto"/>
                <w:spacing w:val="-2"/>
                <w:sz w:val="20"/>
                <w:szCs w:val="20"/>
              </w:rPr>
              <w:t>责</w:t>
            </w:r>
            <w:r>
              <w:rPr>
                <w:rFonts w:hint="eastAsia" w:ascii="宋体" w:hAnsi="宋体" w:eastAsia="宋体" w:cs="宋体"/>
                <w:color w:val="auto"/>
                <w:sz w:val="20"/>
                <w:szCs w:val="20"/>
              </w:rPr>
              <w:t>人</w:t>
            </w:r>
            <w:r>
              <w:rPr>
                <w:rFonts w:hint="eastAsia" w:ascii="宋体" w:hAnsi="宋体" w:eastAsia="宋体" w:cs="宋体"/>
                <w:color w:val="auto"/>
                <w:spacing w:val="-2"/>
                <w:sz w:val="20"/>
                <w:szCs w:val="20"/>
              </w:rPr>
              <w:t>）</w:t>
            </w:r>
            <w:r>
              <w:rPr>
                <w:rFonts w:hint="eastAsia" w:ascii="宋体" w:hAnsi="宋体" w:eastAsia="宋体" w:cs="宋体"/>
                <w:color w:val="auto"/>
                <w:sz w:val="20"/>
                <w:szCs w:val="20"/>
              </w:rPr>
              <w:t>为</w:t>
            </w:r>
            <w:r>
              <w:rPr>
                <w:rFonts w:hint="eastAsia" w:ascii="宋体" w:hAnsi="宋体" w:eastAsia="宋体" w:cs="宋体"/>
                <w:color w:val="auto"/>
                <w:spacing w:val="-2"/>
                <w:sz w:val="20"/>
                <w:szCs w:val="20"/>
              </w:rPr>
              <w:t>同</w:t>
            </w:r>
            <w:r>
              <w:rPr>
                <w:rFonts w:hint="eastAsia" w:ascii="宋体" w:hAnsi="宋体" w:eastAsia="宋体" w:cs="宋体"/>
                <w:color w:val="auto"/>
                <w:sz w:val="20"/>
                <w:szCs w:val="20"/>
              </w:rPr>
              <w:t>一人或者</w:t>
            </w:r>
            <w:r>
              <w:rPr>
                <w:rFonts w:hint="eastAsia" w:ascii="宋体" w:hAnsi="宋体" w:eastAsia="宋体" w:cs="宋体"/>
                <w:color w:val="auto"/>
                <w:spacing w:val="-2"/>
                <w:sz w:val="20"/>
                <w:szCs w:val="20"/>
              </w:rPr>
              <w:t>存</w:t>
            </w:r>
            <w:r>
              <w:rPr>
                <w:rFonts w:hint="eastAsia" w:ascii="宋体" w:hAnsi="宋体" w:eastAsia="宋体" w:cs="宋体"/>
                <w:color w:val="auto"/>
                <w:sz w:val="20"/>
                <w:szCs w:val="20"/>
              </w:rPr>
              <w:t>在</w:t>
            </w:r>
            <w:r>
              <w:rPr>
                <w:rFonts w:hint="eastAsia" w:ascii="宋体" w:hAnsi="宋体" w:eastAsia="宋体" w:cs="宋体"/>
                <w:color w:val="auto"/>
                <w:spacing w:val="-2"/>
                <w:sz w:val="20"/>
                <w:szCs w:val="20"/>
              </w:rPr>
              <w:t>控</w:t>
            </w:r>
            <w:r>
              <w:rPr>
                <w:rFonts w:hint="eastAsia" w:ascii="宋体" w:hAnsi="宋体" w:eastAsia="宋体" w:cs="宋体"/>
                <w:color w:val="auto"/>
                <w:sz w:val="20"/>
                <w:szCs w:val="20"/>
              </w:rPr>
              <w:t>股</w:t>
            </w:r>
            <w:r>
              <w:rPr>
                <w:rFonts w:hint="eastAsia" w:ascii="宋体" w:hAnsi="宋体" w:eastAsia="宋体" w:cs="宋体"/>
                <w:color w:val="auto"/>
                <w:spacing w:val="-2"/>
                <w:sz w:val="20"/>
                <w:szCs w:val="20"/>
              </w:rPr>
              <w:t>、</w:t>
            </w:r>
            <w:r>
              <w:rPr>
                <w:rFonts w:hint="eastAsia" w:ascii="宋体" w:hAnsi="宋体" w:eastAsia="宋体" w:cs="宋体"/>
                <w:color w:val="auto"/>
                <w:sz w:val="20"/>
                <w:szCs w:val="20"/>
              </w:rPr>
              <w:t>管理关系</w:t>
            </w:r>
            <w:r>
              <w:rPr>
                <w:rFonts w:hint="eastAsia" w:ascii="宋体" w:hAnsi="宋体" w:eastAsia="宋体" w:cs="宋体"/>
                <w:color w:val="auto"/>
                <w:spacing w:val="-2"/>
                <w:sz w:val="20"/>
                <w:szCs w:val="20"/>
              </w:rPr>
              <w:t>的</w:t>
            </w:r>
            <w:r>
              <w:rPr>
                <w:rFonts w:hint="eastAsia" w:ascii="宋体" w:hAnsi="宋体" w:eastAsia="宋体" w:cs="宋体"/>
                <w:color w:val="auto"/>
                <w:sz w:val="20"/>
                <w:szCs w:val="20"/>
              </w:rPr>
              <w:t>不</w:t>
            </w:r>
            <w:r>
              <w:rPr>
                <w:rFonts w:hint="eastAsia" w:ascii="宋体" w:hAnsi="宋体" w:eastAsia="宋体" w:cs="宋体"/>
                <w:color w:val="auto"/>
                <w:spacing w:val="-2"/>
                <w:sz w:val="20"/>
                <w:szCs w:val="20"/>
              </w:rPr>
              <w:t>同</w:t>
            </w:r>
            <w:r>
              <w:rPr>
                <w:rFonts w:hint="eastAsia" w:ascii="宋体" w:hAnsi="宋体" w:eastAsia="宋体" w:cs="宋体"/>
                <w:color w:val="auto"/>
                <w:sz w:val="20"/>
                <w:szCs w:val="20"/>
              </w:rPr>
              <w:t>单</w:t>
            </w:r>
            <w:r>
              <w:rPr>
                <w:rFonts w:hint="eastAsia" w:ascii="宋体" w:hAnsi="宋体" w:eastAsia="宋体" w:cs="宋体"/>
                <w:color w:val="auto"/>
                <w:spacing w:val="-2"/>
                <w:sz w:val="20"/>
                <w:szCs w:val="20"/>
              </w:rPr>
              <w:t>位</w:t>
            </w:r>
            <w:r>
              <w:rPr>
                <w:rFonts w:hint="eastAsia" w:ascii="宋体" w:hAnsi="宋体" w:eastAsia="宋体" w:cs="宋体"/>
                <w:color w:val="auto"/>
                <w:sz w:val="20"/>
                <w:szCs w:val="20"/>
              </w:rPr>
              <w:t>）</w:t>
            </w:r>
          </w:p>
        </w:tc>
        <w:tc>
          <w:tcPr>
            <w:tcW w:w="6667" w:type="dxa"/>
            <w:gridSpan w:val="7"/>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4"/>
                <w:highlight w:val="none"/>
              </w:rPr>
            </w:pPr>
          </w:p>
        </w:tc>
      </w:tr>
    </w:tbl>
    <w:p>
      <w:pPr>
        <w:pageBreakBefore w:val="0"/>
        <w:shd w:val="solid" w:color="FFFFFF" w:fill="auto"/>
        <w:kinsoku/>
        <w:overflowPunct/>
        <w:autoSpaceDN w:val="0"/>
        <w:bidi w:val="0"/>
        <w:spacing w:line="360" w:lineRule="auto"/>
        <w:rPr>
          <w:rFonts w:hint="eastAsia" w:ascii="宋体" w:hAnsi="宋体" w:eastAsia="宋体" w:cs="宋体"/>
          <w:color w:val="auto"/>
          <w:sz w:val="24"/>
          <w:highlight w:val="none"/>
          <w:shd w:val="clear" w:color="auto" w:fill="FFFFFF"/>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bookmarkStart w:id="229" w:name="_Toc9513"/>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shd w:val="clear" w:color="auto" w:fill="FFFFFF"/>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 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Style w:val="5"/>
        <w:pageBreakBefore w:val="0"/>
        <w:kinsoku/>
        <w:overflowPunct/>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（二）投标人资格声明/承诺函</w:t>
      </w:r>
    </w:p>
    <w:p>
      <w:pPr>
        <w:pageBreakBefore w:val="0"/>
        <w:kinsoku/>
        <w:overflowPunct/>
        <w:bidi w:val="0"/>
        <w:spacing w:before="158" w:beforeLines="50" w:after="158" w:afterLines="50"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致：</w:t>
      </w:r>
      <w:r>
        <w:rPr>
          <w:rFonts w:hint="eastAsia" w:ascii="宋体" w:hAnsi="宋体" w:eastAsia="宋体" w:cs="宋体"/>
          <w:b/>
          <w:color w:val="auto"/>
          <w:sz w:val="24"/>
          <w:highlight w:val="none"/>
          <w:u w:val="single"/>
        </w:rPr>
        <w:t xml:space="preserve">   （采购人名称、采购代理机构名称）   </w:t>
      </w:r>
    </w:p>
    <w:p>
      <w:pPr>
        <w:pageBreakBefore w:val="0"/>
        <w:kinsoku/>
        <w:overflowPunct/>
        <w:bidi w:val="0"/>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我公司（企业）已阅读“</w:t>
      </w:r>
      <w:r>
        <w:rPr>
          <w:rFonts w:hint="eastAsia" w:ascii="宋体" w:hAnsi="宋体" w:cs="宋体"/>
          <w:color w:val="auto"/>
          <w:sz w:val="24"/>
          <w:szCs w:val="20"/>
          <w:highlight w:val="none"/>
          <w:u w:val="single"/>
          <w:shd w:val="clear" w:color="auto" w:fill="FFFFFF"/>
          <w:lang w:eastAsia="zh-CN"/>
        </w:rPr>
        <w:t>珠江流域（玉溪段）生态环境监测能力提升项目（</w:t>
      </w:r>
      <w:r>
        <w:rPr>
          <w:rFonts w:hint="eastAsia" w:ascii="宋体" w:hAnsi="宋体" w:cs="宋体"/>
          <w:color w:val="auto"/>
          <w:sz w:val="24"/>
          <w:szCs w:val="20"/>
          <w:highlight w:val="none"/>
          <w:u w:val="single"/>
          <w:shd w:val="clear" w:color="auto" w:fill="FFFFFF"/>
          <w:lang w:val="en-US" w:eastAsia="zh-CN"/>
        </w:rPr>
        <w:t xml:space="preserve">  包</w:t>
      </w:r>
      <w:r>
        <w:rPr>
          <w:rFonts w:hint="eastAsia" w:ascii="宋体" w:hAnsi="宋体" w:cs="宋体"/>
          <w:color w:val="auto"/>
          <w:sz w:val="24"/>
          <w:szCs w:val="20"/>
          <w:highlight w:val="none"/>
          <w:u w:val="single"/>
          <w:shd w:val="clear" w:color="auto" w:fill="FFFFFF"/>
          <w:lang w:eastAsia="zh-CN"/>
        </w:rPr>
        <w:t>）</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）的招标文件，本公司（企业）愿意参加投标，并声明：</w:t>
      </w:r>
    </w:p>
    <w:p>
      <w:pPr>
        <w:pStyle w:val="31"/>
        <w:pageBreakBefore w:val="0"/>
        <w:tabs>
          <w:tab w:val="left" w:pos="851"/>
        </w:tabs>
        <w:kinsoku/>
        <w:overflowPunct/>
        <w:bidi w:val="0"/>
        <w:adjustRightInd w:val="0"/>
        <w:snapToGrid w:val="0"/>
        <w:spacing w:line="360" w:lineRule="auto"/>
        <w:ind w:firstLine="0" w:firstLineChars="0"/>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   一、本公司（企业）承诺</w:t>
      </w:r>
      <w:r>
        <w:rPr>
          <w:rFonts w:hint="eastAsia" w:ascii="宋体" w:hAnsi="宋体" w:eastAsia="宋体" w:cs="宋体"/>
          <w:bCs/>
          <w:color w:val="auto"/>
          <w:sz w:val="24"/>
          <w:highlight w:val="none"/>
        </w:rPr>
        <w:t>具备《中华人民共和国政府采购法》第二十二条规定的条件：</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（一）具有独立承担民事责任的能力；</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（二）具有良好的商业信誉和健全的财务会计制度； </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（三）具有履行合同所必需的设备和专业技术能力；</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（四）有依法缴纳税收和社会保障资金的良好记录；</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（五）参加政府采购活动前三年内，在经营活动中没有重大违法记录；</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（六）法律、行政法规规定的其他条件。</w:t>
      </w:r>
    </w:p>
    <w:p>
      <w:pPr>
        <w:pageBreakBefore w:val="0"/>
        <w:widowControl/>
        <w:kinsoku/>
        <w:overflowPunct/>
        <w:bidi w:val="0"/>
        <w:adjustRightInd w:val="0"/>
        <w:snapToGrid w:val="0"/>
        <w:spacing w:line="360" w:lineRule="auto"/>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及《中华人民共和国政府采购法实施条例》第十七条的相关要求；</w:t>
      </w:r>
    </w:p>
    <w:p>
      <w:pPr>
        <w:pageBreakBefore w:val="0"/>
        <w:numPr>
          <w:ilvl w:val="0"/>
          <w:numId w:val="11"/>
        </w:numPr>
        <w:kinsoku/>
        <w:overflowPunct/>
        <w:bidi w:val="0"/>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本公司（企业）承诺在本次招标采购活动中，如有违法、违规、弄虚作假行为，所造成的损失、不良后果及法律责任，一律由我公司（企业）承担。</w:t>
      </w:r>
    </w:p>
    <w:p>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三、本公司（企业）声明/承诺函上述所列内容如有虚假或与事实不符的，一经查实，我方将承担完全法律责任，且采购人有权取消我方的投标或中标资格，已签订合同的，采购人有权单方面终止合同。</w:t>
      </w:r>
    </w:p>
    <w:p>
      <w:pPr>
        <w:pageBreakBefore w:val="0"/>
        <w:kinsoku/>
        <w:overflowPunct/>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bidi w:val="0"/>
        <w:spacing w:line="360" w:lineRule="auto"/>
        <w:ind w:firstLine="420"/>
        <w:rPr>
          <w:rFonts w:hint="eastAsia" w:ascii="宋体" w:hAnsi="宋体" w:eastAsia="宋体" w:cs="宋体"/>
          <w:color w:val="auto"/>
          <w:sz w:val="24"/>
          <w:highlight w:val="none"/>
        </w:rPr>
      </w:pP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（投标人全称）      </w:t>
      </w:r>
      <w:r>
        <w:rPr>
          <w:rFonts w:hint="eastAsia" w:ascii="宋体" w:hAnsi="宋体" w:eastAsia="宋体" w:cs="宋体"/>
          <w:color w:val="auto"/>
          <w:sz w:val="24"/>
          <w:highlight w:val="none"/>
        </w:rPr>
        <w:t>（电子签章）</w:t>
      </w:r>
    </w:p>
    <w:p>
      <w:pPr>
        <w:pageBreakBefore w:val="0"/>
        <w:shd w:val="solid" w:color="FFFFFF" w:fill="auto"/>
        <w:kinsoku/>
        <w:overflowPunct/>
        <w:autoSpaceDN w:val="0"/>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法定代表人或其委托代理人：</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t>（电子签章或电子签名）</w:t>
      </w:r>
    </w:p>
    <w:p>
      <w:pPr>
        <w:pageBreakBefore w:val="0"/>
        <w:tabs>
          <w:tab w:val="right" w:pos="8306"/>
        </w:tabs>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shd w:val="clear" w:color="auto" w:fill="FFFFFF"/>
        </w:rPr>
        <w:t xml:space="preserve">　    </w:t>
      </w:r>
      <w:r>
        <w:rPr>
          <w:rFonts w:hint="eastAsia" w:ascii="宋体" w:hAnsi="宋体" w:eastAsia="宋体" w:cs="宋体"/>
          <w:color w:val="auto"/>
          <w:sz w:val="24"/>
          <w:highlight w:val="none"/>
        </w:rPr>
        <w:t>日</w:t>
      </w:r>
    </w:p>
    <w:p>
      <w:pPr>
        <w:pStyle w:val="28"/>
        <w:pageBreakBefore w:val="0"/>
        <w:kinsoku/>
        <w:overflowPunct/>
        <w:bidi w:val="0"/>
        <w:spacing w:line="360" w:lineRule="auto"/>
        <w:rPr>
          <w:rFonts w:hint="eastAsia" w:ascii="宋体" w:hAnsi="宋体" w:eastAsia="宋体" w:cs="宋体"/>
          <w:color w:val="auto"/>
          <w:highlight w:val="none"/>
        </w:rPr>
      </w:pPr>
    </w:p>
    <w:p>
      <w:pPr>
        <w:pageBreakBefore w:val="0"/>
        <w:tabs>
          <w:tab w:val="right" w:pos="8306"/>
        </w:tabs>
        <w:kinsoku/>
        <w:overflowPunct/>
        <w:bidi w:val="0"/>
        <w:spacing w:line="360" w:lineRule="auto"/>
        <w:rPr>
          <w:rFonts w:hint="eastAsia" w:ascii="宋体" w:hAnsi="宋体" w:eastAsia="宋体" w:cs="宋体"/>
          <w:color w:val="auto"/>
          <w:sz w:val="24"/>
          <w:highlight w:val="none"/>
        </w:rPr>
      </w:pPr>
    </w:p>
    <w:p>
      <w:pPr>
        <w:pStyle w:val="28"/>
        <w:pageBreakBefore w:val="0"/>
        <w:kinsoku/>
        <w:overflowPunct/>
        <w:bidi w:val="0"/>
        <w:spacing w:line="360" w:lineRule="auto"/>
        <w:rPr>
          <w:rFonts w:hint="eastAsia" w:ascii="宋体" w:hAnsi="宋体" w:eastAsia="宋体" w:cs="宋体"/>
          <w:color w:val="auto"/>
          <w:highlight w:val="none"/>
        </w:rPr>
      </w:pPr>
      <w:bookmarkStart w:id="230" w:name="_Toc24328"/>
      <w:bookmarkStart w:id="231" w:name="_Toc4827"/>
      <w:bookmarkStart w:id="232" w:name="_Toc13388"/>
    </w:p>
    <w:p>
      <w:pPr>
        <w:pageBreakBefore w:val="0"/>
        <w:kinsoku/>
        <w:overflowPunct/>
        <w:topLinePunct/>
        <w:bidi w:val="0"/>
        <w:spacing w:line="360" w:lineRule="auto"/>
        <w:jc w:val="center"/>
        <w:outlineLvl w:val="1"/>
        <w:rPr>
          <w:rFonts w:hint="eastAsia" w:ascii="宋体" w:hAnsi="宋体" w:eastAsia="宋体" w:cs="宋体"/>
          <w:b/>
          <w:bCs/>
          <w:color w:val="auto"/>
          <w:sz w:val="22"/>
          <w:szCs w:val="28"/>
          <w:highlight w:val="none"/>
        </w:rPr>
      </w:pPr>
      <w:bookmarkStart w:id="233" w:name="_Toc22202"/>
      <w:bookmarkStart w:id="234" w:name="_Toc31812"/>
      <w:bookmarkStart w:id="235" w:name="_Toc22623"/>
      <w:bookmarkStart w:id="236" w:name="_Toc3237"/>
      <w:r>
        <w:rPr>
          <w:rFonts w:hint="eastAsia" w:ascii="宋体" w:hAnsi="宋体" w:eastAsia="宋体" w:cs="宋体"/>
          <w:b/>
          <w:bCs/>
          <w:color w:val="auto"/>
          <w:sz w:val="32"/>
          <w:szCs w:val="44"/>
          <w:highlight w:val="none"/>
        </w:rPr>
        <w:t>（三）投标人相关资格证件</w:t>
      </w:r>
      <w:bookmarkEnd w:id="229"/>
      <w:bookmarkEnd w:id="230"/>
      <w:r>
        <w:rPr>
          <w:rFonts w:hint="eastAsia" w:ascii="宋体" w:hAnsi="宋体" w:eastAsia="宋体" w:cs="宋体"/>
          <w:b/>
          <w:bCs/>
          <w:color w:val="auto"/>
          <w:sz w:val="32"/>
          <w:szCs w:val="44"/>
          <w:highlight w:val="none"/>
        </w:rPr>
        <w:t>复印件</w:t>
      </w:r>
      <w:bookmarkEnd w:id="231"/>
      <w:bookmarkEnd w:id="232"/>
      <w:r>
        <w:rPr>
          <w:rFonts w:hint="eastAsia" w:ascii="宋体" w:hAnsi="宋体" w:eastAsia="宋体" w:cs="宋体"/>
          <w:b/>
          <w:bCs/>
          <w:color w:val="auto"/>
          <w:sz w:val="32"/>
          <w:szCs w:val="44"/>
          <w:highlight w:val="none"/>
        </w:rPr>
        <w:t>或扫描件</w:t>
      </w:r>
      <w:bookmarkEnd w:id="233"/>
      <w:bookmarkEnd w:id="234"/>
      <w:bookmarkEnd w:id="235"/>
      <w:bookmarkEnd w:id="236"/>
    </w:p>
    <w:p>
      <w:pPr>
        <w:pStyle w:val="32"/>
        <w:pageBreakBefore w:val="0"/>
        <w:kinsoku/>
        <w:overflowPunct/>
        <w:bidi w:val="0"/>
        <w:spacing w:line="360" w:lineRule="auto"/>
        <w:rPr>
          <w:rFonts w:hint="eastAsia" w:ascii="宋体" w:hAnsi="宋体" w:eastAsia="宋体" w:cs="宋体"/>
          <w:color w:val="auto"/>
          <w:kern w:val="2"/>
          <w:szCs w:val="22"/>
          <w:highlight w:val="none"/>
          <w:shd w:val="clear" w:color="auto" w:fill="FFFFFF"/>
        </w:rPr>
      </w:pPr>
      <w:r>
        <w:rPr>
          <w:rFonts w:hint="eastAsia" w:ascii="宋体" w:hAnsi="宋体" w:eastAsia="宋体" w:cs="宋体"/>
          <w:color w:val="auto"/>
          <w:kern w:val="2"/>
          <w:szCs w:val="22"/>
          <w:highlight w:val="none"/>
          <w:shd w:val="clear" w:color="auto" w:fill="FFFFFF"/>
        </w:rPr>
        <w:t>1、有效的营业执照或者其他主体资格证明文件，或自然人的身份证明；</w:t>
      </w:r>
    </w:p>
    <w:p>
      <w:pPr>
        <w:pStyle w:val="32"/>
        <w:pageBreakBefore w:val="0"/>
        <w:kinsoku/>
        <w:overflowPunct/>
        <w:bidi w:val="0"/>
        <w:spacing w:line="360" w:lineRule="auto"/>
        <w:ind w:firstLine="480" w:firstLineChars="200"/>
        <w:rPr>
          <w:rFonts w:hint="eastAsia" w:ascii="宋体" w:hAnsi="宋体" w:eastAsia="宋体" w:cs="宋体"/>
          <w:color w:val="auto"/>
          <w:kern w:val="2"/>
          <w:szCs w:val="22"/>
          <w:highlight w:val="none"/>
          <w:shd w:val="clear" w:color="auto" w:fill="FFFFFF"/>
        </w:rPr>
      </w:pPr>
      <w:r>
        <w:rPr>
          <w:rFonts w:hint="eastAsia" w:ascii="宋体" w:hAnsi="宋体" w:eastAsia="宋体" w:cs="宋体"/>
          <w:color w:val="auto"/>
          <w:kern w:val="2"/>
          <w:szCs w:val="22"/>
          <w:highlight w:val="none"/>
          <w:shd w:val="clear" w:color="auto" w:fill="FFFFFF"/>
        </w:rPr>
        <w:t>（附复印件或扫描件）</w:t>
      </w:r>
    </w:p>
    <w:p>
      <w:pPr>
        <w:pStyle w:val="32"/>
        <w:pageBreakBefore w:val="0"/>
        <w:kinsoku/>
        <w:overflowPunct/>
        <w:bidi w:val="0"/>
        <w:spacing w:line="360" w:lineRule="auto"/>
        <w:rPr>
          <w:rFonts w:hint="eastAsia" w:ascii="宋体" w:hAnsi="宋体" w:eastAsia="宋体" w:cs="宋体"/>
          <w:color w:val="auto"/>
          <w:kern w:val="2"/>
          <w:szCs w:val="22"/>
          <w:highlight w:val="none"/>
          <w:shd w:val="clear" w:color="auto" w:fill="FFFFFF"/>
          <w:lang w:val="en-US" w:eastAsia="zh-CN"/>
        </w:rPr>
      </w:pPr>
    </w:p>
    <w:p>
      <w:pPr>
        <w:pStyle w:val="32"/>
        <w:pageBreakBefore w:val="0"/>
        <w:kinsoku/>
        <w:overflowPunct/>
        <w:bidi w:val="0"/>
        <w:spacing w:line="360" w:lineRule="auto"/>
        <w:rPr>
          <w:rFonts w:hint="eastAsia" w:ascii="宋体" w:hAnsi="宋体" w:eastAsia="宋体" w:cs="宋体"/>
          <w:color w:val="auto"/>
          <w:kern w:val="2"/>
          <w:szCs w:val="22"/>
          <w:highlight w:val="none"/>
          <w:shd w:val="clear" w:color="auto" w:fill="FFFFFF"/>
          <w:lang w:val="en-US" w:eastAsia="zh-CN"/>
        </w:rPr>
      </w:pPr>
    </w:p>
    <w:p>
      <w:pPr>
        <w:pageBreakBefore w:val="0"/>
        <w:numPr>
          <w:ilvl w:val="0"/>
          <w:numId w:val="0"/>
        </w:numPr>
        <w:kinsoku/>
        <w:overflowPunct/>
        <w:bidi w:val="0"/>
        <w:spacing w:line="360" w:lineRule="auto"/>
        <w:rPr>
          <w:rFonts w:hint="eastAsia" w:ascii="宋体" w:hAnsi="宋体" w:eastAsia="宋体" w:cs="宋体"/>
          <w:color w:val="auto"/>
          <w:sz w:val="24"/>
          <w:szCs w:val="22"/>
          <w:highlight w:val="none"/>
          <w:shd w:val="clear" w:color="auto" w:fill="FFFFFF"/>
          <w:lang w:val="en-US" w:eastAsia="zh-CN"/>
        </w:rPr>
      </w:pPr>
    </w:p>
    <w:p>
      <w:pPr>
        <w:pageBreakBefore w:val="0"/>
        <w:kinsoku/>
        <w:overflowPunct/>
        <w:bidi w:val="0"/>
        <w:spacing w:line="360" w:lineRule="auto"/>
        <w:rPr>
          <w:rFonts w:hint="eastAsia" w:ascii="宋体" w:hAnsi="宋体" w:eastAsia="宋体" w:cs="宋体"/>
          <w:color w:val="auto"/>
          <w:sz w:val="24"/>
          <w:szCs w:val="22"/>
          <w:highlight w:val="none"/>
          <w:shd w:val="clear" w:color="auto" w:fill="FFFFFF"/>
          <w:lang w:val="en-US" w:eastAsia="zh-CN"/>
        </w:rPr>
      </w:pPr>
    </w:p>
    <w:p>
      <w:pPr>
        <w:pageBreakBefore w:val="0"/>
        <w:kinsoku/>
        <w:overflowPunct/>
        <w:bidi w:val="0"/>
        <w:spacing w:line="360" w:lineRule="auto"/>
        <w:rPr>
          <w:rFonts w:hint="eastAsia" w:ascii="宋体" w:hAnsi="宋体" w:eastAsia="宋体" w:cs="宋体"/>
          <w:lang w:val="en-US" w:eastAsia="zh-CN"/>
        </w:rPr>
      </w:pPr>
      <w:r>
        <w:rPr>
          <w:rFonts w:hint="eastAsia" w:ascii="宋体" w:hAnsi="宋体" w:cs="宋体"/>
          <w:color w:val="auto"/>
          <w:sz w:val="24"/>
          <w:szCs w:val="22"/>
          <w:highlight w:val="none"/>
          <w:shd w:val="clear" w:color="auto" w:fill="FFFFFF"/>
          <w:lang w:val="en-US" w:eastAsia="zh-CN"/>
        </w:rPr>
        <w:t>2</w:t>
      </w:r>
      <w:r>
        <w:rPr>
          <w:rFonts w:hint="eastAsia" w:ascii="宋体" w:hAnsi="宋体" w:eastAsia="宋体" w:cs="宋体"/>
          <w:color w:val="auto"/>
          <w:sz w:val="24"/>
          <w:szCs w:val="22"/>
          <w:highlight w:val="none"/>
          <w:shd w:val="clear" w:color="auto" w:fill="FFFFFF"/>
          <w:lang w:val="en-US" w:eastAsia="zh-CN"/>
        </w:rPr>
        <w:t>、</w:t>
      </w:r>
      <w:r>
        <w:rPr>
          <w:rFonts w:hint="eastAsia" w:ascii="宋体" w:hAnsi="宋体" w:eastAsia="宋体" w:cs="宋体"/>
          <w:color w:val="auto"/>
          <w:sz w:val="24"/>
          <w:szCs w:val="22"/>
          <w:highlight w:val="none"/>
          <w:shd w:val="clear" w:color="auto" w:fill="FFFFFF"/>
        </w:rPr>
        <w:t>其他资格审查材料（如有）</w:t>
      </w:r>
      <w:r>
        <w:rPr>
          <w:rFonts w:hint="eastAsia" w:ascii="宋体" w:hAnsi="宋体" w:eastAsia="宋体" w:cs="宋体"/>
          <w:color w:val="auto"/>
          <w:sz w:val="24"/>
          <w:szCs w:val="22"/>
          <w:highlight w:val="none"/>
          <w:shd w:val="clear" w:color="auto" w:fill="FFFFFF"/>
          <w:lang w:eastAsia="zh-CN"/>
        </w:rPr>
        <w:t>。</w:t>
      </w:r>
    </w:p>
    <w:p>
      <w:pPr>
        <w:pageBreakBefore w:val="0"/>
        <w:kinsoku/>
        <w:overflowPunct/>
        <w:bidi w:val="0"/>
        <w:spacing w:line="360" w:lineRule="auto"/>
        <w:rPr>
          <w:rFonts w:hint="eastAsia" w:ascii="宋体" w:hAnsi="宋体" w:eastAsia="宋体" w:cs="宋体"/>
        </w:rPr>
      </w:pPr>
    </w:p>
    <w:p>
      <w:pPr>
        <w:pageBreakBefore w:val="0"/>
        <w:kinsoku/>
        <w:overflowPunct/>
        <w:bidi w:val="0"/>
        <w:spacing w:line="360" w:lineRule="auto"/>
        <w:rPr>
          <w:rFonts w:hint="eastAsia" w:ascii="宋体" w:hAnsi="宋体" w:eastAsia="宋体" w:cs="宋体"/>
        </w:rPr>
      </w:pPr>
    </w:p>
    <w:p>
      <w:pPr>
        <w:pStyle w:val="7"/>
        <w:pageBreakBefore w:val="0"/>
        <w:kinsoku/>
        <w:overflowPunct/>
        <w:bidi w:val="0"/>
        <w:spacing w:line="360" w:lineRule="auto"/>
        <w:rPr>
          <w:rFonts w:hint="eastAsia" w:ascii="宋体" w:hAnsi="宋体" w:eastAsia="宋体" w:cs="宋体"/>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swiss"/>
    <w:pitch w:val="default"/>
    <w:sig w:usb0="E00002FF" w:usb1="400004FF" w:usb2="00000000" w:usb3="00000000" w:csb0="2000019F" w:csb1="00000000"/>
  </w:font>
  <w:font w:name="微软雅黑">
    <w:panose1 w:val="020B0503020204020204"/>
    <w:charset w:val="86"/>
    <w:family w:val="roman"/>
    <w:pitch w:val="default"/>
    <w:sig w:usb0="80000287" w:usb1="2ACF3C50" w:usb2="00000016" w:usb3="00000000" w:csb0="0004001F" w:csb1="00000000"/>
  </w:font>
  <w:font w:name="Verdana">
    <w:panose1 w:val="020B0604030504040204"/>
    <w:charset w:val="00"/>
    <w:family w:val="roman"/>
    <w:pitch w:val="default"/>
    <w:sig w:usb0="00000287"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4"/>
                              <w:szCs w:val="40"/>
                            </w:rPr>
                          </w:pPr>
                          <w:r>
                            <w:rPr>
                              <w:rFonts w:hint="eastAsia" w:ascii="宋体" w:hAnsi="宋体" w:eastAsia="宋体" w:cs="宋体"/>
                              <w:sz w:val="24"/>
                              <w:szCs w:val="40"/>
                            </w:rPr>
                            <w:t xml:space="preserve">第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宋体" w:hAnsi="宋体" w:eastAsia="宋体" w:cs="宋体"/>
                        <w:sz w:val="24"/>
                        <w:szCs w:val="40"/>
                      </w:rPr>
                    </w:pPr>
                    <w:r>
                      <w:rPr>
                        <w:rFonts w:hint="eastAsia" w:ascii="宋体" w:hAnsi="宋体" w:eastAsia="宋体" w:cs="宋体"/>
                        <w:sz w:val="24"/>
                        <w:szCs w:val="40"/>
                      </w:rPr>
                      <w:t xml:space="preserve">第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页</w:t>
                    </w:r>
                  </w:p>
                </w:txbxContent>
              </v:textbox>
            </v:shape>
          </w:pict>
        </mc:Fallback>
      </mc:AlternateContent>
    </w:r>
    <w:r>
      <w:rPr>
        <w:rFonts w:hint="eastAsia" w:ascii="宋体" w:hAnsi="宋体" w:eastAsia="宋体" w:cs="宋体"/>
        <w:lang w:val="en-US" w:eastAsia="zh-CN"/>
      </w:rPr>
      <w:t>云南上资咨询有限公司                                                   联系方式：15912390037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eastAsia="宋体" w:cs="宋体"/>
        <w:lang w:val="en-US" w:eastAsia="zh-CN"/>
      </w:rPr>
      <w:t xml:space="preserve">云南上资咨询有限公司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联系方式：15912390037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default" w:ascii="宋体" w:hAnsi="宋体" w:eastAsia="宋体" w:cs="宋体"/>
        <w:b w:val="0"/>
        <w:bCs/>
        <w:color w:val="auto"/>
        <w:sz w:val="18"/>
        <w:szCs w:val="18"/>
        <w:highlight w:val="none"/>
        <w:u w:val="single"/>
        <w:lang w:val="en-US"/>
      </w:rPr>
    </w:pPr>
    <w:r>
      <w:rPr>
        <w:rFonts w:hint="eastAsia" w:ascii="宋体" w:hAnsi="宋体" w:cs="宋体"/>
        <w:b w:val="0"/>
        <w:bCs/>
        <w:color w:val="auto"/>
        <w:sz w:val="18"/>
        <w:szCs w:val="18"/>
        <w:highlight w:val="none"/>
        <w:u w:val="single"/>
        <w:lang w:eastAsia="zh-CN"/>
      </w:rPr>
      <w:t>珠江流域（玉溪段）生态环境监测能力提升项目</w:t>
    </w:r>
    <w:r>
      <w:rPr>
        <w:rFonts w:hint="eastAsia" w:ascii="宋体" w:hAnsi="宋体" w:cs="宋体"/>
        <w:b w:val="0"/>
        <w:bCs/>
        <w:color w:val="auto"/>
        <w:sz w:val="18"/>
        <w:szCs w:val="18"/>
        <w:highlight w:val="none"/>
        <w:u w:val="single"/>
        <w:lang w:val="en-US" w:eastAsia="zh-CN"/>
      </w:rPr>
      <w:t xml:space="preserve">                                       </w:t>
    </w:r>
    <w:r>
      <w:rPr>
        <w:rFonts w:hint="eastAsia" w:ascii="宋体" w:hAnsi="宋体" w:eastAsia="宋体" w:cs="宋体"/>
        <w:b w:val="0"/>
        <w:bCs/>
        <w:color w:val="auto"/>
        <w:sz w:val="18"/>
        <w:szCs w:val="18"/>
        <w:highlight w:val="none"/>
        <w:u w:val="single"/>
        <w:lang w:val="en-US" w:eastAsia="zh-CN"/>
      </w:rPr>
      <w:t xml:space="preserve">    招标文件</w:t>
    </w:r>
  </w:p>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80C8"/>
    <w:multiLevelType w:val="singleLevel"/>
    <w:tmpl w:val="80FC80C8"/>
    <w:lvl w:ilvl="0" w:tentative="0">
      <w:start w:val="12"/>
      <w:numFmt w:val="decimal"/>
      <w:suff w:val="nothing"/>
      <w:lvlText w:val="%1、"/>
      <w:lvlJc w:val="left"/>
    </w:lvl>
  </w:abstractNum>
  <w:abstractNum w:abstractNumId="1">
    <w:nsid w:val="A6D07402"/>
    <w:multiLevelType w:val="multilevel"/>
    <w:tmpl w:val="A6D07402"/>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default" w:ascii="黑体" w:hAnsi="黑体" w:eastAsia="黑体"/>
        <w:color w:val="auto"/>
      </w:rPr>
    </w:lvl>
    <w:lvl w:ilvl="3" w:tentative="0">
      <w:start w:val="1"/>
      <w:numFmt w:val="decimal"/>
      <w:pStyle w:val="6"/>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2">
    <w:nsid w:val="C5A8F21E"/>
    <w:multiLevelType w:val="singleLevel"/>
    <w:tmpl w:val="C5A8F21E"/>
    <w:lvl w:ilvl="0" w:tentative="0">
      <w:start w:val="6"/>
      <w:numFmt w:val="decimal"/>
      <w:suff w:val="nothing"/>
      <w:lvlText w:val="%1、"/>
      <w:lvlJc w:val="left"/>
    </w:lvl>
  </w:abstractNum>
  <w:abstractNum w:abstractNumId="3">
    <w:nsid w:val="CFA766CC"/>
    <w:multiLevelType w:val="multilevel"/>
    <w:tmpl w:val="CFA766CC"/>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4FBF96A"/>
    <w:multiLevelType w:val="multilevel"/>
    <w:tmpl w:val="D4FBF96A"/>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default" w:ascii="黑体" w:hAnsi="黑体" w:eastAsia="黑体"/>
        <w:color w:val="auto"/>
      </w:rPr>
    </w:lvl>
    <w:lvl w:ilvl="3" w:tentative="0">
      <w:start w:val="1"/>
      <w:numFmt w:val="decimal"/>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5">
    <w:nsid w:val="DF6177BA"/>
    <w:multiLevelType w:val="singleLevel"/>
    <w:tmpl w:val="DF6177BA"/>
    <w:lvl w:ilvl="0" w:tentative="0">
      <w:start w:val="1"/>
      <w:numFmt w:val="decimal"/>
      <w:suff w:val="nothing"/>
      <w:lvlText w:val="%1、"/>
      <w:lvlJc w:val="left"/>
    </w:lvl>
  </w:abstractNum>
  <w:abstractNum w:abstractNumId="6">
    <w:nsid w:val="6153E03B"/>
    <w:multiLevelType w:val="singleLevel"/>
    <w:tmpl w:val="6153E03B"/>
    <w:lvl w:ilvl="0" w:tentative="0">
      <w:start w:val="2"/>
      <w:numFmt w:val="chineseCounting"/>
      <w:suff w:val="nothing"/>
      <w:lvlText w:val="%1、"/>
      <w:lvlJc w:val="left"/>
    </w:lvl>
  </w:abstractNum>
  <w:abstractNum w:abstractNumId="7">
    <w:nsid w:val="64B7B9B2"/>
    <w:multiLevelType w:val="singleLevel"/>
    <w:tmpl w:val="64B7B9B2"/>
    <w:lvl w:ilvl="0" w:tentative="0">
      <w:start w:val="2"/>
      <w:numFmt w:val="chineseCounting"/>
      <w:suff w:val="nothing"/>
      <w:lvlText w:val="（%1）"/>
      <w:lvlJc w:val="left"/>
    </w:lvl>
  </w:abstractNum>
  <w:abstractNum w:abstractNumId="8">
    <w:nsid w:val="65BF5F77"/>
    <w:multiLevelType w:val="singleLevel"/>
    <w:tmpl w:val="65BF5F77"/>
    <w:lvl w:ilvl="0" w:tentative="0">
      <w:start w:val="3"/>
      <w:numFmt w:val="decimal"/>
      <w:suff w:val="nothing"/>
      <w:lvlText w:val="（%1）"/>
      <w:lvlJc w:val="left"/>
    </w:lvl>
  </w:abstractNum>
  <w:abstractNum w:abstractNumId="9">
    <w:nsid w:val="772541A4"/>
    <w:multiLevelType w:val="singleLevel"/>
    <w:tmpl w:val="772541A4"/>
    <w:lvl w:ilvl="0" w:tentative="0">
      <w:start w:val="1"/>
      <w:numFmt w:val="decimal"/>
      <w:suff w:val="nothing"/>
      <w:lvlText w:val="%1、"/>
      <w:lvlJc w:val="left"/>
    </w:lvl>
  </w:abstractNum>
  <w:abstractNum w:abstractNumId="10">
    <w:nsid w:val="7C135549"/>
    <w:multiLevelType w:val="multilevel"/>
    <w:tmpl w:val="7C13554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 w:numId="3">
    <w:abstractNumId w:val="9"/>
  </w:num>
  <w:num w:numId="4">
    <w:abstractNumId w:val="5"/>
  </w:num>
  <w:num w:numId="5">
    <w:abstractNumId w:val="2"/>
  </w:num>
  <w:num w:numId="6">
    <w:abstractNumId w:val="4"/>
  </w:num>
  <w:num w:numId="7">
    <w:abstractNumId w:val="3"/>
  </w:num>
  <w:num w:numId="8">
    <w:abstractNumId w:val="10"/>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53157F3E"/>
    <w:rsid w:val="00046CA0"/>
    <w:rsid w:val="00186BF0"/>
    <w:rsid w:val="00411CA3"/>
    <w:rsid w:val="005D4603"/>
    <w:rsid w:val="0089189B"/>
    <w:rsid w:val="00902C2A"/>
    <w:rsid w:val="00951FEE"/>
    <w:rsid w:val="009F2E6D"/>
    <w:rsid w:val="00B71F65"/>
    <w:rsid w:val="00D80251"/>
    <w:rsid w:val="00E15234"/>
    <w:rsid w:val="00F72CA9"/>
    <w:rsid w:val="0112363F"/>
    <w:rsid w:val="01172A03"/>
    <w:rsid w:val="011B0745"/>
    <w:rsid w:val="011D2710"/>
    <w:rsid w:val="012B64AF"/>
    <w:rsid w:val="01313594"/>
    <w:rsid w:val="01390BCC"/>
    <w:rsid w:val="014337F8"/>
    <w:rsid w:val="014852B3"/>
    <w:rsid w:val="01A06E9D"/>
    <w:rsid w:val="01B87994"/>
    <w:rsid w:val="01CF1530"/>
    <w:rsid w:val="01DE2443"/>
    <w:rsid w:val="01DF5C17"/>
    <w:rsid w:val="01EA636A"/>
    <w:rsid w:val="02111B48"/>
    <w:rsid w:val="02145195"/>
    <w:rsid w:val="0273635F"/>
    <w:rsid w:val="027D4610"/>
    <w:rsid w:val="028C11CF"/>
    <w:rsid w:val="029F0F02"/>
    <w:rsid w:val="02A12ECC"/>
    <w:rsid w:val="02C2415D"/>
    <w:rsid w:val="02C24BF1"/>
    <w:rsid w:val="02CE3596"/>
    <w:rsid w:val="02D23086"/>
    <w:rsid w:val="02EE59E6"/>
    <w:rsid w:val="03100052"/>
    <w:rsid w:val="03577A2F"/>
    <w:rsid w:val="0361440A"/>
    <w:rsid w:val="03724869"/>
    <w:rsid w:val="03A92929"/>
    <w:rsid w:val="03AD4821"/>
    <w:rsid w:val="03D270B5"/>
    <w:rsid w:val="03DE5A5A"/>
    <w:rsid w:val="040327F1"/>
    <w:rsid w:val="04074FB1"/>
    <w:rsid w:val="040C0819"/>
    <w:rsid w:val="040F3E66"/>
    <w:rsid w:val="04206073"/>
    <w:rsid w:val="042518DB"/>
    <w:rsid w:val="042E69E2"/>
    <w:rsid w:val="04387860"/>
    <w:rsid w:val="044D0983"/>
    <w:rsid w:val="04722D72"/>
    <w:rsid w:val="049A4077"/>
    <w:rsid w:val="04A70542"/>
    <w:rsid w:val="04A722F0"/>
    <w:rsid w:val="04BD71E4"/>
    <w:rsid w:val="04DF1A8A"/>
    <w:rsid w:val="04FF3EDA"/>
    <w:rsid w:val="05444432"/>
    <w:rsid w:val="056A1C9B"/>
    <w:rsid w:val="05776166"/>
    <w:rsid w:val="05B64EE1"/>
    <w:rsid w:val="05E03D0C"/>
    <w:rsid w:val="05E27A84"/>
    <w:rsid w:val="05F72E03"/>
    <w:rsid w:val="05FD666C"/>
    <w:rsid w:val="06053772"/>
    <w:rsid w:val="06123ECA"/>
    <w:rsid w:val="062C1654"/>
    <w:rsid w:val="062E2CC9"/>
    <w:rsid w:val="06565D7C"/>
    <w:rsid w:val="065F10D4"/>
    <w:rsid w:val="067D59FE"/>
    <w:rsid w:val="069D1BFD"/>
    <w:rsid w:val="069F5F72"/>
    <w:rsid w:val="06A50AB1"/>
    <w:rsid w:val="06A74829"/>
    <w:rsid w:val="06B07B82"/>
    <w:rsid w:val="06BF7DC5"/>
    <w:rsid w:val="06C54CB0"/>
    <w:rsid w:val="06EE4206"/>
    <w:rsid w:val="071874D5"/>
    <w:rsid w:val="074A3B33"/>
    <w:rsid w:val="075F1676"/>
    <w:rsid w:val="076170CE"/>
    <w:rsid w:val="07697D31"/>
    <w:rsid w:val="077B0190"/>
    <w:rsid w:val="07921036"/>
    <w:rsid w:val="07966D78"/>
    <w:rsid w:val="07BF498F"/>
    <w:rsid w:val="07DB29DD"/>
    <w:rsid w:val="07F910B5"/>
    <w:rsid w:val="07FE491D"/>
    <w:rsid w:val="08114650"/>
    <w:rsid w:val="08362309"/>
    <w:rsid w:val="08562050"/>
    <w:rsid w:val="08730E67"/>
    <w:rsid w:val="08732C15"/>
    <w:rsid w:val="08B82D1E"/>
    <w:rsid w:val="08FE250C"/>
    <w:rsid w:val="090A09B2"/>
    <w:rsid w:val="092138C6"/>
    <w:rsid w:val="092E4D8E"/>
    <w:rsid w:val="09475E50"/>
    <w:rsid w:val="095A3DD5"/>
    <w:rsid w:val="095C18FB"/>
    <w:rsid w:val="09642C2F"/>
    <w:rsid w:val="096802A0"/>
    <w:rsid w:val="096E162E"/>
    <w:rsid w:val="09756E61"/>
    <w:rsid w:val="0978425B"/>
    <w:rsid w:val="097D6D15"/>
    <w:rsid w:val="09A256DA"/>
    <w:rsid w:val="09B01C47"/>
    <w:rsid w:val="09D04097"/>
    <w:rsid w:val="09DD04A3"/>
    <w:rsid w:val="09FB3D3B"/>
    <w:rsid w:val="0A03621B"/>
    <w:rsid w:val="0A0E7914"/>
    <w:rsid w:val="0A382368"/>
    <w:rsid w:val="0A3E36F7"/>
    <w:rsid w:val="0A4D7496"/>
    <w:rsid w:val="0A540824"/>
    <w:rsid w:val="0A594448"/>
    <w:rsid w:val="0A6F38B0"/>
    <w:rsid w:val="0A721553"/>
    <w:rsid w:val="0A726EFC"/>
    <w:rsid w:val="0AC27E84"/>
    <w:rsid w:val="0AC44356"/>
    <w:rsid w:val="0AE53B72"/>
    <w:rsid w:val="0AEB1372"/>
    <w:rsid w:val="0AFB5144"/>
    <w:rsid w:val="0B1E5913"/>
    <w:rsid w:val="0B1F5935"/>
    <w:rsid w:val="0B220922"/>
    <w:rsid w:val="0B2428ED"/>
    <w:rsid w:val="0B275F39"/>
    <w:rsid w:val="0B3643CE"/>
    <w:rsid w:val="0B570E7D"/>
    <w:rsid w:val="0B7078E0"/>
    <w:rsid w:val="0B84665A"/>
    <w:rsid w:val="0B896BF3"/>
    <w:rsid w:val="0B907F82"/>
    <w:rsid w:val="0BBD42C7"/>
    <w:rsid w:val="0BCC77F4"/>
    <w:rsid w:val="0BD87233"/>
    <w:rsid w:val="0BE36304"/>
    <w:rsid w:val="0BF24799"/>
    <w:rsid w:val="0BFB189F"/>
    <w:rsid w:val="0C1110C3"/>
    <w:rsid w:val="0C175FAD"/>
    <w:rsid w:val="0C193AD3"/>
    <w:rsid w:val="0C4F33F9"/>
    <w:rsid w:val="0C566AD6"/>
    <w:rsid w:val="0C580AA0"/>
    <w:rsid w:val="0C5C1C12"/>
    <w:rsid w:val="0C5E3BDC"/>
    <w:rsid w:val="0C6236CC"/>
    <w:rsid w:val="0C7358DA"/>
    <w:rsid w:val="0C8A49D1"/>
    <w:rsid w:val="0C957759"/>
    <w:rsid w:val="0CB41A4E"/>
    <w:rsid w:val="0CB437FC"/>
    <w:rsid w:val="0CC26E47"/>
    <w:rsid w:val="0CC46135"/>
    <w:rsid w:val="0CE71E24"/>
    <w:rsid w:val="0D244E26"/>
    <w:rsid w:val="0D444B80"/>
    <w:rsid w:val="0D861483"/>
    <w:rsid w:val="0DB5782C"/>
    <w:rsid w:val="0DC14423"/>
    <w:rsid w:val="0DD759F4"/>
    <w:rsid w:val="0E123CD3"/>
    <w:rsid w:val="0E19600D"/>
    <w:rsid w:val="0E2055ED"/>
    <w:rsid w:val="0E415563"/>
    <w:rsid w:val="0E6A6868"/>
    <w:rsid w:val="0E6E3152"/>
    <w:rsid w:val="0EA4458C"/>
    <w:rsid w:val="0ECE329B"/>
    <w:rsid w:val="0ED4462A"/>
    <w:rsid w:val="0EE628AF"/>
    <w:rsid w:val="0EF12AE6"/>
    <w:rsid w:val="0EFB3EAD"/>
    <w:rsid w:val="0F182768"/>
    <w:rsid w:val="0F3B6457"/>
    <w:rsid w:val="0F3F7CF5"/>
    <w:rsid w:val="0F5056F2"/>
    <w:rsid w:val="0F5D461F"/>
    <w:rsid w:val="0F655282"/>
    <w:rsid w:val="0F7F6343"/>
    <w:rsid w:val="0F8120BC"/>
    <w:rsid w:val="0F973D6E"/>
    <w:rsid w:val="0FC12B33"/>
    <w:rsid w:val="0FDF3286"/>
    <w:rsid w:val="0FDF6DE2"/>
    <w:rsid w:val="0FE4089C"/>
    <w:rsid w:val="0FF00FEF"/>
    <w:rsid w:val="0FFC3E38"/>
    <w:rsid w:val="10433815"/>
    <w:rsid w:val="104E5D16"/>
    <w:rsid w:val="1053332C"/>
    <w:rsid w:val="10633E33"/>
    <w:rsid w:val="108856CC"/>
    <w:rsid w:val="10AF1B6B"/>
    <w:rsid w:val="10F863AD"/>
    <w:rsid w:val="11203046"/>
    <w:rsid w:val="113373E5"/>
    <w:rsid w:val="1136303C"/>
    <w:rsid w:val="11444AA3"/>
    <w:rsid w:val="116B3023"/>
    <w:rsid w:val="116F020E"/>
    <w:rsid w:val="11765BB3"/>
    <w:rsid w:val="11877B8B"/>
    <w:rsid w:val="118934A9"/>
    <w:rsid w:val="11943BFC"/>
    <w:rsid w:val="11C12C43"/>
    <w:rsid w:val="11C6025A"/>
    <w:rsid w:val="11D24E50"/>
    <w:rsid w:val="11D34725"/>
    <w:rsid w:val="11F528ED"/>
    <w:rsid w:val="11F823DD"/>
    <w:rsid w:val="12274A70"/>
    <w:rsid w:val="12473819"/>
    <w:rsid w:val="125B650A"/>
    <w:rsid w:val="125E3C61"/>
    <w:rsid w:val="126857B5"/>
    <w:rsid w:val="127E0B34"/>
    <w:rsid w:val="127F48AC"/>
    <w:rsid w:val="12966FEF"/>
    <w:rsid w:val="12AC38F3"/>
    <w:rsid w:val="12AF0CEE"/>
    <w:rsid w:val="12B1393F"/>
    <w:rsid w:val="12B66520"/>
    <w:rsid w:val="12BC340B"/>
    <w:rsid w:val="12CC5D44"/>
    <w:rsid w:val="12D270D2"/>
    <w:rsid w:val="12E070F9"/>
    <w:rsid w:val="12ED01BC"/>
    <w:rsid w:val="12F83AAE"/>
    <w:rsid w:val="130F79DE"/>
    <w:rsid w:val="132C0590"/>
    <w:rsid w:val="13420CA5"/>
    <w:rsid w:val="13427DB4"/>
    <w:rsid w:val="1345792A"/>
    <w:rsid w:val="13545D39"/>
    <w:rsid w:val="13992BA5"/>
    <w:rsid w:val="139F6FB4"/>
    <w:rsid w:val="13A02FC9"/>
    <w:rsid w:val="13B50586"/>
    <w:rsid w:val="13C50F53"/>
    <w:rsid w:val="13CC58CF"/>
    <w:rsid w:val="13E620B2"/>
    <w:rsid w:val="13F84916"/>
    <w:rsid w:val="14054025"/>
    <w:rsid w:val="140B63F8"/>
    <w:rsid w:val="141C6857"/>
    <w:rsid w:val="14333BA0"/>
    <w:rsid w:val="14524026"/>
    <w:rsid w:val="14551D69"/>
    <w:rsid w:val="14575AE1"/>
    <w:rsid w:val="14605DBB"/>
    <w:rsid w:val="146A5814"/>
    <w:rsid w:val="148A7C64"/>
    <w:rsid w:val="14A2292A"/>
    <w:rsid w:val="14C8078D"/>
    <w:rsid w:val="14C86476"/>
    <w:rsid w:val="15040B10"/>
    <w:rsid w:val="15063063"/>
    <w:rsid w:val="15122BA8"/>
    <w:rsid w:val="15190FE8"/>
    <w:rsid w:val="15213C3F"/>
    <w:rsid w:val="1534197E"/>
    <w:rsid w:val="15761F97"/>
    <w:rsid w:val="15832DE6"/>
    <w:rsid w:val="15877D00"/>
    <w:rsid w:val="15AC7766"/>
    <w:rsid w:val="15C40F54"/>
    <w:rsid w:val="15E50ECA"/>
    <w:rsid w:val="15E6711C"/>
    <w:rsid w:val="15E74C42"/>
    <w:rsid w:val="15E761CA"/>
    <w:rsid w:val="15EA64E1"/>
    <w:rsid w:val="15F5110D"/>
    <w:rsid w:val="16157A01"/>
    <w:rsid w:val="163D2AB4"/>
    <w:rsid w:val="16573B76"/>
    <w:rsid w:val="165A5414"/>
    <w:rsid w:val="165D6CB3"/>
    <w:rsid w:val="16C37275"/>
    <w:rsid w:val="17005FBC"/>
    <w:rsid w:val="170748C7"/>
    <w:rsid w:val="1720040C"/>
    <w:rsid w:val="173026EF"/>
    <w:rsid w:val="176D73C9"/>
    <w:rsid w:val="177B1AE6"/>
    <w:rsid w:val="17B350B9"/>
    <w:rsid w:val="17BF5EF1"/>
    <w:rsid w:val="17C70888"/>
    <w:rsid w:val="18003D99"/>
    <w:rsid w:val="18274CF9"/>
    <w:rsid w:val="183103F7"/>
    <w:rsid w:val="184719C8"/>
    <w:rsid w:val="18560AD3"/>
    <w:rsid w:val="187A5D59"/>
    <w:rsid w:val="187F1162"/>
    <w:rsid w:val="18811059"/>
    <w:rsid w:val="18822A00"/>
    <w:rsid w:val="1888270D"/>
    <w:rsid w:val="188B3FAB"/>
    <w:rsid w:val="188B7B07"/>
    <w:rsid w:val="189912C4"/>
    <w:rsid w:val="18BE612E"/>
    <w:rsid w:val="18D86AC4"/>
    <w:rsid w:val="18DF3279"/>
    <w:rsid w:val="18EF453A"/>
    <w:rsid w:val="18F2402A"/>
    <w:rsid w:val="18F27CF6"/>
    <w:rsid w:val="19291FAC"/>
    <w:rsid w:val="193F08F1"/>
    <w:rsid w:val="19410B0E"/>
    <w:rsid w:val="19502AFF"/>
    <w:rsid w:val="19502CE2"/>
    <w:rsid w:val="1977452F"/>
    <w:rsid w:val="19892BFF"/>
    <w:rsid w:val="19D21766"/>
    <w:rsid w:val="19DF45AE"/>
    <w:rsid w:val="19EF40C6"/>
    <w:rsid w:val="1A004525"/>
    <w:rsid w:val="1A330456"/>
    <w:rsid w:val="1A361CF4"/>
    <w:rsid w:val="1A3B37AF"/>
    <w:rsid w:val="1A491A28"/>
    <w:rsid w:val="1A646862"/>
    <w:rsid w:val="1A693E78"/>
    <w:rsid w:val="1A734CF7"/>
    <w:rsid w:val="1A824F3A"/>
    <w:rsid w:val="1A951111"/>
    <w:rsid w:val="1AAB623F"/>
    <w:rsid w:val="1ACE4623"/>
    <w:rsid w:val="1AE96D67"/>
    <w:rsid w:val="1B076CE7"/>
    <w:rsid w:val="1B5846EF"/>
    <w:rsid w:val="1B617245"/>
    <w:rsid w:val="1B662AAD"/>
    <w:rsid w:val="1B6C00C4"/>
    <w:rsid w:val="1B75356E"/>
    <w:rsid w:val="1B8151F1"/>
    <w:rsid w:val="1B9211AC"/>
    <w:rsid w:val="1BA50EE0"/>
    <w:rsid w:val="1BAA0105"/>
    <w:rsid w:val="1BBB6955"/>
    <w:rsid w:val="1C1B3898"/>
    <w:rsid w:val="1C2C33AF"/>
    <w:rsid w:val="1C4F709D"/>
    <w:rsid w:val="1C5F19D6"/>
    <w:rsid w:val="1C6B037B"/>
    <w:rsid w:val="1C7B7E93"/>
    <w:rsid w:val="1C7F7983"/>
    <w:rsid w:val="1C8256C5"/>
    <w:rsid w:val="1C940F54"/>
    <w:rsid w:val="1C986C96"/>
    <w:rsid w:val="1CAC2742"/>
    <w:rsid w:val="1CAF6F51"/>
    <w:rsid w:val="1CE26164"/>
    <w:rsid w:val="1D120041"/>
    <w:rsid w:val="1D17405F"/>
    <w:rsid w:val="1D175E0D"/>
    <w:rsid w:val="1D2D5631"/>
    <w:rsid w:val="1D5232E9"/>
    <w:rsid w:val="1D5E1C8E"/>
    <w:rsid w:val="1D6F5C49"/>
    <w:rsid w:val="1D81597C"/>
    <w:rsid w:val="1D864D41"/>
    <w:rsid w:val="1DA90D3F"/>
    <w:rsid w:val="1DB573D4"/>
    <w:rsid w:val="1DB6758F"/>
    <w:rsid w:val="1DC00253"/>
    <w:rsid w:val="1DCD471E"/>
    <w:rsid w:val="1DD737EE"/>
    <w:rsid w:val="1DF11020"/>
    <w:rsid w:val="1DF919B7"/>
    <w:rsid w:val="1DF95513"/>
    <w:rsid w:val="1E0A5972"/>
    <w:rsid w:val="1E0F431A"/>
    <w:rsid w:val="1E114F52"/>
    <w:rsid w:val="1E3429EF"/>
    <w:rsid w:val="1E4523D8"/>
    <w:rsid w:val="1E7B23CC"/>
    <w:rsid w:val="1E9B481C"/>
    <w:rsid w:val="1E9E60BA"/>
    <w:rsid w:val="1EA90CE7"/>
    <w:rsid w:val="1EAC6A29"/>
    <w:rsid w:val="1ED16490"/>
    <w:rsid w:val="1F354C71"/>
    <w:rsid w:val="1F372797"/>
    <w:rsid w:val="1F43738D"/>
    <w:rsid w:val="1F4E188E"/>
    <w:rsid w:val="1F537BAB"/>
    <w:rsid w:val="1F576995"/>
    <w:rsid w:val="1F5E41C7"/>
    <w:rsid w:val="1F6E3CDF"/>
    <w:rsid w:val="1F971487"/>
    <w:rsid w:val="1FAD2A59"/>
    <w:rsid w:val="1FC16504"/>
    <w:rsid w:val="1FD76238"/>
    <w:rsid w:val="1FE10954"/>
    <w:rsid w:val="1FED554B"/>
    <w:rsid w:val="200701AF"/>
    <w:rsid w:val="20084133"/>
    <w:rsid w:val="201B5C14"/>
    <w:rsid w:val="20256A93"/>
    <w:rsid w:val="202820DF"/>
    <w:rsid w:val="20360CA0"/>
    <w:rsid w:val="20362A4E"/>
    <w:rsid w:val="203647FC"/>
    <w:rsid w:val="203767C6"/>
    <w:rsid w:val="203B62B7"/>
    <w:rsid w:val="206A26F8"/>
    <w:rsid w:val="208A54D1"/>
    <w:rsid w:val="208E1716"/>
    <w:rsid w:val="20971013"/>
    <w:rsid w:val="20A53730"/>
    <w:rsid w:val="20B56069"/>
    <w:rsid w:val="20D44A5E"/>
    <w:rsid w:val="20F9026B"/>
    <w:rsid w:val="21020B82"/>
    <w:rsid w:val="2126068F"/>
    <w:rsid w:val="212E3725"/>
    <w:rsid w:val="21333432"/>
    <w:rsid w:val="21556F04"/>
    <w:rsid w:val="217355DC"/>
    <w:rsid w:val="21881D3A"/>
    <w:rsid w:val="21C916A0"/>
    <w:rsid w:val="21D50045"/>
    <w:rsid w:val="21D7200F"/>
    <w:rsid w:val="21DD6EFA"/>
    <w:rsid w:val="21E604A4"/>
    <w:rsid w:val="220426D8"/>
    <w:rsid w:val="22280ABD"/>
    <w:rsid w:val="222934DF"/>
    <w:rsid w:val="22317971"/>
    <w:rsid w:val="22715FC0"/>
    <w:rsid w:val="22743D02"/>
    <w:rsid w:val="227B259F"/>
    <w:rsid w:val="227E248B"/>
    <w:rsid w:val="228C2DF9"/>
    <w:rsid w:val="22E542B8"/>
    <w:rsid w:val="22F91898"/>
    <w:rsid w:val="22F97D63"/>
    <w:rsid w:val="22FD6329"/>
    <w:rsid w:val="22FF35CB"/>
    <w:rsid w:val="2305495A"/>
    <w:rsid w:val="232474D6"/>
    <w:rsid w:val="23360FB7"/>
    <w:rsid w:val="235356C5"/>
    <w:rsid w:val="235F050E"/>
    <w:rsid w:val="23BC14BC"/>
    <w:rsid w:val="23BD5235"/>
    <w:rsid w:val="23DA1943"/>
    <w:rsid w:val="23DC56BB"/>
    <w:rsid w:val="23DE2A2C"/>
    <w:rsid w:val="23E66539"/>
    <w:rsid w:val="23E80503"/>
    <w:rsid w:val="23ED1E01"/>
    <w:rsid w:val="23EF1892"/>
    <w:rsid w:val="23FF13A9"/>
    <w:rsid w:val="240030C6"/>
    <w:rsid w:val="24150BCD"/>
    <w:rsid w:val="243F74B6"/>
    <w:rsid w:val="24446E7D"/>
    <w:rsid w:val="246833F2"/>
    <w:rsid w:val="24715184"/>
    <w:rsid w:val="248317DC"/>
    <w:rsid w:val="24D10F97"/>
    <w:rsid w:val="24D9609E"/>
    <w:rsid w:val="24E231A5"/>
    <w:rsid w:val="251F3D1D"/>
    <w:rsid w:val="252A68FA"/>
    <w:rsid w:val="25423C43"/>
    <w:rsid w:val="2547125A"/>
    <w:rsid w:val="256242E5"/>
    <w:rsid w:val="257162D7"/>
    <w:rsid w:val="25B95C0C"/>
    <w:rsid w:val="25E42F4C"/>
    <w:rsid w:val="25F121BB"/>
    <w:rsid w:val="2604714B"/>
    <w:rsid w:val="2629095F"/>
    <w:rsid w:val="26306192"/>
    <w:rsid w:val="26415CA9"/>
    <w:rsid w:val="26467763"/>
    <w:rsid w:val="265359DC"/>
    <w:rsid w:val="26552875"/>
    <w:rsid w:val="265A4FBD"/>
    <w:rsid w:val="2677791D"/>
    <w:rsid w:val="26887D7C"/>
    <w:rsid w:val="26971D6D"/>
    <w:rsid w:val="26977FBF"/>
    <w:rsid w:val="26A34BB6"/>
    <w:rsid w:val="26A76454"/>
    <w:rsid w:val="26AB75C6"/>
    <w:rsid w:val="26AF355A"/>
    <w:rsid w:val="26B446CD"/>
    <w:rsid w:val="26E256DE"/>
    <w:rsid w:val="26FB2FAF"/>
    <w:rsid w:val="27007912"/>
    <w:rsid w:val="27127645"/>
    <w:rsid w:val="27160EE4"/>
    <w:rsid w:val="272C4BAB"/>
    <w:rsid w:val="27321A96"/>
    <w:rsid w:val="2742617D"/>
    <w:rsid w:val="27533EE6"/>
    <w:rsid w:val="276E51C4"/>
    <w:rsid w:val="277038E5"/>
    <w:rsid w:val="277D5407"/>
    <w:rsid w:val="27960276"/>
    <w:rsid w:val="27CB43C4"/>
    <w:rsid w:val="27CE7A10"/>
    <w:rsid w:val="27E01EA7"/>
    <w:rsid w:val="27E2170E"/>
    <w:rsid w:val="27FC27CF"/>
    <w:rsid w:val="28175C01"/>
    <w:rsid w:val="282D0BDB"/>
    <w:rsid w:val="28305FD5"/>
    <w:rsid w:val="283261F1"/>
    <w:rsid w:val="283F26BC"/>
    <w:rsid w:val="286363AA"/>
    <w:rsid w:val="28667C49"/>
    <w:rsid w:val="289724F8"/>
    <w:rsid w:val="289C18BC"/>
    <w:rsid w:val="28AF339E"/>
    <w:rsid w:val="28B135BA"/>
    <w:rsid w:val="28C36E49"/>
    <w:rsid w:val="28EB10B1"/>
    <w:rsid w:val="28F2772E"/>
    <w:rsid w:val="28F278BB"/>
    <w:rsid w:val="29310257"/>
    <w:rsid w:val="29347D47"/>
    <w:rsid w:val="294A30C6"/>
    <w:rsid w:val="295959FF"/>
    <w:rsid w:val="296C128F"/>
    <w:rsid w:val="296D0E96"/>
    <w:rsid w:val="297A02F3"/>
    <w:rsid w:val="29824F56"/>
    <w:rsid w:val="298E79EF"/>
    <w:rsid w:val="29995DFC"/>
    <w:rsid w:val="299B7DC6"/>
    <w:rsid w:val="29CC7F7F"/>
    <w:rsid w:val="29DF31FC"/>
    <w:rsid w:val="2A093A87"/>
    <w:rsid w:val="2A1101D5"/>
    <w:rsid w:val="2A570191"/>
    <w:rsid w:val="2A5B1D1A"/>
    <w:rsid w:val="2A8940C2"/>
    <w:rsid w:val="2A9767DF"/>
    <w:rsid w:val="2AD0584D"/>
    <w:rsid w:val="2AE15BDD"/>
    <w:rsid w:val="2B05199B"/>
    <w:rsid w:val="2B807273"/>
    <w:rsid w:val="2B9D6077"/>
    <w:rsid w:val="2BFD08C4"/>
    <w:rsid w:val="2C0F6084"/>
    <w:rsid w:val="2C216675"/>
    <w:rsid w:val="2C29790B"/>
    <w:rsid w:val="2C2E3173"/>
    <w:rsid w:val="2C3C763E"/>
    <w:rsid w:val="2C42277B"/>
    <w:rsid w:val="2C4D39D2"/>
    <w:rsid w:val="2C7548FE"/>
    <w:rsid w:val="2C7C3EDF"/>
    <w:rsid w:val="2C842D93"/>
    <w:rsid w:val="2C98683F"/>
    <w:rsid w:val="2C9C067B"/>
    <w:rsid w:val="2CA376BD"/>
    <w:rsid w:val="2CB01DDA"/>
    <w:rsid w:val="2CB27900"/>
    <w:rsid w:val="2CD07D87"/>
    <w:rsid w:val="2CD47877"/>
    <w:rsid w:val="2CEA21F5"/>
    <w:rsid w:val="2D144117"/>
    <w:rsid w:val="2D1C7470"/>
    <w:rsid w:val="2D3C0C59"/>
    <w:rsid w:val="2D485B6F"/>
    <w:rsid w:val="2D542766"/>
    <w:rsid w:val="2D60110A"/>
    <w:rsid w:val="2D866DED"/>
    <w:rsid w:val="2E112405"/>
    <w:rsid w:val="2E385BE3"/>
    <w:rsid w:val="2E786928"/>
    <w:rsid w:val="2E954DE4"/>
    <w:rsid w:val="2E9A5A84"/>
    <w:rsid w:val="2EB734D7"/>
    <w:rsid w:val="2EBA6F40"/>
    <w:rsid w:val="2EBE07DF"/>
    <w:rsid w:val="2ED00512"/>
    <w:rsid w:val="2EEB0EA8"/>
    <w:rsid w:val="2EEE2746"/>
    <w:rsid w:val="2F266384"/>
    <w:rsid w:val="2F2A7C22"/>
    <w:rsid w:val="2F2B74F6"/>
    <w:rsid w:val="2F61116A"/>
    <w:rsid w:val="2F9C6646"/>
    <w:rsid w:val="2FAF45CB"/>
    <w:rsid w:val="2FC11C09"/>
    <w:rsid w:val="2FC516F9"/>
    <w:rsid w:val="2FC72C80"/>
    <w:rsid w:val="2FCA31B3"/>
    <w:rsid w:val="2FCD67FF"/>
    <w:rsid w:val="2FD933F6"/>
    <w:rsid w:val="2FEA73B1"/>
    <w:rsid w:val="30004E27"/>
    <w:rsid w:val="301D7787"/>
    <w:rsid w:val="30377258"/>
    <w:rsid w:val="30450A8C"/>
    <w:rsid w:val="30B33459"/>
    <w:rsid w:val="30C47C02"/>
    <w:rsid w:val="30FF50DE"/>
    <w:rsid w:val="3115220C"/>
    <w:rsid w:val="311C17EC"/>
    <w:rsid w:val="31442AF1"/>
    <w:rsid w:val="31B7224A"/>
    <w:rsid w:val="31C12394"/>
    <w:rsid w:val="31D9592F"/>
    <w:rsid w:val="31E247E4"/>
    <w:rsid w:val="31E549ED"/>
    <w:rsid w:val="31FE5396"/>
    <w:rsid w:val="320619C8"/>
    <w:rsid w:val="320F4EAD"/>
    <w:rsid w:val="32186458"/>
    <w:rsid w:val="323B3EF4"/>
    <w:rsid w:val="325D3E6B"/>
    <w:rsid w:val="325D4D96"/>
    <w:rsid w:val="32715B68"/>
    <w:rsid w:val="327A0EC0"/>
    <w:rsid w:val="327E5810"/>
    <w:rsid w:val="329B0E37"/>
    <w:rsid w:val="32AC094E"/>
    <w:rsid w:val="32B12B1E"/>
    <w:rsid w:val="32BF2082"/>
    <w:rsid w:val="32C51A10"/>
    <w:rsid w:val="32C75C1A"/>
    <w:rsid w:val="32CB5092"/>
    <w:rsid w:val="32E73977"/>
    <w:rsid w:val="32F81DE5"/>
    <w:rsid w:val="32FC7B27"/>
    <w:rsid w:val="32FF4F22"/>
    <w:rsid w:val="33092244"/>
    <w:rsid w:val="330B38C7"/>
    <w:rsid w:val="334E5EA9"/>
    <w:rsid w:val="3353526D"/>
    <w:rsid w:val="3355548A"/>
    <w:rsid w:val="335F3C12"/>
    <w:rsid w:val="33770F5C"/>
    <w:rsid w:val="3394003E"/>
    <w:rsid w:val="33A06705"/>
    <w:rsid w:val="33AD2BD0"/>
    <w:rsid w:val="33BA0CEA"/>
    <w:rsid w:val="33C57F19"/>
    <w:rsid w:val="33CF0D98"/>
    <w:rsid w:val="33D068BE"/>
    <w:rsid w:val="33DB773D"/>
    <w:rsid w:val="33F46A50"/>
    <w:rsid w:val="34026A2A"/>
    <w:rsid w:val="3410327F"/>
    <w:rsid w:val="344A2619"/>
    <w:rsid w:val="346D235F"/>
    <w:rsid w:val="349624E3"/>
    <w:rsid w:val="349A13A6"/>
    <w:rsid w:val="34AE6BFF"/>
    <w:rsid w:val="34D0301A"/>
    <w:rsid w:val="34EA0618"/>
    <w:rsid w:val="34F30AB6"/>
    <w:rsid w:val="35092088"/>
    <w:rsid w:val="352B64A2"/>
    <w:rsid w:val="35377A73"/>
    <w:rsid w:val="354632DC"/>
    <w:rsid w:val="354D669C"/>
    <w:rsid w:val="355C48AD"/>
    <w:rsid w:val="35673B29"/>
    <w:rsid w:val="3589141A"/>
    <w:rsid w:val="3599165E"/>
    <w:rsid w:val="359D7E49"/>
    <w:rsid w:val="35B00755"/>
    <w:rsid w:val="35C30488"/>
    <w:rsid w:val="35D46B3A"/>
    <w:rsid w:val="35E52AF5"/>
    <w:rsid w:val="35E57F90"/>
    <w:rsid w:val="36034D29"/>
    <w:rsid w:val="361C45F6"/>
    <w:rsid w:val="364A2958"/>
    <w:rsid w:val="36533F02"/>
    <w:rsid w:val="36624145"/>
    <w:rsid w:val="3667350A"/>
    <w:rsid w:val="367E0853"/>
    <w:rsid w:val="36AF3103"/>
    <w:rsid w:val="36C22E36"/>
    <w:rsid w:val="36C66783"/>
    <w:rsid w:val="37023232"/>
    <w:rsid w:val="374455F9"/>
    <w:rsid w:val="37503F9E"/>
    <w:rsid w:val="376C4B50"/>
    <w:rsid w:val="377F2AD5"/>
    <w:rsid w:val="3799682A"/>
    <w:rsid w:val="37A20571"/>
    <w:rsid w:val="37CE75B8"/>
    <w:rsid w:val="37DC0CC4"/>
    <w:rsid w:val="37DC3A83"/>
    <w:rsid w:val="37F039D3"/>
    <w:rsid w:val="37F214F9"/>
    <w:rsid w:val="37F8583A"/>
    <w:rsid w:val="380B25BB"/>
    <w:rsid w:val="382F0057"/>
    <w:rsid w:val="384B29B7"/>
    <w:rsid w:val="38651CCB"/>
    <w:rsid w:val="386677F1"/>
    <w:rsid w:val="38683569"/>
    <w:rsid w:val="388211B0"/>
    <w:rsid w:val="38855EC9"/>
    <w:rsid w:val="38871C41"/>
    <w:rsid w:val="389B749B"/>
    <w:rsid w:val="38C42E95"/>
    <w:rsid w:val="390B0AC4"/>
    <w:rsid w:val="39276F80"/>
    <w:rsid w:val="39382F3B"/>
    <w:rsid w:val="39A24859"/>
    <w:rsid w:val="39A9208B"/>
    <w:rsid w:val="39AD3929"/>
    <w:rsid w:val="39BF540B"/>
    <w:rsid w:val="39CB0253"/>
    <w:rsid w:val="39D5032C"/>
    <w:rsid w:val="39E92488"/>
    <w:rsid w:val="39EB26A4"/>
    <w:rsid w:val="3A1C460B"/>
    <w:rsid w:val="3A1F234D"/>
    <w:rsid w:val="3A23599A"/>
    <w:rsid w:val="3A322EC1"/>
    <w:rsid w:val="3A5925EE"/>
    <w:rsid w:val="3A8521B0"/>
    <w:rsid w:val="3A8F302F"/>
    <w:rsid w:val="3AC802EF"/>
    <w:rsid w:val="3AE8273F"/>
    <w:rsid w:val="3AFA5EF5"/>
    <w:rsid w:val="3AFB06C4"/>
    <w:rsid w:val="3B005CDB"/>
    <w:rsid w:val="3B041B4F"/>
    <w:rsid w:val="3B844B5E"/>
    <w:rsid w:val="3B893F22"/>
    <w:rsid w:val="3B9F72A2"/>
    <w:rsid w:val="3BAA5C47"/>
    <w:rsid w:val="3BC11EEC"/>
    <w:rsid w:val="3BE54829"/>
    <w:rsid w:val="3C0435A9"/>
    <w:rsid w:val="3C1A7270"/>
    <w:rsid w:val="3C1F4887"/>
    <w:rsid w:val="3C360EA3"/>
    <w:rsid w:val="3C4D6CFE"/>
    <w:rsid w:val="3C543C42"/>
    <w:rsid w:val="3C5E791A"/>
    <w:rsid w:val="3CCA47F2"/>
    <w:rsid w:val="3CCF3BB7"/>
    <w:rsid w:val="3CD218F9"/>
    <w:rsid w:val="3CE5162C"/>
    <w:rsid w:val="3CF950D8"/>
    <w:rsid w:val="3CFE624A"/>
    <w:rsid w:val="3D197528"/>
    <w:rsid w:val="3D204412"/>
    <w:rsid w:val="3D792B22"/>
    <w:rsid w:val="3D8E5820"/>
    <w:rsid w:val="3D8E75CE"/>
    <w:rsid w:val="3D934BE4"/>
    <w:rsid w:val="3D9D3CB5"/>
    <w:rsid w:val="3DA54918"/>
    <w:rsid w:val="3DC94AAA"/>
    <w:rsid w:val="3DCC6348"/>
    <w:rsid w:val="3DD07BE6"/>
    <w:rsid w:val="3DD93CA2"/>
    <w:rsid w:val="3DDA2813"/>
    <w:rsid w:val="3DDA6CB7"/>
    <w:rsid w:val="3DE43692"/>
    <w:rsid w:val="3E2E7003"/>
    <w:rsid w:val="3E411EA7"/>
    <w:rsid w:val="3E5C147A"/>
    <w:rsid w:val="3E8409D1"/>
    <w:rsid w:val="3E9230EE"/>
    <w:rsid w:val="3EC60FE9"/>
    <w:rsid w:val="3EC86B10"/>
    <w:rsid w:val="3EEF6792"/>
    <w:rsid w:val="3EF47905"/>
    <w:rsid w:val="3EFE69D5"/>
    <w:rsid w:val="3F087854"/>
    <w:rsid w:val="3F3142F6"/>
    <w:rsid w:val="3F5E6AF3"/>
    <w:rsid w:val="3F966C0E"/>
    <w:rsid w:val="3FBD419A"/>
    <w:rsid w:val="3FC45529"/>
    <w:rsid w:val="3FD37E62"/>
    <w:rsid w:val="3FF73B50"/>
    <w:rsid w:val="401A15ED"/>
    <w:rsid w:val="402416BC"/>
    <w:rsid w:val="402E0FC4"/>
    <w:rsid w:val="40402E3B"/>
    <w:rsid w:val="40512B35"/>
    <w:rsid w:val="406D5BC1"/>
    <w:rsid w:val="40794422"/>
    <w:rsid w:val="407F76A2"/>
    <w:rsid w:val="40A548E7"/>
    <w:rsid w:val="40BE466E"/>
    <w:rsid w:val="41265D6F"/>
    <w:rsid w:val="41314E40"/>
    <w:rsid w:val="414B0DF4"/>
    <w:rsid w:val="414F52C6"/>
    <w:rsid w:val="41597EF3"/>
    <w:rsid w:val="41764F49"/>
    <w:rsid w:val="41801923"/>
    <w:rsid w:val="41B617E9"/>
    <w:rsid w:val="41B94E35"/>
    <w:rsid w:val="41CF6407"/>
    <w:rsid w:val="41D35EF7"/>
    <w:rsid w:val="41F92E32"/>
    <w:rsid w:val="421B33FA"/>
    <w:rsid w:val="42266472"/>
    <w:rsid w:val="42332E3A"/>
    <w:rsid w:val="426C1EA8"/>
    <w:rsid w:val="42733236"/>
    <w:rsid w:val="4295746D"/>
    <w:rsid w:val="42DC527F"/>
    <w:rsid w:val="42E4753B"/>
    <w:rsid w:val="42F9198D"/>
    <w:rsid w:val="43095949"/>
    <w:rsid w:val="43754D8C"/>
    <w:rsid w:val="43827BD5"/>
    <w:rsid w:val="439E0787"/>
    <w:rsid w:val="43B9111D"/>
    <w:rsid w:val="43B9736F"/>
    <w:rsid w:val="43BA75E6"/>
    <w:rsid w:val="43C0540E"/>
    <w:rsid w:val="43C84F50"/>
    <w:rsid w:val="43CD6976"/>
    <w:rsid w:val="43E837B0"/>
    <w:rsid w:val="43EB41E2"/>
    <w:rsid w:val="44071E88"/>
    <w:rsid w:val="44143923"/>
    <w:rsid w:val="442567B2"/>
    <w:rsid w:val="442742D8"/>
    <w:rsid w:val="442C18EF"/>
    <w:rsid w:val="442E38B9"/>
    <w:rsid w:val="44323D41"/>
    <w:rsid w:val="443864E5"/>
    <w:rsid w:val="44531571"/>
    <w:rsid w:val="4464552C"/>
    <w:rsid w:val="4476700E"/>
    <w:rsid w:val="447B3F61"/>
    <w:rsid w:val="448636F5"/>
    <w:rsid w:val="44E16B7D"/>
    <w:rsid w:val="44FF34A7"/>
    <w:rsid w:val="45034D69"/>
    <w:rsid w:val="4528655A"/>
    <w:rsid w:val="45342E44"/>
    <w:rsid w:val="453C2005"/>
    <w:rsid w:val="45605CF4"/>
    <w:rsid w:val="4565330A"/>
    <w:rsid w:val="458F65D9"/>
    <w:rsid w:val="45986F93"/>
    <w:rsid w:val="45DD7344"/>
    <w:rsid w:val="45DE1D3D"/>
    <w:rsid w:val="45F428E0"/>
    <w:rsid w:val="46001285"/>
    <w:rsid w:val="4605689B"/>
    <w:rsid w:val="460F45DC"/>
    <w:rsid w:val="46256046"/>
    <w:rsid w:val="46324165"/>
    <w:rsid w:val="464C0026"/>
    <w:rsid w:val="464C44CA"/>
    <w:rsid w:val="465515D1"/>
    <w:rsid w:val="4670640B"/>
    <w:rsid w:val="4676111D"/>
    <w:rsid w:val="468679DC"/>
    <w:rsid w:val="46963997"/>
    <w:rsid w:val="46A71700"/>
    <w:rsid w:val="46B14699"/>
    <w:rsid w:val="46B502C1"/>
    <w:rsid w:val="46BE4CF2"/>
    <w:rsid w:val="46CF2F55"/>
    <w:rsid w:val="46F56910"/>
    <w:rsid w:val="47086643"/>
    <w:rsid w:val="474156B1"/>
    <w:rsid w:val="47501D98"/>
    <w:rsid w:val="47613FA5"/>
    <w:rsid w:val="476A2E5A"/>
    <w:rsid w:val="476C76E5"/>
    <w:rsid w:val="476F0470"/>
    <w:rsid w:val="477C493B"/>
    <w:rsid w:val="478832E0"/>
    <w:rsid w:val="47A04ACD"/>
    <w:rsid w:val="47C167F2"/>
    <w:rsid w:val="47CD33E9"/>
    <w:rsid w:val="47E86474"/>
    <w:rsid w:val="48223734"/>
    <w:rsid w:val="4828061F"/>
    <w:rsid w:val="483416BA"/>
    <w:rsid w:val="483B2A48"/>
    <w:rsid w:val="48537D92"/>
    <w:rsid w:val="48645AFB"/>
    <w:rsid w:val="486A5733"/>
    <w:rsid w:val="486F4309"/>
    <w:rsid w:val="488066AD"/>
    <w:rsid w:val="488E2B78"/>
    <w:rsid w:val="489839F7"/>
    <w:rsid w:val="48B84099"/>
    <w:rsid w:val="48E56510"/>
    <w:rsid w:val="48FF75D2"/>
    <w:rsid w:val="493E02D4"/>
    <w:rsid w:val="4989333F"/>
    <w:rsid w:val="499248EA"/>
    <w:rsid w:val="499916FA"/>
    <w:rsid w:val="49A10689"/>
    <w:rsid w:val="49C10D2B"/>
    <w:rsid w:val="49CF3448"/>
    <w:rsid w:val="49DA3B9B"/>
    <w:rsid w:val="49E3107C"/>
    <w:rsid w:val="49EF7646"/>
    <w:rsid w:val="49FE1F7F"/>
    <w:rsid w:val="4A881849"/>
    <w:rsid w:val="4AA246B9"/>
    <w:rsid w:val="4AB97C54"/>
    <w:rsid w:val="4ABD14F2"/>
    <w:rsid w:val="4ACB00B3"/>
    <w:rsid w:val="4AD36DE7"/>
    <w:rsid w:val="4ADF76BB"/>
    <w:rsid w:val="4B096DC6"/>
    <w:rsid w:val="4B2772B4"/>
    <w:rsid w:val="4B490FD8"/>
    <w:rsid w:val="4B5A31E5"/>
    <w:rsid w:val="4B663938"/>
    <w:rsid w:val="4B6B53F2"/>
    <w:rsid w:val="4B700C5B"/>
    <w:rsid w:val="4B906C07"/>
    <w:rsid w:val="4BC52D55"/>
    <w:rsid w:val="4BCF3BD3"/>
    <w:rsid w:val="4BDE5BC4"/>
    <w:rsid w:val="4BEA1DCD"/>
    <w:rsid w:val="4BF47196"/>
    <w:rsid w:val="4BFE0015"/>
    <w:rsid w:val="4C177328"/>
    <w:rsid w:val="4C1B2975"/>
    <w:rsid w:val="4C417F01"/>
    <w:rsid w:val="4C52210E"/>
    <w:rsid w:val="4C675BBA"/>
    <w:rsid w:val="4C9D5A7F"/>
    <w:rsid w:val="4CAE1A3B"/>
    <w:rsid w:val="4CBD3A2C"/>
    <w:rsid w:val="4CBE1552"/>
    <w:rsid w:val="4CCA439B"/>
    <w:rsid w:val="4CD15729"/>
    <w:rsid w:val="4CF80F08"/>
    <w:rsid w:val="4D094EC3"/>
    <w:rsid w:val="4D0F7FFF"/>
    <w:rsid w:val="4D275349"/>
    <w:rsid w:val="4D2B4E39"/>
    <w:rsid w:val="4D302450"/>
    <w:rsid w:val="4D387556"/>
    <w:rsid w:val="4D427751"/>
    <w:rsid w:val="4D4B54DB"/>
    <w:rsid w:val="4D4E6D7A"/>
    <w:rsid w:val="4D6724E2"/>
    <w:rsid w:val="4D7D31BB"/>
    <w:rsid w:val="4D9329DF"/>
    <w:rsid w:val="4D956757"/>
    <w:rsid w:val="4DB34E2F"/>
    <w:rsid w:val="4DDF5C24"/>
    <w:rsid w:val="4DF55447"/>
    <w:rsid w:val="4DFA480C"/>
    <w:rsid w:val="4E165AE9"/>
    <w:rsid w:val="4E2A3474"/>
    <w:rsid w:val="4E3221F7"/>
    <w:rsid w:val="4E3C3076"/>
    <w:rsid w:val="4E555EE6"/>
    <w:rsid w:val="4E5B34FC"/>
    <w:rsid w:val="4E6D3230"/>
    <w:rsid w:val="4E832A53"/>
    <w:rsid w:val="4E881E17"/>
    <w:rsid w:val="4E8F2834"/>
    <w:rsid w:val="4E8F31A6"/>
    <w:rsid w:val="4E9D6FC8"/>
    <w:rsid w:val="4ED11A10"/>
    <w:rsid w:val="4ED60DD5"/>
    <w:rsid w:val="4EDB288F"/>
    <w:rsid w:val="4EF23735"/>
    <w:rsid w:val="4F1418FD"/>
    <w:rsid w:val="4F175C36"/>
    <w:rsid w:val="4F1B712F"/>
    <w:rsid w:val="4F1F09CE"/>
    <w:rsid w:val="4F4F0B87"/>
    <w:rsid w:val="4F642884"/>
    <w:rsid w:val="4F6665FD"/>
    <w:rsid w:val="4F6C798B"/>
    <w:rsid w:val="4F754A92"/>
    <w:rsid w:val="4F7D74A2"/>
    <w:rsid w:val="4F9071D6"/>
    <w:rsid w:val="4FDA5DB2"/>
    <w:rsid w:val="4FE614EB"/>
    <w:rsid w:val="4FFC2ABD"/>
    <w:rsid w:val="502B5150"/>
    <w:rsid w:val="5043693E"/>
    <w:rsid w:val="50546455"/>
    <w:rsid w:val="505E5526"/>
    <w:rsid w:val="50966A6E"/>
    <w:rsid w:val="509E127D"/>
    <w:rsid w:val="50C23D07"/>
    <w:rsid w:val="50D6330E"/>
    <w:rsid w:val="50DE6667"/>
    <w:rsid w:val="50F8349F"/>
    <w:rsid w:val="50F96FFC"/>
    <w:rsid w:val="5100038B"/>
    <w:rsid w:val="512F2A1E"/>
    <w:rsid w:val="51536546"/>
    <w:rsid w:val="5153670D"/>
    <w:rsid w:val="51612F33"/>
    <w:rsid w:val="51711289"/>
    <w:rsid w:val="51A90A23"/>
    <w:rsid w:val="51B97834"/>
    <w:rsid w:val="51C13FBE"/>
    <w:rsid w:val="51C615D4"/>
    <w:rsid w:val="51D07D5D"/>
    <w:rsid w:val="51E43809"/>
    <w:rsid w:val="51F872B4"/>
    <w:rsid w:val="51FF0643"/>
    <w:rsid w:val="520420FD"/>
    <w:rsid w:val="52187956"/>
    <w:rsid w:val="521A547C"/>
    <w:rsid w:val="521F52CC"/>
    <w:rsid w:val="522400A9"/>
    <w:rsid w:val="523C3645"/>
    <w:rsid w:val="523D322A"/>
    <w:rsid w:val="524D5852"/>
    <w:rsid w:val="52554706"/>
    <w:rsid w:val="526613C5"/>
    <w:rsid w:val="526A01B2"/>
    <w:rsid w:val="5272350A"/>
    <w:rsid w:val="5280642C"/>
    <w:rsid w:val="52A116FA"/>
    <w:rsid w:val="52AD4F6C"/>
    <w:rsid w:val="52B04ABD"/>
    <w:rsid w:val="52B256B5"/>
    <w:rsid w:val="52E27C0B"/>
    <w:rsid w:val="52FE6B4C"/>
    <w:rsid w:val="53157F3E"/>
    <w:rsid w:val="53246BF7"/>
    <w:rsid w:val="535639A4"/>
    <w:rsid w:val="535A6478"/>
    <w:rsid w:val="53634C01"/>
    <w:rsid w:val="538210AF"/>
    <w:rsid w:val="53840C34"/>
    <w:rsid w:val="538A6632"/>
    <w:rsid w:val="53AC65A8"/>
    <w:rsid w:val="54065CB8"/>
    <w:rsid w:val="54442C85"/>
    <w:rsid w:val="544764A5"/>
    <w:rsid w:val="54994D7E"/>
    <w:rsid w:val="54C17E31"/>
    <w:rsid w:val="54D73AF9"/>
    <w:rsid w:val="553C395C"/>
    <w:rsid w:val="553E1482"/>
    <w:rsid w:val="554A6079"/>
    <w:rsid w:val="554F368F"/>
    <w:rsid w:val="555D5502"/>
    <w:rsid w:val="55760C1C"/>
    <w:rsid w:val="55911EF9"/>
    <w:rsid w:val="559E0172"/>
    <w:rsid w:val="55A25EB5"/>
    <w:rsid w:val="55CC4337"/>
    <w:rsid w:val="55CF47D0"/>
    <w:rsid w:val="55D83684"/>
    <w:rsid w:val="55F83D27"/>
    <w:rsid w:val="55F935FB"/>
    <w:rsid w:val="56401091"/>
    <w:rsid w:val="564C5E20"/>
    <w:rsid w:val="564E44A8"/>
    <w:rsid w:val="56503B63"/>
    <w:rsid w:val="566B274A"/>
    <w:rsid w:val="56794E67"/>
    <w:rsid w:val="56892BD1"/>
    <w:rsid w:val="56C97471"/>
    <w:rsid w:val="56D54068"/>
    <w:rsid w:val="571A1A7B"/>
    <w:rsid w:val="574153BB"/>
    <w:rsid w:val="57521214"/>
    <w:rsid w:val="575907F5"/>
    <w:rsid w:val="57607DD5"/>
    <w:rsid w:val="57CF6D09"/>
    <w:rsid w:val="57E26A3C"/>
    <w:rsid w:val="58474AF1"/>
    <w:rsid w:val="5870229A"/>
    <w:rsid w:val="58A65CBC"/>
    <w:rsid w:val="58C93758"/>
    <w:rsid w:val="58CD3249"/>
    <w:rsid w:val="58D565A1"/>
    <w:rsid w:val="58DA3BB7"/>
    <w:rsid w:val="59232E69"/>
    <w:rsid w:val="592F7A5F"/>
    <w:rsid w:val="594A4899"/>
    <w:rsid w:val="59570D64"/>
    <w:rsid w:val="5976568E"/>
    <w:rsid w:val="5984440C"/>
    <w:rsid w:val="599975CF"/>
    <w:rsid w:val="59BB6625"/>
    <w:rsid w:val="59CC3500"/>
    <w:rsid w:val="5A19426B"/>
    <w:rsid w:val="5A427C66"/>
    <w:rsid w:val="5A52785C"/>
    <w:rsid w:val="5A551748"/>
    <w:rsid w:val="5A56726E"/>
    <w:rsid w:val="5A6E2809"/>
    <w:rsid w:val="5ABB4095"/>
    <w:rsid w:val="5AC32B55"/>
    <w:rsid w:val="5AC62645"/>
    <w:rsid w:val="5ADE798F"/>
    <w:rsid w:val="5AE20B01"/>
    <w:rsid w:val="5B3D76CA"/>
    <w:rsid w:val="5B547C51"/>
    <w:rsid w:val="5B7420A1"/>
    <w:rsid w:val="5B9F57FE"/>
    <w:rsid w:val="5BA83AF9"/>
    <w:rsid w:val="5BA8671E"/>
    <w:rsid w:val="5BD20B76"/>
    <w:rsid w:val="5BD47038"/>
    <w:rsid w:val="5BF154A0"/>
    <w:rsid w:val="5C133668"/>
    <w:rsid w:val="5C303710"/>
    <w:rsid w:val="5C476399"/>
    <w:rsid w:val="5C91458D"/>
    <w:rsid w:val="5C983B6D"/>
    <w:rsid w:val="5C98591B"/>
    <w:rsid w:val="5CA40764"/>
    <w:rsid w:val="5CAC064F"/>
    <w:rsid w:val="5CE639DC"/>
    <w:rsid w:val="5CE768A3"/>
    <w:rsid w:val="5D3D64C3"/>
    <w:rsid w:val="5D5A4E0F"/>
    <w:rsid w:val="5D7579F0"/>
    <w:rsid w:val="5D8361CA"/>
    <w:rsid w:val="5D975B25"/>
    <w:rsid w:val="5DBC7D30"/>
    <w:rsid w:val="5DC310BE"/>
    <w:rsid w:val="5DCB3ACF"/>
    <w:rsid w:val="5E0771FD"/>
    <w:rsid w:val="5E257683"/>
    <w:rsid w:val="5E2F22B0"/>
    <w:rsid w:val="5E39312E"/>
    <w:rsid w:val="5E512226"/>
    <w:rsid w:val="5E5341F0"/>
    <w:rsid w:val="5E565A8E"/>
    <w:rsid w:val="5E652175"/>
    <w:rsid w:val="5E653F23"/>
    <w:rsid w:val="5E8E5228"/>
    <w:rsid w:val="5EA762EA"/>
    <w:rsid w:val="5ECA3D86"/>
    <w:rsid w:val="5ED74E21"/>
    <w:rsid w:val="5F096FA4"/>
    <w:rsid w:val="5F1F40D2"/>
    <w:rsid w:val="5F217E4A"/>
    <w:rsid w:val="5F61293D"/>
    <w:rsid w:val="5F6366B5"/>
    <w:rsid w:val="5F7578F4"/>
    <w:rsid w:val="5F775C2F"/>
    <w:rsid w:val="5F8D54E0"/>
    <w:rsid w:val="5FC02406"/>
    <w:rsid w:val="5FED41D0"/>
    <w:rsid w:val="5FFF4B17"/>
    <w:rsid w:val="60172FFB"/>
    <w:rsid w:val="6042276E"/>
    <w:rsid w:val="60567FC7"/>
    <w:rsid w:val="605B738C"/>
    <w:rsid w:val="605E50CE"/>
    <w:rsid w:val="606C77EB"/>
    <w:rsid w:val="60CF38D6"/>
    <w:rsid w:val="60D62EB6"/>
    <w:rsid w:val="60F03F78"/>
    <w:rsid w:val="60F4333C"/>
    <w:rsid w:val="60FB291D"/>
    <w:rsid w:val="6103520A"/>
    <w:rsid w:val="611A2DA3"/>
    <w:rsid w:val="611B4D6D"/>
    <w:rsid w:val="61314591"/>
    <w:rsid w:val="613D2F35"/>
    <w:rsid w:val="615606BA"/>
    <w:rsid w:val="61706E67"/>
    <w:rsid w:val="61AE50A6"/>
    <w:rsid w:val="61B2122D"/>
    <w:rsid w:val="61CD6067"/>
    <w:rsid w:val="61DE45D9"/>
    <w:rsid w:val="61E84C4F"/>
    <w:rsid w:val="61ED6709"/>
    <w:rsid w:val="61F01D56"/>
    <w:rsid w:val="61F22181"/>
    <w:rsid w:val="61F5736C"/>
    <w:rsid w:val="62043BE0"/>
    <w:rsid w:val="62114D88"/>
    <w:rsid w:val="622D4D58"/>
    <w:rsid w:val="62361E5F"/>
    <w:rsid w:val="625422E5"/>
    <w:rsid w:val="62797F9D"/>
    <w:rsid w:val="62845DC3"/>
    <w:rsid w:val="62C80BCC"/>
    <w:rsid w:val="62D11B87"/>
    <w:rsid w:val="62D653F0"/>
    <w:rsid w:val="62E01DCA"/>
    <w:rsid w:val="62F87114"/>
    <w:rsid w:val="63063CC9"/>
    <w:rsid w:val="630958C3"/>
    <w:rsid w:val="631101D6"/>
    <w:rsid w:val="6329551F"/>
    <w:rsid w:val="63310878"/>
    <w:rsid w:val="63495BC1"/>
    <w:rsid w:val="63536A40"/>
    <w:rsid w:val="635A1B7D"/>
    <w:rsid w:val="63666773"/>
    <w:rsid w:val="637B1AF3"/>
    <w:rsid w:val="638135AD"/>
    <w:rsid w:val="63AB4186"/>
    <w:rsid w:val="63B96E27"/>
    <w:rsid w:val="63C33BC6"/>
    <w:rsid w:val="63E1404C"/>
    <w:rsid w:val="63FC70D8"/>
    <w:rsid w:val="641C6E32"/>
    <w:rsid w:val="641F6922"/>
    <w:rsid w:val="64264155"/>
    <w:rsid w:val="644545DB"/>
    <w:rsid w:val="644C161A"/>
    <w:rsid w:val="645E38EF"/>
    <w:rsid w:val="64813139"/>
    <w:rsid w:val="64963088"/>
    <w:rsid w:val="64964E36"/>
    <w:rsid w:val="64AF7CA6"/>
    <w:rsid w:val="64B74DAD"/>
    <w:rsid w:val="64E536C8"/>
    <w:rsid w:val="64F733FB"/>
    <w:rsid w:val="650A1380"/>
    <w:rsid w:val="6511270F"/>
    <w:rsid w:val="651B533C"/>
    <w:rsid w:val="65271F32"/>
    <w:rsid w:val="654C7BEB"/>
    <w:rsid w:val="655A5E64"/>
    <w:rsid w:val="65674A25"/>
    <w:rsid w:val="656F482C"/>
    <w:rsid w:val="657311E9"/>
    <w:rsid w:val="657A02B4"/>
    <w:rsid w:val="65896749"/>
    <w:rsid w:val="65B732B6"/>
    <w:rsid w:val="65F91B21"/>
    <w:rsid w:val="65FC33BF"/>
    <w:rsid w:val="6601082D"/>
    <w:rsid w:val="6635067F"/>
    <w:rsid w:val="667016B7"/>
    <w:rsid w:val="667A4733"/>
    <w:rsid w:val="668426FE"/>
    <w:rsid w:val="66D460EA"/>
    <w:rsid w:val="66F422E8"/>
    <w:rsid w:val="66F978FF"/>
    <w:rsid w:val="670E33AA"/>
    <w:rsid w:val="670F3C60"/>
    <w:rsid w:val="6759214B"/>
    <w:rsid w:val="6760797E"/>
    <w:rsid w:val="676E209B"/>
    <w:rsid w:val="67982C74"/>
    <w:rsid w:val="679F4002"/>
    <w:rsid w:val="67A27F96"/>
    <w:rsid w:val="67C24194"/>
    <w:rsid w:val="67C9107F"/>
    <w:rsid w:val="67D0065F"/>
    <w:rsid w:val="67E934CF"/>
    <w:rsid w:val="68005D6A"/>
    <w:rsid w:val="681278C3"/>
    <w:rsid w:val="681A7B2C"/>
    <w:rsid w:val="68324E76"/>
    <w:rsid w:val="683926A8"/>
    <w:rsid w:val="68686AEA"/>
    <w:rsid w:val="686D4100"/>
    <w:rsid w:val="688558EE"/>
    <w:rsid w:val="688C5948"/>
    <w:rsid w:val="688D1A12"/>
    <w:rsid w:val="689C0A49"/>
    <w:rsid w:val="68C06926"/>
    <w:rsid w:val="68C161FA"/>
    <w:rsid w:val="68D128E1"/>
    <w:rsid w:val="68DC1286"/>
    <w:rsid w:val="68FB5CC1"/>
    <w:rsid w:val="690A7F15"/>
    <w:rsid w:val="692A0243"/>
    <w:rsid w:val="692E7D33"/>
    <w:rsid w:val="693B5FAC"/>
    <w:rsid w:val="69894F6A"/>
    <w:rsid w:val="69AC2A06"/>
    <w:rsid w:val="69AE2C22"/>
    <w:rsid w:val="69B0699A"/>
    <w:rsid w:val="69B1626F"/>
    <w:rsid w:val="69B20566"/>
    <w:rsid w:val="69BA3375"/>
    <w:rsid w:val="69C51D1A"/>
    <w:rsid w:val="69FB573C"/>
    <w:rsid w:val="6A1F767C"/>
    <w:rsid w:val="6A4315BC"/>
    <w:rsid w:val="6A440E91"/>
    <w:rsid w:val="6A6E4160"/>
    <w:rsid w:val="6AB37DC4"/>
    <w:rsid w:val="6ADE3093"/>
    <w:rsid w:val="6AE10DD5"/>
    <w:rsid w:val="6B040620"/>
    <w:rsid w:val="6B1B721A"/>
    <w:rsid w:val="6B23319C"/>
    <w:rsid w:val="6B4C26F3"/>
    <w:rsid w:val="6B710FCE"/>
    <w:rsid w:val="6B8579B3"/>
    <w:rsid w:val="6B8A321B"/>
    <w:rsid w:val="6B9B2675"/>
    <w:rsid w:val="6BA77929"/>
    <w:rsid w:val="6BB42046"/>
    <w:rsid w:val="6BC56001"/>
    <w:rsid w:val="6BDB5825"/>
    <w:rsid w:val="6BEC17E0"/>
    <w:rsid w:val="6C0E79A8"/>
    <w:rsid w:val="6C186A79"/>
    <w:rsid w:val="6C2B67AC"/>
    <w:rsid w:val="6C5630FD"/>
    <w:rsid w:val="6C97799E"/>
    <w:rsid w:val="6CAB51F7"/>
    <w:rsid w:val="6CC60283"/>
    <w:rsid w:val="6D2A6A64"/>
    <w:rsid w:val="6D3276C6"/>
    <w:rsid w:val="6D370745"/>
    <w:rsid w:val="6D48513C"/>
    <w:rsid w:val="6D5C2995"/>
    <w:rsid w:val="6D654F90"/>
    <w:rsid w:val="6D6667DE"/>
    <w:rsid w:val="6D8B6DD7"/>
    <w:rsid w:val="6DA0151B"/>
    <w:rsid w:val="6DB1683D"/>
    <w:rsid w:val="6DC5678C"/>
    <w:rsid w:val="6DC742B3"/>
    <w:rsid w:val="6DC971CE"/>
    <w:rsid w:val="6DCE5641"/>
    <w:rsid w:val="6DE210EC"/>
    <w:rsid w:val="6DE54739"/>
    <w:rsid w:val="6DF901E4"/>
    <w:rsid w:val="6E0F17B6"/>
    <w:rsid w:val="6E1B63AC"/>
    <w:rsid w:val="6E5042A8"/>
    <w:rsid w:val="6E55366C"/>
    <w:rsid w:val="6E7F4EAB"/>
    <w:rsid w:val="6EA42846"/>
    <w:rsid w:val="6EB365E5"/>
    <w:rsid w:val="6EB5235D"/>
    <w:rsid w:val="6EE42C42"/>
    <w:rsid w:val="6EF32E85"/>
    <w:rsid w:val="6EF56BFD"/>
    <w:rsid w:val="6F086931"/>
    <w:rsid w:val="6F2F65B3"/>
    <w:rsid w:val="6F593630"/>
    <w:rsid w:val="6F631DB9"/>
    <w:rsid w:val="6FA04DBB"/>
    <w:rsid w:val="6FC95D77"/>
    <w:rsid w:val="6FE6718B"/>
    <w:rsid w:val="6FFD220E"/>
    <w:rsid w:val="700F3CEF"/>
    <w:rsid w:val="70455963"/>
    <w:rsid w:val="707149AA"/>
    <w:rsid w:val="70877D29"/>
    <w:rsid w:val="70AB7EBB"/>
    <w:rsid w:val="70C14F73"/>
    <w:rsid w:val="70E616D1"/>
    <w:rsid w:val="70E94540"/>
    <w:rsid w:val="70FD7FEB"/>
    <w:rsid w:val="714B51FB"/>
    <w:rsid w:val="715F2A54"/>
    <w:rsid w:val="71616CD5"/>
    <w:rsid w:val="717C64BF"/>
    <w:rsid w:val="71A566B9"/>
    <w:rsid w:val="71AA3CCF"/>
    <w:rsid w:val="71C1726B"/>
    <w:rsid w:val="71D207BD"/>
    <w:rsid w:val="72062ED0"/>
    <w:rsid w:val="72121874"/>
    <w:rsid w:val="723604ED"/>
    <w:rsid w:val="724D0AFE"/>
    <w:rsid w:val="72606A84"/>
    <w:rsid w:val="727442DD"/>
    <w:rsid w:val="728C1627"/>
    <w:rsid w:val="72A15258"/>
    <w:rsid w:val="72A9667D"/>
    <w:rsid w:val="72F01BB6"/>
    <w:rsid w:val="72F2473D"/>
    <w:rsid w:val="73351CBE"/>
    <w:rsid w:val="733E234E"/>
    <w:rsid w:val="734420A9"/>
    <w:rsid w:val="735E3C7B"/>
    <w:rsid w:val="73642743"/>
    <w:rsid w:val="73944C37"/>
    <w:rsid w:val="73966C01"/>
    <w:rsid w:val="73AB1F81"/>
    <w:rsid w:val="73B928EF"/>
    <w:rsid w:val="73C372CA"/>
    <w:rsid w:val="73CB5BF9"/>
    <w:rsid w:val="74130252"/>
    <w:rsid w:val="742D6E39"/>
    <w:rsid w:val="745B5755"/>
    <w:rsid w:val="74786307"/>
    <w:rsid w:val="74AC4202"/>
    <w:rsid w:val="74B135C7"/>
    <w:rsid w:val="74C01A5C"/>
    <w:rsid w:val="74DE2CC1"/>
    <w:rsid w:val="74DE6B0D"/>
    <w:rsid w:val="74E90FB2"/>
    <w:rsid w:val="74EB6AD9"/>
    <w:rsid w:val="74EE2751"/>
    <w:rsid w:val="74F72203"/>
    <w:rsid w:val="751122B7"/>
    <w:rsid w:val="75241FEA"/>
    <w:rsid w:val="753A180E"/>
    <w:rsid w:val="754461E9"/>
    <w:rsid w:val="754D1003"/>
    <w:rsid w:val="7564688B"/>
    <w:rsid w:val="75750A98"/>
    <w:rsid w:val="75B3511C"/>
    <w:rsid w:val="75BB14B1"/>
    <w:rsid w:val="75C34BC5"/>
    <w:rsid w:val="75CE624F"/>
    <w:rsid w:val="75E579CC"/>
    <w:rsid w:val="76124539"/>
    <w:rsid w:val="763444AF"/>
    <w:rsid w:val="7634625D"/>
    <w:rsid w:val="764D4CF2"/>
    <w:rsid w:val="765406AD"/>
    <w:rsid w:val="765661D4"/>
    <w:rsid w:val="76780840"/>
    <w:rsid w:val="768C42EB"/>
    <w:rsid w:val="76AA651F"/>
    <w:rsid w:val="76BD44A5"/>
    <w:rsid w:val="76C770D1"/>
    <w:rsid w:val="76F679B7"/>
    <w:rsid w:val="76F971C0"/>
    <w:rsid w:val="76FF686B"/>
    <w:rsid w:val="77084C62"/>
    <w:rsid w:val="770E2F52"/>
    <w:rsid w:val="77204A34"/>
    <w:rsid w:val="772462D2"/>
    <w:rsid w:val="77334767"/>
    <w:rsid w:val="777F5BFE"/>
    <w:rsid w:val="778B00FF"/>
    <w:rsid w:val="779D7E32"/>
    <w:rsid w:val="77B21B30"/>
    <w:rsid w:val="77C27899"/>
    <w:rsid w:val="77CA50CB"/>
    <w:rsid w:val="77DC4DFE"/>
    <w:rsid w:val="77EA751B"/>
    <w:rsid w:val="77F35CA4"/>
    <w:rsid w:val="78300CA6"/>
    <w:rsid w:val="78544995"/>
    <w:rsid w:val="785E1CB7"/>
    <w:rsid w:val="788A2885"/>
    <w:rsid w:val="78972AD3"/>
    <w:rsid w:val="78AE679B"/>
    <w:rsid w:val="78DE1BAF"/>
    <w:rsid w:val="79334EF2"/>
    <w:rsid w:val="795C61F7"/>
    <w:rsid w:val="796450AB"/>
    <w:rsid w:val="79887927"/>
    <w:rsid w:val="79A436FA"/>
    <w:rsid w:val="79B3567F"/>
    <w:rsid w:val="79B871A5"/>
    <w:rsid w:val="79CB6ED9"/>
    <w:rsid w:val="79D833A4"/>
    <w:rsid w:val="79FF4DD4"/>
    <w:rsid w:val="7A044199"/>
    <w:rsid w:val="7A1528E7"/>
    <w:rsid w:val="7A173ECC"/>
    <w:rsid w:val="7A183B59"/>
    <w:rsid w:val="7A363DBC"/>
    <w:rsid w:val="7A5944E4"/>
    <w:rsid w:val="7A5B64AE"/>
    <w:rsid w:val="7A680BCB"/>
    <w:rsid w:val="7A9E45ED"/>
    <w:rsid w:val="7AAE577C"/>
    <w:rsid w:val="7ACD0A2E"/>
    <w:rsid w:val="7AF91823"/>
    <w:rsid w:val="7B050AB3"/>
    <w:rsid w:val="7B0F54EB"/>
    <w:rsid w:val="7B160627"/>
    <w:rsid w:val="7B234AF2"/>
    <w:rsid w:val="7B252618"/>
    <w:rsid w:val="7B3B008E"/>
    <w:rsid w:val="7B7F441F"/>
    <w:rsid w:val="7B845591"/>
    <w:rsid w:val="7BC9569A"/>
    <w:rsid w:val="7BE61DA8"/>
    <w:rsid w:val="7BF32717"/>
    <w:rsid w:val="7C016BE2"/>
    <w:rsid w:val="7C0B3F04"/>
    <w:rsid w:val="7C246D74"/>
    <w:rsid w:val="7C352D2F"/>
    <w:rsid w:val="7C3F3BAE"/>
    <w:rsid w:val="7C4411C4"/>
    <w:rsid w:val="7C444D20"/>
    <w:rsid w:val="7C686C61"/>
    <w:rsid w:val="7C776EA4"/>
    <w:rsid w:val="7CB9570E"/>
    <w:rsid w:val="7CDD764F"/>
    <w:rsid w:val="7CF93D5D"/>
    <w:rsid w:val="7CFB1883"/>
    <w:rsid w:val="7D1E1A15"/>
    <w:rsid w:val="7D341239"/>
    <w:rsid w:val="7D4C20DE"/>
    <w:rsid w:val="7D4E40A8"/>
    <w:rsid w:val="7D676F18"/>
    <w:rsid w:val="7D692C90"/>
    <w:rsid w:val="7D902913"/>
    <w:rsid w:val="7D935F5F"/>
    <w:rsid w:val="7DE72E03"/>
    <w:rsid w:val="7E1352F2"/>
    <w:rsid w:val="7E1E7F1F"/>
    <w:rsid w:val="7E355268"/>
    <w:rsid w:val="7E4F632A"/>
    <w:rsid w:val="7E527BC8"/>
    <w:rsid w:val="7E635932"/>
    <w:rsid w:val="7E8B4E88"/>
    <w:rsid w:val="7E9E05EF"/>
    <w:rsid w:val="7EA877E8"/>
    <w:rsid w:val="7EB536D1"/>
    <w:rsid w:val="7EBB576E"/>
    <w:rsid w:val="7EC32874"/>
    <w:rsid w:val="7EC62364"/>
    <w:rsid w:val="7EF7251E"/>
    <w:rsid w:val="7F0C421B"/>
    <w:rsid w:val="7F0D7F93"/>
    <w:rsid w:val="7F17671C"/>
    <w:rsid w:val="7F5427FB"/>
    <w:rsid w:val="7F816E5B"/>
    <w:rsid w:val="7F9B10FB"/>
    <w:rsid w:val="7FAA7590"/>
    <w:rsid w:val="7FB67325"/>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0"/>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3">
    <w:name w:val="heading 2"/>
    <w:basedOn w:val="1"/>
    <w:next w:val="1"/>
    <w:unhideWhenUsed/>
    <w:qFormat/>
    <w:uiPriority w:val="0"/>
    <w:pPr>
      <w:keepNext/>
      <w:tabs>
        <w:tab w:val="left" w:pos="1021"/>
      </w:tabs>
      <w:adjustRightInd w:val="0"/>
      <w:spacing w:before="120" w:line="360" w:lineRule="auto"/>
      <w:ind w:left="1021" w:hanging="596"/>
      <w:textAlignment w:val="baseline"/>
      <w:outlineLvl w:val="1"/>
    </w:pPr>
    <w:rPr>
      <w:rFonts w:eastAsia="黑体"/>
      <w:b/>
      <w:kern w:val="0"/>
      <w:sz w:val="28"/>
      <w:szCs w:val="20"/>
    </w:rPr>
  </w:style>
  <w:style w:type="paragraph" w:styleId="4">
    <w:name w:val="heading 3"/>
    <w:basedOn w:val="1"/>
    <w:next w:val="5"/>
    <w:link w:val="39"/>
    <w:unhideWhenUsed/>
    <w:qFormat/>
    <w:uiPriority w:val="0"/>
    <w:pPr>
      <w:tabs>
        <w:tab w:val="left" w:pos="900"/>
      </w:tabs>
      <w:adjustRightInd w:val="0"/>
      <w:spacing w:before="120" w:line="360" w:lineRule="auto"/>
      <w:ind w:left="1588" w:hanging="737"/>
      <w:textAlignment w:val="baseline"/>
      <w:outlineLvl w:val="2"/>
    </w:pPr>
    <w:rPr>
      <w:rFonts w:eastAsia="黑体"/>
      <w:b/>
      <w:kern w:val="0"/>
      <w:sz w:val="28"/>
      <w:szCs w:val="20"/>
    </w:rPr>
  </w:style>
  <w:style w:type="paragraph" w:styleId="6">
    <w:name w:val="heading 4"/>
    <w:next w:val="5"/>
    <w:unhideWhenUsed/>
    <w:qFormat/>
    <w:uiPriority w:val="9"/>
    <w:pPr>
      <w:numPr>
        <w:ilvl w:val="3"/>
        <w:numId w:val="1"/>
      </w:numPr>
      <w:adjustRightInd w:val="0"/>
      <w:snapToGrid w:val="0"/>
      <w:spacing w:beforeLines="100" w:afterLines="50" w:line="288" w:lineRule="auto"/>
      <w:outlineLvl w:val="3"/>
    </w:pPr>
    <w:rPr>
      <w:rFonts w:ascii="黑体" w:hAnsi="黑体" w:eastAsia="黑体" w:cstheme="minorBidi"/>
      <w:b/>
      <w:bCs/>
      <w:sz w:val="28"/>
      <w:szCs w:val="28"/>
      <w:lang w:val="en-US" w:eastAsia="zh-CN" w:bidi="ar-SA"/>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7">
    <w:name w:val="Normal Indent"/>
    <w:basedOn w:val="1"/>
    <w:qFormat/>
    <w:uiPriority w:val="0"/>
    <w:pPr>
      <w:ind w:firstLine="420"/>
    </w:pPr>
  </w:style>
  <w:style w:type="paragraph" w:styleId="8">
    <w:name w:val="Document Map"/>
    <w:basedOn w:val="1"/>
    <w:unhideWhenUsed/>
    <w:qFormat/>
    <w:uiPriority w:val="99"/>
    <w:rPr>
      <w:rFonts w:ascii="宋体" w:hAnsi="Calibri"/>
      <w:kern w:val="0"/>
      <w:sz w:val="18"/>
      <w:szCs w:val="18"/>
    </w:rPr>
  </w:style>
  <w:style w:type="paragraph" w:styleId="9">
    <w:name w:val="annotation text"/>
    <w:basedOn w:val="1"/>
    <w:qFormat/>
    <w:uiPriority w:val="0"/>
    <w:pPr>
      <w:jc w:val="left"/>
    </w:pPr>
  </w:style>
  <w:style w:type="paragraph" w:styleId="10">
    <w:name w:val="Body Text Indent"/>
    <w:basedOn w:val="1"/>
    <w:qFormat/>
    <w:uiPriority w:val="0"/>
    <w:pPr>
      <w:spacing w:line="200" w:lineRule="exact"/>
      <w:ind w:firstLine="301"/>
    </w:pPr>
    <w:rPr>
      <w:rFonts w:ascii="宋体"/>
      <w:spacing w:val="-4"/>
      <w:sz w:val="18"/>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szCs w:val="20"/>
    </w:rPr>
  </w:style>
  <w:style w:type="paragraph" w:styleId="13">
    <w:name w:val="Body Text Indent 2"/>
    <w:basedOn w:val="1"/>
    <w:qFormat/>
    <w:uiPriority w:val="0"/>
    <w:pPr>
      <w:spacing w:after="120" w:line="480" w:lineRule="auto"/>
      <w:ind w:left="200" w:leftChars="2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next w:val="1"/>
    <w:qFormat/>
    <w:uiPriority w:val="0"/>
    <w:pPr>
      <w:spacing w:before="240" w:after="60" w:line="360" w:lineRule="auto"/>
      <w:jc w:val="left"/>
      <w:outlineLvl w:val="1"/>
    </w:pPr>
    <w:rPr>
      <w:rFonts w:ascii="Cambria" w:hAnsi="Cambria"/>
      <w:b/>
      <w:kern w:val="28"/>
      <w:sz w:val="32"/>
      <w:szCs w:val="32"/>
      <w:lang w:val="zh-CN"/>
    </w:rPr>
  </w:style>
  <w:style w:type="paragraph" w:styleId="19">
    <w:name w:val="footnote text"/>
    <w:basedOn w:val="1"/>
    <w:unhideWhenUsed/>
    <w:qFormat/>
    <w:uiPriority w:val="0"/>
    <w:pPr>
      <w:snapToGrid w:val="0"/>
    </w:pPr>
    <w:rPr>
      <w:sz w:val="18"/>
      <w:szCs w:val="24"/>
    </w:rPr>
  </w:style>
  <w:style w:type="paragraph" w:styleId="20">
    <w:name w:val="toc 2"/>
    <w:basedOn w:val="1"/>
    <w:next w:val="1"/>
    <w:qFormat/>
    <w:uiPriority w:val="0"/>
    <w:pPr>
      <w:ind w:left="420" w:leftChars="200"/>
    </w:p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Body Text First Indent 2"/>
    <w:basedOn w:val="10"/>
    <w:qFormat/>
    <w:uiPriority w:val="0"/>
    <w:pPr>
      <w:spacing w:after="120"/>
      <w:ind w:left="420" w:leftChars="200" w:firstLine="420"/>
    </w:pPr>
    <w:rPr>
      <w:rFonts w:hAnsi="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rFonts w:hint="eastAsia" w:ascii="微软雅黑" w:hAnsi="微软雅黑" w:eastAsia="微软雅黑" w:cs="微软雅黑"/>
      <w:color w:val="428BCA"/>
      <w:sz w:val="24"/>
      <w:szCs w:val="24"/>
      <w:u w:val="none"/>
    </w:rPr>
  </w:style>
  <w:style w:type="character" w:customStyle="1" w:styleId="27">
    <w:name w:val="NormalCharacter"/>
    <w:qFormat/>
    <w:uiPriority w:val="0"/>
    <w:rPr>
      <w:kern w:val="2"/>
      <w:sz w:val="21"/>
      <w:szCs w:val="24"/>
      <w:lang w:val="en-US" w:eastAsia="zh-CN" w:bidi="ar-SA"/>
    </w:rPr>
  </w:style>
  <w:style w:type="paragraph" w:customStyle="1" w:styleId="28">
    <w:name w:val="表格文字"/>
    <w:basedOn w:val="1"/>
    <w:next w:val="5"/>
    <w:qFormat/>
    <w:uiPriority w:val="0"/>
    <w:pPr>
      <w:spacing w:before="25" w:after="25"/>
      <w:jc w:val="left"/>
    </w:pPr>
    <w:rPr>
      <w:bCs/>
      <w:spacing w:val="10"/>
      <w:kern w:val="0"/>
      <w:sz w:val="24"/>
    </w:rPr>
  </w:style>
  <w:style w:type="paragraph" w:customStyle="1" w:styleId="29">
    <w:name w:val="p0"/>
    <w:basedOn w:val="1"/>
    <w:qFormat/>
    <w:uiPriority w:val="0"/>
    <w:pPr>
      <w:widowControl/>
    </w:pPr>
    <w:rPr>
      <w:rFonts w:ascii="Times New Roman" w:hAnsi="Times New Roman"/>
      <w:kern w:val="0"/>
      <w:szCs w:val="21"/>
    </w:rPr>
  </w:style>
  <w:style w:type="paragraph" w:customStyle="1" w:styleId="30">
    <w:name w:val="font7"/>
    <w:basedOn w:val="1"/>
    <w:qFormat/>
    <w:uiPriority w:val="0"/>
    <w:pPr>
      <w:widowControl/>
      <w:spacing w:before="100" w:beforeAutospacing="1" w:after="100" w:afterAutospacing="1"/>
      <w:jc w:val="left"/>
    </w:pPr>
    <w:rPr>
      <w:rFonts w:ascii="Verdana" w:hAnsi="Verdana"/>
      <w:kern w:val="0"/>
      <w:sz w:val="20"/>
      <w:szCs w:val="20"/>
    </w:rPr>
  </w:style>
  <w:style w:type="paragraph" w:customStyle="1" w:styleId="31">
    <w:name w:val="列表段落1"/>
    <w:basedOn w:val="1"/>
    <w:qFormat/>
    <w:uiPriority w:val="34"/>
    <w:pPr>
      <w:ind w:firstLine="420" w:firstLineChars="200"/>
    </w:pPr>
    <w:rPr>
      <w:rFonts w:ascii="Calibri" w:hAnsi="Calibri" w:eastAsia="宋体" w:cs="Times New Roman"/>
    </w:rPr>
  </w:style>
  <w:style w:type="paragraph" w:customStyle="1" w:styleId="3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3">
    <w:name w:val="标题 1 Char"/>
    <w:link w:val="2"/>
    <w:qFormat/>
    <w:uiPriority w:val="0"/>
    <w:rPr>
      <w:rFonts w:eastAsia="黑体"/>
      <w:b/>
      <w:kern w:val="44"/>
      <w:sz w:val="28"/>
      <w:szCs w:val="20"/>
    </w:rPr>
  </w:style>
  <w:style w:type="paragraph" w:styleId="34">
    <w:name w:val="List Paragraph"/>
    <w:basedOn w:val="1"/>
    <w:qFormat/>
    <w:uiPriority w:val="99"/>
    <w:pPr>
      <w:ind w:firstLine="420" w:firstLineChars="200"/>
    </w:pPr>
  </w:style>
  <w:style w:type="character" w:customStyle="1" w:styleId="35">
    <w:name w:val="标题 1 Char1"/>
    <w:qFormat/>
    <w:uiPriority w:val="0"/>
    <w:rPr>
      <w:rFonts w:ascii="Times New Roman" w:hAnsi="Times New Roman" w:eastAsia="宋体" w:cs="Times New Roman"/>
      <w:b/>
      <w:bCs/>
      <w:kern w:val="44"/>
      <w:sz w:val="32"/>
      <w:szCs w:val="44"/>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样式 加粗 段前: 7.8 磅 段后: 7.8 磅 行距: 固定值 20 磅"/>
    <w:basedOn w:val="1"/>
    <w:qFormat/>
    <w:uiPriority w:val="0"/>
    <w:pPr>
      <w:widowControl w:val="0"/>
      <w:spacing w:before="60" w:after="60" w:line="360" w:lineRule="exact"/>
      <w:jc w:val="both"/>
    </w:pPr>
    <w:rPr>
      <w:rFonts w:ascii="Times New Roman" w:hAnsi="Times New Roman" w:eastAsia="宋体" w:cs="宋体"/>
      <w:b/>
      <w:bCs/>
      <w:spacing w:val="-2"/>
      <w:kern w:val="2"/>
      <w:sz w:val="24"/>
      <w:szCs w:val="20"/>
      <w:lang w:bidi="ar-SA"/>
    </w:rPr>
  </w:style>
  <w:style w:type="character" w:customStyle="1" w:styleId="38">
    <w:name w:val="font31"/>
    <w:basedOn w:val="25"/>
    <w:qFormat/>
    <w:uiPriority w:val="0"/>
    <w:rPr>
      <w:rFonts w:hint="default" w:ascii="Times New Roman" w:hAnsi="Times New Roman" w:cs="Times New Roman"/>
      <w:color w:val="000000"/>
      <w:sz w:val="24"/>
      <w:szCs w:val="24"/>
      <w:u w:val="none"/>
    </w:rPr>
  </w:style>
  <w:style w:type="character" w:customStyle="1" w:styleId="39">
    <w:name w:val="标题 3 Char"/>
    <w:link w:val="4"/>
    <w:qFormat/>
    <w:uiPriority w:val="9"/>
    <w:rPr>
      <w:rFonts w:eastAsia="黑体"/>
      <w:b/>
      <w:kern w:val="0"/>
      <w:sz w:val="28"/>
      <w:szCs w:val="20"/>
    </w:rPr>
  </w:style>
  <w:style w:type="character" w:customStyle="1" w:styleId="40">
    <w:name w:val="font11"/>
    <w:basedOn w:val="25"/>
    <w:qFormat/>
    <w:uiPriority w:val="0"/>
    <w:rPr>
      <w:rFonts w:hint="eastAsia" w:ascii="宋体" w:hAnsi="宋体" w:eastAsia="宋体" w:cs="宋体"/>
      <w:color w:val="000000"/>
      <w:sz w:val="21"/>
      <w:szCs w:val="21"/>
      <w:u w:val="none"/>
    </w:rPr>
  </w:style>
  <w:style w:type="character" w:customStyle="1" w:styleId="41">
    <w:name w:val="font21"/>
    <w:basedOn w:val="25"/>
    <w:qFormat/>
    <w:uiPriority w:val="0"/>
    <w:rPr>
      <w:rFonts w:hint="default" w:ascii="Calibri" w:hAnsi="Calibri" w:cs="Calibri"/>
      <w:color w:val="000000"/>
      <w:sz w:val="21"/>
      <w:szCs w:val="21"/>
      <w:u w:val="none"/>
    </w:rPr>
  </w:style>
  <w:style w:type="paragraph" w:customStyle="1" w:styleId="42">
    <w:name w:val="样式1"/>
    <w:basedOn w:val="1"/>
    <w:qFormat/>
    <w:uiPriority w:val="0"/>
    <w:pPr>
      <w:jc w:val="left"/>
    </w:pPr>
    <w:rPr>
      <w:rFonts w:hint="default" w:eastAsia="仿宋_GB2312" w:asciiTheme="minorAscii" w:hAnsiTheme="minorAscii"/>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9898</Words>
  <Characters>11234</Characters>
  <Lines>0</Lines>
  <Paragraphs>0</Paragraphs>
  <TotalTime>18</TotalTime>
  <ScaleCrop>false</ScaleCrop>
  <LinksUpToDate>false</LinksUpToDate>
  <CharactersWithSpaces>11405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2024-07-05T01:20:00Z</dcterms:created>
  <dc:creator>MY</dc:creator>
  <cp:lastModifiedBy>WPS_461677660</cp:lastModifiedBy>
  <cp:lastPrinted>2025-11-05T07:21:00Z</cp:lastPrinted>
  <dcterms:modified xsi:type="dcterms:W3CDTF">2026-05-20T03:49:19Z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CE9869EA64504627A23B4B28C9B56F55</vt:lpwstr>
  </property>
  <property fmtid="{D5CDD505-2E9C-101B-9397-08002B2CF9AE}" pid="4" name="KSOTemplateDocerSaveRecord">
    <vt:lpwstr>eyJoZGlkIjoiNGVjMTVmYTdjM2IyZTNhYzM3NzgwMDZmODZkNzRiZTMiLCJ1c2VySWQiOiI1NTUzMDY4MDcifQ==</vt:lpwstr>
  </property>
</Properties>
</file>